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5943E7">
      <w:pPr>
        <w:widowControl/>
        <w:spacing w:before="120" w:after="120" w:line="360" w:lineRule="auto"/>
        <w:jc w:val="both"/>
        <w:rPr>
          <w:rFonts w:hint="eastAsia" w:ascii="仿宋" w:hAnsi="仿宋" w:eastAsia="仿宋" w:cs="仿宋"/>
          <w:color w:val="auto"/>
          <w:sz w:val="84"/>
          <w:highlight w:val="none"/>
        </w:rPr>
      </w:pPr>
    </w:p>
    <w:p w14:paraId="652AFD2A">
      <w:pPr>
        <w:widowControl/>
        <w:spacing w:before="120" w:after="120" w:line="360" w:lineRule="auto"/>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22"/>
          <w:highlight w:val="none"/>
        </w:rPr>
        <w:t>封闭式框架协议采购</w:t>
      </w:r>
    </w:p>
    <w:p w14:paraId="6B702C24">
      <w:pPr>
        <w:widowControl/>
        <w:spacing w:before="120" w:after="120" w:line="360" w:lineRule="auto"/>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22"/>
          <w:highlight w:val="none"/>
        </w:rPr>
        <w:t>征集文件</w:t>
      </w:r>
    </w:p>
    <w:p w14:paraId="0FEC03C9">
      <w:pPr>
        <w:widowControl/>
        <w:spacing w:line="360" w:lineRule="auto"/>
        <w:jc w:val="center"/>
        <w:rPr>
          <w:rFonts w:hint="eastAsia" w:ascii="仿宋" w:hAnsi="仿宋" w:eastAsia="仿宋" w:cs="仿宋"/>
          <w:b/>
          <w:color w:val="auto"/>
          <w:sz w:val="72"/>
          <w:szCs w:val="72"/>
          <w:highlight w:val="none"/>
        </w:rPr>
      </w:pPr>
    </w:p>
    <w:p w14:paraId="6A2AB620">
      <w:pPr>
        <w:pStyle w:val="17"/>
        <w:spacing w:line="360" w:lineRule="auto"/>
        <w:rPr>
          <w:rFonts w:hint="eastAsia" w:ascii="仿宋" w:hAnsi="仿宋" w:eastAsia="仿宋" w:cs="仿宋"/>
          <w:color w:val="auto"/>
          <w:highlight w:val="none"/>
        </w:rPr>
      </w:pPr>
    </w:p>
    <w:p w14:paraId="576BB966">
      <w:pPr>
        <w:pStyle w:val="17"/>
        <w:spacing w:line="360" w:lineRule="auto"/>
        <w:rPr>
          <w:rFonts w:hint="eastAsia" w:ascii="仿宋" w:hAnsi="仿宋" w:eastAsia="仿宋" w:cs="仿宋"/>
          <w:color w:val="auto"/>
          <w:highlight w:val="none"/>
        </w:rPr>
      </w:pPr>
    </w:p>
    <w:p w14:paraId="31612EF6">
      <w:pPr>
        <w:pStyle w:val="17"/>
        <w:spacing w:line="360" w:lineRule="auto"/>
        <w:ind w:left="2043" w:hanging="1405"/>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项目名称：南京市六合区殡仪馆购买遗体接运社</w:t>
      </w:r>
    </w:p>
    <w:p w14:paraId="57156C73">
      <w:pPr>
        <w:pStyle w:val="17"/>
        <w:spacing w:line="360" w:lineRule="auto"/>
        <w:ind w:left="2081" w:leftChars="991" w:firstLine="87" w:firstLineChars="31"/>
        <w:rPr>
          <w:rFonts w:hint="eastAsia" w:ascii="仿宋" w:hAnsi="仿宋" w:eastAsia="仿宋" w:cs="仿宋"/>
          <w:b/>
          <w:bCs/>
          <w:color w:val="auto"/>
          <w:sz w:val="28"/>
          <w:szCs w:val="36"/>
          <w:highlight w:val="none"/>
          <w:lang w:eastAsia="zh-CN"/>
        </w:rPr>
      </w:pPr>
      <w:r>
        <w:rPr>
          <w:rFonts w:hint="eastAsia" w:ascii="仿宋" w:hAnsi="仿宋" w:eastAsia="仿宋" w:cs="仿宋"/>
          <w:b/>
          <w:bCs/>
          <w:color w:val="auto"/>
          <w:sz w:val="28"/>
          <w:szCs w:val="36"/>
          <w:highlight w:val="none"/>
        </w:rPr>
        <w:t>会服务项目</w:t>
      </w:r>
    </w:p>
    <w:p w14:paraId="09968A8E">
      <w:pPr>
        <w:pStyle w:val="17"/>
        <w:spacing w:line="360" w:lineRule="auto"/>
        <w:ind w:left="2043" w:hanging="1405"/>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项目编号：JSZC-320116-ZHZH-K2026-0011</w:t>
      </w:r>
    </w:p>
    <w:p w14:paraId="66BA38F0">
      <w:pPr>
        <w:pStyle w:val="17"/>
        <w:spacing w:line="360" w:lineRule="auto"/>
        <w:ind w:firstLine="400"/>
        <w:rPr>
          <w:rFonts w:hint="eastAsia" w:ascii="仿宋" w:hAnsi="仿宋" w:eastAsia="仿宋" w:cs="仿宋"/>
          <w:color w:val="auto"/>
          <w:sz w:val="20"/>
          <w:szCs w:val="22"/>
          <w:highlight w:val="none"/>
        </w:rPr>
      </w:pPr>
    </w:p>
    <w:p w14:paraId="479A78A9">
      <w:pPr>
        <w:pStyle w:val="17"/>
        <w:spacing w:line="360" w:lineRule="auto"/>
        <w:ind w:firstLine="400"/>
        <w:rPr>
          <w:rFonts w:hint="eastAsia" w:ascii="仿宋" w:hAnsi="仿宋" w:eastAsia="仿宋" w:cs="仿宋"/>
          <w:color w:val="auto"/>
          <w:sz w:val="20"/>
          <w:szCs w:val="22"/>
          <w:highlight w:val="none"/>
        </w:rPr>
      </w:pPr>
    </w:p>
    <w:p w14:paraId="43A1A032">
      <w:pPr>
        <w:widowControl/>
        <w:spacing w:line="360" w:lineRule="auto"/>
        <w:jc w:val="center"/>
        <w:rPr>
          <w:rFonts w:hint="eastAsia" w:ascii="仿宋" w:hAnsi="仿宋" w:eastAsia="仿宋" w:cs="仿宋"/>
          <w:b/>
          <w:color w:val="auto"/>
          <w:sz w:val="28"/>
          <w:szCs w:val="28"/>
          <w:highlight w:val="none"/>
        </w:rPr>
      </w:pPr>
    </w:p>
    <w:p w14:paraId="251CA1AA">
      <w:pPr>
        <w:pStyle w:val="18"/>
        <w:spacing w:line="360" w:lineRule="auto"/>
        <w:ind w:firstLine="560"/>
        <w:rPr>
          <w:rFonts w:hint="eastAsia" w:ascii="仿宋" w:hAnsi="仿宋" w:eastAsia="仿宋" w:cs="仿宋"/>
          <w:color w:val="auto"/>
          <w:sz w:val="28"/>
          <w:szCs w:val="28"/>
          <w:highlight w:val="none"/>
        </w:rPr>
      </w:pPr>
    </w:p>
    <w:p w14:paraId="290608A0">
      <w:pPr>
        <w:pStyle w:val="18"/>
        <w:spacing w:line="360" w:lineRule="auto"/>
        <w:ind w:firstLine="560"/>
        <w:rPr>
          <w:rFonts w:hint="eastAsia" w:ascii="仿宋" w:hAnsi="仿宋" w:eastAsia="仿宋" w:cs="仿宋"/>
          <w:color w:val="auto"/>
          <w:sz w:val="28"/>
          <w:szCs w:val="28"/>
          <w:highlight w:val="none"/>
        </w:rPr>
      </w:pPr>
    </w:p>
    <w:p w14:paraId="2E3BD941">
      <w:pPr>
        <w:pStyle w:val="18"/>
        <w:spacing w:line="360" w:lineRule="auto"/>
        <w:ind w:firstLine="560"/>
        <w:rPr>
          <w:rFonts w:hint="eastAsia" w:ascii="仿宋" w:hAnsi="仿宋" w:eastAsia="仿宋" w:cs="仿宋"/>
          <w:color w:val="auto"/>
          <w:sz w:val="28"/>
          <w:szCs w:val="28"/>
          <w:highlight w:val="none"/>
        </w:rPr>
      </w:pPr>
    </w:p>
    <w:p w14:paraId="38F07EEC">
      <w:pPr>
        <w:pStyle w:val="18"/>
        <w:spacing w:line="360" w:lineRule="auto"/>
        <w:ind w:firstLine="560"/>
        <w:rPr>
          <w:rFonts w:hint="eastAsia" w:ascii="仿宋" w:hAnsi="仿宋" w:eastAsia="仿宋" w:cs="仿宋"/>
          <w:color w:val="auto"/>
          <w:sz w:val="28"/>
          <w:szCs w:val="28"/>
          <w:highlight w:val="none"/>
        </w:rPr>
      </w:pPr>
    </w:p>
    <w:tbl>
      <w:tblPr>
        <w:tblStyle w:val="15"/>
        <w:tblW w:w="0" w:type="auto"/>
        <w:jc w:val="center"/>
        <w:tblLayout w:type="fixed"/>
        <w:tblCellMar>
          <w:top w:w="0" w:type="dxa"/>
          <w:left w:w="108" w:type="dxa"/>
          <w:bottom w:w="0" w:type="dxa"/>
          <w:right w:w="108" w:type="dxa"/>
        </w:tblCellMar>
      </w:tblPr>
      <w:tblGrid>
        <w:gridCol w:w="2596"/>
        <w:gridCol w:w="5206"/>
      </w:tblGrid>
      <w:tr w14:paraId="4E4B60E4">
        <w:tblPrEx>
          <w:tblCellMar>
            <w:top w:w="0" w:type="dxa"/>
            <w:left w:w="108" w:type="dxa"/>
            <w:bottom w:w="0" w:type="dxa"/>
            <w:right w:w="108" w:type="dxa"/>
          </w:tblCellMar>
        </w:tblPrEx>
        <w:trPr>
          <w:jc w:val="center"/>
        </w:trPr>
        <w:tc>
          <w:tcPr>
            <w:tcW w:w="2596" w:type="dxa"/>
            <w:tcBorders>
              <w:top w:val="nil"/>
              <w:left w:val="nil"/>
              <w:bottom w:val="nil"/>
              <w:right w:val="nil"/>
            </w:tcBorders>
            <w:noWrap w:val="0"/>
            <w:vAlign w:val="top"/>
          </w:tcPr>
          <w:p w14:paraId="29037641">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征集人</w:t>
            </w:r>
            <w:r>
              <w:rPr>
                <w:rFonts w:hint="eastAsia" w:ascii="仿宋" w:hAnsi="仿宋" w:eastAsia="仿宋" w:cs="仿宋"/>
                <w:b/>
                <w:bCs/>
                <w:color w:val="auto"/>
                <w:sz w:val="32"/>
                <w:szCs w:val="32"/>
                <w:highlight w:val="none"/>
              </w:rPr>
              <w:t>：</w:t>
            </w:r>
          </w:p>
        </w:tc>
        <w:tc>
          <w:tcPr>
            <w:tcW w:w="5206" w:type="dxa"/>
            <w:tcBorders>
              <w:top w:val="nil"/>
              <w:left w:val="nil"/>
              <w:bottom w:val="nil"/>
              <w:right w:val="nil"/>
            </w:tcBorders>
            <w:noWrap w:val="0"/>
            <w:vAlign w:val="top"/>
          </w:tcPr>
          <w:p w14:paraId="2B8C9CA5">
            <w:pP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南京市六合区民政局</w:t>
            </w:r>
          </w:p>
        </w:tc>
      </w:tr>
      <w:tr w14:paraId="0E159C39">
        <w:tblPrEx>
          <w:tblCellMar>
            <w:top w:w="0" w:type="dxa"/>
            <w:left w:w="108" w:type="dxa"/>
            <w:bottom w:w="0" w:type="dxa"/>
            <w:right w:w="108" w:type="dxa"/>
          </w:tblCellMar>
        </w:tblPrEx>
        <w:trPr>
          <w:jc w:val="center"/>
        </w:trPr>
        <w:tc>
          <w:tcPr>
            <w:tcW w:w="2596" w:type="dxa"/>
            <w:tcBorders>
              <w:top w:val="nil"/>
              <w:left w:val="nil"/>
              <w:bottom w:val="nil"/>
              <w:right w:val="nil"/>
            </w:tcBorders>
            <w:noWrap w:val="0"/>
            <w:vAlign w:val="top"/>
          </w:tcPr>
          <w:p w14:paraId="7A70443D">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征集代理机构</w:t>
            </w:r>
            <w:r>
              <w:rPr>
                <w:rFonts w:hint="eastAsia" w:ascii="仿宋" w:hAnsi="仿宋" w:eastAsia="仿宋" w:cs="仿宋"/>
                <w:b/>
                <w:bCs/>
                <w:color w:val="auto"/>
                <w:sz w:val="32"/>
                <w:szCs w:val="32"/>
                <w:highlight w:val="none"/>
              </w:rPr>
              <w:t>：</w:t>
            </w:r>
          </w:p>
        </w:tc>
        <w:tc>
          <w:tcPr>
            <w:tcW w:w="5206" w:type="dxa"/>
            <w:tcBorders>
              <w:top w:val="nil"/>
              <w:left w:val="nil"/>
              <w:bottom w:val="nil"/>
              <w:right w:val="nil"/>
            </w:tcBorders>
            <w:noWrap w:val="0"/>
            <w:vAlign w:val="top"/>
          </w:tcPr>
          <w:p w14:paraId="5CBE489F">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江苏中衡工程顾问有限公司</w:t>
            </w:r>
          </w:p>
        </w:tc>
      </w:tr>
      <w:tr w14:paraId="5CCA94CD">
        <w:tblPrEx>
          <w:tblCellMar>
            <w:top w:w="0" w:type="dxa"/>
            <w:left w:w="108" w:type="dxa"/>
            <w:bottom w:w="0" w:type="dxa"/>
            <w:right w:w="108" w:type="dxa"/>
          </w:tblCellMar>
        </w:tblPrEx>
        <w:trPr>
          <w:jc w:val="center"/>
        </w:trPr>
        <w:tc>
          <w:tcPr>
            <w:tcW w:w="2596" w:type="dxa"/>
            <w:tcBorders>
              <w:top w:val="nil"/>
              <w:left w:val="nil"/>
              <w:bottom w:val="nil"/>
              <w:right w:val="nil"/>
            </w:tcBorders>
            <w:noWrap w:val="0"/>
            <w:vAlign w:val="top"/>
          </w:tcPr>
          <w:p w14:paraId="3BD28BF9">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日  期：</w:t>
            </w:r>
          </w:p>
        </w:tc>
        <w:tc>
          <w:tcPr>
            <w:tcW w:w="5206" w:type="dxa"/>
            <w:tcBorders>
              <w:top w:val="nil"/>
              <w:left w:val="nil"/>
              <w:bottom w:val="nil"/>
              <w:right w:val="nil"/>
            </w:tcBorders>
            <w:noWrap w:val="0"/>
            <w:vAlign w:val="top"/>
          </w:tcPr>
          <w:p w14:paraId="5EB7DF58">
            <w:pPr>
              <w:rPr>
                <w:rFonts w:hint="eastAsia" w:ascii="仿宋" w:hAnsi="仿宋" w:eastAsia="仿宋" w:cs="仿宋"/>
                <w:b/>
                <w:bCs/>
                <w:color w:val="auto"/>
                <w:sz w:val="32"/>
                <w:szCs w:val="32"/>
                <w:highlight w:val="none"/>
              </w:rPr>
            </w:pPr>
            <w:bookmarkStart w:id="0" w:name="EB011e21966a4746ceac4488705cfdd813"/>
            <w:r>
              <w:rPr>
                <w:rFonts w:hint="eastAsia" w:ascii="仿宋" w:hAnsi="仿宋" w:eastAsia="仿宋" w:cs="仿宋"/>
                <w:b/>
                <w:bCs/>
                <w:color w:val="auto"/>
                <w:sz w:val="32"/>
                <w:szCs w:val="32"/>
                <w:highlight w:val="none"/>
              </w:rPr>
              <w:t>202</w:t>
            </w:r>
            <w:r>
              <w:rPr>
                <w:rFonts w:hint="eastAsia" w:ascii="仿宋" w:hAnsi="仿宋" w:eastAsia="仿宋" w:cs="仿宋"/>
                <w:b/>
                <w:bCs/>
                <w:color w:val="auto"/>
                <w:sz w:val="32"/>
                <w:szCs w:val="32"/>
                <w:highlight w:val="none"/>
                <w:lang w:val="en-US" w:eastAsia="zh-CN"/>
              </w:rPr>
              <w:t>6</w:t>
            </w:r>
            <w:r>
              <w:rPr>
                <w:rFonts w:hint="eastAsia" w:ascii="仿宋" w:hAnsi="仿宋" w:eastAsia="仿宋" w:cs="仿宋"/>
                <w:b/>
                <w:bCs/>
                <w:color w:val="auto"/>
                <w:sz w:val="32"/>
                <w:szCs w:val="32"/>
                <w:highlight w:val="none"/>
              </w:rPr>
              <w:t>年</w:t>
            </w:r>
            <w:r>
              <w:rPr>
                <w:rFonts w:hint="eastAsia" w:ascii="仿宋" w:hAnsi="仿宋" w:eastAsia="仿宋" w:cs="仿宋"/>
                <w:b/>
                <w:bCs/>
                <w:color w:val="auto"/>
                <w:sz w:val="32"/>
                <w:szCs w:val="32"/>
                <w:highlight w:val="none"/>
                <w:lang w:val="en-US" w:eastAsia="zh-CN"/>
              </w:rPr>
              <w:t>05</w:t>
            </w:r>
            <w:r>
              <w:rPr>
                <w:rFonts w:hint="eastAsia" w:ascii="仿宋" w:hAnsi="仿宋" w:eastAsia="仿宋" w:cs="仿宋"/>
                <w:b/>
                <w:bCs/>
                <w:color w:val="auto"/>
                <w:sz w:val="32"/>
                <w:szCs w:val="32"/>
                <w:highlight w:val="none"/>
              </w:rPr>
              <w:t>月</w:t>
            </w:r>
            <w:bookmarkEnd w:id="0"/>
          </w:p>
        </w:tc>
      </w:tr>
    </w:tbl>
    <w:p w14:paraId="5410CEF0">
      <w:pPr>
        <w:rPr>
          <w:rFonts w:hint="eastAsia" w:ascii="仿宋" w:hAnsi="仿宋" w:eastAsia="仿宋" w:cs="仿宋"/>
          <w:color w:val="auto"/>
          <w:highlight w:val="none"/>
        </w:rPr>
        <w:sectPr>
          <w:footerReference r:id="rId3" w:type="default"/>
          <w:type w:val="continuous"/>
          <w:pgSz w:w="11906" w:h="16838"/>
          <w:pgMar w:top="1440" w:right="1800" w:bottom="1440" w:left="1800" w:header="850" w:footer="850" w:gutter="0"/>
          <w:paperSrc/>
          <w:cols w:space="0" w:num="1"/>
          <w:rtlGutter w:val="0"/>
          <w:docGrid w:type="lines" w:linePitch="317" w:charSpace="0"/>
        </w:sectPr>
      </w:pPr>
    </w:p>
    <w:sdt>
      <w:sdtPr>
        <w:rPr>
          <w:rFonts w:hint="eastAsia" w:ascii="仿宋" w:hAnsi="仿宋" w:eastAsia="仿宋" w:cs="仿宋"/>
          <w:b/>
          <w:bCs/>
          <w:color w:val="auto"/>
          <w:sz w:val="32"/>
          <w:szCs w:val="32"/>
          <w:highlight w:val="none"/>
        </w:rPr>
        <w:id w:val="147458379"/>
        <w15:color w:val="DBDBDB"/>
        <w:docPartObj>
          <w:docPartGallery w:val="Table of Contents"/>
          <w:docPartUnique/>
        </w:docPartObj>
      </w:sdtPr>
      <w:sdtEndPr>
        <w:rPr>
          <w:rFonts w:hint="eastAsia" w:ascii="仿宋" w:hAnsi="仿宋" w:eastAsia="仿宋" w:cs="仿宋"/>
          <w:b/>
          <w:bCs/>
          <w:color w:val="auto"/>
          <w:sz w:val="21"/>
          <w:szCs w:val="24"/>
          <w:highlight w:val="none"/>
        </w:rPr>
      </w:sdtEndPr>
      <w:sdtContent>
        <w:p w14:paraId="38B65F06">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目录</w:t>
          </w:r>
        </w:p>
        <w:p w14:paraId="2D3111C3">
          <w:pPr>
            <w:pStyle w:val="13"/>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"1-3" \h \u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_Toc11367 </w:instrText>
          </w:r>
          <w:r>
            <w:rPr>
              <w:rFonts w:hint="eastAsia" w:ascii="仿宋" w:hAnsi="仿宋" w:eastAsia="仿宋" w:cs="仿宋"/>
              <w:highlight w:val="none"/>
            </w:rPr>
            <w:fldChar w:fldCharType="separate"/>
          </w:r>
          <w:r>
            <w:rPr>
              <w:rFonts w:hint="eastAsia" w:ascii="仿宋" w:hAnsi="仿宋" w:eastAsia="仿宋" w:cs="仿宋"/>
              <w:highlight w:val="none"/>
            </w:rPr>
            <w:t>第一章 征集公告</w:t>
          </w:r>
          <w:r>
            <w:tab/>
          </w:r>
          <w:r>
            <w:fldChar w:fldCharType="begin"/>
          </w:r>
          <w:r>
            <w:instrText xml:space="preserve"> PAGEREF _Toc11367 \h </w:instrText>
          </w:r>
          <w:r>
            <w:fldChar w:fldCharType="separate"/>
          </w:r>
          <w:r>
            <w:t>1</w:t>
          </w:r>
          <w:r>
            <w:fldChar w:fldCharType="end"/>
          </w:r>
          <w:r>
            <w:rPr>
              <w:rFonts w:hint="eastAsia" w:ascii="仿宋" w:hAnsi="仿宋" w:eastAsia="仿宋" w:cs="仿宋"/>
              <w:color w:val="auto"/>
              <w:highlight w:val="none"/>
            </w:rPr>
            <w:fldChar w:fldCharType="end"/>
          </w:r>
        </w:p>
        <w:p w14:paraId="174592FA">
          <w:pPr>
            <w:pStyle w:val="13"/>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_Toc4234 </w:instrText>
          </w:r>
          <w:r>
            <w:rPr>
              <w:rFonts w:hint="eastAsia" w:ascii="仿宋" w:hAnsi="仿宋" w:eastAsia="仿宋" w:cs="仿宋"/>
              <w:highlight w:val="none"/>
            </w:rPr>
            <w:fldChar w:fldCharType="separate"/>
          </w:r>
          <w:r>
            <w:rPr>
              <w:rFonts w:hint="eastAsia" w:ascii="仿宋" w:hAnsi="仿宋" w:eastAsia="仿宋" w:cs="仿宋"/>
              <w:highlight w:val="none"/>
            </w:rPr>
            <w:t>第二章 供应商须知</w:t>
          </w:r>
          <w:r>
            <w:tab/>
          </w:r>
          <w:r>
            <w:fldChar w:fldCharType="begin"/>
          </w:r>
          <w:r>
            <w:instrText xml:space="preserve"> PAGEREF _Toc4234 \h </w:instrText>
          </w:r>
          <w:r>
            <w:fldChar w:fldCharType="separate"/>
          </w:r>
          <w:r>
            <w:t>6</w:t>
          </w:r>
          <w:r>
            <w:fldChar w:fldCharType="end"/>
          </w:r>
          <w:r>
            <w:rPr>
              <w:rFonts w:hint="eastAsia" w:ascii="仿宋" w:hAnsi="仿宋" w:eastAsia="仿宋" w:cs="仿宋"/>
              <w:color w:val="auto"/>
              <w:highlight w:val="none"/>
            </w:rPr>
            <w:fldChar w:fldCharType="end"/>
          </w:r>
        </w:p>
        <w:p w14:paraId="770D4D01">
          <w:pPr>
            <w:pStyle w:val="13"/>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_Toc31917 </w:instrText>
          </w:r>
          <w:r>
            <w:rPr>
              <w:rFonts w:hint="eastAsia" w:ascii="仿宋" w:hAnsi="仿宋" w:eastAsia="仿宋" w:cs="仿宋"/>
              <w:highlight w:val="none"/>
            </w:rPr>
            <w:fldChar w:fldCharType="separate"/>
          </w:r>
          <w:r>
            <w:rPr>
              <w:rFonts w:hint="eastAsia" w:ascii="仿宋" w:hAnsi="仿宋" w:eastAsia="仿宋" w:cs="仿宋"/>
              <w:highlight w:val="none"/>
            </w:rPr>
            <w:t>第三章 确定入围及成交供应商</w:t>
          </w:r>
          <w:r>
            <w:tab/>
          </w:r>
          <w:r>
            <w:fldChar w:fldCharType="begin"/>
          </w:r>
          <w:r>
            <w:instrText xml:space="preserve"> PAGEREF _Toc31917 \h </w:instrText>
          </w:r>
          <w:r>
            <w:fldChar w:fldCharType="separate"/>
          </w:r>
          <w:r>
            <w:t>20</w:t>
          </w:r>
          <w:r>
            <w:fldChar w:fldCharType="end"/>
          </w:r>
          <w:r>
            <w:rPr>
              <w:rFonts w:hint="eastAsia" w:ascii="仿宋" w:hAnsi="仿宋" w:eastAsia="仿宋" w:cs="仿宋"/>
              <w:color w:val="auto"/>
              <w:highlight w:val="none"/>
            </w:rPr>
            <w:fldChar w:fldCharType="end"/>
          </w:r>
        </w:p>
        <w:p w14:paraId="4F60ED74">
          <w:pPr>
            <w:pStyle w:val="13"/>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_Toc17414 </w:instrText>
          </w:r>
          <w:r>
            <w:rPr>
              <w:rFonts w:hint="eastAsia" w:ascii="仿宋" w:hAnsi="仿宋" w:eastAsia="仿宋" w:cs="仿宋"/>
              <w:highlight w:val="none"/>
            </w:rPr>
            <w:fldChar w:fldCharType="separate"/>
          </w:r>
          <w:r>
            <w:rPr>
              <w:rFonts w:hint="eastAsia" w:ascii="仿宋" w:hAnsi="仿宋" w:eastAsia="仿宋" w:cs="仿宋"/>
              <w:highlight w:val="none"/>
            </w:rPr>
            <w:t>第四章 采购需求</w:t>
          </w:r>
          <w:r>
            <w:tab/>
          </w:r>
          <w:r>
            <w:fldChar w:fldCharType="begin"/>
          </w:r>
          <w:r>
            <w:instrText xml:space="preserve"> PAGEREF _Toc17414 \h </w:instrText>
          </w:r>
          <w:r>
            <w:fldChar w:fldCharType="separate"/>
          </w:r>
          <w:r>
            <w:t>24</w:t>
          </w:r>
          <w:r>
            <w:fldChar w:fldCharType="end"/>
          </w:r>
          <w:r>
            <w:rPr>
              <w:rFonts w:hint="eastAsia" w:ascii="仿宋" w:hAnsi="仿宋" w:eastAsia="仿宋" w:cs="仿宋"/>
              <w:color w:val="auto"/>
              <w:highlight w:val="none"/>
            </w:rPr>
            <w:fldChar w:fldCharType="end"/>
          </w:r>
        </w:p>
        <w:p w14:paraId="135C55BE">
          <w:pPr>
            <w:pStyle w:val="13"/>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_Toc20005 </w:instrText>
          </w:r>
          <w:r>
            <w:rPr>
              <w:rFonts w:hint="eastAsia" w:ascii="仿宋" w:hAnsi="仿宋" w:eastAsia="仿宋" w:cs="仿宋"/>
              <w:highlight w:val="none"/>
            </w:rPr>
            <w:fldChar w:fldCharType="separate"/>
          </w:r>
          <w:r>
            <w:rPr>
              <w:rFonts w:hint="eastAsia" w:ascii="仿宋" w:hAnsi="仿宋" w:eastAsia="仿宋" w:cs="仿宋"/>
              <w:highlight w:val="none"/>
            </w:rPr>
            <w:t>第五章 主要条款及格式</w:t>
          </w:r>
          <w:r>
            <w:tab/>
          </w:r>
          <w:r>
            <w:fldChar w:fldCharType="begin"/>
          </w:r>
          <w:r>
            <w:instrText xml:space="preserve"> PAGEREF _Toc20005 \h </w:instrText>
          </w:r>
          <w:r>
            <w:fldChar w:fldCharType="separate"/>
          </w:r>
          <w:r>
            <w:t>27</w:t>
          </w:r>
          <w:r>
            <w:fldChar w:fldCharType="end"/>
          </w:r>
          <w:r>
            <w:rPr>
              <w:rFonts w:hint="eastAsia" w:ascii="仿宋" w:hAnsi="仿宋" w:eastAsia="仿宋" w:cs="仿宋"/>
              <w:color w:val="auto"/>
              <w:highlight w:val="none"/>
            </w:rPr>
            <w:fldChar w:fldCharType="end"/>
          </w:r>
        </w:p>
        <w:p w14:paraId="1808B6C2">
          <w:pPr>
            <w:pStyle w:val="13"/>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_Toc17138 </w:instrText>
          </w:r>
          <w:r>
            <w:rPr>
              <w:rFonts w:hint="eastAsia" w:ascii="仿宋" w:hAnsi="仿宋" w:eastAsia="仿宋" w:cs="仿宋"/>
              <w:highlight w:val="none"/>
            </w:rPr>
            <w:fldChar w:fldCharType="separate"/>
          </w:r>
          <w:r>
            <w:rPr>
              <w:rFonts w:hint="eastAsia" w:ascii="仿宋" w:hAnsi="仿宋" w:eastAsia="仿宋" w:cs="仿宋"/>
              <w:highlight w:val="none"/>
            </w:rPr>
            <w:t>第六章 响应文件格式及附件</w:t>
          </w:r>
          <w:r>
            <w:tab/>
          </w:r>
          <w:r>
            <w:fldChar w:fldCharType="begin"/>
          </w:r>
          <w:r>
            <w:instrText xml:space="preserve"> PAGEREF _Toc17138 \h </w:instrText>
          </w:r>
          <w:r>
            <w:fldChar w:fldCharType="separate"/>
          </w:r>
          <w:r>
            <w:t>37</w:t>
          </w:r>
          <w:r>
            <w:fldChar w:fldCharType="end"/>
          </w:r>
          <w:r>
            <w:rPr>
              <w:rFonts w:hint="eastAsia" w:ascii="仿宋" w:hAnsi="仿宋" w:eastAsia="仿宋" w:cs="仿宋"/>
              <w:color w:val="auto"/>
              <w:highlight w:val="none"/>
            </w:rPr>
            <w:fldChar w:fldCharType="end"/>
          </w:r>
        </w:p>
        <w:p w14:paraId="7CB04B1C">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_Toc8515 </w:instrText>
          </w:r>
          <w:r>
            <w:rPr>
              <w:rFonts w:hint="eastAsia" w:ascii="仿宋" w:hAnsi="仿宋" w:eastAsia="仿宋" w:cs="仿宋"/>
              <w:highlight w:val="none"/>
            </w:rPr>
            <w:fldChar w:fldCharType="separate"/>
          </w:r>
          <w:r>
            <w:rPr>
              <w:rFonts w:hint="eastAsia" w:ascii="仿宋" w:hAnsi="仿宋" w:eastAsia="仿宋" w:cs="仿宋"/>
              <w:bCs/>
              <w:szCs w:val="21"/>
              <w:highlight w:val="none"/>
            </w:rPr>
            <w:t>附件一、响应申请及声明格式</w:t>
          </w:r>
          <w:r>
            <w:tab/>
          </w:r>
          <w:r>
            <w:fldChar w:fldCharType="begin"/>
          </w:r>
          <w:r>
            <w:instrText xml:space="preserve"> PAGEREF _Toc8515 \h </w:instrText>
          </w:r>
          <w:r>
            <w:fldChar w:fldCharType="separate"/>
          </w:r>
          <w:r>
            <w:t>39</w:t>
          </w:r>
          <w:r>
            <w:fldChar w:fldCharType="end"/>
          </w:r>
          <w:r>
            <w:rPr>
              <w:rFonts w:hint="eastAsia" w:ascii="仿宋" w:hAnsi="仿宋" w:eastAsia="仿宋" w:cs="仿宋"/>
              <w:color w:val="auto"/>
              <w:highlight w:val="none"/>
            </w:rPr>
            <w:fldChar w:fldCharType="end"/>
          </w:r>
        </w:p>
        <w:p w14:paraId="49548CCA">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_Toc11670 </w:instrText>
          </w:r>
          <w:r>
            <w:rPr>
              <w:rFonts w:hint="eastAsia" w:ascii="仿宋" w:hAnsi="仿宋" w:eastAsia="仿宋" w:cs="仿宋"/>
              <w:highlight w:val="none"/>
            </w:rPr>
            <w:fldChar w:fldCharType="separate"/>
          </w:r>
          <w:r>
            <w:rPr>
              <w:rFonts w:hint="eastAsia" w:ascii="仿宋" w:hAnsi="仿宋" w:eastAsia="仿宋" w:cs="仿宋"/>
              <w:bCs/>
              <w:szCs w:val="21"/>
              <w:highlight w:val="none"/>
            </w:rPr>
            <w:t>附件二、法人授权书格式</w:t>
          </w:r>
          <w:r>
            <w:tab/>
          </w:r>
          <w:r>
            <w:fldChar w:fldCharType="begin"/>
          </w:r>
          <w:r>
            <w:instrText xml:space="preserve"> PAGEREF _Toc11670 \h </w:instrText>
          </w:r>
          <w:r>
            <w:fldChar w:fldCharType="separate"/>
          </w:r>
          <w:r>
            <w:t>40</w:t>
          </w:r>
          <w:r>
            <w:fldChar w:fldCharType="end"/>
          </w:r>
          <w:r>
            <w:rPr>
              <w:rFonts w:hint="eastAsia" w:ascii="仿宋" w:hAnsi="仿宋" w:eastAsia="仿宋" w:cs="仿宋"/>
              <w:color w:val="auto"/>
              <w:highlight w:val="none"/>
            </w:rPr>
            <w:fldChar w:fldCharType="end"/>
          </w:r>
        </w:p>
        <w:p w14:paraId="7CD043EB">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_Toc14969 </w:instrText>
          </w:r>
          <w:r>
            <w:rPr>
              <w:rFonts w:hint="eastAsia" w:ascii="仿宋" w:hAnsi="仿宋" w:eastAsia="仿宋" w:cs="仿宋"/>
              <w:highlight w:val="none"/>
            </w:rPr>
            <w:fldChar w:fldCharType="separate"/>
          </w:r>
          <w:r>
            <w:rPr>
              <w:rFonts w:hint="eastAsia" w:ascii="仿宋" w:hAnsi="仿宋" w:eastAsia="仿宋" w:cs="仿宋"/>
              <w:bCs/>
              <w:szCs w:val="21"/>
              <w:highlight w:val="none"/>
              <w:lang w:val="zh-CN"/>
            </w:rPr>
            <w:t>附件三、开标一览表</w:t>
          </w:r>
          <w:r>
            <w:tab/>
          </w:r>
          <w:r>
            <w:fldChar w:fldCharType="begin"/>
          </w:r>
          <w:r>
            <w:instrText xml:space="preserve"> PAGEREF _Toc14969 \h </w:instrText>
          </w:r>
          <w:r>
            <w:fldChar w:fldCharType="separate"/>
          </w:r>
          <w:r>
            <w:t>41</w:t>
          </w:r>
          <w:r>
            <w:fldChar w:fldCharType="end"/>
          </w:r>
          <w:r>
            <w:rPr>
              <w:rFonts w:hint="eastAsia" w:ascii="仿宋" w:hAnsi="仿宋" w:eastAsia="仿宋" w:cs="仿宋"/>
              <w:color w:val="auto"/>
              <w:highlight w:val="none"/>
            </w:rPr>
            <w:fldChar w:fldCharType="end"/>
          </w:r>
        </w:p>
        <w:p w14:paraId="3D639825">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_Toc18216 </w:instrText>
          </w:r>
          <w:r>
            <w:rPr>
              <w:rFonts w:hint="eastAsia" w:ascii="仿宋" w:hAnsi="仿宋" w:eastAsia="仿宋" w:cs="仿宋"/>
              <w:highlight w:val="none"/>
            </w:rPr>
            <w:fldChar w:fldCharType="separate"/>
          </w:r>
          <w:r>
            <w:rPr>
              <w:rFonts w:hint="eastAsia" w:ascii="仿宋" w:hAnsi="仿宋" w:eastAsia="仿宋" w:cs="仿宋"/>
              <w:bCs/>
              <w:szCs w:val="21"/>
              <w:highlight w:val="none"/>
            </w:rPr>
            <w:t>附件四、技术要求响应及偏离表格式</w:t>
          </w:r>
          <w:r>
            <w:tab/>
          </w:r>
          <w:r>
            <w:fldChar w:fldCharType="begin"/>
          </w:r>
          <w:r>
            <w:instrText xml:space="preserve"> PAGEREF _Toc18216 \h </w:instrText>
          </w:r>
          <w:r>
            <w:fldChar w:fldCharType="separate"/>
          </w:r>
          <w:r>
            <w:t>42</w:t>
          </w:r>
          <w:r>
            <w:fldChar w:fldCharType="end"/>
          </w:r>
          <w:r>
            <w:rPr>
              <w:rFonts w:hint="eastAsia" w:ascii="仿宋" w:hAnsi="仿宋" w:eastAsia="仿宋" w:cs="仿宋"/>
              <w:color w:val="auto"/>
              <w:highlight w:val="none"/>
            </w:rPr>
            <w:fldChar w:fldCharType="end"/>
          </w:r>
        </w:p>
        <w:p w14:paraId="3039C875">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_Toc27717 </w:instrText>
          </w:r>
          <w:r>
            <w:rPr>
              <w:rFonts w:hint="eastAsia" w:ascii="仿宋" w:hAnsi="仿宋" w:eastAsia="仿宋" w:cs="仿宋"/>
              <w:highlight w:val="none"/>
            </w:rPr>
            <w:fldChar w:fldCharType="separate"/>
          </w:r>
          <w:r>
            <w:rPr>
              <w:rFonts w:hint="eastAsia" w:ascii="仿宋" w:hAnsi="仿宋" w:eastAsia="仿宋" w:cs="仿宋"/>
              <w:bCs/>
              <w:szCs w:val="21"/>
              <w:highlight w:val="none"/>
            </w:rPr>
            <w:t>附件五、商务要求响应及偏离表格式</w:t>
          </w:r>
          <w:r>
            <w:tab/>
          </w:r>
          <w:r>
            <w:fldChar w:fldCharType="begin"/>
          </w:r>
          <w:r>
            <w:instrText xml:space="preserve"> PAGEREF _Toc27717 \h </w:instrText>
          </w:r>
          <w:r>
            <w:fldChar w:fldCharType="separate"/>
          </w:r>
          <w:r>
            <w:t>43</w:t>
          </w:r>
          <w:r>
            <w:fldChar w:fldCharType="end"/>
          </w:r>
          <w:r>
            <w:rPr>
              <w:rFonts w:hint="eastAsia" w:ascii="仿宋" w:hAnsi="仿宋" w:eastAsia="仿宋" w:cs="仿宋"/>
              <w:color w:val="auto"/>
              <w:highlight w:val="none"/>
            </w:rPr>
            <w:fldChar w:fldCharType="end"/>
          </w:r>
        </w:p>
        <w:p w14:paraId="684389D0">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_Toc11233 </w:instrText>
          </w:r>
          <w:r>
            <w:rPr>
              <w:rFonts w:hint="eastAsia" w:ascii="仿宋" w:hAnsi="仿宋" w:eastAsia="仿宋" w:cs="仿宋"/>
              <w:highlight w:val="none"/>
            </w:rPr>
            <w:fldChar w:fldCharType="separate"/>
          </w:r>
          <w:r>
            <w:rPr>
              <w:rFonts w:hint="eastAsia" w:ascii="仿宋" w:hAnsi="仿宋" w:eastAsia="仿宋" w:cs="仿宋"/>
              <w:bCs/>
              <w:szCs w:val="21"/>
              <w:highlight w:val="none"/>
            </w:rPr>
            <w:t>附件六、</w:t>
          </w:r>
          <w:r>
            <w:rPr>
              <w:rFonts w:hint="eastAsia" w:ascii="仿宋" w:hAnsi="仿宋" w:eastAsia="仿宋" w:cs="仿宋"/>
              <w:szCs w:val="21"/>
              <w:highlight w:val="none"/>
              <w:lang w:val="zh-CN"/>
            </w:rPr>
            <w:t>技术说明与服务方案</w:t>
          </w:r>
          <w:r>
            <w:tab/>
          </w:r>
          <w:r>
            <w:fldChar w:fldCharType="begin"/>
          </w:r>
          <w:r>
            <w:instrText xml:space="preserve"> PAGEREF _Toc11233 \h </w:instrText>
          </w:r>
          <w:r>
            <w:fldChar w:fldCharType="separate"/>
          </w:r>
          <w:r>
            <w:t>44</w:t>
          </w:r>
          <w:r>
            <w:fldChar w:fldCharType="end"/>
          </w:r>
          <w:r>
            <w:rPr>
              <w:rFonts w:hint="eastAsia" w:ascii="仿宋" w:hAnsi="仿宋" w:eastAsia="仿宋" w:cs="仿宋"/>
              <w:color w:val="auto"/>
              <w:highlight w:val="none"/>
            </w:rPr>
            <w:fldChar w:fldCharType="end"/>
          </w:r>
        </w:p>
        <w:p w14:paraId="135B1A54">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_Toc28386 </w:instrText>
          </w:r>
          <w:r>
            <w:rPr>
              <w:rFonts w:hint="eastAsia" w:ascii="仿宋" w:hAnsi="仿宋" w:eastAsia="仿宋" w:cs="仿宋"/>
              <w:highlight w:val="none"/>
            </w:rPr>
            <w:fldChar w:fldCharType="separate"/>
          </w:r>
          <w:r>
            <w:rPr>
              <w:rFonts w:hint="eastAsia" w:ascii="仿宋" w:hAnsi="仿宋" w:eastAsia="仿宋" w:cs="仿宋"/>
              <w:bCs/>
              <w:highlight w:val="none"/>
            </w:rPr>
            <w:t>附件七、拟参与本项目服务人员一览表</w:t>
          </w:r>
          <w:r>
            <w:tab/>
          </w:r>
          <w:r>
            <w:fldChar w:fldCharType="begin"/>
          </w:r>
          <w:r>
            <w:instrText xml:space="preserve"> PAGEREF _Toc28386 \h </w:instrText>
          </w:r>
          <w:r>
            <w:fldChar w:fldCharType="separate"/>
          </w:r>
          <w:r>
            <w:t>45</w:t>
          </w:r>
          <w:r>
            <w:fldChar w:fldCharType="end"/>
          </w:r>
          <w:r>
            <w:rPr>
              <w:rFonts w:hint="eastAsia" w:ascii="仿宋" w:hAnsi="仿宋" w:eastAsia="仿宋" w:cs="仿宋"/>
              <w:color w:val="auto"/>
              <w:highlight w:val="none"/>
            </w:rPr>
            <w:fldChar w:fldCharType="end"/>
          </w:r>
        </w:p>
        <w:p w14:paraId="142D225C">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_Toc13393 </w:instrText>
          </w:r>
          <w:r>
            <w:rPr>
              <w:rFonts w:hint="eastAsia" w:ascii="仿宋" w:hAnsi="仿宋" w:eastAsia="仿宋" w:cs="仿宋"/>
              <w:highlight w:val="none"/>
            </w:rPr>
            <w:fldChar w:fldCharType="separate"/>
          </w:r>
          <w:r>
            <w:rPr>
              <w:rFonts w:hint="eastAsia" w:ascii="仿宋" w:hAnsi="仿宋" w:eastAsia="仿宋" w:cs="仿宋"/>
              <w:bCs/>
              <w:highlight w:val="none"/>
            </w:rPr>
            <w:t>附件八、供应商类似业绩情况表</w:t>
          </w:r>
          <w:r>
            <w:rPr>
              <w:rFonts w:hint="eastAsia" w:ascii="仿宋" w:hAnsi="仿宋" w:eastAsia="仿宋" w:cs="仿宋"/>
              <w:bCs/>
              <w:highlight w:val="none"/>
              <w:lang w:eastAsia="zh-CN"/>
            </w:rPr>
            <w:t>（</w:t>
          </w:r>
          <w:r>
            <w:rPr>
              <w:rFonts w:hint="eastAsia" w:ascii="仿宋" w:hAnsi="仿宋" w:eastAsia="仿宋" w:cs="仿宋"/>
              <w:bCs/>
              <w:highlight w:val="none"/>
              <w:lang w:val="en-US" w:eastAsia="zh-CN"/>
            </w:rPr>
            <w:t>如有</w:t>
          </w:r>
          <w:r>
            <w:rPr>
              <w:rFonts w:hint="eastAsia" w:ascii="仿宋" w:hAnsi="仿宋" w:eastAsia="仿宋" w:cs="仿宋"/>
              <w:bCs/>
              <w:highlight w:val="none"/>
              <w:lang w:eastAsia="zh-CN"/>
            </w:rPr>
            <w:t>）</w:t>
          </w:r>
          <w:r>
            <w:tab/>
          </w:r>
          <w:r>
            <w:fldChar w:fldCharType="begin"/>
          </w:r>
          <w:r>
            <w:instrText xml:space="preserve"> PAGEREF _Toc13393 \h </w:instrText>
          </w:r>
          <w:r>
            <w:fldChar w:fldCharType="separate"/>
          </w:r>
          <w:r>
            <w:t>46</w:t>
          </w:r>
          <w:r>
            <w:fldChar w:fldCharType="end"/>
          </w:r>
          <w:r>
            <w:rPr>
              <w:rFonts w:hint="eastAsia" w:ascii="仿宋" w:hAnsi="仿宋" w:eastAsia="仿宋" w:cs="仿宋"/>
              <w:color w:val="auto"/>
              <w:highlight w:val="none"/>
            </w:rPr>
            <w:fldChar w:fldCharType="end"/>
          </w:r>
        </w:p>
        <w:p w14:paraId="4545DC2A">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_Toc15579 </w:instrText>
          </w:r>
          <w:r>
            <w:rPr>
              <w:rFonts w:hint="eastAsia" w:ascii="仿宋" w:hAnsi="仿宋" w:eastAsia="仿宋" w:cs="仿宋"/>
              <w:highlight w:val="none"/>
            </w:rPr>
            <w:fldChar w:fldCharType="separate"/>
          </w:r>
          <w:r>
            <w:rPr>
              <w:rFonts w:hint="eastAsia" w:ascii="仿宋" w:hAnsi="仿宋" w:eastAsia="仿宋" w:cs="仿宋"/>
              <w:bCs/>
              <w:highlight w:val="none"/>
            </w:rPr>
            <w:t>附件九、企业声明函格式</w:t>
          </w:r>
          <w:r>
            <w:tab/>
          </w:r>
          <w:r>
            <w:fldChar w:fldCharType="begin"/>
          </w:r>
          <w:r>
            <w:instrText xml:space="preserve"> PAGEREF _Toc15579 \h </w:instrText>
          </w:r>
          <w:r>
            <w:fldChar w:fldCharType="separate"/>
          </w:r>
          <w:r>
            <w:t>47</w:t>
          </w:r>
          <w:r>
            <w:fldChar w:fldCharType="end"/>
          </w:r>
          <w:r>
            <w:rPr>
              <w:rFonts w:hint="eastAsia" w:ascii="仿宋" w:hAnsi="仿宋" w:eastAsia="仿宋" w:cs="仿宋"/>
              <w:color w:val="auto"/>
              <w:highlight w:val="none"/>
            </w:rPr>
            <w:fldChar w:fldCharType="end"/>
          </w:r>
        </w:p>
        <w:p w14:paraId="39CFE81F">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_Toc19498 </w:instrText>
          </w:r>
          <w:r>
            <w:rPr>
              <w:rFonts w:hint="eastAsia" w:ascii="仿宋" w:hAnsi="仿宋" w:eastAsia="仿宋" w:cs="仿宋"/>
              <w:highlight w:val="none"/>
            </w:rPr>
            <w:fldChar w:fldCharType="separate"/>
          </w:r>
          <w:r>
            <w:rPr>
              <w:rFonts w:hint="eastAsia" w:ascii="仿宋" w:hAnsi="仿宋" w:eastAsia="仿宋" w:cs="仿宋"/>
              <w:highlight w:val="none"/>
            </w:rPr>
            <w:t>附件十、无重大违法记录声明格式</w:t>
          </w:r>
          <w:r>
            <w:tab/>
          </w:r>
          <w:r>
            <w:fldChar w:fldCharType="begin"/>
          </w:r>
          <w:r>
            <w:instrText xml:space="preserve"> PAGEREF _Toc19498 \h </w:instrText>
          </w:r>
          <w:r>
            <w:fldChar w:fldCharType="separate"/>
          </w:r>
          <w:r>
            <w:t>50</w:t>
          </w:r>
          <w:r>
            <w:fldChar w:fldCharType="end"/>
          </w:r>
          <w:r>
            <w:rPr>
              <w:rFonts w:hint="eastAsia" w:ascii="仿宋" w:hAnsi="仿宋" w:eastAsia="仿宋" w:cs="仿宋"/>
              <w:color w:val="auto"/>
              <w:highlight w:val="none"/>
            </w:rPr>
            <w:fldChar w:fldCharType="end"/>
          </w:r>
        </w:p>
        <w:p w14:paraId="1A623BB0">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_Toc18724 </w:instrText>
          </w:r>
          <w:r>
            <w:rPr>
              <w:rFonts w:hint="eastAsia" w:ascii="仿宋" w:hAnsi="仿宋" w:eastAsia="仿宋" w:cs="仿宋"/>
              <w:highlight w:val="none"/>
            </w:rPr>
            <w:fldChar w:fldCharType="separate"/>
          </w:r>
          <w:r>
            <w:rPr>
              <w:rFonts w:hint="eastAsia" w:ascii="仿宋" w:hAnsi="仿宋" w:eastAsia="仿宋" w:cs="仿宋"/>
              <w:highlight w:val="none"/>
            </w:rPr>
            <w:t>附件十一、资格资信证明文件</w:t>
          </w:r>
          <w:r>
            <w:tab/>
          </w:r>
          <w:r>
            <w:fldChar w:fldCharType="begin"/>
          </w:r>
          <w:r>
            <w:instrText xml:space="preserve"> PAGEREF _Toc18724 \h </w:instrText>
          </w:r>
          <w:r>
            <w:fldChar w:fldCharType="separate"/>
          </w:r>
          <w:r>
            <w:t>51</w:t>
          </w:r>
          <w:r>
            <w:fldChar w:fldCharType="end"/>
          </w:r>
          <w:r>
            <w:rPr>
              <w:rFonts w:hint="eastAsia" w:ascii="仿宋" w:hAnsi="仿宋" w:eastAsia="仿宋" w:cs="仿宋"/>
              <w:color w:val="auto"/>
              <w:highlight w:val="none"/>
            </w:rPr>
            <w:fldChar w:fldCharType="end"/>
          </w:r>
        </w:p>
        <w:p w14:paraId="7D3F0E8D">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_Toc8307 </w:instrText>
          </w:r>
          <w:r>
            <w:rPr>
              <w:rFonts w:hint="eastAsia" w:ascii="仿宋" w:hAnsi="仿宋" w:eastAsia="仿宋" w:cs="仿宋"/>
              <w:highlight w:val="none"/>
            </w:rPr>
            <w:fldChar w:fldCharType="separate"/>
          </w:r>
          <w:r>
            <w:rPr>
              <w:rFonts w:hint="eastAsia" w:ascii="仿宋" w:hAnsi="仿宋" w:eastAsia="仿宋" w:cs="仿宋"/>
              <w:highlight w:val="none"/>
            </w:rPr>
            <w:t>附件十二、《南京市政府采购供应商信用记录表暨信用承诺书暨信用承诺书》（网站在线打印签字并盖章）</w:t>
          </w:r>
          <w:r>
            <w:tab/>
          </w:r>
          <w:r>
            <w:fldChar w:fldCharType="begin"/>
          </w:r>
          <w:r>
            <w:instrText xml:space="preserve"> PAGEREF _Toc8307 \h </w:instrText>
          </w:r>
          <w:r>
            <w:fldChar w:fldCharType="separate"/>
          </w:r>
          <w:r>
            <w:t>52</w:t>
          </w:r>
          <w:r>
            <w:fldChar w:fldCharType="end"/>
          </w:r>
          <w:r>
            <w:rPr>
              <w:rFonts w:hint="eastAsia" w:ascii="仿宋" w:hAnsi="仿宋" w:eastAsia="仿宋" w:cs="仿宋"/>
              <w:color w:val="auto"/>
              <w:highlight w:val="none"/>
            </w:rPr>
            <w:fldChar w:fldCharType="end"/>
          </w:r>
        </w:p>
        <w:p w14:paraId="49FAB1D4">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_Toc773 </w:instrText>
          </w:r>
          <w:r>
            <w:rPr>
              <w:rFonts w:hint="eastAsia" w:ascii="仿宋" w:hAnsi="仿宋" w:eastAsia="仿宋" w:cs="仿宋"/>
              <w:highlight w:val="none"/>
            </w:rPr>
            <w:fldChar w:fldCharType="separate"/>
          </w:r>
          <w:r>
            <w:rPr>
              <w:rFonts w:hint="eastAsia" w:ascii="仿宋" w:hAnsi="仿宋" w:eastAsia="仿宋" w:cs="仿宋"/>
              <w:highlight w:val="none"/>
            </w:rPr>
            <w:t>附件十三、实质性要求完全响应承诺书</w:t>
          </w:r>
          <w:r>
            <w:tab/>
          </w:r>
          <w:r>
            <w:fldChar w:fldCharType="begin"/>
          </w:r>
          <w:r>
            <w:instrText xml:space="preserve"> PAGEREF _Toc773 \h </w:instrText>
          </w:r>
          <w:r>
            <w:fldChar w:fldCharType="separate"/>
          </w:r>
          <w:r>
            <w:t>53</w:t>
          </w:r>
          <w:r>
            <w:fldChar w:fldCharType="end"/>
          </w:r>
          <w:r>
            <w:rPr>
              <w:rFonts w:hint="eastAsia" w:ascii="仿宋" w:hAnsi="仿宋" w:eastAsia="仿宋" w:cs="仿宋"/>
              <w:color w:val="auto"/>
              <w:highlight w:val="none"/>
            </w:rPr>
            <w:fldChar w:fldCharType="end"/>
          </w:r>
        </w:p>
        <w:p w14:paraId="7CDEECA7">
          <w:pPr>
            <w:pStyle w:val="14"/>
            <w:tabs>
              <w:tab w:val="right" w:leader="dot" w:pos="8306"/>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_Toc26690 </w:instrText>
          </w:r>
          <w:r>
            <w:rPr>
              <w:rFonts w:hint="eastAsia" w:ascii="仿宋" w:hAnsi="仿宋" w:eastAsia="仿宋" w:cs="仿宋"/>
              <w:highlight w:val="none"/>
            </w:rPr>
            <w:fldChar w:fldCharType="separate"/>
          </w:r>
          <w:r>
            <w:rPr>
              <w:rFonts w:hint="eastAsia" w:ascii="仿宋" w:hAnsi="仿宋" w:eastAsia="仿宋" w:cs="仿宋"/>
              <w:highlight w:val="none"/>
            </w:rPr>
            <w:t>附件十四、其他</w:t>
          </w:r>
          <w:r>
            <w:tab/>
          </w:r>
          <w:r>
            <w:fldChar w:fldCharType="begin"/>
          </w:r>
          <w:r>
            <w:instrText xml:space="preserve"> PAGEREF _Toc26690 \h </w:instrText>
          </w:r>
          <w:r>
            <w:fldChar w:fldCharType="separate"/>
          </w:r>
          <w:r>
            <w:t>54</w:t>
          </w:r>
          <w:r>
            <w:fldChar w:fldCharType="end"/>
          </w:r>
          <w:r>
            <w:rPr>
              <w:rFonts w:hint="eastAsia" w:ascii="仿宋" w:hAnsi="仿宋" w:eastAsia="仿宋" w:cs="仿宋"/>
              <w:color w:val="auto"/>
              <w:highlight w:val="none"/>
            </w:rPr>
            <w:fldChar w:fldCharType="end"/>
          </w:r>
        </w:p>
        <w:p w14:paraId="1928AE19">
          <w:pPr>
            <w:rPr>
              <w:rFonts w:hint="eastAsia" w:ascii="仿宋" w:hAnsi="仿宋" w:eastAsia="仿宋" w:cs="仿宋"/>
              <w:color w:val="auto"/>
              <w:sz w:val="21"/>
              <w:szCs w:val="24"/>
              <w:highlight w:val="none"/>
            </w:rPr>
          </w:pPr>
          <w:r>
            <w:rPr>
              <w:rFonts w:hint="eastAsia" w:ascii="仿宋" w:hAnsi="仿宋" w:eastAsia="仿宋" w:cs="仿宋"/>
              <w:color w:val="auto"/>
              <w:highlight w:val="none"/>
            </w:rPr>
            <w:fldChar w:fldCharType="end"/>
          </w:r>
        </w:p>
      </w:sdtContent>
    </w:sdt>
    <w:p w14:paraId="2F6975A8">
      <w:pPr>
        <w:pStyle w:val="2"/>
        <w:rPr>
          <w:rFonts w:hint="eastAsia" w:ascii="仿宋" w:hAnsi="仿宋" w:eastAsia="仿宋" w:cs="仿宋"/>
          <w:color w:val="auto"/>
          <w:highlight w:val="none"/>
        </w:rPr>
        <w:sectPr>
          <w:pgSz w:w="11906" w:h="16838"/>
          <w:pgMar w:top="1440" w:right="1800" w:bottom="1440" w:left="1800" w:header="850" w:footer="850" w:gutter="0"/>
          <w:paperSrc/>
          <w:cols w:space="0" w:num="1"/>
          <w:rtlGutter w:val="0"/>
          <w:docGrid w:type="lines" w:linePitch="317" w:charSpace="0"/>
        </w:sectPr>
      </w:pPr>
    </w:p>
    <w:p w14:paraId="57E8F8E5">
      <w:pPr>
        <w:pStyle w:val="6"/>
        <w:numPr>
          <w:ilvl w:val="0"/>
          <w:numId w:val="0"/>
        </w:numPr>
        <w:spacing w:line="360" w:lineRule="auto"/>
        <w:rPr>
          <w:rFonts w:hint="eastAsia" w:ascii="仿宋" w:hAnsi="仿宋" w:eastAsia="仿宋" w:cs="仿宋"/>
          <w:color w:val="auto"/>
          <w:szCs w:val="21"/>
          <w:highlight w:val="none"/>
        </w:rPr>
      </w:pPr>
      <w:bookmarkStart w:id="1" w:name="_Toc11367"/>
      <w:bookmarkStart w:id="2" w:name="_Hlk119590486"/>
      <w:bookmarkStart w:id="3" w:name="_Hlk94013219"/>
      <w:bookmarkStart w:id="4" w:name="_Toc481057143"/>
      <w:bookmarkStart w:id="5" w:name="_Toc219114371"/>
      <w:bookmarkStart w:id="6" w:name="_Hlk52290185"/>
      <w:bookmarkStart w:id="7" w:name="_Hlk54715254"/>
      <w:r>
        <w:rPr>
          <w:rFonts w:hint="eastAsia" w:ascii="仿宋" w:hAnsi="仿宋" w:eastAsia="仿宋" w:cs="仿宋"/>
          <w:color w:val="auto"/>
          <w:highlight w:val="none"/>
        </w:rPr>
        <w:t>第一章 征集公告</w:t>
      </w:r>
      <w:bookmarkEnd w:id="1"/>
      <w:bookmarkEnd w:id="2"/>
      <w:bookmarkEnd w:id="3"/>
      <w:bookmarkEnd w:id="4"/>
      <w:bookmarkEnd w:id="5"/>
      <w:bookmarkEnd w:id="6"/>
      <w:bookmarkEnd w:id="7"/>
    </w:p>
    <w:p w14:paraId="11B7F3E1">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仿宋" w:hAnsi="仿宋" w:eastAsia="仿宋" w:cs="仿宋"/>
          <w:b/>
          <w:bCs/>
          <w:color w:val="auto"/>
          <w:spacing w:val="8"/>
          <w:szCs w:val="21"/>
          <w:highlight w:val="none"/>
        </w:rPr>
      </w:pPr>
      <w:r>
        <w:rPr>
          <w:rFonts w:hint="eastAsia" w:ascii="仿宋" w:hAnsi="仿宋" w:eastAsia="仿宋" w:cs="仿宋"/>
          <w:b/>
          <w:bCs/>
          <w:color w:val="auto"/>
          <w:spacing w:val="8"/>
          <w:szCs w:val="21"/>
          <w:highlight w:val="none"/>
        </w:rPr>
        <w:t>项目概况</w:t>
      </w:r>
    </w:p>
    <w:p w14:paraId="2D75121C">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仿宋" w:hAnsi="仿宋" w:eastAsia="仿宋" w:cs="仿宋"/>
          <w:color w:val="auto"/>
          <w:szCs w:val="21"/>
          <w:highlight w:val="none"/>
        </w:rPr>
      </w:pPr>
      <w:r>
        <w:rPr>
          <w:rFonts w:hint="eastAsia" w:ascii="仿宋" w:hAnsi="仿宋" w:eastAsia="仿宋" w:cs="仿宋"/>
          <w:b/>
          <w:bCs/>
          <w:color w:val="auto"/>
          <w:szCs w:val="21"/>
          <w:highlight w:val="none"/>
          <w:u w:val="single"/>
          <w:lang w:eastAsia="zh-CN"/>
        </w:rPr>
        <w:t>南京市六合区殡仪馆购买遗体接运社会服务项目</w:t>
      </w:r>
      <w:r>
        <w:rPr>
          <w:rFonts w:hint="eastAsia" w:ascii="仿宋" w:hAnsi="仿宋" w:eastAsia="仿宋" w:cs="仿宋"/>
          <w:color w:val="auto"/>
          <w:spacing w:val="8"/>
          <w:szCs w:val="21"/>
          <w:highlight w:val="none"/>
        </w:rPr>
        <w:t>的潜在供应商应在</w:t>
      </w:r>
      <w:r>
        <w:rPr>
          <w:rFonts w:hint="eastAsia" w:ascii="仿宋" w:hAnsi="仿宋" w:eastAsia="仿宋" w:cs="仿宋"/>
          <w:b/>
          <w:bCs/>
          <w:color w:val="auto"/>
          <w:szCs w:val="21"/>
          <w:highlight w:val="none"/>
          <w:u w:val="single"/>
        </w:rPr>
        <w:t>江苏政府采购网</w:t>
      </w:r>
      <w:r>
        <w:rPr>
          <w:rFonts w:hint="eastAsia" w:ascii="仿宋" w:hAnsi="仿宋" w:eastAsia="仿宋" w:cs="仿宋"/>
          <w:color w:val="auto"/>
          <w:szCs w:val="21"/>
          <w:highlight w:val="none"/>
        </w:rPr>
        <w:t>获取征集文件，并于</w:t>
      </w:r>
      <w:r>
        <w:rPr>
          <w:rFonts w:hint="eastAsia" w:ascii="仿宋" w:hAnsi="仿宋" w:eastAsia="仿宋" w:cs="仿宋"/>
          <w:b/>
          <w:bCs/>
          <w:iCs/>
          <w:color w:val="auto"/>
          <w:spacing w:val="8"/>
          <w:szCs w:val="21"/>
          <w:highlight w:val="none"/>
          <w:u w:val="single"/>
        </w:rPr>
        <w:t>2026年6月</w:t>
      </w:r>
      <w:r>
        <w:rPr>
          <w:rFonts w:hint="eastAsia" w:ascii="仿宋" w:hAnsi="仿宋" w:eastAsia="仿宋" w:cs="仿宋"/>
          <w:b/>
          <w:bCs/>
          <w:iCs/>
          <w:color w:val="auto"/>
          <w:spacing w:val="8"/>
          <w:szCs w:val="21"/>
          <w:highlight w:val="none"/>
          <w:u w:val="single"/>
          <w:lang w:val="en-US" w:eastAsia="zh-CN"/>
        </w:rPr>
        <w:t>25</w:t>
      </w:r>
      <w:r>
        <w:rPr>
          <w:rFonts w:hint="eastAsia" w:ascii="仿宋" w:hAnsi="仿宋" w:eastAsia="仿宋" w:cs="仿宋"/>
          <w:b/>
          <w:bCs/>
          <w:iCs/>
          <w:color w:val="auto"/>
          <w:spacing w:val="8"/>
          <w:szCs w:val="21"/>
          <w:highlight w:val="none"/>
          <w:u w:val="single"/>
        </w:rPr>
        <w:t>日</w:t>
      </w:r>
      <w:r>
        <w:rPr>
          <w:rFonts w:hint="eastAsia" w:ascii="仿宋" w:hAnsi="仿宋" w:eastAsia="仿宋" w:cs="仿宋"/>
          <w:b/>
          <w:bCs/>
          <w:color w:val="auto"/>
          <w:szCs w:val="21"/>
          <w:highlight w:val="none"/>
          <w:u w:val="single"/>
          <w:lang w:val="en-US" w:eastAsia="zh-CN"/>
        </w:rPr>
        <w:t>9</w:t>
      </w:r>
      <w:r>
        <w:rPr>
          <w:rFonts w:hint="eastAsia" w:ascii="仿宋" w:hAnsi="仿宋" w:eastAsia="仿宋" w:cs="仿宋"/>
          <w:b/>
          <w:bCs/>
          <w:color w:val="auto"/>
          <w:szCs w:val="21"/>
          <w:highlight w:val="none"/>
          <w:u w:val="single"/>
        </w:rPr>
        <w:t>点30分（北京时间</w:t>
      </w:r>
      <w:r>
        <w:rPr>
          <w:rFonts w:hint="eastAsia" w:ascii="仿宋" w:hAnsi="仿宋" w:eastAsia="仿宋" w:cs="仿宋"/>
          <w:color w:val="auto"/>
          <w:szCs w:val="21"/>
          <w:highlight w:val="none"/>
          <w:u w:val="single"/>
        </w:rPr>
        <w:t>）</w:t>
      </w:r>
      <w:r>
        <w:rPr>
          <w:rFonts w:hint="eastAsia" w:ascii="仿宋" w:hAnsi="仿宋" w:eastAsia="仿宋" w:cs="仿宋"/>
          <w:color w:val="auto"/>
          <w:szCs w:val="21"/>
          <w:highlight w:val="none"/>
        </w:rPr>
        <w:t>前递交响应文件。</w:t>
      </w:r>
    </w:p>
    <w:p w14:paraId="37E877FB">
      <w:pPr>
        <w:spacing w:line="360" w:lineRule="auto"/>
        <w:ind w:firstLine="452"/>
        <w:jc w:val="left"/>
        <w:rPr>
          <w:rFonts w:hint="eastAsia" w:ascii="仿宋" w:hAnsi="仿宋" w:eastAsia="仿宋" w:cs="仿宋"/>
          <w:color w:val="auto"/>
          <w:spacing w:val="8"/>
          <w:szCs w:val="21"/>
          <w:highlight w:val="none"/>
        </w:rPr>
      </w:pPr>
    </w:p>
    <w:p w14:paraId="45224F0A">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一、项目基本情况</w:t>
      </w:r>
    </w:p>
    <w:p w14:paraId="1726622D">
      <w:pPr>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1.1项目编号：JSZC-320116-ZHZH-K2026-0011</w:t>
      </w:r>
    </w:p>
    <w:p w14:paraId="6276AD59">
      <w:pPr>
        <w:spacing w:line="360" w:lineRule="auto"/>
        <w:ind w:firstLine="42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1.2项目名称：</w:t>
      </w:r>
      <w:r>
        <w:rPr>
          <w:rFonts w:hint="eastAsia" w:ascii="仿宋" w:hAnsi="仿宋" w:eastAsia="仿宋" w:cs="仿宋"/>
          <w:bCs/>
          <w:color w:val="auto"/>
          <w:szCs w:val="21"/>
          <w:highlight w:val="none"/>
          <w:lang w:eastAsia="zh-CN"/>
        </w:rPr>
        <w:t>南京市六合区殡仪馆购买遗体接运社会服务项目</w:t>
      </w:r>
    </w:p>
    <w:p w14:paraId="2B544377">
      <w:pPr>
        <w:spacing w:line="360" w:lineRule="auto"/>
        <w:ind w:firstLine="420"/>
        <w:rPr>
          <w:rFonts w:hint="eastAsia" w:ascii="仿宋" w:hAnsi="仿宋" w:eastAsia="仿宋" w:cs="仿宋"/>
          <w:bCs/>
          <w:color w:val="auto"/>
          <w:szCs w:val="21"/>
          <w:highlight w:val="none"/>
          <w:lang w:val="en-US"/>
        </w:rPr>
      </w:pPr>
      <w:r>
        <w:rPr>
          <w:rFonts w:hint="eastAsia" w:ascii="仿宋" w:hAnsi="仿宋" w:eastAsia="仿宋" w:cs="仿宋"/>
          <w:bCs/>
          <w:color w:val="auto"/>
          <w:szCs w:val="21"/>
          <w:highlight w:val="none"/>
        </w:rPr>
        <w:t>1.3预算金额：</w:t>
      </w:r>
      <w:r>
        <w:rPr>
          <w:rFonts w:hint="eastAsia" w:ascii="仿宋" w:hAnsi="仿宋" w:eastAsia="仿宋" w:cs="仿宋"/>
          <w:bCs/>
          <w:color w:val="auto"/>
          <w:szCs w:val="21"/>
          <w:highlight w:val="none"/>
          <w:lang w:val="en-US" w:eastAsia="zh-CN"/>
        </w:rPr>
        <w:t>350</w:t>
      </w:r>
      <w:r>
        <w:rPr>
          <w:rFonts w:hint="eastAsia" w:ascii="仿宋" w:hAnsi="仿宋" w:eastAsia="仿宋" w:cs="仿宋"/>
          <w:bCs/>
          <w:color w:val="auto"/>
          <w:szCs w:val="21"/>
          <w:highlight w:val="none"/>
          <w:lang w:eastAsia="zh-CN"/>
        </w:rPr>
        <w:t>万元</w:t>
      </w:r>
    </w:p>
    <w:p w14:paraId="5C129CE1">
      <w:pPr>
        <w:spacing w:line="360" w:lineRule="auto"/>
        <w:ind w:firstLine="42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1.4最高限价：</w:t>
      </w:r>
    </w:p>
    <w:p w14:paraId="4A7BCEC0">
      <w:pPr>
        <w:spacing w:line="360" w:lineRule="auto"/>
        <w:ind w:firstLine="42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最高限价单价：500元/次（根据政府指导定价，不得上浮或下浮，否则作为无效报价）</w:t>
      </w:r>
    </w:p>
    <w:p w14:paraId="29B0A85D">
      <w:pPr>
        <w:pStyle w:val="2"/>
        <w:spacing w:line="360" w:lineRule="auto"/>
        <w:ind w:firstLine="420"/>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说明：投标报价为全费用包干单价，包含人工、车辆、燃油、维保、保险、消毒、防疫、税费、遗体包装袋</w:t>
      </w:r>
      <w:r>
        <w:rPr>
          <w:rFonts w:hint="eastAsia" w:ascii="仿宋" w:hAnsi="仿宋" w:eastAsia="仿宋" w:cs="仿宋"/>
          <w:b w:val="0"/>
          <w:color w:val="auto"/>
          <w:sz w:val="21"/>
          <w:szCs w:val="21"/>
          <w:highlight w:val="none"/>
          <w:lang w:eastAsia="zh-CN"/>
        </w:rPr>
        <w:t>（</w:t>
      </w:r>
      <w:r>
        <w:rPr>
          <w:rFonts w:hint="eastAsia" w:ascii="仿宋" w:hAnsi="仿宋" w:eastAsia="仿宋" w:cs="仿宋"/>
          <w:b w:val="0"/>
          <w:color w:val="auto"/>
          <w:sz w:val="21"/>
          <w:szCs w:val="21"/>
          <w:highlight w:val="none"/>
          <w:lang w:val="en-US" w:eastAsia="zh-CN"/>
        </w:rPr>
        <w:t>遗体袋</w:t>
      </w:r>
      <w:r>
        <w:rPr>
          <w:rFonts w:hint="eastAsia" w:ascii="仿宋" w:hAnsi="仿宋" w:eastAsia="仿宋" w:cs="仿宋"/>
          <w:b w:val="0"/>
          <w:color w:val="auto"/>
          <w:sz w:val="21"/>
          <w:szCs w:val="21"/>
          <w:highlight w:val="none"/>
          <w:lang w:eastAsia="zh-CN"/>
        </w:rPr>
        <w:t>）、</w:t>
      </w:r>
      <w:r>
        <w:rPr>
          <w:rFonts w:hint="eastAsia" w:ascii="仿宋" w:hAnsi="仿宋" w:eastAsia="仿宋" w:cs="仿宋"/>
          <w:b w:val="0"/>
          <w:color w:val="auto"/>
          <w:sz w:val="21"/>
          <w:szCs w:val="21"/>
          <w:highlight w:val="none"/>
          <w:lang w:val="en-US" w:eastAsia="zh-CN"/>
        </w:rPr>
        <w:t>搬运劳务、鉴别带</w:t>
      </w:r>
      <w:r>
        <w:rPr>
          <w:rFonts w:hint="eastAsia" w:ascii="仿宋" w:hAnsi="仿宋" w:eastAsia="仿宋" w:cs="仿宋"/>
          <w:b w:val="0"/>
          <w:color w:val="auto"/>
          <w:sz w:val="21"/>
          <w:szCs w:val="21"/>
          <w:highlight w:val="none"/>
        </w:rPr>
        <w:t>等全部费用</w:t>
      </w:r>
      <w:r>
        <w:rPr>
          <w:rFonts w:hint="eastAsia" w:ascii="仿宋" w:hAnsi="仿宋" w:eastAsia="仿宋" w:cs="仿宋"/>
          <w:b w:val="0"/>
          <w:color w:val="auto"/>
          <w:sz w:val="21"/>
          <w:szCs w:val="21"/>
          <w:highlight w:val="none"/>
          <w:lang w:val="en-US" w:eastAsia="zh-CN"/>
        </w:rPr>
        <w:t>等</w:t>
      </w:r>
      <w:r>
        <w:rPr>
          <w:rFonts w:hint="eastAsia" w:ascii="仿宋" w:hAnsi="仿宋" w:eastAsia="仿宋" w:cs="仿宋"/>
          <w:b w:val="0"/>
          <w:color w:val="auto"/>
          <w:sz w:val="21"/>
          <w:szCs w:val="21"/>
          <w:highlight w:val="none"/>
        </w:rPr>
        <w:t>，采购人不再支付任何其他费用。</w:t>
      </w:r>
    </w:p>
    <w:p w14:paraId="5AC44FA0">
      <w:pPr>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1.5采购需求：</w:t>
      </w:r>
      <w:r>
        <w:rPr>
          <w:rFonts w:hint="eastAsia" w:ascii="仿宋" w:hAnsi="仿宋" w:eastAsia="仿宋" w:cs="仿宋"/>
          <w:bCs/>
          <w:color w:val="auto"/>
          <w:szCs w:val="21"/>
          <w:highlight w:val="none"/>
          <w:lang w:val="en-US" w:eastAsia="zh-CN"/>
        </w:rPr>
        <w:t>南京市六合区殡仪馆购买遗体接运社会服务项目</w:t>
      </w:r>
      <w:r>
        <w:rPr>
          <w:rFonts w:hint="eastAsia" w:ascii="仿宋" w:hAnsi="仿宋" w:eastAsia="仿宋" w:cs="仿宋"/>
          <w:bCs/>
          <w:color w:val="auto"/>
          <w:szCs w:val="21"/>
          <w:highlight w:val="none"/>
        </w:rPr>
        <w:t>，详见本征集文件第四章。</w:t>
      </w:r>
    </w:p>
    <w:p w14:paraId="5309BA6B">
      <w:pPr>
        <w:widowControl/>
        <w:shd w:val="clear" w:color="auto" w:fill="FFFFFF"/>
        <w:spacing w:line="360" w:lineRule="auto"/>
        <w:ind w:firstLine="452"/>
        <w:jc w:val="left"/>
        <w:rPr>
          <w:rFonts w:hint="eastAsia" w:ascii="仿宋" w:hAnsi="仿宋" w:eastAsia="仿宋" w:cs="仿宋"/>
          <w:color w:val="auto"/>
          <w:spacing w:val="8"/>
          <w:szCs w:val="21"/>
          <w:highlight w:val="none"/>
          <w:lang w:eastAsia="zh-CN"/>
        </w:rPr>
      </w:pPr>
      <w:r>
        <w:rPr>
          <w:rFonts w:hint="eastAsia" w:ascii="仿宋" w:hAnsi="仿宋" w:eastAsia="仿宋" w:cs="仿宋"/>
          <w:color w:val="auto"/>
          <w:spacing w:val="8"/>
          <w:szCs w:val="21"/>
          <w:highlight w:val="none"/>
        </w:rPr>
        <w:t>1.</w:t>
      </w:r>
      <w:r>
        <w:rPr>
          <w:rFonts w:hint="eastAsia" w:ascii="仿宋" w:hAnsi="仿宋" w:eastAsia="仿宋" w:cs="仿宋"/>
          <w:color w:val="auto"/>
          <w:spacing w:val="8"/>
          <w:szCs w:val="21"/>
          <w:highlight w:val="none"/>
          <w:lang w:val="en-US" w:eastAsia="zh-CN"/>
        </w:rPr>
        <w:t>6</w:t>
      </w:r>
      <w:r>
        <w:rPr>
          <w:rFonts w:hint="eastAsia" w:ascii="仿宋" w:hAnsi="仿宋" w:eastAsia="仿宋" w:cs="仿宋"/>
          <w:color w:val="auto"/>
          <w:spacing w:val="8"/>
          <w:szCs w:val="21"/>
          <w:highlight w:val="none"/>
        </w:rPr>
        <w:t>框架协议的期限：</w:t>
      </w:r>
      <w:r>
        <w:rPr>
          <w:rFonts w:hint="eastAsia" w:ascii="仿宋" w:hAnsi="仿宋" w:eastAsia="仿宋" w:cs="仿宋"/>
          <w:color w:val="auto"/>
          <w:spacing w:val="8"/>
          <w:szCs w:val="21"/>
          <w:highlight w:val="none"/>
          <w:lang w:val="en-US" w:eastAsia="zh-CN"/>
        </w:rPr>
        <w:t>1年。</w:t>
      </w:r>
      <w:r>
        <w:rPr>
          <w:rFonts w:hint="eastAsia" w:ascii="仿宋" w:hAnsi="仿宋" w:eastAsia="仿宋" w:cs="仿宋"/>
          <w:color w:val="auto"/>
          <w:spacing w:val="8"/>
          <w:szCs w:val="21"/>
          <w:highlight w:val="none"/>
          <w:lang w:eastAsia="zh-CN"/>
        </w:rPr>
        <w:t>（如国家、省法律法规调整，采购人不承担违约责任）</w:t>
      </w:r>
    </w:p>
    <w:p w14:paraId="71F1362B">
      <w:pPr>
        <w:widowControl/>
        <w:shd w:val="clear" w:color="auto" w:fill="FFFFFF"/>
        <w:spacing w:line="360" w:lineRule="auto"/>
        <w:ind w:firstLine="452"/>
        <w:jc w:val="left"/>
        <w:rPr>
          <w:rFonts w:hint="eastAsia" w:ascii="仿宋" w:hAnsi="仿宋" w:eastAsia="仿宋" w:cs="仿宋"/>
          <w:color w:val="auto"/>
          <w:spacing w:val="8"/>
          <w:szCs w:val="21"/>
          <w:highlight w:val="none"/>
          <w:lang w:val="en-US" w:eastAsia="zh-CN"/>
        </w:rPr>
      </w:pPr>
      <w:r>
        <w:rPr>
          <w:rFonts w:hint="eastAsia" w:ascii="仿宋" w:hAnsi="仿宋" w:eastAsia="仿宋" w:cs="仿宋"/>
          <w:color w:val="auto"/>
          <w:spacing w:val="8"/>
          <w:szCs w:val="21"/>
          <w:highlight w:val="none"/>
          <w:lang w:val="en-US" w:eastAsia="zh-CN"/>
        </w:rPr>
        <w:t>1.7本项目不接收联合体投标。</w:t>
      </w:r>
    </w:p>
    <w:p w14:paraId="769039FF">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二、申请人的资格要求：</w:t>
      </w:r>
    </w:p>
    <w:p w14:paraId="2B49B250">
      <w:pPr>
        <w:spacing w:line="360" w:lineRule="auto"/>
        <w:ind w:firstLine="454"/>
        <w:jc w:val="left"/>
        <w:rPr>
          <w:rFonts w:hint="eastAsia" w:ascii="仿宋" w:hAnsi="仿宋" w:eastAsia="仿宋" w:cs="仿宋"/>
          <w:b/>
          <w:color w:val="auto"/>
          <w:spacing w:val="8"/>
          <w:szCs w:val="21"/>
          <w:highlight w:val="none"/>
        </w:rPr>
      </w:pPr>
      <w:bookmarkStart w:id="8" w:name="OLE_LINK2"/>
      <w:r>
        <w:rPr>
          <w:rFonts w:hint="eastAsia" w:ascii="仿宋" w:hAnsi="仿宋" w:eastAsia="仿宋" w:cs="仿宋"/>
          <w:b/>
          <w:color w:val="auto"/>
          <w:spacing w:val="8"/>
          <w:szCs w:val="21"/>
          <w:highlight w:val="none"/>
        </w:rPr>
        <w:t>2.1满足《中华人民共和国政府采购法》第二十二条规定：</w:t>
      </w:r>
    </w:p>
    <w:p w14:paraId="32549981">
      <w:pPr>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（1）具有独立承担民事责任的能力（提供法人或者其他组织的营业执照）；</w:t>
      </w:r>
    </w:p>
    <w:p w14:paraId="0F218DB0">
      <w:pPr>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（2）具有良好的商业信誉和健全的财务会计制度（提供2024年度或2025年度的财务报表，或投标截止时间前六个月内银行出具的资信证明</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若供应商成立时间不足一年，则无需提供相关证明材料。</w:t>
      </w:r>
      <w:r>
        <w:rPr>
          <w:rFonts w:hint="eastAsia" w:ascii="仿宋" w:hAnsi="仿宋" w:eastAsia="仿宋" w:cs="仿宋"/>
          <w:bCs/>
          <w:color w:val="auto"/>
          <w:szCs w:val="21"/>
          <w:highlight w:val="none"/>
        </w:rPr>
        <w:t>）；</w:t>
      </w:r>
    </w:p>
    <w:p w14:paraId="5CEE504C">
      <w:pPr>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（3）具有履行合同所必需的设备和专业技术能力（供应商根据履行采购项目合同需要，提供履行合同所必需的设备和专业技术能力的证明材料）；</w:t>
      </w:r>
    </w:p>
    <w:p w14:paraId="0E203356">
      <w:pPr>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（4）有依法缴纳税收和社会保障资金的良好记录（提供参加本次政府采购活动前半年内至少一个月：</w:t>
      </w:r>
      <w:r>
        <w:rPr>
          <w:rFonts w:hint="eastAsia" w:ascii="仿宋" w:hAnsi="仿宋" w:eastAsia="仿宋" w:cs="仿宋"/>
          <w:bCs/>
          <w:color w:val="auto"/>
          <w:sz w:val="18"/>
          <w:szCs w:val="18"/>
          <w:highlight w:val="none"/>
        </w:rPr>
        <w:fldChar w:fldCharType="begin"/>
      </w:r>
      <w:r>
        <w:rPr>
          <w:rFonts w:hint="eastAsia" w:ascii="仿宋" w:hAnsi="仿宋" w:eastAsia="仿宋" w:cs="仿宋"/>
          <w:bCs/>
          <w:color w:val="auto"/>
          <w:sz w:val="18"/>
          <w:szCs w:val="18"/>
          <w:highlight w:val="none"/>
        </w:rPr>
        <w:instrText xml:space="preserve"> EQ \o\ac(</w:instrText>
      </w:r>
      <w:r>
        <w:rPr>
          <w:rFonts w:hint="eastAsia" w:ascii="仿宋" w:hAnsi="仿宋" w:eastAsia="仿宋" w:cs="仿宋"/>
          <w:bCs/>
          <w:color w:val="auto"/>
          <w:position w:val="-3"/>
          <w:sz w:val="27"/>
          <w:szCs w:val="18"/>
          <w:highlight w:val="none"/>
        </w:rPr>
        <w:instrText xml:space="preserve">○</w:instrText>
      </w:r>
      <w:r>
        <w:rPr>
          <w:rFonts w:hint="eastAsia" w:ascii="仿宋" w:hAnsi="仿宋" w:eastAsia="仿宋" w:cs="仿宋"/>
          <w:bCs/>
          <w:color w:val="auto"/>
          <w:sz w:val="18"/>
          <w:szCs w:val="18"/>
          <w:highlight w:val="none"/>
        </w:rPr>
        <w:instrText xml:space="preserve">,1)</w:instrText>
      </w:r>
      <w:r>
        <w:rPr>
          <w:rFonts w:hint="eastAsia" w:ascii="仿宋" w:hAnsi="仿宋" w:eastAsia="仿宋" w:cs="仿宋"/>
          <w:bCs/>
          <w:color w:val="auto"/>
          <w:sz w:val="18"/>
          <w:szCs w:val="18"/>
          <w:highlight w:val="none"/>
        </w:rPr>
        <w:fldChar w:fldCharType="end"/>
      </w:r>
      <w:r>
        <w:rPr>
          <w:rFonts w:hint="eastAsia" w:ascii="仿宋" w:hAnsi="仿宋" w:eastAsia="仿宋" w:cs="仿宋"/>
          <w:bCs/>
          <w:color w:val="auto"/>
          <w:szCs w:val="21"/>
          <w:highlight w:val="none"/>
        </w:rPr>
        <w:t>缴纳税收的凭证；</w:t>
      </w:r>
      <w:r>
        <w:rPr>
          <w:rFonts w:hint="eastAsia" w:ascii="仿宋" w:hAnsi="仿宋" w:eastAsia="仿宋" w:cs="仿宋"/>
          <w:bCs/>
          <w:color w:val="auto"/>
          <w:sz w:val="18"/>
          <w:szCs w:val="18"/>
          <w:highlight w:val="none"/>
        </w:rPr>
        <w:fldChar w:fldCharType="begin"/>
      </w:r>
      <w:r>
        <w:rPr>
          <w:rFonts w:hint="eastAsia" w:ascii="仿宋" w:hAnsi="仿宋" w:eastAsia="仿宋" w:cs="仿宋"/>
          <w:bCs/>
          <w:color w:val="auto"/>
          <w:sz w:val="18"/>
          <w:szCs w:val="18"/>
          <w:highlight w:val="none"/>
        </w:rPr>
        <w:instrText xml:space="preserve"> EQ \o\ac(</w:instrText>
      </w:r>
      <w:r>
        <w:rPr>
          <w:rFonts w:hint="eastAsia" w:ascii="仿宋" w:hAnsi="仿宋" w:eastAsia="仿宋" w:cs="仿宋"/>
          <w:bCs/>
          <w:color w:val="auto"/>
          <w:position w:val="-3"/>
          <w:sz w:val="27"/>
          <w:szCs w:val="18"/>
          <w:highlight w:val="none"/>
        </w:rPr>
        <w:instrText xml:space="preserve">○</w:instrText>
      </w:r>
      <w:r>
        <w:rPr>
          <w:rFonts w:hint="eastAsia" w:ascii="仿宋" w:hAnsi="仿宋" w:eastAsia="仿宋" w:cs="仿宋"/>
          <w:bCs/>
          <w:color w:val="auto"/>
          <w:sz w:val="18"/>
          <w:szCs w:val="18"/>
          <w:highlight w:val="none"/>
        </w:rPr>
        <w:instrText xml:space="preserve">,2)</w:instrText>
      </w:r>
      <w:r>
        <w:rPr>
          <w:rFonts w:hint="eastAsia" w:ascii="仿宋" w:hAnsi="仿宋" w:eastAsia="仿宋" w:cs="仿宋"/>
          <w:bCs/>
          <w:color w:val="auto"/>
          <w:sz w:val="18"/>
          <w:szCs w:val="18"/>
          <w:highlight w:val="none"/>
        </w:rPr>
        <w:fldChar w:fldCharType="end"/>
      </w:r>
      <w:r>
        <w:rPr>
          <w:rFonts w:hint="eastAsia" w:ascii="仿宋" w:hAnsi="仿宋" w:eastAsia="仿宋" w:cs="仿宋"/>
          <w:bCs/>
          <w:color w:val="auto"/>
          <w:szCs w:val="21"/>
          <w:highlight w:val="none"/>
        </w:rPr>
        <w:t>缴纳社会保险的凭据），依法享受免缴、缓缴的，提供证明材料</w:t>
      </w:r>
      <w:r>
        <w:rPr>
          <w:rFonts w:hint="eastAsia" w:ascii="仿宋" w:hAnsi="仿宋" w:eastAsia="仿宋" w:cs="仿宋"/>
          <w:bCs/>
          <w:color w:val="auto"/>
          <w:szCs w:val="21"/>
          <w:highlight w:val="none"/>
          <w:lang w:val="en-US" w:eastAsia="zh-CN"/>
        </w:rPr>
        <w:t>或提供承诺书</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w:t>
      </w:r>
    </w:p>
    <w:p w14:paraId="32E0DA6D">
      <w:pPr>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（5）参加政府采购活动前三年内，在经营活动中没有重大违法记录（提供承诺书）；</w:t>
      </w:r>
    </w:p>
    <w:p w14:paraId="2D07B3BC">
      <w:pPr>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（6）法律、行政法规规定的其他条件：无。</w:t>
      </w:r>
    </w:p>
    <w:p w14:paraId="3A81BD02">
      <w:pPr>
        <w:spacing w:line="360" w:lineRule="auto"/>
        <w:ind w:firstLine="454"/>
        <w:jc w:val="left"/>
        <w:rPr>
          <w:rFonts w:hint="eastAsia" w:ascii="仿宋" w:hAnsi="仿宋" w:eastAsia="仿宋" w:cs="仿宋"/>
          <w:b/>
          <w:color w:val="auto"/>
          <w:spacing w:val="8"/>
          <w:szCs w:val="21"/>
          <w:highlight w:val="none"/>
        </w:rPr>
      </w:pPr>
      <w:r>
        <w:rPr>
          <w:rFonts w:hint="eastAsia" w:ascii="仿宋" w:hAnsi="仿宋" w:eastAsia="仿宋" w:cs="仿宋"/>
          <w:b/>
          <w:color w:val="auto"/>
          <w:spacing w:val="8"/>
          <w:szCs w:val="21"/>
          <w:highlight w:val="none"/>
        </w:rPr>
        <w:t>2.2落实政府采购政策需满足的资格要求：无。</w:t>
      </w:r>
    </w:p>
    <w:p w14:paraId="084A500A">
      <w:pPr>
        <w:spacing w:line="360" w:lineRule="auto"/>
        <w:ind w:firstLine="454"/>
        <w:rPr>
          <w:rFonts w:hint="eastAsia" w:ascii="仿宋" w:hAnsi="仿宋" w:eastAsia="仿宋" w:cs="仿宋"/>
          <w:b/>
          <w:color w:val="auto"/>
          <w:spacing w:val="8"/>
          <w:szCs w:val="21"/>
          <w:highlight w:val="none"/>
        </w:rPr>
      </w:pPr>
      <w:r>
        <w:rPr>
          <w:rFonts w:hint="eastAsia" w:ascii="仿宋" w:hAnsi="仿宋" w:eastAsia="仿宋" w:cs="仿宋"/>
          <w:b/>
          <w:color w:val="auto"/>
          <w:spacing w:val="8"/>
          <w:szCs w:val="21"/>
          <w:highlight w:val="none"/>
        </w:rPr>
        <w:t>2.3征集人根据采购项目的特殊要求规定的特定条件，并提供符合特殊要求的证明</w:t>
      </w:r>
      <w:r>
        <w:rPr>
          <w:rFonts w:hint="eastAsia" w:ascii="仿宋" w:hAnsi="仿宋" w:eastAsia="仿宋" w:cs="仿宋"/>
          <w:b/>
          <w:color w:val="auto"/>
          <w:szCs w:val="21"/>
          <w:highlight w:val="none"/>
        </w:rPr>
        <w:t>材料或者情况</w:t>
      </w:r>
      <w:r>
        <w:rPr>
          <w:rFonts w:hint="eastAsia" w:ascii="仿宋" w:hAnsi="仿宋" w:eastAsia="仿宋" w:cs="仿宋"/>
          <w:b/>
          <w:color w:val="auto"/>
          <w:spacing w:val="8"/>
          <w:szCs w:val="21"/>
          <w:highlight w:val="none"/>
        </w:rPr>
        <w:t>说明：</w:t>
      </w:r>
    </w:p>
    <w:bookmarkEnd w:id="8"/>
    <w:p w14:paraId="66E2AB70">
      <w:pPr>
        <w:spacing w:line="360" w:lineRule="auto"/>
        <w:ind w:firstLine="454" w:firstLineChars="200"/>
        <w:rPr>
          <w:rFonts w:hint="eastAsia" w:ascii="仿宋" w:hAnsi="仿宋" w:eastAsia="仿宋" w:cs="仿宋"/>
          <w:bCs/>
          <w:color w:val="auto"/>
          <w:szCs w:val="21"/>
          <w:highlight w:val="none"/>
        </w:rPr>
      </w:pPr>
      <w:r>
        <w:rPr>
          <w:rFonts w:hint="eastAsia" w:ascii="仿宋" w:hAnsi="仿宋" w:eastAsia="仿宋" w:cs="仿宋"/>
          <w:b/>
          <w:color w:val="auto"/>
          <w:spacing w:val="8"/>
          <w:szCs w:val="21"/>
          <w:highlight w:val="none"/>
        </w:rPr>
        <w:t>（1）</w:t>
      </w:r>
      <w:r>
        <w:rPr>
          <w:rFonts w:hint="eastAsia" w:ascii="仿宋" w:hAnsi="仿宋" w:eastAsia="仿宋" w:cs="仿宋"/>
          <w:bCs/>
          <w:color w:val="auto"/>
          <w:spacing w:val="8"/>
          <w:szCs w:val="21"/>
          <w:highlight w:val="none"/>
        </w:rPr>
        <w:t>分所或分公司应在总所、总公司的唯一授权下，</w:t>
      </w:r>
      <w:r>
        <w:rPr>
          <w:rFonts w:hint="eastAsia" w:ascii="仿宋" w:hAnsi="仿宋" w:eastAsia="仿宋" w:cs="仿宋"/>
          <w:b/>
          <w:color w:val="auto"/>
          <w:spacing w:val="8"/>
          <w:szCs w:val="21"/>
          <w:highlight w:val="none"/>
        </w:rPr>
        <w:t>必须以总所或总公司名义参加征集活动、递交响应文件、合同谈判、签订及处理与之有关的一切事务</w:t>
      </w:r>
      <w:r>
        <w:rPr>
          <w:rFonts w:hint="eastAsia" w:ascii="仿宋" w:hAnsi="仿宋" w:eastAsia="仿宋" w:cs="仿宋"/>
          <w:bCs/>
          <w:color w:val="auto"/>
          <w:spacing w:val="8"/>
          <w:szCs w:val="21"/>
          <w:highlight w:val="none"/>
        </w:rPr>
        <w:t>(需同时提供唯一授权证明材料、总所或总公司的营业执照、分所或分公司的营业执照)。不属于分支机构的无需上传以上证明材料。</w:t>
      </w:r>
    </w:p>
    <w:p w14:paraId="6597D7CD">
      <w:pPr>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eastAsia="zh-CN"/>
        </w:rPr>
        <w:t>（</w:t>
      </w:r>
      <w:r>
        <w:rPr>
          <w:rFonts w:hint="eastAsia" w:ascii="仿宋" w:hAnsi="仿宋" w:eastAsia="仿宋" w:cs="仿宋"/>
          <w:b/>
          <w:color w:val="auto"/>
          <w:szCs w:val="21"/>
          <w:highlight w:val="none"/>
          <w:lang w:val="en-US" w:eastAsia="zh-CN"/>
        </w:rPr>
        <w:t>2）</w:t>
      </w:r>
      <w:r>
        <w:rPr>
          <w:rFonts w:hint="eastAsia" w:ascii="仿宋" w:hAnsi="仿宋" w:eastAsia="仿宋" w:cs="仿宋"/>
          <w:b/>
          <w:color w:val="auto"/>
          <w:szCs w:val="21"/>
          <w:highlight w:val="none"/>
        </w:rPr>
        <w:t>提供《南京市政府采购供应商信用记录表暨信用承诺书》网站在线打印，法定代表人签字并盖单位公章。</w:t>
      </w:r>
    </w:p>
    <w:p w14:paraId="1E28D84E">
      <w:pPr>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eastAsia="zh-CN"/>
        </w:rPr>
        <w:t>（</w:t>
      </w:r>
      <w:r>
        <w:rPr>
          <w:rFonts w:hint="eastAsia" w:ascii="仿宋" w:hAnsi="仿宋" w:eastAsia="仿宋" w:cs="仿宋"/>
          <w:b/>
          <w:color w:val="auto"/>
          <w:szCs w:val="21"/>
          <w:highlight w:val="none"/>
          <w:lang w:val="en-US" w:eastAsia="zh-CN"/>
        </w:rPr>
        <w:t>3）</w:t>
      </w:r>
      <w:r>
        <w:rPr>
          <w:rFonts w:hint="eastAsia" w:ascii="仿宋" w:hAnsi="仿宋" w:eastAsia="仿宋" w:cs="仿宋"/>
          <w:b/>
          <w:color w:val="auto"/>
          <w:szCs w:val="21"/>
          <w:highlight w:val="none"/>
        </w:rPr>
        <w:t>拒绝下述供应商参加本次征集活动：</w:t>
      </w:r>
    </w:p>
    <w:p w14:paraId="65BB303F">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bCs/>
          <w:color w:val="auto"/>
          <w:szCs w:val="21"/>
          <w:highlight w:val="none"/>
          <w:lang w:val="en-US" w:eastAsia="zh-CN"/>
        </w:rPr>
        <w:t>A.</w:t>
      </w:r>
      <w:r>
        <w:rPr>
          <w:rFonts w:hint="eastAsia" w:ascii="仿宋" w:hAnsi="仿宋" w:eastAsia="仿宋" w:cs="仿宋"/>
          <w:bCs/>
          <w:color w:val="auto"/>
          <w:szCs w:val="21"/>
          <w:highlight w:val="none"/>
        </w:rPr>
        <w:t>单位负责人为同一人或者存在直接控股、管理关系的不同供应商，不得参加同一合同项下的政府采购活动。</w:t>
      </w:r>
    </w:p>
    <w:p w14:paraId="5D4C4990">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bCs/>
          <w:color w:val="auto"/>
          <w:szCs w:val="21"/>
          <w:highlight w:val="none"/>
          <w:lang w:val="en-US" w:eastAsia="zh-CN"/>
        </w:rPr>
        <w:t>B.</w:t>
      </w:r>
      <w:r>
        <w:rPr>
          <w:rFonts w:hint="eastAsia" w:ascii="仿宋" w:hAnsi="仿宋" w:eastAsia="仿宋" w:cs="仿宋"/>
          <w:bCs/>
          <w:color w:val="auto"/>
          <w:szCs w:val="21"/>
          <w:highlight w:val="none"/>
        </w:rPr>
        <w:t>为采购项目提供整体设计、规范编制或者项目管理、监理、检测等服务的供应商，不得参加本项目的采购活动。</w:t>
      </w:r>
    </w:p>
    <w:p w14:paraId="4317B3DB">
      <w:pPr>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C.</w:t>
      </w:r>
      <w:r>
        <w:rPr>
          <w:rFonts w:hint="eastAsia" w:ascii="仿宋" w:hAnsi="仿宋" w:eastAsia="仿宋" w:cs="仿宋"/>
          <w:bCs/>
          <w:color w:val="auto"/>
          <w:szCs w:val="21"/>
          <w:highlight w:val="none"/>
        </w:rPr>
        <w:t>供应商被“信用中国”网站（www.creditchina.gov.cn）、“中国政府采购网”(www.ccgp.gov.cn)列入失信被执行人、重大税收违法失信主体名单、政府采购严重违法失信行为记录名单。</w:t>
      </w:r>
    </w:p>
    <w:p w14:paraId="6EC18817">
      <w:pPr>
        <w:spacing w:line="360" w:lineRule="auto"/>
        <w:ind w:firstLine="422" w:firstLineChars="200"/>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（4）本项目不允许转包，分包。</w:t>
      </w:r>
    </w:p>
    <w:p w14:paraId="0860A9C0">
      <w:pPr>
        <w:widowControl/>
        <w:spacing w:line="360" w:lineRule="auto"/>
        <w:rPr>
          <w:rFonts w:hint="eastAsia" w:ascii="仿宋" w:hAnsi="仿宋" w:eastAsia="仿宋" w:cs="仿宋"/>
          <w:b/>
          <w:color w:val="auto"/>
          <w:spacing w:val="8"/>
          <w:sz w:val="24"/>
          <w:highlight w:val="none"/>
        </w:rPr>
      </w:pPr>
    </w:p>
    <w:p w14:paraId="3380C3FA">
      <w:pPr>
        <w:widowControl/>
        <w:spacing w:line="360" w:lineRule="auto"/>
        <w:rPr>
          <w:rFonts w:hint="eastAsia" w:ascii="仿宋" w:hAnsi="仿宋" w:eastAsia="仿宋" w:cs="仿宋"/>
          <w:b/>
          <w:color w:val="auto"/>
          <w:spacing w:val="8"/>
          <w:sz w:val="24"/>
          <w:highlight w:val="none"/>
        </w:rPr>
      </w:pPr>
      <w:r>
        <w:rPr>
          <w:rFonts w:hint="eastAsia" w:ascii="仿宋" w:hAnsi="仿宋" w:eastAsia="仿宋" w:cs="仿宋"/>
          <w:b/>
          <w:color w:val="auto"/>
          <w:spacing w:val="8"/>
          <w:sz w:val="24"/>
          <w:highlight w:val="none"/>
        </w:rPr>
        <w:t>三、获取征集文件</w:t>
      </w:r>
    </w:p>
    <w:p w14:paraId="0658279E">
      <w:pPr>
        <w:widowControl/>
        <w:shd w:val="clear" w:color="auto" w:fill="FFFFFF"/>
        <w:spacing w:line="360" w:lineRule="auto"/>
        <w:ind w:firstLine="452"/>
        <w:jc w:val="left"/>
        <w:rPr>
          <w:rFonts w:hint="eastAsia" w:ascii="仿宋" w:hAnsi="仿宋" w:eastAsia="仿宋" w:cs="仿宋"/>
          <w:b/>
          <w:bCs/>
          <w:color w:val="auto"/>
          <w:spacing w:val="8"/>
          <w:szCs w:val="21"/>
          <w:highlight w:val="none"/>
        </w:rPr>
      </w:pPr>
      <w:r>
        <w:rPr>
          <w:rFonts w:hint="eastAsia" w:ascii="仿宋" w:hAnsi="仿宋" w:eastAsia="仿宋" w:cs="仿宋"/>
          <w:color w:val="auto"/>
          <w:spacing w:val="8"/>
          <w:szCs w:val="21"/>
          <w:highlight w:val="none"/>
        </w:rPr>
        <w:t>3.1时间：自征集公告发布之日</w:t>
      </w:r>
      <w:r>
        <w:rPr>
          <w:rFonts w:hint="eastAsia" w:ascii="仿宋" w:hAnsi="仿宋" w:eastAsia="仿宋" w:cs="仿宋"/>
          <w:bCs/>
          <w:color w:val="auto"/>
          <w:szCs w:val="21"/>
          <w:highlight w:val="none"/>
        </w:rPr>
        <w:t>起5个工作日。</w:t>
      </w:r>
    </w:p>
    <w:p w14:paraId="440E534D">
      <w:pPr>
        <w:widowControl/>
        <w:shd w:val="clear" w:color="auto" w:fill="FFFFFF"/>
        <w:spacing w:line="360" w:lineRule="auto"/>
        <w:ind w:firstLine="452"/>
        <w:jc w:val="left"/>
        <w:rPr>
          <w:rFonts w:hint="eastAsia" w:ascii="仿宋" w:hAnsi="仿宋" w:eastAsia="仿宋" w:cs="仿宋"/>
          <w:color w:val="auto"/>
          <w:spacing w:val="8"/>
          <w:szCs w:val="21"/>
          <w:highlight w:val="none"/>
        </w:rPr>
      </w:pPr>
      <w:r>
        <w:rPr>
          <w:rFonts w:hint="eastAsia" w:ascii="仿宋" w:hAnsi="仿宋" w:eastAsia="仿宋" w:cs="仿宋"/>
          <w:color w:val="auto"/>
          <w:spacing w:val="8"/>
          <w:szCs w:val="21"/>
          <w:highlight w:val="none"/>
        </w:rPr>
        <w:t>3.2地点：江苏政府采购网。</w:t>
      </w:r>
    </w:p>
    <w:p w14:paraId="5B3B788D">
      <w:pPr>
        <w:widowControl/>
        <w:shd w:val="clear" w:color="auto" w:fill="FFFFFF"/>
        <w:spacing w:line="360" w:lineRule="auto"/>
        <w:ind w:firstLine="452"/>
        <w:jc w:val="left"/>
        <w:rPr>
          <w:rFonts w:hint="eastAsia" w:ascii="仿宋" w:hAnsi="仿宋" w:eastAsia="仿宋" w:cs="仿宋"/>
          <w:color w:val="auto"/>
          <w:spacing w:val="8"/>
          <w:szCs w:val="21"/>
          <w:highlight w:val="none"/>
        </w:rPr>
      </w:pPr>
      <w:r>
        <w:rPr>
          <w:rFonts w:hint="eastAsia" w:ascii="仿宋" w:hAnsi="仿宋" w:eastAsia="仿宋" w:cs="仿宋"/>
          <w:color w:val="auto"/>
          <w:spacing w:val="8"/>
          <w:szCs w:val="21"/>
          <w:highlight w:val="none"/>
        </w:rPr>
        <w:t>3.3方式：网上下载</w:t>
      </w:r>
    </w:p>
    <w:p w14:paraId="230171D2">
      <w:pPr>
        <w:widowControl/>
        <w:shd w:val="clear" w:color="auto" w:fill="FFFFFF"/>
        <w:spacing w:line="360" w:lineRule="auto"/>
        <w:ind w:firstLine="452"/>
        <w:jc w:val="left"/>
        <w:rPr>
          <w:rFonts w:hint="eastAsia" w:ascii="仿宋" w:hAnsi="仿宋" w:eastAsia="仿宋" w:cs="仿宋"/>
          <w:color w:val="auto"/>
          <w:spacing w:val="8"/>
          <w:szCs w:val="21"/>
          <w:highlight w:val="none"/>
        </w:rPr>
      </w:pPr>
      <w:r>
        <w:rPr>
          <w:rFonts w:hint="eastAsia" w:ascii="仿宋" w:hAnsi="仿宋" w:eastAsia="仿宋" w:cs="仿宋"/>
          <w:color w:val="auto"/>
          <w:spacing w:val="8"/>
          <w:szCs w:val="21"/>
          <w:highlight w:val="none"/>
        </w:rPr>
        <w:t>3.4售价:0.00元。</w:t>
      </w:r>
    </w:p>
    <w:p w14:paraId="67E3C6AD">
      <w:pPr>
        <w:widowControl/>
        <w:spacing w:line="360" w:lineRule="auto"/>
        <w:ind w:firstLine="360"/>
        <w:rPr>
          <w:rFonts w:hint="eastAsia" w:ascii="仿宋" w:hAnsi="仿宋" w:eastAsia="仿宋" w:cs="仿宋"/>
          <w:color w:val="auto"/>
          <w:szCs w:val="21"/>
          <w:highlight w:val="none"/>
        </w:rPr>
      </w:pPr>
    </w:p>
    <w:p w14:paraId="785D33EC">
      <w:pPr>
        <w:widowControl/>
        <w:spacing w:line="360" w:lineRule="auto"/>
        <w:rPr>
          <w:rFonts w:hint="eastAsia" w:ascii="仿宋" w:hAnsi="仿宋" w:eastAsia="仿宋" w:cs="仿宋"/>
          <w:b/>
          <w:color w:val="auto"/>
          <w:spacing w:val="8"/>
          <w:sz w:val="24"/>
          <w:highlight w:val="none"/>
        </w:rPr>
      </w:pPr>
      <w:r>
        <w:rPr>
          <w:rFonts w:hint="eastAsia" w:ascii="仿宋" w:hAnsi="仿宋" w:eastAsia="仿宋" w:cs="仿宋"/>
          <w:b/>
          <w:color w:val="auto"/>
          <w:spacing w:val="8"/>
          <w:sz w:val="24"/>
          <w:highlight w:val="none"/>
        </w:rPr>
        <w:t>四、提交响应文件截止时间、开启时间和地点</w:t>
      </w:r>
    </w:p>
    <w:p w14:paraId="35685AAF">
      <w:pPr>
        <w:widowControl/>
        <w:spacing w:line="360" w:lineRule="auto"/>
        <w:ind w:firstLine="370"/>
        <w:rPr>
          <w:rFonts w:hint="eastAsia" w:ascii="仿宋" w:hAnsi="仿宋" w:eastAsia="仿宋" w:cs="仿宋"/>
          <w:color w:val="auto"/>
          <w:spacing w:val="8"/>
          <w:szCs w:val="21"/>
          <w:highlight w:val="none"/>
        </w:rPr>
      </w:pPr>
      <w:r>
        <w:rPr>
          <w:rFonts w:hint="eastAsia" w:ascii="仿宋" w:hAnsi="仿宋" w:eastAsia="仿宋" w:cs="仿宋"/>
          <w:color w:val="auto"/>
          <w:spacing w:val="8"/>
          <w:szCs w:val="21"/>
          <w:highlight w:val="none"/>
        </w:rPr>
        <w:t>4.1</w:t>
      </w:r>
      <w:r>
        <w:rPr>
          <w:rFonts w:hint="eastAsia" w:ascii="仿宋" w:hAnsi="仿宋" w:eastAsia="仿宋" w:cs="仿宋"/>
          <w:color w:val="auto"/>
          <w:spacing w:val="15"/>
          <w:szCs w:val="21"/>
          <w:highlight w:val="none"/>
          <w:shd w:val="clear" w:color="auto" w:fill="FFFFFF"/>
        </w:rPr>
        <w:t>提交响应文件截止时间、开启时间：</w:t>
      </w:r>
      <w:r>
        <w:rPr>
          <w:rFonts w:hint="eastAsia" w:ascii="仿宋" w:hAnsi="仿宋" w:eastAsia="仿宋" w:cs="仿宋"/>
          <w:b/>
          <w:bCs/>
          <w:color w:val="auto"/>
          <w:highlight w:val="none"/>
        </w:rPr>
        <w:t>2026年</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25</w:t>
      </w:r>
      <w:r>
        <w:rPr>
          <w:rFonts w:hint="eastAsia" w:ascii="仿宋" w:hAnsi="仿宋" w:eastAsia="仿宋" w:cs="仿宋"/>
          <w:b/>
          <w:bCs/>
          <w:color w:val="auto"/>
          <w:spacing w:val="8"/>
          <w:szCs w:val="21"/>
          <w:highlight w:val="none"/>
        </w:rPr>
        <w:t>日</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spacing w:val="8"/>
          <w:szCs w:val="21"/>
          <w:highlight w:val="none"/>
        </w:rPr>
        <w:t>点30分</w:t>
      </w:r>
      <w:r>
        <w:rPr>
          <w:rFonts w:hint="eastAsia" w:ascii="仿宋" w:hAnsi="仿宋" w:eastAsia="仿宋" w:cs="仿宋"/>
          <w:color w:val="auto"/>
          <w:spacing w:val="8"/>
          <w:szCs w:val="21"/>
          <w:highlight w:val="none"/>
        </w:rPr>
        <w:t>（北京时间）</w:t>
      </w:r>
    </w:p>
    <w:p w14:paraId="524CD666">
      <w:pPr>
        <w:widowControl/>
        <w:spacing w:line="360" w:lineRule="auto"/>
        <w:ind w:firstLine="375"/>
        <w:jc w:val="left"/>
        <w:rPr>
          <w:rFonts w:hint="eastAsia" w:ascii="仿宋" w:hAnsi="仿宋" w:eastAsia="仿宋" w:cs="仿宋"/>
          <w:color w:val="auto"/>
          <w:spacing w:val="15"/>
          <w:szCs w:val="21"/>
          <w:highlight w:val="none"/>
          <w:shd w:val="clear" w:color="auto" w:fill="FFFFFF"/>
        </w:rPr>
      </w:pPr>
      <w:r>
        <w:rPr>
          <w:rFonts w:hint="eastAsia" w:ascii="仿宋" w:hAnsi="仿宋" w:eastAsia="仿宋" w:cs="仿宋"/>
          <w:color w:val="auto"/>
          <w:spacing w:val="15"/>
          <w:szCs w:val="21"/>
          <w:highlight w:val="none"/>
          <w:shd w:val="clear" w:color="auto" w:fill="FFFFFF"/>
        </w:rPr>
        <w:t>4.2地点：江苏省政府采购管理交易系统（苏采云）（以下简称“苏采云”）（网址：http://jszfcg.jsczt.cn/）</w:t>
      </w:r>
    </w:p>
    <w:p w14:paraId="486C039D">
      <w:pPr>
        <w:widowControl/>
        <w:spacing w:line="360" w:lineRule="auto"/>
        <w:ind w:firstLine="370"/>
        <w:rPr>
          <w:rFonts w:hint="eastAsia" w:ascii="仿宋" w:hAnsi="仿宋" w:eastAsia="仿宋" w:cs="仿宋"/>
          <w:color w:val="auto"/>
          <w:spacing w:val="8"/>
          <w:szCs w:val="21"/>
          <w:highlight w:val="none"/>
        </w:rPr>
      </w:pPr>
    </w:p>
    <w:p w14:paraId="4DF9C86D">
      <w:pPr>
        <w:widowControl/>
        <w:spacing w:line="360" w:lineRule="auto"/>
        <w:rPr>
          <w:rFonts w:hint="eastAsia" w:ascii="仿宋" w:hAnsi="仿宋" w:eastAsia="仿宋" w:cs="仿宋"/>
          <w:b/>
          <w:color w:val="auto"/>
          <w:spacing w:val="8"/>
          <w:sz w:val="24"/>
          <w:highlight w:val="none"/>
        </w:rPr>
      </w:pPr>
      <w:r>
        <w:rPr>
          <w:rFonts w:hint="eastAsia" w:ascii="仿宋" w:hAnsi="仿宋" w:eastAsia="仿宋" w:cs="仿宋"/>
          <w:b/>
          <w:color w:val="auto"/>
          <w:spacing w:val="8"/>
          <w:sz w:val="24"/>
          <w:highlight w:val="none"/>
        </w:rPr>
        <w:t>五、公告期限</w:t>
      </w:r>
    </w:p>
    <w:p w14:paraId="0A41120D">
      <w:pPr>
        <w:widowControl/>
        <w:spacing w:line="360" w:lineRule="auto"/>
        <w:ind w:firstLine="370"/>
        <w:rPr>
          <w:rFonts w:hint="eastAsia" w:ascii="仿宋" w:hAnsi="仿宋" w:eastAsia="仿宋" w:cs="仿宋"/>
          <w:color w:val="auto"/>
          <w:spacing w:val="8"/>
          <w:szCs w:val="21"/>
          <w:highlight w:val="none"/>
        </w:rPr>
      </w:pPr>
      <w:r>
        <w:rPr>
          <w:rFonts w:hint="eastAsia" w:ascii="仿宋" w:hAnsi="仿宋" w:eastAsia="仿宋" w:cs="仿宋"/>
          <w:color w:val="auto"/>
          <w:spacing w:val="8"/>
          <w:szCs w:val="21"/>
          <w:highlight w:val="none"/>
        </w:rPr>
        <w:t>自本公告发布之日起5个工作日。</w:t>
      </w:r>
    </w:p>
    <w:p w14:paraId="6D407839">
      <w:pPr>
        <w:widowControl/>
        <w:spacing w:line="360" w:lineRule="auto"/>
        <w:ind w:firstLine="370"/>
        <w:rPr>
          <w:rFonts w:hint="eastAsia" w:ascii="仿宋" w:hAnsi="仿宋" w:eastAsia="仿宋" w:cs="仿宋"/>
          <w:color w:val="auto"/>
          <w:spacing w:val="8"/>
          <w:szCs w:val="21"/>
          <w:highlight w:val="none"/>
        </w:rPr>
      </w:pPr>
    </w:p>
    <w:p w14:paraId="2C0CAD98">
      <w:pPr>
        <w:widowControl/>
        <w:spacing w:line="360" w:lineRule="auto"/>
        <w:rPr>
          <w:rFonts w:hint="eastAsia" w:ascii="仿宋" w:hAnsi="仿宋" w:eastAsia="仿宋" w:cs="仿宋"/>
          <w:b/>
          <w:color w:val="auto"/>
          <w:spacing w:val="8"/>
          <w:sz w:val="24"/>
          <w:highlight w:val="none"/>
        </w:rPr>
      </w:pPr>
      <w:r>
        <w:rPr>
          <w:rFonts w:hint="eastAsia" w:ascii="仿宋" w:hAnsi="仿宋" w:eastAsia="仿宋" w:cs="仿宋"/>
          <w:b/>
          <w:color w:val="auto"/>
          <w:spacing w:val="8"/>
          <w:sz w:val="24"/>
          <w:highlight w:val="none"/>
        </w:rPr>
        <w:t>六、其他补充事宜</w:t>
      </w:r>
    </w:p>
    <w:p w14:paraId="2DD51FE3">
      <w:pPr>
        <w:widowControl/>
        <w:shd w:val="clear" w:color="auto" w:fill="FFFFFF"/>
        <w:spacing w:line="360" w:lineRule="auto"/>
        <w:ind w:firstLine="363"/>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6.1本项目在</w:t>
      </w:r>
      <w:r>
        <w:rPr>
          <w:rFonts w:hint="eastAsia" w:ascii="仿宋" w:hAnsi="仿宋" w:eastAsia="仿宋" w:cs="仿宋"/>
          <w:color w:val="auto"/>
          <w:szCs w:val="21"/>
          <w:highlight w:val="none"/>
        </w:rPr>
        <w:t xml:space="preserve"> </w:t>
      </w:r>
      <w:r>
        <w:rPr>
          <w:rFonts w:hint="eastAsia" w:ascii="仿宋" w:hAnsi="仿宋" w:eastAsia="仿宋" w:cs="仿宋"/>
          <w:b/>
          <w:bCs/>
          <w:color w:val="auto"/>
          <w:szCs w:val="21"/>
          <w:highlight w:val="none"/>
          <w:lang w:val="zh-CN"/>
        </w:rPr>
        <w:t>南京公共采购信息网</w:t>
      </w:r>
      <w:r>
        <w:rPr>
          <w:rFonts w:hint="eastAsia" w:ascii="仿宋" w:hAnsi="仿宋" w:eastAsia="仿宋" w:cs="仿宋"/>
          <w:b/>
          <w:bCs/>
          <w:color w:val="auto"/>
          <w:highlight w:val="none"/>
        </w:rPr>
        <w:t>、</w:t>
      </w:r>
      <w:r>
        <w:rPr>
          <w:rFonts w:hint="eastAsia" w:ascii="仿宋" w:hAnsi="仿宋" w:eastAsia="仿宋" w:cs="仿宋"/>
          <w:b/>
          <w:bCs/>
          <w:color w:val="auto"/>
          <w:szCs w:val="21"/>
          <w:highlight w:val="none"/>
          <w:lang w:val="zh-CN"/>
        </w:rPr>
        <w:t>江苏政府采购网、</w:t>
      </w:r>
      <w:r>
        <w:rPr>
          <w:rFonts w:hint="eastAsia" w:ascii="仿宋" w:hAnsi="仿宋" w:eastAsia="仿宋" w:cs="仿宋"/>
          <w:b/>
          <w:bCs/>
          <w:color w:val="auto"/>
          <w:szCs w:val="21"/>
          <w:highlight w:val="none"/>
        </w:rPr>
        <w:t>中国政府采购网</w:t>
      </w:r>
      <w:r>
        <w:rPr>
          <w:rFonts w:hint="eastAsia" w:ascii="仿宋" w:hAnsi="仿宋" w:eastAsia="仿宋" w:cs="仿宋"/>
          <w:color w:val="auto"/>
          <w:szCs w:val="21"/>
          <w:highlight w:val="none"/>
          <w:lang w:val="zh-CN"/>
        </w:rPr>
        <w:t>网站发布公告。</w:t>
      </w:r>
    </w:p>
    <w:p w14:paraId="39B24B5A">
      <w:pPr>
        <w:widowControl/>
        <w:shd w:val="clear" w:color="auto" w:fill="FFFFFF"/>
        <w:spacing w:line="360" w:lineRule="auto"/>
        <w:ind w:firstLine="363"/>
        <w:rPr>
          <w:rFonts w:hint="eastAsia" w:ascii="仿宋" w:hAnsi="仿宋" w:eastAsia="仿宋" w:cs="仿宋"/>
          <w:bCs/>
          <w:color w:val="auto"/>
          <w:szCs w:val="21"/>
          <w:highlight w:val="none"/>
        </w:rPr>
      </w:pPr>
      <w:r>
        <w:rPr>
          <w:rFonts w:hint="eastAsia" w:ascii="仿宋" w:hAnsi="仿宋" w:eastAsia="仿宋" w:cs="仿宋"/>
          <w:color w:val="auto"/>
          <w:szCs w:val="21"/>
          <w:highlight w:val="none"/>
          <w:lang w:val="zh-CN"/>
        </w:rPr>
        <w:t>6.</w:t>
      </w:r>
      <w:r>
        <w:rPr>
          <w:rFonts w:hint="eastAsia" w:ascii="仿宋" w:hAnsi="仿宋" w:eastAsia="仿宋" w:cs="仿宋"/>
          <w:color w:val="auto"/>
          <w:szCs w:val="21"/>
          <w:highlight w:val="none"/>
        </w:rPr>
        <w:t>2</w:t>
      </w:r>
      <w:r>
        <w:rPr>
          <w:rFonts w:hint="eastAsia" w:ascii="仿宋" w:hAnsi="仿宋" w:eastAsia="仿宋" w:cs="仿宋"/>
          <w:bCs/>
          <w:color w:val="auto"/>
          <w:szCs w:val="21"/>
          <w:highlight w:val="none"/>
        </w:rPr>
        <w:t>勘察现场：无。</w:t>
      </w:r>
    </w:p>
    <w:p w14:paraId="56CF2C40">
      <w:pPr>
        <w:widowControl/>
        <w:shd w:val="clear" w:color="auto" w:fill="FFFFFF"/>
        <w:spacing w:line="360" w:lineRule="auto"/>
        <w:ind w:firstLine="363"/>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1767DC50">
      <w:pPr>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操作手册下载地址：http://www.ccgp-jiangsu.gov.cn/jiangsu/zlxz/ee/ee3a4bc5a3454aa2b0d9312230633ce9.html</w:t>
      </w:r>
    </w:p>
    <w:p w14:paraId="1EEC072C">
      <w:pPr>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首次登录“苏采云”系统的新用户，登录网址后，点击“用户注册”--“新CA办理指南”--获取CA后绑定、登录系统--采购项目参与--下载征集文件（文件后缀名为“.kedt”）。</w:t>
      </w:r>
    </w:p>
    <w:p w14:paraId="5008CD10">
      <w:pPr>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“苏采云”南京地区客服热线025-83633744、025-83633743。</w:t>
      </w:r>
    </w:p>
    <w:p w14:paraId="45C00959">
      <w:pPr>
        <w:spacing w:line="360" w:lineRule="auto"/>
        <w:ind w:firstLine="420"/>
        <w:rPr>
          <w:rFonts w:hint="eastAsia" w:ascii="仿宋" w:hAnsi="仿宋" w:eastAsia="仿宋" w:cs="仿宋"/>
          <w:color w:val="auto"/>
          <w:highlight w:val="none"/>
        </w:rPr>
      </w:pPr>
      <w:r>
        <w:rPr>
          <w:rFonts w:hint="eastAsia" w:ascii="仿宋" w:hAnsi="仿宋" w:eastAsia="仿宋" w:cs="仿宋"/>
          <w:bCs/>
          <w:color w:val="auto"/>
          <w:szCs w:val="21"/>
          <w:highlight w:val="none"/>
        </w:rPr>
        <w:t>有关本次征集的事项若存在变动或修改，请及时关注“江苏政府采购网”（www.ccgp-jiangsu.gov.cn）更正公告。</w:t>
      </w:r>
    </w:p>
    <w:p w14:paraId="5C1EE992">
      <w:pPr>
        <w:widowControl/>
        <w:shd w:val="clear" w:color="auto" w:fill="FFFFFF"/>
        <w:spacing w:line="360" w:lineRule="auto"/>
        <w:ind w:firstLine="365"/>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6.</w:t>
      </w:r>
      <w:r>
        <w:rPr>
          <w:rFonts w:hint="eastAsia" w:ascii="仿宋" w:hAnsi="仿宋" w:eastAsia="仿宋" w:cs="仿宋"/>
          <w:b/>
          <w:bCs/>
          <w:color w:val="auto"/>
          <w:szCs w:val="21"/>
          <w:highlight w:val="none"/>
        </w:rPr>
        <w:t>4政府采购信用承诺</w:t>
      </w:r>
    </w:p>
    <w:p w14:paraId="23249056">
      <w:pPr>
        <w:widowControl/>
        <w:spacing w:line="360" w:lineRule="auto"/>
        <w:ind w:firstLine="363"/>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根据《关于在政府采购活动中推行信用承诺制的通知》宁财购通〔2021〕5号规定，</w:t>
      </w:r>
      <w:r>
        <w:rPr>
          <w:rFonts w:hint="eastAsia" w:ascii="仿宋" w:hAnsi="仿宋" w:eastAsia="仿宋" w:cs="仿宋"/>
          <w:color w:val="auto"/>
          <w:szCs w:val="21"/>
          <w:highlight w:val="none"/>
        </w:rPr>
        <w:t>参加</w:t>
      </w:r>
      <w:r>
        <w:rPr>
          <w:rFonts w:hint="eastAsia" w:ascii="仿宋" w:hAnsi="仿宋" w:eastAsia="仿宋" w:cs="仿宋"/>
          <w:color w:val="auto"/>
          <w:szCs w:val="21"/>
          <w:highlight w:val="none"/>
          <w:lang w:val="zh-CN"/>
        </w:rPr>
        <w:t>南京地区采购活动的供应商，应以书面形式向征集人或政府代理机构作出信用承诺。供应商应尽早做好承诺工作，点击“南京公共采购信息网”</w:t>
      </w:r>
      <w:r>
        <w:rPr>
          <w:rFonts w:hint="eastAsia" w:ascii="仿宋" w:hAnsi="仿宋" w:eastAsia="仿宋" w:cs="仿宋"/>
          <w:color w:val="auto"/>
          <w:szCs w:val="21"/>
          <w:highlight w:val="none"/>
        </w:rPr>
        <w:t>首页</w:t>
      </w:r>
      <w:r>
        <w:rPr>
          <w:rFonts w:hint="eastAsia" w:ascii="仿宋" w:hAnsi="仿宋" w:eastAsia="仿宋" w:cs="仿宋"/>
          <w:color w:val="auto"/>
          <w:szCs w:val="21"/>
          <w:highlight w:val="none"/>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仿宋" w:hAnsi="仿宋" w:eastAsia="仿宋" w:cs="仿宋"/>
          <w:b/>
          <w:bCs/>
          <w:color w:val="auto"/>
          <w:szCs w:val="21"/>
          <w:highlight w:val="none"/>
          <w:lang w:val="zh-CN"/>
        </w:rPr>
        <w:t>由</w:t>
      </w:r>
      <w:r>
        <w:rPr>
          <w:rFonts w:hint="eastAsia" w:ascii="仿宋" w:hAnsi="仿宋" w:eastAsia="仿宋" w:cs="仿宋"/>
          <w:b/>
          <w:bCs/>
          <w:color w:val="auto"/>
          <w:szCs w:val="21"/>
          <w:highlight w:val="none"/>
        </w:rPr>
        <w:t>法定代表人</w:t>
      </w:r>
      <w:r>
        <w:rPr>
          <w:rFonts w:hint="eastAsia" w:ascii="仿宋" w:hAnsi="仿宋" w:eastAsia="仿宋" w:cs="仿宋"/>
          <w:b/>
          <w:bCs/>
          <w:color w:val="auto"/>
          <w:szCs w:val="21"/>
          <w:highlight w:val="none"/>
          <w:lang w:val="zh-CN"/>
        </w:rPr>
        <w:t>签字并盖单位公章，</w:t>
      </w:r>
      <w:r>
        <w:rPr>
          <w:rFonts w:hint="eastAsia" w:ascii="仿宋" w:hAnsi="仿宋" w:eastAsia="仿宋" w:cs="仿宋"/>
          <w:b/>
          <w:bCs/>
          <w:color w:val="auto"/>
          <w:szCs w:val="21"/>
          <w:highlight w:val="none"/>
        </w:rPr>
        <w:t>随响应文件一并递交。</w:t>
      </w:r>
    </w:p>
    <w:p w14:paraId="564B7E7B">
      <w:pPr>
        <w:widowControl/>
        <w:spacing w:line="360" w:lineRule="auto"/>
        <w:ind w:firstLine="363"/>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在</w:t>
      </w:r>
      <w:r>
        <w:rPr>
          <w:rFonts w:hint="eastAsia" w:ascii="仿宋" w:hAnsi="仿宋" w:eastAsia="仿宋" w:cs="仿宋"/>
          <w:b/>
          <w:bCs/>
          <w:color w:val="auto"/>
          <w:szCs w:val="21"/>
          <w:highlight w:val="none"/>
          <w:lang w:val="en-US" w:eastAsia="zh-CN"/>
        </w:rPr>
        <w:t>本次</w:t>
      </w:r>
      <w:r>
        <w:rPr>
          <w:rFonts w:hint="eastAsia" w:ascii="仿宋" w:hAnsi="仿宋" w:eastAsia="仿宋" w:cs="仿宋"/>
          <w:b/>
          <w:bCs/>
          <w:color w:val="auto"/>
          <w:szCs w:val="21"/>
          <w:highlight w:val="none"/>
          <w:lang w:val="zh-CN"/>
        </w:rPr>
        <w:t>政府采购资格审查环节，供应商只需提供书面《南京市政府采购供应商信用记录表暨信用承诺书》，即可替代以下证明材料：</w:t>
      </w:r>
    </w:p>
    <w:p w14:paraId="4710A0FB">
      <w:pPr>
        <w:widowControl/>
        <w:spacing w:line="360" w:lineRule="auto"/>
        <w:ind w:firstLine="363"/>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（1）符合国家相关规定的财务状况报告；</w:t>
      </w:r>
    </w:p>
    <w:p w14:paraId="1184AE59">
      <w:pPr>
        <w:widowControl/>
        <w:spacing w:line="360" w:lineRule="auto"/>
        <w:ind w:firstLine="363"/>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（2）依法缴纳税收的证明材料；</w:t>
      </w:r>
    </w:p>
    <w:p w14:paraId="0A4EE0C0">
      <w:pPr>
        <w:widowControl/>
        <w:spacing w:line="360" w:lineRule="auto"/>
        <w:ind w:firstLine="363"/>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（3）依法缴纳社会保障资金的证明材料；</w:t>
      </w:r>
    </w:p>
    <w:p w14:paraId="60FA6E69">
      <w:pPr>
        <w:widowControl/>
        <w:spacing w:line="360" w:lineRule="auto"/>
        <w:ind w:firstLine="363"/>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（4）具备履行政府采购合同所必需的设备和专业技术能力的证明材料；</w:t>
      </w:r>
    </w:p>
    <w:p w14:paraId="7C92D331">
      <w:pPr>
        <w:widowControl/>
        <w:spacing w:line="360" w:lineRule="auto"/>
        <w:ind w:firstLine="363"/>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（5）参加政府采购活动前三年内在经营活动中没有重大违法记录的证明材料；</w:t>
      </w:r>
    </w:p>
    <w:p w14:paraId="304634B8">
      <w:pPr>
        <w:widowControl/>
        <w:spacing w:line="360" w:lineRule="auto"/>
        <w:ind w:firstLine="363"/>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（6）未被列入失信被执行人、重大税收违法失信主体、政府采购严重违法失信行为记录名单的证明材料。</w:t>
      </w:r>
    </w:p>
    <w:p w14:paraId="38961A6D">
      <w:pPr>
        <w:widowControl/>
        <w:spacing w:line="360" w:lineRule="auto"/>
        <w:ind w:firstLine="363"/>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供应商在入围后，应按征集文件要求，将上述由信用承诺书替代的证明材料提交采购人或代理机构核验。经核验无误后，由采购人或征集人发出入围通知书。</w:t>
      </w:r>
    </w:p>
    <w:p w14:paraId="268CD25D">
      <w:pPr>
        <w:widowControl/>
        <w:spacing w:line="360" w:lineRule="auto"/>
        <w:ind w:firstLine="365"/>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供应商涉及以下情形的，不适用信用承诺：</w:t>
      </w:r>
    </w:p>
    <w:p w14:paraId="46F3E371">
      <w:pPr>
        <w:widowControl/>
        <w:spacing w:line="360" w:lineRule="auto"/>
        <w:ind w:firstLine="365"/>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（1）供应商被列入严重失信主体名单；</w:t>
      </w:r>
    </w:p>
    <w:p w14:paraId="0F377B08">
      <w:pPr>
        <w:widowControl/>
        <w:spacing w:line="360" w:lineRule="auto"/>
        <w:ind w:firstLine="365"/>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（2）被相关监管部门作出行政处罚且尚在处罚有效期内；</w:t>
      </w:r>
    </w:p>
    <w:p w14:paraId="6517D196">
      <w:pPr>
        <w:widowControl/>
        <w:spacing w:line="360" w:lineRule="auto"/>
        <w:ind w:firstLine="365"/>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（3）其他法律、行政法规规定的不适用信用承诺的情形。</w:t>
      </w:r>
    </w:p>
    <w:p w14:paraId="73A52D6C">
      <w:pPr>
        <w:widowControl/>
        <w:spacing w:line="360" w:lineRule="auto"/>
        <w:ind w:firstLine="422"/>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t>供应商对信用承诺内容的真实性、合法性、有效性负责。如作出虚假信用承诺，视同为“提供虚假材料谋取中标（成交）”的违法行为。</w:t>
      </w:r>
    </w:p>
    <w:p w14:paraId="6C2EE8FD">
      <w:pPr>
        <w:widowControl/>
        <w:shd w:val="clear" w:color="auto" w:fill="FFFFFF"/>
        <w:spacing w:line="360" w:lineRule="auto"/>
        <w:ind w:firstLine="454" w:firstLineChars="200"/>
        <w:jc w:val="left"/>
        <w:rPr>
          <w:rFonts w:hint="default" w:ascii="仿宋" w:hAnsi="仿宋" w:eastAsia="仿宋" w:cs="仿宋"/>
          <w:b/>
          <w:bCs/>
          <w:color w:val="auto"/>
          <w:spacing w:val="8"/>
          <w:szCs w:val="21"/>
          <w:highlight w:val="none"/>
          <w:lang w:val="en-US"/>
        </w:rPr>
      </w:pPr>
      <w:r>
        <w:rPr>
          <w:rFonts w:hint="eastAsia" w:ascii="仿宋" w:hAnsi="仿宋" w:eastAsia="仿宋" w:cs="仿宋"/>
          <w:b/>
          <w:bCs/>
          <w:color w:val="auto"/>
          <w:spacing w:val="8"/>
          <w:szCs w:val="21"/>
          <w:highlight w:val="none"/>
          <w:lang w:val="en-US" w:eastAsia="zh-CN"/>
        </w:rPr>
        <w:t>6.5</w:t>
      </w:r>
      <w:r>
        <w:rPr>
          <w:rFonts w:hint="eastAsia" w:ascii="仿宋" w:hAnsi="仿宋" w:eastAsia="仿宋" w:cs="仿宋"/>
          <w:b/>
          <w:bCs/>
          <w:color w:val="auto"/>
          <w:spacing w:val="8"/>
          <w:szCs w:val="21"/>
          <w:highlight w:val="none"/>
        </w:rPr>
        <w:t>入围供应商数量：</w:t>
      </w:r>
      <w:r>
        <w:rPr>
          <w:rFonts w:hint="eastAsia" w:ascii="仿宋" w:hAnsi="仿宋" w:eastAsia="仿宋" w:cs="仿宋"/>
          <w:b/>
          <w:bCs/>
          <w:color w:val="auto"/>
          <w:spacing w:val="8"/>
          <w:szCs w:val="21"/>
          <w:highlight w:val="none"/>
          <w:lang w:val="en-US" w:eastAsia="zh-CN"/>
        </w:rPr>
        <w:t>不超过52家。</w:t>
      </w:r>
    </w:p>
    <w:p w14:paraId="1937A81F">
      <w:pPr>
        <w:widowControl/>
        <w:shd w:val="clear" w:color="auto" w:fill="FFFFFF"/>
        <w:spacing w:line="360" w:lineRule="auto"/>
        <w:ind w:firstLine="454" w:firstLineChars="200"/>
        <w:jc w:val="left"/>
        <w:rPr>
          <w:rFonts w:hint="eastAsia" w:ascii="仿宋" w:hAnsi="仿宋" w:eastAsia="仿宋" w:cs="仿宋"/>
          <w:b/>
          <w:bCs/>
          <w:color w:val="auto"/>
          <w:spacing w:val="8"/>
          <w:szCs w:val="21"/>
          <w:highlight w:val="none"/>
        </w:rPr>
      </w:pPr>
      <w:r>
        <w:rPr>
          <w:rFonts w:hint="eastAsia" w:ascii="仿宋" w:hAnsi="仿宋" w:eastAsia="仿宋" w:cs="仿宋"/>
          <w:b/>
          <w:bCs/>
          <w:color w:val="auto"/>
          <w:spacing w:val="8"/>
          <w:szCs w:val="21"/>
          <w:highlight w:val="none"/>
          <w:lang w:val="en-US" w:eastAsia="zh-CN"/>
        </w:rPr>
        <w:t>6.6</w:t>
      </w:r>
      <w:r>
        <w:rPr>
          <w:rFonts w:hint="eastAsia" w:ascii="仿宋" w:hAnsi="仿宋" w:eastAsia="仿宋" w:cs="仿宋"/>
          <w:b/>
          <w:bCs/>
          <w:color w:val="auto"/>
          <w:spacing w:val="8"/>
          <w:szCs w:val="21"/>
          <w:highlight w:val="none"/>
        </w:rPr>
        <w:t>适用框架协议的采购人：</w:t>
      </w:r>
      <w:r>
        <w:rPr>
          <w:rFonts w:hint="eastAsia" w:ascii="仿宋" w:hAnsi="仿宋" w:eastAsia="仿宋" w:cs="仿宋"/>
          <w:b/>
          <w:bCs/>
          <w:color w:val="auto"/>
          <w:spacing w:val="8"/>
          <w:szCs w:val="21"/>
          <w:highlight w:val="none"/>
          <w:lang w:eastAsia="zh-CN"/>
        </w:rPr>
        <w:t>南京市六合区民政局</w:t>
      </w:r>
      <w:r>
        <w:rPr>
          <w:rFonts w:hint="eastAsia" w:ascii="仿宋" w:hAnsi="仿宋" w:eastAsia="仿宋" w:cs="仿宋"/>
          <w:b/>
          <w:bCs/>
          <w:color w:val="auto"/>
          <w:spacing w:val="8"/>
          <w:szCs w:val="21"/>
          <w:highlight w:val="none"/>
        </w:rPr>
        <w:t>。</w:t>
      </w:r>
    </w:p>
    <w:p w14:paraId="51E13E5E">
      <w:pPr>
        <w:widowControl/>
        <w:shd w:val="clear" w:color="auto" w:fill="FFFFFF"/>
        <w:spacing w:line="360" w:lineRule="auto"/>
        <w:ind w:firstLine="454" w:firstLineChars="200"/>
        <w:jc w:val="left"/>
        <w:rPr>
          <w:rFonts w:hint="eastAsia" w:ascii="仿宋" w:hAnsi="仿宋" w:eastAsia="仿宋" w:cs="仿宋"/>
          <w:b/>
          <w:bCs/>
          <w:color w:val="auto"/>
          <w:spacing w:val="8"/>
          <w:szCs w:val="21"/>
          <w:highlight w:val="none"/>
        </w:rPr>
      </w:pPr>
      <w:r>
        <w:rPr>
          <w:rFonts w:hint="eastAsia" w:ascii="仿宋" w:hAnsi="仿宋" w:eastAsia="仿宋" w:cs="仿宋"/>
          <w:b/>
          <w:bCs/>
          <w:color w:val="auto"/>
          <w:spacing w:val="8"/>
          <w:szCs w:val="21"/>
          <w:highlight w:val="none"/>
          <w:lang w:val="en-US" w:eastAsia="zh-CN"/>
        </w:rPr>
        <w:t>6.7</w:t>
      </w:r>
      <w:r>
        <w:rPr>
          <w:rFonts w:hint="eastAsia" w:ascii="仿宋" w:hAnsi="仿宋" w:eastAsia="仿宋" w:cs="仿宋"/>
          <w:b/>
          <w:bCs/>
          <w:color w:val="auto"/>
          <w:spacing w:val="8"/>
          <w:szCs w:val="21"/>
          <w:highlight w:val="none"/>
        </w:rPr>
        <w:t>行业划分：租赁和商务服务业。</w:t>
      </w:r>
    </w:p>
    <w:p w14:paraId="63A9B30F">
      <w:pPr>
        <w:ind w:firstLine="420"/>
        <w:rPr>
          <w:rFonts w:hint="eastAsia" w:ascii="仿宋" w:hAnsi="仿宋" w:eastAsia="仿宋" w:cs="仿宋"/>
          <w:color w:val="auto"/>
          <w:highlight w:val="none"/>
        </w:rPr>
      </w:pPr>
    </w:p>
    <w:p w14:paraId="0B2E02A3">
      <w:pPr>
        <w:widowControl/>
        <w:spacing w:line="360" w:lineRule="auto"/>
        <w:rPr>
          <w:rFonts w:hint="eastAsia" w:ascii="仿宋" w:hAnsi="仿宋" w:eastAsia="仿宋" w:cs="仿宋"/>
          <w:b/>
          <w:color w:val="auto"/>
          <w:spacing w:val="8"/>
          <w:sz w:val="24"/>
          <w:highlight w:val="none"/>
        </w:rPr>
      </w:pPr>
      <w:r>
        <w:rPr>
          <w:rFonts w:hint="eastAsia" w:ascii="仿宋" w:hAnsi="仿宋" w:eastAsia="仿宋" w:cs="仿宋"/>
          <w:b/>
          <w:color w:val="auto"/>
          <w:spacing w:val="8"/>
          <w:sz w:val="24"/>
          <w:highlight w:val="none"/>
        </w:rPr>
        <w:t>七、对本次征集提出询问，请按以下方式联系</w:t>
      </w:r>
    </w:p>
    <w:p w14:paraId="3C9B242C">
      <w:pPr>
        <w:widowControl/>
        <w:spacing w:line="360" w:lineRule="auto"/>
        <w:ind w:firstLine="363"/>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7.1采购人信息</w:t>
      </w:r>
    </w:p>
    <w:p w14:paraId="033972B9">
      <w:pPr>
        <w:widowControl/>
        <w:spacing w:line="360" w:lineRule="auto"/>
        <w:ind w:firstLine="363"/>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名称：南京市六合区民政局</w:t>
      </w:r>
    </w:p>
    <w:p w14:paraId="20E22619">
      <w:pPr>
        <w:widowControl/>
        <w:spacing w:line="360" w:lineRule="auto"/>
        <w:ind w:firstLine="363"/>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lang w:val="zh-CN"/>
        </w:rPr>
        <w:t>联系人：</w:t>
      </w:r>
      <w:r>
        <w:rPr>
          <w:rFonts w:hint="eastAsia" w:ascii="仿宋" w:hAnsi="仿宋" w:eastAsia="仿宋" w:cs="仿宋"/>
          <w:bCs/>
          <w:color w:val="auto"/>
          <w:szCs w:val="21"/>
          <w:highlight w:val="none"/>
          <w:lang w:val="en-US" w:eastAsia="zh-CN"/>
        </w:rPr>
        <w:t>赵主任</w:t>
      </w:r>
    </w:p>
    <w:p w14:paraId="399D4002">
      <w:pPr>
        <w:widowControl/>
        <w:spacing w:line="360" w:lineRule="auto"/>
        <w:ind w:firstLine="363"/>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zh-CN"/>
        </w:rPr>
        <w:t>电话</w:t>
      </w: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eastAsia="zh-CN"/>
        </w:rPr>
        <w:t>025</w:t>
      </w:r>
      <w:r>
        <w:rPr>
          <w:rFonts w:hint="eastAsia" w:ascii="仿宋" w:hAnsi="仿宋" w:eastAsia="仿宋" w:cs="仿宋"/>
          <w:bCs/>
          <w:color w:val="auto"/>
          <w:szCs w:val="21"/>
          <w:highlight w:val="none"/>
          <w:lang w:val="en-US" w:eastAsia="zh-CN"/>
        </w:rPr>
        <w:t>-57124796</w:t>
      </w:r>
    </w:p>
    <w:p w14:paraId="307D73F4">
      <w:pPr>
        <w:widowControl/>
        <w:spacing w:line="360" w:lineRule="auto"/>
        <w:ind w:firstLine="363"/>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zh-CN"/>
        </w:rPr>
        <w:t>地址：南京市六合区</w:t>
      </w:r>
      <w:r>
        <w:rPr>
          <w:rFonts w:hint="eastAsia" w:ascii="仿宋" w:hAnsi="仿宋" w:eastAsia="仿宋" w:cs="仿宋"/>
          <w:bCs/>
          <w:color w:val="auto"/>
          <w:szCs w:val="21"/>
          <w:highlight w:val="none"/>
          <w:lang w:val="en-US" w:eastAsia="zh-CN"/>
        </w:rPr>
        <w:t>雄州南路268号</w:t>
      </w:r>
    </w:p>
    <w:p w14:paraId="2A491C99">
      <w:pPr>
        <w:widowControl/>
        <w:spacing w:line="360" w:lineRule="auto"/>
        <w:ind w:firstLine="363"/>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7.2代理机构信息</w:t>
      </w:r>
    </w:p>
    <w:p w14:paraId="1514BA5F">
      <w:pPr>
        <w:widowControl/>
        <w:spacing w:line="360" w:lineRule="auto"/>
        <w:ind w:firstLine="363"/>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名称：江苏中衡工程顾问有限公司</w:t>
      </w:r>
    </w:p>
    <w:p w14:paraId="291553F5">
      <w:pPr>
        <w:widowControl/>
        <w:spacing w:line="360" w:lineRule="auto"/>
        <w:ind w:firstLine="363"/>
        <w:jc w:val="left"/>
        <w:rPr>
          <w:rFonts w:hint="eastAsia" w:ascii="仿宋" w:hAnsi="仿宋" w:eastAsia="仿宋" w:cs="仿宋"/>
          <w:color w:val="auto"/>
          <w:szCs w:val="21"/>
          <w:highlight w:val="none"/>
          <w:lang w:val="zh-CN" w:eastAsia="zh-CN"/>
        </w:rPr>
      </w:pPr>
      <w:r>
        <w:rPr>
          <w:rFonts w:hint="eastAsia" w:ascii="仿宋" w:hAnsi="仿宋" w:eastAsia="仿宋" w:cs="仿宋"/>
          <w:color w:val="auto"/>
          <w:szCs w:val="21"/>
          <w:highlight w:val="none"/>
          <w:lang w:val="zh-CN"/>
        </w:rPr>
        <w:t>联系人：</w:t>
      </w:r>
      <w:r>
        <w:rPr>
          <w:rFonts w:hint="eastAsia" w:ascii="仿宋" w:hAnsi="仿宋" w:eastAsia="仿宋" w:cs="仿宋"/>
          <w:color w:val="auto"/>
          <w:szCs w:val="21"/>
          <w:highlight w:val="none"/>
          <w:lang w:val="en-US" w:eastAsia="zh-CN"/>
        </w:rPr>
        <w:t>鲁工</w:t>
      </w:r>
    </w:p>
    <w:p w14:paraId="5A1B9067">
      <w:pPr>
        <w:widowControl/>
        <w:spacing w:line="360" w:lineRule="auto"/>
        <w:ind w:firstLine="363"/>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zh-CN"/>
        </w:rPr>
        <w:t>电话：</w:t>
      </w:r>
      <w:r>
        <w:rPr>
          <w:rFonts w:hint="eastAsia" w:ascii="仿宋" w:hAnsi="仿宋" w:eastAsia="仿宋" w:cs="仿宋"/>
          <w:color w:val="auto"/>
          <w:szCs w:val="21"/>
          <w:highlight w:val="none"/>
          <w:lang w:val="en-US" w:eastAsia="zh-CN"/>
        </w:rPr>
        <w:t>13372028978</w:t>
      </w:r>
    </w:p>
    <w:p w14:paraId="6CDC9425">
      <w:pPr>
        <w:widowControl/>
        <w:spacing w:line="360" w:lineRule="auto"/>
        <w:ind w:firstLine="363"/>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zh-CN"/>
        </w:rPr>
        <w:t>电子邮箱</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1270915057@qq.com</w:t>
      </w:r>
    </w:p>
    <w:p w14:paraId="26422647">
      <w:pPr>
        <w:widowControl/>
        <w:spacing w:line="360" w:lineRule="auto"/>
        <w:ind w:firstLine="363"/>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地址：南京市建邺区奥体大街68号国际总部研发园4B幢19层</w:t>
      </w:r>
    </w:p>
    <w:p w14:paraId="1B9BEEAC">
      <w:pPr>
        <w:widowControl/>
        <w:spacing w:line="360" w:lineRule="auto"/>
        <w:ind w:firstLine="363"/>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7.3项目联系方式</w:t>
      </w:r>
    </w:p>
    <w:p w14:paraId="0B65FB48">
      <w:pPr>
        <w:widowControl/>
        <w:spacing w:line="360" w:lineRule="auto"/>
        <w:ind w:firstLine="363"/>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zh-CN"/>
        </w:rPr>
        <w:t>项目联系人：</w:t>
      </w:r>
      <w:r>
        <w:rPr>
          <w:rFonts w:hint="eastAsia" w:ascii="仿宋" w:hAnsi="仿宋" w:eastAsia="仿宋" w:cs="仿宋"/>
          <w:color w:val="auto"/>
          <w:szCs w:val="21"/>
          <w:highlight w:val="none"/>
          <w:lang w:val="en-US" w:eastAsia="zh-CN"/>
        </w:rPr>
        <w:t>鲁工</w:t>
      </w:r>
    </w:p>
    <w:p w14:paraId="2E8F47EB">
      <w:pPr>
        <w:widowControl/>
        <w:spacing w:line="360" w:lineRule="auto"/>
        <w:ind w:firstLine="363"/>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电话：</w:t>
      </w:r>
      <w:r>
        <w:rPr>
          <w:rFonts w:hint="eastAsia" w:ascii="仿宋" w:hAnsi="仿宋" w:eastAsia="仿宋" w:cs="仿宋"/>
          <w:color w:val="auto"/>
          <w:szCs w:val="21"/>
          <w:highlight w:val="none"/>
          <w:lang w:val="en-US" w:eastAsia="zh-CN"/>
        </w:rPr>
        <w:t>13372028978</w:t>
      </w:r>
    </w:p>
    <w:p w14:paraId="4FC31C41">
      <w:pPr>
        <w:rPr>
          <w:rFonts w:hint="eastAsia" w:ascii="仿宋" w:hAnsi="仿宋" w:eastAsia="仿宋" w:cs="仿宋"/>
          <w:color w:val="auto"/>
          <w:highlight w:val="none"/>
        </w:rPr>
        <w:sectPr>
          <w:footerReference r:id="rId4" w:type="default"/>
          <w:pgSz w:w="11906" w:h="16838"/>
          <w:pgMar w:top="1440" w:right="1800" w:bottom="1440" w:left="1800" w:header="850" w:footer="850" w:gutter="0"/>
          <w:paperSrc/>
          <w:pgNumType w:fmt="decimal" w:start="1"/>
          <w:cols w:space="0" w:num="1"/>
          <w:rtlGutter w:val="0"/>
          <w:docGrid w:type="lines" w:linePitch="317" w:charSpace="0"/>
        </w:sectPr>
      </w:pPr>
    </w:p>
    <w:p w14:paraId="1373E944">
      <w:pPr>
        <w:pStyle w:val="6"/>
        <w:numPr>
          <w:ilvl w:val="0"/>
          <w:numId w:val="0"/>
        </w:numPr>
        <w:spacing w:line="360" w:lineRule="auto"/>
        <w:rPr>
          <w:rFonts w:hint="eastAsia" w:ascii="仿宋" w:hAnsi="仿宋" w:eastAsia="仿宋" w:cs="仿宋"/>
          <w:color w:val="auto"/>
          <w:highlight w:val="none"/>
        </w:rPr>
      </w:pPr>
      <w:bookmarkStart w:id="9" w:name="_Toc219114372"/>
      <w:bookmarkStart w:id="10" w:name="_Toc4234"/>
      <w:r>
        <w:rPr>
          <w:rFonts w:hint="eastAsia" w:ascii="仿宋" w:hAnsi="仿宋" w:eastAsia="仿宋" w:cs="仿宋"/>
          <w:color w:val="auto"/>
          <w:highlight w:val="none"/>
        </w:rPr>
        <w:t>第二章</w:t>
      </w:r>
      <w:bookmarkStart w:id="11" w:name="_Toc452625218"/>
      <w:r>
        <w:rPr>
          <w:rFonts w:hint="eastAsia" w:ascii="仿宋" w:hAnsi="仿宋" w:eastAsia="仿宋" w:cs="仿宋"/>
          <w:color w:val="auto"/>
          <w:highlight w:val="none"/>
        </w:rPr>
        <w:t xml:space="preserve"> 供应商须知</w:t>
      </w:r>
      <w:bookmarkEnd w:id="9"/>
      <w:bookmarkEnd w:id="10"/>
      <w:bookmarkEnd w:id="11"/>
    </w:p>
    <w:p w14:paraId="6141CBAF">
      <w:pPr>
        <w:widowControl/>
        <w:spacing w:line="360" w:lineRule="auto"/>
        <w:ind w:firstLine="424"/>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一、总则</w:t>
      </w:r>
    </w:p>
    <w:p w14:paraId="5EEE3443">
      <w:pPr>
        <w:widowControl/>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1、适用法律</w:t>
      </w:r>
    </w:p>
    <w:p w14:paraId="5C6AA8C2">
      <w:pPr>
        <w:widowControl/>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1.1本次征集适用《中华人民共和国政府采购法》（以下简称政府采购法）、《中华人民共和国政府采购法实施条例》（以下简称政府采购法实施条例）、《政府采购货物和服务招标投标管理办法》、《政府采购框架协议采购方式管理暂行办法》等法律、行政法规、部门规章和规范性文件。</w:t>
      </w:r>
    </w:p>
    <w:p w14:paraId="6D3BEB8B">
      <w:pPr>
        <w:widowControl/>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2、定义</w:t>
      </w:r>
    </w:p>
    <w:p w14:paraId="7FE696A8">
      <w:pPr>
        <w:widowControl/>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2.1“征集人、采购人”是指依法进行政府采购的国家机关、事业单位、团体组织。</w:t>
      </w:r>
    </w:p>
    <w:p w14:paraId="7FE40238">
      <w:pPr>
        <w:widowControl/>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2.2“供应商（投标人）”是指参加投标竞争，并符合征集文件规定资格条件的法人、其他组织或者自然人。</w:t>
      </w:r>
    </w:p>
    <w:p w14:paraId="69BC3B08">
      <w:pPr>
        <w:widowControl/>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2.3“代理机构”是指集中采购机构以外的代理机构，是从事采购代理业务的社会中介机构。</w:t>
      </w:r>
    </w:p>
    <w:p w14:paraId="4A409C5F">
      <w:pPr>
        <w:widowControl/>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2.4“货物和服务”指本征集文件中所述</w:t>
      </w:r>
      <w:r>
        <w:rPr>
          <w:rFonts w:hint="eastAsia" w:ascii="仿宋" w:hAnsi="仿宋" w:eastAsia="仿宋" w:cs="仿宋"/>
          <w:bCs/>
          <w:color w:val="auto"/>
          <w:szCs w:val="21"/>
          <w:highlight w:val="none"/>
        </w:rPr>
        <w:t>产品</w:t>
      </w:r>
      <w:r>
        <w:rPr>
          <w:rFonts w:hint="eastAsia" w:ascii="仿宋" w:hAnsi="仿宋" w:eastAsia="仿宋" w:cs="仿宋"/>
          <w:color w:val="auto"/>
          <w:szCs w:val="21"/>
          <w:highlight w:val="none"/>
        </w:rPr>
        <w:t>及相关服务。</w:t>
      </w:r>
    </w:p>
    <w:p w14:paraId="01416230">
      <w:pPr>
        <w:widowControl/>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2.5“用户或使用单位”是指使用货物，接受服务的单位。</w:t>
      </w:r>
    </w:p>
    <w:p w14:paraId="4B780C81">
      <w:pPr>
        <w:widowControl/>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3、政策功能</w:t>
      </w:r>
    </w:p>
    <w:p w14:paraId="61ECBC71">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4EE71BFB">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1DBA61B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3.3政府采购促进残疾人就业政策，残疾人福利性单位提供的产品和服务在评审时将获得优势，参加投标的残疾人福利性单位，应当提供《残疾人福利性单位声明函》，残疾人福利性单位享受政府采购支持政策的要求详见《关于促进残疾人就业政府采购政策的通知》（财库〔2017〕141号）。</w:t>
      </w:r>
    </w:p>
    <w:p w14:paraId="5A4EF9D3">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征集文件第三章。参加政府采购活动的节能产品、环境标志产品供应商应当提供国家确定的认证机构出具的、处于有效期之内的节能产品、环境标志产品认证证书。</w:t>
      </w:r>
    </w:p>
    <w:p w14:paraId="39A6C931">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3.5强制采购信息安全产品。参加政府采购活动的信息安全产品供应商应当选择经国家认证的信息安全产品投标，并提供由国家信息安全认证中心按国家标准认证颁发的有效认证证书。</w:t>
      </w:r>
    </w:p>
    <w:p w14:paraId="148DB8FB">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3.6进口产品政策</w:t>
      </w:r>
    </w:p>
    <w:p w14:paraId="79FB16F5">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（1）除征集公告载明接受进口产品参加外，不允许进口产品参加。进口产品认定依照《财政部关于政府采购进口产品管理有关问题的通知》（财办库〔2008〕248号）的规定。</w:t>
      </w:r>
    </w:p>
    <w:p w14:paraId="3E2CDB9B">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（2）允许进口产品参加的，满足需求的国内产品可以参加。</w:t>
      </w:r>
    </w:p>
    <w:p w14:paraId="7E32EC11">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（3）允许进口产品参加的，优先采购向我国企业转让技术、与我国企业签订消化吸收再创新方案的供应商的进口产品。</w:t>
      </w:r>
    </w:p>
    <w:p w14:paraId="151C0A8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3.7 本国产品支持政策</w:t>
      </w:r>
    </w:p>
    <w:p w14:paraId="70C5D832">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2DA0B5A3">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3.8未按要求提供相关材料的，不享受相关政策。</w:t>
      </w:r>
    </w:p>
    <w:p w14:paraId="6054564F">
      <w:pPr>
        <w:widowControl/>
        <w:shd w:val="clear" w:color="auto" w:fill="FFFFFF"/>
        <w:spacing w:line="360" w:lineRule="auto"/>
        <w:ind w:firstLine="412"/>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二、征集文件构成</w:t>
      </w:r>
    </w:p>
    <w:p w14:paraId="53301FAC">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4、征集文件组成</w:t>
      </w:r>
    </w:p>
    <w:p w14:paraId="3B8506F7">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4.1征集文件包括以下主要内容：征集公告；供应商应当提交的资格材料；资格审查方法和标准；采购需求以及最高限制单价；政府采购政策要求以及政策执行措施；框架协议的期限；报价要求；确定第一阶段入围供应商的评审方法、评审标准、确定入围供应商的淘汰率或者入围供应商数量上限和响应文件无效情形；响应文件的编制要求，提交方式、提交截止时间和地点，开启方式、时间和地点，以及响应文件有效期；拟签订的框架协议文本和采购合同文本；确定第二阶段成交供应商的方式；采购资金的支付方式、时间和条件；入围产品升级换代规则；用户反馈和评价机制；入围供应商的清退和补充规则；供应商信用信息查询渠道及截止时点、信用信息查询记录和证据留存的具体方式、信用信息的使用规则等；代理机构代理费用的收取标准和方式；省级以上财政部门规定的其他事项。</w:t>
      </w:r>
    </w:p>
    <w:p w14:paraId="6DCD25EF">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4.2 征集的最小单位是包。征集货物数量及技术要求中未分包的，供应商对要求提供的货物和服务不得部分响应；征集货物数量及技术要求中已经分包的，可以以包为单位响应。</w:t>
      </w:r>
    </w:p>
    <w:p w14:paraId="7C9A1746">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4.3 征集人如果要求供应商按照征集文件规定提交备选响应方案的，供应商可以提交备选方案；否则，备选方案将被拒绝。</w:t>
      </w:r>
    </w:p>
    <w:p w14:paraId="05FCB3DC">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4.4征集文件中要求的产品品牌或型号，是采购人根据项目所要实现的功能推荐的品牌或型号，仅供供应商参考，并不是限制条件。</w:t>
      </w:r>
    </w:p>
    <w:p w14:paraId="50B7559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5、征集文件的澄清或者修改</w:t>
      </w:r>
    </w:p>
    <w:p w14:paraId="66664083">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5.1 采购人或征集人对已发出的征集文件进行必要澄清或者修改的，将在征集文件要求提交响应文件截止时间十五日前，在原公告媒体发布更正公告，该澄清或者修改的内容为征集文件的组成部分。</w:t>
      </w:r>
    </w:p>
    <w:p w14:paraId="4435E9FE">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5.2 采购人或征集人在征集文件要求提交响应文件截止时间前，有权决定延长提交响应文件截止时间和开启时间，并在原采购信息发布媒体上发布变更公告。</w:t>
      </w:r>
    </w:p>
    <w:p w14:paraId="74F58DC7">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5.3 供应商应在提交响应文件截止时间前关注原采购信息发布媒体上有关本征集项目有无变更公告。</w:t>
      </w:r>
    </w:p>
    <w:p w14:paraId="22F587A2">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三、响应文件的编制</w:t>
      </w:r>
    </w:p>
    <w:p w14:paraId="37F0043B">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6、响应文件的语言、计量单位、货币和编制</w:t>
      </w:r>
    </w:p>
    <w:p w14:paraId="44F947CF">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6.1供应商提交的响应文件、技术文件和资料，包括图纸中的说明，以及供应商与征集人就有关投标的所有来往函电均应使用中文。响应文件中若有英文或其他语言文字的资料，应提供相应的中文翻译资料。对不同文本响应文件的解释发生异议的，以中文文本为准。</w:t>
      </w:r>
    </w:p>
    <w:p w14:paraId="63E71999">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6.2供应商所使用的计量单位应为国家法定计量单位。</w:t>
      </w:r>
    </w:p>
    <w:p w14:paraId="1B234E14">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6.3供应商应用人民币报价。响应产品如果是进口产品的，应提供人民币与</w:t>
      </w:r>
      <w:r>
        <w:rPr>
          <w:rFonts w:hint="eastAsia" w:ascii="仿宋" w:hAnsi="仿宋" w:eastAsia="仿宋" w:cs="仿宋"/>
          <w:b/>
          <w:bCs/>
          <w:color w:val="auto"/>
          <w:szCs w:val="21"/>
          <w:highlight w:val="none"/>
        </w:rPr>
        <w:t>外币之间的汇率。</w:t>
      </w:r>
    </w:p>
    <w:p w14:paraId="2EA3BF69">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6.4响应文件按征集文件要求和规定编制，并保证所提供的全部资料的真实性，以使其响应文件对征集文件作出实质性响应，否则其风险由供应商自行承担。由于编排混乱导致响应文件被误读或查找不到，责任由供应商承担。</w:t>
      </w:r>
    </w:p>
    <w:p w14:paraId="61D5E81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6.5供应商应在响应文件中写清相应的项目编号、项目名称、供应商全称、地址、电话等。</w:t>
      </w:r>
    </w:p>
    <w:p w14:paraId="5D6BFEE4">
      <w:pPr>
        <w:widowControl/>
        <w:shd w:val="clear" w:color="auto" w:fill="FFFFFF"/>
        <w:spacing w:line="360" w:lineRule="auto"/>
        <w:ind w:firstLine="412"/>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6.6</w:t>
      </w:r>
      <w:r>
        <w:rPr>
          <w:rFonts w:hint="eastAsia" w:ascii="仿宋" w:hAnsi="仿宋" w:eastAsia="仿宋" w:cs="仿宋"/>
          <w:color w:val="auto"/>
          <w:szCs w:val="21"/>
          <w:highlight w:val="none"/>
        </w:rPr>
        <w:t>供应商根据征集文件载明的标的采购项目实际情况，拟在中标后将中标项目的非主体、非关键性工作交由他人完成的，应当在响应文件中载明。</w:t>
      </w:r>
    </w:p>
    <w:p w14:paraId="40207F11">
      <w:pPr>
        <w:widowControl/>
        <w:shd w:val="clear" w:color="auto" w:fill="FFFFFF"/>
        <w:spacing w:line="360" w:lineRule="auto"/>
        <w:ind w:firstLine="42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7、联合体投标</w:t>
      </w:r>
    </w:p>
    <w:p w14:paraId="1ECD8F3B">
      <w:pPr>
        <w:widowControl/>
        <w:shd w:val="clear" w:color="auto" w:fill="FFFFFF"/>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7.1 两个以上的自然人、法人或者其他组织可以组成一个联合体，以一个供应商的身份共同参加政府采购。</w:t>
      </w:r>
    </w:p>
    <w:p w14:paraId="2215D2B5">
      <w:pPr>
        <w:widowControl/>
        <w:shd w:val="clear" w:color="auto" w:fill="FFFFFF"/>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7.2 联合体中有同类资质的供应商按照联合体分工承担相同工作的，按照资质等级较低的供应商确定资质等级。</w:t>
      </w:r>
    </w:p>
    <w:p w14:paraId="42140977">
      <w:pPr>
        <w:widowControl/>
        <w:shd w:val="clear" w:color="auto" w:fill="FFFFFF"/>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7.3 联合体各方之间应当签订联合体协议，明确约定联合体各方承担的工作和相应的责任，并将联合体协议连同响应文件一同提交。</w:t>
      </w:r>
    </w:p>
    <w:p w14:paraId="48983512">
      <w:pPr>
        <w:widowControl/>
        <w:shd w:val="clear" w:color="auto" w:fill="FFFFFF"/>
        <w:spacing w:line="360" w:lineRule="auto"/>
        <w:ind w:firstLine="412"/>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7.4 以联合体形式参加政府采购活动的，联合体各方不得再单独参加或者与其他供应商另外组成联合体参加同一合同项下的政府采购活动。</w:t>
      </w:r>
    </w:p>
    <w:p w14:paraId="3E296DAB">
      <w:pPr>
        <w:widowControl/>
        <w:shd w:val="clear" w:color="auto" w:fill="FFFFFF"/>
        <w:spacing w:line="360" w:lineRule="auto"/>
        <w:ind w:firstLine="412"/>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8、响应文件的组成</w:t>
      </w:r>
    </w:p>
    <w:p w14:paraId="66606461">
      <w:pPr>
        <w:widowControl/>
        <w:shd w:val="clear" w:color="auto" w:fill="FFFFFF"/>
        <w:spacing w:line="360" w:lineRule="auto"/>
        <w:ind w:firstLine="42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8.1供应商应当根据征集文件要求编制响应文件，响应文件应对征集文件提出的要求和条件作出实质性响应，并在《商务要求响应及偏离表》和《技术要求响应及偏离表》等处逐条标明满足与否。</w:t>
      </w:r>
      <w:r>
        <w:rPr>
          <w:rFonts w:hint="eastAsia" w:ascii="仿宋" w:hAnsi="仿宋" w:eastAsia="仿宋" w:cs="仿宋"/>
          <w:b/>
          <w:color w:val="auto"/>
          <w:szCs w:val="21"/>
          <w:highlight w:val="none"/>
        </w:rPr>
        <w:t>对带</w:t>
      </w:r>
      <w:r>
        <w:rPr>
          <w:rFonts w:hint="eastAsia" w:ascii="仿宋" w:hAnsi="仿宋" w:eastAsia="仿宋" w:cs="仿宋"/>
          <w:b/>
          <w:bCs/>
          <w:color w:val="auto"/>
          <w:szCs w:val="21"/>
          <w:highlight w:val="none"/>
        </w:rPr>
        <w:t>星号（“</w:t>
      </w:r>
      <w:r>
        <w:rPr>
          <w:rFonts w:hint="eastAsia" w:ascii="仿宋" w:hAnsi="仿宋" w:eastAsia="仿宋" w:cs="仿宋"/>
          <w:b/>
          <w:bCs/>
          <w:color w:val="auto"/>
          <w:highlight w:val="none"/>
        </w:rPr>
        <w:t>★</w:t>
      </w:r>
      <w:r>
        <w:rPr>
          <w:rFonts w:hint="eastAsia" w:ascii="仿宋" w:hAnsi="仿宋" w:eastAsia="仿宋" w:cs="仿宋"/>
          <w:b/>
          <w:bCs/>
          <w:color w:val="auto"/>
          <w:szCs w:val="21"/>
          <w:highlight w:val="none"/>
        </w:rPr>
        <w:t>”）的技术条款必须在响应文件中提供技术支持资料（如白皮书、彩页、手册、检测报告等），未提供技术支持资料的，视为未对征集文件实质性要求作出响应，评审时不予认可。</w:t>
      </w:r>
    </w:p>
    <w:p w14:paraId="1D2B3E4C">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8.2 响应文件由商务部分、技术部分、价格部分以及其他部分组成。</w:t>
      </w:r>
    </w:p>
    <w:p w14:paraId="3861429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9、响应文件的商务部分</w:t>
      </w:r>
    </w:p>
    <w:p w14:paraId="66BF89EC">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9.1商务部分是证明供应商有资格参加投标和中标后有能力履行合同的文件，这些文件应能满足采购的要求，包括但不限于下列文件（</w:t>
      </w:r>
      <w:r>
        <w:rPr>
          <w:rFonts w:hint="eastAsia" w:ascii="仿宋" w:hAnsi="仿宋" w:eastAsia="仿宋" w:cs="仿宋"/>
          <w:b/>
          <w:color w:val="auto"/>
          <w:szCs w:val="21"/>
          <w:highlight w:val="none"/>
        </w:rPr>
        <w:t>（1）-（5）所述材料不得有缺失或提供不全或不满足征集文件的实质性要求</w:t>
      </w:r>
      <w:r>
        <w:rPr>
          <w:rFonts w:hint="eastAsia" w:ascii="仿宋" w:hAnsi="仿宋" w:eastAsia="仿宋" w:cs="仿宋"/>
          <w:color w:val="auto"/>
          <w:szCs w:val="21"/>
          <w:highlight w:val="none"/>
        </w:rPr>
        <w:t>）：</w:t>
      </w:r>
    </w:p>
    <w:p w14:paraId="62EC1D0C">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（1）响应函（响应申请及声明）</w:t>
      </w:r>
      <w:r>
        <w:rPr>
          <w:rFonts w:hint="eastAsia" w:ascii="仿宋" w:hAnsi="仿宋" w:eastAsia="仿宋" w:cs="仿宋"/>
          <w:bCs/>
          <w:color w:val="auto"/>
          <w:szCs w:val="21"/>
          <w:highlight w:val="none"/>
        </w:rPr>
        <w:t>（</w:t>
      </w:r>
      <w:r>
        <w:rPr>
          <w:rFonts w:hint="eastAsia" w:ascii="仿宋" w:hAnsi="仿宋" w:eastAsia="仿宋" w:cs="仿宋"/>
          <w:b/>
          <w:bCs/>
          <w:color w:val="auto"/>
          <w:szCs w:val="21"/>
          <w:highlight w:val="none"/>
        </w:rPr>
        <w:t>格式见第六章</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w:t>
      </w:r>
    </w:p>
    <w:p w14:paraId="02D91FB6">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（2）法人授权书</w:t>
      </w:r>
      <w:r>
        <w:rPr>
          <w:rFonts w:hint="eastAsia" w:ascii="仿宋" w:hAnsi="仿宋" w:eastAsia="仿宋" w:cs="仿宋"/>
          <w:bCs/>
          <w:color w:val="auto"/>
          <w:szCs w:val="21"/>
          <w:highlight w:val="none"/>
        </w:rPr>
        <w:t>（</w:t>
      </w:r>
      <w:r>
        <w:rPr>
          <w:rFonts w:hint="eastAsia" w:ascii="仿宋" w:hAnsi="仿宋" w:eastAsia="仿宋" w:cs="仿宋"/>
          <w:b/>
          <w:bCs/>
          <w:color w:val="auto"/>
          <w:szCs w:val="21"/>
          <w:highlight w:val="none"/>
        </w:rPr>
        <w:t>格式见第六章</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w:t>
      </w:r>
    </w:p>
    <w:p w14:paraId="59A60572">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（3）供应商资格资信证明文件：</w:t>
      </w:r>
    </w:p>
    <w:p w14:paraId="36E5E4AD">
      <w:pPr>
        <w:pStyle w:val="20"/>
        <w:numPr>
          <w:ilvl w:val="1"/>
          <w:numId w:val="2"/>
        </w:numPr>
        <w:tabs>
          <w:tab w:val="left" w:pos="840"/>
          <w:tab w:val="clear" w:pos="990"/>
        </w:tabs>
        <w:spacing w:line="360" w:lineRule="auto"/>
        <w:ind w:left="0" w:firstLine="368"/>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第一章征集公告中2.1《中华人民共和国政府采购法》规定的资格条件证明文件；</w:t>
      </w:r>
    </w:p>
    <w:p w14:paraId="02DECB53">
      <w:pPr>
        <w:pStyle w:val="20"/>
        <w:numPr>
          <w:ilvl w:val="1"/>
          <w:numId w:val="2"/>
        </w:numPr>
        <w:tabs>
          <w:tab w:val="left" w:pos="840"/>
          <w:tab w:val="clear" w:pos="990"/>
        </w:tabs>
        <w:spacing w:line="360" w:lineRule="auto"/>
        <w:ind w:left="0" w:firstLine="368"/>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第一章征集公告中2.2</w:t>
      </w:r>
      <w:r>
        <w:rPr>
          <w:rFonts w:hint="eastAsia" w:ascii="仿宋" w:hAnsi="仿宋" w:eastAsia="仿宋" w:cs="仿宋"/>
          <w:color w:val="auto"/>
          <w:spacing w:val="8"/>
          <w:szCs w:val="21"/>
          <w:highlight w:val="none"/>
        </w:rPr>
        <w:t>落实政府采购政策需满足的资格要求；</w:t>
      </w:r>
    </w:p>
    <w:p w14:paraId="09C6E963">
      <w:pPr>
        <w:pStyle w:val="20"/>
        <w:numPr>
          <w:ilvl w:val="1"/>
          <w:numId w:val="2"/>
        </w:numPr>
        <w:tabs>
          <w:tab w:val="left" w:pos="840"/>
          <w:tab w:val="clear" w:pos="990"/>
        </w:tabs>
        <w:spacing w:line="360" w:lineRule="auto"/>
        <w:ind w:left="0" w:firstLine="368"/>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第一章征集公告中2.3征集人根据采购项目的特殊要求规定的特定条件证明文件。</w:t>
      </w:r>
    </w:p>
    <w:p w14:paraId="410FE827">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（4）开标一览表</w:t>
      </w:r>
      <w:r>
        <w:rPr>
          <w:rFonts w:hint="eastAsia" w:ascii="仿宋" w:hAnsi="仿宋" w:eastAsia="仿宋" w:cs="仿宋"/>
          <w:bCs/>
          <w:color w:val="auto"/>
          <w:szCs w:val="21"/>
          <w:highlight w:val="none"/>
        </w:rPr>
        <w:t>（</w:t>
      </w:r>
      <w:r>
        <w:rPr>
          <w:rFonts w:hint="eastAsia" w:ascii="仿宋" w:hAnsi="仿宋" w:eastAsia="仿宋" w:cs="仿宋"/>
          <w:b/>
          <w:bCs/>
          <w:color w:val="auto"/>
          <w:szCs w:val="21"/>
          <w:highlight w:val="none"/>
        </w:rPr>
        <w:t>格式见第六章</w:t>
      </w:r>
      <w:r>
        <w:rPr>
          <w:rFonts w:hint="eastAsia" w:ascii="仿宋" w:hAnsi="仿宋" w:eastAsia="仿宋" w:cs="仿宋"/>
          <w:bCs/>
          <w:color w:val="auto"/>
          <w:szCs w:val="21"/>
          <w:highlight w:val="none"/>
        </w:rPr>
        <w:t>）；</w:t>
      </w:r>
    </w:p>
    <w:p w14:paraId="5D12D197">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（5）《南京市政府采购供应商信用记录表暨信用承诺书暨信用承诺书》</w:t>
      </w:r>
      <w:r>
        <w:rPr>
          <w:rFonts w:hint="eastAsia" w:ascii="仿宋" w:hAnsi="仿宋" w:eastAsia="仿宋" w:cs="仿宋"/>
          <w:b/>
          <w:color w:val="auto"/>
          <w:szCs w:val="21"/>
          <w:highlight w:val="none"/>
          <w:lang w:val="zh-CN"/>
        </w:rPr>
        <w:t>；</w:t>
      </w:r>
    </w:p>
    <w:p w14:paraId="57502B9D">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（6）《商务要求响应及偏离表》；</w:t>
      </w:r>
    </w:p>
    <w:p w14:paraId="05D6BB58">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（7）响应服务报价明细表</w:t>
      </w:r>
      <w:r>
        <w:rPr>
          <w:rFonts w:hint="eastAsia" w:ascii="仿宋" w:hAnsi="仿宋" w:eastAsia="仿宋" w:cs="仿宋"/>
          <w:bCs/>
          <w:color w:val="auto"/>
          <w:szCs w:val="21"/>
          <w:highlight w:val="none"/>
        </w:rPr>
        <w:t>（</w:t>
      </w:r>
      <w:r>
        <w:rPr>
          <w:rFonts w:hint="eastAsia" w:ascii="仿宋" w:hAnsi="仿宋" w:eastAsia="仿宋" w:cs="仿宋"/>
          <w:b/>
          <w:bCs/>
          <w:color w:val="auto"/>
          <w:szCs w:val="21"/>
          <w:highlight w:val="none"/>
        </w:rPr>
        <w:t>格式见附件</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w:t>
      </w:r>
    </w:p>
    <w:p w14:paraId="7F4A84AB">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（8）第三章确定入围及成交供应商中对应的其它所需证明材料（如有自行添加）；</w:t>
      </w:r>
    </w:p>
    <w:p w14:paraId="0E823C13">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（9）要求采购人提供的配合（如有自拟并自行添加）；</w:t>
      </w:r>
    </w:p>
    <w:p w14:paraId="38C6D368">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（10）其它（供应商认为有必要提供的声明和文件，如有，自行拟定并添加）。</w:t>
      </w:r>
    </w:p>
    <w:p w14:paraId="571230B9">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10、响应文件的技术部分</w:t>
      </w:r>
    </w:p>
    <w:p w14:paraId="5223601E">
      <w:pPr>
        <w:widowControl/>
        <w:spacing w:line="360" w:lineRule="auto"/>
        <w:ind w:firstLine="42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技术部分是证明</w:t>
      </w:r>
      <w:r>
        <w:rPr>
          <w:rFonts w:hint="eastAsia" w:ascii="仿宋" w:hAnsi="仿宋" w:eastAsia="仿宋" w:cs="仿宋"/>
          <w:color w:val="auto"/>
          <w:szCs w:val="21"/>
          <w:highlight w:val="none"/>
        </w:rPr>
        <w:t>供应商提供的货物和服务是合格的、并符合征集文件要求的证明文件，以及</w:t>
      </w:r>
      <w:r>
        <w:rPr>
          <w:rFonts w:hint="eastAsia" w:ascii="仿宋" w:hAnsi="仿宋" w:eastAsia="仿宋" w:cs="仿宋"/>
          <w:color w:val="auto"/>
          <w:szCs w:val="21"/>
          <w:highlight w:val="none"/>
          <w:lang w:val="zh-CN"/>
        </w:rPr>
        <w:t>对货物和服务的详细说明，这些文件可以是文字资料、图纸和数据等。提供的货物和服务如与征集文件要求有不符之处，应说明其差别之所在。包括但不限于下列文件：</w:t>
      </w:r>
    </w:p>
    <w:p w14:paraId="09C7CDFB">
      <w:pPr>
        <w:widowControl/>
        <w:spacing w:line="360" w:lineRule="auto"/>
        <w:ind w:firstLine="42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（1）技术说明或服务方案；</w:t>
      </w:r>
    </w:p>
    <w:p w14:paraId="6CBCAAC4">
      <w:pPr>
        <w:widowControl/>
        <w:spacing w:line="360" w:lineRule="auto"/>
        <w:ind w:firstLine="42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（2）《技术条款偏离表》；</w:t>
      </w:r>
    </w:p>
    <w:p w14:paraId="6DF648C3">
      <w:pPr>
        <w:widowControl/>
        <w:spacing w:line="360" w:lineRule="auto"/>
        <w:ind w:firstLine="42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（3）服务承诺；</w:t>
      </w:r>
    </w:p>
    <w:p w14:paraId="6010CD39">
      <w:pPr>
        <w:widowControl/>
        <w:spacing w:line="360" w:lineRule="auto"/>
        <w:ind w:firstLine="42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（4）供应商拟投入本项目的设备、人员情况一览表；</w:t>
      </w:r>
    </w:p>
    <w:p w14:paraId="7DA066D7">
      <w:pPr>
        <w:widowControl/>
        <w:spacing w:line="360" w:lineRule="auto"/>
        <w:ind w:firstLine="42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（5）供应商认为需要提供的其他技术资料。</w:t>
      </w:r>
    </w:p>
    <w:p w14:paraId="4129844B">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11、响应文件的价格部分</w:t>
      </w:r>
    </w:p>
    <w:p w14:paraId="6E6F10D8">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11.1价格部分是对采购标的价格构成的说明，征集文件如无特别说明，每一项货物及服务仅接受一个价格。</w:t>
      </w:r>
    </w:p>
    <w:p w14:paraId="347BDA96">
      <w:pPr>
        <w:pStyle w:val="10"/>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11.2报价应包含本次征集项目有关的所有费用，包括项目的成本、利润、间接费、税金、措施费、风险费、保险费用等所有费用，以及供应商认为需要的其他费用等。货物项目单价按照台（套）等计量单位确定，其中包含售后服务等相关服务费用。服务项目单价按照单位采购标的价格或者人工单价等确定。服务项目所涉及的货物的费用，能够折算入服务项目单价的应当折入，需要按实结算的应当明确结算规则。</w:t>
      </w:r>
    </w:p>
    <w:p w14:paraId="56244947">
      <w:pPr>
        <w:pStyle w:val="10"/>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最高限制单价是供应商第一阶段响应报价的最高限价。入围供应商第一阶段响应报价（有量价关系折扣的，包括量价关系折扣，以下统称协议价格）是采购人或者服务对象确定第二阶段成交供应商的最高限价。</w:t>
      </w:r>
    </w:p>
    <w:p w14:paraId="59F71035">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11.3供应商的任何错漏、优惠、竞争性报价不得作为减轻责任、减少服务、增加收费、降低质量的理由。</w:t>
      </w:r>
    </w:p>
    <w:p w14:paraId="595EF856">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11.4评审小组认为供应商的报价明显低于其他通过符合性审查的供应商的报价，有可能影响产品质量或者不能诚信履约的，按照【财库〔2026〕2号】要求处理。</w:t>
      </w:r>
    </w:p>
    <w:p w14:paraId="1C3FE5FD">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评标过程中出现下列情形之一的，评标委员会应当启动</w:t>
      </w:r>
      <w:bookmarkStart w:id="12" w:name="OLE_LINK7"/>
      <w:r>
        <w:rPr>
          <w:rFonts w:hint="eastAsia" w:ascii="仿宋" w:hAnsi="仿宋" w:eastAsia="仿宋" w:cs="仿宋"/>
          <w:color w:val="auto"/>
          <w:szCs w:val="21"/>
          <w:highlight w:val="none"/>
        </w:rPr>
        <w:t>异常低价</w:t>
      </w:r>
      <w:bookmarkEnd w:id="12"/>
      <w:r>
        <w:rPr>
          <w:rFonts w:hint="eastAsia" w:ascii="仿宋" w:hAnsi="仿宋" w:eastAsia="仿宋" w:cs="仿宋"/>
          <w:color w:val="auto"/>
          <w:szCs w:val="21"/>
          <w:highlight w:val="none"/>
        </w:rPr>
        <w:t xml:space="preserve">投标审查程序： </w:t>
      </w:r>
    </w:p>
    <w:p w14:paraId="4FA6FFC9">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（1）投标（响应）报价低于全部通过符合性审查供应商投标（响应）报价平均值50%的，即投标（响应）报价&lt;全部通过符合性审查供应商投标（响应）报价平均值×50%；</w:t>
      </w:r>
    </w:p>
    <w:p w14:paraId="3E1AD68D">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（2）投标（响应）报价低于通过符合性审查的次低报价供应商投标（响应）报价50%的，即投标（响应）报价&lt;通过符合性审查的次低报价供应商投标（响应）报价×50%；</w:t>
      </w:r>
    </w:p>
    <w:p w14:paraId="436D329D">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（3）投标（响应）报价低于采购项目最高限价45%的，即投标（响应）报价&lt;采购项目最高限价×45%；</w:t>
      </w:r>
    </w:p>
    <w:p w14:paraId="4D47ADB2">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（4）评审委员会基于专业判断，认为供应商报价过低，有可能影响产品质量或者不能诚信履约的其他情形。</w:t>
      </w:r>
    </w:p>
    <w:p w14:paraId="79A2D3B4">
      <w:pPr>
        <w:pStyle w:val="2"/>
        <w:spacing w:line="360" w:lineRule="auto"/>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评审委员会启动异常低价投标（响应）审查后，属于前述第1项至第4项情形的，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1747B858">
      <w:pPr>
        <w:pStyle w:val="2"/>
        <w:spacing w:line="360" w:lineRule="auto"/>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A5A8993">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11.5对于采用货币报价的项目，开标一览表中的投标总报价应与报价明细表中的总报价一致，如不一致以开标一览表中价格为准。</w:t>
      </w:r>
    </w:p>
    <w:p w14:paraId="376BC802">
      <w:pPr>
        <w:widowControl/>
        <w:shd w:val="clear" w:color="auto" w:fill="FFFFFF"/>
        <w:spacing w:line="360" w:lineRule="auto"/>
        <w:ind w:firstLine="42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11.</w:t>
      </w:r>
      <w:r>
        <w:rPr>
          <w:rFonts w:hint="eastAsia" w:ascii="仿宋" w:hAnsi="仿宋" w:eastAsia="仿宋" w:cs="仿宋"/>
          <w:color w:val="auto"/>
          <w:szCs w:val="21"/>
          <w:highlight w:val="none"/>
          <w:lang w:val="en-US" w:eastAsia="zh-CN"/>
        </w:rPr>
        <w:t>6本项目招标代理服务费及评审费由征集人支付。</w:t>
      </w:r>
    </w:p>
    <w:p w14:paraId="03E65A06">
      <w:pPr>
        <w:widowControl/>
        <w:shd w:val="clear" w:color="auto" w:fill="FFFFFF"/>
        <w:spacing w:line="360" w:lineRule="auto"/>
        <w:ind w:firstLine="42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11.</w:t>
      </w:r>
      <w:r>
        <w:rPr>
          <w:rFonts w:hint="eastAsia" w:ascii="仿宋" w:hAnsi="仿宋" w:eastAsia="仿宋" w:cs="仿宋"/>
          <w:b/>
          <w:bCs/>
          <w:color w:val="auto"/>
          <w:szCs w:val="21"/>
          <w:highlight w:val="none"/>
          <w:lang w:val="en-US" w:eastAsia="zh-CN"/>
        </w:rPr>
        <w:t>7</w:t>
      </w:r>
      <w:r>
        <w:rPr>
          <w:rFonts w:hint="eastAsia" w:ascii="仿宋" w:hAnsi="仿宋" w:eastAsia="仿宋" w:cs="仿宋"/>
          <w:b/>
          <w:bCs/>
          <w:color w:val="auto"/>
          <w:szCs w:val="21"/>
          <w:highlight w:val="none"/>
        </w:rPr>
        <w:t xml:space="preserve"> 本项目预算为：详见第一章。</w:t>
      </w:r>
    </w:p>
    <w:p w14:paraId="09BC55EF">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12、响应文件的其他部分</w:t>
      </w:r>
    </w:p>
    <w:p w14:paraId="50AAB3F3">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12.1 其他部分由供应商根据编制响应文件需要提供的其他相关文件组成。</w:t>
      </w:r>
    </w:p>
    <w:p w14:paraId="544765AA">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12.2 </w:t>
      </w:r>
      <w:r>
        <w:rPr>
          <w:rFonts w:hint="eastAsia" w:ascii="仿宋" w:hAnsi="仿宋" w:eastAsia="仿宋" w:cs="仿宋"/>
          <w:color w:val="auto"/>
          <w:szCs w:val="21"/>
          <w:highlight w:val="none"/>
          <w:lang w:val="zh-CN"/>
        </w:rPr>
        <w:t>如标书制作工具中格式和内容与“南京公共采购信息网、江苏政府采购网、中国政府采购网”发布的</w:t>
      </w:r>
      <w:r>
        <w:rPr>
          <w:rFonts w:hint="eastAsia" w:ascii="仿宋" w:hAnsi="仿宋" w:eastAsia="仿宋" w:cs="仿宋"/>
          <w:color w:val="auto"/>
          <w:szCs w:val="21"/>
          <w:highlight w:val="none"/>
        </w:rPr>
        <w:t>采购</w:t>
      </w:r>
      <w:r>
        <w:rPr>
          <w:rFonts w:hint="eastAsia" w:ascii="仿宋" w:hAnsi="仿宋" w:eastAsia="仿宋" w:cs="仿宋"/>
          <w:color w:val="auto"/>
          <w:szCs w:val="21"/>
          <w:highlight w:val="none"/>
          <w:lang w:val="zh-CN"/>
        </w:rPr>
        <w:t>文件不一致，以</w:t>
      </w:r>
      <w:r>
        <w:rPr>
          <w:rFonts w:hint="eastAsia" w:ascii="仿宋" w:hAnsi="仿宋" w:eastAsia="仿宋" w:cs="仿宋"/>
          <w:color w:val="auto"/>
          <w:szCs w:val="21"/>
          <w:highlight w:val="none"/>
        </w:rPr>
        <w:t>上述网站</w:t>
      </w:r>
      <w:r>
        <w:rPr>
          <w:rFonts w:hint="eastAsia" w:ascii="仿宋" w:hAnsi="仿宋" w:eastAsia="仿宋" w:cs="仿宋"/>
          <w:color w:val="auto"/>
          <w:szCs w:val="21"/>
          <w:highlight w:val="none"/>
          <w:lang w:val="zh-CN"/>
        </w:rPr>
        <w:t>发布的</w:t>
      </w:r>
      <w:r>
        <w:rPr>
          <w:rFonts w:hint="eastAsia" w:ascii="仿宋" w:hAnsi="仿宋" w:eastAsia="仿宋" w:cs="仿宋"/>
          <w:color w:val="auto"/>
          <w:szCs w:val="21"/>
          <w:highlight w:val="none"/>
        </w:rPr>
        <w:t>采购</w:t>
      </w:r>
      <w:r>
        <w:rPr>
          <w:rFonts w:hint="eastAsia" w:ascii="仿宋" w:hAnsi="仿宋" w:eastAsia="仿宋" w:cs="仿宋"/>
          <w:color w:val="auto"/>
          <w:szCs w:val="21"/>
          <w:highlight w:val="none"/>
          <w:lang w:val="zh-CN"/>
        </w:rPr>
        <w:t>文件为准。</w:t>
      </w:r>
    </w:p>
    <w:p w14:paraId="6A5F6623">
      <w:pPr>
        <w:widowControl/>
        <w:shd w:val="clear" w:color="auto" w:fill="FFFFFF"/>
        <w:spacing w:line="360" w:lineRule="auto"/>
        <w:ind w:firstLine="42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13、投标保证金（无需缴纳）</w:t>
      </w:r>
    </w:p>
    <w:p w14:paraId="38BBAD3F">
      <w:pPr>
        <w:widowControl/>
        <w:shd w:val="clear" w:color="auto" w:fill="FFFFFF"/>
        <w:spacing w:line="360" w:lineRule="auto"/>
        <w:ind w:firstLine="42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14、响应文件有效期</w:t>
      </w:r>
    </w:p>
    <w:p w14:paraId="7E812CCE">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14.1 </w:t>
      </w:r>
      <w:r>
        <w:rPr>
          <w:rFonts w:hint="eastAsia" w:ascii="仿宋" w:hAnsi="仿宋" w:eastAsia="仿宋" w:cs="仿宋"/>
          <w:color w:val="auto"/>
          <w:szCs w:val="21"/>
          <w:highlight w:val="none"/>
          <w:lang w:val="zh-CN"/>
        </w:rPr>
        <w:t>响应文件有效期为响应文件提交截止时间之日后九十（90）天。响应文件有效期比规定短的将被视为未实质性响应征集文件而予以拒绝</w:t>
      </w:r>
      <w:r>
        <w:rPr>
          <w:rFonts w:hint="eastAsia" w:ascii="仿宋" w:hAnsi="仿宋" w:eastAsia="仿宋" w:cs="仿宋"/>
          <w:b/>
          <w:color w:val="auto"/>
          <w:highlight w:val="none"/>
        </w:rPr>
        <w:t>。</w:t>
      </w:r>
    </w:p>
    <w:p w14:paraId="375BB6E3">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14.2 </w:t>
      </w:r>
      <w:r>
        <w:rPr>
          <w:rFonts w:hint="eastAsia" w:ascii="仿宋" w:hAnsi="仿宋" w:eastAsia="仿宋" w:cs="仿宋"/>
          <w:color w:val="auto"/>
          <w:szCs w:val="21"/>
          <w:highlight w:val="none"/>
          <w:lang w:val="zh-CN"/>
        </w:rPr>
        <w:t>在特殊情况下，征集人于原响应文件有效期满之前，可向供应商提出延长响应文件有效期的要求。这种要求与答复均应采用书面形式。供应商可以拒绝这一要求而放弃参加采购活动，同意延长响应文件有效期的供应商既不能要求也不允许修改其响应文件。受响应文件有效期约束的所有权利与义务均延长至新的有效期。。</w:t>
      </w:r>
    </w:p>
    <w:p w14:paraId="3159DBAB">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15、响应文件签署</w:t>
      </w:r>
    </w:p>
    <w:p w14:paraId="2BCD101D">
      <w:pPr>
        <w:widowControl/>
        <w:shd w:val="clear" w:color="auto" w:fill="FFFFFF"/>
        <w:spacing w:line="360" w:lineRule="auto"/>
        <w:ind w:firstLine="42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15.1 响应文件应按照征集文件要求加盖电子公章，否则视为无效投标。</w:t>
      </w:r>
    </w:p>
    <w:p w14:paraId="2D2FBE5F">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16、投标费用</w:t>
      </w:r>
    </w:p>
    <w:p w14:paraId="27015616">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16.1 供应商应承担所有与准备和参加投标有关的费用，无论招标结果如何，征集人和采购人在任何情况下均无义务和责任承担这些费用。</w:t>
      </w:r>
    </w:p>
    <w:p w14:paraId="09D09715">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四、响应文件的递交</w:t>
      </w:r>
    </w:p>
    <w:p w14:paraId="1A1DAD47">
      <w:pPr>
        <w:widowControl/>
        <w:shd w:val="clear" w:color="auto" w:fill="FFFFFF"/>
        <w:spacing w:line="360" w:lineRule="auto"/>
        <w:ind w:firstLine="370"/>
        <w:rPr>
          <w:rFonts w:hint="eastAsia" w:ascii="仿宋" w:hAnsi="仿宋" w:eastAsia="仿宋" w:cs="仿宋"/>
          <w:color w:val="auto"/>
          <w:spacing w:val="8"/>
          <w:highlight w:val="none"/>
        </w:rPr>
      </w:pPr>
      <w:r>
        <w:rPr>
          <w:rFonts w:hint="eastAsia" w:ascii="仿宋" w:hAnsi="仿宋" w:eastAsia="仿宋" w:cs="仿宋"/>
          <w:color w:val="auto"/>
          <w:szCs w:val="21"/>
          <w:highlight w:val="none"/>
        </w:rPr>
        <w:t xml:space="preserve">17.1 </w:t>
      </w:r>
      <w:r>
        <w:rPr>
          <w:rFonts w:hint="eastAsia" w:ascii="仿宋" w:hAnsi="仿宋" w:eastAsia="仿宋" w:cs="仿宋"/>
          <w:color w:val="auto"/>
          <w:spacing w:val="8"/>
          <w:szCs w:val="21"/>
          <w:highlight w:val="none"/>
        </w:rPr>
        <w:t>供应商应当按照《操作手册》规定，在征集公告规定的投标截止时间前制作并上传电子响应文件。征集人拒绝接收提交响应文件截止时间后上传的任何电子响应文件。</w:t>
      </w:r>
    </w:p>
    <w:p w14:paraId="550EAAED">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18、响应文件的解密</w:t>
      </w:r>
    </w:p>
    <w:p w14:paraId="5397995D">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18.1 供应商应当按照《操作手册》规定，在“苏采云”系统规定的时间内对响应文件进行解密。</w:t>
      </w:r>
    </w:p>
    <w:p w14:paraId="6243D2DA">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18.2 供应商应充分考虑网络环境、网络带宽等因素可能对投标产生的影响，如因供应商自身原因造成的电子响应文件解密不成功的，做无效响应处理。</w:t>
      </w:r>
    </w:p>
    <w:p w14:paraId="1FE0696F">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19、响应文件的修改和撤回</w:t>
      </w:r>
    </w:p>
    <w:p w14:paraId="3A54A23A">
      <w:pPr>
        <w:widowControl/>
        <w:shd w:val="clear" w:color="auto" w:fill="FFFFFF"/>
        <w:spacing w:line="360" w:lineRule="auto"/>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19.1 响应文件的撤回</w:t>
      </w:r>
    </w:p>
    <w:p w14:paraId="53B36A5C">
      <w:pPr>
        <w:widowControl/>
        <w:shd w:val="clear" w:color="auto" w:fill="FFFFFF"/>
        <w:spacing w:line="360" w:lineRule="auto"/>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19.1.1 电子响应文件的撤回</w:t>
      </w:r>
    </w:p>
    <w:p w14:paraId="6D898C54">
      <w:pPr>
        <w:widowControl/>
        <w:shd w:val="clear" w:color="auto" w:fill="FFFFFF"/>
        <w:spacing w:line="360" w:lineRule="auto"/>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供应商可在响应文件提交截止时间前，撤回其电子响应文件，具体操作方法见《操作手册》。</w:t>
      </w:r>
    </w:p>
    <w:p w14:paraId="48B5C994">
      <w:pPr>
        <w:widowControl/>
        <w:shd w:val="clear" w:color="auto" w:fill="FFFFFF"/>
        <w:spacing w:line="360" w:lineRule="auto"/>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19.1.2 供应商撤回电子响应文件，则认为其不再参与本项采购活动。</w:t>
      </w:r>
    </w:p>
    <w:p w14:paraId="23F94DD3">
      <w:pPr>
        <w:widowControl/>
        <w:shd w:val="clear" w:color="auto" w:fill="FFFFFF"/>
        <w:spacing w:line="360" w:lineRule="auto"/>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19.2 响应文件的修改</w:t>
      </w:r>
    </w:p>
    <w:p w14:paraId="6AD1DEDE">
      <w:pPr>
        <w:widowControl/>
        <w:shd w:val="clear" w:color="auto" w:fill="FFFFFF"/>
        <w:spacing w:line="360" w:lineRule="auto"/>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供应商可在响应文件提交截止时间前，对其电子响应文件进行修改，具体操作方法见《操作手册》。</w:t>
      </w:r>
    </w:p>
    <w:p w14:paraId="7B683129">
      <w:pPr>
        <w:widowControl/>
        <w:shd w:val="clear" w:color="auto" w:fill="FFFFFF"/>
        <w:spacing w:line="360" w:lineRule="auto"/>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19.3 在响应文件提交截止时间之后，供应商不得对其电子响应文件作任何修改。</w:t>
      </w:r>
    </w:p>
    <w:p w14:paraId="368D842E">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19.4 在响应文件提交截止时间至征集文件中规定的响应文件有效期满之间的这段时间内，供应商不得撤回其电子响应文件。</w:t>
      </w:r>
      <w:r>
        <w:rPr>
          <w:rFonts w:hint="eastAsia" w:ascii="仿宋" w:hAnsi="仿宋" w:eastAsia="仿宋" w:cs="仿宋"/>
          <w:color w:val="auto"/>
          <w:szCs w:val="21"/>
          <w:highlight w:val="none"/>
        </w:rPr>
        <w:t>如撤回，投标保证金不予退还。</w:t>
      </w:r>
    </w:p>
    <w:p w14:paraId="24227883">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20、诚实信用</w:t>
      </w:r>
    </w:p>
    <w:p w14:paraId="35E659F2">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20.1供应商应当遵循公平竞争的原则，不得恶意串通，不得妨碍其他供应商的竞争行为，不得损害采购人或者其他供应商的合法权益。</w:t>
      </w:r>
    </w:p>
    <w:p w14:paraId="7C209F84">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20.2在评审过程中发现供应商有上述情形的，评审小组应当认定其投标无效，并书面报告本级财政部门。</w:t>
      </w:r>
    </w:p>
    <w:p w14:paraId="0C856BDB">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五、开启、评审与定标</w:t>
      </w:r>
    </w:p>
    <w:p w14:paraId="21AC596D">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21、开启</w:t>
      </w:r>
    </w:p>
    <w:p w14:paraId="5CD34F36">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21.1 征集人</w:t>
      </w:r>
      <w:r>
        <w:rPr>
          <w:rFonts w:hint="eastAsia" w:ascii="仿宋" w:hAnsi="仿宋" w:eastAsia="仿宋" w:cs="仿宋"/>
          <w:color w:val="auto"/>
          <w:szCs w:val="21"/>
          <w:highlight w:val="none"/>
          <w:lang w:val="zh-CN"/>
        </w:rPr>
        <w:t>将在征集公告中规定的时间和地点组织开启响应文件。供应商应当按照《操作手册》规定，参加响应文件开启和在“苏采云”系统规定的时间内对电子响应文件进行解密。</w:t>
      </w:r>
    </w:p>
    <w:p w14:paraId="5616405A">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21.2 供应商在</w:t>
      </w:r>
      <w:r>
        <w:rPr>
          <w:rFonts w:hint="eastAsia" w:ascii="仿宋" w:hAnsi="仿宋" w:eastAsia="仿宋" w:cs="仿宋"/>
          <w:color w:val="auto"/>
          <w:szCs w:val="21"/>
          <w:highlight w:val="none"/>
          <w:lang w:val="zh-CN"/>
        </w:rPr>
        <w:t>响应文件开启过程</w:t>
      </w:r>
      <w:r>
        <w:rPr>
          <w:rFonts w:hint="eastAsia" w:ascii="仿宋" w:hAnsi="仿宋" w:eastAsia="仿宋" w:cs="仿宋"/>
          <w:color w:val="auto"/>
          <w:szCs w:val="21"/>
          <w:highlight w:val="none"/>
        </w:rPr>
        <w:t>中涉及到的响应文件解密、结果确认等工作，应按照《操作手册》规定执行。</w:t>
      </w:r>
    </w:p>
    <w:p w14:paraId="1D84D3AB">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21.3 供应商如果对开启过程和开启记录有疑义，应当根据《操作手册》规定提出，如 “苏采云”系统中《开标记录表》公布后5分钟内未提出的，视同认可开启结果。</w:t>
      </w:r>
    </w:p>
    <w:p w14:paraId="67F67997">
      <w:pPr>
        <w:spacing w:line="360" w:lineRule="auto"/>
        <w:ind w:firstLine="422"/>
        <w:rPr>
          <w:rFonts w:hint="eastAsia" w:ascii="仿宋" w:hAnsi="仿宋" w:eastAsia="仿宋" w:cs="仿宋"/>
          <w:b/>
          <w:bCs/>
          <w:color w:val="auto"/>
          <w:highlight w:val="none"/>
        </w:rPr>
      </w:pPr>
      <w:r>
        <w:rPr>
          <w:rFonts w:hint="eastAsia" w:ascii="仿宋" w:hAnsi="仿宋" w:eastAsia="仿宋" w:cs="仿宋"/>
          <w:b/>
          <w:bCs/>
          <w:color w:val="auto"/>
          <w:szCs w:val="21"/>
          <w:highlight w:val="none"/>
        </w:rPr>
        <w:t xml:space="preserve">21.4 </w:t>
      </w:r>
      <w:r>
        <w:rPr>
          <w:rFonts w:hint="eastAsia" w:ascii="仿宋" w:hAnsi="仿宋" w:eastAsia="仿宋" w:cs="仿宋"/>
          <w:b/>
          <w:bCs/>
          <w:color w:val="auto"/>
          <w:highlight w:val="none"/>
        </w:rPr>
        <w:t>确定第一阶段入围供应商时，符合资格条件、实质性要求的供应商应当均不少于2家，淘汰比例一般不得低于20%，且至少淘汰一家供应商。</w:t>
      </w:r>
    </w:p>
    <w:p w14:paraId="4058B9BD">
      <w:pPr>
        <w:widowControl/>
        <w:shd w:val="clear" w:color="auto" w:fill="FFFFFF"/>
        <w:spacing w:line="360" w:lineRule="auto"/>
        <w:ind w:firstLine="420"/>
        <w:rPr>
          <w:rFonts w:hint="eastAsia" w:ascii="仿宋" w:hAnsi="仿宋" w:eastAsia="仿宋" w:cs="仿宋"/>
          <w:b/>
          <w:bCs/>
          <w:strike/>
          <w:color w:val="auto"/>
          <w:szCs w:val="21"/>
          <w:highlight w:val="none"/>
        </w:rPr>
      </w:pPr>
      <w:r>
        <w:rPr>
          <w:rFonts w:hint="eastAsia" w:ascii="仿宋" w:hAnsi="仿宋" w:eastAsia="仿宋" w:cs="仿宋"/>
          <w:b/>
          <w:bCs/>
          <w:color w:val="auto"/>
          <w:highlight w:val="none"/>
        </w:rPr>
        <w:t>提交响应文件的供应商少于2家的，不得开启。</w:t>
      </w:r>
    </w:p>
    <w:p w14:paraId="0E543D0D">
      <w:pPr>
        <w:spacing w:line="360" w:lineRule="auto"/>
        <w:ind w:firstLine="420"/>
        <w:rPr>
          <w:rFonts w:hint="eastAsia" w:ascii="仿宋" w:hAnsi="仿宋" w:eastAsia="仿宋" w:cs="仿宋"/>
          <w:color w:val="auto"/>
          <w:highlight w:val="none"/>
        </w:rPr>
      </w:pPr>
      <w:r>
        <w:rPr>
          <w:rFonts w:hint="eastAsia" w:ascii="仿宋" w:hAnsi="仿宋" w:eastAsia="仿宋" w:cs="仿宋"/>
          <w:color w:val="auto"/>
          <w:szCs w:val="21"/>
          <w:highlight w:val="none"/>
        </w:rPr>
        <w:t>21.5</w:t>
      </w:r>
      <w:r>
        <w:rPr>
          <w:rFonts w:hint="eastAsia" w:ascii="仿宋" w:hAnsi="仿宋" w:eastAsia="仿宋" w:cs="仿宋"/>
          <w:color w:val="auto"/>
          <w:highlight w:val="none"/>
        </w:rPr>
        <w:t xml:space="preserve"> 符合资格条件、实质性要求的供应商少于2家的，除采购任务取消情形外，按照以下方式处理：</w:t>
      </w:r>
    </w:p>
    <w:p w14:paraId="060BC989">
      <w:pPr>
        <w:spacing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（1）征集文件存在不合理条款或者征集程序不符合规定的，采购人、征集人改正后依法重新征集；</w:t>
      </w:r>
    </w:p>
    <w:p w14:paraId="256A88E7">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highlight w:val="none"/>
        </w:rPr>
        <w:t>（2）征集文件没有不合理条款、征集程序符合规定，需要采用其他采购方式采购的，采购人依法报财政部门批准，</w:t>
      </w:r>
      <w:r>
        <w:rPr>
          <w:rFonts w:hint="eastAsia" w:ascii="仿宋" w:hAnsi="仿宋" w:eastAsia="仿宋" w:cs="仿宋"/>
          <w:color w:val="auto"/>
          <w:szCs w:val="21"/>
          <w:highlight w:val="none"/>
        </w:rPr>
        <w:t>经批准后，可变更为其他采购方式采购。本次征集文件中对供应商资格条件要求、技术要求和商务等要求，将作为其他采购方式采购的基本要求和谈判依据。</w:t>
      </w:r>
    </w:p>
    <w:p w14:paraId="2471F2B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22、评审</w:t>
      </w:r>
    </w:p>
    <w:p w14:paraId="20FCE8A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22.1 评审小组</w:t>
      </w:r>
    </w:p>
    <w:p w14:paraId="26804ACA">
      <w:pPr>
        <w:widowControl/>
        <w:shd w:val="clear" w:color="auto" w:fill="FFFFFF"/>
        <w:spacing w:line="360" w:lineRule="auto"/>
        <w:ind w:firstLine="420"/>
        <w:rPr>
          <w:rFonts w:hint="eastAsia" w:ascii="仿宋" w:hAnsi="仿宋" w:eastAsia="仿宋" w:cs="仿宋"/>
          <w:bCs/>
          <w:color w:val="auto"/>
          <w:szCs w:val="21"/>
          <w:highlight w:val="none"/>
        </w:rPr>
      </w:pPr>
      <w:r>
        <w:rPr>
          <w:rFonts w:hint="eastAsia" w:ascii="仿宋" w:hAnsi="仿宋" w:eastAsia="仿宋" w:cs="仿宋"/>
          <w:b/>
          <w:bCs/>
          <w:color w:val="auto"/>
          <w:szCs w:val="21"/>
          <w:highlight w:val="none"/>
        </w:rPr>
        <w:t>22.1.1</w:t>
      </w:r>
      <w:r>
        <w:rPr>
          <w:rFonts w:hint="eastAsia" w:ascii="仿宋" w:hAnsi="仿宋" w:eastAsia="仿宋" w:cs="仿宋"/>
          <w:bCs/>
          <w:color w:val="auto"/>
          <w:szCs w:val="21"/>
          <w:highlight w:val="none"/>
        </w:rPr>
        <w:t>评审小组负责具体评审事务，并独立履行下列职责：</w:t>
      </w:r>
    </w:p>
    <w:p w14:paraId="314026E6">
      <w:pPr>
        <w:widowControl/>
        <w:shd w:val="clear" w:color="auto" w:fill="FFFFFF"/>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（一）审查、评价响应文件是否符合征集文件的商务、技术等实质性要求；</w:t>
      </w:r>
    </w:p>
    <w:p w14:paraId="44979784">
      <w:pPr>
        <w:widowControl/>
        <w:shd w:val="clear" w:color="auto" w:fill="FFFFFF"/>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（二）要求供应商对响应文件有关事项作出澄清或者说明；</w:t>
      </w:r>
    </w:p>
    <w:p w14:paraId="23D7521E">
      <w:pPr>
        <w:widowControl/>
        <w:shd w:val="clear" w:color="auto" w:fill="FFFFFF"/>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（三）对响应文件进行比较和评价；</w:t>
      </w:r>
    </w:p>
    <w:p w14:paraId="0B598738">
      <w:pPr>
        <w:widowControl/>
        <w:shd w:val="clear" w:color="auto" w:fill="FFFFFF"/>
        <w:spacing w:line="360" w:lineRule="auto"/>
        <w:ind w:firstLine="42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（四）确定入围供应商名单，以及根据采购人委托直接确定入围供应商；</w:t>
      </w:r>
    </w:p>
    <w:p w14:paraId="0F61B88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（五）向采购人、征集人或者有关部门报告评审中发现的违法行为。</w:t>
      </w:r>
    </w:p>
    <w:p w14:paraId="3F1E3A8A">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22.1.2 </w:t>
      </w:r>
      <w:r>
        <w:rPr>
          <w:rFonts w:hint="eastAsia" w:ascii="仿宋" w:hAnsi="仿宋" w:eastAsia="仿宋" w:cs="仿宋"/>
          <w:color w:val="auto"/>
          <w:szCs w:val="21"/>
          <w:highlight w:val="none"/>
        </w:rPr>
        <w:t>评审小组由</w:t>
      </w:r>
      <w:r>
        <w:rPr>
          <w:rFonts w:hint="eastAsia" w:ascii="仿宋" w:hAnsi="仿宋" w:eastAsia="仿宋" w:cs="仿宋"/>
          <w:bCs/>
          <w:color w:val="auto"/>
          <w:szCs w:val="21"/>
          <w:highlight w:val="none"/>
        </w:rPr>
        <w:t>采购人</w:t>
      </w:r>
      <w:r>
        <w:rPr>
          <w:rFonts w:hint="eastAsia" w:ascii="仿宋" w:hAnsi="仿宋" w:eastAsia="仿宋" w:cs="仿宋"/>
          <w:color w:val="auto"/>
          <w:szCs w:val="21"/>
          <w:highlight w:val="none"/>
        </w:rPr>
        <w:t>代表和有关技术、经济等方面的专家组成，独立开展评审工作。</w:t>
      </w:r>
    </w:p>
    <w:p w14:paraId="0B3B56B7">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22.2  评审程序</w:t>
      </w:r>
    </w:p>
    <w:p w14:paraId="5C8A24AB">
      <w:pPr>
        <w:widowControl/>
        <w:shd w:val="clear" w:color="auto" w:fill="FFFFFF"/>
        <w:spacing w:line="360" w:lineRule="auto"/>
        <w:ind w:firstLine="420"/>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22.2.1 </w:t>
      </w:r>
      <w:r>
        <w:rPr>
          <w:rFonts w:hint="eastAsia" w:ascii="仿宋" w:hAnsi="仿宋" w:eastAsia="仿宋" w:cs="仿宋"/>
          <w:b/>
          <w:bCs/>
          <w:color w:val="auto"/>
          <w:szCs w:val="21"/>
          <w:highlight w:val="none"/>
        </w:rPr>
        <w:t>响应文件的资格性检查。</w:t>
      </w:r>
      <w:r>
        <w:rPr>
          <w:rFonts w:hint="eastAsia" w:ascii="仿宋" w:hAnsi="仿宋" w:eastAsia="仿宋" w:cs="仿宋"/>
          <w:color w:val="auto"/>
          <w:szCs w:val="21"/>
          <w:highlight w:val="none"/>
        </w:rPr>
        <w:t>公开征集采购项目开标结束后，</w:t>
      </w:r>
      <w:r>
        <w:rPr>
          <w:rFonts w:hint="eastAsia" w:ascii="仿宋" w:hAnsi="仿宋" w:eastAsia="仿宋" w:cs="仿宋"/>
          <w:color w:val="auto"/>
          <w:highlight w:val="none"/>
        </w:rPr>
        <w:t>采购人</w:t>
      </w:r>
      <w:r>
        <w:rPr>
          <w:rFonts w:hint="eastAsia" w:ascii="仿宋" w:hAnsi="仿宋" w:eastAsia="仿宋" w:cs="仿宋"/>
          <w:color w:val="auto"/>
          <w:szCs w:val="21"/>
          <w:highlight w:val="none"/>
        </w:rPr>
        <w:t>或者</w:t>
      </w:r>
      <w:r>
        <w:rPr>
          <w:rFonts w:hint="eastAsia" w:ascii="仿宋" w:hAnsi="仿宋" w:eastAsia="仿宋" w:cs="仿宋"/>
          <w:color w:val="auto"/>
          <w:highlight w:val="none"/>
        </w:rPr>
        <w:t>征集人</w:t>
      </w:r>
      <w:r>
        <w:rPr>
          <w:rFonts w:hint="eastAsia" w:ascii="仿宋" w:hAnsi="仿宋" w:eastAsia="仿宋" w:cs="仿宋"/>
          <w:color w:val="auto"/>
          <w:szCs w:val="21"/>
          <w:highlight w:val="none"/>
        </w:rPr>
        <w:t>应当依法对供应商的资格进行审查。符合资格条件、实质性要求的供应商应当均不少于2家。</w:t>
      </w:r>
    </w:p>
    <w:p w14:paraId="6D1713CE">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22.2.2 响应文件的符合性审查</w:t>
      </w:r>
      <w:r>
        <w:rPr>
          <w:rFonts w:hint="eastAsia" w:ascii="仿宋" w:hAnsi="仿宋" w:eastAsia="仿宋" w:cs="仿宋"/>
          <w:color w:val="auto"/>
          <w:szCs w:val="21"/>
          <w:highlight w:val="none"/>
        </w:rPr>
        <w:t>。评审小组对通过资格性检查的供应商的响应文件进行符合性审查，以确定其是否满足征集文件的实质性要求。响应文件有下列情况之一的，在符合性检查时按照无效投标处理：</w:t>
      </w:r>
    </w:p>
    <w:p w14:paraId="2F7CC9B4">
      <w:pPr>
        <w:widowControl/>
        <w:shd w:val="clear" w:color="auto" w:fill="FFFFFF"/>
        <w:spacing w:line="360" w:lineRule="auto"/>
        <w:ind w:firstLine="420"/>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（1）同一供应商提交两个（含两个）以上不同的投标报价的；</w:t>
      </w:r>
    </w:p>
    <w:p w14:paraId="1A1A5350">
      <w:pPr>
        <w:widowControl/>
        <w:shd w:val="clear" w:color="auto" w:fill="FFFFFF"/>
        <w:spacing w:line="360" w:lineRule="auto"/>
        <w:ind w:firstLine="420"/>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（2）未按照征集文件规定要求加盖电子公章的</w:t>
      </w:r>
      <w:r>
        <w:rPr>
          <w:rFonts w:hint="eastAsia" w:ascii="仿宋" w:hAnsi="仿宋" w:eastAsia="仿宋" w:cs="仿宋"/>
          <w:b/>
          <w:bCs/>
          <w:color w:val="auto"/>
          <w:szCs w:val="21"/>
          <w:highlight w:val="none"/>
        </w:rPr>
        <w:t>；</w:t>
      </w:r>
    </w:p>
    <w:p w14:paraId="6352203C">
      <w:pPr>
        <w:widowControl/>
        <w:shd w:val="clear" w:color="auto" w:fill="FFFFFF"/>
        <w:spacing w:line="360" w:lineRule="auto"/>
        <w:ind w:firstLine="420"/>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（3）报价超过征集文件中规定的预算金额或者最高限价的；</w:t>
      </w:r>
    </w:p>
    <w:p w14:paraId="1D7044E7">
      <w:pPr>
        <w:widowControl/>
        <w:shd w:val="clear" w:color="auto" w:fill="FFFFFF"/>
        <w:spacing w:line="360" w:lineRule="auto"/>
        <w:ind w:firstLine="420"/>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（4）</w:t>
      </w:r>
      <w:bookmarkStart w:id="13" w:name="OLE_LINK6"/>
      <w:r>
        <w:rPr>
          <w:rFonts w:hint="eastAsia" w:ascii="仿宋" w:hAnsi="仿宋" w:eastAsia="仿宋" w:cs="仿宋"/>
          <w:b/>
          <w:color w:val="auto"/>
          <w:szCs w:val="21"/>
          <w:highlight w:val="none"/>
        </w:rPr>
        <w:t>响应文件含有采购人不能接受的附加条件的；</w:t>
      </w:r>
      <w:bookmarkEnd w:id="13"/>
    </w:p>
    <w:p w14:paraId="43CF03E3">
      <w:pPr>
        <w:widowControl/>
        <w:shd w:val="clear" w:color="auto" w:fill="FFFFFF"/>
        <w:spacing w:line="360" w:lineRule="auto"/>
        <w:ind w:firstLine="420"/>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（5）响应文件内容不全或不符合征集文件中规定的其它实质性要求的；</w:t>
      </w:r>
    </w:p>
    <w:p w14:paraId="33E24A02">
      <w:pPr>
        <w:widowControl/>
        <w:shd w:val="clear" w:color="auto" w:fill="FFFFFF"/>
        <w:spacing w:line="360" w:lineRule="auto"/>
        <w:ind w:firstLine="42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（6）现行法律、法规、规章和征集文件规定的其他无效情形。</w:t>
      </w:r>
    </w:p>
    <w:p w14:paraId="44F50FB2">
      <w:pPr>
        <w:widowControl/>
        <w:shd w:val="clear" w:color="auto" w:fill="FFFFFF"/>
        <w:spacing w:line="360" w:lineRule="auto"/>
        <w:ind w:firstLine="42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22.2.2.1 实质性要求是指本征集文件中用带星号（“</w:t>
      </w:r>
      <w:r>
        <w:rPr>
          <w:rFonts w:hint="eastAsia" w:ascii="仿宋" w:hAnsi="仿宋" w:eastAsia="仿宋" w:cs="仿宋"/>
          <w:b/>
          <w:bCs/>
          <w:color w:val="auto"/>
          <w:highlight w:val="none"/>
        </w:rPr>
        <w:t>★</w:t>
      </w:r>
      <w:r>
        <w:rPr>
          <w:rFonts w:hint="eastAsia" w:ascii="仿宋" w:hAnsi="仿宋" w:eastAsia="仿宋" w:cs="仿宋"/>
          <w:b/>
          <w:bCs/>
          <w:color w:val="auto"/>
          <w:szCs w:val="21"/>
          <w:highlight w:val="none"/>
        </w:rPr>
        <w:t>”）、“必须”或“应（应当）”等其他文字说明的商务和技术要求。</w:t>
      </w:r>
    </w:p>
    <w:p w14:paraId="3B12DDD6">
      <w:pPr>
        <w:widowControl/>
        <w:shd w:val="clear" w:color="auto" w:fill="FFFFFF"/>
        <w:spacing w:line="360" w:lineRule="auto"/>
        <w:ind w:firstLine="420"/>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22.2.2.2</w:t>
      </w:r>
      <w:r>
        <w:rPr>
          <w:rFonts w:hint="eastAsia" w:ascii="仿宋" w:hAnsi="仿宋" w:eastAsia="仿宋" w:cs="仿宋"/>
          <w:color w:val="auto"/>
          <w:szCs w:val="21"/>
          <w:highlight w:val="none"/>
        </w:rPr>
        <w:t>有下列情形之一的予以废标：</w:t>
      </w:r>
    </w:p>
    <w:p w14:paraId="57E948CC">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（1）符合专业条件的供应商或者对征集文件作实质性响应的供应商不足2家的；</w:t>
      </w:r>
    </w:p>
    <w:p w14:paraId="43C2E5FE">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（2）出现影响采购公正的违法、违规行为的；</w:t>
      </w:r>
    </w:p>
    <w:p w14:paraId="1835C7D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（3）供应商的报价均超过了采购预算，采购人不能支付的；</w:t>
      </w:r>
    </w:p>
    <w:p w14:paraId="2CCBCF2E">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（4）因苏采云系统故障造成开标不成功的；</w:t>
      </w:r>
    </w:p>
    <w:p w14:paraId="0A467F6C">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（5）因重大变故，采购任务取消的。</w:t>
      </w:r>
    </w:p>
    <w:p w14:paraId="7ABA825A">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（6）供应商以明显低于其他通过符合性审查供应商的报价，有可能影响产品质量或者不能诚信履约的，且不能证明其报价合理性的。</w:t>
      </w:r>
    </w:p>
    <w:p w14:paraId="08F3D799">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22.2.3</w:t>
      </w:r>
      <w:r>
        <w:rPr>
          <w:rFonts w:hint="eastAsia" w:ascii="仿宋" w:hAnsi="仿宋" w:eastAsia="仿宋" w:cs="仿宋"/>
          <w:b/>
          <w:bCs/>
          <w:color w:val="auto"/>
          <w:szCs w:val="21"/>
          <w:highlight w:val="none"/>
        </w:rPr>
        <w:t>澄清有关问题</w:t>
      </w:r>
      <w:r>
        <w:rPr>
          <w:rFonts w:hint="eastAsia" w:ascii="仿宋" w:hAnsi="仿宋" w:eastAsia="仿宋" w:cs="仿宋"/>
          <w:color w:val="auto"/>
          <w:szCs w:val="21"/>
          <w:highlight w:val="none"/>
        </w:rPr>
        <w:t>。</w:t>
      </w:r>
    </w:p>
    <w:p w14:paraId="520B9CEE">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22.2.3.1评审期间，评审小组对于响应文件中含义不明确、同类问题表述不一致或者有明显文字和计算错误的内容，有权要求供应商作出必要的澄清、说明或者补正。</w:t>
      </w:r>
    </w:p>
    <w:p w14:paraId="4D6CE7C9">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供应商的澄清、说明或者补正不得超出响应文件的范围或者改变响应文件的实质性内容。</w:t>
      </w:r>
    </w:p>
    <w:p w14:paraId="0B96929E">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评委会并非对每个供应商都做澄清要求。</w:t>
      </w:r>
    </w:p>
    <w:p w14:paraId="5623E41A">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22.2.3.2需要供应商进行澄清、说明和补正的，评委会将通过苏采云系统向供应商发出《澄清要求函》，接到《澄清要求函》的供应商应当按照要求在苏采云系统中提交《澄清响应函》并加盖电子公章。澄清、说明和补正的内容作为响应文件的补充部分，具体操作方式见《操作手册》。</w:t>
      </w:r>
    </w:p>
    <w:p w14:paraId="3F8D37FF">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22.2.3.3 接到评委会澄清、说明和补正要求的，供应商如未按规定作出澄清、说明和补正，其风险由供应商自行承担。</w:t>
      </w:r>
    </w:p>
    <w:p w14:paraId="0343847A">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22.2.3.4响应文件报价出现前后不一致的，除征集文件另有规定外，按照下列规定修正：</w:t>
      </w:r>
    </w:p>
    <w:p w14:paraId="3D1909BE">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（1）响应文件中开标一览表（开标记录表）内容与响应文件中相应内容不一致的，以开标一览表（开标记录表）为准；</w:t>
      </w:r>
    </w:p>
    <w:p w14:paraId="5A2ABBD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（2）大写金额和小写金额不一致的，以大写金额为准；</w:t>
      </w:r>
    </w:p>
    <w:p w14:paraId="1AFC4652">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（3）单价金额小数点或者百分比有明显错位的，以开标一览表的总价为准，并修改单价；</w:t>
      </w:r>
    </w:p>
    <w:p w14:paraId="6590DFA3">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（4）总价金额与按单价汇总金额不一致的，以单价金额计算结果为准。</w:t>
      </w:r>
    </w:p>
    <w:p w14:paraId="1875EE2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委会将按上述修正错误的方法调整响应文件中的投标报价，同时出现两种以上不一致的，按照前款规定的顺序修正，并由评审小组通过“苏采云”系统告知供应商，调整后的价格对供应商具有约束力。如果供应商不接受修正后的价格，则其投标将被拒绝。</w:t>
      </w:r>
    </w:p>
    <w:p w14:paraId="097ECA14">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2.2.3.5供应商在开、评审全过程中应保持通讯畅通，及时登录苏采云系统查阅、答复相关信息，并安排专人与征集人及评委会联系。</w:t>
      </w:r>
    </w:p>
    <w:p w14:paraId="039C39B8">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22.2.3.6评审小组认为供应商的报价明显低于其他通过符合性审查的供应商的报价，有可能影响产品质量或者不能诚信履约的，按照【财库〔2026〕2号】要求处理。</w:t>
      </w:r>
    </w:p>
    <w:p w14:paraId="2269E762">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22.2.4</w:t>
      </w:r>
      <w:r>
        <w:rPr>
          <w:rFonts w:hint="eastAsia" w:ascii="仿宋" w:hAnsi="仿宋" w:eastAsia="仿宋" w:cs="仿宋"/>
          <w:bCs/>
          <w:color w:val="auto"/>
          <w:szCs w:val="21"/>
          <w:highlight w:val="none"/>
        </w:rPr>
        <w:t>比较与评价。</w:t>
      </w:r>
      <w:r>
        <w:rPr>
          <w:rFonts w:hint="eastAsia" w:ascii="仿宋" w:hAnsi="仿宋" w:eastAsia="仿宋" w:cs="仿宋"/>
          <w:color w:val="auto"/>
          <w:szCs w:val="21"/>
          <w:highlight w:val="none"/>
        </w:rPr>
        <w:t>评审小组应当按照征集文件中规定的评审方法和标准，对符合性审查合格的响应文件进行商务和技术评估，综合比较与评价。</w:t>
      </w:r>
    </w:p>
    <w:p w14:paraId="394328A8">
      <w:pPr>
        <w:widowControl/>
        <w:shd w:val="clear" w:color="auto" w:fill="FFFFFF"/>
        <w:spacing w:line="360" w:lineRule="auto"/>
        <w:ind w:firstLine="420"/>
        <w:jc w:val="left"/>
        <w:rPr>
          <w:rFonts w:hint="eastAsia" w:ascii="仿宋" w:hAnsi="仿宋" w:eastAsia="仿宋" w:cs="仿宋"/>
          <w:color w:val="auto"/>
          <w:highlight w:val="none"/>
        </w:rPr>
      </w:pPr>
      <w:r>
        <w:rPr>
          <w:rFonts w:hint="eastAsia" w:ascii="仿宋" w:hAnsi="仿宋" w:eastAsia="仿宋" w:cs="仿宋"/>
          <w:color w:val="auto"/>
          <w:szCs w:val="21"/>
          <w:highlight w:val="none"/>
        </w:rPr>
        <w:t>22.2.5</w:t>
      </w:r>
      <w:r>
        <w:rPr>
          <w:rFonts w:hint="eastAsia" w:ascii="仿宋" w:hAnsi="仿宋" w:eastAsia="仿宋" w:cs="仿宋"/>
          <w:color w:val="auto"/>
          <w:highlight w:val="none"/>
        </w:rPr>
        <w:t>相同品牌产品的投标</w:t>
      </w:r>
    </w:p>
    <w:p w14:paraId="02F0A6EC">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货物项目框架协议的入围供应商应当为入围产品生产厂家或者生产厂家唯一授权供应商。入围供应商可以委托一家或者多家代理商，按照框架协议约定接受采购人合同授予，并履行采购合同。入围供应商应当在框架协议中提供委托协议和委托的代理商名单。</w:t>
      </w:r>
    </w:p>
    <w:p w14:paraId="080CF36A">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22.3 评审方法和标准</w:t>
      </w:r>
    </w:p>
    <w:p w14:paraId="6FC4F5EA">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22.3.1评审方法分为括价格优先法和质量优先法。本次征集的评审方法和标准，详见本征集文件第三章。</w:t>
      </w:r>
    </w:p>
    <w:p w14:paraId="19D3EF88">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22.3.2价格优先法是指对满足采购需求且响应报价不超过最高限制单价的货物、服务，按照响应报价从低到高排序，根据征集文件规定的淘汰率或者入围供应商数量上限，确定入围供应商的评审方法。</w:t>
      </w:r>
    </w:p>
    <w:p w14:paraId="432D7F0A">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采用价格优先法评审时，除了算术修正和落实政府采购政策需进行的价格扣除外，不对供应商的投标价格进行任何调整。</w:t>
      </w:r>
    </w:p>
    <w:p w14:paraId="1CA66162">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22.3.3质量优先法是指对满足采购需求且响应报价不超过最高限制单价的货物、服务进行质量综合评分，按照质量评分从高到低排序，根据征集文件规定的淘汰率或者入围供应商数量上限，确定入围供应商的评审方法。货物项目质量因素包括采购标的的技术水平、产品配置、售后服务等，服务项目质量因素包括服务内容、服务水平、供应商的履约能力、服务经验等。</w:t>
      </w:r>
    </w:p>
    <w:p w14:paraId="19B8A7ED">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评审时，评审小组各成员应当独立对每个供应商的响应文件进行评价，并汇总每个供应商的得分。</w:t>
      </w:r>
    </w:p>
    <w:p w14:paraId="46504448">
      <w:pPr>
        <w:widowControl/>
        <w:shd w:val="clear" w:color="auto" w:fill="FFFFFF"/>
        <w:spacing w:line="360" w:lineRule="auto"/>
        <w:ind w:firstLine="420"/>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rPr>
        <w:t>23、</w:t>
      </w:r>
      <w:r>
        <w:rPr>
          <w:rFonts w:hint="eastAsia" w:ascii="仿宋" w:hAnsi="仿宋" w:eastAsia="仿宋" w:cs="仿宋"/>
          <w:b/>
          <w:color w:val="auto"/>
          <w:szCs w:val="21"/>
          <w:highlight w:val="none"/>
        </w:rPr>
        <w:t>确定入围供应商</w:t>
      </w:r>
    </w:p>
    <w:p w14:paraId="07CD6C6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23.1 采用价格优先法的，评审结果按投标报价由低到高顺序排列。投标报价相同的并列。响应文件满足征集文件全部实质性要求且投标报价最低的供应商为排名前二十名的中标候选人。（本项目不适用）</w:t>
      </w:r>
    </w:p>
    <w:p w14:paraId="6C81AA4F">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23.2采用质量优先法的，评审结果按评审后得分由高到低顺序排列。得分相同的，按评审因素要求确定。响应文件满足征集文件全部实质性要求，且按照评审因素的量化指标评审得分由高到低顺序排列入围供应商。</w:t>
      </w:r>
    </w:p>
    <w:p w14:paraId="2628B5E9">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23.3 入围供应商确定后，在省级以上财政部门指定的媒体上公告中标结果，中标公告期为1个工作日，公告的同时向入围供应商发出入围通知书。</w:t>
      </w:r>
    </w:p>
    <w:p w14:paraId="24957041">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23.4 入围通知书对征集人和入围供应商具有同等法律效力。</w:t>
      </w:r>
    </w:p>
    <w:p w14:paraId="3EF17C81">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23.5 入围通知书发出后，征集人或入围供应商拒绝签订合同的，拒绝签订合同的一方应向另一方支付补偿金，以及为征集、投标所发生的有关费用和双方商定的其他补偿。</w:t>
      </w:r>
    </w:p>
    <w:p w14:paraId="37F913FF">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23.6 所有响应文件不论入围与否，均不退回。</w:t>
      </w:r>
    </w:p>
    <w:p w14:paraId="6FAD1B89">
      <w:pPr>
        <w:widowControl/>
        <w:shd w:val="clear" w:color="auto" w:fill="FFFFFF"/>
        <w:spacing w:line="360" w:lineRule="auto"/>
        <w:ind w:firstLine="412"/>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24、编写评审报告</w:t>
      </w:r>
    </w:p>
    <w:p w14:paraId="26A3DBDF">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24.1评审小组根据全体评审成员签字的原始评审记录和评审结果编写评审报告。</w:t>
      </w:r>
    </w:p>
    <w:p w14:paraId="5623E685">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25、评审过程的保密性</w:t>
      </w:r>
    </w:p>
    <w:p w14:paraId="5CD1670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25.1 采购人和征集人将采取必要措施，保证评审在严格保密的情况下进行。</w:t>
      </w:r>
    </w:p>
    <w:p w14:paraId="080EE1D4">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25.2 任何单位和个人不得非法干预、影响评审办法的确定，以及评审过程和结果。</w:t>
      </w:r>
    </w:p>
    <w:p w14:paraId="49FD6A2E">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25.3 凡是与审查、澄清、评价和比较投标的有关资料等，均不向供应商及与评审无关的其他人员透露。</w:t>
      </w:r>
    </w:p>
    <w:p w14:paraId="57118EB3">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六、签订框架协议</w:t>
      </w:r>
    </w:p>
    <w:p w14:paraId="578D3015">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26、签订框架协议</w:t>
      </w:r>
    </w:p>
    <w:p w14:paraId="6313985F">
      <w:pPr>
        <w:widowControl/>
        <w:shd w:val="clear" w:color="auto" w:fill="FFFFFF"/>
        <w:spacing w:line="360" w:lineRule="auto"/>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2</w:t>
      </w:r>
      <w:r>
        <w:rPr>
          <w:rFonts w:hint="eastAsia" w:ascii="仿宋" w:hAnsi="仿宋" w:eastAsia="仿宋" w:cs="仿宋"/>
          <w:color w:val="auto"/>
          <w:szCs w:val="21"/>
          <w:highlight w:val="none"/>
        </w:rPr>
        <w:t>6</w:t>
      </w:r>
      <w:r>
        <w:rPr>
          <w:rFonts w:hint="eastAsia" w:ascii="仿宋" w:hAnsi="仿宋" w:eastAsia="仿宋" w:cs="仿宋"/>
          <w:color w:val="auto"/>
          <w:szCs w:val="21"/>
          <w:highlight w:val="none"/>
          <w:lang w:val="zh-CN"/>
        </w:rPr>
        <w:t xml:space="preserve">.l </w:t>
      </w:r>
      <w:r>
        <w:rPr>
          <w:rFonts w:hint="eastAsia" w:ascii="仿宋" w:hAnsi="仿宋" w:eastAsia="仿宋" w:cs="仿宋"/>
          <w:color w:val="auto"/>
          <w:szCs w:val="21"/>
          <w:highlight w:val="none"/>
        </w:rPr>
        <w:t>征集人</w:t>
      </w:r>
      <w:r>
        <w:rPr>
          <w:rFonts w:hint="eastAsia" w:ascii="仿宋" w:hAnsi="仿宋" w:eastAsia="仿宋" w:cs="仿宋"/>
          <w:color w:val="auto"/>
          <w:szCs w:val="21"/>
          <w:highlight w:val="none"/>
          <w:lang w:val="zh-CN"/>
        </w:rPr>
        <w:t>在入围通知书发出之日起30日内和入围供应商签订框架协议，入围供应商在接到通知后需及时完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4470824A">
      <w:pPr>
        <w:widowControl/>
        <w:shd w:val="clear" w:color="auto" w:fill="FFFFFF"/>
        <w:spacing w:line="360" w:lineRule="auto"/>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2</w:t>
      </w:r>
      <w:r>
        <w:rPr>
          <w:rFonts w:hint="eastAsia" w:ascii="仿宋" w:hAnsi="仿宋" w:eastAsia="仿宋" w:cs="仿宋"/>
          <w:color w:val="auto"/>
          <w:szCs w:val="21"/>
          <w:highlight w:val="none"/>
        </w:rPr>
        <w:t>6</w:t>
      </w:r>
      <w:r>
        <w:rPr>
          <w:rFonts w:hint="eastAsia" w:ascii="仿宋" w:hAnsi="仿宋" w:eastAsia="仿宋" w:cs="仿宋"/>
          <w:color w:val="auto"/>
          <w:szCs w:val="21"/>
          <w:highlight w:val="none"/>
          <w:lang w:val="zh-CN"/>
        </w:rPr>
        <w:t>.2 征集文件、入围供应商的响应文件及评审过程中有关澄清、承诺文件均应作为框架协议的附件。</w:t>
      </w:r>
    </w:p>
    <w:p w14:paraId="533E09A3">
      <w:pPr>
        <w:widowControl/>
        <w:shd w:val="clear" w:color="auto" w:fill="FFFFFF"/>
        <w:spacing w:line="360" w:lineRule="auto"/>
        <w:ind w:firstLine="42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2</w:t>
      </w:r>
      <w:r>
        <w:rPr>
          <w:rFonts w:hint="eastAsia" w:ascii="仿宋" w:hAnsi="仿宋" w:eastAsia="仿宋" w:cs="仿宋"/>
          <w:color w:val="auto"/>
          <w:szCs w:val="21"/>
          <w:highlight w:val="none"/>
        </w:rPr>
        <w:t>6</w:t>
      </w:r>
      <w:r>
        <w:rPr>
          <w:rFonts w:hint="eastAsia" w:ascii="仿宋" w:hAnsi="仿宋" w:eastAsia="仿宋" w:cs="仿宋"/>
          <w:color w:val="auto"/>
          <w:szCs w:val="21"/>
          <w:highlight w:val="none"/>
          <w:lang w:val="zh-CN"/>
        </w:rPr>
        <w:t>.3 签订框架协议后，入围供应商不得将服务及其他相关货物进行转包。未经采购人同意，入围供应商也不得采用分包的形式履行合同，否则</w:t>
      </w:r>
      <w:r>
        <w:rPr>
          <w:rFonts w:hint="eastAsia" w:ascii="仿宋" w:hAnsi="仿宋" w:eastAsia="仿宋" w:cs="仿宋"/>
          <w:color w:val="auto"/>
          <w:szCs w:val="21"/>
          <w:highlight w:val="none"/>
        </w:rPr>
        <w:t>征集人</w:t>
      </w:r>
      <w:r>
        <w:rPr>
          <w:rFonts w:hint="eastAsia" w:ascii="仿宋" w:hAnsi="仿宋" w:eastAsia="仿宋" w:cs="仿宋"/>
          <w:color w:val="auto"/>
          <w:szCs w:val="21"/>
          <w:highlight w:val="none"/>
          <w:lang w:val="zh-CN"/>
        </w:rPr>
        <w:t>有权终止框架协议，采购人有权终止采购合同。转包或分包造成征集人或采购人损失的，入围供应商及其委托代理商应承担相应赔偿责任。</w:t>
      </w:r>
    </w:p>
    <w:p w14:paraId="07173C54">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七、质疑和投诉</w:t>
      </w:r>
    </w:p>
    <w:p w14:paraId="194CE862">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27、质疑</w:t>
      </w:r>
    </w:p>
    <w:p w14:paraId="4BB9848B">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27.1供应商对征集活动事项有疑问的，可以向征集人提出询问，征集人将依法作出答复，但答复的内容不涉及商业秘密</w:t>
      </w:r>
      <w:r>
        <w:rPr>
          <w:rFonts w:hint="eastAsia" w:ascii="仿宋" w:hAnsi="仿宋" w:eastAsia="仿宋" w:cs="仿宋"/>
          <w:b/>
          <w:bCs/>
          <w:color w:val="auto"/>
          <w:szCs w:val="21"/>
          <w:highlight w:val="none"/>
        </w:rPr>
        <w:t>。</w:t>
      </w:r>
    </w:p>
    <w:p w14:paraId="762CE930">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27.2提出质疑的供应商应当是参与所质疑项目采购活动的供应商。潜在供应商已依法获取其可质疑的采购文件的，可以对该文件提出质疑。</w:t>
      </w:r>
    </w:p>
    <w:p w14:paraId="7D01D98B">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以联合体形式参加政府采购活动的，其质疑应当由组成联合体的所有供应商共同提出。</w:t>
      </w:r>
    </w:p>
    <w:p w14:paraId="2A38182B">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27.3供应商认为采购文件、采购过程和中标结果使自己的合法权益受到损害的，可以在知道或者应知其权益受到损害之日起七个工作日内，将质疑文件原件送达采购人或征集人。</w:t>
      </w:r>
    </w:p>
    <w:p w14:paraId="755ACBE2">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2C70C86F">
      <w:pPr>
        <w:widowControl/>
        <w:shd w:val="clear" w:color="auto" w:fill="FFFFFF"/>
        <w:spacing w:line="360" w:lineRule="auto"/>
        <w:ind w:firstLine="420"/>
        <w:rPr>
          <w:rFonts w:hint="eastAsia" w:ascii="仿宋" w:hAnsi="仿宋" w:eastAsia="仿宋" w:cs="仿宋"/>
          <w:b/>
          <w:bCs/>
          <w:color w:val="auto"/>
          <w:szCs w:val="21"/>
          <w:highlight w:val="none"/>
        </w:rPr>
      </w:pPr>
      <w:r>
        <w:rPr>
          <w:rFonts w:hint="eastAsia" w:ascii="仿宋" w:hAnsi="仿宋" w:eastAsia="仿宋" w:cs="仿宋"/>
          <w:b/>
          <w:bCs/>
          <w:color w:val="auto"/>
          <w:highlight w:val="none"/>
        </w:rPr>
        <w:t>供应商必须在法定质疑期内一次性提出针对同一采购程序环节的质疑。</w:t>
      </w:r>
    </w:p>
    <w:p w14:paraId="1F4CCCAF">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27.4 供应商提出质疑应当提交质疑函和必要的证明材料。质疑函应当包括下列内容：</w:t>
      </w:r>
    </w:p>
    <w:p w14:paraId="092D94F5">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（一）供应商的姓名或者名称、地址、邮编、联系人及联系电话；</w:t>
      </w:r>
    </w:p>
    <w:p w14:paraId="65676388">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（二）质疑项目的名称、编号；</w:t>
      </w:r>
    </w:p>
    <w:p w14:paraId="29281C32">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（三）具体、明确的质疑事项和与质疑事项相关的请求（具体条款）；</w:t>
      </w:r>
    </w:p>
    <w:p w14:paraId="106700F3">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（四）事实依据（具体条款）；</w:t>
      </w:r>
    </w:p>
    <w:p w14:paraId="6B811981">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（五）必要的法律依据（具体条款）；</w:t>
      </w:r>
    </w:p>
    <w:p w14:paraId="57AD970F">
      <w:pPr>
        <w:widowControl/>
        <w:shd w:val="clear" w:color="auto" w:fill="FFFFFF"/>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　　（六）提出质疑的日期。</w:t>
      </w:r>
    </w:p>
    <w:p w14:paraId="65832486">
      <w:pPr>
        <w:widowControl/>
        <w:shd w:val="clear" w:color="auto" w:fill="FFFFFF"/>
        <w:spacing w:line="38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为自然人的，应当由本人签字或签章；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521EA3E1">
      <w:pPr>
        <w:widowControl/>
        <w:shd w:val="clear" w:color="auto" w:fill="FFFFFF"/>
        <w:spacing w:line="38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质疑函应当使用中文。相关当事人提供外文书证或者外国语视听资料的，应当附有中文译本，由翻译机构盖章或者翻译人员签名。</w:t>
      </w:r>
    </w:p>
    <w:p w14:paraId="141BFC0D">
      <w:pPr>
        <w:widowControl/>
        <w:shd w:val="clear" w:color="auto" w:fill="FFFFFF"/>
        <w:spacing w:line="38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27.5质疑函应当现场提交至代理机构联系人处，提交时应出示有效身份证明。未按上述要求提交质疑函的，质疑不予受理。</w:t>
      </w:r>
    </w:p>
    <w:p w14:paraId="2B4E8E39">
      <w:pPr>
        <w:widowControl/>
        <w:shd w:val="clear" w:color="auto" w:fill="FFFFFF"/>
        <w:spacing w:line="38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57987C3F">
      <w:pPr>
        <w:widowControl/>
        <w:shd w:val="clear" w:color="auto" w:fill="FFFFFF"/>
        <w:spacing w:line="380" w:lineRule="exact"/>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27.7代理机构在收到供应商的书面质疑后将及时组织调查核实，在</w:t>
      </w:r>
      <w:r>
        <w:rPr>
          <w:rFonts w:hint="eastAsia" w:ascii="仿宋" w:hAnsi="仿宋" w:eastAsia="仿宋" w:cs="仿宋"/>
          <w:b/>
          <w:bCs/>
          <w:color w:val="auto"/>
          <w:szCs w:val="21"/>
          <w:highlight w:val="none"/>
        </w:rPr>
        <w:t>七个工作日内</w:t>
      </w:r>
      <w:r>
        <w:rPr>
          <w:rFonts w:hint="eastAsia" w:ascii="仿宋" w:hAnsi="仿宋" w:eastAsia="仿宋" w:cs="仿宋"/>
          <w:color w:val="auto"/>
          <w:szCs w:val="21"/>
          <w:highlight w:val="none"/>
        </w:rPr>
        <w:t>作出答复，并以书面或在网站公告形式通知质疑供应商和其他有关供应商，答复的内容不涉及商业秘密。</w:t>
      </w:r>
    </w:p>
    <w:p w14:paraId="6937E654">
      <w:pPr>
        <w:widowControl/>
        <w:shd w:val="clear" w:color="auto" w:fill="FFFFFF"/>
        <w:spacing w:line="380" w:lineRule="exact"/>
        <w:ind w:firstLine="422"/>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28、投诉</w:t>
      </w:r>
    </w:p>
    <w:p w14:paraId="25F7D20E">
      <w:pPr>
        <w:spacing w:line="38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28.1质疑供应商对代理机构的答复不满意或者代理机构未在规定的时间内作出答复的，可以在答复期满后十五个工作日内向同级政府采购监督管理部门投诉。</w:t>
      </w:r>
    </w:p>
    <w:p w14:paraId="20F1FA8E">
      <w:pPr>
        <w:spacing w:line="380" w:lineRule="exact"/>
        <w:ind w:firstLine="420"/>
        <w:rPr>
          <w:rFonts w:hint="eastAsia" w:ascii="仿宋" w:hAnsi="仿宋" w:eastAsia="仿宋" w:cs="仿宋"/>
          <w:color w:val="auto"/>
          <w:highlight w:val="none"/>
        </w:rPr>
      </w:pPr>
      <w:r>
        <w:rPr>
          <w:rFonts w:hint="eastAsia" w:ascii="仿宋" w:hAnsi="仿宋" w:eastAsia="仿宋" w:cs="仿宋"/>
          <w:color w:val="auto"/>
          <w:szCs w:val="21"/>
          <w:highlight w:val="none"/>
        </w:rPr>
        <w:t>28.2供应商投诉应当有明确的请求和必要的证明材料。供应商投诉的事项不得超出已质疑事项的范围。</w:t>
      </w:r>
    </w:p>
    <w:p w14:paraId="5F74042C">
      <w:pPr>
        <w:spacing w:line="380" w:lineRule="exact"/>
        <w:ind w:firstLine="420"/>
        <w:rPr>
          <w:rFonts w:hint="eastAsia" w:ascii="仿宋" w:hAnsi="仿宋" w:eastAsia="仿宋" w:cs="仿宋"/>
          <w:color w:val="auto"/>
          <w:highlight w:val="none"/>
        </w:rPr>
      </w:pPr>
      <w:r>
        <w:rPr>
          <w:rFonts w:hint="eastAsia" w:ascii="仿宋" w:hAnsi="仿宋" w:eastAsia="仿宋" w:cs="仿宋"/>
          <w:color w:val="auto"/>
          <w:szCs w:val="21"/>
          <w:highlight w:val="none"/>
        </w:rPr>
        <w:t>28.3投诉人对政府采购监督管理部门的投诉处理决定不服或者政府采购监督管理部门逾期未作处理的，可以依法申请行政复议或者向人民法院提起行政诉讼。</w:t>
      </w:r>
    </w:p>
    <w:p w14:paraId="493D279A">
      <w:pPr>
        <w:spacing w:line="380" w:lineRule="exact"/>
        <w:ind w:firstLine="420"/>
        <w:rPr>
          <w:rFonts w:hint="eastAsia" w:ascii="仿宋" w:hAnsi="仿宋" w:eastAsia="仿宋" w:cs="仿宋"/>
          <w:color w:val="auto"/>
          <w:szCs w:val="21"/>
          <w:highlight w:val="none"/>
        </w:rPr>
      </w:pPr>
      <w:r>
        <w:rPr>
          <w:rFonts w:hint="eastAsia" w:ascii="仿宋" w:hAnsi="仿宋" w:eastAsia="仿宋" w:cs="仿宋"/>
          <w:color w:val="auto"/>
          <w:highlight w:val="none"/>
        </w:rPr>
        <w:t>28.4 投诉人有下列行为之一的，属于严重失信行为，</w:t>
      </w:r>
      <w:r>
        <w:rPr>
          <w:rFonts w:hint="eastAsia" w:ascii="仿宋" w:hAnsi="仿宋" w:eastAsia="仿宋" w:cs="仿宋"/>
          <w:color w:val="auto"/>
          <w:szCs w:val="21"/>
          <w:highlight w:val="none"/>
        </w:rPr>
        <w:t>由财政部门列入不良行为记录名单，禁止其一至三年内参加政府采购活动。</w:t>
      </w:r>
    </w:p>
    <w:p w14:paraId="4BBB7702">
      <w:pPr>
        <w:spacing w:line="38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（1）投诉人在全国范围12个月内三次以上投诉查无实据的；</w:t>
      </w:r>
    </w:p>
    <w:p w14:paraId="63218146">
      <w:pPr>
        <w:spacing w:line="38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（2）采用捏造事实、提供虚假材料或者以非法手段取得证明材料等方式进行虚假、恶意投诉。</w:t>
      </w:r>
    </w:p>
    <w:p w14:paraId="0CB90EE3">
      <w:pPr>
        <w:spacing w:line="38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证据来源的合法性存在明显疑问，投诉人无法证明其取得方式合法的，视为以非法手段取得证明材料。</w:t>
      </w:r>
    </w:p>
    <w:p w14:paraId="549D3F89">
      <w:pPr>
        <w:widowControl/>
        <w:shd w:val="clear" w:color="auto" w:fill="FFFFFF"/>
        <w:spacing w:line="380" w:lineRule="exact"/>
        <w:ind w:firstLine="422"/>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29、其他</w:t>
      </w:r>
    </w:p>
    <w:p w14:paraId="595C610C">
      <w:pPr>
        <w:spacing w:line="380" w:lineRule="exact"/>
        <w:ind w:firstLine="420"/>
        <w:rPr>
          <w:rFonts w:hint="eastAsia" w:ascii="仿宋" w:hAnsi="仿宋" w:eastAsia="仿宋" w:cs="仿宋"/>
          <w:color w:val="auto"/>
          <w:szCs w:val="21"/>
          <w:highlight w:val="none"/>
        </w:rPr>
        <w:sectPr>
          <w:pgSz w:w="11906" w:h="16838"/>
          <w:pgMar w:top="1440" w:right="1800" w:bottom="1440" w:left="1800" w:header="850" w:footer="850" w:gutter="0"/>
          <w:paperSrc/>
          <w:pgNumType w:fmt="decimal"/>
          <w:cols w:space="0" w:num="1"/>
          <w:rtlGutter w:val="0"/>
          <w:docGrid w:type="lines" w:linePitch="317" w:charSpace="0"/>
        </w:sectPr>
      </w:pPr>
      <w:r>
        <w:rPr>
          <w:rFonts w:hint="eastAsia" w:ascii="仿宋" w:hAnsi="仿宋" w:eastAsia="仿宋" w:cs="仿宋"/>
          <w:color w:val="auto"/>
          <w:szCs w:val="21"/>
          <w:highlight w:val="none"/>
        </w:rPr>
        <w:t>29.1本项目根据江苏省财政厅关于加强政府绿色采购有关事项的通知（苏财购〔2023〕65号）规定，执行绿色采购需求标准。</w:t>
      </w:r>
    </w:p>
    <w:p w14:paraId="3567933E">
      <w:pPr>
        <w:pStyle w:val="6"/>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仿宋" w:hAnsi="仿宋" w:eastAsia="仿宋" w:cs="仿宋"/>
          <w:color w:val="auto"/>
          <w:highlight w:val="none"/>
        </w:rPr>
      </w:pPr>
      <w:bookmarkStart w:id="14" w:name="_Toc31917"/>
      <w:bookmarkStart w:id="15" w:name="_Toc219114373"/>
      <w:bookmarkStart w:id="16" w:name="_Toc481057145"/>
      <w:r>
        <w:rPr>
          <w:rFonts w:hint="eastAsia" w:ascii="仿宋" w:hAnsi="仿宋" w:eastAsia="仿宋" w:cs="仿宋"/>
          <w:color w:val="auto"/>
          <w:highlight w:val="none"/>
        </w:rPr>
        <w:t>第三章 确定入围及成交供应商</w:t>
      </w:r>
      <w:bookmarkEnd w:id="14"/>
      <w:bookmarkEnd w:id="15"/>
    </w:p>
    <w:bookmarkEnd w:id="16"/>
    <w:p w14:paraId="6B8A2F96">
      <w:pPr>
        <w:widowControl/>
        <w:spacing w:before="120" w:after="120" w:line="360" w:lineRule="auto"/>
        <w:ind w:firstLine="417"/>
        <w:jc w:val="left"/>
        <w:rPr>
          <w:rFonts w:hint="eastAsia" w:ascii="仿宋" w:hAnsi="仿宋" w:eastAsia="仿宋" w:cs="仿宋"/>
          <w:b/>
          <w:color w:val="auto"/>
          <w:szCs w:val="21"/>
          <w:highlight w:val="none"/>
        </w:rPr>
      </w:pPr>
      <w:bookmarkStart w:id="17" w:name="OLE_LINK3"/>
      <w:r>
        <w:rPr>
          <w:rFonts w:hint="eastAsia" w:ascii="仿宋" w:hAnsi="仿宋" w:eastAsia="仿宋" w:cs="仿宋"/>
          <w:b/>
          <w:color w:val="auto"/>
          <w:szCs w:val="21"/>
          <w:highlight w:val="none"/>
        </w:rPr>
        <w:t>一、确定第一阶段入围供应商的评审方法</w:t>
      </w:r>
    </w:p>
    <w:p w14:paraId="663F8152">
      <w:pPr>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1.确定第一阶段入围供应商的评审方法为</w:t>
      </w:r>
      <w:r>
        <w:rPr>
          <w:rFonts w:hint="eastAsia" w:ascii="仿宋" w:hAnsi="仿宋" w:eastAsia="仿宋" w:cs="仿宋"/>
          <w:b/>
          <w:bCs/>
          <w:color w:val="auto"/>
          <w:szCs w:val="21"/>
          <w:highlight w:val="none"/>
        </w:rPr>
        <w:t>质量优先法</w:t>
      </w:r>
      <w:r>
        <w:rPr>
          <w:rFonts w:hint="eastAsia" w:ascii="仿宋" w:hAnsi="仿宋" w:eastAsia="仿宋" w:cs="仿宋"/>
          <w:color w:val="auto"/>
          <w:szCs w:val="21"/>
          <w:highlight w:val="none"/>
        </w:rPr>
        <w:t>。质量优先法是指对满足采购需求且响应报价不超过最高限制单价的货物、服务进行质量综合评分，按照质量评分从高到低排序，根据征集文件规定的淘汰率或者入围供应商数量上限，确定入围供应商的评审方法。货物项目质量因素包括采购标的的技术水平、产品配置、售后服务等，服务项目质量因素包括服务内容、服务水平、供应商的履约能力、服务经验等。</w:t>
      </w:r>
    </w:p>
    <w:p w14:paraId="06FE1104">
      <w:pPr>
        <w:widowControl/>
        <w:shd w:val="clear" w:color="auto" w:fill="FFFFFF"/>
        <w:spacing w:line="360" w:lineRule="auto"/>
        <w:ind w:firstLine="452"/>
        <w:jc w:val="left"/>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rPr>
        <w:t>2.入围供应商数量上限：</w:t>
      </w:r>
      <w:r>
        <w:rPr>
          <w:rFonts w:hint="eastAsia" w:ascii="仿宋" w:hAnsi="仿宋" w:eastAsia="仿宋" w:cs="仿宋"/>
          <w:b/>
          <w:color w:val="auto"/>
          <w:szCs w:val="21"/>
          <w:highlight w:val="none"/>
          <w:lang w:val="en-US" w:eastAsia="zh-CN"/>
        </w:rPr>
        <w:t>52家</w:t>
      </w:r>
      <w:r>
        <w:rPr>
          <w:rFonts w:hint="eastAsia" w:ascii="仿宋" w:hAnsi="仿宋" w:eastAsia="仿宋" w:cs="仿宋"/>
          <w:b/>
          <w:color w:val="auto"/>
          <w:szCs w:val="21"/>
          <w:highlight w:val="none"/>
        </w:rPr>
        <w:t>。</w:t>
      </w:r>
    </w:p>
    <w:p w14:paraId="322D4823">
      <w:pPr>
        <w:widowControl/>
        <w:spacing w:before="120" w:after="120" w:line="360" w:lineRule="auto"/>
        <w:ind w:firstLine="417"/>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二、评审因素</w:t>
      </w:r>
    </w:p>
    <w:p w14:paraId="784A6BD2">
      <w:pPr>
        <w:spacing w:line="360" w:lineRule="auto"/>
        <w:ind w:firstLine="482"/>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本项目采用质量优先法，评分统计方法采用百分制（满分100分），将全部评委评分直接进行算术平均，小数点后保留2位。</w:t>
      </w:r>
    </w:p>
    <w:tbl>
      <w:tblPr>
        <w:tblStyle w:val="15"/>
        <w:tblW w:w="10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137"/>
        <w:gridCol w:w="7103"/>
        <w:gridCol w:w="789"/>
      </w:tblGrid>
      <w:tr w14:paraId="63988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tcBorders>
              <w:top w:val="single" w:color="auto" w:sz="4" w:space="0"/>
              <w:left w:val="single" w:color="auto" w:sz="4" w:space="0"/>
              <w:bottom w:val="single" w:color="auto" w:sz="4" w:space="0"/>
              <w:right w:val="single" w:color="auto" w:sz="4" w:space="0"/>
            </w:tcBorders>
            <w:noWrap/>
            <w:vAlign w:val="center"/>
          </w:tcPr>
          <w:p w14:paraId="1451321A">
            <w:pPr>
              <w:widowControl/>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137" w:type="dxa"/>
            <w:tcBorders>
              <w:top w:val="single" w:color="auto" w:sz="4" w:space="0"/>
              <w:left w:val="single" w:color="auto" w:sz="4" w:space="0"/>
              <w:bottom w:val="single" w:color="auto" w:sz="4" w:space="0"/>
              <w:right w:val="single" w:color="auto" w:sz="4" w:space="0"/>
            </w:tcBorders>
            <w:noWrap/>
            <w:vAlign w:val="center"/>
          </w:tcPr>
          <w:p w14:paraId="7D12E9F3">
            <w:pPr>
              <w:widowControl/>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评分因素</w:t>
            </w:r>
          </w:p>
        </w:tc>
        <w:tc>
          <w:tcPr>
            <w:tcW w:w="7103" w:type="dxa"/>
            <w:tcBorders>
              <w:top w:val="single" w:color="auto" w:sz="4" w:space="0"/>
              <w:left w:val="single" w:color="auto" w:sz="4" w:space="0"/>
              <w:bottom w:val="single" w:color="auto" w:sz="4" w:space="0"/>
              <w:right w:val="single" w:color="auto" w:sz="4" w:space="0"/>
            </w:tcBorders>
            <w:noWrap/>
            <w:vAlign w:val="center"/>
          </w:tcPr>
          <w:p w14:paraId="6B1DF751">
            <w:pPr>
              <w:widowControl/>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评审标准</w:t>
            </w:r>
          </w:p>
        </w:tc>
        <w:tc>
          <w:tcPr>
            <w:tcW w:w="789" w:type="dxa"/>
            <w:tcBorders>
              <w:top w:val="single" w:color="auto" w:sz="4" w:space="0"/>
              <w:left w:val="single" w:color="auto" w:sz="4" w:space="0"/>
              <w:bottom w:val="single" w:color="auto" w:sz="4" w:space="0"/>
              <w:right w:val="single" w:color="auto" w:sz="4" w:space="0"/>
            </w:tcBorders>
            <w:noWrap/>
            <w:vAlign w:val="center"/>
          </w:tcPr>
          <w:p w14:paraId="7431AB20">
            <w:pPr>
              <w:widowControl/>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分值</w:t>
            </w:r>
          </w:p>
        </w:tc>
      </w:tr>
      <w:tr w14:paraId="46FB7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restart"/>
            <w:tcBorders>
              <w:left w:val="single" w:color="auto" w:sz="4" w:space="0"/>
              <w:right w:val="single" w:color="auto" w:sz="4" w:space="0"/>
            </w:tcBorders>
            <w:noWrap/>
            <w:vAlign w:val="center"/>
          </w:tcPr>
          <w:p w14:paraId="4DA2FF3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240" w:lineRule="auto"/>
              <w:ind w:left="0" w:right="0" w:firstLine="0"/>
              <w:jc w:val="left"/>
              <w:rPr>
                <w:rFonts w:hint="eastAsia" w:ascii="仿宋" w:hAnsi="仿宋" w:eastAsia="仿宋" w:cs="仿宋"/>
                <w:b/>
                <w:bCs w:val="0"/>
                <w:color w:val="auto"/>
                <w:sz w:val="21"/>
                <w:szCs w:val="21"/>
                <w:highlight w:val="none"/>
                <w:lang w:val="en-US" w:eastAsia="zh-CN"/>
              </w:rPr>
            </w:pPr>
            <w:bookmarkStart w:id="18" w:name="_Toc5840"/>
            <w:r>
              <w:rPr>
                <w:rFonts w:hint="eastAsia" w:ascii="仿宋" w:hAnsi="仿宋" w:eastAsia="仿宋" w:cs="仿宋"/>
                <w:b/>
                <w:bCs w:val="0"/>
                <w:color w:val="auto"/>
                <w:sz w:val="21"/>
                <w:szCs w:val="21"/>
                <w:highlight w:val="none"/>
                <w:lang w:val="en-US" w:eastAsia="zh-CN"/>
              </w:rPr>
              <w:t>1.服务方案与响应时效</w:t>
            </w:r>
            <w:bookmarkEnd w:id="18"/>
          </w:p>
          <w:p w14:paraId="610F6753">
            <w:pPr>
              <w:widowControl/>
              <w:jc w:val="center"/>
              <w:rPr>
                <w:rFonts w:hint="eastAsia" w:ascii="仿宋" w:hAnsi="仿宋" w:eastAsia="仿宋" w:cs="仿宋"/>
                <w:b/>
                <w:color w:val="auto"/>
                <w:szCs w:val="21"/>
                <w:highlight w:val="none"/>
                <w:lang w:val="en-US" w:eastAsia="zh-CN"/>
              </w:rPr>
            </w:pPr>
          </w:p>
        </w:tc>
        <w:tc>
          <w:tcPr>
            <w:tcW w:w="1137" w:type="dxa"/>
            <w:tcBorders>
              <w:left w:val="single" w:color="auto" w:sz="4" w:space="0"/>
              <w:right w:val="single" w:color="auto" w:sz="4" w:space="0"/>
            </w:tcBorders>
            <w:noWrap/>
            <w:vAlign w:val="center"/>
          </w:tcPr>
          <w:p w14:paraId="7CD67203">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服务流程</w:t>
            </w:r>
          </w:p>
        </w:tc>
        <w:tc>
          <w:tcPr>
            <w:tcW w:w="7103" w:type="dxa"/>
            <w:tcBorders>
              <w:top w:val="single" w:color="auto" w:sz="4" w:space="0"/>
              <w:left w:val="single" w:color="auto" w:sz="4" w:space="0"/>
              <w:bottom w:val="single" w:color="auto" w:sz="4" w:space="0"/>
              <w:right w:val="single" w:color="auto" w:sz="4" w:space="0"/>
            </w:tcBorders>
            <w:noWrap/>
          </w:tcPr>
          <w:p w14:paraId="60137BDD">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分）服务流程清晰、完整，涵盖遗体接运的各个环节，包括预约、出发、接运、交付等，且各环节之间衔接紧密，有明确的操作标准和时间节点</w:t>
            </w:r>
            <w:r>
              <w:rPr>
                <w:rFonts w:hint="eastAsia" w:ascii="仿宋" w:hAnsi="仿宋" w:eastAsia="仿宋" w:cs="仿宋"/>
                <w:color w:val="auto"/>
                <w:szCs w:val="21"/>
                <w:highlight w:val="none"/>
                <w:lang w:eastAsia="zh-CN"/>
              </w:rPr>
              <w:t>。</w:t>
            </w:r>
          </w:p>
          <w:p w14:paraId="0D22CAD0">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分）：服务流程基本清晰，包含主要环节，但部分环节的描述不够详细或衔接不够紧密。如只提到了大致的接运流程，但对于一些关键环节的时间把控没有明确说明。</w:t>
            </w:r>
          </w:p>
          <w:p w14:paraId="6FCF6BDC">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分）：服务流程存在明显缺失或不清晰的情况，无法准确了解接运服务的具体操作过程。</w:t>
            </w:r>
          </w:p>
          <w:p w14:paraId="3FF0A120">
            <w:pPr>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差（0分）：未提供服务流程或服务流程完全不符合要求。</w:t>
            </w:r>
          </w:p>
        </w:tc>
        <w:tc>
          <w:tcPr>
            <w:tcW w:w="789" w:type="dxa"/>
            <w:tcBorders>
              <w:top w:val="single" w:color="auto" w:sz="4" w:space="0"/>
              <w:left w:val="single" w:color="auto" w:sz="4" w:space="0"/>
              <w:bottom w:val="single" w:color="auto" w:sz="4" w:space="0"/>
              <w:right w:val="single" w:color="auto" w:sz="4" w:space="0"/>
            </w:tcBorders>
            <w:noWrap/>
            <w:vAlign w:val="center"/>
          </w:tcPr>
          <w:p w14:paraId="33AF7A22">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w:t>
            </w:r>
          </w:p>
        </w:tc>
      </w:tr>
      <w:tr w14:paraId="7729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754A0CC2">
            <w:pPr>
              <w:widowControl/>
              <w:jc w:val="center"/>
              <w:rPr>
                <w:rFonts w:hint="eastAsia" w:ascii="仿宋" w:hAnsi="仿宋" w:eastAsia="仿宋" w:cs="仿宋"/>
                <w:b/>
                <w:color w:val="auto"/>
                <w:szCs w:val="21"/>
                <w:highlight w:val="none"/>
              </w:rPr>
            </w:pPr>
          </w:p>
        </w:tc>
        <w:tc>
          <w:tcPr>
            <w:tcW w:w="1137" w:type="dxa"/>
            <w:tcBorders>
              <w:left w:val="single" w:color="auto" w:sz="4" w:space="0"/>
              <w:right w:val="single" w:color="auto" w:sz="4" w:space="0"/>
            </w:tcBorders>
            <w:noWrap/>
            <w:vAlign w:val="center"/>
          </w:tcPr>
          <w:p w14:paraId="1EF50487">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响应速度</w:t>
            </w:r>
          </w:p>
        </w:tc>
        <w:tc>
          <w:tcPr>
            <w:tcW w:w="7103" w:type="dxa"/>
            <w:tcBorders>
              <w:top w:val="single" w:color="auto" w:sz="4" w:space="0"/>
              <w:left w:val="single" w:color="auto" w:sz="4" w:space="0"/>
              <w:bottom w:val="single" w:color="auto" w:sz="4" w:space="0"/>
              <w:right w:val="single" w:color="auto" w:sz="4" w:space="0"/>
            </w:tcBorders>
            <w:noWrap/>
          </w:tcPr>
          <w:p w14:paraId="03F2B2D8">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分）：承诺接到接运通知后，能在30分钟内出发前往现场，且有具体的保障措施确保这一响应速度。如配备了专门的调度人员，采用先进的通讯设备和车辆调度系统。</w:t>
            </w:r>
          </w:p>
          <w:p w14:paraId="1BC5ED16">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分）：承诺在45分钟内出发前往现场，有一定的响应保障措施，但相对不够完善。</w:t>
            </w:r>
          </w:p>
          <w:p w14:paraId="3060B64C">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 xml:space="preserve"> 分）：承诺在60分钟内出发前往现场，响应保障措施不够明确。</w:t>
            </w:r>
          </w:p>
          <w:p w14:paraId="73144E98">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差（0分）：承诺的响应时间超过60分钟或未明确响应时间。</w:t>
            </w:r>
          </w:p>
        </w:tc>
        <w:tc>
          <w:tcPr>
            <w:tcW w:w="789" w:type="dxa"/>
            <w:tcBorders>
              <w:top w:val="single" w:color="auto" w:sz="4" w:space="0"/>
              <w:left w:val="single" w:color="auto" w:sz="4" w:space="0"/>
              <w:bottom w:val="single" w:color="auto" w:sz="4" w:space="0"/>
              <w:right w:val="single" w:color="auto" w:sz="4" w:space="0"/>
            </w:tcBorders>
            <w:noWrap/>
            <w:vAlign w:val="center"/>
          </w:tcPr>
          <w:p w14:paraId="0120530F">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w:t>
            </w:r>
          </w:p>
        </w:tc>
      </w:tr>
      <w:tr w14:paraId="14331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54B7ECC0">
            <w:pPr>
              <w:widowControl/>
              <w:jc w:val="center"/>
              <w:rPr>
                <w:rFonts w:hint="eastAsia" w:ascii="仿宋" w:hAnsi="仿宋" w:eastAsia="仿宋" w:cs="仿宋"/>
                <w:b/>
                <w:color w:val="auto"/>
                <w:szCs w:val="21"/>
                <w:highlight w:val="none"/>
              </w:rPr>
            </w:pPr>
          </w:p>
        </w:tc>
        <w:tc>
          <w:tcPr>
            <w:tcW w:w="1137" w:type="dxa"/>
            <w:tcBorders>
              <w:left w:val="single" w:color="auto" w:sz="4" w:space="0"/>
              <w:right w:val="single" w:color="auto" w:sz="4" w:space="0"/>
            </w:tcBorders>
            <w:noWrap/>
            <w:vAlign w:val="center"/>
          </w:tcPr>
          <w:p w14:paraId="42ED7BFD">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文明服务</w:t>
            </w:r>
          </w:p>
        </w:tc>
        <w:tc>
          <w:tcPr>
            <w:tcW w:w="7103" w:type="dxa"/>
            <w:tcBorders>
              <w:top w:val="single" w:color="auto" w:sz="4" w:space="0"/>
              <w:left w:val="single" w:color="auto" w:sz="4" w:space="0"/>
              <w:bottom w:val="single" w:color="auto" w:sz="4" w:space="0"/>
              <w:right w:val="single" w:color="auto" w:sz="4" w:space="0"/>
            </w:tcBorders>
            <w:noWrap/>
          </w:tcPr>
          <w:p w14:paraId="7EE97936">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分）：有完善的文明服务规范和培训体系，服务人员具备良好的礼仪和沟通技巧，在接运过程中能充分尊重逝者和家属的意愿和感受。例如，提供了详细的服务人员礼仪培训资料和文明服务考核制度。</w:t>
            </w:r>
          </w:p>
          <w:p w14:paraId="0553D891">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良好（2分）：有基本的文明服务要求，但规范不够详细，培训体系不够完善。</w:t>
            </w:r>
          </w:p>
          <w:p w14:paraId="023217BE">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一般（1分）：仅简单提及文明服务，但缺乏具体的规范和措施。</w:t>
            </w:r>
          </w:p>
          <w:p w14:paraId="492571B8">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差（0分）：未提及文明服务相关内容。</w:t>
            </w:r>
          </w:p>
        </w:tc>
        <w:tc>
          <w:tcPr>
            <w:tcW w:w="789" w:type="dxa"/>
            <w:tcBorders>
              <w:top w:val="single" w:color="auto" w:sz="4" w:space="0"/>
              <w:left w:val="single" w:color="auto" w:sz="4" w:space="0"/>
              <w:bottom w:val="single" w:color="auto" w:sz="4" w:space="0"/>
              <w:right w:val="single" w:color="auto" w:sz="4" w:space="0"/>
            </w:tcBorders>
            <w:noWrap/>
            <w:vAlign w:val="center"/>
          </w:tcPr>
          <w:p w14:paraId="6E56A8EA">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w:t>
            </w:r>
          </w:p>
        </w:tc>
      </w:tr>
      <w:tr w14:paraId="669D1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65EAEC59">
            <w:pPr>
              <w:widowControl/>
              <w:jc w:val="center"/>
              <w:rPr>
                <w:rFonts w:hint="eastAsia" w:ascii="仿宋" w:hAnsi="仿宋" w:eastAsia="仿宋" w:cs="仿宋"/>
                <w:b/>
                <w:color w:val="auto"/>
                <w:szCs w:val="21"/>
                <w:highlight w:val="none"/>
              </w:rPr>
            </w:pPr>
          </w:p>
        </w:tc>
        <w:tc>
          <w:tcPr>
            <w:tcW w:w="1137" w:type="dxa"/>
            <w:tcBorders>
              <w:left w:val="single" w:color="auto" w:sz="4" w:space="0"/>
              <w:right w:val="single" w:color="auto" w:sz="4" w:space="0"/>
            </w:tcBorders>
            <w:noWrap/>
            <w:vAlign w:val="center"/>
          </w:tcPr>
          <w:p w14:paraId="5EE5F5DE">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保密制度</w:t>
            </w:r>
          </w:p>
        </w:tc>
        <w:tc>
          <w:tcPr>
            <w:tcW w:w="7103" w:type="dxa"/>
            <w:tcBorders>
              <w:top w:val="single" w:color="auto" w:sz="4" w:space="0"/>
              <w:left w:val="single" w:color="auto" w:sz="4" w:space="0"/>
              <w:bottom w:val="single" w:color="auto" w:sz="4" w:space="0"/>
              <w:right w:val="single" w:color="auto" w:sz="4" w:space="0"/>
            </w:tcBorders>
            <w:noWrap/>
          </w:tcPr>
          <w:p w14:paraId="213E7E93">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分）：有健全的保密制度，明确规定了对逝者信息和家属信息的保密措施，包括信息存储、传输、使用等方面的安全保障。如采用加密技术对信息进行存储和传输，设置专人负责信息管理。</w:t>
            </w:r>
          </w:p>
          <w:p w14:paraId="706A18C4">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良好（2分）：有保密制度，但不够完善，部分保密措施不够明确。</w:t>
            </w:r>
          </w:p>
          <w:p w14:paraId="5E08C0FB">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一般（1分）：提及了保密要求，但缺乏具体的制度和措施。</w:t>
            </w:r>
          </w:p>
          <w:p w14:paraId="60911DDC">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差（0分）：未提及保密制度。</w:t>
            </w:r>
          </w:p>
          <w:p w14:paraId="2EACF342">
            <w:pPr>
              <w:jc w:val="left"/>
              <w:rPr>
                <w:rFonts w:hint="eastAsia" w:ascii="仿宋" w:hAnsi="仿宋" w:eastAsia="仿宋" w:cs="仿宋"/>
                <w:color w:val="auto"/>
                <w:szCs w:val="21"/>
                <w:highlight w:val="none"/>
              </w:rPr>
            </w:pPr>
          </w:p>
        </w:tc>
        <w:tc>
          <w:tcPr>
            <w:tcW w:w="789" w:type="dxa"/>
            <w:tcBorders>
              <w:top w:val="single" w:color="auto" w:sz="4" w:space="0"/>
              <w:left w:val="single" w:color="auto" w:sz="4" w:space="0"/>
              <w:bottom w:val="single" w:color="auto" w:sz="4" w:space="0"/>
              <w:right w:val="single" w:color="auto" w:sz="4" w:space="0"/>
            </w:tcBorders>
            <w:noWrap/>
            <w:vAlign w:val="center"/>
          </w:tcPr>
          <w:p w14:paraId="15428F2A">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w:t>
            </w:r>
          </w:p>
        </w:tc>
      </w:tr>
      <w:tr w14:paraId="47C33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054DE27E">
            <w:pPr>
              <w:widowControl/>
              <w:jc w:val="center"/>
              <w:rPr>
                <w:rFonts w:hint="eastAsia" w:ascii="仿宋" w:hAnsi="仿宋" w:eastAsia="仿宋" w:cs="仿宋"/>
                <w:b/>
                <w:color w:val="auto"/>
                <w:szCs w:val="21"/>
                <w:highlight w:val="none"/>
              </w:rPr>
            </w:pPr>
          </w:p>
        </w:tc>
        <w:tc>
          <w:tcPr>
            <w:tcW w:w="1137" w:type="dxa"/>
            <w:tcBorders>
              <w:left w:val="single" w:color="auto" w:sz="4" w:space="0"/>
              <w:right w:val="single" w:color="auto" w:sz="4" w:space="0"/>
            </w:tcBorders>
            <w:noWrap/>
            <w:vAlign w:val="center"/>
          </w:tcPr>
          <w:p w14:paraId="2C2C2A17">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质量管控</w:t>
            </w:r>
          </w:p>
        </w:tc>
        <w:tc>
          <w:tcPr>
            <w:tcW w:w="7103" w:type="dxa"/>
            <w:tcBorders>
              <w:top w:val="single" w:color="auto" w:sz="4" w:space="0"/>
              <w:left w:val="single" w:color="auto" w:sz="4" w:space="0"/>
              <w:bottom w:val="single" w:color="auto" w:sz="4" w:space="0"/>
              <w:right w:val="single" w:color="auto" w:sz="4" w:space="0"/>
            </w:tcBorders>
            <w:noWrap/>
          </w:tcPr>
          <w:p w14:paraId="2FB75689">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分）：建立了全面的质量管控体系，包括服务质量监督、考核、改进等环节，有具体的质量指标和考核方法。例如，定期对服务进行满意度调查，并根据调查结果进行改进。</w:t>
            </w:r>
          </w:p>
          <w:p w14:paraId="738EFA27">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良好（2分）：有质量管控措施，但体系不够完善，部分指标和方法不够明确。</w:t>
            </w:r>
          </w:p>
          <w:p w14:paraId="5945E97B">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一般（1分）：仅简单提及质量管控，但缺乏具体的措施和指标。</w:t>
            </w:r>
          </w:p>
          <w:p w14:paraId="3C2AC298">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差（0分）：未提及质量管控相关内容。</w:t>
            </w:r>
          </w:p>
        </w:tc>
        <w:tc>
          <w:tcPr>
            <w:tcW w:w="789" w:type="dxa"/>
            <w:tcBorders>
              <w:top w:val="single" w:color="auto" w:sz="4" w:space="0"/>
              <w:left w:val="single" w:color="auto" w:sz="4" w:space="0"/>
              <w:bottom w:val="single" w:color="auto" w:sz="4" w:space="0"/>
              <w:right w:val="single" w:color="auto" w:sz="4" w:space="0"/>
            </w:tcBorders>
            <w:noWrap/>
            <w:vAlign w:val="center"/>
          </w:tcPr>
          <w:p w14:paraId="7A1EF1C5">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w:t>
            </w:r>
          </w:p>
        </w:tc>
      </w:tr>
      <w:tr w14:paraId="45BF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63C7C338">
            <w:pPr>
              <w:widowControl/>
              <w:jc w:val="center"/>
              <w:rPr>
                <w:rFonts w:hint="eastAsia" w:ascii="仿宋" w:hAnsi="仿宋" w:eastAsia="仿宋" w:cs="仿宋"/>
                <w:b/>
                <w:color w:val="auto"/>
                <w:szCs w:val="21"/>
                <w:highlight w:val="none"/>
              </w:rPr>
            </w:pPr>
          </w:p>
        </w:tc>
        <w:tc>
          <w:tcPr>
            <w:tcW w:w="1137" w:type="dxa"/>
            <w:tcBorders>
              <w:left w:val="single" w:color="auto" w:sz="4" w:space="0"/>
              <w:right w:val="single" w:color="auto" w:sz="4" w:space="0"/>
            </w:tcBorders>
            <w:noWrap/>
            <w:vAlign w:val="center"/>
          </w:tcPr>
          <w:p w14:paraId="7AF3C905">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密闭消杀</w:t>
            </w:r>
          </w:p>
          <w:p w14:paraId="4ACB657E">
            <w:pPr>
              <w:widowControl/>
              <w:jc w:val="center"/>
              <w:rPr>
                <w:rFonts w:hint="eastAsia" w:ascii="仿宋" w:hAnsi="仿宋" w:eastAsia="仿宋" w:cs="仿宋"/>
                <w:b/>
                <w:color w:val="auto"/>
                <w:szCs w:val="21"/>
                <w:highlight w:val="none"/>
                <w:lang w:val="en-US" w:eastAsia="zh-CN"/>
              </w:rPr>
            </w:pPr>
          </w:p>
        </w:tc>
        <w:tc>
          <w:tcPr>
            <w:tcW w:w="7103" w:type="dxa"/>
            <w:tcBorders>
              <w:top w:val="single" w:color="auto" w:sz="4" w:space="0"/>
              <w:left w:val="single" w:color="auto" w:sz="4" w:space="0"/>
              <w:bottom w:val="single" w:color="auto" w:sz="4" w:space="0"/>
              <w:right w:val="single" w:color="auto" w:sz="4" w:space="0"/>
            </w:tcBorders>
            <w:noWrap/>
          </w:tcPr>
          <w:p w14:paraId="082381DB">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分）：车辆具备完善的密闭消杀设备和制度，能有效防止异味扩散和病菌传播。详细说明消杀的频率、方法和使用的消毒剂。</w:t>
            </w:r>
          </w:p>
          <w:p w14:paraId="105DD3C6">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分）：有密闭消杀措施，但设备或制度不够完善。</w:t>
            </w:r>
          </w:p>
          <w:p w14:paraId="30393D62">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分）：提及了密闭消杀，但缺乏具体措施。</w:t>
            </w:r>
          </w:p>
          <w:p w14:paraId="62944118">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差（0分）：未提及密闭消杀相关内容。</w:t>
            </w:r>
          </w:p>
        </w:tc>
        <w:tc>
          <w:tcPr>
            <w:tcW w:w="789" w:type="dxa"/>
            <w:tcBorders>
              <w:top w:val="single" w:color="auto" w:sz="4" w:space="0"/>
              <w:left w:val="single" w:color="auto" w:sz="4" w:space="0"/>
              <w:bottom w:val="single" w:color="auto" w:sz="4" w:space="0"/>
              <w:right w:val="single" w:color="auto" w:sz="4" w:space="0"/>
            </w:tcBorders>
            <w:noWrap/>
            <w:vAlign w:val="center"/>
          </w:tcPr>
          <w:p w14:paraId="7B476BC3">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w:t>
            </w:r>
          </w:p>
        </w:tc>
      </w:tr>
      <w:tr w14:paraId="4EF47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18B290FC">
            <w:pPr>
              <w:widowControl/>
              <w:jc w:val="center"/>
              <w:rPr>
                <w:rFonts w:hint="eastAsia" w:ascii="仿宋" w:hAnsi="仿宋" w:eastAsia="仿宋" w:cs="仿宋"/>
                <w:b/>
                <w:color w:val="auto"/>
                <w:szCs w:val="21"/>
                <w:highlight w:val="none"/>
              </w:rPr>
            </w:pPr>
          </w:p>
        </w:tc>
        <w:tc>
          <w:tcPr>
            <w:tcW w:w="1137" w:type="dxa"/>
            <w:tcBorders>
              <w:left w:val="single" w:color="auto" w:sz="4" w:space="0"/>
              <w:right w:val="single" w:color="auto" w:sz="4" w:space="0"/>
            </w:tcBorders>
            <w:noWrap/>
            <w:vAlign w:val="center"/>
          </w:tcPr>
          <w:p w14:paraId="47A8250F">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定位 / 视频监控</w:t>
            </w:r>
          </w:p>
        </w:tc>
        <w:tc>
          <w:tcPr>
            <w:tcW w:w="7103" w:type="dxa"/>
            <w:tcBorders>
              <w:top w:val="single" w:color="auto" w:sz="4" w:space="0"/>
              <w:left w:val="single" w:color="auto" w:sz="4" w:space="0"/>
              <w:bottom w:val="single" w:color="auto" w:sz="4" w:space="0"/>
              <w:right w:val="single" w:color="auto" w:sz="4" w:space="0"/>
            </w:tcBorders>
            <w:noWrap/>
          </w:tcPr>
          <w:p w14:paraId="1BC643AE">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分）：车辆安装了先进的定位系统和视频监控设备，能实时监控车辆的位置和运输过程，保障运输安全。提供设备的品牌、型号和功能说明。</w:t>
            </w:r>
          </w:p>
          <w:p w14:paraId="2E56B8FC">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分）：安装了</w:t>
            </w:r>
            <w:r>
              <w:rPr>
                <w:rFonts w:hint="eastAsia" w:ascii="仿宋" w:hAnsi="仿宋" w:eastAsia="仿宋" w:cs="仿宋"/>
                <w:color w:val="auto"/>
                <w:szCs w:val="21"/>
                <w:highlight w:val="none"/>
                <w:lang w:val="en-US" w:eastAsia="zh-CN"/>
              </w:rPr>
              <w:t>定位</w:t>
            </w:r>
            <w:r>
              <w:rPr>
                <w:rFonts w:hint="eastAsia" w:ascii="仿宋" w:hAnsi="仿宋" w:eastAsia="仿宋" w:cs="仿宋"/>
                <w:color w:val="auto"/>
                <w:szCs w:val="21"/>
                <w:highlight w:val="none"/>
              </w:rPr>
              <w:t>或视频监控其中一种设备，且功能基本正常。</w:t>
            </w:r>
          </w:p>
          <w:p w14:paraId="0BD5A9DC">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分）：虽有相关设备，但功能不够完善或存在故障。</w:t>
            </w:r>
          </w:p>
          <w:p w14:paraId="2F6727F8">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差（0分）：未安装</w:t>
            </w:r>
            <w:r>
              <w:rPr>
                <w:rFonts w:hint="eastAsia" w:ascii="仿宋" w:hAnsi="仿宋" w:eastAsia="仿宋" w:cs="仿宋"/>
                <w:color w:val="auto"/>
                <w:szCs w:val="21"/>
                <w:highlight w:val="none"/>
                <w:lang w:val="en-US" w:eastAsia="zh-CN"/>
              </w:rPr>
              <w:t>定位</w:t>
            </w:r>
            <w:r>
              <w:rPr>
                <w:rFonts w:hint="eastAsia" w:ascii="仿宋" w:hAnsi="仿宋" w:eastAsia="仿宋" w:cs="仿宋"/>
                <w:color w:val="auto"/>
                <w:szCs w:val="21"/>
                <w:highlight w:val="none"/>
              </w:rPr>
              <w:t>和视频监控设备。</w:t>
            </w:r>
          </w:p>
        </w:tc>
        <w:tc>
          <w:tcPr>
            <w:tcW w:w="789" w:type="dxa"/>
            <w:tcBorders>
              <w:top w:val="single" w:color="auto" w:sz="4" w:space="0"/>
              <w:left w:val="single" w:color="auto" w:sz="4" w:space="0"/>
              <w:bottom w:val="single" w:color="auto" w:sz="4" w:space="0"/>
              <w:right w:val="single" w:color="auto" w:sz="4" w:space="0"/>
            </w:tcBorders>
            <w:noWrap/>
            <w:vAlign w:val="center"/>
          </w:tcPr>
          <w:p w14:paraId="60B959B7">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w:t>
            </w:r>
          </w:p>
        </w:tc>
      </w:tr>
      <w:tr w14:paraId="0CC0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4F386EDE">
            <w:pPr>
              <w:widowControl/>
              <w:jc w:val="center"/>
              <w:rPr>
                <w:rFonts w:hint="eastAsia" w:ascii="仿宋" w:hAnsi="仿宋" w:eastAsia="仿宋" w:cs="仿宋"/>
                <w:b/>
                <w:color w:val="auto"/>
                <w:szCs w:val="21"/>
                <w:highlight w:val="none"/>
              </w:rPr>
            </w:pPr>
          </w:p>
        </w:tc>
        <w:tc>
          <w:tcPr>
            <w:tcW w:w="1137" w:type="dxa"/>
            <w:tcBorders>
              <w:left w:val="single" w:color="auto" w:sz="4" w:space="0"/>
              <w:right w:val="single" w:color="auto" w:sz="4" w:space="0"/>
            </w:tcBorders>
            <w:noWrap/>
            <w:vAlign w:val="center"/>
          </w:tcPr>
          <w:p w14:paraId="75650F18">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保险齐全</w:t>
            </w:r>
          </w:p>
        </w:tc>
        <w:tc>
          <w:tcPr>
            <w:tcW w:w="7103" w:type="dxa"/>
            <w:tcBorders>
              <w:top w:val="single" w:color="auto" w:sz="4" w:space="0"/>
              <w:left w:val="single" w:color="auto" w:sz="4" w:space="0"/>
              <w:bottom w:val="single" w:color="auto" w:sz="4" w:space="0"/>
              <w:right w:val="single" w:color="auto" w:sz="4" w:space="0"/>
            </w:tcBorders>
            <w:noWrap/>
          </w:tcPr>
          <w:p w14:paraId="2CE98955">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分）：车辆购买了交强险、承运人责任险等必要的保险，且保险额度符合要求。提供保险单</w:t>
            </w:r>
            <w:r>
              <w:rPr>
                <w:rFonts w:hint="eastAsia" w:ascii="仿宋" w:hAnsi="仿宋" w:eastAsia="仿宋" w:cs="仿宋"/>
                <w:color w:val="auto"/>
                <w:szCs w:val="21"/>
                <w:highlight w:val="none"/>
                <w:lang w:val="en-US" w:eastAsia="zh-CN"/>
              </w:rPr>
              <w:t>扫描</w:t>
            </w:r>
            <w:r>
              <w:rPr>
                <w:rFonts w:hint="eastAsia" w:ascii="仿宋" w:hAnsi="仿宋" w:eastAsia="仿宋" w:cs="仿宋"/>
                <w:color w:val="auto"/>
                <w:szCs w:val="21"/>
                <w:highlight w:val="none"/>
              </w:rPr>
              <w:t>件。</w:t>
            </w:r>
          </w:p>
          <w:p w14:paraId="56B2C9F2">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分）：购买了部分必要保险，但保险额度不足。</w:t>
            </w:r>
          </w:p>
          <w:p w14:paraId="02D58C3C">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分）：仅购买了少量保险或未购买必要保险。</w:t>
            </w:r>
          </w:p>
          <w:p w14:paraId="162F356D">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差（0分）：未购买任何相关保险。</w:t>
            </w:r>
          </w:p>
        </w:tc>
        <w:tc>
          <w:tcPr>
            <w:tcW w:w="789" w:type="dxa"/>
            <w:tcBorders>
              <w:top w:val="single" w:color="auto" w:sz="4" w:space="0"/>
              <w:left w:val="single" w:color="auto" w:sz="4" w:space="0"/>
              <w:bottom w:val="single" w:color="auto" w:sz="4" w:space="0"/>
              <w:right w:val="single" w:color="auto" w:sz="4" w:space="0"/>
            </w:tcBorders>
            <w:noWrap/>
            <w:vAlign w:val="center"/>
          </w:tcPr>
          <w:p w14:paraId="505C38BC">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w:t>
            </w:r>
          </w:p>
        </w:tc>
      </w:tr>
      <w:tr w14:paraId="4104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4080CB24">
            <w:pPr>
              <w:widowControl/>
              <w:jc w:val="center"/>
              <w:rPr>
                <w:rFonts w:hint="eastAsia" w:ascii="仿宋" w:hAnsi="仿宋" w:eastAsia="仿宋" w:cs="仿宋"/>
                <w:b/>
                <w:color w:val="auto"/>
                <w:szCs w:val="21"/>
                <w:highlight w:val="none"/>
              </w:rPr>
            </w:pPr>
          </w:p>
        </w:tc>
        <w:tc>
          <w:tcPr>
            <w:tcW w:w="1137" w:type="dxa"/>
            <w:tcBorders>
              <w:left w:val="single" w:color="auto" w:sz="4" w:space="0"/>
              <w:right w:val="single" w:color="auto" w:sz="4" w:space="0"/>
            </w:tcBorders>
            <w:noWrap/>
            <w:vAlign w:val="center"/>
          </w:tcPr>
          <w:p w14:paraId="6E362D27">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车容车貌</w:t>
            </w:r>
          </w:p>
        </w:tc>
        <w:tc>
          <w:tcPr>
            <w:tcW w:w="7103" w:type="dxa"/>
            <w:tcBorders>
              <w:top w:val="single" w:color="auto" w:sz="4" w:space="0"/>
              <w:left w:val="single" w:color="auto" w:sz="4" w:space="0"/>
              <w:bottom w:val="single" w:color="auto" w:sz="4" w:space="0"/>
              <w:right w:val="single" w:color="auto" w:sz="4" w:space="0"/>
            </w:tcBorders>
            <w:noWrap/>
          </w:tcPr>
          <w:p w14:paraId="22B3170F">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分）：车辆外观整洁、干净，无明显污渍和损坏，内饰舒适、卫生。提供车辆外观和内饰的照片</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不得少于5张照片</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w:t>
            </w:r>
          </w:p>
          <w:p w14:paraId="5FF0AD2C">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分）：车容车貌基本符合要求，但存在一些小瑕疵。</w:t>
            </w:r>
          </w:p>
          <w:p w14:paraId="4DFFC55D">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分）：车辆外观或内饰存在较多污渍或损坏。</w:t>
            </w:r>
          </w:p>
          <w:p w14:paraId="269FF6A4">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差（0分）：车容车貌极差，严重影响服务形象。</w:t>
            </w:r>
          </w:p>
        </w:tc>
        <w:tc>
          <w:tcPr>
            <w:tcW w:w="789" w:type="dxa"/>
            <w:tcBorders>
              <w:top w:val="single" w:color="auto" w:sz="4" w:space="0"/>
              <w:left w:val="single" w:color="auto" w:sz="4" w:space="0"/>
              <w:bottom w:val="single" w:color="auto" w:sz="4" w:space="0"/>
              <w:right w:val="single" w:color="auto" w:sz="4" w:space="0"/>
            </w:tcBorders>
            <w:noWrap/>
            <w:vAlign w:val="center"/>
          </w:tcPr>
          <w:p w14:paraId="2FA001AE">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w:t>
            </w:r>
          </w:p>
        </w:tc>
      </w:tr>
      <w:tr w14:paraId="1D1C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2C99FD1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240" w:lineRule="auto"/>
              <w:ind w:left="0" w:right="0" w:firstLine="0"/>
              <w:jc w:val="left"/>
              <w:rPr>
                <w:rFonts w:hint="eastAsia" w:ascii="仿宋" w:hAnsi="仿宋" w:eastAsia="仿宋" w:cs="仿宋"/>
                <w:b/>
                <w:bCs w:val="0"/>
                <w:color w:val="auto"/>
                <w:sz w:val="21"/>
                <w:szCs w:val="21"/>
                <w:highlight w:val="none"/>
                <w:lang w:val="en-US" w:eastAsia="zh-CN"/>
              </w:rPr>
            </w:pPr>
          </w:p>
        </w:tc>
        <w:tc>
          <w:tcPr>
            <w:tcW w:w="1137" w:type="dxa"/>
            <w:tcBorders>
              <w:left w:val="single" w:color="auto" w:sz="4" w:space="0"/>
              <w:right w:val="single" w:color="auto" w:sz="4" w:space="0"/>
            </w:tcBorders>
            <w:noWrap/>
            <w:vAlign w:val="center"/>
          </w:tcPr>
          <w:p w14:paraId="1933009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240" w:lineRule="auto"/>
              <w:ind w:left="0" w:right="0" w:firstLine="0"/>
              <w:jc w:val="left"/>
              <w:rPr>
                <w:rFonts w:hint="eastAsia" w:ascii="仿宋" w:hAnsi="仿宋" w:eastAsia="仿宋" w:cs="仿宋"/>
                <w:b/>
                <w:bCs w:val="0"/>
                <w:color w:val="auto"/>
                <w:sz w:val="21"/>
                <w:szCs w:val="21"/>
                <w:highlight w:val="none"/>
                <w:lang w:val="en-US" w:eastAsia="zh-CN"/>
              </w:rPr>
            </w:pPr>
            <w:bookmarkStart w:id="19" w:name="_Toc29749"/>
            <w:r>
              <w:rPr>
                <w:rFonts w:hint="eastAsia" w:ascii="仿宋" w:hAnsi="仿宋" w:eastAsia="仿宋" w:cs="仿宋"/>
                <w:b/>
                <w:bCs w:val="0"/>
                <w:color w:val="auto"/>
                <w:sz w:val="21"/>
                <w:szCs w:val="21"/>
                <w:highlight w:val="none"/>
                <w:lang w:val="en-US" w:eastAsia="zh-CN"/>
              </w:rPr>
              <w:t>殡仪车辆情况</w:t>
            </w:r>
            <w:bookmarkEnd w:id="19"/>
          </w:p>
        </w:tc>
        <w:tc>
          <w:tcPr>
            <w:tcW w:w="7103" w:type="dxa"/>
            <w:tcBorders>
              <w:top w:val="single" w:color="auto" w:sz="4" w:space="0"/>
              <w:left w:val="single" w:color="auto" w:sz="4" w:space="0"/>
              <w:bottom w:val="single" w:color="auto" w:sz="4" w:space="0"/>
              <w:right w:val="single" w:color="auto" w:sz="4" w:space="0"/>
            </w:tcBorders>
            <w:noWrap/>
            <w:vAlign w:val="center"/>
          </w:tcPr>
          <w:p w14:paraId="4DB86BF5">
            <w:pPr>
              <w:widowControl/>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具备殡葬专用车辆，每辆得</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分，最高得</w:t>
            </w:r>
            <w:r>
              <w:rPr>
                <w:rFonts w:hint="eastAsia" w:ascii="仿宋" w:hAnsi="仿宋" w:eastAsia="仿宋" w:cs="仿宋"/>
                <w:color w:val="auto"/>
                <w:szCs w:val="21"/>
                <w:highlight w:val="none"/>
                <w:lang w:val="en-US" w:eastAsia="zh-CN"/>
              </w:rPr>
              <w:t>15</w:t>
            </w:r>
            <w:r>
              <w:rPr>
                <w:rFonts w:hint="eastAsia" w:ascii="仿宋" w:hAnsi="仿宋" w:eastAsia="仿宋" w:cs="仿宋"/>
                <w:color w:val="auto"/>
                <w:szCs w:val="21"/>
                <w:highlight w:val="none"/>
              </w:rPr>
              <w:t>分</w:t>
            </w:r>
            <w:r>
              <w:rPr>
                <w:rFonts w:hint="eastAsia" w:ascii="仿宋" w:hAnsi="仿宋" w:eastAsia="仿宋" w:cs="仿宋"/>
                <w:color w:val="auto"/>
                <w:szCs w:val="21"/>
                <w:highlight w:val="none"/>
                <w:lang w:eastAsia="zh-CN"/>
              </w:rPr>
              <w:t>。</w:t>
            </w:r>
          </w:p>
          <w:p w14:paraId="30C550A9">
            <w:pPr>
              <w:widowControl/>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合格证明材料:提供殡葬专用车辆基本信息(</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自有或租赁的证明资料:行驶证(或临时号牌)强制性产品认证车辆一致性证书</w:t>
            </w:r>
            <w:r>
              <w:rPr>
                <w:rFonts w:hint="eastAsia" w:ascii="仿宋" w:hAnsi="仿宋" w:eastAsia="仿宋" w:cs="仿宋"/>
                <w:color w:val="auto"/>
                <w:szCs w:val="21"/>
                <w:highlight w:val="none"/>
                <w:lang w:val="en-US" w:eastAsia="zh-CN"/>
              </w:rPr>
              <w:t>或机动车整车出厂合格证</w:t>
            </w:r>
            <w:r>
              <w:rPr>
                <w:rFonts w:hint="eastAsia" w:ascii="仿宋" w:hAnsi="仿宋" w:eastAsia="仿宋" w:cs="仿宋"/>
                <w:color w:val="auto"/>
                <w:szCs w:val="21"/>
                <w:highlight w:val="none"/>
              </w:rPr>
              <w:t>、租赁合同(若有)</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车辆所有人不得为个人，否则视为不得分</w:t>
            </w:r>
            <w:r>
              <w:rPr>
                <w:rFonts w:hint="eastAsia" w:ascii="仿宋" w:hAnsi="仿宋" w:eastAsia="仿宋" w:cs="仿宋"/>
                <w:color w:val="auto"/>
                <w:szCs w:val="21"/>
                <w:highlight w:val="none"/>
              </w:rPr>
              <w:t>)</w:t>
            </w:r>
          </w:p>
        </w:tc>
        <w:tc>
          <w:tcPr>
            <w:tcW w:w="789" w:type="dxa"/>
            <w:tcBorders>
              <w:top w:val="single" w:color="auto" w:sz="4" w:space="0"/>
              <w:left w:val="single" w:color="auto" w:sz="4" w:space="0"/>
              <w:bottom w:val="single" w:color="auto" w:sz="4" w:space="0"/>
              <w:right w:val="single" w:color="auto" w:sz="4" w:space="0"/>
            </w:tcBorders>
            <w:noWrap/>
            <w:vAlign w:val="center"/>
          </w:tcPr>
          <w:p w14:paraId="47A0F225">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15</w:t>
            </w:r>
          </w:p>
        </w:tc>
      </w:tr>
      <w:tr w14:paraId="036E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restart"/>
            <w:tcBorders>
              <w:left w:val="single" w:color="auto" w:sz="4" w:space="0"/>
              <w:right w:val="single" w:color="auto" w:sz="4" w:space="0"/>
            </w:tcBorders>
            <w:noWrap/>
            <w:vAlign w:val="center"/>
          </w:tcPr>
          <w:p w14:paraId="1F9ADF3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240" w:lineRule="auto"/>
              <w:ind w:left="0" w:right="0" w:firstLine="0"/>
              <w:jc w:val="center"/>
              <w:rPr>
                <w:rFonts w:hint="eastAsia" w:ascii="仿宋" w:hAnsi="仿宋" w:eastAsia="仿宋" w:cs="仿宋"/>
                <w:b/>
                <w:bCs w:val="0"/>
                <w:color w:val="auto"/>
                <w:sz w:val="21"/>
                <w:szCs w:val="21"/>
                <w:highlight w:val="none"/>
                <w:lang w:val="en-US" w:eastAsia="zh-CN"/>
              </w:rPr>
            </w:pPr>
            <w:bookmarkStart w:id="20" w:name="_Toc16971"/>
            <w:r>
              <w:rPr>
                <w:rFonts w:hint="eastAsia" w:ascii="仿宋" w:hAnsi="仿宋" w:eastAsia="仿宋" w:cs="仿宋"/>
                <w:b/>
                <w:bCs w:val="0"/>
                <w:color w:val="auto"/>
                <w:sz w:val="21"/>
                <w:szCs w:val="21"/>
                <w:highlight w:val="none"/>
                <w:lang w:val="en-US" w:eastAsia="zh-CN"/>
              </w:rPr>
              <w:t>2.人员配置与专业能力</w:t>
            </w:r>
            <w:bookmarkEnd w:id="20"/>
          </w:p>
        </w:tc>
        <w:tc>
          <w:tcPr>
            <w:tcW w:w="1137" w:type="dxa"/>
            <w:tcBorders>
              <w:left w:val="single" w:color="auto" w:sz="4" w:space="0"/>
              <w:right w:val="single" w:color="auto" w:sz="4" w:space="0"/>
            </w:tcBorders>
            <w:noWrap/>
            <w:vAlign w:val="center"/>
          </w:tcPr>
          <w:p w14:paraId="5D661A2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240" w:lineRule="auto"/>
              <w:ind w:left="0" w:right="0" w:firstLine="0"/>
              <w:jc w:val="left"/>
              <w:rPr>
                <w:rFonts w:hint="eastAsia" w:ascii="仿宋" w:hAnsi="仿宋" w:eastAsia="仿宋" w:cs="仿宋"/>
                <w:b/>
                <w:bCs w:val="0"/>
                <w:color w:val="auto"/>
                <w:sz w:val="21"/>
                <w:szCs w:val="21"/>
                <w:highlight w:val="none"/>
                <w:lang w:val="en-US" w:eastAsia="zh-CN"/>
              </w:rPr>
            </w:pPr>
            <w:bookmarkStart w:id="21" w:name="_Toc10283"/>
            <w:r>
              <w:rPr>
                <w:rFonts w:hint="eastAsia" w:ascii="仿宋" w:hAnsi="仿宋" w:eastAsia="仿宋" w:cs="仿宋"/>
                <w:b/>
                <w:bCs w:val="0"/>
                <w:color w:val="auto"/>
                <w:sz w:val="21"/>
                <w:szCs w:val="21"/>
                <w:highlight w:val="none"/>
                <w:lang w:val="en-US" w:eastAsia="zh-CN"/>
              </w:rPr>
              <w:t>人员数量</w:t>
            </w:r>
            <w:bookmarkEnd w:id="21"/>
          </w:p>
        </w:tc>
        <w:tc>
          <w:tcPr>
            <w:tcW w:w="7103" w:type="dxa"/>
            <w:tcBorders>
              <w:top w:val="single" w:color="auto" w:sz="4" w:space="0"/>
              <w:left w:val="single" w:color="auto" w:sz="4" w:space="0"/>
              <w:bottom w:val="single" w:color="auto" w:sz="4" w:space="0"/>
              <w:right w:val="single" w:color="auto" w:sz="4" w:space="0"/>
            </w:tcBorders>
            <w:noWrap/>
            <w:vAlign w:val="center"/>
          </w:tcPr>
          <w:p w14:paraId="48924866">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分）：人员数量充足，能满足日常接运服务的需求，且在高峰时期有相应的人员调配方案。说明人员的岗位设置和职责分工。</w:t>
            </w:r>
          </w:p>
          <w:p w14:paraId="6E8529DE">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分）：人员数量基本满足需求，但调配方案不够完善。</w:t>
            </w:r>
          </w:p>
          <w:p w14:paraId="1A7F0798">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分）：人员数量勉强满足需求，无人员调配方案。</w:t>
            </w:r>
          </w:p>
          <w:p w14:paraId="6F0F4A04">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差（0分）：人员数量明显不足，无法保证服务正常开展。</w:t>
            </w:r>
          </w:p>
        </w:tc>
        <w:tc>
          <w:tcPr>
            <w:tcW w:w="789" w:type="dxa"/>
            <w:tcBorders>
              <w:top w:val="single" w:color="auto" w:sz="4" w:space="0"/>
              <w:left w:val="single" w:color="auto" w:sz="4" w:space="0"/>
              <w:bottom w:val="single" w:color="auto" w:sz="4" w:space="0"/>
              <w:right w:val="single" w:color="auto" w:sz="4" w:space="0"/>
            </w:tcBorders>
            <w:noWrap/>
            <w:vAlign w:val="center"/>
          </w:tcPr>
          <w:p w14:paraId="7A336775">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w:t>
            </w:r>
          </w:p>
        </w:tc>
      </w:tr>
      <w:tr w14:paraId="3786B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03A3F69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240" w:lineRule="auto"/>
              <w:ind w:left="0" w:right="0" w:firstLine="0"/>
              <w:jc w:val="left"/>
              <w:rPr>
                <w:rFonts w:hint="eastAsia" w:ascii="仿宋" w:hAnsi="仿宋" w:eastAsia="仿宋" w:cs="仿宋"/>
                <w:b/>
                <w:bCs w:val="0"/>
                <w:color w:val="auto"/>
                <w:sz w:val="21"/>
                <w:szCs w:val="21"/>
                <w:highlight w:val="none"/>
                <w:lang w:val="en-US" w:eastAsia="zh-CN"/>
              </w:rPr>
            </w:pPr>
          </w:p>
        </w:tc>
        <w:tc>
          <w:tcPr>
            <w:tcW w:w="1137" w:type="dxa"/>
            <w:tcBorders>
              <w:left w:val="single" w:color="auto" w:sz="4" w:space="0"/>
              <w:right w:val="single" w:color="auto" w:sz="4" w:space="0"/>
            </w:tcBorders>
            <w:noWrap/>
            <w:vAlign w:val="center"/>
          </w:tcPr>
          <w:p w14:paraId="1D108052">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健康证明</w:t>
            </w:r>
          </w:p>
        </w:tc>
        <w:tc>
          <w:tcPr>
            <w:tcW w:w="7103" w:type="dxa"/>
            <w:tcBorders>
              <w:top w:val="single" w:color="auto" w:sz="4" w:space="0"/>
              <w:left w:val="single" w:color="auto" w:sz="4" w:space="0"/>
              <w:bottom w:val="single" w:color="auto" w:sz="4" w:space="0"/>
              <w:right w:val="single" w:color="auto" w:sz="4" w:space="0"/>
            </w:tcBorders>
            <w:noWrap/>
            <w:vAlign w:val="center"/>
          </w:tcPr>
          <w:p w14:paraId="6DEBD7BD">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分）：所有人员均提供有效的健康证明，确保服务过程中的卫生安全。提供健康证明</w:t>
            </w:r>
            <w:r>
              <w:rPr>
                <w:rFonts w:hint="eastAsia" w:ascii="仿宋" w:hAnsi="仿宋" w:eastAsia="仿宋" w:cs="仿宋"/>
                <w:color w:val="auto"/>
                <w:szCs w:val="21"/>
                <w:highlight w:val="none"/>
                <w:lang w:val="en-US" w:eastAsia="zh-CN"/>
              </w:rPr>
              <w:t>扫描件</w:t>
            </w:r>
            <w:r>
              <w:rPr>
                <w:rFonts w:hint="eastAsia" w:ascii="仿宋" w:hAnsi="仿宋" w:eastAsia="仿宋" w:cs="仿宋"/>
                <w:color w:val="auto"/>
                <w:szCs w:val="21"/>
                <w:highlight w:val="none"/>
              </w:rPr>
              <w:t>。</w:t>
            </w:r>
          </w:p>
          <w:p w14:paraId="2FA35A8B">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分）：大部分人员提供了健康证明，但存在个别人员未提供的情况。</w:t>
            </w:r>
          </w:p>
          <w:p w14:paraId="120C7BD2">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分）：部分人员提供了健康证明，人员健康证明提供率较低。</w:t>
            </w:r>
          </w:p>
          <w:p w14:paraId="5F945E47">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差（0分）：无人提供健康证明。</w:t>
            </w:r>
          </w:p>
        </w:tc>
        <w:tc>
          <w:tcPr>
            <w:tcW w:w="789" w:type="dxa"/>
            <w:tcBorders>
              <w:top w:val="single" w:color="auto" w:sz="4" w:space="0"/>
              <w:left w:val="single" w:color="auto" w:sz="4" w:space="0"/>
              <w:bottom w:val="single" w:color="auto" w:sz="4" w:space="0"/>
              <w:right w:val="single" w:color="auto" w:sz="4" w:space="0"/>
            </w:tcBorders>
            <w:noWrap/>
            <w:vAlign w:val="center"/>
          </w:tcPr>
          <w:p w14:paraId="0B6E0BCF">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w:t>
            </w:r>
          </w:p>
        </w:tc>
      </w:tr>
      <w:tr w14:paraId="48CE2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07FC59C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240" w:lineRule="auto"/>
              <w:ind w:left="0" w:right="0" w:firstLine="0"/>
              <w:jc w:val="left"/>
              <w:rPr>
                <w:rFonts w:hint="eastAsia" w:ascii="仿宋" w:hAnsi="仿宋" w:eastAsia="仿宋" w:cs="仿宋"/>
                <w:b/>
                <w:bCs w:val="0"/>
                <w:color w:val="auto"/>
                <w:sz w:val="21"/>
                <w:szCs w:val="21"/>
                <w:highlight w:val="none"/>
                <w:lang w:val="en-US" w:eastAsia="zh-CN"/>
              </w:rPr>
            </w:pPr>
          </w:p>
        </w:tc>
        <w:tc>
          <w:tcPr>
            <w:tcW w:w="1137" w:type="dxa"/>
            <w:tcBorders>
              <w:left w:val="single" w:color="auto" w:sz="4" w:space="0"/>
              <w:right w:val="single" w:color="auto" w:sz="4" w:space="0"/>
            </w:tcBorders>
            <w:noWrap/>
            <w:vAlign w:val="center"/>
          </w:tcPr>
          <w:p w14:paraId="6FBB5B7A">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无犯罪记录</w:t>
            </w:r>
          </w:p>
        </w:tc>
        <w:tc>
          <w:tcPr>
            <w:tcW w:w="7103" w:type="dxa"/>
            <w:tcBorders>
              <w:top w:val="single" w:color="auto" w:sz="4" w:space="0"/>
              <w:left w:val="single" w:color="auto" w:sz="4" w:space="0"/>
              <w:bottom w:val="single" w:color="auto" w:sz="4" w:space="0"/>
              <w:right w:val="single" w:color="auto" w:sz="4" w:space="0"/>
            </w:tcBorders>
            <w:noWrap/>
            <w:vAlign w:val="center"/>
          </w:tcPr>
          <w:p w14:paraId="5E6B51AE">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分）：所有人员均提供了无犯罪记录证明，确保服务的安全性和可靠性。提供证明复印件。</w:t>
            </w:r>
          </w:p>
          <w:p w14:paraId="5C1E32E8">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分）：大部分人员提供了无犯罪记录证明，但存在个别人员未提供的情况。</w:t>
            </w:r>
          </w:p>
          <w:p w14:paraId="40038C02">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分）：部分人员提供了无犯罪记录证明，人员无犯罪记录证明提供率较低。</w:t>
            </w:r>
          </w:p>
          <w:p w14:paraId="443C2F45">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差（0分）：无人提供无犯罪记录证明。</w:t>
            </w:r>
          </w:p>
        </w:tc>
        <w:tc>
          <w:tcPr>
            <w:tcW w:w="789" w:type="dxa"/>
            <w:tcBorders>
              <w:top w:val="single" w:color="auto" w:sz="4" w:space="0"/>
              <w:left w:val="single" w:color="auto" w:sz="4" w:space="0"/>
              <w:bottom w:val="single" w:color="auto" w:sz="4" w:space="0"/>
              <w:right w:val="single" w:color="auto" w:sz="4" w:space="0"/>
            </w:tcBorders>
            <w:noWrap/>
            <w:vAlign w:val="center"/>
          </w:tcPr>
          <w:p w14:paraId="5E785EC8">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w:t>
            </w:r>
          </w:p>
        </w:tc>
      </w:tr>
      <w:tr w14:paraId="74909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restart"/>
            <w:tcBorders>
              <w:left w:val="single" w:color="auto" w:sz="4" w:space="0"/>
              <w:right w:val="single" w:color="auto" w:sz="4" w:space="0"/>
            </w:tcBorders>
            <w:noWrap/>
            <w:vAlign w:val="center"/>
          </w:tcPr>
          <w:p w14:paraId="09CD421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240" w:lineRule="auto"/>
              <w:ind w:left="0" w:right="0" w:firstLine="0"/>
              <w:jc w:val="left"/>
              <w:rPr>
                <w:rFonts w:hint="eastAsia" w:ascii="仿宋" w:hAnsi="仿宋" w:eastAsia="仿宋" w:cs="仿宋"/>
                <w:b/>
                <w:bCs w:val="0"/>
                <w:color w:val="auto"/>
                <w:sz w:val="21"/>
                <w:szCs w:val="21"/>
                <w:highlight w:val="none"/>
                <w:lang w:val="en-US" w:eastAsia="zh-CN"/>
              </w:rPr>
            </w:pPr>
            <w:bookmarkStart w:id="22" w:name="_Toc15696"/>
            <w:r>
              <w:rPr>
                <w:rFonts w:hint="eastAsia" w:ascii="仿宋" w:hAnsi="仿宋" w:eastAsia="仿宋" w:cs="仿宋"/>
                <w:b/>
                <w:bCs w:val="0"/>
                <w:color w:val="auto"/>
                <w:sz w:val="21"/>
                <w:szCs w:val="21"/>
                <w:highlight w:val="none"/>
                <w:lang w:val="en-US" w:eastAsia="zh-CN"/>
              </w:rPr>
              <w:t>3.应急预案与服务承诺</w:t>
            </w:r>
            <w:bookmarkEnd w:id="22"/>
          </w:p>
          <w:p w14:paraId="65AF583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80" w:afterAutospacing="0" w:line="240" w:lineRule="auto"/>
              <w:ind w:left="0" w:right="0" w:firstLine="0"/>
              <w:jc w:val="left"/>
              <w:rPr>
                <w:rFonts w:hint="eastAsia" w:ascii="仿宋" w:hAnsi="仿宋" w:eastAsia="仿宋" w:cs="仿宋"/>
                <w:b/>
                <w:bCs w:val="0"/>
                <w:color w:val="auto"/>
                <w:sz w:val="21"/>
                <w:szCs w:val="21"/>
                <w:highlight w:val="none"/>
                <w:lang w:val="en-US" w:eastAsia="zh-CN"/>
              </w:rPr>
            </w:pPr>
          </w:p>
        </w:tc>
        <w:tc>
          <w:tcPr>
            <w:tcW w:w="1137" w:type="dxa"/>
            <w:tcBorders>
              <w:left w:val="single" w:color="auto" w:sz="4" w:space="0"/>
              <w:right w:val="single" w:color="auto" w:sz="4" w:space="0"/>
            </w:tcBorders>
            <w:noWrap/>
            <w:vAlign w:val="center"/>
          </w:tcPr>
          <w:p w14:paraId="7C9A236F">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24小时应急</w:t>
            </w:r>
          </w:p>
        </w:tc>
        <w:tc>
          <w:tcPr>
            <w:tcW w:w="7103" w:type="dxa"/>
            <w:tcBorders>
              <w:top w:val="single" w:color="auto" w:sz="4" w:space="0"/>
              <w:left w:val="single" w:color="auto" w:sz="4" w:space="0"/>
              <w:bottom w:val="single" w:color="auto" w:sz="4" w:space="0"/>
              <w:right w:val="single" w:color="auto" w:sz="4" w:space="0"/>
            </w:tcBorders>
            <w:noWrap/>
            <w:vAlign w:val="center"/>
          </w:tcPr>
          <w:p w14:paraId="6A8731D6">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分）：建立了完善的24小时应急响应机制，有专门的应急值班人员和联系方式，能在接到紧急通知后迅速响应。提供应急值班表和联系方式。</w:t>
            </w:r>
          </w:p>
          <w:p w14:paraId="5AB9957F">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分）：有24小时应急响应措施，但机制不够完善，值班人员和联系方式不够明确。</w:t>
            </w:r>
          </w:p>
          <w:p w14:paraId="51258CF0">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分）：提及了24小时应急响应，但缺乏具体的措施和保障。</w:t>
            </w:r>
          </w:p>
          <w:p w14:paraId="746C2371">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差（0分）：未提及24小时应急响应相关内容。</w:t>
            </w:r>
          </w:p>
        </w:tc>
        <w:tc>
          <w:tcPr>
            <w:tcW w:w="789" w:type="dxa"/>
            <w:tcBorders>
              <w:top w:val="single" w:color="auto" w:sz="4" w:space="0"/>
              <w:left w:val="single" w:color="auto" w:sz="4" w:space="0"/>
              <w:bottom w:val="single" w:color="auto" w:sz="4" w:space="0"/>
              <w:right w:val="single" w:color="auto" w:sz="4" w:space="0"/>
            </w:tcBorders>
            <w:noWrap/>
            <w:vAlign w:val="center"/>
          </w:tcPr>
          <w:p w14:paraId="5755A26E">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w:t>
            </w:r>
          </w:p>
        </w:tc>
      </w:tr>
      <w:tr w14:paraId="1D326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61194634">
            <w:pPr>
              <w:widowControl/>
              <w:jc w:val="center"/>
              <w:rPr>
                <w:rFonts w:hint="eastAsia" w:ascii="仿宋" w:hAnsi="仿宋" w:eastAsia="仿宋" w:cs="仿宋"/>
                <w:b/>
                <w:color w:val="auto"/>
                <w:szCs w:val="21"/>
                <w:highlight w:val="none"/>
              </w:rPr>
            </w:pPr>
          </w:p>
        </w:tc>
        <w:tc>
          <w:tcPr>
            <w:tcW w:w="1137" w:type="dxa"/>
            <w:tcBorders>
              <w:left w:val="single" w:color="auto" w:sz="4" w:space="0"/>
              <w:right w:val="single" w:color="auto" w:sz="4" w:space="0"/>
            </w:tcBorders>
            <w:noWrap/>
            <w:vAlign w:val="center"/>
          </w:tcPr>
          <w:p w14:paraId="26450282">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恶劣天气保障</w:t>
            </w:r>
          </w:p>
        </w:tc>
        <w:tc>
          <w:tcPr>
            <w:tcW w:w="7103" w:type="dxa"/>
            <w:tcBorders>
              <w:top w:val="single" w:color="auto" w:sz="4" w:space="0"/>
              <w:left w:val="single" w:color="auto" w:sz="4" w:space="0"/>
              <w:bottom w:val="single" w:color="auto" w:sz="4" w:space="0"/>
              <w:right w:val="single" w:color="auto" w:sz="4" w:space="0"/>
            </w:tcBorders>
            <w:noWrap/>
            <w:vAlign w:val="center"/>
          </w:tcPr>
          <w:p w14:paraId="3F91C0CB">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分）：制定了详细的恶劣天气保障方案，包括应对暴雨、暴雪、大风等天气的措施，确保在恶劣天气下仍能正常开展接运服务。提供保障方案文本。</w:t>
            </w:r>
          </w:p>
          <w:p w14:paraId="5FA25DAB">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分）：有恶劣天气保障措施，但方案不够详细或不够完善。</w:t>
            </w:r>
          </w:p>
          <w:p w14:paraId="1406578C">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分）：提及了恶劣天气保障，但缺乏具体的方案和措施。</w:t>
            </w:r>
          </w:p>
          <w:p w14:paraId="4ACB7515">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差（0分）：未提及恶劣天气保障相关内容。</w:t>
            </w:r>
          </w:p>
        </w:tc>
        <w:tc>
          <w:tcPr>
            <w:tcW w:w="789" w:type="dxa"/>
            <w:tcBorders>
              <w:top w:val="single" w:color="auto" w:sz="4" w:space="0"/>
              <w:left w:val="single" w:color="auto" w:sz="4" w:space="0"/>
              <w:bottom w:val="single" w:color="auto" w:sz="4" w:space="0"/>
              <w:right w:val="single" w:color="auto" w:sz="4" w:space="0"/>
            </w:tcBorders>
            <w:noWrap/>
            <w:vAlign w:val="center"/>
          </w:tcPr>
          <w:p w14:paraId="2BA3BE45">
            <w:pPr>
              <w:widowControl/>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3</w:t>
            </w:r>
          </w:p>
        </w:tc>
      </w:tr>
      <w:tr w14:paraId="399DE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6A802446">
            <w:pPr>
              <w:widowControl/>
              <w:jc w:val="center"/>
              <w:rPr>
                <w:rFonts w:hint="eastAsia" w:ascii="仿宋" w:hAnsi="仿宋" w:eastAsia="仿宋" w:cs="仿宋"/>
                <w:b/>
                <w:color w:val="auto"/>
                <w:szCs w:val="21"/>
                <w:highlight w:val="none"/>
              </w:rPr>
            </w:pPr>
          </w:p>
        </w:tc>
        <w:tc>
          <w:tcPr>
            <w:tcW w:w="1137" w:type="dxa"/>
            <w:tcBorders>
              <w:left w:val="single" w:color="auto" w:sz="4" w:space="0"/>
              <w:right w:val="single" w:color="auto" w:sz="4" w:space="0"/>
            </w:tcBorders>
            <w:noWrap/>
            <w:vAlign w:val="center"/>
          </w:tcPr>
          <w:p w14:paraId="74906617">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投诉处理</w:t>
            </w:r>
          </w:p>
        </w:tc>
        <w:tc>
          <w:tcPr>
            <w:tcW w:w="7103" w:type="dxa"/>
            <w:tcBorders>
              <w:top w:val="single" w:color="auto" w:sz="4" w:space="0"/>
              <w:left w:val="single" w:color="auto" w:sz="4" w:space="0"/>
              <w:bottom w:val="single" w:color="auto" w:sz="4" w:space="0"/>
              <w:right w:val="single" w:color="auto" w:sz="4" w:space="0"/>
            </w:tcBorders>
            <w:noWrap/>
            <w:vAlign w:val="center"/>
          </w:tcPr>
          <w:p w14:paraId="44CD90CC">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分）：建立了完善的投诉处理机制，包括投诉渠道、处理流程和反馈时间等，能及时、有效地处理客户投诉。提供投诉处理制度和流程说明。</w:t>
            </w:r>
          </w:p>
          <w:p w14:paraId="1E0DB2D2">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分）：有投诉处理措施，但机制不够完善，处理流程不够清晰。</w:t>
            </w:r>
          </w:p>
          <w:p w14:paraId="49303ADF">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分）：提及了投诉处理，但缺乏具体的机制和流程。</w:t>
            </w:r>
          </w:p>
          <w:p w14:paraId="4D0A014B">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差（0分）：未提及投诉处理相关内容。</w:t>
            </w:r>
          </w:p>
        </w:tc>
        <w:tc>
          <w:tcPr>
            <w:tcW w:w="789" w:type="dxa"/>
            <w:tcBorders>
              <w:top w:val="single" w:color="auto" w:sz="4" w:space="0"/>
              <w:left w:val="single" w:color="auto" w:sz="4" w:space="0"/>
              <w:bottom w:val="single" w:color="auto" w:sz="4" w:space="0"/>
              <w:right w:val="single" w:color="auto" w:sz="4" w:space="0"/>
            </w:tcBorders>
            <w:noWrap/>
            <w:vAlign w:val="center"/>
          </w:tcPr>
          <w:p w14:paraId="634B9093">
            <w:pPr>
              <w:widowControl/>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3</w:t>
            </w:r>
          </w:p>
        </w:tc>
      </w:tr>
      <w:tr w14:paraId="0C319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Merge w:val="continue"/>
            <w:tcBorders>
              <w:left w:val="single" w:color="auto" w:sz="4" w:space="0"/>
              <w:right w:val="single" w:color="auto" w:sz="4" w:space="0"/>
            </w:tcBorders>
            <w:noWrap/>
            <w:vAlign w:val="center"/>
          </w:tcPr>
          <w:p w14:paraId="44DA8927">
            <w:pPr>
              <w:widowControl/>
              <w:jc w:val="center"/>
              <w:rPr>
                <w:rFonts w:hint="eastAsia" w:ascii="仿宋" w:hAnsi="仿宋" w:eastAsia="仿宋" w:cs="仿宋"/>
                <w:b/>
                <w:color w:val="auto"/>
                <w:szCs w:val="21"/>
                <w:highlight w:val="none"/>
              </w:rPr>
            </w:pPr>
          </w:p>
        </w:tc>
        <w:tc>
          <w:tcPr>
            <w:tcW w:w="1137" w:type="dxa"/>
            <w:tcBorders>
              <w:left w:val="single" w:color="auto" w:sz="4" w:space="0"/>
              <w:right w:val="single" w:color="auto" w:sz="4" w:space="0"/>
            </w:tcBorders>
            <w:noWrap/>
            <w:vAlign w:val="center"/>
          </w:tcPr>
          <w:p w14:paraId="5D7EA573">
            <w:pPr>
              <w:widowControl/>
              <w:jc w:val="center"/>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安全保障机制</w:t>
            </w:r>
          </w:p>
        </w:tc>
        <w:tc>
          <w:tcPr>
            <w:tcW w:w="7103" w:type="dxa"/>
            <w:tcBorders>
              <w:top w:val="single" w:color="auto" w:sz="4" w:space="0"/>
              <w:left w:val="single" w:color="auto" w:sz="4" w:space="0"/>
              <w:bottom w:val="single" w:color="auto" w:sz="4" w:space="0"/>
              <w:right w:val="single" w:color="auto" w:sz="4" w:space="0"/>
            </w:tcBorders>
            <w:noWrap/>
            <w:vAlign w:val="center"/>
          </w:tcPr>
          <w:p w14:paraId="3AE955B7">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优秀（</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分）：建立了全面的安全保障机制，包括车辆安全、人员安全、遗体安全等方面的保障措施，有明确的安全管理制度和应急预案。提供安全保障制度和应急预案文本。</w:t>
            </w:r>
          </w:p>
          <w:p w14:paraId="739ACC3C">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良好（</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分）：有安全保障措施，但机制不够完善，部分措施不够明确。</w:t>
            </w:r>
          </w:p>
          <w:p w14:paraId="1AB79ABF">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一般（</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分）：提及了安全保障，但缺乏具体的制度和措施。</w:t>
            </w:r>
          </w:p>
          <w:p w14:paraId="3C48A4FA">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差（0分）：未提及安全保障相关内容。</w:t>
            </w:r>
          </w:p>
        </w:tc>
        <w:tc>
          <w:tcPr>
            <w:tcW w:w="789" w:type="dxa"/>
            <w:tcBorders>
              <w:top w:val="single" w:color="auto" w:sz="4" w:space="0"/>
              <w:left w:val="single" w:color="auto" w:sz="4" w:space="0"/>
              <w:bottom w:val="single" w:color="auto" w:sz="4" w:space="0"/>
              <w:right w:val="single" w:color="auto" w:sz="4" w:space="0"/>
            </w:tcBorders>
            <w:noWrap/>
            <w:vAlign w:val="center"/>
          </w:tcPr>
          <w:p w14:paraId="5B41D85D">
            <w:pPr>
              <w:widowControl/>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w:t>
            </w:r>
          </w:p>
        </w:tc>
      </w:tr>
      <w:tr w14:paraId="203E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tcBorders>
              <w:left w:val="single" w:color="auto" w:sz="4" w:space="0"/>
              <w:right w:val="single" w:color="auto" w:sz="4" w:space="0"/>
            </w:tcBorders>
            <w:noWrap/>
            <w:vAlign w:val="center"/>
          </w:tcPr>
          <w:p w14:paraId="1C9EEDD0">
            <w:pPr>
              <w:widowControl/>
              <w:jc w:val="center"/>
              <w:rPr>
                <w:rFonts w:hint="eastAsia" w:ascii="仿宋" w:hAnsi="仿宋" w:eastAsia="仿宋" w:cs="仿宋"/>
                <w:b/>
                <w:color w:val="auto"/>
                <w:szCs w:val="21"/>
                <w:highlight w:val="none"/>
                <w:lang w:eastAsia="zh-CN"/>
              </w:rPr>
            </w:pPr>
            <w:r>
              <w:rPr>
                <w:rFonts w:hint="eastAsia" w:ascii="仿宋" w:hAnsi="仿宋" w:eastAsia="仿宋" w:cs="仿宋"/>
                <w:b/>
                <w:color w:val="auto"/>
                <w:szCs w:val="21"/>
                <w:highlight w:val="none"/>
                <w:lang w:val="en-US" w:eastAsia="zh-CN"/>
              </w:rPr>
              <w:t>4</w:t>
            </w:r>
          </w:p>
        </w:tc>
        <w:tc>
          <w:tcPr>
            <w:tcW w:w="8240" w:type="dxa"/>
            <w:gridSpan w:val="2"/>
            <w:tcBorders>
              <w:left w:val="single" w:color="auto" w:sz="4" w:space="0"/>
              <w:right w:val="single" w:color="auto" w:sz="4" w:space="0"/>
            </w:tcBorders>
            <w:noWrap/>
            <w:vAlign w:val="center"/>
          </w:tcPr>
          <w:p w14:paraId="0404D577">
            <w:pPr>
              <w:widowControl/>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总分</w:t>
            </w:r>
          </w:p>
        </w:tc>
        <w:tc>
          <w:tcPr>
            <w:tcW w:w="789" w:type="dxa"/>
            <w:tcBorders>
              <w:left w:val="single" w:color="auto" w:sz="4" w:space="0"/>
              <w:right w:val="single" w:color="auto" w:sz="4" w:space="0"/>
            </w:tcBorders>
            <w:noWrap/>
            <w:vAlign w:val="center"/>
          </w:tcPr>
          <w:p w14:paraId="52B4057F">
            <w:pPr>
              <w:widowControl/>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100分</w:t>
            </w:r>
          </w:p>
        </w:tc>
      </w:tr>
    </w:tbl>
    <w:p w14:paraId="280467EE">
      <w:pPr>
        <w:widowControl/>
        <w:spacing w:before="120" w:after="120" w:line="360" w:lineRule="auto"/>
        <w:ind w:firstLine="41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p w14:paraId="5D24B312">
      <w:pPr>
        <w:widowControl/>
        <w:spacing w:before="120" w:after="120" w:line="360" w:lineRule="auto"/>
        <w:ind w:firstLine="41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1、在综合比较与评价后按照得分高低顺序对供应商进行排列。得分相同的，</w:t>
      </w:r>
      <w:r>
        <w:rPr>
          <w:rFonts w:hint="eastAsia" w:ascii="仿宋" w:hAnsi="仿宋" w:eastAsia="仿宋" w:cs="仿宋"/>
          <w:color w:val="auto"/>
          <w:szCs w:val="21"/>
          <w:highlight w:val="none"/>
          <w:lang w:val="en-US" w:eastAsia="zh-CN"/>
        </w:rPr>
        <w:t>按技术指标优劣顺序排列</w:t>
      </w:r>
      <w:r>
        <w:rPr>
          <w:rFonts w:hint="eastAsia" w:ascii="仿宋" w:hAnsi="仿宋" w:eastAsia="仿宋" w:cs="仿宋"/>
          <w:color w:val="auto"/>
          <w:szCs w:val="21"/>
          <w:highlight w:val="none"/>
        </w:rPr>
        <w:t>。</w:t>
      </w:r>
    </w:p>
    <w:p w14:paraId="06E9F398">
      <w:pPr>
        <w:widowControl/>
        <w:spacing w:before="120" w:after="120" w:line="360" w:lineRule="auto"/>
        <w:ind w:firstLine="41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2、所有证明材料均以有效的证明扫描件为依据。</w:t>
      </w:r>
    </w:p>
    <w:bookmarkEnd w:id="17"/>
    <w:p w14:paraId="125405F5">
      <w:pPr>
        <w:spacing w:line="360" w:lineRule="auto"/>
        <w:ind w:firstLine="420"/>
        <w:rPr>
          <w:rFonts w:hint="eastAsia" w:ascii="仿宋" w:hAnsi="仿宋" w:eastAsia="仿宋" w:cs="仿宋"/>
          <w:color w:val="auto"/>
          <w:szCs w:val="21"/>
          <w:highlight w:val="none"/>
        </w:rPr>
        <w:sectPr>
          <w:footerReference r:id="rId5" w:type="default"/>
          <w:pgSz w:w="11906" w:h="16838"/>
          <w:pgMar w:top="1440" w:right="1800" w:bottom="1440" w:left="1800" w:header="850" w:footer="850" w:gutter="0"/>
          <w:paperSrc/>
          <w:pgNumType w:fmt="decimal"/>
          <w:cols w:space="0" w:num="1"/>
          <w:rtlGutter w:val="0"/>
          <w:docGrid w:type="lines" w:linePitch="317" w:charSpace="0"/>
        </w:sectPr>
      </w:pPr>
    </w:p>
    <w:p w14:paraId="52162174">
      <w:pPr>
        <w:widowControl/>
        <w:spacing w:before="120" w:after="120" w:line="360" w:lineRule="auto"/>
        <w:ind w:firstLine="417"/>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三、确定第二阶段成交供应商的方式</w:t>
      </w:r>
    </w:p>
    <w:p w14:paraId="3183A11F">
      <w:pPr>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1.根据中华人民共和国财政部令第110号《政府采购框架协议采购方式管理暂行办法》，确定第二阶段成交供应商的方式为</w:t>
      </w:r>
      <w:r>
        <w:rPr>
          <w:rFonts w:hint="eastAsia" w:ascii="仿宋" w:hAnsi="仿宋" w:eastAsia="仿宋" w:cs="仿宋"/>
          <w:b/>
          <w:bCs/>
          <w:color w:val="auto"/>
          <w:szCs w:val="21"/>
          <w:highlight w:val="none"/>
        </w:rPr>
        <w:t>直接选定</w:t>
      </w:r>
      <w:r>
        <w:rPr>
          <w:rFonts w:hint="eastAsia" w:ascii="仿宋" w:hAnsi="仿宋" w:eastAsia="仿宋" w:cs="仿宋"/>
          <w:color w:val="auto"/>
          <w:szCs w:val="21"/>
          <w:highlight w:val="none"/>
        </w:rPr>
        <w:t>。由采购人依据工作经验、工作质量、入围服务价格以及服务便利性、用户评价或考核情况等因素，从第一阶段入围供应商中直接选定。</w:t>
      </w:r>
    </w:p>
    <w:p w14:paraId="5072D18A">
      <w:pPr>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2.本项目入围通知书发出后，征集人与入围供应商按照项目征集结果签订框架协议。</w:t>
      </w:r>
    </w:p>
    <w:p w14:paraId="2182D032">
      <w:pPr>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3.采购人在确定成交供应商后，双方应当按照框架协议中规定的“采购合同文本”格式签订采购合同，不得擅自改变框架协议约定的合同实质性条款。</w:t>
      </w:r>
    </w:p>
    <w:p w14:paraId="0FC9B7DC">
      <w:pPr>
        <w:spacing w:line="360" w:lineRule="auto"/>
        <w:ind w:firstLine="420"/>
        <w:jc w:val="left"/>
        <w:rPr>
          <w:rFonts w:hint="eastAsia" w:ascii="仿宋" w:hAnsi="仿宋" w:eastAsia="仿宋" w:cs="仿宋"/>
          <w:color w:val="auto"/>
          <w:szCs w:val="21"/>
          <w:highlight w:val="none"/>
        </w:rPr>
        <w:sectPr>
          <w:pgSz w:w="11906" w:h="16838"/>
          <w:pgMar w:top="1440" w:right="1800" w:bottom="1440" w:left="1800" w:header="850" w:footer="850" w:gutter="0"/>
          <w:paperSrc/>
          <w:pgNumType w:fmt="decimal"/>
          <w:cols w:space="0" w:num="1"/>
          <w:rtlGutter w:val="0"/>
          <w:docGrid w:type="lines" w:linePitch="317" w:charSpace="0"/>
        </w:sectPr>
      </w:pPr>
      <w:r>
        <w:rPr>
          <w:rFonts w:hint="eastAsia" w:ascii="仿宋" w:hAnsi="仿宋" w:eastAsia="仿宋" w:cs="仿宋"/>
          <w:color w:val="auto"/>
          <w:szCs w:val="21"/>
          <w:highlight w:val="none"/>
        </w:rPr>
        <w:t>4.第二阶段入围供应商必须按照采购人</w:t>
      </w:r>
      <w:r>
        <w:rPr>
          <w:rFonts w:hint="eastAsia" w:ascii="仿宋" w:hAnsi="仿宋" w:eastAsia="仿宋" w:cs="仿宋"/>
          <w:color w:val="auto"/>
          <w:szCs w:val="21"/>
          <w:highlight w:val="none"/>
          <w:lang w:val="en-US" w:eastAsia="zh-CN"/>
        </w:rPr>
        <w:t>的</w:t>
      </w:r>
      <w:r>
        <w:rPr>
          <w:rFonts w:hint="eastAsia" w:ascii="仿宋" w:hAnsi="仿宋" w:eastAsia="仿宋" w:cs="仿宋"/>
          <w:color w:val="auto"/>
          <w:szCs w:val="21"/>
          <w:highlight w:val="none"/>
        </w:rPr>
        <w:t>要求提供相应</w:t>
      </w:r>
      <w:r>
        <w:rPr>
          <w:rFonts w:hint="eastAsia" w:ascii="仿宋" w:hAnsi="仿宋" w:eastAsia="仿宋" w:cs="仿宋"/>
          <w:color w:val="auto"/>
          <w:szCs w:val="21"/>
          <w:highlight w:val="none"/>
          <w:lang w:val="en-US" w:eastAsia="zh-CN"/>
        </w:rPr>
        <w:t>的服务</w:t>
      </w:r>
      <w:r>
        <w:rPr>
          <w:rFonts w:hint="eastAsia" w:ascii="仿宋" w:hAnsi="仿宋" w:eastAsia="仿宋" w:cs="仿宋"/>
          <w:color w:val="auto"/>
          <w:szCs w:val="21"/>
          <w:highlight w:val="none"/>
        </w:rPr>
        <w:t>。采购人有权更换不符合要求、履职不合格的项目组成员，单个项目更换人数超过3次仍不能满足项目及采购人需求的即刻终止合约，并停止该入围供应商轮次，不予支付服务酬金，入围供应商承担相应损失。</w:t>
      </w:r>
    </w:p>
    <w:p w14:paraId="39A82065">
      <w:pPr>
        <w:pStyle w:val="6"/>
        <w:numPr>
          <w:ilvl w:val="0"/>
          <w:numId w:val="0"/>
        </w:numPr>
        <w:spacing w:line="360" w:lineRule="auto"/>
        <w:rPr>
          <w:rFonts w:hint="eastAsia" w:ascii="仿宋" w:hAnsi="仿宋" w:eastAsia="仿宋" w:cs="仿宋"/>
          <w:color w:val="auto"/>
          <w:szCs w:val="32"/>
          <w:highlight w:val="none"/>
        </w:rPr>
      </w:pPr>
      <w:bookmarkStart w:id="23" w:name="_Toc17414"/>
      <w:r>
        <w:rPr>
          <w:rFonts w:hint="eastAsia" w:ascii="仿宋" w:hAnsi="仿宋" w:eastAsia="仿宋" w:cs="仿宋"/>
          <w:color w:val="auto"/>
          <w:highlight w:val="none"/>
        </w:rPr>
        <w:t>第四章 采购需求</w:t>
      </w:r>
      <w:bookmarkEnd w:id="23"/>
    </w:p>
    <w:p w14:paraId="615B6B24">
      <w:pPr>
        <w:widowControl/>
        <w:spacing w:line="360" w:lineRule="auto"/>
        <w:ind w:firstLine="482"/>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一、项目概况</w:t>
      </w:r>
    </w:p>
    <w:p w14:paraId="26FCAFF4">
      <w:pPr>
        <w:widowControl/>
        <w:spacing w:line="360" w:lineRule="auto"/>
        <w:ind w:firstLine="482"/>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六合</w:t>
      </w:r>
      <w:r>
        <w:rPr>
          <w:rFonts w:hint="eastAsia" w:ascii="仿宋" w:hAnsi="仿宋" w:eastAsia="仿宋" w:cs="仿宋"/>
          <w:color w:val="auto"/>
          <w:szCs w:val="21"/>
          <w:highlight w:val="none"/>
          <w:lang w:eastAsia="zh-CN"/>
        </w:rPr>
        <w:t>区全域范围内遗体接运（含抬尸、遗体袋）、遗体消毒、安全密闭转运、车辆消杀、信息登记、交接确认、应急处置等全流程服务。</w:t>
      </w:r>
    </w:p>
    <w:p w14:paraId="330C27A0">
      <w:pPr>
        <w:widowControl/>
        <w:spacing w:line="360" w:lineRule="auto"/>
        <w:ind w:firstLine="482"/>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框架协议服务期限：</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lang w:eastAsia="zh-CN"/>
        </w:rPr>
        <w:t>年。（如国家、省法律法规调整，采购人不承担违约责任）</w:t>
      </w:r>
    </w:p>
    <w:p w14:paraId="49443E57">
      <w:pPr>
        <w:widowControl/>
        <w:spacing w:line="360" w:lineRule="auto"/>
        <w:ind w:firstLine="482"/>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服务区域：南京市</w:t>
      </w:r>
      <w:r>
        <w:rPr>
          <w:rFonts w:hint="eastAsia" w:ascii="仿宋" w:hAnsi="仿宋" w:eastAsia="仿宋" w:cs="仿宋"/>
          <w:color w:val="auto"/>
          <w:szCs w:val="21"/>
          <w:highlight w:val="none"/>
          <w:lang w:val="en-US" w:eastAsia="zh-CN"/>
        </w:rPr>
        <w:t>六合</w:t>
      </w:r>
      <w:r>
        <w:rPr>
          <w:rFonts w:hint="eastAsia" w:ascii="仿宋" w:hAnsi="仿宋" w:eastAsia="仿宋" w:cs="仿宋"/>
          <w:color w:val="auto"/>
          <w:szCs w:val="21"/>
          <w:highlight w:val="none"/>
          <w:lang w:eastAsia="zh-CN"/>
        </w:rPr>
        <w:t>区全域。</w:t>
      </w:r>
    </w:p>
    <w:p w14:paraId="4D5401B2">
      <w:pPr>
        <w:widowControl/>
        <w:spacing w:line="360" w:lineRule="auto"/>
        <w:ind w:firstLine="482"/>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入围供应商数量：</w:t>
      </w:r>
      <w:r>
        <w:rPr>
          <w:rFonts w:hint="eastAsia" w:ascii="仿宋" w:hAnsi="仿宋" w:eastAsia="仿宋" w:cs="仿宋"/>
          <w:color w:val="auto"/>
          <w:szCs w:val="21"/>
          <w:highlight w:val="none"/>
          <w:lang w:val="en-US" w:eastAsia="zh-CN"/>
        </w:rPr>
        <w:t>不超过52家。</w:t>
      </w:r>
    </w:p>
    <w:p w14:paraId="0E95F134">
      <w:pPr>
        <w:widowControl/>
        <w:spacing w:line="360" w:lineRule="auto"/>
        <w:ind w:firstLine="482"/>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二、项目要求</w:t>
      </w:r>
    </w:p>
    <w:p w14:paraId="2D7350C5">
      <w:pPr>
        <w:widowControl/>
        <w:spacing w:line="360" w:lineRule="auto"/>
        <w:ind w:firstLine="482"/>
        <w:jc w:val="left"/>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rPr>
        <w:t>（一）</w:t>
      </w:r>
      <w:r>
        <w:rPr>
          <w:rFonts w:hint="eastAsia" w:ascii="仿宋" w:hAnsi="仿宋" w:eastAsia="仿宋" w:cs="仿宋"/>
          <w:b/>
          <w:color w:val="auto"/>
          <w:szCs w:val="21"/>
          <w:highlight w:val="none"/>
          <w:lang w:val="en-US" w:eastAsia="zh-CN"/>
        </w:rPr>
        <w:t>供应商需提供申报材料</w:t>
      </w:r>
    </w:p>
    <w:p w14:paraId="0B41DE42">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企业营业执照；</w:t>
      </w:r>
    </w:p>
    <w:p w14:paraId="530559C7">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法定代表人身份证明；</w:t>
      </w:r>
    </w:p>
    <w:p w14:paraId="1AA59852">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服务</w:t>
      </w:r>
      <w:r>
        <w:rPr>
          <w:rFonts w:hint="eastAsia" w:ascii="仿宋" w:hAnsi="仿宋" w:eastAsia="仿宋" w:cs="仿宋"/>
          <w:color w:val="auto"/>
          <w:szCs w:val="21"/>
          <w:highlight w:val="none"/>
        </w:rPr>
        <w:t>车辆行驶证；</w:t>
      </w:r>
    </w:p>
    <w:p w14:paraId="1BEF3693">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《车辆一致性证书》</w:t>
      </w:r>
      <w:r>
        <w:rPr>
          <w:rFonts w:hint="eastAsia" w:ascii="仿宋" w:hAnsi="仿宋" w:eastAsia="仿宋" w:cs="仿宋"/>
          <w:color w:val="auto"/>
          <w:szCs w:val="21"/>
          <w:highlight w:val="none"/>
          <w:lang w:val="en-US" w:eastAsia="zh-CN"/>
        </w:rPr>
        <w:t>或《</w:t>
      </w:r>
      <w:r>
        <w:rPr>
          <w:rFonts w:hint="eastAsia" w:ascii="仿宋" w:hAnsi="仿宋" w:eastAsia="仿宋" w:cs="仿宋"/>
          <w:color w:val="auto"/>
          <w:szCs w:val="21"/>
          <w:highlight w:val="none"/>
        </w:rPr>
        <w:t>机动车整车出厂合格证</w:t>
      </w:r>
      <w:r>
        <w:rPr>
          <w:rFonts w:hint="eastAsia" w:ascii="仿宋" w:hAnsi="仿宋" w:eastAsia="仿宋" w:cs="仿宋"/>
          <w:color w:val="auto"/>
          <w:szCs w:val="21"/>
          <w:highlight w:val="none"/>
          <w:lang w:val="en-US" w:eastAsia="zh-CN"/>
        </w:rPr>
        <w:t>》</w:t>
      </w:r>
      <w:r>
        <w:rPr>
          <w:rFonts w:hint="eastAsia" w:ascii="仿宋" w:hAnsi="仿宋" w:eastAsia="仿宋" w:cs="仿宋"/>
          <w:color w:val="auto"/>
          <w:szCs w:val="21"/>
          <w:highlight w:val="none"/>
        </w:rPr>
        <w:t>中“产品名称”为“殡仪车”；</w:t>
      </w:r>
    </w:p>
    <w:p w14:paraId="5AB3DE2E">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保险单（投保交强险、驾乘人员意外险及不计免赔险，承运人责任险保额≥100 万元/人）；</w:t>
      </w:r>
    </w:p>
    <w:p w14:paraId="662D0BE2">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驾驶员名单（驾驶证，无酒驾、醉驾违法记录，近3年内未发生同等责任以上（含）致人重伤、死亡的道路交通事故证明材料&lt;由公安部门协助查询&gt;</w:t>
      </w:r>
      <w:r>
        <w:rPr>
          <w:rFonts w:hint="eastAsia" w:ascii="仿宋" w:hAnsi="仿宋" w:eastAsia="仿宋" w:cs="仿宋"/>
          <w:color w:val="auto"/>
          <w:szCs w:val="21"/>
          <w:highlight w:val="none"/>
          <w:lang w:eastAsia="zh-CN"/>
        </w:rPr>
        <w:t>。</w:t>
      </w:r>
    </w:p>
    <w:p w14:paraId="58C21994">
      <w:pPr>
        <w:widowControl/>
        <w:spacing w:line="360" w:lineRule="auto"/>
        <w:ind w:firstLine="482"/>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7.车辆备案</w:t>
      </w:r>
      <w:r>
        <w:rPr>
          <w:rFonts w:hint="eastAsia" w:ascii="仿宋" w:hAnsi="仿宋" w:eastAsia="仿宋" w:cs="仿宋"/>
          <w:color w:val="auto"/>
          <w:szCs w:val="21"/>
          <w:highlight w:val="none"/>
          <w:lang w:val="en-US" w:eastAsia="zh-CN"/>
        </w:rPr>
        <w:t>号证书</w:t>
      </w:r>
      <w:r>
        <w:rPr>
          <w:rFonts w:hint="eastAsia" w:ascii="仿宋" w:hAnsi="仿宋" w:eastAsia="仿宋" w:cs="仿宋"/>
          <w:b w:val="0"/>
          <w:bCs/>
          <w:color w:val="auto"/>
          <w:szCs w:val="21"/>
          <w:highlight w:val="none"/>
          <w:lang w:eastAsia="zh-CN"/>
        </w:rPr>
        <w:t>（</w:t>
      </w:r>
      <w:r>
        <w:rPr>
          <w:rFonts w:hint="eastAsia" w:ascii="仿宋" w:hAnsi="仿宋" w:eastAsia="仿宋" w:cs="仿宋"/>
          <w:b w:val="0"/>
          <w:bCs/>
          <w:color w:val="auto"/>
          <w:szCs w:val="21"/>
          <w:highlight w:val="none"/>
        </w:rPr>
        <w:t>由</w:t>
      </w:r>
      <w:r>
        <w:rPr>
          <w:rFonts w:hint="eastAsia" w:ascii="仿宋" w:hAnsi="仿宋" w:eastAsia="仿宋" w:cs="仿宋"/>
          <w:b w:val="0"/>
          <w:bCs/>
          <w:color w:val="auto"/>
          <w:szCs w:val="21"/>
          <w:highlight w:val="none"/>
          <w:lang w:val="en-US" w:eastAsia="zh-CN"/>
        </w:rPr>
        <w:t>六合</w:t>
      </w:r>
      <w:r>
        <w:rPr>
          <w:rFonts w:hint="eastAsia" w:ascii="仿宋" w:hAnsi="仿宋" w:eastAsia="仿宋" w:cs="仿宋"/>
          <w:b w:val="0"/>
          <w:bCs/>
          <w:color w:val="auto"/>
          <w:szCs w:val="21"/>
          <w:highlight w:val="none"/>
        </w:rPr>
        <w:t>区民政部门</w:t>
      </w:r>
      <w:r>
        <w:rPr>
          <w:rFonts w:hint="eastAsia" w:ascii="仿宋" w:hAnsi="仿宋" w:eastAsia="仿宋" w:cs="仿宋"/>
          <w:b w:val="0"/>
          <w:bCs/>
          <w:color w:val="auto"/>
          <w:szCs w:val="21"/>
          <w:highlight w:val="none"/>
          <w:lang w:val="en-US" w:eastAsia="zh-CN"/>
        </w:rPr>
        <w:t>出具的相关证明材料</w:t>
      </w:r>
      <w:r>
        <w:rPr>
          <w:rFonts w:hint="eastAsia" w:ascii="仿宋" w:hAnsi="仿宋" w:eastAsia="仿宋" w:cs="仿宋"/>
          <w:b w:val="0"/>
          <w:bCs/>
          <w:color w:val="auto"/>
          <w:szCs w:val="21"/>
          <w:highlight w:val="none"/>
          <w:lang w:eastAsia="zh-CN"/>
        </w:rPr>
        <w:t>）</w:t>
      </w:r>
      <w:r>
        <w:rPr>
          <w:rFonts w:hint="eastAsia" w:ascii="仿宋" w:hAnsi="仿宋" w:eastAsia="仿宋" w:cs="仿宋"/>
          <w:b w:val="0"/>
          <w:bCs/>
          <w:color w:val="auto"/>
          <w:szCs w:val="21"/>
          <w:highlight w:val="none"/>
        </w:rPr>
        <w:t>。</w:t>
      </w:r>
    </w:p>
    <w:p w14:paraId="3490590D">
      <w:pPr>
        <w:widowControl/>
        <w:spacing w:line="360" w:lineRule="auto"/>
        <w:ind w:firstLine="482"/>
        <w:jc w:val="left"/>
        <w:rPr>
          <w:rFonts w:hint="eastAsia" w:ascii="仿宋" w:hAnsi="仿宋" w:eastAsia="仿宋" w:cs="仿宋"/>
          <w:color w:val="auto"/>
          <w:szCs w:val="21"/>
          <w:highlight w:val="none"/>
          <w:lang w:val="en-US"/>
        </w:rPr>
      </w:pPr>
      <w:r>
        <w:rPr>
          <w:rFonts w:hint="eastAsia" w:ascii="仿宋" w:hAnsi="仿宋" w:eastAsia="仿宋" w:cs="仿宋"/>
          <w:b/>
          <w:color w:val="auto"/>
          <w:szCs w:val="21"/>
          <w:highlight w:val="none"/>
        </w:rPr>
        <w:t>（</w:t>
      </w:r>
      <w:r>
        <w:rPr>
          <w:rFonts w:hint="eastAsia" w:ascii="仿宋" w:hAnsi="仿宋" w:eastAsia="仿宋" w:cs="仿宋"/>
          <w:b/>
          <w:color w:val="auto"/>
          <w:szCs w:val="21"/>
          <w:highlight w:val="none"/>
          <w:lang w:val="en-US" w:eastAsia="zh-CN"/>
        </w:rPr>
        <w:t>二</w:t>
      </w:r>
      <w:r>
        <w:rPr>
          <w:rFonts w:hint="eastAsia" w:ascii="仿宋" w:hAnsi="仿宋" w:eastAsia="仿宋" w:cs="仿宋"/>
          <w:b/>
          <w:color w:val="auto"/>
          <w:szCs w:val="21"/>
          <w:highlight w:val="none"/>
        </w:rPr>
        <w:t>）</w:t>
      </w:r>
      <w:r>
        <w:rPr>
          <w:rFonts w:hint="eastAsia" w:ascii="仿宋" w:hAnsi="仿宋" w:eastAsia="仿宋" w:cs="仿宋"/>
          <w:b/>
          <w:color w:val="auto"/>
          <w:szCs w:val="21"/>
          <w:highlight w:val="none"/>
          <w:lang w:val="en-US" w:eastAsia="zh-CN"/>
        </w:rPr>
        <w:t>车辆技术要求</w:t>
      </w:r>
    </w:p>
    <w:p w14:paraId="0DD3E2CA">
      <w:pPr>
        <w:widowControl/>
        <w:spacing w:line="360" w:lineRule="auto"/>
        <w:ind w:firstLine="482"/>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lang w:val="en-US" w:eastAsia="zh-CN"/>
        </w:rPr>
        <w:t>本项目服务车辆</w:t>
      </w:r>
      <w:r>
        <w:rPr>
          <w:rFonts w:hint="eastAsia" w:ascii="仿宋" w:hAnsi="仿宋" w:eastAsia="仿宋" w:cs="仿宋"/>
          <w:color w:val="auto"/>
          <w:szCs w:val="21"/>
          <w:highlight w:val="none"/>
        </w:rPr>
        <w:t>须为殡葬专用车辆，车量使用年限在12年</w:t>
      </w:r>
      <w:r>
        <w:rPr>
          <w:rFonts w:hint="eastAsia" w:ascii="仿宋" w:hAnsi="仿宋" w:eastAsia="仿宋" w:cs="仿宋"/>
          <w:color w:val="auto"/>
          <w:szCs w:val="21"/>
          <w:highlight w:val="none"/>
          <w:lang w:val="en-US" w:eastAsia="zh-CN"/>
        </w:rPr>
        <w:t>或</w:t>
      </w:r>
      <w:r>
        <w:rPr>
          <w:rFonts w:hint="eastAsia" w:ascii="仿宋" w:hAnsi="仿宋" w:eastAsia="仿宋" w:cs="仿宋"/>
          <w:color w:val="auto"/>
          <w:szCs w:val="21"/>
          <w:highlight w:val="none"/>
          <w:lang w:eastAsia="zh-CN"/>
        </w:rPr>
        <w:t>18万公里</w:t>
      </w:r>
      <w:r>
        <w:rPr>
          <w:rFonts w:hint="eastAsia" w:ascii="仿宋" w:hAnsi="仿宋" w:eastAsia="仿宋" w:cs="仿宋"/>
          <w:color w:val="auto"/>
          <w:szCs w:val="21"/>
          <w:highlight w:val="none"/>
        </w:rPr>
        <w:t>以内，配备遗体存放、消杀防护设备，车厢密闭性、通风性，符合《殡仪车通用技术规范》（MZ/T 227—2024）。车辆需要安装定位终端和视频监控设备，接入“南京市殡葬服务监管平台”，实时上传位置信息，定位在线率≥98%、按照统一要求进行喷涂且在</w:t>
      </w:r>
      <w:r>
        <w:rPr>
          <w:rFonts w:hint="eastAsia" w:ascii="仿宋" w:hAnsi="仿宋" w:eastAsia="仿宋" w:cs="仿宋"/>
          <w:color w:val="auto"/>
          <w:szCs w:val="21"/>
          <w:highlight w:val="none"/>
          <w:lang w:val="en-US" w:eastAsia="zh-CN"/>
        </w:rPr>
        <w:t>六合区</w:t>
      </w:r>
      <w:r>
        <w:rPr>
          <w:rFonts w:hint="eastAsia" w:ascii="仿宋" w:hAnsi="仿宋" w:eastAsia="仿宋" w:cs="仿宋"/>
          <w:color w:val="auto"/>
          <w:szCs w:val="21"/>
          <w:highlight w:val="none"/>
        </w:rPr>
        <w:t>已备案。车辆</w:t>
      </w:r>
      <w:r>
        <w:rPr>
          <w:rFonts w:hint="eastAsia" w:ascii="仿宋" w:hAnsi="仿宋" w:eastAsia="仿宋" w:cs="仿宋"/>
          <w:color w:val="auto"/>
          <w:szCs w:val="21"/>
          <w:highlight w:val="none"/>
          <w:lang w:val="en-US" w:eastAsia="zh-CN"/>
        </w:rPr>
        <w:t>须</w:t>
      </w:r>
      <w:r>
        <w:rPr>
          <w:rFonts w:hint="eastAsia" w:ascii="仿宋" w:hAnsi="仿宋" w:eastAsia="仿宋" w:cs="仿宋"/>
          <w:color w:val="auto"/>
          <w:szCs w:val="21"/>
          <w:highlight w:val="none"/>
        </w:rPr>
        <w:t>保险齐全：交强险、商业险、承运人责任险、第三者责任险。车容整洁、标识统一、定期维保、达标排放。</w:t>
      </w:r>
    </w:p>
    <w:p w14:paraId="2032615B">
      <w:pPr>
        <w:widowControl/>
        <w:spacing w:line="360" w:lineRule="auto"/>
        <w:ind w:firstLine="482"/>
        <w:jc w:val="left"/>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(三)接运服务操作规范</w:t>
      </w:r>
    </w:p>
    <w:p w14:paraId="455C02BE">
      <w:pPr>
        <w:widowControl/>
        <w:spacing w:line="360" w:lineRule="auto"/>
        <w:ind w:firstLine="482"/>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1.人员资质与证明查验。接运人员须佩戴工作证(</w:t>
      </w:r>
      <w:r>
        <w:rPr>
          <w:rFonts w:hint="eastAsia" w:ascii="仿宋" w:hAnsi="仿宋" w:eastAsia="仿宋" w:cs="仿宋"/>
          <w:color w:val="auto"/>
          <w:szCs w:val="21"/>
          <w:highlight w:val="none"/>
          <w:lang w:val="en-US" w:eastAsia="zh-CN"/>
        </w:rPr>
        <w:t>由采购人统一制作</w:t>
      </w:r>
      <w:r>
        <w:rPr>
          <w:rFonts w:hint="eastAsia" w:ascii="仿宋" w:hAnsi="仿宋" w:eastAsia="仿宋" w:cs="仿宋"/>
          <w:color w:val="auto"/>
          <w:szCs w:val="21"/>
          <w:highlight w:val="none"/>
        </w:rPr>
        <w:t>), 核对逝者身份证件、查验死亡证明，登记丧事承办人/经办人信息，无死亡证明不得接运。</w:t>
      </w:r>
    </w:p>
    <w:p w14:paraId="3184D1E2">
      <w:pPr>
        <w:widowControl/>
        <w:spacing w:line="360" w:lineRule="auto"/>
        <w:ind w:firstLine="482"/>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2.遗体接运实行设区市属地管理，跨区接运原则上使用殡仪馆自有车辆。</w:t>
      </w:r>
    </w:p>
    <w:p w14:paraId="2D5BDF9D">
      <w:pPr>
        <w:widowControl/>
        <w:spacing w:line="360" w:lineRule="auto"/>
        <w:ind w:firstLine="482"/>
        <w:jc w:val="left"/>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(四)车辆与人员管理规范</w:t>
      </w:r>
    </w:p>
    <w:p w14:paraId="3DAE23A9">
      <w:pPr>
        <w:widowControl/>
        <w:spacing w:line="360" w:lineRule="auto"/>
        <w:ind w:firstLine="482"/>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1.人员配置与职责。统一管理的社会化车辆原则上每车专职驾驶员不超过2名，驾驶员严禁从事殡葬中介服务；车辆原则上不承接本街镇接运任务。</w:t>
      </w:r>
    </w:p>
    <w:p w14:paraId="256E8D16">
      <w:pPr>
        <w:widowControl/>
        <w:spacing w:line="360" w:lineRule="auto"/>
        <w:ind w:firstLine="482"/>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2.车辆调度与使用。车辆须服从殡仪馆调度，不得擅自驶离指定停放点或承接非调度服务，不得从事与遗体接运无关的业务。</w:t>
      </w:r>
    </w:p>
    <w:p w14:paraId="02E85A37">
      <w:pPr>
        <w:widowControl/>
        <w:spacing w:line="360" w:lineRule="auto"/>
        <w:ind w:firstLine="482"/>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3.设备运行管理。所有管理车辆须保持定位、监控设备正常运行，设备故障须报备并在24小时内修复。</w:t>
      </w:r>
    </w:p>
    <w:p w14:paraId="6A59EF76">
      <w:pPr>
        <w:widowControl/>
        <w:spacing w:line="360" w:lineRule="auto"/>
        <w:ind w:firstLine="482"/>
        <w:jc w:val="left"/>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（五）人员要求</w:t>
      </w:r>
    </w:p>
    <w:p w14:paraId="76DB7878">
      <w:pPr>
        <w:widowControl/>
        <w:spacing w:line="360" w:lineRule="auto"/>
        <w:ind w:firstLine="482"/>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驾驶员：C1 及以上驾照，3 年以上驾龄，无重大交通事故、无犯罪记录。</w:t>
      </w:r>
    </w:p>
    <w:p w14:paraId="414E8CB0">
      <w:pPr>
        <w:widowControl/>
        <w:spacing w:line="360" w:lineRule="auto"/>
        <w:ind w:firstLine="482"/>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服务人员：经殡葬礼仪、卫生防疫、安全操作培训合格。</w:t>
      </w:r>
    </w:p>
    <w:p w14:paraId="7E8540D8">
      <w:pPr>
        <w:widowControl/>
        <w:spacing w:line="360" w:lineRule="auto"/>
        <w:ind w:firstLine="482"/>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全员持有效健康证，统一着装、文明用语、严格保密。</w:t>
      </w:r>
    </w:p>
    <w:p w14:paraId="152A0728">
      <w:pPr>
        <w:widowControl/>
        <w:numPr>
          <w:ilvl w:val="0"/>
          <w:numId w:val="4"/>
        </w:numPr>
        <w:spacing w:line="360" w:lineRule="auto"/>
        <w:ind w:firstLine="482"/>
        <w:jc w:val="left"/>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rPr>
        <w:t>服务</w:t>
      </w:r>
      <w:r>
        <w:rPr>
          <w:rFonts w:hint="eastAsia" w:ascii="仿宋" w:hAnsi="仿宋" w:eastAsia="仿宋" w:cs="仿宋"/>
          <w:b/>
          <w:color w:val="auto"/>
          <w:szCs w:val="21"/>
          <w:highlight w:val="none"/>
          <w:lang w:val="en-US" w:eastAsia="zh-CN"/>
        </w:rPr>
        <w:t>流程</w:t>
      </w:r>
    </w:p>
    <w:p w14:paraId="7905F6B8">
      <w:pPr>
        <w:widowControl/>
        <w:spacing w:line="360" w:lineRule="auto"/>
        <w:ind w:firstLine="482"/>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1.接单登记：核对地址、联系人、死因、特殊处置要求。</w:t>
      </w:r>
    </w:p>
    <w:p w14:paraId="3ECB250F">
      <w:pPr>
        <w:widowControl/>
        <w:spacing w:line="360" w:lineRule="auto"/>
        <w:ind w:firstLine="482"/>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2.上门服务：准时到达、规范操作、保护家属与逝者隐私。</w:t>
      </w:r>
    </w:p>
    <w:p w14:paraId="717AFD16">
      <w:pPr>
        <w:widowControl/>
        <w:spacing w:line="360" w:lineRule="auto"/>
        <w:ind w:firstLine="482"/>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3.遗体处置：消毒防护、平稳搬运、固定安全。</w:t>
      </w:r>
    </w:p>
    <w:p w14:paraId="3BDF3FE8">
      <w:pPr>
        <w:widowControl/>
        <w:spacing w:line="360" w:lineRule="auto"/>
        <w:ind w:firstLine="482"/>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4.运输交接：直达指定地点，双方签字确认。</w:t>
      </w:r>
    </w:p>
    <w:p w14:paraId="6BD5D438">
      <w:pPr>
        <w:widowControl/>
        <w:spacing w:line="360" w:lineRule="auto"/>
        <w:ind w:firstLine="482"/>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5.车辆消杀：返程后立即消杀，建立消杀台账。</w:t>
      </w:r>
    </w:p>
    <w:p w14:paraId="088EED24">
      <w:pPr>
        <w:widowControl/>
        <w:numPr>
          <w:ilvl w:val="0"/>
          <w:numId w:val="4"/>
        </w:numPr>
        <w:spacing w:line="360" w:lineRule="auto"/>
        <w:ind w:firstLine="482"/>
        <w:jc w:val="left"/>
        <w:rPr>
          <w:rFonts w:hint="eastAsia"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应急保障</w:t>
      </w:r>
    </w:p>
    <w:p w14:paraId="75FC9980">
      <w:pPr>
        <w:widowControl/>
        <w:spacing w:line="360" w:lineRule="auto"/>
        <w:ind w:firstLine="482"/>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1.提供 24 小时不间断服务，全年无休。</w:t>
      </w:r>
    </w:p>
    <w:p w14:paraId="76EABC3E">
      <w:pPr>
        <w:widowControl/>
        <w:spacing w:line="360" w:lineRule="auto"/>
        <w:ind w:firstLine="482"/>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2.恶劣天气、重大突发事件可增派车辆与人员。</w:t>
      </w:r>
    </w:p>
    <w:p w14:paraId="43AA09BA">
      <w:pPr>
        <w:widowControl/>
        <w:spacing w:line="360" w:lineRule="auto"/>
        <w:ind w:firstLine="482"/>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3.投诉快速处理：2 小时内响应，24 小时内办结。</w:t>
      </w:r>
    </w:p>
    <w:p w14:paraId="0B610562">
      <w:pPr>
        <w:spacing w:line="360" w:lineRule="auto"/>
        <w:ind w:firstLine="482"/>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val="en-US" w:eastAsia="zh-CN"/>
        </w:rPr>
        <w:t>三</w:t>
      </w:r>
      <w:r>
        <w:rPr>
          <w:rFonts w:hint="eastAsia" w:ascii="仿宋" w:hAnsi="仿宋" w:eastAsia="仿宋" w:cs="仿宋"/>
          <w:b/>
          <w:bCs/>
          <w:color w:val="auto"/>
          <w:szCs w:val="21"/>
          <w:highlight w:val="none"/>
        </w:rPr>
        <w:t>、付款条件</w:t>
      </w:r>
    </w:p>
    <w:p w14:paraId="2954B532">
      <w:pPr>
        <w:widowControl/>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按月结算，乙方凭派工单、交接单、合法有效发票向甲方申请支付。</w:t>
      </w:r>
    </w:p>
    <w:p w14:paraId="367ECDB2">
      <w:pPr>
        <w:spacing w:line="360" w:lineRule="auto"/>
        <w:ind w:firstLine="482"/>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val="en-US" w:eastAsia="zh-CN"/>
        </w:rPr>
        <w:t>四</w:t>
      </w:r>
      <w:r>
        <w:rPr>
          <w:rFonts w:hint="eastAsia" w:ascii="仿宋" w:hAnsi="仿宋" w:eastAsia="仿宋" w:cs="仿宋"/>
          <w:b/>
          <w:bCs/>
          <w:color w:val="auto"/>
          <w:szCs w:val="21"/>
          <w:highlight w:val="none"/>
        </w:rPr>
        <w:t>、入围供应商的清退和补充规则</w:t>
      </w:r>
    </w:p>
    <w:p w14:paraId="4AD059F7">
      <w:pPr>
        <w:widowControl/>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详见“第五章 框架协议文本”</w:t>
      </w:r>
    </w:p>
    <w:p w14:paraId="7AD0A4D1">
      <w:pPr>
        <w:spacing w:line="360" w:lineRule="auto"/>
        <w:ind w:firstLine="482"/>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val="en-US" w:eastAsia="zh-CN"/>
        </w:rPr>
        <w:t>五</w:t>
      </w:r>
      <w:r>
        <w:rPr>
          <w:rFonts w:hint="eastAsia" w:ascii="仿宋" w:hAnsi="仿宋" w:eastAsia="仿宋" w:cs="仿宋"/>
          <w:b/>
          <w:bCs/>
          <w:color w:val="auto"/>
          <w:szCs w:val="21"/>
          <w:highlight w:val="none"/>
        </w:rPr>
        <w:t>、入围供应商的数量：</w:t>
      </w:r>
    </w:p>
    <w:p w14:paraId="50F8CACC">
      <w:pPr>
        <w:widowControl/>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详见“第三章 确定入围及成交供应商”</w:t>
      </w:r>
    </w:p>
    <w:p w14:paraId="36099F30">
      <w:pPr>
        <w:spacing w:line="360" w:lineRule="auto"/>
        <w:ind w:firstLine="482"/>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val="en-US" w:eastAsia="zh-CN"/>
        </w:rPr>
        <w:t>六</w:t>
      </w:r>
      <w:r>
        <w:rPr>
          <w:rFonts w:hint="eastAsia" w:ascii="仿宋" w:hAnsi="仿宋" w:eastAsia="仿宋" w:cs="仿宋"/>
          <w:b/>
          <w:bCs/>
          <w:color w:val="auto"/>
          <w:szCs w:val="21"/>
          <w:highlight w:val="none"/>
        </w:rPr>
        <w:t>、确定第一阶段入围供应商的评审方法</w:t>
      </w:r>
    </w:p>
    <w:p w14:paraId="3A9BAD7C">
      <w:pPr>
        <w:widowControl/>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详见“第三章 确定入围及成交供应商”</w:t>
      </w:r>
    </w:p>
    <w:p w14:paraId="29953F45">
      <w:pPr>
        <w:spacing w:line="360" w:lineRule="auto"/>
        <w:ind w:firstLine="482"/>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val="en-US" w:eastAsia="zh-CN"/>
        </w:rPr>
        <w:t>七</w:t>
      </w:r>
      <w:r>
        <w:rPr>
          <w:rFonts w:hint="eastAsia" w:ascii="仿宋" w:hAnsi="仿宋" w:eastAsia="仿宋" w:cs="仿宋"/>
          <w:b/>
          <w:bCs/>
          <w:color w:val="auto"/>
          <w:szCs w:val="21"/>
          <w:highlight w:val="none"/>
        </w:rPr>
        <w:t>、确定第二阶段成交供应商的方式</w:t>
      </w:r>
    </w:p>
    <w:p w14:paraId="1F8B17BD">
      <w:pPr>
        <w:widowControl/>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详见“第三章 确定入围及成交供应商”</w:t>
      </w:r>
    </w:p>
    <w:p w14:paraId="764CA600">
      <w:pPr>
        <w:keepNext w:val="0"/>
        <w:keepLines w:val="0"/>
        <w:widowControl/>
        <w:suppressLineNumbers w:val="0"/>
        <w:jc w:val="left"/>
        <w:rPr>
          <w:rFonts w:hint="eastAsia" w:ascii="仿宋" w:hAnsi="仿宋" w:eastAsia="仿宋" w:cs="仿宋"/>
          <w:color w:val="auto"/>
          <w:szCs w:val="21"/>
          <w:highlight w:val="none"/>
        </w:rPr>
      </w:pPr>
    </w:p>
    <w:p w14:paraId="633ECF27">
      <w:pPr>
        <w:widowControl/>
        <w:spacing w:line="360" w:lineRule="auto"/>
        <w:ind w:firstLine="482"/>
        <w:jc w:val="left"/>
        <w:rPr>
          <w:rFonts w:hint="eastAsia" w:ascii="仿宋" w:hAnsi="仿宋" w:eastAsia="仿宋" w:cs="仿宋"/>
          <w:color w:val="auto"/>
          <w:highlight w:val="none"/>
        </w:rPr>
        <w:sectPr>
          <w:pgSz w:w="11906" w:h="16838"/>
          <w:pgMar w:top="1440" w:right="1800" w:bottom="1440" w:left="1800" w:header="850" w:footer="850" w:gutter="0"/>
          <w:paperSrc/>
          <w:pgNumType w:fmt="decimal"/>
          <w:cols w:space="0" w:num="1"/>
          <w:rtlGutter w:val="0"/>
          <w:docGrid w:type="lines" w:linePitch="317" w:charSpace="0"/>
        </w:sectPr>
      </w:pPr>
      <w:r>
        <w:rPr>
          <w:rFonts w:hint="eastAsia" w:ascii="仿宋" w:hAnsi="仿宋" w:eastAsia="仿宋" w:cs="仿宋"/>
          <w:b/>
          <w:bCs/>
          <w:color w:val="auto"/>
          <w:sz w:val="28"/>
          <w:szCs w:val="28"/>
          <w:highlight w:val="none"/>
        </w:rPr>
        <w:t>特别说明：本章所有要求均为实质性要求，不接受负偏离，否则视为无效响应文件。供应商应提供实质性要求完全响应承诺书（参考格式详见“第六章响应文件格式”，文件中另有约定的，须按要求额外提供相关证明材料或承诺函）。</w:t>
      </w:r>
    </w:p>
    <w:p w14:paraId="571A458B">
      <w:pPr>
        <w:pStyle w:val="6"/>
        <w:numPr>
          <w:ilvl w:val="0"/>
          <w:numId w:val="0"/>
        </w:numPr>
        <w:spacing w:line="360" w:lineRule="auto"/>
        <w:rPr>
          <w:rFonts w:hint="eastAsia" w:ascii="仿宋" w:hAnsi="仿宋" w:eastAsia="仿宋" w:cs="仿宋"/>
          <w:color w:val="auto"/>
          <w:highlight w:val="none"/>
        </w:rPr>
      </w:pPr>
      <w:bookmarkStart w:id="24" w:name="_Toc20005"/>
      <w:bookmarkStart w:id="25" w:name="_Toc219114375"/>
      <w:r>
        <w:rPr>
          <w:rFonts w:hint="eastAsia" w:ascii="仿宋" w:hAnsi="仿宋" w:eastAsia="仿宋" w:cs="仿宋"/>
          <w:color w:val="auto"/>
          <w:highlight w:val="none"/>
        </w:rPr>
        <w:t>第五章 主要条款及格式</w:t>
      </w:r>
      <w:bookmarkEnd w:id="24"/>
      <w:bookmarkEnd w:id="25"/>
    </w:p>
    <w:p w14:paraId="74AC6C56">
      <w:pPr>
        <w:keepNext w:val="0"/>
        <w:keepLines w:val="0"/>
        <w:pageBreakBefore w:val="0"/>
        <w:widowControl/>
        <w:kinsoku/>
        <w:wordWrap/>
        <w:overflowPunct/>
        <w:topLinePunct w:val="0"/>
        <w:autoSpaceDE/>
        <w:autoSpaceDN/>
        <w:bidi w:val="0"/>
        <w:adjustRightInd/>
        <w:snapToGrid/>
        <w:spacing w:line="560" w:lineRule="exact"/>
        <w:ind w:left="0" w:firstLine="600" w:firstLineChars="200"/>
        <w:jc w:val="center"/>
        <w:textAlignment w:val="auto"/>
        <w:outlineLvl w:val="9"/>
        <w:rPr>
          <w:rFonts w:hint="eastAsia" w:ascii="仿宋" w:hAnsi="仿宋" w:eastAsia="仿宋" w:cs="仿宋"/>
          <w:color w:val="auto"/>
          <w:sz w:val="30"/>
          <w:szCs w:val="20"/>
          <w:highlight w:val="none"/>
        </w:rPr>
      </w:pPr>
      <w:bookmarkStart w:id="26" w:name="_Toc219114376"/>
      <w:bookmarkStart w:id="27" w:name="_Toc20823315"/>
      <w:bookmarkStart w:id="28" w:name="_Toc16938559"/>
      <w:bookmarkStart w:id="29" w:name="_Toc513029243"/>
      <w:bookmarkStart w:id="30" w:name="OLE_LINK5"/>
      <w:r>
        <w:rPr>
          <w:rFonts w:hint="eastAsia" w:ascii="仿宋" w:hAnsi="仿宋" w:eastAsia="仿宋" w:cs="仿宋"/>
          <w:color w:val="auto"/>
          <w:sz w:val="30"/>
          <w:highlight w:val="none"/>
        </w:rPr>
        <w:t>南京市政府采购框架协议文本（服务）（框架协议编号）</w:t>
      </w:r>
      <w:bookmarkEnd w:id="26"/>
      <w:bookmarkEnd w:id="27"/>
      <w:bookmarkEnd w:id="28"/>
      <w:bookmarkEnd w:id="29"/>
    </w:p>
    <w:p w14:paraId="76842DC4">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                                项目编号：</w:t>
      </w:r>
    </w:p>
    <w:p w14:paraId="33F7F30D">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甲方：（采购人）</w:t>
      </w:r>
    </w:p>
    <w:p w14:paraId="2DEEBDE4">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乙方：（入围供应商）</w:t>
      </w:r>
    </w:p>
    <w:p w14:paraId="7F779C60">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甲、乙双方根据</w:t>
      </w:r>
      <w:r>
        <w:rPr>
          <w:rFonts w:hint="eastAsia" w:ascii="仿宋" w:hAnsi="仿宋" w:eastAsia="仿宋" w:cs="仿宋"/>
          <w:color w:val="auto"/>
          <w:szCs w:val="21"/>
          <w:highlight w:val="none"/>
          <w:lang w:val="en-US" w:eastAsia="zh-CN"/>
        </w:rPr>
        <w:t>南京市六合区殡仪馆购买遗体接运社会服务</w:t>
      </w:r>
      <w:r>
        <w:rPr>
          <w:rFonts w:hint="eastAsia" w:ascii="仿宋" w:hAnsi="仿宋" w:eastAsia="仿宋" w:cs="仿宋"/>
          <w:color w:val="auto"/>
          <w:szCs w:val="21"/>
          <w:highlight w:val="none"/>
          <w:lang w:eastAsia="zh-CN"/>
        </w:rPr>
        <w:t>采购框架协议采购项目</w:t>
      </w:r>
      <w:r>
        <w:rPr>
          <w:rFonts w:hint="eastAsia" w:ascii="仿宋" w:hAnsi="仿宋" w:eastAsia="仿宋" w:cs="仿宋"/>
          <w:color w:val="auto"/>
          <w:szCs w:val="21"/>
          <w:highlight w:val="none"/>
        </w:rPr>
        <w:t>的结果，签署本文本。</w:t>
      </w:r>
    </w:p>
    <w:p w14:paraId="373B362C">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一、项目基本情况</w:t>
      </w:r>
    </w:p>
    <w:p w14:paraId="0142C5E1">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 采购需求：</w:t>
      </w:r>
      <w:r>
        <w:rPr>
          <w:rFonts w:hint="eastAsia" w:ascii="仿宋" w:hAnsi="仿宋" w:eastAsia="仿宋" w:cs="仿宋"/>
          <w:color w:val="auto"/>
          <w:szCs w:val="21"/>
          <w:highlight w:val="none"/>
          <w:u w:val="single"/>
        </w:rPr>
        <w:t>见征集文件需求</w:t>
      </w:r>
    </w:p>
    <w:p w14:paraId="42CA50F8">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 服务最高限制单价：</w:t>
      </w:r>
      <w:r>
        <w:rPr>
          <w:rFonts w:hint="eastAsia" w:ascii="仿宋" w:hAnsi="仿宋" w:eastAsia="仿宋" w:cs="仿宋"/>
          <w:color w:val="auto"/>
          <w:szCs w:val="21"/>
          <w:highlight w:val="none"/>
          <w:u w:val="single"/>
        </w:rPr>
        <w:t>见征集文件</w:t>
      </w:r>
    </w:p>
    <w:p w14:paraId="5B0CEF30">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1.3适用本次框架协议的采购人范围：</w:t>
      </w:r>
      <w:r>
        <w:rPr>
          <w:rFonts w:hint="eastAsia" w:ascii="仿宋" w:hAnsi="仿宋" w:eastAsia="仿宋" w:cs="仿宋"/>
          <w:color w:val="auto"/>
          <w:szCs w:val="21"/>
          <w:highlight w:val="none"/>
          <w:u w:val="single"/>
          <w:lang w:eastAsia="zh-CN"/>
        </w:rPr>
        <w:t>南京市</w:t>
      </w:r>
      <w:r>
        <w:rPr>
          <w:rFonts w:hint="eastAsia" w:ascii="仿宋" w:hAnsi="仿宋" w:eastAsia="仿宋" w:cs="仿宋"/>
          <w:color w:val="auto"/>
          <w:szCs w:val="21"/>
          <w:highlight w:val="none"/>
          <w:u w:val="single"/>
          <w:lang w:val="en-US" w:eastAsia="zh-CN"/>
        </w:rPr>
        <w:t>六合</w:t>
      </w:r>
      <w:r>
        <w:rPr>
          <w:rFonts w:hint="eastAsia" w:ascii="仿宋" w:hAnsi="仿宋" w:eastAsia="仿宋" w:cs="仿宋"/>
          <w:color w:val="auto"/>
          <w:szCs w:val="21"/>
          <w:highlight w:val="none"/>
          <w:u w:val="single"/>
          <w:lang w:eastAsia="zh-CN"/>
        </w:rPr>
        <w:t>区</w:t>
      </w:r>
      <w:r>
        <w:rPr>
          <w:rFonts w:hint="eastAsia" w:ascii="仿宋" w:hAnsi="仿宋" w:eastAsia="仿宋" w:cs="仿宋"/>
          <w:color w:val="auto"/>
          <w:szCs w:val="21"/>
          <w:highlight w:val="none"/>
          <w:u w:val="single"/>
          <w:lang w:val="en-US" w:eastAsia="zh-CN"/>
        </w:rPr>
        <w:t>民政局</w:t>
      </w:r>
    </w:p>
    <w:p w14:paraId="5EB05645">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 履行合同的地域范围：</w:t>
      </w:r>
      <w:r>
        <w:rPr>
          <w:rFonts w:hint="eastAsia" w:ascii="仿宋" w:hAnsi="仿宋" w:eastAsia="仿宋" w:cs="仿宋"/>
          <w:color w:val="auto"/>
          <w:szCs w:val="21"/>
          <w:highlight w:val="none"/>
          <w:u w:val="single"/>
        </w:rPr>
        <w:t>由采购人指定</w:t>
      </w:r>
    </w:p>
    <w:p w14:paraId="4668A0FA">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二、第一阶段入围服务的相关信息</w:t>
      </w:r>
    </w:p>
    <w:p w14:paraId="403F627A">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2.1 入围服务详细技术规格：</w:t>
      </w:r>
      <w:r>
        <w:rPr>
          <w:rFonts w:hint="eastAsia" w:ascii="仿宋" w:hAnsi="仿宋" w:eastAsia="仿宋" w:cs="仿宋"/>
          <w:color w:val="auto"/>
          <w:szCs w:val="21"/>
          <w:highlight w:val="none"/>
          <w:u w:val="single"/>
        </w:rPr>
        <w:t>见响应文件</w:t>
      </w:r>
    </w:p>
    <w:p w14:paraId="1F3F70D8">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 服务标准：</w:t>
      </w:r>
      <w:r>
        <w:rPr>
          <w:rFonts w:hint="eastAsia" w:ascii="仿宋" w:hAnsi="仿宋" w:eastAsia="仿宋" w:cs="仿宋"/>
          <w:color w:val="auto"/>
          <w:szCs w:val="21"/>
          <w:highlight w:val="none"/>
          <w:u w:val="single"/>
        </w:rPr>
        <w:t>见响应文件</w:t>
      </w:r>
    </w:p>
    <w:p w14:paraId="7B8AD5BA">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2.3 服务协议价格：详见征集招标文件、响应文件相关内容，</w:t>
      </w:r>
      <w:r>
        <w:rPr>
          <w:rFonts w:hint="eastAsia" w:ascii="仿宋" w:hAnsi="仿宋" w:eastAsia="仿宋" w:cs="仿宋"/>
          <w:color w:val="auto"/>
          <w:szCs w:val="21"/>
          <w:highlight w:val="none"/>
          <w:lang w:val="en-US" w:eastAsia="zh-CN"/>
        </w:rPr>
        <w:t>报价</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en-US" w:eastAsia="zh-CN"/>
        </w:rPr>
        <w:t>元/次</w:t>
      </w:r>
      <w:r>
        <w:rPr>
          <w:rFonts w:hint="eastAsia" w:ascii="仿宋" w:hAnsi="仿宋" w:eastAsia="仿宋" w:cs="仿宋"/>
          <w:color w:val="auto"/>
          <w:szCs w:val="21"/>
          <w:highlight w:val="none"/>
        </w:rPr>
        <w:t>。</w:t>
      </w:r>
    </w:p>
    <w:p w14:paraId="68F9BA8C">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三、入围服务升级换代规则</w:t>
      </w:r>
    </w:p>
    <w:p w14:paraId="70DE2A54">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本项目框架协议期内，不对入围服务进行升级换代。</w:t>
      </w:r>
    </w:p>
    <w:p w14:paraId="3A926940">
      <w:pPr>
        <w:keepNext w:val="0"/>
        <w:keepLines w:val="0"/>
        <w:pageBreakBefore w:val="0"/>
        <w:widowControl/>
        <w:kinsoku/>
        <w:wordWrap/>
        <w:overflowPunct/>
        <w:topLinePunct w:val="0"/>
        <w:autoSpaceDE/>
        <w:autoSpaceDN/>
        <w:bidi w:val="0"/>
        <w:adjustRightInd/>
        <w:snapToGrid/>
        <w:spacing w:line="560" w:lineRule="exact"/>
        <w:ind w:left="0"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四、确定第二阶段成交供应商的方式：直接选定。由采购人依据工作经验、工作质量、入围服务价格以及服务便利性、用户评价或考核情况等因素，从第一阶段入围供应商中直接选定。</w:t>
      </w:r>
    </w:p>
    <w:p w14:paraId="0E067EC1">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五、资金支付方式、时间和条件</w:t>
      </w:r>
    </w:p>
    <w:p w14:paraId="3A61F52D">
      <w:pPr>
        <w:keepNext w:val="0"/>
        <w:keepLines w:val="0"/>
        <w:pageBreakBefore w:val="0"/>
        <w:widowControl/>
        <w:kinsoku/>
        <w:wordWrap/>
        <w:overflowPunct/>
        <w:topLinePunct w:val="0"/>
        <w:autoSpaceDE/>
        <w:autoSpaceDN/>
        <w:bidi w:val="0"/>
        <w:adjustRightInd/>
        <w:snapToGrid/>
        <w:spacing w:line="560" w:lineRule="exact"/>
        <w:ind w:left="0"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按月结算，乙方凭派工单、交接单、合法有效发票向甲方申请支付。采购人收到成交供应商合法有效的发票后30日内，将资金支付到合同约定的供应商账户。</w:t>
      </w:r>
    </w:p>
    <w:p w14:paraId="0969597C">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六、框架协议期限</w:t>
      </w:r>
    </w:p>
    <w:p w14:paraId="290ABF5E">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en-US" w:eastAsia="zh-CN"/>
        </w:rPr>
        <w:t>1年。（如国家、省法律法规调整，采购人不承担违约责任）</w:t>
      </w:r>
    </w:p>
    <w:p w14:paraId="21990DA0">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七、入围供应商的清退和补充规则</w:t>
      </w:r>
    </w:p>
    <w:p w14:paraId="78F62AEE">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7.1 清退规则 入围供应商存在《政府采购框架协议采购方式管理暂行办法》第十九条规定情形的，尚未签订框架协议的，取消其入围资格；已经签订框架协议的，解除与其签订的框架协议。</w:t>
      </w:r>
    </w:p>
    <w:p w14:paraId="62D56316">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7.2 补充规则 如出现剩余入围供应商不足入围供应商总数70%且影响框架协议执行的情形时，采购人</w:t>
      </w:r>
      <w:r>
        <w:rPr>
          <w:rFonts w:hint="eastAsia" w:ascii="仿宋" w:hAnsi="仿宋" w:eastAsia="仿宋" w:cs="仿宋"/>
          <w:color w:val="auto"/>
          <w:szCs w:val="21"/>
          <w:highlight w:val="none"/>
          <w:lang w:val="en-US" w:eastAsia="zh-CN"/>
        </w:rPr>
        <w:t>根据实际需求</w:t>
      </w:r>
      <w:r>
        <w:rPr>
          <w:rFonts w:hint="eastAsia" w:ascii="仿宋" w:hAnsi="仿宋" w:eastAsia="仿宋" w:cs="仿宋"/>
          <w:color w:val="auto"/>
          <w:szCs w:val="21"/>
          <w:highlight w:val="none"/>
        </w:rPr>
        <w:t>报相关部门经同意后，将进行补充征集供应商。补充征集的条件、程序、评审方法和淘汰比例与初次征集相同。补充征集遵守原框架协议的有效期。补充征集期间，原框架协议继续履行。</w:t>
      </w:r>
    </w:p>
    <w:p w14:paraId="5C4DEA60">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八、采购合同文本</w:t>
      </w:r>
    </w:p>
    <w:p w14:paraId="07C66519">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见框架协议文本附件1。（乙方在“苏采云”系统中与采购人签订电子采购合同）</w:t>
      </w:r>
    </w:p>
    <w:p w14:paraId="1F2A6DF0">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九、甲乙双方的权利和义务</w:t>
      </w:r>
    </w:p>
    <w:p w14:paraId="4828B3CA">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9.1 甲方的权利</w:t>
      </w:r>
    </w:p>
    <w:p w14:paraId="5BAE1337">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（1）确定框架协议采购需求。</w:t>
      </w:r>
    </w:p>
    <w:p w14:paraId="46CA3F73">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（2）确定最高限制单价。</w:t>
      </w:r>
    </w:p>
    <w:p w14:paraId="0BCA0EE8">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（3）确定框架协议有效期。</w:t>
      </w:r>
    </w:p>
    <w:p w14:paraId="6DF5120B">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（4）制定统一的采购合同文本供采购人、供应商使用，并明确要求采购人、供应商不得擅自改变框架协议约定的合同实质性条款。</w:t>
      </w:r>
    </w:p>
    <w:p w14:paraId="5CE0792C">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（5）乙方存在《政府采购框架协议采购方式管理暂行办法》第十九条第一款规定的情形时，取消入围供应商的入围资格，或解除与其签订的框架协议。</w:t>
      </w:r>
    </w:p>
    <w:p w14:paraId="6C8A7AA1">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（6）在框架协议期内，随时对乙方履约情况进行检查。 </w:t>
      </w:r>
    </w:p>
    <w:p w14:paraId="607C1406">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9.2 甲方的义务</w:t>
      </w:r>
    </w:p>
    <w:p w14:paraId="707C7485">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（1）为第二阶段合同授予提供工作便利。 </w:t>
      </w:r>
    </w:p>
    <w:p w14:paraId="63939D59">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（2）对第二阶段最高限价和需求标准执行情况进行管理。</w:t>
      </w:r>
    </w:p>
    <w:p w14:paraId="293D3B3B">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（3）对第二阶段确定成交供应商情况进行管理。 </w:t>
      </w:r>
    </w:p>
    <w:p w14:paraId="56C5C55F">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（4）根据框架协议约定，在质量不降低、价格不提高的前提下，对入围供应商因服务升级换代、用新服务替代原入围服务的情形进行审核。 </w:t>
      </w:r>
    </w:p>
    <w:p w14:paraId="4D657326">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（5）办理入围供应商清退和补充相关事宜。</w:t>
      </w:r>
    </w:p>
    <w:p w14:paraId="38CAC590">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（6）建立真实完整的框架协议采购档案，妥善保存每项采购活动的采购文件资料。</w:t>
      </w:r>
    </w:p>
    <w:p w14:paraId="5E26691B">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9.3 乙方的权利</w:t>
      </w:r>
    </w:p>
    <w:p w14:paraId="706B1310">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（1）乙方具有为采购人提供相关服务的资格。</w:t>
      </w:r>
    </w:p>
    <w:p w14:paraId="525A2213">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（2）乙方有权拒绝采购人提出的以本次框架协议采购名义购买非入围货物、服务、配件或满足采购人超出响应承诺以外的其他要求。 </w:t>
      </w:r>
    </w:p>
    <w:p w14:paraId="79AE5786">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（3）对采购人在购买入围服务过程中的不正当要求和违规行为进行投诉，并要求有关部门做出处理。 </w:t>
      </w:r>
    </w:p>
    <w:p w14:paraId="5AB76666">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（4）有权拒绝任何个人以采购人名义按照协议价格购买入围服务和进行现金交易。</w:t>
      </w:r>
    </w:p>
    <w:p w14:paraId="21A98E87">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9.4 乙方的义务</w:t>
      </w:r>
    </w:p>
    <w:p w14:paraId="360549BF">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（1）严格执行国家法律法规，严格按照响应文件承诺的价格和服务履约，遵守本合同条款。 </w:t>
      </w:r>
    </w:p>
    <w:p w14:paraId="10D4792A">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（2）随时接受并配合甲方的监督检查，并配合财政部门对采购人和其他入围供应商对框架协议执行情况进行监督，发现违规违约情形的，及时向财政部门报告。 </w:t>
      </w:r>
    </w:p>
    <w:p w14:paraId="66519CBE">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（3）在框架协议有效期内，按照不高于协议价格的价格，向采购人提供相关服务。 </w:t>
      </w:r>
    </w:p>
    <w:p w14:paraId="3FCAFFE3">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（4）乙方及其委托的聘用专家对本项目承担连带责任，乙方委托的聘用专家必须履行乙方在响应文件中承诺的责任和义务。 </w:t>
      </w:r>
    </w:p>
    <w:p w14:paraId="4FB9F1DF">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（5）框架协议期内，在质量不降低、价格不提高的前提下，乙方如出现因服务升级换代，需用新服务替代原入围服务情形时，必须在“苏采云”系统中向甲方提出申请。</w:t>
      </w:r>
    </w:p>
    <w:p w14:paraId="1791C6F8">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十、税费</w:t>
      </w:r>
    </w:p>
    <w:p w14:paraId="54061643">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本框架协议执行中相关的一切税费均由乙方负担。</w:t>
      </w:r>
    </w:p>
    <w:p w14:paraId="0B15D6B3">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十一、争议解决的办法</w:t>
      </w:r>
    </w:p>
    <w:p w14:paraId="31666D74">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因本框架协议的签订、履行而发生的争议，甲乙双方应通过友好协商解决，如协商不成由甲方住所地人民法院管辖。</w:t>
      </w:r>
    </w:p>
    <w:p w14:paraId="3E1050BC">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十二、框架协议文本的生效及其它</w:t>
      </w:r>
    </w:p>
    <w:p w14:paraId="710C0027">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12.1 本框架协议文本经甲乙双方法定代表人或授权委托代表人签字并加盖单位公章后生效。</w:t>
      </w:r>
    </w:p>
    <w:p w14:paraId="238D024F">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12.2本框架协议文本未尽事宜，遵照《民法典》《政府采购法》有关条文执行。</w:t>
      </w:r>
    </w:p>
    <w:p w14:paraId="3DAC3E17">
      <w:pPr>
        <w:keepNext w:val="0"/>
        <w:keepLines w:val="0"/>
        <w:pageBreakBefore w:val="0"/>
        <w:kinsoku/>
        <w:wordWrap/>
        <w:overflowPunct/>
        <w:topLinePunct w:val="0"/>
        <w:autoSpaceDE/>
        <w:autoSpaceDN/>
        <w:bidi w:val="0"/>
        <w:adjustRightInd/>
        <w:snapToGrid/>
        <w:spacing w:line="560" w:lineRule="exact"/>
        <w:ind w:left="0"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12.3 本框架协议文本正本一式陆份，具有同等法律效力，甲方、乙方各执叁份。</w:t>
      </w:r>
    </w:p>
    <w:p w14:paraId="756FB262">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甲方</w:t>
      </w:r>
      <w:r>
        <w:rPr>
          <w:rFonts w:hint="eastAsia" w:ascii="仿宋" w:hAnsi="仿宋" w:eastAsia="仿宋" w:cs="仿宋"/>
          <w:color w:val="auto"/>
          <w:szCs w:val="21"/>
          <w:highlight w:val="none"/>
          <w:lang w:val="zh-CN"/>
        </w:rPr>
        <w:t xml:space="preserve">（盖章） </w:t>
      </w:r>
      <w:r>
        <w:rPr>
          <w:rFonts w:hint="eastAsia" w:ascii="仿宋" w:hAnsi="仿宋" w:eastAsia="仿宋" w:cs="仿宋"/>
          <w:color w:val="auto"/>
          <w:szCs w:val="21"/>
          <w:highlight w:val="none"/>
        </w:rPr>
        <w:t>：                         乙方</w:t>
      </w:r>
      <w:r>
        <w:rPr>
          <w:rFonts w:hint="eastAsia" w:ascii="仿宋" w:hAnsi="仿宋" w:eastAsia="仿宋" w:cs="仿宋"/>
          <w:color w:val="auto"/>
          <w:szCs w:val="21"/>
          <w:highlight w:val="none"/>
          <w:lang w:val="zh-CN"/>
        </w:rPr>
        <w:t xml:space="preserve">（盖章） </w:t>
      </w:r>
      <w:r>
        <w:rPr>
          <w:rFonts w:hint="eastAsia" w:ascii="仿宋" w:hAnsi="仿宋" w:eastAsia="仿宋" w:cs="仿宋"/>
          <w:color w:val="auto"/>
          <w:szCs w:val="21"/>
          <w:highlight w:val="none"/>
        </w:rPr>
        <w:t xml:space="preserve">： </w:t>
      </w:r>
    </w:p>
    <w:p w14:paraId="7E7718FE">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地址：                                  地址： </w:t>
      </w:r>
    </w:p>
    <w:p w14:paraId="5AD06799">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法定代表人或授权代表：                  法定代表人或授权代表：</w:t>
      </w:r>
    </w:p>
    <w:p w14:paraId="37E44349">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联系电话：                              联系电话：          </w:t>
      </w:r>
    </w:p>
    <w:p w14:paraId="0F36BEEE">
      <w:pPr>
        <w:keepNext w:val="0"/>
        <w:keepLines w:val="0"/>
        <w:pageBreakBefore w:val="0"/>
        <w:kinsoku/>
        <w:wordWrap/>
        <w:overflowPunct/>
        <w:topLinePunct w:val="0"/>
        <w:autoSpaceDE/>
        <w:autoSpaceDN/>
        <w:bidi w:val="0"/>
        <w:adjustRightInd/>
        <w:snapToGrid/>
        <w:spacing w:line="560" w:lineRule="exact"/>
        <w:ind w:left="0" w:firstLine="420" w:firstLineChars="200"/>
        <w:textAlignment w:val="auto"/>
        <w:rPr>
          <w:rFonts w:hint="eastAsia" w:ascii="仿宋" w:hAnsi="仿宋" w:eastAsia="仿宋" w:cs="仿宋"/>
          <w:color w:val="auto"/>
          <w:szCs w:val="21"/>
          <w:highlight w:val="none"/>
        </w:rPr>
        <w:sectPr>
          <w:footerReference r:id="rId7" w:type="first"/>
          <w:footerReference r:id="rId6" w:type="default"/>
          <w:pgSz w:w="11906" w:h="16838"/>
          <w:pgMar w:top="1440" w:right="1800" w:bottom="1440" w:left="1800" w:header="850" w:footer="850" w:gutter="0"/>
          <w:paperSrc/>
          <w:pgNumType w:fmt="decimal"/>
          <w:cols w:space="0" w:num="1"/>
          <w:rtlGutter w:val="0"/>
          <w:docGrid w:type="lines" w:linePitch="317" w:charSpace="0"/>
        </w:sectPr>
      </w:pPr>
      <w:r>
        <w:rPr>
          <w:rFonts w:hint="eastAsia" w:ascii="仿宋" w:hAnsi="仿宋" w:eastAsia="仿宋" w:cs="仿宋"/>
          <w:color w:val="auto"/>
          <w:szCs w:val="21"/>
          <w:highlight w:val="none"/>
        </w:rPr>
        <w:t>签订日期：      年  月  日</w:t>
      </w:r>
      <w:bookmarkEnd w:id="30"/>
      <w:bookmarkStart w:id="31" w:name="_Hlt16619369"/>
      <w:bookmarkEnd w:id="31"/>
    </w:p>
    <w:p w14:paraId="0F203F0F">
      <w:pPr>
        <w:keepNext w:val="0"/>
        <w:keepLines w:val="0"/>
        <w:pageBreakBefore w:val="0"/>
        <w:widowControl w:val="0"/>
        <w:kinsoku/>
        <w:wordWrap/>
        <w:overflowPunct/>
        <w:topLinePunct w:val="0"/>
        <w:autoSpaceDE/>
        <w:autoSpaceDN/>
        <w:bidi w:val="0"/>
        <w:adjustRightInd/>
        <w:snapToGrid/>
        <w:spacing w:before="120" w:after="120" w:line="312" w:lineRule="auto"/>
        <w:ind w:firstLine="300"/>
        <w:textAlignment w:val="auto"/>
        <w:outlineLvl w:val="9"/>
        <w:rPr>
          <w:rFonts w:hint="eastAsia" w:ascii="仿宋" w:hAnsi="仿宋" w:eastAsia="仿宋" w:cs="仿宋"/>
          <w:color w:val="auto"/>
          <w:sz w:val="30"/>
          <w:highlight w:val="none"/>
        </w:rPr>
      </w:pPr>
      <w:r>
        <w:rPr>
          <w:rFonts w:hint="eastAsia" w:ascii="仿宋" w:hAnsi="仿宋" w:eastAsia="仿宋" w:cs="仿宋"/>
          <w:color w:val="auto"/>
          <w:sz w:val="30"/>
          <w:highlight w:val="none"/>
        </w:rPr>
        <w:t>附件1：采购合同文本</w:t>
      </w:r>
    </w:p>
    <w:p w14:paraId="5F4EB3DE">
      <w:pPr>
        <w:pStyle w:val="2"/>
        <w:spacing w:before="51" w:line="204" w:lineRule="auto"/>
        <w:jc w:val="center"/>
        <w:rPr>
          <w:rFonts w:hint="eastAsia" w:ascii="仿宋" w:hAnsi="仿宋" w:eastAsia="仿宋" w:cs="仿宋"/>
          <w:b/>
          <w:bCs/>
          <w:color w:val="auto"/>
          <w:spacing w:val="10"/>
          <w:sz w:val="32"/>
          <w:szCs w:val="32"/>
          <w:highlight w:val="none"/>
        </w:rPr>
      </w:pPr>
    </w:p>
    <w:p w14:paraId="7B9DF8B7">
      <w:pPr>
        <w:pStyle w:val="2"/>
        <w:spacing w:before="51" w:line="204"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pacing w:val="10"/>
          <w:sz w:val="32"/>
          <w:szCs w:val="32"/>
          <w:highlight w:val="none"/>
        </w:rPr>
        <w:t>遗体接运服务协议（范本）</w:t>
      </w:r>
    </w:p>
    <w:p w14:paraId="7118B8F4">
      <w:pPr>
        <w:spacing w:line="245" w:lineRule="auto"/>
        <w:rPr>
          <w:rFonts w:hint="eastAsia" w:ascii="仿宋" w:hAnsi="仿宋" w:eastAsia="仿宋" w:cs="仿宋"/>
          <w:color w:val="auto"/>
          <w:sz w:val="21"/>
          <w:highlight w:val="none"/>
        </w:rPr>
      </w:pPr>
    </w:p>
    <w:p w14:paraId="6145507F">
      <w:pPr>
        <w:keepNext w:val="0"/>
        <w:keepLines w:val="0"/>
        <w:pageBreakBefore w:val="0"/>
        <w:widowControl w:val="0"/>
        <w:kinsoku/>
        <w:wordWrap/>
        <w:overflowPunct/>
        <w:topLinePunct w:val="0"/>
        <w:autoSpaceDE/>
        <w:autoSpaceDN/>
        <w:bidi w:val="0"/>
        <w:adjustRightInd/>
        <w:snapToGrid/>
        <w:spacing w:line="560" w:lineRule="exac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甲方（服务委托方</w:t>
      </w:r>
      <w:r>
        <w:rPr>
          <w:rFonts w:hint="eastAsia" w:ascii="仿宋" w:hAnsi="仿宋" w:eastAsia="仿宋" w:cs="仿宋"/>
          <w:color w:val="auto"/>
          <w:spacing w:val="-54"/>
          <w:sz w:val="21"/>
          <w:szCs w:val="21"/>
          <w:highlight w:val="none"/>
        </w:rPr>
        <w:t>）</w:t>
      </w:r>
      <w:r>
        <w:rPr>
          <w:rFonts w:hint="eastAsia" w:ascii="仿宋" w:hAnsi="仿宋" w:eastAsia="仿宋" w:cs="仿宋"/>
          <w:color w:val="auto"/>
          <w:spacing w:val="-54"/>
          <w:sz w:val="21"/>
          <w:szCs w:val="21"/>
          <w:highlight w:val="none"/>
          <w:lang w:val="en-US" w:eastAsia="zh-CN"/>
        </w:rPr>
        <w:t xml:space="preserve"> </w:t>
      </w:r>
      <w:r>
        <w:rPr>
          <w:rFonts w:hint="eastAsia" w:ascii="仿宋" w:hAnsi="仿宋" w:eastAsia="仿宋" w:cs="仿宋"/>
          <w:color w:val="auto"/>
          <w:spacing w:val="-54"/>
          <w:sz w:val="21"/>
          <w:szCs w:val="21"/>
          <w:highlight w:val="none"/>
          <w:lang w:eastAsia="zh-CN"/>
        </w:rPr>
        <w:t>：</w:t>
      </w:r>
      <w:r>
        <w:rPr>
          <w:rFonts w:hint="eastAsia" w:ascii="仿宋" w:hAnsi="仿宋" w:eastAsia="仿宋" w:cs="仿宋"/>
          <w:color w:val="auto"/>
          <w:sz w:val="21"/>
          <w:szCs w:val="21"/>
          <w:highlight w:val="none"/>
          <w:u w:val="single" w:color="auto"/>
        </w:rPr>
        <w:t xml:space="preserve">                         </w:t>
      </w:r>
    </w:p>
    <w:p w14:paraId="149DD538">
      <w:pPr>
        <w:keepNext w:val="0"/>
        <w:keepLines w:val="0"/>
        <w:pageBreakBefore w:val="0"/>
        <w:widowControl w:val="0"/>
        <w:kinsoku/>
        <w:wordWrap/>
        <w:overflowPunct/>
        <w:topLinePunct w:val="0"/>
        <w:autoSpaceDE/>
        <w:autoSpaceDN/>
        <w:bidi w:val="0"/>
        <w:adjustRightInd/>
        <w:snapToGrid/>
        <w:spacing w:line="560" w:lineRule="exact"/>
        <w:ind w:left="0" w:right="0" w:firstLine="424"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住所地：</w:t>
      </w:r>
      <w:r>
        <w:rPr>
          <w:rFonts w:hint="eastAsia" w:ascii="仿宋" w:hAnsi="仿宋" w:eastAsia="仿宋" w:cs="仿宋"/>
          <w:color w:val="auto"/>
          <w:sz w:val="21"/>
          <w:szCs w:val="21"/>
          <w:highlight w:val="none"/>
          <w:u w:val="single" w:color="auto"/>
        </w:rPr>
        <w:t xml:space="preserve">                         </w:t>
      </w:r>
    </w:p>
    <w:p w14:paraId="0A4AB622">
      <w:pPr>
        <w:keepNext w:val="0"/>
        <w:keepLines w:val="0"/>
        <w:pageBreakBefore w:val="0"/>
        <w:widowControl w:val="0"/>
        <w:kinsoku/>
        <w:wordWrap/>
        <w:overflowPunct/>
        <w:topLinePunct w:val="0"/>
        <w:autoSpaceDE/>
        <w:autoSpaceDN/>
        <w:bidi w:val="0"/>
        <w:adjustRightInd/>
        <w:snapToGrid/>
        <w:spacing w:line="560" w:lineRule="exact"/>
        <w:ind w:left="0" w:right="0" w:firstLine="428"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负责人：</w:t>
      </w:r>
      <w:r>
        <w:rPr>
          <w:rFonts w:hint="eastAsia" w:ascii="仿宋" w:hAnsi="仿宋" w:eastAsia="仿宋" w:cs="仿宋"/>
          <w:color w:val="auto"/>
          <w:sz w:val="21"/>
          <w:szCs w:val="21"/>
          <w:highlight w:val="none"/>
          <w:u w:val="single" w:color="auto"/>
        </w:rPr>
        <w:t xml:space="preserve">                         </w:t>
      </w:r>
    </w:p>
    <w:p w14:paraId="68AC85FA">
      <w:pPr>
        <w:keepNext w:val="0"/>
        <w:keepLines w:val="0"/>
        <w:pageBreakBefore w:val="0"/>
        <w:widowControl w:val="0"/>
        <w:kinsoku/>
        <w:wordWrap/>
        <w:overflowPunct/>
        <w:topLinePunct w:val="0"/>
        <w:autoSpaceDE/>
        <w:autoSpaceDN/>
        <w:bidi w:val="0"/>
        <w:adjustRightInd/>
        <w:snapToGrid/>
        <w:spacing w:line="560" w:lineRule="exact"/>
        <w:ind w:left="0" w:right="0" w:firstLine="420" w:firstLineChars="200"/>
        <w:textAlignment w:val="auto"/>
        <w:rPr>
          <w:rFonts w:hint="eastAsia" w:ascii="仿宋" w:hAnsi="仿宋" w:eastAsia="仿宋" w:cs="仿宋"/>
          <w:color w:val="auto"/>
          <w:sz w:val="21"/>
          <w:szCs w:val="21"/>
          <w:highlight w:val="none"/>
        </w:rPr>
      </w:pPr>
    </w:p>
    <w:p w14:paraId="0A352CDC">
      <w:pPr>
        <w:keepNext w:val="0"/>
        <w:keepLines w:val="0"/>
        <w:pageBreakBefore w:val="0"/>
        <w:widowControl w:val="0"/>
        <w:kinsoku/>
        <w:wordWrap/>
        <w:overflowPunct/>
        <w:topLinePunct w:val="0"/>
        <w:autoSpaceDE/>
        <w:autoSpaceDN/>
        <w:bidi w:val="0"/>
        <w:adjustRightInd/>
        <w:snapToGrid/>
        <w:spacing w:line="560" w:lineRule="exact"/>
        <w:ind w:left="0" w:right="0" w:firstLine="43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rPr>
        <w:t>乙方（服务提供方</w:t>
      </w:r>
      <w:r>
        <w:rPr>
          <w:rFonts w:hint="eastAsia" w:ascii="仿宋" w:hAnsi="仿宋" w:eastAsia="仿宋" w:cs="仿宋"/>
          <w:color w:val="auto"/>
          <w:spacing w:val="-67"/>
          <w:sz w:val="21"/>
          <w:szCs w:val="21"/>
          <w:highlight w:val="none"/>
        </w:rPr>
        <w:t>）</w:t>
      </w:r>
      <w:r>
        <w:rPr>
          <w:rFonts w:hint="eastAsia" w:ascii="仿宋" w:hAnsi="仿宋" w:eastAsia="仿宋" w:cs="仿宋"/>
          <w:color w:val="auto"/>
          <w:spacing w:val="-67"/>
          <w:sz w:val="21"/>
          <w:szCs w:val="21"/>
          <w:highlight w:val="none"/>
          <w:lang w:val="en-US" w:eastAsia="zh-CN"/>
        </w:rPr>
        <w:t xml:space="preserve"> </w:t>
      </w:r>
      <w:r>
        <w:rPr>
          <w:rFonts w:hint="eastAsia" w:ascii="仿宋" w:hAnsi="仿宋" w:eastAsia="仿宋" w:cs="仿宋"/>
          <w:color w:val="auto"/>
          <w:spacing w:val="6"/>
          <w:sz w:val="21"/>
          <w:szCs w:val="21"/>
          <w:highlight w:val="none"/>
        </w:rPr>
        <w:t>：</w:t>
      </w:r>
      <w:r>
        <w:rPr>
          <w:rFonts w:hint="eastAsia" w:ascii="仿宋" w:hAnsi="仿宋" w:eastAsia="仿宋" w:cs="仿宋"/>
          <w:color w:val="auto"/>
          <w:sz w:val="21"/>
          <w:szCs w:val="21"/>
          <w:highlight w:val="none"/>
          <w:u w:val="single" w:color="auto"/>
        </w:rPr>
        <w:t xml:space="preserve">                       </w:t>
      </w:r>
    </w:p>
    <w:p w14:paraId="15A8B153">
      <w:pPr>
        <w:keepNext w:val="0"/>
        <w:keepLines w:val="0"/>
        <w:pageBreakBefore w:val="0"/>
        <w:widowControl w:val="0"/>
        <w:kinsoku/>
        <w:wordWrap/>
        <w:overflowPunct/>
        <w:topLinePunct w:val="0"/>
        <w:autoSpaceDE/>
        <w:autoSpaceDN/>
        <w:bidi w:val="0"/>
        <w:adjustRightInd/>
        <w:snapToGrid/>
        <w:spacing w:line="560" w:lineRule="exact"/>
        <w:ind w:left="0" w:right="0" w:firstLine="448"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统一社会信用代码：</w:t>
      </w:r>
      <w:r>
        <w:rPr>
          <w:rFonts w:hint="eastAsia" w:ascii="仿宋" w:hAnsi="仿宋" w:eastAsia="仿宋" w:cs="仿宋"/>
          <w:color w:val="auto"/>
          <w:sz w:val="21"/>
          <w:szCs w:val="21"/>
          <w:highlight w:val="none"/>
          <w:u w:val="single" w:color="auto"/>
        </w:rPr>
        <w:t xml:space="preserve">                        </w:t>
      </w:r>
    </w:p>
    <w:p w14:paraId="1DE096DA">
      <w:pPr>
        <w:keepNext w:val="0"/>
        <w:keepLines w:val="0"/>
        <w:pageBreakBefore w:val="0"/>
        <w:widowControl w:val="0"/>
        <w:kinsoku/>
        <w:wordWrap/>
        <w:overflowPunct/>
        <w:topLinePunct w:val="0"/>
        <w:autoSpaceDE/>
        <w:autoSpaceDN/>
        <w:bidi w:val="0"/>
        <w:adjustRightInd/>
        <w:snapToGrid/>
        <w:spacing w:line="560" w:lineRule="exact"/>
        <w:ind w:left="0" w:right="0" w:firstLine="444"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法定代表人/负责人：</w:t>
      </w:r>
      <w:r>
        <w:rPr>
          <w:rFonts w:hint="eastAsia" w:ascii="仿宋" w:hAnsi="仿宋" w:eastAsia="仿宋" w:cs="仿宋"/>
          <w:color w:val="auto"/>
          <w:sz w:val="21"/>
          <w:szCs w:val="21"/>
          <w:highlight w:val="none"/>
          <w:u w:val="single" w:color="auto"/>
        </w:rPr>
        <w:t xml:space="preserve">                       </w:t>
      </w:r>
    </w:p>
    <w:p w14:paraId="0298B927">
      <w:pPr>
        <w:keepNext w:val="0"/>
        <w:keepLines w:val="0"/>
        <w:pageBreakBefore w:val="0"/>
        <w:widowControl w:val="0"/>
        <w:kinsoku/>
        <w:wordWrap/>
        <w:overflowPunct/>
        <w:topLinePunct w:val="0"/>
        <w:autoSpaceDE/>
        <w:autoSpaceDN/>
        <w:bidi w:val="0"/>
        <w:adjustRightInd/>
        <w:snapToGrid/>
        <w:spacing w:line="560" w:lineRule="exact"/>
        <w:ind w:left="0" w:right="0" w:firstLine="45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联系电话：</w:t>
      </w:r>
      <w:r>
        <w:rPr>
          <w:rFonts w:hint="eastAsia" w:ascii="仿宋" w:hAnsi="仿宋" w:eastAsia="仿宋" w:cs="仿宋"/>
          <w:color w:val="auto"/>
          <w:sz w:val="21"/>
          <w:szCs w:val="21"/>
          <w:highlight w:val="none"/>
          <w:u w:val="single" w:color="auto"/>
        </w:rPr>
        <w:t xml:space="preserve">                                 </w:t>
      </w:r>
    </w:p>
    <w:p w14:paraId="34FE1B00">
      <w:pPr>
        <w:keepNext w:val="0"/>
        <w:keepLines w:val="0"/>
        <w:pageBreakBefore w:val="0"/>
        <w:widowControl w:val="0"/>
        <w:kinsoku/>
        <w:wordWrap/>
        <w:overflowPunct/>
        <w:topLinePunct w:val="0"/>
        <w:autoSpaceDE/>
        <w:autoSpaceDN/>
        <w:bidi w:val="0"/>
        <w:adjustRightInd/>
        <w:snapToGrid/>
        <w:spacing w:line="560" w:lineRule="exact"/>
        <w:ind w:left="0" w:right="0" w:firstLine="420" w:firstLineChars="200"/>
        <w:textAlignment w:val="auto"/>
        <w:rPr>
          <w:rFonts w:hint="eastAsia" w:ascii="仿宋" w:hAnsi="仿宋" w:eastAsia="仿宋" w:cs="仿宋"/>
          <w:color w:val="auto"/>
          <w:sz w:val="21"/>
          <w:szCs w:val="21"/>
          <w:highlight w:val="none"/>
        </w:rPr>
      </w:pPr>
    </w:p>
    <w:p w14:paraId="65BECF7C">
      <w:pPr>
        <w:keepNext w:val="0"/>
        <w:keepLines w:val="0"/>
        <w:pageBreakBefore w:val="0"/>
        <w:widowControl w:val="0"/>
        <w:kinsoku/>
        <w:wordWrap/>
        <w:overflowPunct/>
        <w:topLinePunct w:val="0"/>
        <w:autoSpaceDE/>
        <w:autoSpaceDN/>
        <w:bidi w:val="0"/>
        <w:adjustRightInd/>
        <w:snapToGrid/>
        <w:spacing w:line="560" w:lineRule="exact"/>
        <w:ind w:left="0" w:right="0" w:firstLine="44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根据《中华人民共和国民法典》《殡葬管理条例》及相关法律法规的规定，甲乙双方遵循平等互利、诚实信用的原则，就乙方向甲方提供遗体接运服务相关事宜，达成如下协议，以资共同</w:t>
      </w:r>
      <w:r>
        <w:rPr>
          <w:rFonts w:hint="eastAsia" w:ascii="仿宋" w:hAnsi="仿宋" w:eastAsia="仿宋" w:cs="仿宋"/>
          <w:color w:val="auto"/>
          <w:spacing w:val="3"/>
          <w:sz w:val="21"/>
          <w:szCs w:val="21"/>
          <w:highlight w:val="none"/>
        </w:rPr>
        <w:t>遵守。</w:t>
      </w:r>
    </w:p>
    <w:p w14:paraId="729F9A37">
      <w:pPr>
        <w:keepNext w:val="0"/>
        <w:keepLines w:val="0"/>
        <w:pageBreakBefore w:val="0"/>
        <w:widowControl w:val="0"/>
        <w:kinsoku/>
        <w:wordWrap/>
        <w:overflowPunct/>
        <w:topLinePunct w:val="0"/>
        <w:autoSpaceDE/>
        <w:autoSpaceDN/>
        <w:bidi w:val="0"/>
        <w:adjustRightInd/>
        <w:snapToGrid/>
        <w:spacing w:line="560" w:lineRule="exact"/>
        <w:ind w:left="0" w:right="0" w:firstLine="416"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第一章</w:t>
      </w:r>
      <w:r>
        <w:rPr>
          <w:rFonts w:hint="eastAsia" w:ascii="仿宋" w:hAnsi="仿宋" w:eastAsia="仿宋" w:cs="仿宋"/>
          <w:color w:val="auto"/>
          <w:spacing w:val="32"/>
          <w:sz w:val="21"/>
          <w:szCs w:val="21"/>
          <w:highlight w:val="none"/>
        </w:rPr>
        <w:t xml:space="preserve"> </w:t>
      </w:r>
      <w:r>
        <w:rPr>
          <w:rFonts w:hint="eastAsia" w:ascii="仿宋" w:hAnsi="仿宋" w:eastAsia="仿宋" w:cs="仿宋"/>
          <w:color w:val="auto"/>
          <w:spacing w:val="-1"/>
          <w:sz w:val="21"/>
          <w:szCs w:val="21"/>
          <w:highlight w:val="none"/>
        </w:rPr>
        <w:t>总</w:t>
      </w:r>
      <w:r>
        <w:rPr>
          <w:rFonts w:hint="eastAsia" w:ascii="仿宋" w:hAnsi="仿宋" w:eastAsia="仿宋" w:cs="仿宋"/>
          <w:color w:val="auto"/>
          <w:spacing w:val="11"/>
          <w:sz w:val="21"/>
          <w:szCs w:val="21"/>
          <w:highlight w:val="none"/>
        </w:rPr>
        <w:t xml:space="preserve">  </w:t>
      </w:r>
      <w:r>
        <w:rPr>
          <w:rFonts w:hint="eastAsia" w:ascii="仿宋" w:hAnsi="仿宋" w:eastAsia="仿宋" w:cs="仿宋"/>
          <w:color w:val="auto"/>
          <w:spacing w:val="-1"/>
          <w:sz w:val="21"/>
          <w:szCs w:val="21"/>
          <w:highlight w:val="none"/>
        </w:rPr>
        <w:t>则</w:t>
      </w:r>
    </w:p>
    <w:p w14:paraId="35F0DA59">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1.1  协议目的</w:t>
      </w:r>
    </w:p>
    <w:p w14:paraId="52B06300">
      <w:pPr>
        <w:keepNext w:val="0"/>
        <w:keepLines w:val="0"/>
        <w:pageBreakBefore w:val="0"/>
        <w:widowControl w:val="0"/>
        <w:kinsoku/>
        <w:wordWrap/>
        <w:overflowPunct/>
        <w:topLinePunct w:val="0"/>
        <w:autoSpaceDE/>
        <w:autoSpaceDN/>
        <w:bidi w:val="0"/>
        <w:adjustRightInd/>
        <w:snapToGrid/>
        <w:spacing w:line="560" w:lineRule="exact"/>
        <w:ind w:left="0" w:right="0" w:firstLine="444"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为规范遗体接运服务管理，保障服务质量与群众合法权益，</w:t>
      </w:r>
      <w:r>
        <w:rPr>
          <w:rFonts w:hint="eastAsia" w:ascii="仿宋" w:hAnsi="仿宋" w:eastAsia="仿宋" w:cs="仿宋"/>
          <w:color w:val="auto"/>
          <w:spacing w:val="3"/>
          <w:sz w:val="21"/>
          <w:szCs w:val="21"/>
          <w:highlight w:val="none"/>
        </w:rPr>
        <w:t>甲方委托乙方提供</w:t>
      </w:r>
      <w:r>
        <w:rPr>
          <w:rFonts w:hint="eastAsia" w:ascii="仿宋" w:hAnsi="仿宋" w:eastAsia="仿宋" w:cs="仿宋"/>
          <w:color w:val="auto"/>
          <w:spacing w:val="-142"/>
          <w:sz w:val="21"/>
          <w:szCs w:val="21"/>
          <w:highlight w:val="none"/>
        </w:rPr>
        <w:t xml:space="preserve"> </w:t>
      </w:r>
      <w:r>
        <w:rPr>
          <w:rFonts w:hint="eastAsia" w:ascii="仿宋" w:hAnsi="仿宋" w:eastAsia="仿宋" w:cs="仿宋"/>
          <w:color w:val="auto"/>
          <w:spacing w:val="5"/>
          <w:sz w:val="21"/>
          <w:szCs w:val="21"/>
          <w:highlight w:val="none"/>
          <w:u w:val="single" w:color="auto"/>
        </w:rPr>
        <w:t xml:space="preserve">    </w:t>
      </w:r>
      <w:r>
        <w:rPr>
          <w:rFonts w:hint="eastAsia" w:ascii="仿宋" w:hAnsi="仿宋" w:eastAsia="仿宋" w:cs="仿宋"/>
          <w:color w:val="auto"/>
          <w:spacing w:val="-98"/>
          <w:sz w:val="21"/>
          <w:szCs w:val="21"/>
          <w:highlight w:val="none"/>
        </w:rPr>
        <w:t xml:space="preserve"> </w:t>
      </w:r>
      <w:r>
        <w:rPr>
          <w:rFonts w:hint="eastAsia" w:ascii="仿宋" w:hAnsi="仿宋" w:eastAsia="仿宋" w:cs="仿宋"/>
          <w:color w:val="auto"/>
          <w:spacing w:val="3"/>
          <w:sz w:val="21"/>
          <w:szCs w:val="21"/>
          <w:highlight w:val="none"/>
        </w:rPr>
        <w:t>区行政区域内正常死亡遗体的接运服务，</w:t>
      </w:r>
      <w:r>
        <w:rPr>
          <w:rFonts w:hint="eastAsia" w:ascii="仿宋" w:hAnsi="仿宋" w:eastAsia="仿宋" w:cs="仿宋"/>
          <w:color w:val="auto"/>
          <w:spacing w:val="7"/>
          <w:sz w:val="21"/>
          <w:szCs w:val="21"/>
          <w:highlight w:val="none"/>
        </w:rPr>
        <w:t>乙方自愿接受委托并按本协议约定履行义务。</w:t>
      </w:r>
    </w:p>
    <w:p w14:paraId="4A33BDAE">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1.2  服务依据</w:t>
      </w:r>
    </w:p>
    <w:p w14:paraId="7BFCC74F">
      <w:pPr>
        <w:keepNext w:val="0"/>
        <w:keepLines w:val="0"/>
        <w:pageBreakBefore w:val="0"/>
        <w:widowControl w:val="0"/>
        <w:kinsoku/>
        <w:wordWrap/>
        <w:overflowPunct/>
        <w:topLinePunct w:val="0"/>
        <w:autoSpaceDE/>
        <w:autoSpaceDN/>
        <w:bidi w:val="0"/>
        <w:adjustRightInd/>
        <w:snapToGrid/>
        <w:spacing w:line="560" w:lineRule="exact"/>
        <w:ind w:left="0" w:right="0" w:firstLine="45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本协议的订立与履行，以国家及地方殡葬管理、交通运输、卫生防疫等相关法律法规及行业标准为依据。</w:t>
      </w:r>
    </w:p>
    <w:p w14:paraId="444B2D1C">
      <w:pPr>
        <w:keepNext w:val="0"/>
        <w:keepLines w:val="0"/>
        <w:pageBreakBefore w:val="0"/>
        <w:widowControl w:val="0"/>
        <w:kinsoku/>
        <w:wordWrap/>
        <w:overflowPunct/>
        <w:topLinePunct w:val="0"/>
        <w:autoSpaceDE/>
        <w:autoSpaceDN/>
        <w:bidi w:val="0"/>
        <w:adjustRightInd/>
        <w:snapToGrid/>
        <w:spacing w:line="560" w:lineRule="exact"/>
        <w:ind w:left="0" w:right="0" w:firstLine="448"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第二章 服务内容与范围</w:t>
      </w:r>
    </w:p>
    <w:p w14:paraId="3CDE3932">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42"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2.1  服务对象</w:t>
      </w:r>
    </w:p>
    <w:p w14:paraId="692008AA">
      <w:pPr>
        <w:keepNext w:val="0"/>
        <w:keepLines w:val="0"/>
        <w:pageBreakBefore w:val="0"/>
        <w:widowControl w:val="0"/>
        <w:tabs>
          <w:tab w:val="left" w:pos="1279"/>
        </w:tabs>
        <w:kinsoku/>
        <w:wordWrap/>
        <w:overflowPunct/>
        <w:topLinePunct w:val="0"/>
        <w:autoSpaceDE/>
        <w:autoSpaceDN/>
        <w:bidi w:val="0"/>
        <w:adjustRightInd/>
        <w:snapToGrid/>
        <w:spacing w:line="560" w:lineRule="exac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color="auto"/>
        </w:rPr>
        <w:tab/>
      </w:r>
      <w:r>
        <w:rPr>
          <w:rFonts w:hint="eastAsia" w:ascii="仿宋" w:hAnsi="仿宋" w:eastAsia="仿宋" w:cs="仿宋"/>
          <w:color w:val="auto"/>
          <w:spacing w:val="-99"/>
          <w:sz w:val="21"/>
          <w:szCs w:val="21"/>
          <w:highlight w:val="none"/>
        </w:rPr>
        <w:t xml:space="preserve"> </w:t>
      </w:r>
      <w:r>
        <w:rPr>
          <w:rFonts w:hint="eastAsia" w:ascii="仿宋" w:hAnsi="仿宋" w:eastAsia="仿宋" w:cs="仿宋"/>
          <w:color w:val="auto"/>
          <w:spacing w:val="3"/>
          <w:sz w:val="21"/>
          <w:szCs w:val="21"/>
          <w:highlight w:val="none"/>
        </w:rPr>
        <w:t>区行政区域内正常死亡遗体（含医疗机构死</w:t>
      </w:r>
      <w:r>
        <w:rPr>
          <w:rFonts w:hint="eastAsia" w:ascii="仿宋" w:hAnsi="仿宋" w:eastAsia="仿宋" w:cs="仿宋"/>
          <w:color w:val="auto"/>
          <w:spacing w:val="2"/>
          <w:sz w:val="21"/>
          <w:szCs w:val="21"/>
          <w:highlight w:val="none"/>
        </w:rPr>
        <w:t>亡、家中死</w:t>
      </w:r>
      <w:r>
        <w:rPr>
          <w:rFonts w:hint="eastAsia" w:ascii="仿宋" w:hAnsi="仿宋" w:eastAsia="仿宋" w:cs="仿宋"/>
          <w:color w:val="auto"/>
          <w:spacing w:val="-4"/>
          <w:sz w:val="21"/>
          <w:szCs w:val="21"/>
          <w:highlight w:val="none"/>
        </w:rPr>
        <w:t>亡等符合法定条件的遗体）。</w:t>
      </w:r>
    </w:p>
    <w:p w14:paraId="0DB8B1AD">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42"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2.2  服务区域</w:t>
      </w:r>
    </w:p>
    <w:p w14:paraId="39D6B84D">
      <w:pPr>
        <w:keepNext w:val="0"/>
        <w:keepLines w:val="0"/>
        <w:pageBreakBefore w:val="0"/>
        <w:widowControl w:val="0"/>
        <w:tabs>
          <w:tab w:val="left" w:pos="1279"/>
        </w:tabs>
        <w:kinsoku/>
        <w:wordWrap/>
        <w:overflowPunct/>
        <w:topLinePunct w:val="0"/>
        <w:autoSpaceDE/>
        <w:autoSpaceDN/>
        <w:bidi w:val="0"/>
        <w:adjustRightInd/>
        <w:snapToGrid/>
        <w:spacing w:line="560" w:lineRule="exac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color="auto"/>
        </w:rPr>
        <w:tab/>
      </w:r>
      <w:r>
        <w:rPr>
          <w:rFonts w:hint="eastAsia" w:ascii="仿宋" w:hAnsi="仿宋" w:eastAsia="仿宋" w:cs="仿宋"/>
          <w:color w:val="auto"/>
          <w:spacing w:val="-96"/>
          <w:sz w:val="21"/>
          <w:szCs w:val="21"/>
          <w:highlight w:val="none"/>
        </w:rPr>
        <w:t xml:space="preserve"> </w:t>
      </w:r>
      <w:r>
        <w:rPr>
          <w:rFonts w:hint="eastAsia" w:ascii="仿宋" w:hAnsi="仿宋" w:eastAsia="仿宋" w:cs="仿宋"/>
          <w:color w:val="auto"/>
          <w:spacing w:val="7"/>
          <w:sz w:val="21"/>
          <w:szCs w:val="21"/>
          <w:highlight w:val="none"/>
        </w:rPr>
        <w:t>区行政区域全域，具体服务范围以甲方调度指令为准。</w:t>
      </w:r>
    </w:p>
    <w:p w14:paraId="6E18A25C">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42"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2.3  服务内容</w:t>
      </w:r>
    </w:p>
    <w:p w14:paraId="01BB7258">
      <w:pPr>
        <w:keepNext w:val="0"/>
        <w:keepLines w:val="0"/>
        <w:pageBreakBefore w:val="0"/>
        <w:widowControl w:val="0"/>
        <w:kinsoku/>
        <w:wordWrap/>
        <w:overflowPunct/>
        <w:topLinePunct w:val="0"/>
        <w:autoSpaceDE/>
        <w:autoSpaceDN/>
        <w:bidi w:val="0"/>
        <w:adjustRightInd/>
        <w:snapToGrid/>
        <w:spacing w:line="560" w:lineRule="exact"/>
        <w:ind w:left="0" w:right="0" w:firstLine="43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rPr>
        <w:t>乙方根据甲方调度指令，提供遗体从指定地点（如医院、家</w:t>
      </w:r>
      <w:r>
        <w:rPr>
          <w:rFonts w:hint="eastAsia" w:ascii="仿宋" w:hAnsi="仿宋" w:eastAsia="仿宋" w:cs="仿宋"/>
          <w:color w:val="auto"/>
          <w:spacing w:val="-1"/>
          <w:sz w:val="21"/>
          <w:szCs w:val="21"/>
          <w:highlight w:val="none"/>
        </w:rPr>
        <w:t>中等）至区殡仪馆的专业接运服务，包括遗体交接</w:t>
      </w:r>
      <w:r>
        <w:rPr>
          <w:rFonts w:hint="eastAsia" w:ascii="仿宋" w:hAnsi="仿宋" w:eastAsia="仿宋" w:cs="仿宋"/>
          <w:color w:val="auto"/>
          <w:spacing w:val="-2"/>
          <w:sz w:val="21"/>
          <w:szCs w:val="21"/>
          <w:highlight w:val="none"/>
        </w:rPr>
        <w:t>、运输、防护、</w:t>
      </w:r>
      <w:r>
        <w:rPr>
          <w:rFonts w:hint="eastAsia" w:ascii="仿宋" w:hAnsi="仿宋" w:eastAsia="仿宋" w:cs="仿宋"/>
          <w:color w:val="auto"/>
          <w:spacing w:val="7"/>
          <w:sz w:val="21"/>
          <w:szCs w:val="21"/>
          <w:highlight w:val="none"/>
        </w:rPr>
        <w:t>信息记录等全流程服务。</w:t>
      </w:r>
    </w:p>
    <w:p w14:paraId="24400EC5">
      <w:pPr>
        <w:keepNext w:val="0"/>
        <w:keepLines w:val="0"/>
        <w:pageBreakBefore w:val="0"/>
        <w:widowControl w:val="0"/>
        <w:kinsoku/>
        <w:wordWrap/>
        <w:overflowPunct/>
        <w:topLinePunct w:val="0"/>
        <w:autoSpaceDE/>
        <w:autoSpaceDN/>
        <w:bidi w:val="0"/>
        <w:adjustRightInd/>
        <w:snapToGrid/>
        <w:spacing w:line="560" w:lineRule="exact"/>
        <w:ind w:left="0" w:right="0" w:firstLine="45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第三章 技术标准与服务规范</w:t>
      </w:r>
    </w:p>
    <w:p w14:paraId="6EEC6EC2">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4"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rPr>
        <w:t>3.1</w:t>
      </w:r>
      <w:r>
        <w:rPr>
          <w:rFonts w:hint="eastAsia" w:ascii="仿宋" w:hAnsi="仿宋" w:eastAsia="仿宋" w:cs="仿宋"/>
          <w:color w:val="auto"/>
          <w:spacing w:val="17"/>
          <w:sz w:val="21"/>
          <w:szCs w:val="21"/>
          <w:highlight w:val="none"/>
        </w:rPr>
        <w:t xml:space="preserve">  </w:t>
      </w:r>
      <w:r>
        <w:rPr>
          <w:rFonts w:hint="eastAsia" w:ascii="仿宋" w:hAnsi="仿宋" w:eastAsia="仿宋" w:cs="仿宋"/>
          <w:color w:val="auto"/>
          <w:spacing w:val="3"/>
          <w:sz w:val="21"/>
          <w:szCs w:val="21"/>
          <w:highlight w:val="none"/>
        </w:rPr>
        <w:t>车辆配置要求</w:t>
      </w:r>
    </w:p>
    <w:p w14:paraId="72EFBC60">
      <w:pPr>
        <w:keepNext w:val="0"/>
        <w:keepLines w:val="0"/>
        <w:pageBreakBefore w:val="0"/>
        <w:widowControl w:val="0"/>
        <w:kinsoku/>
        <w:wordWrap/>
        <w:overflowPunct/>
        <w:topLinePunct w:val="0"/>
        <w:autoSpaceDE/>
        <w:autoSpaceDN/>
        <w:bidi w:val="0"/>
        <w:adjustRightInd/>
        <w:snapToGrid/>
        <w:spacing w:line="560" w:lineRule="exact"/>
        <w:ind w:left="0" w:right="0" w:firstLine="5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5"/>
          <w:sz w:val="21"/>
          <w:szCs w:val="21"/>
          <w:highlight w:val="none"/>
        </w:rPr>
        <w:t>3.1.1  接运车辆须符合《殡仪车通用技术规范》（</w:t>
      </w:r>
      <w:r>
        <w:rPr>
          <w:rFonts w:hint="eastAsia" w:ascii="仿宋" w:hAnsi="仿宋" w:eastAsia="仿宋" w:cs="仿宋"/>
          <w:color w:val="auto"/>
          <w:spacing w:val="-67"/>
          <w:sz w:val="21"/>
          <w:szCs w:val="21"/>
          <w:highlight w:val="none"/>
        </w:rPr>
        <w:t xml:space="preserve"> </w:t>
      </w:r>
      <w:r>
        <w:rPr>
          <w:rFonts w:hint="eastAsia" w:ascii="仿宋" w:hAnsi="仿宋" w:eastAsia="仿宋" w:cs="仿宋"/>
          <w:color w:val="auto"/>
          <w:sz w:val="21"/>
          <w:szCs w:val="21"/>
          <w:highlight w:val="none"/>
        </w:rPr>
        <w:t>MZ</w:t>
      </w:r>
      <w:r>
        <w:rPr>
          <w:rFonts w:hint="eastAsia" w:ascii="仿宋" w:hAnsi="仿宋" w:eastAsia="仿宋" w:cs="仿宋"/>
          <w:color w:val="auto"/>
          <w:spacing w:val="25"/>
          <w:sz w:val="21"/>
          <w:szCs w:val="21"/>
          <w:highlight w:val="none"/>
        </w:rPr>
        <w:t>/T</w:t>
      </w:r>
      <w:r>
        <w:rPr>
          <w:rFonts w:hint="eastAsia" w:ascii="仿宋" w:hAnsi="仿宋" w:eastAsia="仿宋" w:cs="仿宋"/>
          <w:color w:val="auto"/>
          <w:sz w:val="21"/>
          <w:szCs w:val="21"/>
          <w:highlight w:val="none"/>
        </w:rPr>
        <w:t xml:space="preserve"> </w:t>
      </w:r>
      <w:r>
        <w:rPr>
          <w:rFonts w:hint="eastAsia" w:ascii="仿宋" w:hAnsi="仿宋" w:eastAsia="仿宋" w:cs="仿宋"/>
          <w:color w:val="auto"/>
          <w:spacing w:val="5"/>
          <w:sz w:val="21"/>
          <w:szCs w:val="21"/>
          <w:highlight w:val="none"/>
        </w:rPr>
        <w:t>227-2024</w:t>
      </w:r>
      <w:r>
        <w:rPr>
          <w:rFonts w:hint="eastAsia" w:ascii="仿宋" w:hAnsi="仿宋" w:eastAsia="仿宋" w:cs="仿宋"/>
          <w:color w:val="auto"/>
          <w:spacing w:val="-28"/>
          <w:sz w:val="21"/>
          <w:szCs w:val="21"/>
          <w:highlight w:val="none"/>
        </w:rPr>
        <w:t xml:space="preserve"> </w:t>
      </w:r>
      <w:r>
        <w:rPr>
          <w:rFonts w:hint="eastAsia" w:ascii="仿宋" w:hAnsi="仿宋" w:eastAsia="仿宋" w:cs="仿宋"/>
          <w:color w:val="auto"/>
          <w:spacing w:val="5"/>
          <w:sz w:val="21"/>
          <w:szCs w:val="21"/>
          <w:highlight w:val="none"/>
        </w:rPr>
        <w:t>）及卫生防疫标准，配备合格消防器材、遗体封存装置</w:t>
      </w:r>
      <w:r>
        <w:rPr>
          <w:rFonts w:hint="eastAsia" w:ascii="仿宋" w:hAnsi="仿宋" w:eastAsia="仿宋" w:cs="仿宋"/>
          <w:color w:val="auto"/>
          <w:spacing w:val="6"/>
          <w:sz w:val="21"/>
          <w:szCs w:val="21"/>
          <w:highlight w:val="none"/>
        </w:rPr>
        <w:t>及防护装备。</w:t>
      </w:r>
    </w:p>
    <w:p w14:paraId="74C8C620">
      <w:pPr>
        <w:keepNext w:val="0"/>
        <w:keepLines w:val="0"/>
        <w:pageBreakBefore w:val="0"/>
        <w:widowControl w:val="0"/>
        <w:kinsoku/>
        <w:wordWrap/>
        <w:overflowPunct/>
        <w:topLinePunct w:val="0"/>
        <w:autoSpaceDE/>
        <w:autoSpaceDN/>
        <w:bidi w:val="0"/>
        <w:adjustRightInd/>
        <w:snapToGrid/>
        <w:spacing w:line="560" w:lineRule="exact"/>
        <w:ind w:left="0" w:right="0" w:firstLine="444"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3.1.2  车辆应安装北斗/</w:t>
      </w:r>
      <w:r>
        <w:rPr>
          <w:rFonts w:hint="eastAsia" w:ascii="仿宋" w:hAnsi="仿宋" w:eastAsia="仿宋" w:cs="仿宋"/>
          <w:color w:val="auto"/>
          <w:sz w:val="21"/>
          <w:szCs w:val="21"/>
          <w:highlight w:val="none"/>
        </w:rPr>
        <w:t>GPS</w:t>
      </w:r>
      <w:r>
        <w:rPr>
          <w:rFonts w:hint="eastAsia" w:ascii="仿宋" w:hAnsi="仿宋" w:eastAsia="仿宋" w:cs="仿宋"/>
          <w:color w:val="auto"/>
          <w:spacing w:val="6"/>
          <w:sz w:val="21"/>
          <w:szCs w:val="21"/>
          <w:highlight w:val="none"/>
        </w:rPr>
        <w:t xml:space="preserve"> 双模定位终端和视频监控设备，</w:t>
      </w:r>
      <w:r>
        <w:rPr>
          <w:rFonts w:hint="eastAsia" w:ascii="仿宋" w:hAnsi="仿宋" w:eastAsia="仿宋" w:cs="仿宋"/>
          <w:color w:val="auto"/>
          <w:spacing w:val="12"/>
          <w:sz w:val="21"/>
          <w:szCs w:val="21"/>
          <w:highlight w:val="none"/>
        </w:rPr>
        <w:t>确保24小时在线并稳定接入南京市殡葬服务监管平台，设备故</w:t>
      </w:r>
      <w:r>
        <w:rPr>
          <w:rFonts w:hint="eastAsia" w:ascii="仿宋" w:hAnsi="仿宋" w:eastAsia="仿宋" w:cs="仿宋"/>
          <w:color w:val="auto"/>
          <w:spacing w:val="11"/>
          <w:sz w:val="21"/>
          <w:szCs w:val="21"/>
          <w:highlight w:val="none"/>
        </w:rPr>
        <w:t>障须在2小时内报修并恢复正常。</w:t>
      </w:r>
    </w:p>
    <w:p w14:paraId="40657DA1">
      <w:pPr>
        <w:keepNext w:val="0"/>
        <w:keepLines w:val="0"/>
        <w:pageBreakBefore w:val="0"/>
        <w:widowControl w:val="0"/>
        <w:tabs>
          <w:tab w:val="center" w:pos="4153"/>
        </w:tabs>
        <w:kinsoku/>
        <w:wordWrap/>
        <w:overflowPunct/>
        <w:topLinePunct w:val="0"/>
        <w:autoSpaceDE/>
        <w:autoSpaceDN/>
        <w:bidi w:val="0"/>
        <w:adjustRightInd/>
        <w:snapToGrid/>
        <w:spacing w:line="560" w:lineRule="exact"/>
        <w:ind w:left="0" w:right="0" w:firstLine="448" w:firstLineChars="200"/>
        <w:jc w:val="left"/>
        <w:textAlignment w:val="auto"/>
        <w:rPr>
          <w:rFonts w:hint="eastAsia" w:ascii="仿宋" w:hAnsi="仿宋" w:eastAsia="仿宋" w:cs="仿宋"/>
          <w:color w:val="auto"/>
          <w:spacing w:val="7"/>
          <w:position w:val="2"/>
          <w:sz w:val="21"/>
          <w:szCs w:val="21"/>
          <w:highlight w:val="none"/>
        </w:rPr>
      </w:pPr>
      <w:r>
        <w:rPr>
          <w:rFonts w:hint="eastAsia" w:ascii="仿宋" w:hAnsi="仿宋" w:eastAsia="仿宋" w:cs="仿宋"/>
          <w:color w:val="auto"/>
          <w:spacing w:val="7"/>
          <w:position w:val="2"/>
          <w:sz w:val="21"/>
          <w:szCs w:val="21"/>
          <w:highlight w:val="none"/>
        </w:rPr>
        <w:t>3.1.3  车身按规定统一喷涂，保持标识清晰完整。</w:t>
      </w:r>
    </w:p>
    <w:p w14:paraId="64D1EE6E">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42"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3.2  人员资质要求</w:t>
      </w:r>
    </w:p>
    <w:p w14:paraId="5F2A7D42">
      <w:pPr>
        <w:keepNext w:val="0"/>
        <w:keepLines w:val="0"/>
        <w:pageBreakBefore w:val="0"/>
        <w:widowControl w:val="0"/>
        <w:kinsoku/>
        <w:wordWrap/>
        <w:overflowPunct/>
        <w:topLinePunct w:val="0"/>
        <w:autoSpaceDE/>
        <w:autoSpaceDN/>
        <w:bidi w:val="0"/>
        <w:adjustRightInd/>
        <w:snapToGrid/>
        <w:spacing w:line="560" w:lineRule="exact"/>
        <w:ind w:left="0" w:right="0" w:firstLine="456"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9"/>
          <w:sz w:val="21"/>
          <w:szCs w:val="21"/>
          <w:highlight w:val="none"/>
        </w:rPr>
        <w:t>3.2.1  驾驶员须身体健康，无影响驾驶安全的重大疾病，年</w:t>
      </w:r>
      <w:r>
        <w:rPr>
          <w:rFonts w:hint="eastAsia" w:ascii="仿宋" w:hAnsi="仿宋" w:eastAsia="仿宋" w:cs="仿宋"/>
          <w:color w:val="auto"/>
          <w:spacing w:val="7"/>
          <w:sz w:val="21"/>
          <w:szCs w:val="21"/>
          <w:highlight w:val="none"/>
        </w:rPr>
        <w:t>龄符合公安部门机动车驾驶员规定，持有相应准驾车型驾驶证</w:t>
      </w:r>
      <w:r>
        <w:rPr>
          <w:rFonts w:hint="eastAsia" w:ascii="仿宋" w:hAnsi="仿宋" w:eastAsia="仿宋" w:cs="仿宋"/>
          <w:color w:val="auto"/>
          <w:spacing w:val="-45"/>
          <w:sz w:val="21"/>
          <w:szCs w:val="21"/>
          <w:highlight w:val="none"/>
        </w:rPr>
        <w:t xml:space="preserve"> </w:t>
      </w:r>
      <w:r>
        <w:rPr>
          <w:rFonts w:hint="eastAsia" w:ascii="仿宋" w:hAnsi="仿宋" w:eastAsia="仿宋" w:cs="仿宋"/>
          <w:color w:val="auto"/>
          <w:spacing w:val="7"/>
          <w:sz w:val="21"/>
          <w:szCs w:val="21"/>
          <w:highlight w:val="none"/>
        </w:rPr>
        <w:t>3</w:t>
      </w:r>
      <w:r>
        <w:rPr>
          <w:rFonts w:hint="eastAsia" w:ascii="仿宋" w:hAnsi="仿宋" w:eastAsia="仿宋" w:cs="仿宋"/>
          <w:color w:val="auto"/>
          <w:spacing w:val="6"/>
          <w:sz w:val="21"/>
          <w:szCs w:val="21"/>
          <w:highlight w:val="none"/>
        </w:rPr>
        <w:t>年（含）以上。</w:t>
      </w:r>
    </w:p>
    <w:p w14:paraId="7E75521B">
      <w:pPr>
        <w:keepNext w:val="0"/>
        <w:keepLines w:val="0"/>
        <w:pageBreakBefore w:val="0"/>
        <w:widowControl w:val="0"/>
        <w:kinsoku/>
        <w:wordWrap/>
        <w:overflowPunct/>
        <w:topLinePunct w:val="0"/>
        <w:autoSpaceDE/>
        <w:autoSpaceDN/>
        <w:bidi w:val="0"/>
        <w:adjustRightInd/>
        <w:snapToGrid/>
        <w:spacing w:line="560" w:lineRule="exact"/>
        <w:ind w:left="0" w:right="0" w:firstLine="444"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3.2.2  驾驶员近</w:t>
      </w:r>
      <w:r>
        <w:rPr>
          <w:rFonts w:hint="eastAsia" w:ascii="仿宋" w:hAnsi="仿宋" w:eastAsia="仿宋" w:cs="仿宋"/>
          <w:color w:val="auto"/>
          <w:spacing w:val="-54"/>
          <w:sz w:val="21"/>
          <w:szCs w:val="21"/>
          <w:highlight w:val="none"/>
        </w:rPr>
        <w:t xml:space="preserve"> </w:t>
      </w:r>
      <w:r>
        <w:rPr>
          <w:rFonts w:hint="eastAsia" w:ascii="仿宋" w:hAnsi="仿宋" w:eastAsia="仿宋" w:cs="仿宋"/>
          <w:color w:val="auto"/>
          <w:spacing w:val="6"/>
          <w:sz w:val="21"/>
          <w:szCs w:val="21"/>
          <w:highlight w:val="none"/>
        </w:rPr>
        <w:t>3 年（含）</w:t>
      </w:r>
      <w:r>
        <w:rPr>
          <w:rFonts w:hint="eastAsia" w:ascii="仿宋" w:hAnsi="仿宋" w:eastAsia="仿宋" w:cs="仿宋"/>
          <w:color w:val="auto"/>
          <w:spacing w:val="-81"/>
          <w:sz w:val="21"/>
          <w:szCs w:val="21"/>
          <w:highlight w:val="none"/>
        </w:rPr>
        <w:t xml:space="preserve"> </w:t>
      </w:r>
      <w:r>
        <w:rPr>
          <w:rFonts w:hint="eastAsia" w:ascii="仿宋" w:hAnsi="仿宋" w:eastAsia="仿宋" w:cs="仿宋"/>
          <w:color w:val="auto"/>
          <w:spacing w:val="6"/>
          <w:sz w:val="21"/>
          <w:szCs w:val="21"/>
          <w:highlight w:val="none"/>
        </w:rPr>
        <w:t>内无较大以上交通责任事故，经甲方组织的殡葬服务规范培训合格后上岗。</w:t>
      </w:r>
    </w:p>
    <w:p w14:paraId="6D3392EA">
      <w:pPr>
        <w:keepNext w:val="0"/>
        <w:keepLines w:val="0"/>
        <w:pageBreakBefore w:val="0"/>
        <w:widowControl w:val="0"/>
        <w:kinsoku/>
        <w:wordWrap/>
        <w:overflowPunct/>
        <w:topLinePunct w:val="0"/>
        <w:autoSpaceDE/>
        <w:autoSpaceDN/>
        <w:bidi w:val="0"/>
        <w:adjustRightInd/>
        <w:snapToGrid/>
        <w:spacing w:line="560" w:lineRule="exact"/>
        <w:ind w:left="0" w:right="0" w:firstLine="456"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9"/>
          <w:sz w:val="21"/>
          <w:szCs w:val="21"/>
          <w:highlight w:val="none"/>
        </w:rPr>
        <w:t>3.2.3  服务人员应掌握遗体防护、卫生防疫、基本急救等知</w:t>
      </w:r>
      <w:r>
        <w:rPr>
          <w:rFonts w:hint="eastAsia" w:ascii="仿宋" w:hAnsi="仿宋" w:eastAsia="仿宋" w:cs="仿宋"/>
          <w:color w:val="auto"/>
          <w:spacing w:val="8"/>
          <w:sz w:val="21"/>
          <w:szCs w:val="21"/>
          <w:highlight w:val="none"/>
        </w:rPr>
        <w:t>识，熟悉殡葬服务相关法规及群众习俗。</w:t>
      </w:r>
    </w:p>
    <w:p w14:paraId="4D0CCAB4">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42"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3.3  服务流程规范</w:t>
      </w:r>
    </w:p>
    <w:p w14:paraId="2DA89DF4">
      <w:pPr>
        <w:keepNext w:val="0"/>
        <w:keepLines w:val="0"/>
        <w:pageBreakBefore w:val="0"/>
        <w:widowControl w:val="0"/>
        <w:kinsoku/>
        <w:wordWrap/>
        <w:overflowPunct/>
        <w:topLinePunct w:val="0"/>
        <w:autoSpaceDE/>
        <w:autoSpaceDN/>
        <w:bidi w:val="0"/>
        <w:adjustRightInd/>
        <w:snapToGrid/>
        <w:spacing w:line="560" w:lineRule="exact"/>
        <w:ind w:left="0" w:right="0" w:firstLine="444"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3.3.1  遗体交接严格执行“三核两验”制度：核对《死亡证明》</w:t>
      </w:r>
      <w:r>
        <w:rPr>
          <w:rFonts w:hint="eastAsia" w:ascii="仿宋" w:hAnsi="仿宋" w:eastAsia="仿宋" w:cs="仿宋"/>
          <w:color w:val="auto"/>
          <w:sz w:val="21"/>
          <w:szCs w:val="21"/>
          <w:highlight w:val="none"/>
        </w:rPr>
        <w:t xml:space="preserve"> </w:t>
      </w:r>
      <w:r>
        <w:rPr>
          <w:rFonts w:hint="eastAsia" w:ascii="仿宋" w:hAnsi="仿宋" w:eastAsia="仿宋" w:cs="仿宋"/>
          <w:color w:val="auto"/>
          <w:spacing w:val="-2"/>
          <w:sz w:val="21"/>
          <w:szCs w:val="21"/>
          <w:highlight w:val="none"/>
        </w:rPr>
        <w:t>《遗体接运单》及逝者身份信息；查验服务人员防护装备（</w:t>
      </w:r>
      <w:r>
        <w:rPr>
          <w:rFonts w:hint="eastAsia" w:ascii="仿宋" w:hAnsi="仿宋" w:eastAsia="仿宋" w:cs="仿宋"/>
          <w:color w:val="auto"/>
          <w:spacing w:val="-41"/>
          <w:sz w:val="21"/>
          <w:szCs w:val="21"/>
          <w:highlight w:val="none"/>
        </w:rPr>
        <w:t xml:space="preserve"> </w:t>
      </w:r>
      <w:r>
        <w:rPr>
          <w:rFonts w:hint="eastAsia" w:ascii="仿宋" w:hAnsi="仿宋" w:eastAsia="仿宋" w:cs="仿宋"/>
          <w:color w:val="auto"/>
          <w:spacing w:val="-2"/>
          <w:sz w:val="21"/>
          <w:szCs w:val="21"/>
          <w:highlight w:val="none"/>
        </w:rPr>
        <w:t>口罩、</w:t>
      </w:r>
      <w:r>
        <w:rPr>
          <w:rFonts w:hint="eastAsia" w:ascii="仿宋" w:hAnsi="仿宋" w:eastAsia="仿宋" w:cs="仿宋"/>
          <w:color w:val="auto"/>
          <w:spacing w:val="8"/>
          <w:sz w:val="21"/>
          <w:szCs w:val="21"/>
          <w:highlight w:val="none"/>
        </w:rPr>
        <w:t>手套、防护服等）及遗体封存装置（</w:t>
      </w:r>
      <w:r>
        <w:rPr>
          <w:rFonts w:hint="eastAsia" w:ascii="仿宋" w:hAnsi="仿宋" w:eastAsia="仿宋" w:cs="仿宋"/>
          <w:color w:val="auto"/>
          <w:spacing w:val="-72"/>
          <w:sz w:val="21"/>
          <w:szCs w:val="21"/>
          <w:highlight w:val="none"/>
        </w:rPr>
        <w:t xml:space="preserve"> </w:t>
      </w:r>
      <w:r>
        <w:rPr>
          <w:rFonts w:hint="eastAsia" w:ascii="仿宋" w:hAnsi="仿宋" w:eastAsia="仿宋" w:cs="仿宋"/>
          <w:color w:val="auto"/>
          <w:spacing w:val="8"/>
          <w:sz w:val="21"/>
          <w:szCs w:val="21"/>
          <w:highlight w:val="none"/>
        </w:rPr>
        <w:t>密封袋等</w:t>
      </w:r>
      <w:r>
        <w:rPr>
          <w:rFonts w:hint="eastAsia" w:ascii="仿宋" w:hAnsi="仿宋" w:eastAsia="仿宋" w:cs="仿宋"/>
          <w:color w:val="auto"/>
          <w:spacing w:val="-61"/>
          <w:sz w:val="21"/>
          <w:szCs w:val="21"/>
          <w:highlight w:val="none"/>
        </w:rPr>
        <w:t>），</w:t>
      </w:r>
      <w:r>
        <w:rPr>
          <w:rFonts w:hint="eastAsia" w:ascii="仿宋" w:hAnsi="仿宋" w:eastAsia="仿宋" w:cs="仿宋"/>
          <w:color w:val="auto"/>
          <w:spacing w:val="8"/>
          <w:sz w:val="21"/>
          <w:szCs w:val="21"/>
          <w:highlight w:val="none"/>
        </w:rPr>
        <w:t>确</w:t>
      </w:r>
      <w:r>
        <w:rPr>
          <w:rFonts w:hint="eastAsia" w:ascii="仿宋" w:hAnsi="仿宋" w:eastAsia="仿宋" w:cs="仿宋"/>
          <w:color w:val="auto"/>
          <w:spacing w:val="7"/>
          <w:sz w:val="21"/>
          <w:szCs w:val="21"/>
          <w:highlight w:val="none"/>
        </w:rPr>
        <w:t>保“人、证、</w:t>
      </w:r>
      <w:r>
        <w:rPr>
          <w:rFonts w:hint="eastAsia" w:ascii="仿宋" w:hAnsi="仿宋" w:eastAsia="仿宋" w:cs="仿宋"/>
          <w:color w:val="auto"/>
          <w:spacing w:val="4"/>
          <w:sz w:val="21"/>
          <w:szCs w:val="21"/>
          <w:highlight w:val="none"/>
        </w:rPr>
        <w:t>单”</w:t>
      </w:r>
      <w:r>
        <w:rPr>
          <w:rFonts w:hint="eastAsia" w:ascii="仿宋" w:hAnsi="仿宋" w:eastAsia="仿宋" w:cs="仿宋"/>
          <w:color w:val="auto"/>
          <w:spacing w:val="-44"/>
          <w:sz w:val="21"/>
          <w:szCs w:val="21"/>
          <w:highlight w:val="none"/>
        </w:rPr>
        <w:t xml:space="preserve"> </w:t>
      </w:r>
      <w:r>
        <w:rPr>
          <w:rFonts w:hint="eastAsia" w:ascii="仿宋" w:hAnsi="仿宋" w:eastAsia="仿宋" w:cs="仿宋"/>
          <w:color w:val="auto"/>
          <w:spacing w:val="4"/>
          <w:sz w:val="21"/>
          <w:szCs w:val="21"/>
          <w:highlight w:val="none"/>
        </w:rPr>
        <w:t>一致。</w:t>
      </w:r>
    </w:p>
    <w:p w14:paraId="2DA1E464">
      <w:pPr>
        <w:keepNext w:val="0"/>
        <w:keepLines w:val="0"/>
        <w:pageBreakBefore w:val="0"/>
        <w:widowControl w:val="0"/>
        <w:kinsoku/>
        <w:wordWrap/>
        <w:overflowPunct/>
        <w:topLinePunct w:val="0"/>
        <w:autoSpaceDE/>
        <w:autoSpaceDN/>
        <w:bidi w:val="0"/>
        <w:adjustRightInd/>
        <w:snapToGrid/>
        <w:spacing w:line="560" w:lineRule="exact"/>
        <w:ind w:left="0" w:right="0" w:firstLine="456"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9"/>
          <w:sz w:val="21"/>
          <w:szCs w:val="21"/>
          <w:highlight w:val="none"/>
        </w:rPr>
        <w:t>3.3.2  服务过程中应着装整洁、用语文明，尊重逝者及家属</w:t>
      </w:r>
      <w:r>
        <w:rPr>
          <w:rFonts w:hint="eastAsia" w:ascii="仿宋" w:hAnsi="仿宋" w:eastAsia="仿宋" w:cs="仿宋"/>
          <w:color w:val="auto"/>
          <w:spacing w:val="6"/>
          <w:sz w:val="21"/>
          <w:szCs w:val="21"/>
          <w:highlight w:val="none"/>
        </w:rPr>
        <w:t>习俗，严禁泄露逝者隐私及服务信息。</w:t>
      </w:r>
    </w:p>
    <w:p w14:paraId="31B89984">
      <w:pPr>
        <w:keepNext w:val="0"/>
        <w:keepLines w:val="0"/>
        <w:pageBreakBefore w:val="0"/>
        <w:widowControl w:val="0"/>
        <w:kinsoku/>
        <w:wordWrap/>
        <w:overflowPunct/>
        <w:topLinePunct w:val="0"/>
        <w:autoSpaceDE/>
        <w:autoSpaceDN/>
        <w:bidi w:val="0"/>
        <w:adjustRightInd/>
        <w:snapToGrid/>
        <w:spacing w:line="560" w:lineRule="exact"/>
        <w:ind w:left="0" w:right="0" w:firstLine="416"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3.3.3  接运完成后，按规定填写《遗体接运服务记录单》，由</w:t>
      </w:r>
      <w:r>
        <w:rPr>
          <w:rFonts w:hint="eastAsia" w:ascii="仿宋" w:hAnsi="仿宋" w:eastAsia="仿宋" w:cs="仿宋"/>
          <w:color w:val="auto"/>
          <w:spacing w:val="8"/>
          <w:sz w:val="21"/>
          <w:szCs w:val="21"/>
          <w:highlight w:val="none"/>
        </w:rPr>
        <w:t>家属签字确认，并实时上传至市殡葬服务监管平台。</w:t>
      </w:r>
    </w:p>
    <w:p w14:paraId="0448AFCE">
      <w:pPr>
        <w:keepNext w:val="0"/>
        <w:keepLines w:val="0"/>
        <w:pageBreakBefore w:val="0"/>
        <w:widowControl w:val="0"/>
        <w:kinsoku/>
        <w:wordWrap/>
        <w:overflowPunct/>
        <w:topLinePunct w:val="0"/>
        <w:autoSpaceDE/>
        <w:autoSpaceDN/>
        <w:bidi w:val="0"/>
        <w:adjustRightInd/>
        <w:snapToGrid/>
        <w:spacing w:line="560" w:lineRule="exact"/>
        <w:ind w:left="0" w:right="0" w:firstLine="448"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第四章 双方权利与义务</w:t>
      </w:r>
    </w:p>
    <w:p w14:paraId="2D3C1092">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4.1</w:t>
      </w:r>
      <w:r>
        <w:rPr>
          <w:rFonts w:hint="eastAsia" w:ascii="仿宋" w:hAnsi="仿宋" w:eastAsia="仿宋" w:cs="仿宋"/>
          <w:color w:val="auto"/>
          <w:spacing w:val="29"/>
          <w:w w:val="101"/>
          <w:sz w:val="21"/>
          <w:szCs w:val="21"/>
          <w:highlight w:val="none"/>
        </w:rPr>
        <w:t xml:space="preserve">  </w:t>
      </w:r>
      <w:r>
        <w:rPr>
          <w:rFonts w:hint="eastAsia" w:ascii="仿宋" w:hAnsi="仿宋" w:eastAsia="仿宋" w:cs="仿宋"/>
          <w:color w:val="auto"/>
          <w:spacing w:val="2"/>
          <w:sz w:val="21"/>
          <w:szCs w:val="21"/>
          <w:highlight w:val="none"/>
        </w:rPr>
        <w:t>甲方权利与义务</w:t>
      </w:r>
    </w:p>
    <w:p w14:paraId="405567A3">
      <w:pPr>
        <w:keepNext w:val="0"/>
        <w:keepLines w:val="0"/>
        <w:pageBreakBefore w:val="0"/>
        <w:widowControl w:val="0"/>
        <w:kinsoku/>
        <w:wordWrap/>
        <w:overflowPunct/>
        <w:topLinePunct w:val="0"/>
        <w:autoSpaceDE/>
        <w:autoSpaceDN/>
        <w:bidi w:val="0"/>
        <w:adjustRightInd/>
        <w:snapToGrid/>
        <w:spacing w:line="560" w:lineRule="exact"/>
        <w:ind w:left="0" w:right="0" w:firstLine="45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4.1.1  调度与监督权：负责向乙方下达</w:t>
      </w:r>
      <w:r>
        <w:rPr>
          <w:rFonts w:hint="eastAsia" w:ascii="仿宋" w:hAnsi="仿宋" w:eastAsia="仿宋" w:cs="仿宋"/>
          <w:color w:val="auto"/>
          <w:spacing w:val="7"/>
          <w:sz w:val="21"/>
          <w:szCs w:val="21"/>
          <w:highlight w:val="none"/>
        </w:rPr>
        <w:t>遗体接运调度指令，</w:t>
      </w:r>
      <w:r>
        <w:rPr>
          <w:rFonts w:hint="eastAsia" w:ascii="仿宋" w:hAnsi="仿宋" w:eastAsia="仿宋" w:cs="仿宋"/>
          <w:color w:val="auto"/>
          <w:spacing w:val="9"/>
          <w:sz w:val="21"/>
          <w:szCs w:val="21"/>
          <w:highlight w:val="none"/>
        </w:rPr>
        <w:t>对乙方服务过程进行监督检查，定期开展服务质量</w:t>
      </w:r>
      <w:r>
        <w:rPr>
          <w:rFonts w:hint="eastAsia" w:ascii="仿宋" w:hAnsi="仿宋" w:eastAsia="仿宋" w:cs="仿宋"/>
          <w:color w:val="auto"/>
          <w:spacing w:val="8"/>
          <w:sz w:val="21"/>
          <w:szCs w:val="21"/>
          <w:highlight w:val="none"/>
        </w:rPr>
        <w:t>评价。</w:t>
      </w:r>
    </w:p>
    <w:p w14:paraId="52EE237C">
      <w:pPr>
        <w:keepNext w:val="0"/>
        <w:keepLines w:val="0"/>
        <w:pageBreakBefore w:val="0"/>
        <w:widowControl w:val="0"/>
        <w:kinsoku/>
        <w:wordWrap/>
        <w:overflowPunct/>
        <w:topLinePunct w:val="0"/>
        <w:autoSpaceDE/>
        <w:autoSpaceDN/>
        <w:bidi w:val="0"/>
        <w:adjustRightInd/>
        <w:snapToGrid/>
        <w:spacing w:line="560" w:lineRule="exact"/>
        <w:ind w:left="0" w:right="0" w:firstLine="46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0"/>
          <w:position w:val="2"/>
          <w:sz w:val="21"/>
          <w:szCs w:val="21"/>
          <w:highlight w:val="none"/>
        </w:rPr>
        <w:t>4.1.2  信息提供义务：及时向乙方传达</w:t>
      </w:r>
      <w:r>
        <w:rPr>
          <w:rFonts w:hint="eastAsia" w:ascii="仿宋" w:hAnsi="仿宋" w:eastAsia="仿宋" w:cs="仿宋"/>
          <w:color w:val="auto"/>
          <w:spacing w:val="9"/>
          <w:position w:val="2"/>
          <w:sz w:val="21"/>
          <w:szCs w:val="21"/>
          <w:highlight w:val="none"/>
        </w:rPr>
        <w:t>殡葬管理、卫生防疫</w:t>
      </w:r>
      <w:r>
        <w:rPr>
          <w:rFonts w:hint="eastAsia" w:ascii="仿宋" w:hAnsi="仿宋" w:eastAsia="仿宋" w:cs="仿宋"/>
          <w:color w:val="auto"/>
          <w:spacing w:val="7"/>
          <w:position w:val="2"/>
          <w:sz w:val="21"/>
          <w:szCs w:val="21"/>
          <w:highlight w:val="none"/>
        </w:rPr>
        <w:t>等政策要求，提供必要的培训支持。</w:t>
      </w:r>
    </w:p>
    <w:p w14:paraId="5D489319">
      <w:pPr>
        <w:keepNext w:val="0"/>
        <w:keepLines w:val="0"/>
        <w:pageBreakBefore w:val="0"/>
        <w:widowControl w:val="0"/>
        <w:kinsoku/>
        <w:wordWrap/>
        <w:overflowPunct/>
        <w:topLinePunct w:val="0"/>
        <w:autoSpaceDE/>
        <w:autoSpaceDN/>
        <w:bidi w:val="0"/>
        <w:adjustRightInd/>
        <w:snapToGrid/>
        <w:spacing w:line="560" w:lineRule="exact"/>
        <w:ind w:left="0" w:right="0" w:firstLine="46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0"/>
          <w:sz w:val="21"/>
          <w:szCs w:val="21"/>
          <w:highlight w:val="none"/>
        </w:rPr>
        <w:t>4.1.3  费用结算义务：按本协议约定及</w:t>
      </w:r>
      <w:r>
        <w:rPr>
          <w:rFonts w:hint="eastAsia" w:ascii="仿宋" w:hAnsi="仿宋" w:eastAsia="仿宋" w:cs="仿宋"/>
          <w:color w:val="auto"/>
          <w:spacing w:val="9"/>
          <w:sz w:val="21"/>
          <w:szCs w:val="21"/>
          <w:highlight w:val="none"/>
        </w:rPr>
        <w:t>时与乙方结算服务费</w:t>
      </w:r>
      <w:r>
        <w:rPr>
          <w:rFonts w:hint="eastAsia" w:ascii="仿宋" w:hAnsi="仿宋" w:eastAsia="仿宋" w:cs="仿宋"/>
          <w:color w:val="auto"/>
          <w:spacing w:val="7"/>
          <w:sz w:val="21"/>
          <w:szCs w:val="21"/>
          <w:highlight w:val="none"/>
        </w:rPr>
        <w:t>用，不得无故拖延。</w:t>
      </w:r>
    </w:p>
    <w:p w14:paraId="767F9957">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8"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4.2</w:t>
      </w:r>
      <w:r>
        <w:rPr>
          <w:rFonts w:hint="eastAsia" w:ascii="仿宋" w:hAnsi="仿宋" w:eastAsia="仿宋" w:cs="仿宋"/>
          <w:color w:val="auto"/>
          <w:spacing w:val="19"/>
          <w:w w:val="101"/>
          <w:sz w:val="21"/>
          <w:szCs w:val="21"/>
          <w:highlight w:val="none"/>
        </w:rPr>
        <w:t xml:space="preserve">  </w:t>
      </w:r>
      <w:r>
        <w:rPr>
          <w:rFonts w:hint="eastAsia" w:ascii="仿宋" w:hAnsi="仿宋" w:eastAsia="仿宋" w:cs="仿宋"/>
          <w:color w:val="auto"/>
          <w:spacing w:val="4"/>
          <w:sz w:val="21"/>
          <w:szCs w:val="21"/>
          <w:highlight w:val="none"/>
        </w:rPr>
        <w:t>乙方权利与义务</w:t>
      </w:r>
    </w:p>
    <w:p w14:paraId="63297C28">
      <w:pPr>
        <w:keepNext w:val="0"/>
        <w:keepLines w:val="0"/>
        <w:pageBreakBefore w:val="0"/>
        <w:widowControl w:val="0"/>
        <w:kinsoku/>
        <w:wordWrap/>
        <w:overflowPunct/>
        <w:topLinePunct w:val="0"/>
        <w:autoSpaceDE/>
        <w:autoSpaceDN/>
        <w:bidi w:val="0"/>
        <w:adjustRightInd/>
        <w:snapToGrid/>
        <w:spacing w:line="560" w:lineRule="exact"/>
        <w:ind w:left="0" w:right="0" w:firstLine="46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0"/>
          <w:sz w:val="21"/>
          <w:szCs w:val="21"/>
          <w:highlight w:val="none"/>
        </w:rPr>
        <w:t>4.2.1  服务执行权：按甲方调度指令提</w:t>
      </w:r>
      <w:r>
        <w:rPr>
          <w:rFonts w:hint="eastAsia" w:ascii="仿宋" w:hAnsi="仿宋" w:eastAsia="仿宋" w:cs="仿宋"/>
          <w:color w:val="auto"/>
          <w:spacing w:val="9"/>
          <w:sz w:val="21"/>
          <w:szCs w:val="21"/>
          <w:highlight w:val="none"/>
        </w:rPr>
        <w:t>供遗体接运服务，有</w:t>
      </w:r>
      <w:r>
        <w:rPr>
          <w:rFonts w:hint="eastAsia" w:ascii="仿宋" w:hAnsi="仿宋" w:eastAsia="仿宋" w:cs="仿宋"/>
          <w:color w:val="auto"/>
          <w:spacing w:val="4"/>
          <w:sz w:val="21"/>
          <w:szCs w:val="21"/>
          <w:highlight w:val="none"/>
        </w:rPr>
        <w:t>权拒绝不符合规定的接运要求（如无合法《死亡证明》等）。</w:t>
      </w:r>
    </w:p>
    <w:p w14:paraId="32C1DDAE">
      <w:pPr>
        <w:keepNext w:val="0"/>
        <w:keepLines w:val="0"/>
        <w:pageBreakBefore w:val="0"/>
        <w:widowControl w:val="0"/>
        <w:kinsoku/>
        <w:wordWrap/>
        <w:overflowPunct/>
        <w:topLinePunct w:val="0"/>
        <w:autoSpaceDE/>
        <w:autoSpaceDN/>
        <w:bidi w:val="0"/>
        <w:adjustRightInd/>
        <w:snapToGrid/>
        <w:spacing w:line="560" w:lineRule="exact"/>
        <w:ind w:left="0" w:right="0" w:firstLine="46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0"/>
          <w:sz w:val="21"/>
          <w:szCs w:val="21"/>
          <w:highlight w:val="none"/>
        </w:rPr>
        <w:t>4.2.2  合规履约义务：严格遵守本协议</w:t>
      </w:r>
      <w:r>
        <w:rPr>
          <w:rFonts w:hint="eastAsia" w:ascii="仿宋" w:hAnsi="仿宋" w:eastAsia="仿宋" w:cs="仿宋"/>
          <w:color w:val="auto"/>
          <w:spacing w:val="9"/>
          <w:sz w:val="21"/>
          <w:szCs w:val="21"/>
          <w:highlight w:val="none"/>
        </w:rPr>
        <w:t>约定的技术标准与服</w:t>
      </w:r>
      <w:r>
        <w:rPr>
          <w:rFonts w:hint="eastAsia" w:ascii="仿宋" w:hAnsi="仿宋" w:eastAsia="仿宋" w:cs="仿宋"/>
          <w:color w:val="auto"/>
          <w:spacing w:val="8"/>
          <w:sz w:val="21"/>
          <w:szCs w:val="21"/>
          <w:highlight w:val="none"/>
        </w:rPr>
        <w:t>务规范，确保车辆、人员、流程符合监管要求。</w:t>
      </w:r>
    </w:p>
    <w:p w14:paraId="3323C470">
      <w:pPr>
        <w:keepNext w:val="0"/>
        <w:keepLines w:val="0"/>
        <w:pageBreakBefore w:val="0"/>
        <w:widowControl w:val="0"/>
        <w:kinsoku/>
        <w:wordWrap/>
        <w:overflowPunct/>
        <w:topLinePunct w:val="0"/>
        <w:autoSpaceDE/>
        <w:autoSpaceDN/>
        <w:bidi w:val="0"/>
        <w:adjustRightInd/>
        <w:snapToGrid/>
        <w:spacing w:line="560" w:lineRule="exact"/>
        <w:ind w:left="0" w:right="0" w:firstLine="46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0"/>
          <w:sz w:val="21"/>
          <w:szCs w:val="21"/>
          <w:highlight w:val="none"/>
        </w:rPr>
        <w:t>4.2.3  数据上传义务：实时上传车辆定位数据、服务工单、</w:t>
      </w:r>
      <w:r>
        <w:rPr>
          <w:rFonts w:hint="eastAsia" w:ascii="仿宋" w:hAnsi="仿宋" w:eastAsia="仿宋" w:cs="仿宋"/>
          <w:color w:val="auto"/>
          <w:spacing w:val="8"/>
          <w:sz w:val="21"/>
          <w:szCs w:val="21"/>
          <w:highlight w:val="none"/>
        </w:rPr>
        <w:t>接运记录等信息至市殡葬服务监管平台，确保数据真实、完整。</w:t>
      </w:r>
    </w:p>
    <w:p w14:paraId="1AAF2094">
      <w:pPr>
        <w:keepNext w:val="0"/>
        <w:keepLines w:val="0"/>
        <w:pageBreakBefore w:val="0"/>
        <w:widowControl w:val="0"/>
        <w:kinsoku/>
        <w:wordWrap/>
        <w:overflowPunct/>
        <w:topLinePunct w:val="0"/>
        <w:autoSpaceDE/>
        <w:autoSpaceDN/>
        <w:bidi w:val="0"/>
        <w:adjustRightInd/>
        <w:snapToGrid/>
        <w:spacing w:line="560" w:lineRule="exact"/>
        <w:ind w:left="0" w:right="0" w:firstLine="45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第五章 风险防控与应急处理</w:t>
      </w:r>
    </w:p>
    <w:p w14:paraId="24BF4CE7">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8"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5.1  应急响应</w:t>
      </w:r>
    </w:p>
    <w:p w14:paraId="4404934D">
      <w:pPr>
        <w:keepNext w:val="0"/>
        <w:keepLines w:val="0"/>
        <w:pageBreakBefore w:val="0"/>
        <w:widowControl w:val="0"/>
        <w:kinsoku/>
        <w:wordWrap/>
        <w:overflowPunct/>
        <w:topLinePunct w:val="0"/>
        <w:autoSpaceDE/>
        <w:autoSpaceDN/>
        <w:bidi w:val="0"/>
        <w:adjustRightInd/>
        <w:snapToGrid/>
        <w:spacing w:line="560" w:lineRule="exact"/>
        <w:ind w:left="0" w:right="0" w:firstLine="444"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5.1.1  车辆突发故障时，乙方须在30分钟内启用备用车辆响</w:t>
      </w:r>
      <w:r>
        <w:rPr>
          <w:rFonts w:hint="eastAsia" w:ascii="仿宋" w:hAnsi="仿宋" w:eastAsia="仿宋" w:cs="仿宋"/>
          <w:color w:val="auto"/>
          <w:spacing w:val="7"/>
          <w:sz w:val="21"/>
          <w:szCs w:val="21"/>
          <w:highlight w:val="none"/>
        </w:rPr>
        <w:t>应调度指令，确保服务不中断。</w:t>
      </w:r>
    </w:p>
    <w:p w14:paraId="01DFE818">
      <w:pPr>
        <w:keepNext w:val="0"/>
        <w:keepLines w:val="0"/>
        <w:pageBreakBefore w:val="0"/>
        <w:widowControl w:val="0"/>
        <w:kinsoku/>
        <w:wordWrap/>
        <w:overflowPunct/>
        <w:topLinePunct w:val="0"/>
        <w:autoSpaceDE/>
        <w:autoSpaceDN/>
        <w:bidi w:val="0"/>
        <w:adjustRightInd/>
        <w:snapToGrid/>
        <w:spacing w:line="560" w:lineRule="exact"/>
        <w:ind w:left="0" w:right="0" w:firstLine="456"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9"/>
          <w:sz w:val="21"/>
          <w:szCs w:val="21"/>
          <w:highlight w:val="none"/>
        </w:rPr>
        <w:t>5.1.2  发生遗体损坏、遗失或疫情传播等突发事件时，乙方</w:t>
      </w:r>
      <w:r>
        <w:rPr>
          <w:rFonts w:hint="eastAsia" w:ascii="仿宋" w:hAnsi="仿宋" w:eastAsia="仿宋" w:cs="仿宋"/>
          <w:color w:val="auto"/>
          <w:spacing w:val="2"/>
          <w:sz w:val="21"/>
          <w:szCs w:val="21"/>
          <w:highlight w:val="none"/>
        </w:rPr>
        <w:t>应立即启动《应急处理预案》，并在</w:t>
      </w:r>
      <w:r>
        <w:rPr>
          <w:rFonts w:hint="eastAsia" w:ascii="仿宋" w:hAnsi="仿宋" w:eastAsia="仿宋" w:cs="仿宋"/>
          <w:color w:val="auto"/>
          <w:spacing w:val="-18"/>
          <w:sz w:val="21"/>
          <w:szCs w:val="21"/>
          <w:highlight w:val="none"/>
        </w:rPr>
        <w:t xml:space="preserve"> </w:t>
      </w:r>
      <w:r>
        <w:rPr>
          <w:rFonts w:hint="eastAsia" w:ascii="仿宋" w:hAnsi="仿宋" w:eastAsia="仿宋" w:cs="仿宋"/>
          <w:color w:val="auto"/>
          <w:spacing w:val="2"/>
          <w:sz w:val="21"/>
          <w:szCs w:val="21"/>
          <w:highlight w:val="none"/>
        </w:rPr>
        <w:t>1小时内书面报告甲方及监管部门。</w:t>
      </w:r>
    </w:p>
    <w:p w14:paraId="16521AB1">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8"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5.2  保险与责任</w:t>
      </w:r>
    </w:p>
    <w:p w14:paraId="5E60457F">
      <w:pPr>
        <w:keepNext w:val="0"/>
        <w:keepLines w:val="0"/>
        <w:pageBreakBefore w:val="0"/>
        <w:widowControl w:val="0"/>
        <w:kinsoku/>
        <w:wordWrap/>
        <w:overflowPunct/>
        <w:topLinePunct w:val="0"/>
        <w:autoSpaceDE/>
        <w:autoSpaceDN/>
        <w:bidi w:val="0"/>
        <w:adjustRightInd/>
        <w:snapToGrid/>
        <w:spacing w:line="560" w:lineRule="exact"/>
        <w:ind w:left="0" w:right="0" w:firstLine="45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5.2.1</w:t>
      </w:r>
      <w:r>
        <w:rPr>
          <w:rFonts w:hint="eastAsia" w:ascii="仿宋" w:hAnsi="仿宋" w:eastAsia="仿宋" w:cs="仿宋"/>
          <w:color w:val="auto"/>
          <w:spacing w:val="28"/>
          <w:w w:val="101"/>
          <w:sz w:val="21"/>
          <w:szCs w:val="21"/>
          <w:highlight w:val="none"/>
        </w:rPr>
        <w:t xml:space="preserve">  </w:t>
      </w:r>
      <w:r>
        <w:rPr>
          <w:rFonts w:hint="eastAsia" w:ascii="仿宋" w:hAnsi="仿宋" w:eastAsia="仿宋" w:cs="仿宋"/>
          <w:color w:val="auto"/>
          <w:spacing w:val="8"/>
          <w:sz w:val="21"/>
          <w:szCs w:val="21"/>
          <w:highlight w:val="none"/>
        </w:rPr>
        <w:t>乙方应为每辆接运车辆投保承运人责任险，保额不低</w:t>
      </w:r>
      <w:r>
        <w:rPr>
          <w:rFonts w:hint="eastAsia" w:ascii="仿宋" w:hAnsi="仿宋" w:eastAsia="仿宋" w:cs="仿宋"/>
          <w:color w:val="auto"/>
          <w:spacing w:val="4"/>
          <w:sz w:val="21"/>
          <w:szCs w:val="21"/>
          <w:highlight w:val="none"/>
        </w:rPr>
        <w:t>于</w:t>
      </w:r>
      <w:r>
        <w:rPr>
          <w:rFonts w:hint="eastAsia" w:ascii="仿宋" w:hAnsi="仿宋" w:eastAsia="仿宋" w:cs="仿宋"/>
          <w:color w:val="auto"/>
          <w:spacing w:val="-20"/>
          <w:sz w:val="21"/>
          <w:szCs w:val="21"/>
          <w:highlight w:val="none"/>
        </w:rPr>
        <w:t xml:space="preserve"> </w:t>
      </w:r>
      <w:r>
        <w:rPr>
          <w:rFonts w:hint="eastAsia" w:ascii="仿宋" w:hAnsi="仿宋" w:eastAsia="仿宋" w:cs="仿宋"/>
          <w:color w:val="auto"/>
          <w:spacing w:val="4"/>
          <w:sz w:val="21"/>
          <w:szCs w:val="21"/>
          <w:highlight w:val="none"/>
        </w:rPr>
        <w:t>100</w:t>
      </w:r>
      <w:r>
        <w:rPr>
          <w:rFonts w:hint="eastAsia" w:ascii="仿宋" w:hAnsi="仿宋" w:eastAsia="仿宋" w:cs="仿宋"/>
          <w:color w:val="auto"/>
          <w:spacing w:val="27"/>
          <w:sz w:val="21"/>
          <w:szCs w:val="21"/>
          <w:highlight w:val="none"/>
        </w:rPr>
        <w:t xml:space="preserve"> </w:t>
      </w:r>
      <w:r>
        <w:rPr>
          <w:rFonts w:hint="eastAsia" w:ascii="仿宋" w:hAnsi="仿宋" w:eastAsia="仿宋" w:cs="仿宋"/>
          <w:color w:val="auto"/>
          <w:spacing w:val="4"/>
          <w:sz w:val="21"/>
          <w:szCs w:val="21"/>
          <w:highlight w:val="none"/>
        </w:rPr>
        <w:t>万元/车次，保险期限覆盖本协议有效期。</w:t>
      </w:r>
    </w:p>
    <w:p w14:paraId="17453E9A">
      <w:pPr>
        <w:keepNext w:val="0"/>
        <w:keepLines w:val="0"/>
        <w:pageBreakBefore w:val="0"/>
        <w:widowControl w:val="0"/>
        <w:kinsoku/>
        <w:wordWrap/>
        <w:overflowPunct/>
        <w:topLinePunct w:val="0"/>
        <w:autoSpaceDE/>
        <w:autoSpaceDN/>
        <w:bidi w:val="0"/>
        <w:adjustRightInd/>
        <w:snapToGrid/>
        <w:spacing w:line="560" w:lineRule="exact"/>
        <w:ind w:left="0" w:right="0" w:firstLine="45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5.2.2</w:t>
      </w:r>
      <w:r>
        <w:rPr>
          <w:rFonts w:hint="eastAsia" w:ascii="仿宋" w:hAnsi="仿宋" w:eastAsia="仿宋" w:cs="仿宋"/>
          <w:color w:val="auto"/>
          <w:spacing w:val="29"/>
          <w:w w:val="101"/>
          <w:sz w:val="21"/>
          <w:szCs w:val="21"/>
          <w:highlight w:val="none"/>
        </w:rPr>
        <w:t xml:space="preserve">  </w:t>
      </w:r>
      <w:r>
        <w:rPr>
          <w:rFonts w:hint="eastAsia" w:ascii="仿宋" w:hAnsi="仿宋" w:eastAsia="仿宋" w:cs="仿宋"/>
          <w:color w:val="auto"/>
          <w:spacing w:val="8"/>
          <w:sz w:val="21"/>
          <w:szCs w:val="21"/>
          <w:highlight w:val="none"/>
        </w:rPr>
        <w:t>因乙方原因导致遗体损坏、延误或家属权益受损</w:t>
      </w:r>
      <w:r>
        <w:rPr>
          <w:rFonts w:hint="eastAsia" w:ascii="仿宋" w:hAnsi="仿宋" w:eastAsia="仿宋" w:cs="仿宋"/>
          <w:color w:val="auto"/>
          <w:spacing w:val="7"/>
          <w:sz w:val="21"/>
          <w:szCs w:val="21"/>
          <w:highlight w:val="none"/>
        </w:rPr>
        <w:t>的，</w:t>
      </w:r>
      <w:r>
        <w:rPr>
          <w:rFonts w:hint="eastAsia" w:ascii="仿宋" w:hAnsi="仿宋" w:eastAsia="仿宋" w:cs="仿宋"/>
          <w:color w:val="auto"/>
          <w:spacing w:val="4"/>
          <w:sz w:val="21"/>
          <w:szCs w:val="21"/>
          <w:highlight w:val="none"/>
        </w:rPr>
        <w:t>乙方应承担赔偿责任（赔偿标准按国家相关规定执行）。如甲方</w:t>
      </w:r>
      <w:r>
        <w:rPr>
          <w:rFonts w:hint="eastAsia" w:ascii="仿宋" w:hAnsi="仿宋" w:eastAsia="仿宋" w:cs="仿宋"/>
          <w:color w:val="auto"/>
          <w:spacing w:val="5"/>
          <w:position w:val="2"/>
          <w:sz w:val="21"/>
          <w:szCs w:val="21"/>
          <w:highlight w:val="none"/>
        </w:rPr>
        <w:t>已经代为赔偿的，有权向乙方追偿。</w:t>
      </w:r>
    </w:p>
    <w:p w14:paraId="1345B0FC">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5.3</w:t>
      </w:r>
      <w:r>
        <w:rPr>
          <w:rFonts w:hint="eastAsia" w:ascii="仿宋" w:hAnsi="仿宋" w:eastAsia="仿宋" w:cs="仿宋"/>
          <w:color w:val="auto"/>
          <w:spacing w:val="12"/>
          <w:sz w:val="21"/>
          <w:szCs w:val="21"/>
          <w:highlight w:val="none"/>
        </w:rPr>
        <w:t xml:space="preserve">  </w:t>
      </w:r>
      <w:r>
        <w:rPr>
          <w:rFonts w:hint="eastAsia" w:ascii="仿宋" w:hAnsi="仿宋" w:eastAsia="仿宋" w:cs="仿宋"/>
          <w:color w:val="auto"/>
          <w:spacing w:val="2"/>
          <w:sz w:val="21"/>
          <w:szCs w:val="21"/>
          <w:highlight w:val="none"/>
        </w:rPr>
        <w:t>责任豁免</w:t>
      </w:r>
    </w:p>
    <w:p w14:paraId="1AF34902">
      <w:pPr>
        <w:keepNext w:val="0"/>
        <w:keepLines w:val="0"/>
        <w:pageBreakBefore w:val="0"/>
        <w:widowControl w:val="0"/>
        <w:kinsoku/>
        <w:wordWrap/>
        <w:overflowPunct/>
        <w:topLinePunct w:val="0"/>
        <w:autoSpaceDE/>
        <w:autoSpaceDN/>
        <w:bidi w:val="0"/>
        <w:adjustRightInd/>
        <w:snapToGrid/>
        <w:spacing w:line="560" w:lineRule="exact"/>
        <w:ind w:left="0" w:right="0" w:firstLine="448"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因不可抗力（如交通管制、</w:t>
      </w:r>
      <w:r>
        <w:rPr>
          <w:rFonts w:hint="eastAsia" w:ascii="仿宋" w:hAnsi="仿宋" w:eastAsia="仿宋" w:cs="仿宋"/>
          <w:color w:val="auto"/>
          <w:spacing w:val="-87"/>
          <w:sz w:val="21"/>
          <w:szCs w:val="21"/>
          <w:highlight w:val="none"/>
        </w:rPr>
        <w:t xml:space="preserve"> </w:t>
      </w:r>
      <w:r>
        <w:rPr>
          <w:rFonts w:hint="eastAsia" w:ascii="仿宋" w:hAnsi="仿宋" w:eastAsia="仿宋" w:cs="仿宋"/>
          <w:color w:val="auto"/>
          <w:spacing w:val="7"/>
          <w:sz w:val="21"/>
          <w:szCs w:val="21"/>
          <w:highlight w:val="none"/>
        </w:rPr>
        <w:t>自然灾害等）导致服务延误的，</w:t>
      </w:r>
      <w:r>
        <w:rPr>
          <w:rFonts w:hint="eastAsia" w:ascii="仿宋" w:hAnsi="仿宋" w:eastAsia="仿宋" w:cs="仿宋"/>
          <w:color w:val="auto"/>
          <w:spacing w:val="3"/>
          <w:sz w:val="21"/>
          <w:szCs w:val="21"/>
          <w:highlight w:val="none"/>
        </w:rPr>
        <w:t>乙方应及时通知甲方并提供替代方案，经甲方确认后不视</w:t>
      </w:r>
      <w:r>
        <w:rPr>
          <w:rFonts w:hint="eastAsia" w:ascii="仿宋" w:hAnsi="仿宋" w:eastAsia="仿宋" w:cs="仿宋"/>
          <w:color w:val="auto"/>
          <w:spacing w:val="2"/>
          <w:sz w:val="21"/>
          <w:szCs w:val="21"/>
          <w:highlight w:val="none"/>
        </w:rPr>
        <w:t>为违约。</w:t>
      </w:r>
    </w:p>
    <w:p w14:paraId="4DF83693">
      <w:pPr>
        <w:keepNext w:val="0"/>
        <w:keepLines w:val="0"/>
        <w:pageBreakBefore w:val="0"/>
        <w:widowControl w:val="0"/>
        <w:kinsoku/>
        <w:wordWrap/>
        <w:overflowPunct/>
        <w:topLinePunct w:val="0"/>
        <w:autoSpaceDE/>
        <w:autoSpaceDN/>
        <w:bidi w:val="0"/>
        <w:adjustRightInd/>
        <w:snapToGrid/>
        <w:spacing w:line="560" w:lineRule="exact"/>
        <w:ind w:left="0" w:right="0" w:firstLine="448"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第六章 费用结算与支付</w:t>
      </w:r>
    </w:p>
    <w:p w14:paraId="304BC054">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6.1</w:t>
      </w:r>
      <w:r>
        <w:rPr>
          <w:rFonts w:hint="eastAsia" w:ascii="仿宋" w:hAnsi="仿宋" w:eastAsia="仿宋" w:cs="仿宋"/>
          <w:color w:val="auto"/>
          <w:spacing w:val="13"/>
          <w:sz w:val="21"/>
          <w:szCs w:val="21"/>
          <w:highlight w:val="none"/>
        </w:rPr>
        <w:t xml:space="preserve">  </w:t>
      </w:r>
      <w:r>
        <w:rPr>
          <w:rFonts w:hint="eastAsia" w:ascii="仿宋" w:hAnsi="仿宋" w:eastAsia="仿宋" w:cs="仿宋"/>
          <w:color w:val="auto"/>
          <w:spacing w:val="2"/>
          <w:sz w:val="21"/>
          <w:szCs w:val="21"/>
          <w:highlight w:val="none"/>
        </w:rPr>
        <w:t>收费标准</w:t>
      </w:r>
    </w:p>
    <w:p w14:paraId="072A21A3">
      <w:pPr>
        <w:keepNext w:val="0"/>
        <w:keepLines w:val="0"/>
        <w:pageBreakBefore w:val="0"/>
        <w:widowControl w:val="0"/>
        <w:kinsoku/>
        <w:wordWrap/>
        <w:overflowPunct/>
        <w:topLinePunct w:val="0"/>
        <w:autoSpaceDE/>
        <w:autoSpaceDN/>
        <w:bidi w:val="0"/>
        <w:adjustRightInd/>
        <w:snapToGrid/>
        <w:spacing w:line="560" w:lineRule="exact"/>
        <w:ind w:left="0" w:right="0" w:firstLine="476"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4"/>
          <w:sz w:val="21"/>
          <w:szCs w:val="21"/>
          <w:highlight w:val="none"/>
        </w:rPr>
        <w:t>遗体接运服务费用按</w:t>
      </w:r>
      <w:r>
        <w:rPr>
          <w:rFonts w:hint="eastAsia" w:ascii="仿宋" w:hAnsi="仿宋" w:eastAsia="仿宋" w:cs="仿宋"/>
          <w:color w:val="auto"/>
          <w:spacing w:val="-144"/>
          <w:sz w:val="21"/>
          <w:szCs w:val="21"/>
          <w:highlight w:val="none"/>
        </w:rPr>
        <w:t xml:space="preserve"> </w:t>
      </w:r>
      <w:r>
        <w:rPr>
          <w:rFonts w:hint="eastAsia" w:ascii="仿宋" w:hAnsi="仿宋" w:eastAsia="仿宋" w:cs="仿宋"/>
          <w:color w:val="auto"/>
          <w:spacing w:val="13"/>
          <w:sz w:val="21"/>
          <w:szCs w:val="21"/>
          <w:highlight w:val="none"/>
          <w:u w:val="single" w:color="auto"/>
        </w:rPr>
        <w:t xml:space="preserve">    </w:t>
      </w:r>
      <w:r>
        <w:rPr>
          <w:rFonts w:hint="eastAsia" w:ascii="仿宋" w:hAnsi="仿宋" w:eastAsia="仿宋" w:cs="仿宋"/>
          <w:color w:val="auto"/>
          <w:spacing w:val="-98"/>
          <w:sz w:val="21"/>
          <w:szCs w:val="21"/>
          <w:highlight w:val="none"/>
        </w:rPr>
        <w:t xml:space="preserve"> </w:t>
      </w:r>
      <w:r>
        <w:rPr>
          <w:rFonts w:hint="eastAsia" w:ascii="仿宋" w:hAnsi="仿宋" w:eastAsia="仿宋" w:cs="仿宋"/>
          <w:color w:val="auto"/>
          <w:spacing w:val="14"/>
          <w:sz w:val="21"/>
          <w:szCs w:val="21"/>
          <w:highlight w:val="none"/>
        </w:rPr>
        <w:t>区发展和改革委员会核定的政府</w:t>
      </w:r>
      <w:r>
        <w:rPr>
          <w:rFonts w:hint="eastAsia" w:ascii="仿宋" w:hAnsi="仿宋" w:eastAsia="仿宋" w:cs="仿宋"/>
          <w:color w:val="auto"/>
          <w:sz w:val="21"/>
          <w:szCs w:val="21"/>
          <w:highlight w:val="none"/>
        </w:rPr>
        <w:t>定价执行，具体标准为：_______________（可附价格表作</w:t>
      </w:r>
      <w:r>
        <w:rPr>
          <w:rFonts w:hint="eastAsia" w:ascii="仿宋" w:hAnsi="仿宋" w:eastAsia="仿宋" w:cs="仿宋"/>
          <w:color w:val="auto"/>
          <w:spacing w:val="-14"/>
          <w:sz w:val="21"/>
          <w:szCs w:val="21"/>
          <w:highlight w:val="none"/>
        </w:rPr>
        <w:t>为协议附件）。</w:t>
      </w:r>
    </w:p>
    <w:p w14:paraId="1E309133">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6.2</w:t>
      </w:r>
      <w:r>
        <w:rPr>
          <w:rFonts w:hint="eastAsia" w:ascii="仿宋" w:hAnsi="仿宋" w:eastAsia="仿宋" w:cs="仿宋"/>
          <w:color w:val="auto"/>
          <w:spacing w:val="13"/>
          <w:sz w:val="21"/>
          <w:szCs w:val="21"/>
          <w:highlight w:val="none"/>
        </w:rPr>
        <w:t xml:space="preserve">  </w:t>
      </w:r>
      <w:r>
        <w:rPr>
          <w:rFonts w:hint="eastAsia" w:ascii="仿宋" w:hAnsi="仿宋" w:eastAsia="仿宋" w:cs="仿宋"/>
          <w:color w:val="auto"/>
          <w:spacing w:val="2"/>
          <w:sz w:val="21"/>
          <w:szCs w:val="21"/>
          <w:highlight w:val="none"/>
        </w:rPr>
        <w:t>结算方式</w:t>
      </w:r>
    </w:p>
    <w:p w14:paraId="0717633B">
      <w:pPr>
        <w:keepNext w:val="0"/>
        <w:keepLines w:val="0"/>
        <w:pageBreakBefore w:val="0"/>
        <w:widowControl w:val="0"/>
        <w:kinsoku/>
        <w:wordWrap/>
        <w:overflowPunct/>
        <w:topLinePunct w:val="0"/>
        <w:autoSpaceDE/>
        <w:autoSpaceDN/>
        <w:bidi w:val="0"/>
        <w:adjustRightInd/>
        <w:snapToGrid/>
        <w:spacing w:line="560" w:lineRule="exact"/>
        <w:ind w:left="0" w:right="0" w:firstLine="456"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9"/>
          <w:sz w:val="21"/>
          <w:szCs w:val="21"/>
          <w:highlight w:val="none"/>
        </w:rPr>
        <w:t>6.2.1  服务费用由甲方统一向丧户收取，开具正规票据；乙</w:t>
      </w:r>
      <w:r>
        <w:rPr>
          <w:rFonts w:hint="eastAsia" w:ascii="仿宋" w:hAnsi="仿宋" w:eastAsia="仿宋" w:cs="仿宋"/>
          <w:color w:val="auto"/>
          <w:spacing w:val="-7"/>
          <w:sz w:val="21"/>
          <w:szCs w:val="21"/>
          <w:highlight w:val="none"/>
        </w:rPr>
        <w:t>方 服 务 报 酬 按 双 方 约 定</w:t>
      </w:r>
      <w:r>
        <w:rPr>
          <w:rFonts w:hint="eastAsia" w:ascii="仿宋" w:hAnsi="仿宋" w:eastAsia="仿宋" w:cs="仿宋"/>
          <w:color w:val="auto"/>
          <w:spacing w:val="-10"/>
          <w:sz w:val="21"/>
          <w:szCs w:val="21"/>
          <w:highlight w:val="none"/>
        </w:rPr>
        <w:t xml:space="preserve"> </w:t>
      </w:r>
      <w:r>
        <w:rPr>
          <w:rFonts w:hint="eastAsia" w:ascii="仿宋" w:hAnsi="仿宋" w:eastAsia="仿宋" w:cs="仿宋"/>
          <w:color w:val="auto"/>
          <w:spacing w:val="-7"/>
          <w:sz w:val="21"/>
          <w:szCs w:val="21"/>
          <w:highlight w:val="none"/>
        </w:rPr>
        <w:t>标</w:t>
      </w:r>
      <w:r>
        <w:rPr>
          <w:rFonts w:hint="eastAsia" w:ascii="仿宋" w:hAnsi="仿宋" w:eastAsia="仿宋" w:cs="仿宋"/>
          <w:color w:val="auto"/>
          <w:spacing w:val="-11"/>
          <w:sz w:val="21"/>
          <w:szCs w:val="21"/>
          <w:highlight w:val="none"/>
        </w:rPr>
        <w:t xml:space="preserve"> </w:t>
      </w:r>
      <w:r>
        <w:rPr>
          <w:rFonts w:hint="eastAsia" w:ascii="仿宋" w:hAnsi="仿宋" w:eastAsia="仿宋" w:cs="仿宋"/>
          <w:color w:val="auto"/>
          <w:spacing w:val="-7"/>
          <w:sz w:val="21"/>
          <w:szCs w:val="21"/>
          <w:highlight w:val="none"/>
        </w:rPr>
        <w:t>准 结</w:t>
      </w:r>
      <w:r>
        <w:rPr>
          <w:rFonts w:hint="eastAsia" w:ascii="仿宋" w:hAnsi="仿宋" w:eastAsia="仿宋" w:cs="仿宋"/>
          <w:color w:val="auto"/>
          <w:spacing w:val="-6"/>
          <w:sz w:val="21"/>
          <w:szCs w:val="21"/>
          <w:highlight w:val="none"/>
        </w:rPr>
        <w:t xml:space="preserve"> </w:t>
      </w:r>
      <w:r>
        <w:rPr>
          <w:rFonts w:hint="eastAsia" w:ascii="仿宋" w:hAnsi="仿宋" w:eastAsia="仿宋" w:cs="仿宋"/>
          <w:color w:val="auto"/>
          <w:spacing w:val="-7"/>
          <w:sz w:val="21"/>
          <w:szCs w:val="21"/>
          <w:highlight w:val="none"/>
        </w:rPr>
        <w:t>算</w:t>
      </w:r>
      <w:r>
        <w:rPr>
          <w:rFonts w:hint="eastAsia" w:ascii="仿宋" w:hAnsi="仿宋" w:eastAsia="仿宋" w:cs="仿宋"/>
          <w:color w:val="auto"/>
          <w:spacing w:val="-55"/>
          <w:sz w:val="21"/>
          <w:szCs w:val="21"/>
          <w:highlight w:val="none"/>
        </w:rPr>
        <w:t xml:space="preserve"> </w:t>
      </w:r>
      <w:r>
        <w:rPr>
          <w:rFonts w:hint="eastAsia" w:ascii="仿宋" w:hAnsi="仿宋" w:eastAsia="仿宋" w:cs="仿宋"/>
          <w:color w:val="auto"/>
          <w:spacing w:val="-7"/>
          <w:sz w:val="21"/>
          <w:szCs w:val="21"/>
          <w:highlight w:val="none"/>
        </w:rPr>
        <w:t>（</w:t>
      </w:r>
      <w:r>
        <w:rPr>
          <w:rFonts w:hint="eastAsia" w:ascii="仿宋" w:hAnsi="仿宋" w:eastAsia="仿宋" w:cs="仿宋"/>
          <w:color w:val="auto"/>
          <w:spacing w:val="45"/>
          <w:sz w:val="21"/>
          <w:szCs w:val="21"/>
          <w:highlight w:val="none"/>
        </w:rPr>
        <w:t xml:space="preserve"> </w:t>
      </w:r>
      <w:r>
        <w:rPr>
          <w:rFonts w:hint="eastAsia" w:ascii="仿宋" w:hAnsi="仿宋" w:eastAsia="仿宋" w:cs="仿宋"/>
          <w:color w:val="auto"/>
          <w:spacing w:val="-7"/>
          <w:sz w:val="21"/>
          <w:szCs w:val="21"/>
          <w:highlight w:val="none"/>
        </w:rPr>
        <w:t>约</w:t>
      </w:r>
      <w:r>
        <w:rPr>
          <w:rFonts w:hint="eastAsia" w:ascii="仿宋" w:hAnsi="仿宋" w:eastAsia="仿宋" w:cs="仿宋"/>
          <w:color w:val="auto"/>
          <w:spacing w:val="-16"/>
          <w:sz w:val="21"/>
          <w:szCs w:val="21"/>
          <w:highlight w:val="none"/>
        </w:rPr>
        <w:t xml:space="preserve"> </w:t>
      </w:r>
      <w:r>
        <w:rPr>
          <w:rFonts w:hint="eastAsia" w:ascii="仿宋" w:hAnsi="仿宋" w:eastAsia="仿宋" w:cs="仿宋"/>
          <w:color w:val="auto"/>
          <w:spacing w:val="-7"/>
          <w:sz w:val="21"/>
          <w:szCs w:val="21"/>
          <w:highlight w:val="none"/>
        </w:rPr>
        <w:t>定</w:t>
      </w:r>
      <w:r>
        <w:rPr>
          <w:rFonts w:hint="eastAsia" w:ascii="仿宋" w:hAnsi="仿宋" w:eastAsia="仿宋" w:cs="仿宋"/>
          <w:color w:val="auto"/>
          <w:spacing w:val="-19"/>
          <w:sz w:val="21"/>
          <w:szCs w:val="21"/>
          <w:highlight w:val="none"/>
        </w:rPr>
        <w:t xml:space="preserve"> </w:t>
      </w:r>
      <w:r>
        <w:rPr>
          <w:rFonts w:hint="eastAsia" w:ascii="仿宋" w:hAnsi="仿宋" w:eastAsia="仿宋" w:cs="仿宋"/>
          <w:color w:val="auto"/>
          <w:spacing w:val="-7"/>
          <w:sz w:val="21"/>
          <w:szCs w:val="21"/>
          <w:highlight w:val="none"/>
        </w:rPr>
        <w:t>标 准</w:t>
      </w:r>
      <w:r>
        <w:rPr>
          <w:rFonts w:hint="eastAsia" w:ascii="仿宋" w:hAnsi="仿宋" w:eastAsia="仿宋" w:cs="仿宋"/>
          <w:color w:val="auto"/>
          <w:spacing w:val="-12"/>
          <w:sz w:val="21"/>
          <w:szCs w:val="21"/>
          <w:highlight w:val="none"/>
        </w:rPr>
        <w:t xml:space="preserve"> </w:t>
      </w:r>
      <w:r>
        <w:rPr>
          <w:rFonts w:hint="eastAsia" w:ascii="仿宋" w:hAnsi="仿宋" w:eastAsia="仿宋" w:cs="仿宋"/>
          <w:color w:val="auto"/>
          <w:spacing w:val="-7"/>
          <w:sz w:val="21"/>
          <w:szCs w:val="21"/>
          <w:highlight w:val="none"/>
        </w:rPr>
        <w:t>：</w:t>
      </w:r>
      <w:r>
        <w:rPr>
          <w:rFonts w:hint="eastAsia" w:ascii="仿宋" w:hAnsi="仿宋" w:eastAsia="仿宋" w:cs="仿宋"/>
          <w:color w:val="auto"/>
          <w:sz w:val="21"/>
          <w:szCs w:val="21"/>
          <w:highlight w:val="none"/>
        </w:rPr>
        <w:t xml:space="preserve"> </w:t>
      </w:r>
      <w:r>
        <w:rPr>
          <w:rFonts w:hint="eastAsia" w:ascii="仿宋" w:hAnsi="仿宋" w:eastAsia="仿宋" w:cs="仿宋"/>
          <w:color w:val="auto"/>
          <w:spacing w:val="-1"/>
          <w:w w:val="95"/>
          <w:sz w:val="21"/>
          <w:szCs w:val="21"/>
          <w:highlight w:val="none"/>
        </w:rPr>
        <w:t>____________</w:t>
      </w:r>
      <w:r>
        <w:rPr>
          <w:rFonts w:hint="eastAsia" w:ascii="仿宋" w:hAnsi="仿宋" w:eastAsia="仿宋" w:cs="仿宋"/>
          <w:color w:val="auto"/>
          <w:spacing w:val="-29"/>
          <w:sz w:val="21"/>
          <w:szCs w:val="21"/>
          <w:highlight w:val="none"/>
        </w:rPr>
        <w:t xml:space="preserve"> </w:t>
      </w:r>
      <w:r>
        <w:rPr>
          <w:rFonts w:hint="eastAsia" w:ascii="仿宋" w:hAnsi="仿宋" w:eastAsia="仿宋" w:cs="仿宋"/>
          <w:color w:val="auto"/>
          <w:spacing w:val="-1"/>
          <w:w w:val="95"/>
          <w:sz w:val="21"/>
          <w:szCs w:val="21"/>
          <w:highlight w:val="none"/>
        </w:rPr>
        <w:t>）。</w:t>
      </w:r>
    </w:p>
    <w:p w14:paraId="68B76859">
      <w:pPr>
        <w:keepNext w:val="0"/>
        <w:keepLines w:val="0"/>
        <w:pageBreakBefore w:val="0"/>
        <w:widowControl w:val="0"/>
        <w:kinsoku/>
        <w:wordWrap/>
        <w:overflowPunct/>
        <w:topLinePunct w:val="0"/>
        <w:autoSpaceDE/>
        <w:autoSpaceDN/>
        <w:bidi w:val="0"/>
        <w:adjustRightInd/>
        <w:snapToGrid/>
        <w:spacing w:line="560" w:lineRule="exact"/>
        <w:ind w:left="0" w:right="0" w:firstLine="41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6.2.2</w:t>
      </w:r>
      <w:r>
        <w:rPr>
          <w:rFonts w:hint="eastAsia" w:ascii="仿宋" w:hAnsi="仿宋" w:eastAsia="仿宋" w:cs="仿宋"/>
          <w:color w:val="auto"/>
          <w:spacing w:val="36"/>
          <w:sz w:val="21"/>
          <w:szCs w:val="21"/>
          <w:highlight w:val="none"/>
        </w:rPr>
        <w:t xml:space="preserve">  </w:t>
      </w:r>
      <w:r>
        <w:rPr>
          <w:rFonts w:hint="eastAsia" w:ascii="仿宋" w:hAnsi="仿宋" w:eastAsia="仿宋" w:cs="仿宋"/>
          <w:color w:val="auto"/>
          <w:spacing w:val="-2"/>
          <w:sz w:val="21"/>
          <w:szCs w:val="21"/>
          <w:highlight w:val="none"/>
        </w:rPr>
        <w:t>甲方每月</w:t>
      </w:r>
      <w:r>
        <w:rPr>
          <w:rFonts w:hint="eastAsia" w:ascii="仿宋" w:hAnsi="仿宋" w:eastAsia="仿宋" w:cs="仿宋"/>
          <w:color w:val="auto"/>
          <w:spacing w:val="-35"/>
          <w:sz w:val="21"/>
          <w:szCs w:val="21"/>
          <w:highlight w:val="none"/>
        </w:rPr>
        <w:t xml:space="preserve"> </w:t>
      </w:r>
      <w:r>
        <w:rPr>
          <w:rFonts w:hint="eastAsia" w:ascii="仿宋" w:hAnsi="仿宋" w:eastAsia="仿宋" w:cs="仿宋"/>
          <w:color w:val="auto"/>
          <w:spacing w:val="-2"/>
          <w:sz w:val="21"/>
          <w:szCs w:val="21"/>
          <w:highlight w:val="none"/>
        </w:rPr>
        <w:t>10 日前（节假日顺延）与乙方核对上月服务</w:t>
      </w:r>
      <w:r>
        <w:rPr>
          <w:rFonts w:hint="eastAsia" w:ascii="仿宋" w:hAnsi="仿宋" w:eastAsia="仿宋" w:cs="仿宋"/>
          <w:color w:val="auto"/>
          <w:spacing w:val="6"/>
          <w:sz w:val="21"/>
          <w:szCs w:val="21"/>
          <w:highlight w:val="none"/>
        </w:rPr>
        <w:t>工单，确认无误后</w:t>
      </w:r>
      <w:r>
        <w:rPr>
          <w:rFonts w:hint="eastAsia" w:ascii="仿宋" w:hAnsi="仿宋" w:eastAsia="仿宋" w:cs="仿宋"/>
          <w:color w:val="auto"/>
          <w:spacing w:val="-33"/>
          <w:sz w:val="21"/>
          <w:szCs w:val="21"/>
          <w:highlight w:val="none"/>
        </w:rPr>
        <w:t xml:space="preserve"> </w:t>
      </w:r>
      <w:r>
        <w:rPr>
          <w:rFonts w:hint="eastAsia" w:ascii="仿宋" w:hAnsi="仿宋" w:eastAsia="仿宋" w:cs="仿宋"/>
          <w:color w:val="auto"/>
          <w:spacing w:val="6"/>
          <w:sz w:val="21"/>
          <w:szCs w:val="21"/>
          <w:highlight w:val="none"/>
        </w:rPr>
        <w:t>15 个工作</w:t>
      </w:r>
      <w:r>
        <w:rPr>
          <w:rFonts w:hint="eastAsia" w:ascii="仿宋" w:hAnsi="仿宋" w:eastAsia="仿宋" w:cs="仿宋"/>
          <w:color w:val="auto"/>
          <w:spacing w:val="-68"/>
          <w:sz w:val="21"/>
          <w:szCs w:val="21"/>
          <w:highlight w:val="none"/>
        </w:rPr>
        <w:t xml:space="preserve"> </w:t>
      </w:r>
      <w:r>
        <w:rPr>
          <w:rFonts w:hint="eastAsia" w:ascii="仿宋" w:hAnsi="仿宋" w:eastAsia="仿宋" w:cs="仿宋"/>
          <w:color w:val="auto"/>
          <w:spacing w:val="6"/>
          <w:sz w:val="21"/>
          <w:szCs w:val="21"/>
          <w:highlight w:val="none"/>
        </w:rPr>
        <w:t>日内通过银行转账支</w:t>
      </w:r>
      <w:r>
        <w:rPr>
          <w:rFonts w:hint="eastAsia" w:ascii="仿宋" w:hAnsi="仿宋" w:eastAsia="仿宋" w:cs="仿宋"/>
          <w:color w:val="auto"/>
          <w:spacing w:val="5"/>
          <w:sz w:val="21"/>
          <w:szCs w:val="21"/>
          <w:highlight w:val="none"/>
        </w:rPr>
        <w:t>付乙方服务报</w:t>
      </w:r>
      <w:r>
        <w:rPr>
          <w:rFonts w:hint="eastAsia" w:ascii="仿宋" w:hAnsi="仿宋" w:eastAsia="仿宋" w:cs="仿宋"/>
          <w:color w:val="auto"/>
          <w:spacing w:val="-5"/>
          <w:sz w:val="21"/>
          <w:szCs w:val="21"/>
          <w:highlight w:val="none"/>
        </w:rPr>
        <w:t>酬。</w:t>
      </w:r>
    </w:p>
    <w:p w14:paraId="1FAB209D">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42"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6.3  票据与台账</w:t>
      </w:r>
    </w:p>
    <w:p w14:paraId="17A85D2D">
      <w:pPr>
        <w:keepNext w:val="0"/>
        <w:keepLines w:val="0"/>
        <w:pageBreakBefore w:val="0"/>
        <w:widowControl w:val="0"/>
        <w:kinsoku/>
        <w:wordWrap/>
        <w:overflowPunct/>
        <w:topLinePunct w:val="0"/>
        <w:autoSpaceDE/>
        <w:autoSpaceDN/>
        <w:bidi w:val="0"/>
        <w:adjustRightInd/>
        <w:snapToGrid/>
        <w:spacing w:line="560" w:lineRule="exact"/>
        <w:ind w:left="0" w:right="0" w:firstLine="43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rPr>
        <w:t>乙方应向甲方提供合法的服务报酬发票，甲方应建立费用结</w:t>
      </w:r>
      <w:r>
        <w:rPr>
          <w:rFonts w:hint="eastAsia" w:ascii="仿宋" w:hAnsi="仿宋" w:eastAsia="仿宋" w:cs="仿宋"/>
          <w:color w:val="auto"/>
          <w:spacing w:val="5"/>
          <w:sz w:val="21"/>
          <w:szCs w:val="21"/>
          <w:highlight w:val="none"/>
        </w:rPr>
        <w:t>算台账，保存期不少于</w:t>
      </w:r>
      <w:r>
        <w:rPr>
          <w:rFonts w:hint="eastAsia" w:ascii="仿宋" w:hAnsi="仿宋" w:eastAsia="仿宋" w:cs="仿宋"/>
          <w:color w:val="auto"/>
          <w:spacing w:val="-48"/>
          <w:sz w:val="21"/>
          <w:szCs w:val="21"/>
          <w:highlight w:val="none"/>
        </w:rPr>
        <w:t xml:space="preserve"> </w:t>
      </w:r>
      <w:r>
        <w:rPr>
          <w:rFonts w:hint="eastAsia" w:ascii="仿宋" w:hAnsi="仿宋" w:eastAsia="仿宋" w:cs="仿宋"/>
          <w:color w:val="auto"/>
          <w:spacing w:val="5"/>
          <w:sz w:val="21"/>
          <w:szCs w:val="21"/>
          <w:highlight w:val="none"/>
        </w:rPr>
        <w:t>3 年。</w:t>
      </w:r>
    </w:p>
    <w:p w14:paraId="1BAA1076">
      <w:pPr>
        <w:keepNext w:val="0"/>
        <w:keepLines w:val="0"/>
        <w:pageBreakBefore w:val="0"/>
        <w:widowControl w:val="0"/>
        <w:kinsoku/>
        <w:wordWrap/>
        <w:overflowPunct/>
        <w:topLinePunct w:val="0"/>
        <w:autoSpaceDE/>
        <w:autoSpaceDN/>
        <w:bidi w:val="0"/>
        <w:adjustRightInd/>
        <w:snapToGrid/>
        <w:spacing w:line="560" w:lineRule="exact"/>
        <w:ind w:left="0" w:right="0" w:firstLine="45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第七章 协议的生效、变更与终止</w:t>
      </w:r>
    </w:p>
    <w:p w14:paraId="1B3F64FC">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8"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7.1  协议生效</w:t>
      </w:r>
    </w:p>
    <w:p w14:paraId="2BDBF3AB">
      <w:pPr>
        <w:keepNext w:val="0"/>
        <w:keepLines w:val="0"/>
        <w:pageBreakBefore w:val="0"/>
        <w:widowControl w:val="0"/>
        <w:kinsoku/>
        <w:wordWrap/>
        <w:overflowPunct/>
        <w:topLinePunct w:val="0"/>
        <w:autoSpaceDE/>
        <w:autoSpaceDN/>
        <w:bidi w:val="0"/>
        <w:adjustRightInd/>
        <w:snapToGrid/>
        <w:spacing w:line="560" w:lineRule="exact"/>
        <w:ind w:left="0" w:right="0" w:firstLine="464"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1"/>
          <w:sz w:val="21"/>
          <w:szCs w:val="21"/>
          <w:highlight w:val="none"/>
        </w:rPr>
        <w:t>本协议自双方签字盖章之日起生效</w:t>
      </w:r>
      <w:r>
        <w:rPr>
          <w:rFonts w:hint="eastAsia" w:ascii="仿宋" w:hAnsi="仿宋" w:eastAsia="仿宋" w:cs="仿宋"/>
          <w:color w:val="auto"/>
          <w:spacing w:val="-90"/>
          <w:sz w:val="21"/>
          <w:szCs w:val="21"/>
          <w:highlight w:val="none"/>
        </w:rPr>
        <w:t xml:space="preserve"> </w:t>
      </w:r>
      <w:r>
        <w:rPr>
          <w:rFonts w:hint="eastAsia" w:ascii="仿宋" w:hAnsi="仿宋" w:eastAsia="仿宋" w:cs="仿宋"/>
          <w:color w:val="auto"/>
          <w:spacing w:val="11"/>
          <w:sz w:val="21"/>
          <w:szCs w:val="21"/>
          <w:highlight w:val="none"/>
        </w:rPr>
        <w:t>，有效期为____年</w:t>
      </w:r>
      <w:r>
        <w:rPr>
          <w:rFonts w:hint="eastAsia" w:ascii="仿宋" w:hAnsi="仿宋" w:eastAsia="仿宋" w:cs="仿宋"/>
          <w:color w:val="auto"/>
          <w:spacing w:val="-91"/>
          <w:sz w:val="21"/>
          <w:szCs w:val="21"/>
          <w:highlight w:val="none"/>
        </w:rPr>
        <w:t xml:space="preserve"> </w:t>
      </w:r>
      <w:r>
        <w:rPr>
          <w:rFonts w:hint="eastAsia" w:ascii="仿宋" w:hAnsi="仿宋" w:eastAsia="仿宋" w:cs="仿宋"/>
          <w:color w:val="auto"/>
          <w:spacing w:val="11"/>
          <w:sz w:val="21"/>
          <w:szCs w:val="21"/>
          <w:highlight w:val="none"/>
        </w:rPr>
        <w:t>，</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1"/>
          <w:sz w:val="21"/>
          <w:szCs w:val="21"/>
          <w:highlight w:val="none"/>
        </w:rPr>
        <w:t>自</w:t>
      </w:r>
      <w:r>
        <w:rPr>
          <w:rFonts w:hint="eastAsia" w:ascii="仿宋" w:hAnsi="仿宋" w:eastAsia="仿宋" w:cs="仿宋"/>
          <w:color w:val="auto"/>
          <w:spacing w:val="1"/>
          <w:sz w:val="21"/>
          <w:szCs w:val="21"/>
          <w:highlight w:val="none"/>
        </w:rPr>
        <w:t>____年____月____ 日至____年____月____ 日止。</w:t>
      </w:r>
    </w:p>
    <w:p w14:paraId="6DA33BFF">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8"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7.2  协议变更</w:t>
      </w:r>
    </w:p>
    <w:p w14:paraId="0E4601C6">
      <w:pPr>
        <w:keepNext w:val="0"/>
        <w:keepLines w:val="0"/>
        <w:pageBreakBefore w:val="0"/>
        <w:widowControl w:val="0"/>
        <w:kinsoku/>
        <w:wordWrap/>
        <w:overflowPunct/>
        <w:topLinePunct w:val="0"/>
        <w:autoSpaceDE/>
        <w:autoSpaceDN/>
        <w:bidi w:val="0"/>
        <w:adjustRightInd/>
        <w:snapToGrid/>
        <w:spacing w:line="560" w:lineRule="exact"/>
        <w:ind w:left="0" w:right="0" w:firstLine="45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7.2.1</w:t>
      </w:r>
      <w:r>
        <w:rPr>
          <w:rFonts w:hint="eastAsia" w:ascii="仿宋" w:hAnsi="仿宋" w:eastAsia="仿宋" w:cs="仿宋"/>
          <w:color w:val="auto"/>
          <w:spacing w:val="30"/>
          <w:sz w:val="21"/>
          <w:szCs w:val="21"/>
          <w:highlight w:val="none"/>
        </w:rPr>
        <w:t xml:space="preserve">  </w:t>
      </w:r>
      <w:r>
        <w:rPr>
          <w:rFonts w:hint="eastAsia" w:ascii="仿宋" w:hAnsi="仿宋" w:eastAsia="仿宋" w:cs="仿宋"/>
          <w:color w:val="auto"/>
          <w:spacing w:val="8"/>
          <w:sz w:val="21"/>
          <w:szCs w:val="21"/>
          <w:highlight w:val="none"/>
        </w:rPr>
        <w:t>因法律法规、政策调整或服务需求变化需变更协议条</w:t>
      </w:r>
      <w:r>
        <w:rPr>
          <w:rFonts w:hint="eastAsia" w:ascii="仿宋" w:hAnsi="仿宋" w:eastAsia="仿宋" w:cs="仿宋"/>
          <w:color w:val="auto"/>
          <w:spacing w:val="5"/>
          <w:sz w:val="21"/>
          <w:szCs w:val="21"/>
          <w:highlight w:val="none"/>
        </w:rPr>
        <w:t>款的，双方应协商一致并签订书面补充协议，补充协议与本协议</w:t>
      </w:r>
      <w:r>
        <w:rPr>
          <w:rFonts w:hint="eastAsia" w:ascii="仿宋" w:hAnsi="仿宋" w:eastAsia="仿宋" w:cs="仿宋"/>
          <w:color w:val="auto"/>
          <w:spacing w:val="7"/>
          <w:sz w:val="21"/>
          <w:szCs w:val="21"/>
          <w:highlight w:val="none"/>
        </w:rPr>
        <w:t>具有同等法律效力。</w:t>
      </w:r>
    </w:p>
    <w:p w14:paraId="41137307">
      <w:pPr>
        <w:keepNext w:val="0"/>
        <w:keepLines w:val="0"/>
        <w:pageBreakBefore w:val="0"/>
        <w:widowControl w:val="0"/>
        <w:kinsoku/>
        <w:wordWrap/>
        <w:overflowPunct/>
        <w:topLinePunct w:val="0"/>
        <w:autoSpaceDE/>
        <w:autoSpaceDN/>
        <w:bidi w:val="0"/>
        <w:adjustRightInd/>
        <w:snapToGrid/>
        <w:spacing w:line="560" w:lineRule="exact"/>
        <w:ind w:left="0" w:right="0" w:firstLine="444"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7.2.2  卫生防疫部门发布新防疫要求的，乙方应在24小时内</w:t>
      </w:r>
      <w:r>
        <w:rPr>
          <w:rFonts w:hint="eastAsia" w:ascii="仿宋" w:hAnsi="仿宋" w:eastAsia="仿宋" w:cs="仿宋"/>
          <w:color w:val="auto"/>
          <w:spacing w:val="8"/>
          <w:sz w:val="21"/>
          <w:szCs w:val="21"/>
          <w:highlight w:val="none"/>
        </w:rPr>
        <w:t>更新服务规程，甲方应配合提供政策解读。</w:t>
      </w:r>
    </w:p>
    <w:p w14:paraId="50AC3EA8">
      <w:pPr>
        <w:keepNext w:val="0"/>
        <w:keepLines w:val="0"/>
        <w:pageBreakBefore w:val="0"/>
        <w:widowControl w:val="0"/>
        <w:kinsoku/>
        <w:wordWrap/>
        <w:overflowPunct/>
        <w:topLinePunct w:val="0"/>
        <w:autoSpaceDE/>
        <w:autoSpaceDN/>
        <w:bidi w:val="0"/>
        <w:adjustRightInd/>
        <w:snapToGrid/>
        <w:spacing w:line="560" w:lineRule="exact"/>
        <w:ind w:left="0" w:right="0" w:firstLine="428"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7.3</w:t>
      </w:r>
      <w:r>
        <w:rPr>
          <w:rFonts w:hint="eastAsia" w:ascii="仿宋" w:hAnsi="仿宋" w:eastAsia="仿宋" w:cs="仿宋"/>
          <w:color w:val="auto"/>
          <w:spacing w:val="14"/>
          <w:sz w:val="21"/>
          <w:szCs w:val="21"/>
          <w:highlight w:val="none"/>
        </w:rPr>
        <w:t xml:space="preserve">  </w:t>
      </w:r>
      <w:r>
        <w:rPr>
          <w:rFonts w:hint="eastAsia" w:ascii="仿宋" w:hAnsi="仿宋" w:eastAsia="仿宋" w:cs="仿宋"/>
          <w:color w:val="auto"/>
          <w:spacing w:val="2"/>
          <w:sz w:val="21"/>
          <w:szCs w:val="21"/>
          <w:highlight w:val="none"/>
        </w:rPr>
        <w:t>协议终止</w:t>
      </w:r>
    </w:p>
    <w:p w14:paraId="42022395">
      <w:pPr>
        <w:keepNext w:val="0"/>
        <w:keepLines w:val="0"/>
        <w:pageBreakBefore w:val="0"/>
        <w:widowControl w:val="0"/>
        <w:kinsoku/>
        <w:wordWrap/>
        <w:overflowPunct/>
        <w:topLinePunct w:val="0"/>
        <w:autoSpaceDE/>
        <w:autoSpaceDN/>
        <w:bidi w:val="0"/>
        <w:adjustRightInd/>
        <w:snapToGrid/>
        <w:spacing w:line="560" w:lineRule="exact"/>
        <w:ind w:left="0" w:right="0" w:firstLine="456"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9"/>
          <w:sz w:val="21"/>
          <w:szCs w:val="21"/>
          <w:highlight w:val="none"/>
        </w:rPr>
        <w:t>7.3.1  协议有效期届满，双方无异议的可续签；一方不愿续</w:t>
      </w:r>
      <w:r>
        <w:rPr>
          <w:rFonts w:hint="eastAsia" w:ascii="仿宋" w:hAnsi="仿宋" w:eastAsia="仿宋" w:cs="仿宋"/>
          <w:color w:val="auto"/>
          <w:spacing w:val="1"/>
          <w:sz w:val="21"/>
          <w:szCs w:val="21"/>
          <w:highlight w:val="none"/>
        </w:rPr>
        <w:t>签的，应提前</w:t>
      </w:r>
      <w:r>
        <w:rPr>
          <w:rFonts w:hint="eastAsia" w:ascii="仿宋" w:hAnsi="仿宋" w:eastAsia="仿宋" w:cs="仿宋"/>
          <w:color w:val="auto"/>
          <w:spacing w:val="-51"/>
          <w:sz w:val="21"/>
          <w:szCs w:val="21"/>
          <w:highlight w:val="none"/>
        </w:rPr>
        <w:t xml:space="preserve"> </w:t>
      </w:r>
      <w:r>
        <w:rPr>
          <w:rFonts w:hint="eastAsia" w:ascii="仿宋" w:hAnsi="仿宋" w:eastAsia="仿宋" w:cs="仿宋"/>
          <w:color w:val="auto"/>
          <w:spacing w:val="1"/>
          <w:sz w:val="21"/>
          <w:szCs w:val="21"/>
          <w:highlight w:val="none"/>
        </w:rPr>
        <w:t>30日书面通知对方。</w:t>
      </w:r>
    </w:p>
    <w:p w14:paraId="39D2B942">
      <w:pPr>
        <w:keepNext w:val="0"/>
        <w:keepLines w:val="0"/>
        <w:pageBreakBefore w:val="0"/>
        <w:widowControl w:val="0"/>
        <w:kinsoku/>
        <w:wordWrap/>
        <w:overflowPunct/>
        <w:topLinePunct w:val="0"/>
        <w:autoSpaceDE/>
        <w:autoSpaceDN/>
        <w:bidi w:val="0"/>
        <w:adjustRightInd/>
        <w:snapToGrid/>
        <w:spacing w:line="560" w:lineRule="exact"/>
        <w:ind w:left="0" w:right="0" w:firstLine="44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7.3.2</w:t>
      </w:r>
      <w:r>
        <w:rPr>
          <w:rFonts w:hint="eastAsia" w:ascii="仿宋" w:hAnsi="仿宋" w:eastAsia="仿宋" w:cs="仿宋"/>
          <w:color w:val="auto"/>
          <w:spacing w:val="26"/>
          <w:sz w:val="21"/>
          <w:szCs w:val="21"/>
          <w:highlight w:val="none"/>
        </w:rPr>
        <w:t xml:space="preserve">  </w:t>
      </w:r>
      <w:r>
        <w:rPr>
          <w:rFonts w:hint="eastAsia" w:ascii="仿宋" w:hAnsi="仿宋" w:eastAsia="仿宋" w:cs="仿宋"/>
          <w:color w:val="auto"/>
          <w:spacing w:val="5"/>
          <w:sz w:val="21"/>
          <w:szCs w:val="21"/>
          <w:highlight w:val="none"/>
        </w:rPr>
        <w:t>乙方服务质量评价不达标（连续</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5"/>
          <w:sz w:val="21"/>
          <w:szCs w:val="21"/>
          <w:highlight w:val="none"/>
        </w:rPr>
        <w:t>2次评</w:t>
      </w:r>
      <w:r>
        <w:rPr>
          <w:rFonts w:hint="eastAsia" w:ascii="仿宋" w:hAnsi="仿宋" w:eastAsia="仿宋" w:cs="仿宋"/>
          <w:color w:val="auto"/>
          <w:spacing w:val="4"/>
          <w:sz w:val="21"/>
          <w:szCs w:val="21"/>
          <w:highlight w:val="none"/>
        </w:rPr>
        <w:t>价低于</w:t>
      </w:r>
      <w:r>
        <w:rPr>
          <w:rFonts w:hint="eastAsia" w:ascii="仿宋" w:hAnsi="仿宋" w:eastAsia="仿宋" w:cs="仿宋"/>
          <w:color w:val="auto"/>
          <w:spacing w:val="-54"/>
          <w:sz w:val="21"/>
          <w:szCs w:val="21"/>
          <w:highlight w:val="none"/>
        </w:rPr>
        <w:t xml:space="preserve"> </w:t>
      </w:r>
      <w:r>
        <w:rPr>
          <w:rFonts w:hint="eastAsia" w:ascii="仿宋" w:hAnsi="仿宋" w:eastAsia="仿宋" w:cs="仿宋"/>
          <w:color w:val="auto"/>
          <w:spacing w:val="4"/>
          <w:sz w:val="21"/>
          <w:szCs w:val="21"/>
          <w:highlight w:val="none"/>
        </w:rPr>
        <w:t>80分）</w:t>
      </w:r>
      <w:r>
        <w:rPr>
          <w:rFonts w:hint="eastAsia" w:ascii="仿宋" w:hAnsi="仿宋" w:eastAsia="仿宋" w:cs="仿宋"/>
          <w:color w:val="auto"/>
          <w:spacing w:val="5"/>
          <w:sz w:val="21"/>
          <w:szCs w:val="21"/>
          <w:highlight w:val="none"/>
        </w:rPr>
        <w:t>或违反本协议核心条款（如违规收费、数据造假等）的，甲方有</w:t>
      </w:r>
      <w:r>
        <w:rPr>
          <w:rFonts w:hint="eastAsia" w:ascii="仿宋" w:hAnsi="仿宋" w:eastAsia="仿宋" w:cs="仿宋"/>
          <w:color w:val="auto"/>
          <w:spacing w:val="8"/>
          <w:sz w:val="21"/>
          <w:szCs w:val="21"/>
          <w:highlight w:val="none"/>
        </w:rPr>
        <w:t>权单方终止协议，并书面通知乙方。</w:t>
      </w:r>
    </w:p>
    <w:p w14:paraId="5C619D5C">
      <w:pPr>
        <w:keepNext w:val="0"/>
        <w:keepLines w:val="0"/>
        <w:pageBreakBefore w:val="0"/>
        <w:widowControl w:val="0"/>
        <w:kinsoku/>
        <w:wordWrap/>
        <w:overflowPunct/>
        <w:topLinePunct w:val="0"/>
        <w:autoSpaceDE/>
        <w:autoSpaceDN/>
        <w:bidi w:val="0"/>
        <w:adjustRightInd/>
        <w:snapToGrid/>
        <w:spacing w:line="560" w:lineRule="exact"/>
        <w:ind w:left="0" w:right="0" w:firstLine="448"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第八章 违约责任</w:t>
      </w:r>
    </w:p>
    <w:p w14:paraId="0921BB0E">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1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rPr>
        <w:t>8.1</w:t>
      </w:r>
      <w:r>
        <w:rPr>
          <w:rFonts w:hint="eastAsia" w:ascii="仿宋" w:hAnsi="仿宋" w:eastAsia="仿宋" w:cs="仿宋"/>
          <w:color w:val="auto"/>
          <w:spacing w:val="28"/>
          <w:sz w:val="21"/>
          <w:szCs w:val="21"/>
          <w:highlight w:val="none"/>
        </w:rPr>
        <w:t xml:space="preserve">  </w:t>
      </w:r>
      <w:r>
        <w:rPr>
          <w:rFonts w:hint="eastAsia" w:ascii="仿宋" w:hAnsi="仿宋" w:eastAsia="仿宋" w:cs="仿宋"/>
          <w:color w:val="auto"/>
          <w:spacing w:val="-3"/>
          <w:sz w:val="21"/>
          <w:szCs w:val="21"/>
          <w:highlight w:val="none"/>
        </w:rPr>
        <w:t>甲方违约</w:t>
      </w:r>
    </w:p>
    <w:p w14:paraId="141EB940">
      <w:pPr>
        <w:keepNext w:val="0"/>
        <w:keepLines w:val="0"/>
        <w:pageBreakBefore w:val="0"/>
        <w:widowControl w:val="0"/>
        <w:kinsoku/>
        <w:wordWrap/>
        <w:overflowPunct/>
        <w:topLinePunct w:val="0"/>
        <w:autoSpaceDE/>
        <w:autoSpaceDN/>
        <w:bidi w:val="0"/>
        <w:adjustRightInd/>
        <w:snapToGrid/>
        <w:spacing w:line="560" w:lineRule="exact"/>
        <w:ind w:left="0" w:right="0" w:firstLine="448"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7"/>
          <w:position w:val="2"/>
          <w:sz w:val="21"/>
          <w:szCs w:val="21"/>
          <w:highlight w:val="none"/>
        </w:rPr>
        <w:t>甲方未按约定结算服务费用的</w:t>
      </w:r>
      <w:r>
        <w:rPr>
          <w:rFonts w:hint="eastAsia" w:ascii="仿宋" w:hAnsi="仿宋" w:eastAsia="仿宋" w:cs="仿宋"/>
          <w:color w:val="auto"/>
          <w:spacing w:val="-78"/>
          <w:position w:val="2"/>
          <w:sz w:val="21"/>
          <w:szCs w:val="21"/>
          <w:highlight w:val="none"/>
        </w:rPr>
        <w:t xml:space="preserve"> </w:t>
      </w:r>
      <w:r>
        <w:rPr>
          <w:rFonts w:hint="eastAsia" w:ascii="仿宋" w:hAnsi="仿宋" w:eastAsia="仿宋" w:cs="仿宋"/>
          <w:color w:val="auto"/>
          <w:spacing w:val="7"/>
          <w:position w:val="2"/>
          <w:sz w:val="21"/>
          <w:szCs w:val="21"/>
          <w:highlight w:val="none"/>
        </w:rPr>
        <w:t>，每逾期</w:t>
      </w:r>
      <w:r>
        <w:rPr>
          <w:rFonts w:hint="eastAsia" w:ascii="仿宋" w:hAnsi="仿宋" w:eastAsia="仿宋" w:cs="仿宋"/>
          <w:color w:val="auto"/>
          <w:spacing w:val="-28"/>
          <w:position w:val="2"/>
          <w:sz w:val="21"/>
          <w:szCs w:val="21"/>
          <w:highlight w:val="none"/>
        </w:rPr>
        <w:t xml:space="preserve"> </w:t>
      </w:r>
      <w:r>
        <w:rPr>
          <w:rFonts w:hint="eastAsia" w:ascii="仿宋" w:hAnsi="仿宋" w:eastAsia="仿宋" w:cs="仿宋"/>
          <w:color w:val="auto"/>
          <w:spacing w:val="7"/>
          <w:position w:val="2"/>
          <w:sz w:val="21"/>
          <w:szCs w:val="21"/>
          <w:highlight w:val="none"/>
        </w:rPr>
        <w:t>1  日按应付金额的</w:t>
      </w:r>
      <w:r>
        <w:rPr>
          <w:rFonts w:hint="eastAsia" w:ascii="仿宋" w:hAnsi="仿宋" w:eastAsia="仿宋" w:cs="仿宋"/>
          <w:color w:val="auto"/>
          <w:spacing w:val="6"/>
          <w:position w:val="2"/>
          <w:sz w:val="21"/>
          <w:szCs w:val="21"/>
          <w:highlight w:val="none"/>
        </w:rPr>
        <w:t>0.5‰向乙方支付违约金。</w:t>
      </w:r>
    </w:p>
    <w:p w14:paraId="0D42E276">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22"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8.2</w:t>
      </w:r>
      <w:r>
        <w:rPr>
          <w:rFonts w:hint="eastAsia" w:ascii="仿宋" w:hAnsi="仿宋" w:eastAsia="仿宋" w:cs="仿宋"/>
          <w:color w:val="auto"/>
          <w:spacing w:val="17"/>
          <w:sz w:val="21"/>
          <w:szCs w:val="21"/>
          <w:highlight w:val="none"/>
        </w:rPr>
        <w:t xml:space="preserve">  </w:t>
      </w:r>
      <w:r>
        <w:rPr>
          <w:rFonts w:hint="eastAsia" w:ascii="仿宋" w:hAnsi="仿宋" w:eastAsia="仿宋" w:cs="仿宋"/>
          <w:color w:val="auto"/>
          <w:sz w:val="21"/>
          <w:szCs w:val="21"/>
          <w:highlight w:val="none"/>
        </w:rPr>
        <w:t>乙方违约</w:t>
      </w:r>
    </w:p>
    <w:p w14:paraId="05D62491">
      <w:pPr>
        <w:keepNext w:val="0"/>
        <w:keepLines w:val="0"/>
        <w:pageBreakBefore w:val="0"/>
        <w:widowControl w:val="0"/>
        <w:kinsoku/>
        <w:wordWrap/>
        <w:overflowPunct/>
        <w:topLinePunct w:val="0"/>
        <w:autoSpaceDE/>
        <w:autoSpaceDN/>
        <w:bidi w:val="0"/>
        <w:adjustRightInd/>
        <w:snapToGrid/>
        <w:spacing w:line="560" w:lineRule="exact"/>
        <w:ind w:left="0" w:right="0" w:firstLine="44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8.2.1</w:t>
      </w:r>
      <w:r>
        <w:rPr>
          <w:rFonts w:hint="eastAsia" w:ascii="仿宋" w:hAnsi="仿宋" w:eastAsia="仿宋" w:cs="仿宋"/>
          <w:color w:val="auto"/>
          <w:spacing w:val="26"/>
          <w:sz w:val="21"/>
          <w:szCs w:val="21"/>
          <w:highlight w:val="none"/>
        </w:rPr>
        <w:t xml:space="preserve">  </w:t>
      </w:r>
      <w:r>
        <w:rPr>
          <w:rFonts w:hint="eastAsia" w:ascii="仿宋" w:hAnsi="仿宋" w:eastAsia="仿宋" w:cs="仿宋"/>
          <w:color w:val="auto"/>
          <w:spacing w:val="5"/>
          <w:sz w:val="21"/>
          <w:szCs w:val="21"/>
          <w:highlight w:val="none"/>
        </w:rPr>
        <w:t>乙方未按调度指令时限响应（城区30 分钟内、偏远地</w:t>
      </w:r>
      <w:r>
        <w:rPr>
          <w:rFonts w:hint="eastAsia" w:ascii="仿宋" w:hAnsi="仿宋" w:eastAsia="仿宋" w:cs="仿宋"/>
          <w:color w:val="auto"/>
          <w:spacing w:val="-1"/>
          <w:sz w:val="21"/>
          <w:szCs w:val="21"/>
          <w:highlight w:val="none"/>
        </w:rPr>
        <w:t>区</w:t>
      </w:r>
      <w:r>
        <w:rPr>
          <w:rFonts w:hint="eastAsia" w:ascii="仿宋" w:hAnsi="仿宋" w:eastAsia="仿宋" w:cs="仿宋"/>
          <w:color w:val="auto"/>
          <w:spacing w:val="-18"/>
          <w:sz w:val="21"/>
          <w:szCs w:val="21"/>
          <w:highlight w:val="none"/>
        </w:rPr>
        <w:t xml:space="preserve"> </w:t>
      </w:r>
      <w:r>
        <w:rPr>
          <w:rFonts w:hint="eastAsia" w:ascii="仿宋" w:hAnsi="仿宋" w:eastAsia="仿宋" w:cs="仿宋"/>
          <w:color w:val="auto"/>
          <w:spacing w:val="-1"/>
          <w:sz w:val="21"/>
          <w:szCs w:val="21"/>
          <w:highlight w:val="none"/>
        </w:rPr>
        <w:t>1小时内）的，每延误</w:t>
      </w:r>
      <w:r>
        <w:rPr>
          <w:rFonts w:hint="eastAsia" w:ascii="仿宋" w:hAnsi="仿宋" w:eastAsia="仿宋" w:cs="仿宋"/>
          <w:color w:val="auto"/>
          <w:spacing w:val="-38"/>
          <w:sz w:val="21"/>
          <w:szCs w:val="21"/>
          <w:highlight w:val="none"/>
        </w:rPr>
        <w:t xml:space="preserve"> </w:t>
      </w:r>
      <w:r>
        <w:rPr>
          <w:rFonts w:hint="eastAsia" w:ascii="仿宋" w:hAnsi="仿宋" w:eastAsia="仿宋" w:cs="仿宋"/>
          <w:color w:val="auto"/>
          <w:spacing w:val="-1"/>
          <w:sz w:val="21"/>
          <w:szCs w:val="21"/>
          <w:highlight w:val="none"/>
        </w:rPr>
        <w:t>1</w:t>
      </w:r>
      <w:r>
        <w:rPr>
          <w:rFonts w:hint="eastAsia" w:ascii="仿宋" w:hAnsi="仿宋" w:eastAsia="仿宋" w:cs="仿宋"/>
          <w:color w:val="auto"/>
          <w:spacing w:val="23"/>
          <w:sz w:val="21"/>
          <w:szCs w:val="21"/>
          <w:highlight w:val="none"/>
        </w:rPr>
        <w:t xml:space="preserve"> </w:t>
      </w:r>
      <w:r>
        <w:rPr>
          <w:rFonts w:hint="eastAsia" w:ascii="仿宋" w:hAnsi="仿宋" w:eastAsia="仿宋" w:cs="仿宋"/>
          <w:color w:val="auto"/>
          <w:spacing w:val="-1"/>
          <w:sz w:val="21"/>
          <w:szCs w:val="21"/>
          <w:highlight w:val="none"/>
        </w:rPr>
        <w:t>次向甲方支付违约金</w:t>
      </w:r>
      <w:r>
        <w:rPr>
          <w:rFonts w:hint="eastAsia" w:ascii="仿宋" w:hAnsi="仿宋" w:eastAsia="仿宋" w:cs="仿宋"/>
          <w:color w:val="auto"/>
          <w:spacing w:val="-60"/>
          <w:sz w:val="21"/>
          <w:szCs w:val="21"/>
          <w:highlight w:val="none"/>
        </w:rPr>
        <w:t xml:space="preserve"> </w:t>
      </w:r>
      <w:r>
        <w:rPr>
          <w:rFonts w:hint="eastAsia" w:ascii="仿宋" w:hAnsi="仿宋" w:eastAsia="仿宋" w:cs="仿宋"/>
          <w:color w:val="auto"/>
          <w:spacing w:val="-1"/>
          <w:sz w:val="21"/>
          <w:szCs w:val="21"/>
          <w:highlight w:val="none"/>
        </w:rPr>
        <w:t>500元；累计延</w:t>
      </w:r>
      <w:r>
        <w:rPr>
          <w:rFonts w:hint="eastAsia" w:ascii="仿宋" w:hAnsi="仿宋" w:eastAsia="仿宋" w:cs="仿宋"/>
          <w:color w:val="auto"/>
          <w:spacing w:val="1"/>
          <w:sz w:val="21"/>
          <w:szCs w:val="21"/>
          <w:highlight w:val="none"/>
        </w:rPr>
        <w:t>误</w:t>
      </w:r>
      <w:r>
        <w:rPr>
          <w:rFonts w:hint="eastAsia" w:ascii="仿宋" w:hAnsi="仿宋" w:eastAsia="仿宋" w:cs="仿宋"/>
          <w:color w:val="auto"/>
          <w:spacing w:val="-47"/>
          <w:sz w:val="21"/>
          <w:szCs w:val="21"/>
          <w:highlight w:val="none"/>
        </w:rPr>
        <w:t xml:space="preserve"> </w:t>
      </w:r>
      <w:r>
        <w:rPr>
          <w:rFonts w:hint="eastAsia" w:ascii="仿宋" w:hAnsi="仿宋" w:eastAsia="仿宋" w:cs="仿宋"/>
          <w:color w:val="auto"/>
          <w:spacing w:val="1"/>
          <w:sz w:val="21"/>
          <w:szCs w:val="21"/>
          <w:highlight w:val="none"/>
        </w:rPr>
        <w:t>3次的，甲方有权暂停其服务资格</w:t>
      </w:r>
      <w:r>
        <w:rPr>
          <w:rFonts w:hint="eastAsia" w:ascii="仿宋" w:hAnsi="仿宋" w:eastAsia="仿宋" w:cs="仿宋"/>
          <w:color w:val="auto"/>
          <w:spacing w:val="-61"/>
          <w:sz w:val="21"/>
          <w:szCs w:val="21"/>
          <w:highlight w:val="none"/>
        </w:rPr>
        <w:t xml:space="preserve"> </w:t>
      </w:r>
      <w:r>
        <w:rPr>
          <w:rFonts w:hint="eastAsia" w:ascii="仿宋" w:hAnsi="仿宋" w:eastAsia="仿宋" w:cs="仿宋"/>
          <w:color w:val="auto"/>
          <w:spacing w:val="-61"/>
          <w:sz w:val="21"/>
          <w:szCs w:val="21"/>
          <w:highlight w:val="none"/>
          <w:lang w:val="en-US" w:eastAsia="zh-CN"/>
        </w:rPr>
        <w:t>7</w:t>
      </w:r>
      <w:r>
        <w:rPr>
          <w:rFonts w:hint="eastAsia" w:ascii="仿宋" w:hAnsi="仿宋" w:eastAsia="仿宋" w:cs="仿宋"/>
          <w:color w:val="auto"/>
          <w:spacing w:val="1"/>
          <w:sz w:val="21"/>
          <w:szCs w:val="21"/>
          <w:highlight w:val="none"/>
        </w:rPr>
        <w:t>日。</w:t>
      </w:r>
    </w:p>
    <w:p w14:paraId="4A8E54D9">
      <w:pPr>
        <w:keepNext w:val="0"/>
        <w:keepLines w:val="0"/>
        <w:pageBreakBefore w:val="0"/>
        <w:widowControl w:val="0"/>
        <w:kinsoku/>
        <w:wordWrap/>
        <w:overflowPunct/>
        <w:topLinePunct w:val="0"/>
        <w:autoSpaceDE/>
        <w:autoSpaceDN/>
        <w:bidi w:val="0"/>
        <w:adjustRightInd/>
        <w:snapToGrid/>
        <w:spacing w:line="560" w:lineRule="exact"/>
        <w:ind w:left="0" w:right="0" w:firstLine="45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8"/>
          <w:position w:val="2"/>
          <w:sz w:val="21"/>
          <w:szCs w:val="21"/>
          <w:highlight w:val="none"/>
        </w:rPr>
        <w:t>8.2.2</w:t>
      </w:r>
      <w:r>
        <w:rPr>
          <w:rFonts w:hint="eastAsia" w:ascii="仿宋" w:hAnsi="仿宋" w:eastAsia="仿宋" w:cs="仿宋"/>
          <w:color w:val="auto"/>
          <w:spacing w:val="28"/>
          <w:position w:val="2"/>
          <w:sz w:val="21"/>
          <w:szCs w:val="21"/>
          <w:highlight w:val="none"/>
        </w:rPr>
        <w:t xml:space="preserve">  </w:t>
      </w:r>
      <w:r>
        <w:rPr>
          <w:rFonts w:hint="eastAsia" w:ascii="仿宋" w:hAnsi="仿宋" w:eastAsia="仿宋" w:cs="仿宋"/>
          <w:color w:val="auto"/>
          <w:spacing w:val="8"/>
          <w:position w:val="2"/>
          <w:sz w:val="21"/>
          <w:szCs w:val="21"/>
          <w:highlight w:val="none"/>
        </w:rPr>
        <w:t>乙方违反约定收费、索要财物或擅自泄露逝者</w:t>
      </w:r>
      <w:r>
        <w:rPr>
          <w:rFonts w:hint="eastAsia" w:ascii="仿宋" w:hAnsi="仿宋" w:eastAsia="仿宋" w:cs="仿宋"/>
          <w:color w:val="auto"/>
          <w:spacing w:val="7"/>
          <w:position w:val="2"/>
          <w:sz w:val="21"/>
          <w:szCs w:val="21"/>
          <w:highlight w:val="none"/>
        </w:rPr>
        <w:t>隐私及</w:t>
      </w:r>
      <w:r>
        <w:rPr>
          <w:rFonts w:hint="eastAsia" w:ascii="仿宋" w:hAnsi="仿宋" w:eastAsia="仿宋" w:cs="仿宋"/>
          <w:color w:val="auto"/>
          <w:spacing w:val="3"/>
          <w:sz w:val="21"/>
          <w:szCs w:val="21"/>
          <w:highlight w:val="none"/>
        </w:rPr>
        <w:t>服务信息的，应向甲方支付</w:t>
      </w:r>
      <w:r>
        <w:rPr>
          <w:rFonts w:hint="eastAsia" w:ascii="仿宋" w:hAnsi="仿宋" w:eastAsia="仿宋" w:cs="仿宋"/>
          <w:color w:val="auto"/>
          <w:spacing w:val="-36"/>
          <w:sz w:val="21"/>
          <w:szCs w:val="21"/>
          <w:highlight w:val="none"/>
        </w:rPr>
        <w:t xml:space="preserve"> </w:t>
      </w:r>
      <w:r>
        <w:rPr>
          <w:rFonts w:hint="eastAsia" w:ascii="仿宋" w:hAnsi="仿宋" w:eastAsia="仿宋" w:cs="仿宋"/>
          <w:color w:val="auto"/>
          <w:spacing w:val="3"/>
          <w:sz w:val="21"/>
          <w:szCs w:val="21"/>
          <w:highlight w:val="none"/>
        </w:rPr>
        <w:t>1万元违约金并承担家属全部</w:t>
      </w:r>
      <w:r>
        <w:rPr>
          <w:rFonts w:hint="eastAsia" w:ascii="仿宋" w:hAnsi="仿宋" w:eastAsia="仿宋" w:cs="仿宋"/>
          <w:color w:val="auto"/>
          <w:spacing w:val="2"/>
          <w:sz w:val="21"/>
          <w:szCs w:val="21"/>
          <w:highlight w:val="none"/>
        </w:rPr>
        <w:t>损失赔</w:t>
      </w:r>
      <w:r>
        <w:rPr>
          <w:rFonts w:hint="eastAsia" w:ascii="仿宋" w:hAnsi="仿宋" w:eastAsia="仿宋" w:cs="仿宋"/>
          <w:color w:val="auto"/>
          <w:spacing w:val="5"/>
          <w:sz w:val="21"/>
          <w:szCs w:val="21"/>
          <w:highlight w:val="none"/>
        </w:rPr>
        <w:t>偿责任。</w:t>
      </w:r>
    </w:p>
    <w:p w14:paraId="09550C52">
      <w:pPr>
        <w:keepNext w:val="0"/>
        <w:keepLines w:val="0"/>
        <w:pageBreakBefore w:val="0"/>
        <w:widowControl w:val="0"/>
        <w:kinsoku/>
        <w:wordWrap/>
        <w:overflowPunct/>
        <w:topLinePunct w:val="0"/>
        <w:autoSpaceDE/>
        <w:autoSpaceDN/>
        <w:bidi w:val="0"/>
        <w:adjustRightInd/>
        <w:snapToGrid/>
        <w:spacing w:line="560" w:lineRule="exact"/>
        <w:ind w:left="0" w:right="0" w:firstLine="424"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8.2.3</w:t>
      </w:r>
      <w:r>
        <w:rPr>
          <w:rFonts w:hint="eastAsia" w:ascii="仿宋" w:hAnsi="仿宋" w:eastAsia="仿宋" w:cs="仿宋"/>
          <w:color w:val="auto"/>
          <w:spacing w:val="28"/>
          <w:sz w:val="21"/>
          <w:szCs w:val="21"/>
          <w:highlight w:val="none"/>
        </w:rPr>
        <w:t xml:space="preserve">  </w:t>
      </w:r>
      <w:r>
        <w:rPr>
          <w:rFonts w:hint="eastAsia" w:ascii="仿宋" w:hAnsi="仿宋" w:eastAsia="仿宋" w:cs="仿宋"/>
          <w:color w:val="auto"/>
          <w:spacing w:val="1"/>
          <w:sz w:val="21"/>
          <w:szCs w:val="21"/>
          <w:highlight w:val="none"/>
        </w:rPr>
        <w:t>乙方提供虚假服务记录或数据的，甲方有权终止协议，</w:t>
      </w:r>
      <w:r>
        <w:rPr>
          <w:rFonts w:hint="eastAsia" w:ascii="仿宋" w:hAnsi="仿宋" w:eastAsia="仿宋" w:cs="仿宋"/>
          <w:color w:val="auto"/>
          <w:spacing w:val="4"/>
          <w:sz w:val="21"/>
          <w:szCs w:val="21"/>
          <w:highlight w:val="none"/>
        </w:rPr>
        <w:t>没收履约保证金（如有</w:t>
      </w:r>
      <w:r>
        <w:rPr>
          <w:rFonts w:hint="eastAsia" w:ascii="仿宋" w:hAnsi="仿宋" w:eastAsia="仿宋" w:cs="仿宋"/>
          <w:color w:val="auto"/>
          <w:spacing w:val="-81"/>
          <w:sz w:val="21"/>
          <w:szCs w:val="21"/>
          <w:highlight w:val="none"/>
        </w:rPr>
        <w:t>），</w:t>
      </w:r>
      <w:r>
        <w:rPr>
          <w:rFonts w:hint="eastAsia" w:ascii="仿宋" w:hAnsi="仿宋" w:eastAsia="仿宋" w:cs="仿宋"/>
          <w:color w:val="auto"/>
          <w:spacing w:val="4"/>
          <w:sz w:val="21"/>
          <w:szCs w:val="21"/>
          <w:highlight w:val="none"/>
        </w:rPr>
        <w:t>并将乙方列入殡葬服务行业失信名单。</w:t>
      </w:r>
    </w:p>
    <w:p w14:paraId="257C8E65">
      <w:pPr>
        <w:keepNext w:val="0"/>
        <w:keepLines w:val="0"/>
        <w:pageBreakBefore w:val="0"/>
        <w:widowControl w:val="0"/>
        <w:kinsoku/>
        <w:wordWrap/>
        <w:overflowPunct/>
        <w:topLinePunct w:val="0"/>
        <w:autoSpaceDE/>
        <w:autoSpaceDN/>
        <w:bidi w:val="0"/>
        <w:adjustRightInd/>
        <w:snapToGrid/>
        <w:spacing w:line="560" w:lineRule="exact"/>
        <w:ind w:left="0" w:right="0" w:firstLine="448"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第九章 争议解决</w:t>
      </w:r>
    </w:p>
    <w:p w14:paraId="3C7E6E89">
      <w:pPr>
        <w:keepNext w:val="0"/>
        <w:keepLines w:val="0"/>
        <w:pageBreakBefore w:val="0"/>
        <w:widowControl w:val="0"/>
        <w:kinsoku/>
        <w:wordWrap/>
        <w:overflowPunct/>
        <w:topLinePunct w:val="0"/>
        <w:autoSpaceDE/>
        <w:autoSpaceDN/>
        <w:bidi w:val="0"/>
        <w:adjustRightInd/>
        <w:snapToGrid/>
        <w:spacing w:line="560" w:lineRule="exact"/>
        <w:ind w:left="0" w:right="0" w:firstLine="40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因本协议履行发生的争议，双方应先协商解决；协商不成的，</w:t>
      </w:r>
      <w:r>
        <w:rPr>
          <w:rFonts w:hint="eastAsia" w:ascii="仿宋" w:hAnsi="仿宋" w:eastAsia="仿宋" w:cs="仿宋"/>
          <w:color w:val="auto"/>
          <w:spacing w:val="3"/>
          <w:sz w:val="21"/>
          <w:szCs w:val="21"/>
          <w:highlight w:val="none"/>
        </w:rPr>
        <w:t>可提请</w:t>
      </w:r>
      <w:r>
        <w:rPr>
          <w:rFonts w:hint="eastAsia" w:ascii="仿宋" w:hAnsi="仿宋" w:eastAsia="仿宋" w:cs="仿宋"/>
          <w:color w:val="auto"/>
          <w:spacing w:val="3"/>
          <w:sz w:val="21"/>
          <w:szCs w:val="21"/>
          <w:highlight w:val="none"/>
          <w:u w:val="single" w:color="auto"/>
        </w:rPr>
        <w:t xml:space="preserve">    </w:t>
      </w:r>
      <w:r>
        <w:rPr>
          <w:rFonts w:hint="eastAsia" w:ascii="仿宋" w:hAnsi="仿宋" w:eastAsia="仿宋" w:cs="仿宋"/>
          <w:color w:val="auto"/>
          <w:spacing w:val="-99"/>
          <w:sz w:val="21"/>
          <w:szCs w:val="21"/>
          <w:highlight w:val="none"/>
        </w:rPr>
        <w:t xml:space="preserve"> </w:t>
      </w:r>
      <w:r>
        <w:rPr>
          <w:rFonts w:hint="eastAsia" w:ascii="仿宋" w:hAnsi="仿宋" w:eastAsia="仿宋" w:cs="仿宋"/>
          <w:color w:val="auto"/>
          <w:spacing w:val="3"/>
          <w:sz w:val="21"/>
          <w:szCs w:val="21"/>
          <w:highlight w:val="none"/>
        </w:rPr>
        <w:t>区民政局调解；调解不成的，依法向甲方</w:t>
      </w:r>
      <w:r>
        <w:rPr>
          <w:rFonts w:hint="eastAsia" w:ascii="仿宋" w:hAnsi="仿宋" w:eastAsia="仿宋" w:cs="仿宋"/>
          <w:color w:val="auto"/>
          <w:spacing w:val="2"/>
          <w:sz w:val="21"/>
          <w:szCs w:val="21"/>
          <w:highlight w:val="none"/>
        </w:rPr>
        <w:t>所在地人民</w:t>
      </w:r>
      <w:r>
        <w:rPr>
          <w:rFonts w:hint="eastAsia" w:ascii="仿宋" w:hAnsi="仿宋" w:eastAsia="仿宋" w:cs="仿宋"/>
          <w:color w:val="auto"/>
          <w:spacing w:val="5"/>
          <w:sz w:val="21"/>
          <w:szCs w:val="21"/>
          <w:highlight w:val="none"/>
        </w:rPr>
        <w:t>法院提起诉讼。</w:t>
      </w:r>
    </w:p>
    <w:p w14:paraId="621703DD">
      <w:pPr>
        <w:keepNext w:val="0"/>
        <w:keepLines w:val="0"/>
        <w:pageBreakBefore w:val="0"/>
        <w:widowControl w:val="0"/>
        <w:kinsoku/>
        <w:wordWrap/>
        <w:overflowPunct/>
        <w:topLinePunct w:val="0"/>
        <w:autoSpaceDE/>
        <w:autoSpaceDN/>
        <w:bidi w:val="0"/>
        <w:adjustRightInd/>
        <w:snapToGrid/>
        <w:spacing w:line="560" w:lineRule="exact"/>
        <w:ind w:left="0" w:right="0" w:firstLine="408"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rPr>
        <w:t>第十章</w:t>
      </w:r>
      <w:r>
        <w:rPr>
          <w:rFonts w:hint="eastAsia" w:ascii="仿宋" w:hAnsi="仿宋" w:eastAsia="仿宋" w:cs="仿宋"/>
          <w:color w:val="auto"/>
          <w:spacing w:val="42"/>
          <w:sz w:val="21"/>
          <w:szCs w:val="21"/>
          <w:highlight w:val="none"/>
        </w:rPr>
        <w:t xml:space="preserve"> </w:t>
      </w:r>
      <w:r>
        <w:rPr>
          <w:rFonts w:hint="eastAsia" w:ascii="仿宋" w:hAnsi="仿宋" w:eastAsia="仿宋" w:cs="仿宋"/>
          <w:color w:val="auto"/>
          <w:spacing w:val="-3"/>
          <w:sz w:val="21"/>
          <w:szCs w:val="21"/>
          <w:highlight w:val="none"/>
        </w:rPr>
        <w:t>附</w:t>
      </w:r>
      <w:r>
        <w:rPr>
          <w:rFonts w:hint="eastAsia" w:ascii="仿宋" w:hAnsi="仿宋" w:eastAsia="仿宋" w:cs="仿宋"/>
          <w:color w:val="auto"/>
          <w:spacing w:val="8"/>
          <w:sz w:val="21"/>
          <w:szCs w:val="21"/>
          <w:highlight w:val="none"/>
        </w:rPr>
        <w:t xml:space="preserve">   </w:t>
      </w:r>
      <w:r>
        <w:rPr>
          <w:rFonts w:hint="eastAsia" w:ascii="仿宋" w:hAnsi="仿宋" w:eastAsia="仿宋" w:cs="仿宋"/>
          <w:color w:val="auto"/>
          <w:spacing w:val="-3"/>
          <w:sz w:val="21"/>
          <w:szCs w:val="21"/>
          <w:highlight w:val="none"/>
        </w:rPr>
        <w:t>则</w:t>
      </w:r>
    </w:p>
    <w:p w14:paraId="337C1199">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3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10.1  协议份数</w:t>
      </w:r>
    </w:p>
    <w:p w14:paraId="4F63ABD5">
      <w:pPr>
        <w:keepNext w:val="0"/>
        <w:keepLines w:val="0"/>
        <w:pageBreakBefore w:val="0"/>
        <w:widowControl w:val="0"/>
        <w:kinsoku/>
        <w:wordWrap/>
        <w:overflowPunct/>
        <w:topLinePunct w:val="0"/>
        <w:autoSpaceDE/>
        <w:autoSpaceDN/>
        <w:bidi w:val="0"/>
        <w:adjustRightInd/>
        <w:snapToGrid/>
        <w:spacing w:line="560" w:lineRule="exact"/>
        <w:ind w:left="0" w:right="0" w:firstLine="44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本协议一式三份，甲方执两份，乙方执一份，具有同等法律</w:t>
      </w:r>
      <w:r>
        <w:rPr>
          <w:rFonts w:hint="eastAsia" w:ascii="仿宋" w:hAnsi="仿宋" w:eastAsia="仿宋" w:cs="仿宋"/>
          <w:color w:val="auto"/>
          <w:sz w:val="21"/>
          <w:szCs w:val="21"/>
          <w:highlight w:val="none"/>
        </w:rPr>
        <w:t>效力。</w:t>
      </w:r>
    </w:p>
    <w:p w14:paraId="29F2126F">
      <w:pPr>
        <w:pStyle w:val="2"/>
        <w:keepNext w:val="0"/>
        <w:keepLines w:val="0"/>
        <w:pageBreakBefore w:val="0"/>
        <w:widowControl w:val="0"/>
        <w:kinsoku/>
        <w:wordWrap/>
        <w:overflowPunct/>
        <w:topLinePunct w:val="0"/>
        <w:autoSpaceDE/>
        <w:autoSpaceDN/>
        <w:bidi w:val="0"/>
        <w:adjustRightInd/>
        <w:snapToGrid/>
        <w:spacing w:line="560" w:lineRule="exact"/>
        <w:ind w:left="0" w:right="0" w:firstLine="422"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10.2</w:t>
      </w:r>
      <w:r>
        <w:rPr>
          <w:rFonts w:hint="eastAsia" w:ascii="仿宋" w:hAnsi="仿宋" w:eastAsia="仿宋" w:cs="仿宋"/>
          <w:color w:val="auto"/>
          <w:spacing w:val="11"/>
          <w:sz w:val="21"/>
          <w:szCs w:val="21"/>
          <w:highlight w:val="none"/>
        </w:rPr>
        <w:t xml:space="preserve">  </w:t>
      </w:r>
      <w:r>
        <w:rPr>
          <w:rFonts w:hint="eastAsia" w:ascii="仿宋" w:hAnsi="仿宋" w:eastAsia="仿宋" w:cs="仿宋"/>
          <w:color w:val="auto"/>
          <w:sz w:val="21"/>
          <w:szCs w:val="21"/>
          <w:highlight w:val="none"/>
        </w:rPr>
        <w:t>其他约定</w:t>
      </w:r>
    </w:p>
    <w:p w14:paraId="032199C3">
      <w:pPr>
        <w:keepNext w:val="0"/>
        <w:keepLines w:val="0"/>
        <w:pageBreakBefore w:val="0"/>
        <w:widowControl w:val="0"/>
        <w:kinsoku/>
        <w:wordWrap/>
        <w:overflowPunct/>
        <w:topLinePunct w:val="0"/>
        <w:autoSpaceDE/>
        <w:autoSpaceDN/>
        <w:bidi w:val="0"/>
        <w:adjustRightInd/>
        <w:snapToGrid/>
        <w:spacing w:line="560" w:lineRule="exact"/>
        <w:ind w:left="0" w:right="0" w:firstLine="420" w:firstLineChars="200"/>
        <w:textAlignment w:val="auto"/>
        <w:rPr>
          <w:rFonts w:hint="eastAsia" w:ascii="仿宋" w:hAnsi="仿宋" w:eastAsia="仿宋" w:cs="仿宋"/>
          <w:color w:val="auto"/>
          <w:sz w:val="21"/>
          <w:szCs w:val="21"/>
          <w:highlight w:val="none"/>
        </w:rPr>
      </w:pPr>
    </w:p>
    <w:p w14:paraId="36496873">
      <w:pPr>
        <w:keepNext w:val="0"/>
        <w:keepLines w:val="0"/>
        <w:pageBreakBefore w:val="0"/>
        <w:widowControl w:val="0"/>
        <w:kinsoku/>
        <w:wordWrap/>
        <w:overflowPunct/>
        <w:topLinePunct w:val="0"/>
        <w:autoSpaceDE/>
        <w:autoSpaceDN/>
        <w:bidi w:val="0"/>
        <w:adjustRightInd/>
        <w:snapToGrid/>
        <w:spacing w:line="560" w:lineRule="exac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mc:AlternateContent>
          <mc:Choice Requires="wps">
            <w:drawing>
              <wp:anchor distT="0" distB="0" distL="114300" distR="114300" simplePos="0" relativeHeight="251659264" behindDoc="0" locked="0" layoutInCell="1" allowOverlap="1">
                <wp:simplePos x="0" y="0"/>
                <wp:positionH relativeFrom="column">
                  <wp:posOffset>417830</wp:posOffset>
                </wp:positionH>
                <wp:positionV relativeFrom="paragraph">
                  <wp:posOffset>106680</wp:posOffset>
                </wp:positionV>
                <wp:extent cx="4876800" cy="10795"/>
                <wp:effectExtent l="0" t="0" r="0" b="0"/>
                <wp:wrapNone/>
                <wp:docPr id="5" name="任意多边形 5"/>
                <wp:cNvGraphicFramePr/>
                <a:graphic xmlns:a="http://schemas.openxmlformats.org/drawingml/2006/main">
                  <a:graphicData uri="http://schemas.microsoft.com/office/word/2010/wordprocessingShape">
                    <wps:wsp>
                      <wps:cNvSpPr/>
                      <wps:spPr>
                        <a:xfrm>
                          <a:off x="0" y="0"/>
                          <a:ext cx="4876800" cy="10795"/>
                        </a:xfrm>
                        <a:custGeom>
                          <a:avLst/>
                          <a:gdLst/>
                          <a:ahLst/>
                          <a:cxnLst/>
                          <a:pathLst>
                            <a:path w="7680" h="17">
                              <a:moveTo>
                                <a:pt x="0" y="8"/>
                              </a:moveTo>
                              <a:lnTo>
                                <a:pt x="7679" y="8"/>
                              </a:lnTo>
                            </a:path>
                          </a:pathLst>
                        </a:custGeom>
                        <a:noFill/>
                        <a:ln w="10668"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32.9pt;margin-top:8.4pt;height:0.85pt;width:384pt;z-index:251659264;mso-width-relative:page;mso-height-relative:page;" filled="f" stroked="t" coordsize="7680,17" o:gfxdata="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6IvSX1AAAAAgBAAAPAAAAAAAAAAEAIAAAACIAAABkcnMvZG93&#10;bnJldi54bWxQSwECFAAUAAAACACHTuJAmjBzRj0CAACYBAAADgAAAAAAAAABACAAAAAjAQAAZHJz&#10;L2Uyb0RvYy54bWxQSwUGAAAAAAYABgBZAQAA0gUAAAAA&#10;" path="m0,8l7679,8e">
                <v:fill on="f" focussize="0,0"/>
                <v:stroke weight="0.84pt" color="#000000" joinstyle="bevel"/>
                <v:imagedata o:title=""/>
                <o:lock v:ext="edit" aspectratio="f"/>
              </v:shape>
            </w:pict>
          </mc:Fallback>
        </mc:AlternateContent>
      </w:r>
    </w:p>
    <w:p w14:paraId="20CFD699">
      <w:pPr>
        <w:keepNext w:val="0"/>
        <w:keepLines w:val="0"/>
        <w:pageBreakBefore w:val="0"/>
        <w:widowControl w:val="0"/>
        <w:kinsoku/>
        <w:wordWrap/>
        <w:overflowPunct/>
        <w:topLinePunct w:val="0"/>
        <w:autoSpaceDE/>
        <w:autoSpaceDN/>
        <w:bidi w:val="0"/>
        <w:adjustRightInd/>
        <w:snapToGrid/>
        <w:spacing w:line="560" w:lineRule="exact"/>
        <w:ind w:left="0" w:right="0" w:firstLine="436"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4"/>
          <w:position w:val="2"/>
          <w:sz w:val="21"/>
          <w:szCs w:val="21"/>
          <w:highlight w:val="none"/>
        </w:rPr>
        <w:t>（如无特殊约定，填写“本协议未尽事宜，由双方另行协</w:t>
      </w:r>
      <w:r>
        <w:rPr>
          <w:rFonts w:hint="eastAsia" w:ascii="仿宋" w:hAnsi="仿宋" w:eastAsia="仿宋" w:cs="仿宋"/>
          <w:color w:val="auto"/>
          <w:spacing w:val="3"/>
          <w:position w:val="2"/>
          <w:sz w:val="21"/>
          <w:szCs w:val="21"/>
          <w:highlight w:val="none"/>
        </w:rPr>
        <w:t>商”</w:t>
      </w:r>
      <w:r>
        <w:rPr>
          <w:rFonts w:hint="eastAsia" w:ascii="仿宋" w:hAnsi="仿宋" w:eastAsia="仿宋" w:cs="仿宋"/>
          <w:color w:val="auto"/>
          <w:spacing w:val="-35"/>
          <w:position w:val="2"/>
          <w:sz w:val="21"/>
          <w:szCs w:val="21"/>
          <w:highlight w:val="none"/>
        </w:rPr>
        <w:t xml:space="preserve"> </w:t>
      </w:r>
      <w:r>
        <w:rPr>
          <w:rFonts w:hint="eastAsia" w:ascii="仿宋" w:hAnsi="仿宋" w:eastAsia="仿宋" w:cs="仿宋"/>
          <w:color w:val="auto"/>
          <w:spacing w:val="3"/>
          <w:position w:val="2"/>
          <w:sz w:val="21"/>
          <w:szCs w:val="21"/>
          <w:highlight w:val="none"/>
        </w:rPr>
        <w:t>）。</w:t>
      </w:r>
    </w:p>
    <w:p w14:paraId="31905F08">
      <w:pPr>
        <w:keepNext w:val="0"/>
        <w:keepLines w:val="0"/>
        <w:pageBreakBefore w:val="0"/>
        <w:widowControl w:val="0"/>
        <w:kinsoku/>
        <w:wordWrap/>
        <w:overflowPunct/>
        <w:topLinePunct w:val="0"/>
        <w:autoSpaceDE/>
        <w:autoSpaceDN/>
        <w:bidi w:val="0"/>
        <w:adjustRightInd/>
        <w:snapToGrid/>
        <w:spacing w:line="560" w:lineRule="exact"/>
        <w:ind w:left="0" w:right="0" w:firstLine="420" w:firstLineChars="200"/>
        <w:textAlignment w:val="auto"/>
        <w:rPr>
          <w:rFonts w:hint="eastAsia" w:ascii="仿宋" w:hAnsi="仿宋" w:eastAsia="仿宋" w:cs="仿宋"/>
          <w:color w:val="auto"/>
          <w:sz w:val="21"/>
          <w:szCs w:val="21"/>
          <w:highlight w:val="none"/>
        </w:rPr>
      </w:pPr>
    </w:p>
    <w:p w14:paraId="129015DD">
      <w:pPr>
        <w:keepNext w:val="0"/>
        <w:keepLines w:val="0"/>
        <w:pageBreakBefore w:val="0"/>
        <w:widowControl w:val="0"/>
        <w:kinsoku/>
        <w:wordWrap/>
        <w:overflowPunct/>
        <w:topLinePunct w:val="0"/>
        <w:autoSpaceDE/>
        <w:autoSpaceDN/>
        <w:bidi w:val="0"/>
        <w:adjustRightInd/>
        <w:snapToGrid/>
        <w:spacing w:line="560" w:lineRule="exact"/>
        <w:ind w:left="0" w:right="0" w:firstLine="416"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甲方（签章</w:t>
      </w:r>
      <w:r>
        <w:rPr>
          <w:rFonts w:hint="eastAsia" w:ascii="仿宋" w:hAnsi="仿宋" w:eastAsia="仿宋" w:cs="仿宋"/>
          <w:color w:val="auto"/>
          <w:spacing w:val="-49"/>
          <w:sz w:val="21"/>
          <w:szCs w:val="21"/>
          <w:highlight w:val="none"/>
        </w:rPr>
        <w:t>）：</w:t>
      </w:r>
      <w:r>
        <w:rPr>
          <w:rFonts w:hint="eastAsia" w:ascii="仿宋" w:hAnsi="仿宋" w:eastAsia="仿宋" w:cs="仿宋"/>
          <w:color w:val="auto"/>
          <w:spacing w:val="-1"/>
          <w:sz w:val="21"/>
          <w:szCs w:val="21"/>
          <w:highlight w:val="none"/>
        </w:rPr>
        <w:t>南京市____</w:t>
      </w:r>
      <w:r>
        <w:rPr>
          <w:rFonts w:hint="eastAsia" w:ascii="仿宋" w:hAnsi="仿宋" w:eastAsia="仿宋" w:cs="仿宋"/>
          <w:color w:val="auto"/>
          <w:spacing w:val="-26"/>
          <w:sz w:val="21"/>
          <w:szCs w:val="21"/>
          <w:highlight w:val="none"/>
        </w:rPr>
        <w:t xml:space="preserve"> </w:t>
      </w:r>
      <w:r>
        <w:rPr>
          <w:rFonts w:hint="eastAsia" w:ascii="仿宋" w:hAnsi="仿宋" w:eastAsia="仿宋" w:cs="仿宋"/>
          <w:color w:val="auto"/>
          <w:spacing w:val="-1"/>
          <w:sz w:val="21"/>
          <w:szCs w:val="21"/>
          <w:highlight w:val="none"/>
        </w:rPr>
        <w:t>区殡仪馆</w:t>
      </w:r>
    </w:p>
    <w:p w14:paraId="47268F26">
      <w:pPr>
        <w:keepNext w:val="0"/>
        <w:keepLines w:val="0"/>
        <w:pageBreakBefore w:val="0"/>
        <w:widowControl w:val="0"/>
        <w:kinsoku/>
        <w:wordWrap/>
        <w:overflowPunct/>
        <w:topLinePunct w:val="0"/>
        <w:autoSpaceDE/>
        <w:autoSpaceDN/>
        <w:bidi w:val="0"/>
        <w:adjustRightInd/>
        <w:snapToGrid/>
        <w:spacing w:line="560" w:lineRule="exact"/>
        <w:ind w:left="0" w:right="0" w:firstLine="412"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负责人签字：___________________</w:t>
      </w:r>
    </w:p>
    <w:p w14:paraId="6E19CB00">
      <w:pPr>
        <w:keepNext w:val="0"/>
        <w:keepLines w:val="0"/>
        <w:pageBreakBefore w:val="0"/>
        <w:widowControl w:val="0"/>
        <w:kinsoku/>
        <w:wordWrap/>
        <w:overflowPunct/>
        <w:topLinePunct w:val="0"/>
        <w:autoSpaceDE/>
        <w:autoSpaceDN/>
        <w:bidi w:val="0"/>
        <w:adjustRightInd/>
        <w:snapToGrid/>
        <w:spacing w:line="560" w:lineRule="exact"/>
        <w:ind w:left="0" w:right="0" w:firstLine="424"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日期：____年____月____ 日</w:t>
      </w:r>
    </w:p>
    <w:p w14:paraId="0A157BDC">
      <w:pPr>
        <w:keepNext w:val="0"/>
        <w:keepLines w:val="0"/>
        <w:pageBreakBefore w:val="0"/>
        <w:widowControl w:val="0"/>
        <w:kinsoku/>
        <w:wordWrap/>
        <w:overflowPunct/>
        <w:topLinePunct w:val="0"/>
        <w:autoSpaceDE/>
        <w:autoSpaceDN/>
        <w:bidi w:val="0"/>
        <w:adjustRightInd/>
        <w:snapToGrid/>
        <w:spacing w:line="560" w:lineRule="exact"/>
        <w:ind w:left="0" w:right="0" w:firstLine="416" w:firstLineChars="200"/>
        <w:textAlignment w:val="auto"/>
        <w:rPr>
          <w:rFonts w:hint="eastAsia" w:ascii="仿宋" w:hAnsi="仿宋" w:eastAsia="仿宋" w:cs="仿宋"/>
          <w:color w:val="auto"/>
          <w:spacing w:val="-1"/>
          <w:sz w:val="21"/>
          <w:szCs w:val="21"/>
          <w:highlight w:val="none"/>
        </w:rPr>
      </w:pPr>
    </w:p>
    <w:p w14:paraId="6328B524">
      <w:pPr>
        <w:keepNext w:val="0"/>
        <w:keepLines w:val="0"/>
        <w:pageBreakBefore w:val="0"/>
        <w:widowControl w:val="0"/>
        <w:kinsoku/>
        <w:wordWrap/>
        <w:overflowPunct/>
        <w:topLinePunct w:val="0"/>
        <w:autoSpaceDE/>
        <w:autoSpaceDN/>
        <w:bidi w:val="0"/>
        <w:adjustRightInd/>
        <w:snapToGrid/>
        <w:spacing w:line="560" w:lineRule="exact"/>
        <w:ind w:left="0" w:right="0" w:firstLine="416" w:firstLineChars="200"/>
        <w:textAlignment w:val="auto"/>
        <w:rPr>
          <w:rFonts w:hint="eastAsia" w:ascii="仿宋" w:hAnsi="仿宋" w:eastAsia="仿宋" w:cs="仿宋"/>
          <w:color w:val="auto"/>
          <w:spacing w:val="-1"/>
          <w:sz w:val="21"/>
          <w:szCs w:val="21"/>
          <w:highlight w:val="none"/>
        </w:rPr>
      </w:pPr>
      <w:r>
        <w:rPr>
          <w:rFonts w:hint="eastAsia" w:ascii="仿宋" w:hAnsi="仿宋" w:eastAsia="仿宋" w:cs="仿宋"/>
          <w:color w:val="auto"/>
          <w:spacing w:val="-1"/>
          <w:sz w:val="21"/>
          <w:szCs w:val="21"/>
          <w:highlight w:val="none"/>
        </w:rPr>
        <w:t>乙方（签章</w:t>
      </w:r>
      <w:r>
        <w:rPr>
          <w:rFonts w:hint="eastAsia" w:ascii="仿宋" w:hAnsi="仿宋" w:eastAsia="仿宋" w:cs="仿宋"/>
          <w:color w:val="auto"/>
          <w:spacing w:val="-88"/>
          <w:w w:val="99"/>
          <w:sz w:val="21"/>
          <w:szCs w:val="21"/>
          <w:highlight w:val="none"/>
        </w:rPr>
        <w:t>）：</w:t>
      </w:r>
      <w:r>
        <w:rPr>
          <w:rFonts w:hint="eastAsia" w:ascii="仿宋" w:hAnsi="仿宋" w:eastAsia="仿宋" w:cs="仿宋"/>
          <w:color w:val="auto"/>
          <w:spacing w:val="-1"/>
          <w:sz w:val="21"/>
          <w:szCs w:val="21"/>
          <w:highlight w:val="none"/>
        </w:rPr>
        <w:t>___________________</w:t>
      </w:r>
    </w:p>
    <w:p w14:paraId="777A2406">
      <w:pPr>
        <w:keepNext w:val="0"/>
        <w:keepLines w:val="0"/>
        <w:pageBreakBefore w:val="0"/>
        <w:widowControl w:val="0"/>
        <w:kinsoku/>
        <w:wordWrap/>
        <w:overflowPunct/>
        <w:topLinePunct w:val="0"/>
        <w:autoSpaceDE/>
        <w:autoSpaceDN/>
        <w:bidi w:val="0"/>
        <w:adjustRightInd/>
        <w:snapToGrid/>
        <w:spacing w:line="560" w:lineRule="exact"/>
        <w:ind w:left="0" w:right="0" w:firstLine="424"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法定代表人/负责人签字：_________</w:t>
      </w:r>
      <w:r>
        <w:rPr>
          <w:rFonts w:hint="eastAsia" w:ascii="仿宋" w:hAnsi="仿宋" w:eastAsia="仿宋" w:cs="仿宋"/>
          <w:color w:val="auto"/>
          <w:sz w:val="21"/>
          <w:szCs w:val="21"/>
          <w:highlight w:val="none"/>
        </w:rPr>
        <w:t>_____</w:t>
      </w:r>
    </w:p>
    <w:p w14:paraId="65CB672B">
      <w:pPr>
        <w:keepNext w:val="0"/>
        <w:keepLines w:val="0"/>
        <w:pageBreakBefore w:val="0"/>
        <w:widowControl w:val="0"/>
        <w:tabs>
          <w:tab w:val="center" w:pos="4153"/>
        </w:tabs>
        <w:kinsoku/>
        <w:wordWrap/>
        <w:overflowPunct/>
        <w:topLinePunct w:val="0"/>
        <w:autoSpaceDE/>
        <w:autoSpaceDN/>
        <w:bidi w:val="0"/>
        <w:adjustRightInd/>
        <w:snapToGrid/>
        <w:spacing w:line="560" w:lineRule="exact"/>
        <w:ind w:left="0" w:right="0" w:firstLine="424" w:firstLineChars="200"/>
        <w:jc w:val="left"/>
        <w:textAlignment w:val="auto"/>
        <w:rPr>
          <w:rFonts w:hint="eastAsia" w:ascii="仿宋" w:hAnsi="仿宋" w:eastAsia="仿宋" w:cs="仿宋"/>
          <w:color w:val="auto"/>
          <w:spacing w:val="7"/>
          <w:position w:val="2"/>
          <w:sz w:val="21"/>
          <w:szCs w:val="21"/>
          <w:highlight w:val="none"/>
          <w:lang w:val="en-US" w:eastAsia="zh-CN"/>
        </w:rPr>
        <w:sectPr>
          <w:pgSz w:w="11906" w:h="16838"/>
          <w:pgMar w:top="1440" w:right="1800" w:bottom="1440" w:left="1800" w:header="850" w:footer="850" w:gutter="0"/>
          <w:paperSrc/>
          <w:pgNumType w:fmt="decimal"/>
          <w:cols w:space="0" w:num="1"/>
          <w:rtlGutter w:val="0"/>
          <w:docGrid w:type="lines" w:linePitch="317" w:charSpace="0"/>
        </w:sectPr>
      </w:pPr>
      <w:r>
        <w:rPr>
          <w:rFonts w:hint="eastAsia" w:ascii="仿宋" w:hAnsi="仿宋" w:eastAsia="仿宋" w:cs="仿宋"/>
          <w:color w:val="auto"/>
          <w:spacing w:val="1"/>
          <w:sz w:val="21"/>
          <w:szCs w:val="21"/>
          <w:highlight w:val="none"/>
        </w:rPr>
        <w:t>日期：____年____月____ 日</w:t>
      </w:r>
    </w:p>
    <w:p w14:paraId="6B6A43BD">
      <w:pPr>
        <w:pStyle w:val="6"/>
        <w:numPr>
          <w:ilvl w:val="0"/>
          <w:numId w:val="0"/>
        </w:numPr>
        <w:spacing w:line="360" w:lineRule="auto"/>
        <w:rPr>
          <w:rFonts w:hint="eastAsia" w:ascii="仿宋" w:hAnsi="仿宋" w:eastAsia="仿宋" w:cs="仿宋"/>
          <w:color w:val="auto"/>
          <w:highlight w:val="none"/>
        </w:rPr>
      </w:pPr>
      <w:bookmarkStart w:id="32" w:name="_Toc17138"/>
      <w:bookmarkStart w:id="33" w:name="_Toc219114377"/>
      <w:r>
        <w:rPr>
          <w:rFonts w:hint="eastAsia" w:ascii="仿宋" w:hAnsi="仿宋" w:eastAsia="仿宋" w:cs="仿宋"/>
          <w:color w:val="auto"/>
          <w:highlight w:val="none"/>
        </w:rPr>
        <w:t>第六章 响应文件格式及附件</w:t>
      </w:r>
      <w:bookmarkEnd w:id="32"/>
      <w:bookmarkEnd w:id="33"/>
    </w:p>
    <w:p w14:paraId="744CE330">
      <w:pPr>
        <w:widowControl/>
        <w:spacing w:line="360" w:lineRule="auto"/>
        <w:jc w:val="left"/>
        <w:rPr>
          <w:rFonts w:hint="eastAsia" w:ascii="仿宋" w:hAnsi="仿宋" w:eastAsia="仿宋" w:cs="仿宋"/>
          <w:b/>
          <w:bCs/>
          <w:color w:val="auto"/>
          <w:szCs w:val="21"/>
          <w:highlight w:val="none"/>
        </w:rPr>
      </w:pPr>
    </w:p>
    <w:p w14:paraId="18B8DF67">
      <w:pPr>
        <w:spacing w:line="360" w:lineRule="auto"/>
        <w:rPr>
          <w:rFonts w:hint="eastAsia" w:ascii="仿宋" w:hAnsi="仿宋" w:eastAsia="仿宋" w:cs="仿宋"/>
          <w:color w:val="auto"/>
          <w:sz w:val="20"/>
          <w:szCs w:val="20"/>
          <w:highlight w:val="none"/>
        </w:rPr>
      </w:pPr>
    </w:p>
    <w:p w14:paraId="499169C4">
      <w:pPr>
        <w:spacing w:line="360" w:lineRule="auto"/>
        <w:rPr>
          <w:rFonts w:hint="eastAsia" w:ascii="仿宋" w:hAnsi="仿宋" w:eastAsia="仿宋" w:cs="仿宋"/>
          <w:color w:val="auto"/>
          <w:sz w:val="20"/>
          <w:szCs w:val="20"/>
          <w:highlight w:val="none"/>
        </w:rPr>
      </w:pPr>
    </w:p>
    <w:p w14:paraId="26CADAB9">
      <w:pPr>
        <w:spacing w:line="360" w:lineRule="auto"/>
        <w:rPr>
          <w:rFonts w:hint="eastAsia" w:ascii="仿宋" w:hAnsi="仿宋" w:eastAsia="仿宋" w:cs="仿宋"/>
          <w:color w:val="auto"/>
          <w:sz w:val="20"/>
          <w:szCs w:val="20"/>
          <w:highlight w:val="none"/>
        </w:rPr>
      </w:pPr>
    </w:p>
    <w:p w14:paraId="632DC4EB">
      <w:pPr>
        <w:spacing w:line="360" w:lineRule="auto"/>
        <w:rPr>
          <w:rFonts w:hint="eastAsia" w:ascii="仿宋" w:hAnsi="仿宋" w:eastAsia="仿宋" w:cs="仿宋"/>
          <w:color w:val="auto"/>
          <w:sz w:val="20"/>
          <w:szCs w:val="20"/>
          <w:highlight w:val="none"/>
        </w:rPr>
      </w:pPr>
    </w:p>
    <w:p w14:paraId="2A383FD0">
      <w:pPr>
        <w:spacing w:line="360" w:lineRule="auto"/>
        <w:rPr>
          <w:rFonts w:hint="eastAsia" w:ascii="仿宋" w:hAnsi="仿宋" w:eastAsia="仿宋" w:cs="仿宋"/>
          <w:color w:val="auto"/>
          <w:sz w:val="20"/>
          <w:szCs w:val="20"/>
          <w:highlight w:val="none"/>
        </w:rPr>
      </w:pPr>
    </w:p>
    <w:p w14:paraId="51C370B4">
      <w:pPr>
        <w:spacing w:line="360" w:lineRule="auto"/>
        <w:rPr>
          <w:rFonts w:hint="eastAsia" w:ascii="仿宋" w:hAnsi="仿宋" w:eastAsia="仿宋" w:cs="仿宋"/>
          <w:color w:val="auto"/>
          <w:sz w:val="20"/>
          <w:szCs w:val="20"/>
          <w:highlight w:val="none"/>
        </w:rPr>
      </w:pPr>
    </w:p>
    <w:p w14:paraId="3064AD91">
      <w:pPr>
        <w:spacing w:line="360" w:lineRule="auto"/>
        <w:jc w:val="center"/>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rPr>
        <w:t>（项目名称）</w:t>
      </w:r>
    </w:p>
    <w:p w14:paraId="2623B8B8">
      <w:pPr>
        <w:spacing w:line="360" w:lineRule="auto"/>
        <w:jc w:val="center"/>
        <w:rPr>
          <w:rFonts w:hint="eastAsia" w:ascii="仿宋" w:hAnsi="仿宋" w:eastAsia="仿宋" w:cs="仿宋"/>
          <w:color w:val="auto"/>
          <w:sz w:val="20"/>
          <w:szCs w:val="20"/>
          <w:highlight w:val="none"/>
        </w:rPr>
      </w:pPr>
    </w:p>
    <w:p w14:paraId="4F214C05">
      <w:pPr>
        <w:spacing w:line="360" w:lineRule="auto"/>
        <w:rPr>
          <w:rFonts w:hint="eastAsia" w:ascii="仿宋" w:hAnsi="仿宋" w:eastAsia="仿宋" w:cs="仿宋"/>
          <w:color w:val="auto"/>
          <w:sz w:val="20"/>
          <w:szCs w:val="20"/>
          <w:highlight w:val="none"/>
        </w:rPr>
      </w:pPr>
    </w:p>
    <w:p w14:paraId="16EA362E">
      <w:pPr>
        <w:spacing w:line="360" w:lineRule="auto"/>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响应文件</w:t>
      </w:r>
    </w:p>
    <w:p w14:paraId="69B44FA8">
      <w:pPr>
        <w:spacing w:line="360" w:lineRule="auto"/>
        <w:rPr>
          <w:rFonts w:hint="eastAsia" w:ascii="仿宋" w:hAnsi="仿宋" w:eastAsia="仿宋" w:cs="仿宋"/>
          <w:color w:val="auto"/>
          <w:sz w:val="28"/>
          <w:szCs w:val="28"/>
          <w:highlight w:val="none"/>
        </w:rPr>
      </w:pPr>
    </w:p>
    <w:p w14:paraId="4335BBD9">
      <w:pPr>
        <w:spacing w:line="360" w:lineRule="auto"/>
        <w:rPr>
          <w:rFonts w:hint="eastAsia" w:ascii="仿宋" w:hAnsi="仿宋" w:eastAsia="仿宋" w:cs="仿宋"/>
          <w:color w:val="auto"/>
          <w:sz w:val="28"/>
          <w:szCs w:val="28"/>
          <w:highlight w:val="none"/>
        </w:rPr>
      </w:pPr>
    </w:p>
    <w:p w14:paraId="43288949">
      <w:pPr>
        <w:spacing w:line="360" w:lineRule="auto"/>
        <w:rPr>
          <w:rFonts w:hint="eastAsia" w:ascii="仿宋" w:hAnsi="仿宋" w:eastAsia="仿宋" w:cs="仿宋"/>
          <w:color w:val="auto"/>
          <w:sz w:val="28"/>
          <w:szCs w:val="28"/>
          <w:highlight w:val="none"/>
        </w:rPr>
      </w:pPr>
    </w:p>
    <w:p w14:paraId="1A0BB692">
      <w:pPr>
        <w:spacing w:line="360" w:lineRule="auto"/>
        <w:rPr>
          <w:rFonts w:hint="eastAsia" w:ascii="仿宋" w:hAnsi="仿宋" w:eastAsia="仿宋" w:cs="仿宋"/>
          <w:color w:val="auto"/>
          <w:sz w:val="28"/>
          <w:szCs w:val="28"/>
          <w:highlight w:val="none"/>
        </w:rPr>
      </w:pPr>
    </w:p>
    <w:p w14:paraId="4E3E7412">
      <w:pPr>
        <w:spacing w:line="360" w:lineRule="auto"/>
        <w:rPr>
          <w:rFonts w:hint="eastAsia" w:ascii="仿宋" w:hAnsi="仿宋" w:eastAsia="仿宋" w:cs="仿宋"/>
          <w:color w:val="auto"/>
          <w:sz w:val="28"/>
          <w:szCs w:val="28"/>
          <w:highlight w:val="none"/>
        </w:rPr>
      </w:pPr>
    </w:p>
    <w:p w14:paraId="64A837E9">
      <w:pPr>
        <w:spacing w:line="360" w:lineRule="auto"/>
        <w:rPr>
          <w:rFonts w:hint="eastAsia" w:ascii="仿宋" w:hAnsi="仿宋" w:eastAsia="仿宋" w:cs="仿宋"/>
          <w:color w:val="auto"/>
          <w:sz w:val="28"/>
          <w:szCs w:val="28"/>
          <w:highlight w:val="none"/>
        </w:rPr>
      </w:pPr>
    </w:p>
    <w:p w14:paraId="1688E361">
      <w:pPr>
        <w:spacing w:line="360" w:lineRule="auto"/>
        <w:rPr>
          <w:rFonts w:hint="eastAsia" w:ascii="仿宋" w:hAnsi="仿宋" w:eastAsia="仿宋" w:cs="仿宋"/>
          <w:color w:val="auto"/>
          <w:sz w:val="28"/>
          <w:szCs w:val="28"/>
          <w:highlight w:val="none"/>
        </w:rPr>
      </w:pPr>
    </w:p>
    <w:p w14:paraId="4E80DF40">
      <w:pPr>
        <w:spacing w:line="360" w:lineRule="auto"/>
        <w:rPr>
          <w:rFonts w:hint="eastAsia" w:ascii="仿宋" w:hAnsi="仿宋" w:eastAsia="仿宋" w:cs="仿宋"/>
          <w:color w:val="auto"/>
          <w:sz w:val="28"/>
          <w:szCs w:val="28"/>
          <w:highlight w:val="none"/>
        </w:rPr>
      </w:pPr>
    </w:p>
    <w:p w14:paraId="516E10FB">
      <w:pPr>
        <w:spacing w:line="360" w:lineRule="auto"/>
        <w:jc w:val="cente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供应商：（盖单位章）</w:t>
      </w:r>
    </w:p>
    <w:p w14:paraId="03A6DE50">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   月   日</w:t>
      </w:r>
    </w:p>
    <w:p w14:paraId="52D11548">
      <w:pPr>
        <w:spacing w:before="312" w:after="312" w:line="360" w:lineRule="auto"/>
        <w:jc w:val="center"/>
        <w:rPr>
          <w:rFonts w:hint="eastAsia" w:ascii="仿宋" w:hAnsi="仿宋" w:eastAsia="仿宋" w:cs="仿宋"/>
          <w:color w:val="auto"/>
          <w:sz w:val="32"/>
          <w:szCs w:val="32"/>
          <w:highlight w:val="none"/>
        </w:rPr>
        <w:sectPr>
          <w:pgSz w:w="11906" w:h="16838"/>
          <w:pgMar w:top="1440" w:right="1800" w:bottom="1440" w:left="1800" w:header="850" w:footer="850" w:gutter="0"/>
          <w:paperSrc/>
          <w:pgNumType w:fmt="decimal"/>
          <w:cols w:space="0" w:num="1"/>
          <w:rtlGutter w:val="0"/>
          <w:docGrid w:type="lines" w:linePitch="317" w:charSpace="0"/>
        </w:sectPr>
      </w:pPr>
    </w:p>
    <w:p w14:paraId="631EBA36">
      <w:pPr>
        <w:spacing w:before="312" w:after="312" w:line="360" w:lineRule="auto"/>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目录</w:t>
      </w:r>
    </w:p>
    <w:p w14:paraId="381FCEF7">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（注：供应商根据附件顺序编制响应文件并制作目录（须生成页码））</w:t>
      </w:r>
    </w:p>
    <w:p w14:paraId="14CE6420">
      <w:pPr>
        <w:spacing w:line="360" w:lineRule="auto"/>
        <w:outlineLvl w:val="1"/>
        <w:rPr>
          <w:rFonts w:hint="eastAsia" w:ascii="仿宋" w:hAnsi="仿宋" w:eastAsia="仿宋" w:cs="仿宋"/>
          <w:color w:val="auto"/>
          <w:szCs w:val="21"/>
          <w:highlight w:val="none"/>
        </w:rPr>
      </w:pPr>
      <w:r>
        <w:rPr>
          <w:rFonts w:hint="eastAsia" w:ascii="仿宋" w:hAnsi="仿宋" w:eastAsia="仿宋" w:cs="仿宋"/>
          <w:color w:val="auto"/>
          <w:highlight w:val="none"/>
        </w:rPr>
        <w:br w:type="page" w:clear="all"/>
      </w:r>
      <w:bookmarkStart w:id="34" w:name="_Toc8515"/>
      <w:r>
        <w:rPr>
          <w:rFonts w:hint="eastAsia" w:ascii="仿宋" w:hAnsi="仿宋" w:eastAsia="仿宋" w:cs="仿宋"/>
          <w:b/>
          <w:bCs/>
          <w:color w:val="auto"/>
          <w:szCs w:val="21"/>
          <w:highlight w:val="none"/>
        </w:rPr>
        <w:t>附件一、响应申请及声明格式</w:t>
      </w:r>
      <w:bookmarkEnd w:id="34"/>
    </w:p>
    <w:p w14:paraId="0C0EF80E">
      <w:pPr>
        <w:widowControl/>
        <w:shd w:val="clear" w:color="auto" w:fill="FFFFFF"/>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 w:val="36"/>
          <w:szCs w:val="36"/>
          <w:highlight w:val="none"/>
        </w:rPr>
        <w:t>响应申请及声明</w:t>
      </w:r>
    </w:p>
    <w:p w14:paraId="3448A39C">
      <w:pPr>
        <w:widowControl/>
        <w:spacing w:line="42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致：</w:t>
      </w:r>
    </w:p>
    <w:p w14:paraId="1808E2B8">
      <w:pPr>
        <w:widowControl/>
        <w:spacing w:line="42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根据贵方的</w:t>
      </w:r>
      <w:r>
        <w:rPr>
          <w:rFonts w:hint="eastAsia" w:ascii="仿宋" w:hAnsi="仿宋" w:eastAsia="仿宋" w:cs="仿宋"/>
          <w:color w:val="auto"/>
          <w:szCs w:val="21"/>
          <w:highlight w:val="none"/>
          <w:u w:val="single"/>
        </w:rPr>
        <w:t xml:space="preserve">        （项目名称）   （项目编号）    </w:t>
      </w:r>
      <w:r>
        <w:rPr>
          <w:rFonts w:hint="eastAsia" w:ascii="仿宋" w:hAnsi="仿宋" w:eastAsia="仿宋" w:cs="仿宋"/>
          <w:color w:val="auto"/>
          <w:szCs w:val="21"/>
          <w:highlight w:val="none"/>
        </w:rPr>
        <w:t>框架协议采购征集文件，我方正式提交响应申请及声明，并宣布同意如下内容：</w:t>
      </w:r>
    </w:p>
    <w:p w14:paraId="501A0295">
      <w:pPr>
        <w:widowControl/>
        <w:spacing w:line="42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1.按征集文件规定的各项要求，向采购人提供所需货物与服务。</w:t>
      </w:r>
    </w:p>
    <w:p w14:paraId="5A59CA6A">
      <w:pPr>
        <w:widowControl/>
        <w:spacing w:line="42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2.我们完全理解采购人不一定将采购合同授予协议价格最低的供应商。</w:t>
      </w:r>
    </w:p>
    <w:p w14:paraId="4E549B8D">
      <w:pPr>
        <w:widowControl/>
        <w:spacing w:line="42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3.我们已详细阅读全部征集文件及其有效补充文件，我们放弃对征集文件任何误解的权利，提交响应文件后，</w:t>
      </w:r>
      <w:r>
        <w:rPr>
          <w:rFonts w:hint="eastAsia" w:ascii="仿宋" w:hAnsi="仿宋" w:eastAsia="仿宋" w:cs="仿宋"/>
          <w:b/>
          <w:bCs/>
          <w:color w:val="auto"/>
          <w:szCs w:val="21"/>
          <w:highlight w:val="none"/>
        </w:rPr>
        <w:t>不对征集文件本身提出质疑</w:t>
      </w:r>
      <w:r>
        <w:rPr>
          <w:rFonts w:hint="eastAsia" w:ascii="仿宋" w:hAnsi="仿宋" w:eastAsia="仿宋" w:cs="仿宋"/>
          <w:color w:val="auto"/>
          <w:szCs w:val="21"/>
          <w:highlight w:val="none"/>
        </w:rPr>
        <w:t>。</w:t>
      </w:r>
    </w:p>
    <w:p w14:paraId="5ACE382B">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4.我们同意从规定的响应文件开启日期起遵循本响应文件，并在规定的响应文件有效期期满之前均具有约束力。</w:t>
      </w:r>
    </w:p>
    <w:p w14:paraId="202AE425">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5.同意向贵方提供贵方可能另外要求的与本次采购活动有关的任何证据或资料，并保证我方已提供和将要提供的文件是真实的、准确的。</w:t>
      </w:r>
    </w:p>
    <w:p w14:paraId="43F56F74">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6.一旦我方成为入围供应商,我方将根据征集文件的规定，严格履行合同的责任和义务,并保证在征集文件规定的时间完成项目，交付采购人验收、使用。</w:t>
      </w:r>
    </w:p>
    <w:p w14:paraId="6B377598">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我方决不提供虚假材料谋取中标、决不采取不正当手段诋毁、排挤其他供应商、决不与采购人、其它供应商或者代理机构恶意串通、决不向采购人、代理机构工作人员和评委进行商业贿赂、决不在采购过程中与采购人、采购人进行协商谈判、决不拒绝有关部门监督检查或提供虚假情况，如有违反，无条件接受贵方及相关管理部门的处罚。</w:t>
      </w:r>
    </w:p>
    <w:p w14:paraId="5792036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8.与本次采购活动有关的正式通讯地址为：</w:t>
      </w:r>
    </w:p>
    <w:p w14:paraId="77975374">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地        址：</w:t>
      </w:r>
    </w:p>
    <w:p w14:paraId="3F526654">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邮        编：</w:t>
      </w:r>
    </w:p>
    <w:p w14:paraId="22E4A508">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        话：</w:t>
      </w:r>
    </w:p>
    <w:p w14:paraId="31840684">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传        真：</w:t>
      </w:r>
    </w:p>
    <w:p w14:paraId="20D36706">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供应商开户行：</w:t>
      </w:r>
    </w:p>
    <w:p w14:paraId="51434F39">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账        户： </w:t>
      </w:r>
    </w:p>
    <w:p w14:paraId="6B7578B1">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企业名称（加盖公章）：</w:t>
      </w:r>
    </w:p>
    <w:p w14:paraId="6F0E4B51">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        期：________年____月____日</w:t>
      </w:r>
    </w:p>
    <w:p w14:paraId="2186ADC7">
      <w:pPr>
        <w:widowControl/>
        <w:shd w:val="clear" w:color="auto" w:fill="FFFFFF"/>
        <w:spacing w:line="360" w:lineRule="auto"/>
        <w:outlineLvl w:val="1"/>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br w:type="page" w:clear="all"/>
      </w:r>
      <w:bookmarkStart w:id="35" w:name="_Toc11670"/>
      <w:r>
        <w:rPr>
          <w:rFonts w:hint="eastAsia" w:ascii="仿宋" w:hAnsi="仿宋" w:eastAsia="仿宋" w:cs="仿宋"/>
          <w:b/>
          <w:bCs/>
          <w:color w:val="auto"/>
          <w:szCs w:val="21"/>
          <w:highlight w:val="none"/>
        </w:rPr>
        <w:t>附件二、法人授权书格式</w:t>
      </w:r>
      <w:bookmarkEnd w:id="35"/>
    </w:p>
    <w:p w14:paraId="241EB6E7">
      <w:pPr>
        <w:widowControl/>
        <w:shd w:val="clear" w:color="auto" w:fill="FFFFFF"/>
        <w:spacing w:line="360" w:lineRule="auto"/>
        <w:ind w:firstLine="720"/>
        <w:jc w:val="center"/>
        <w:rPr>
          <w:rFonts w:hint="eastAsia" w:ascii="仿宋" w:hAnsi="仿宋" w:eastAsia="仿宋" w:cs="仿宋"/>
          <w:color w:val="auto"/>
          <w:sz w:val="36"/>
          <w:szCs w:val="36"/>
          <w:highlight w:val="none"/>
        </w:rPr>
      </w:pPr>
    </w:p>
    <w:p w14:paraId="01022A6A">
      <w:pPr>
        <w:widowControl/>
        <w:shd w:val="clear" w:color="auto" w:fill="FFFFFF"/>
        <w:spacing w:line="360" w:lineRule="auto"/>
        <w:ind w:firstLine="720"/>
        <w:jc w:val="center"/>
        <w:rPr>
          <w:rFonts w:hint="eastAsia" w:ascii="仿宋" w:hAnsi="仿宋" w:eastAsia="仿宋" w:cs="仿宋"/>
          <w:b/>
          <w:color w:val="auto"/>
          <w:szCs w:val="21"/>
          <w:highlight w:val="none"/>
        </w:rPr>
      </w:pPr>
      <w:r>
        <w:rPr>
          <w:rFonts w:hint="eastAsia" w:ascii="仿宋" w:hAnsi="仿宋" w:eastAsia="仿宋" w:cs="仿宋"/>
          <w:b/>
          <w:color w:val="auto"/>
          <w:sz w:val="36"/>
          <w:szCs w:val="36"/>
          <w:highlight w:val="none"/>
        </w:rPr>
        <w:t>法人授权书</w:t>
      </w:r>
    </w:p>
    <w:p w14:paraId="13E96282">
      <w:pPr>
        <w:widowControl/>
        <w:shd w:val="clear" w:color="auto" w:fill="FFFFFF"/>
        <w:spacing w:line="360" w:lineRule="auto"/>
        <w:jc w:val="left"/>
        <w:rPr>
          <w:rFonts w:hint="eastAsia" w:ascii="仿宋" w:hAnsi="仿宋" w:eastAsia="仿宋" w:cs="仿宋"/>
          <w:color w:val="auto"/>
          <w:szCs w:val="21"/>
          <w:highlight w:val="none"/>
        </w:rPr>
      </w:pPr>
    </w:p>
    <w:p w14:paraId="3394EC7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本授权书声明：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（供应商名称）授权</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（被授权人姓名）作为我方参加编号为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项目采购活动的合法代理人，以本单位名义全权处理一切与该项目采购有关的事务。</w:t>
      </w:r>
    </w:p>
    <w:p w14:paraId="53DA420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本授权书自______年____月____日起生效，特此声明。</w:t>
      </w:r>
    </w:p>
    <w:p w14:paraId="472A9EC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被授权人身份证号码：</w:t>
      </w:r>
    </w:p>
    <w:p w14:paraId="7D17243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被授权人联系电话：           （手机）</w:t>
      </w:r>
    </w:p>
    <w:p w14:paraId="0285259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供应商名称：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（加盖电子公章）</w:t>
      </w:r>
    </w:p>
    <w:p w14:paraId="5FC847A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单位地址：</w:t>
      </w:r>
    </w:p>
    <w:p w14:paraId="430D0C4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    期：</w:t>
      </w:r>
    </w:p>
    <w:p w14:paraId="6BD9C7B8">
      <w:pPr>
        <w:widowControl/>
        <w:shd w:val="clear" w:color="auto" w:fill="FFFFFF"/>
        <w:spacing w:line="360" w:lineRule="auto"/>
        <w:ind w:firstLine="420"/>
        <w:jc w:val="left"/>
        <w:rPr>
          <w:rFonts w:hint="eastAsia" w:ascii="仿宋" w:hAnsi="仿宋" w:eastAsia="仿宋" w:cs="仿宋"/>
          <w:color w:val="auto"/>
          <w:szCs w:val="21"/>
          <w:highlight w:val="none"/>
        </w:rPr>
      </w:pPr>
    </w:p>
    <w:p w14:paraId="022C6371">
      <w:pPr>
        <w:widowControl/>
        <w:shd w:val="clear" w:color="auto" w:fill="FFFFFF"/>
        <w:spacing w:line="360" w:lineRule="auto"/>
        <w:ind w:firstLine="420"/>
        <w:jc w:val="left"/>
        <w:rPr>
          <w:rFonts w:hint="eastAsia" w:ascii="仿宋" w:hAnsi="仿宋" w:eastAsia="仿宋" w:cs="仿宋"/>
          <w:color w:val="auto"/>
          <w:szCs w:val="21"/>
          <w:highlight w:val="none"/>
        </w:rPr>
      </w:pPr>
    </w:p>
    <w:p w14:paraId="53425DF4">
      <w:pPr>
        <w:widowControl/>
        <w:shd w:val="clear" w:color="auto" w:fill="FFFFFF"/>
        <w:spacing w:line="360" w:lineRule="auto"/>
        <w:ind w:firstLine="420"/>
        <w:jc w:val="left"/>
        <w:rPr>
          <w:rFonts w:hint="eastAsia" w:ascii="仿宋" w:hAnsi="仿宋" w:eastAsia="仿宋" w:cs="仿宋"/>
          <w:color w:val="auto"/>
          <w:szCs w:val="21"/>
          <w:highlight w:val="none"/>
        </w:rPr>
      </w:pPr>
    </w:p>
    <w:p w14:paraId="2F360746">
      <w:pPr>
        <w:spacing w:line="360" w:lineRule="auto"/>
        <w:outlineLvl w:val="1"/>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rPr>
        <w:br w:type="page" w:clear="all"/>
      </w:r>
      <w:bookmarkStart w:id="36" w:name="_Toc14969"/>
      <w:bookmarkStart w:id="37" w:name="_Toc26810"/>
      <w:r>
        <w:rPr>
          <w:rFonts w:hint="eastAsia" w:ascii="仿宋" w:hAnsi="仿宋" w:eastAsia="仿宋" w:cs="仿宋"/>
          <w:b/>
          <w:bCs/>
          <w:color w:val="auto"/>
          <w:szCs w:val="21"/>
          <w:highlight w:val="none"/>
          <w:lang w:val="zh-CN"/>
        </w:rPr>
        <w:t>附件三、开标一览表</w:t>
      </w:r>
      <w:bookmarkEnd w:id="36"/>
      <w:bookmarkEnd w:id="37"/>
    </w:p>
    <w:p w14:paraId="75AD2C55">
      <w:pPr>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开标一览表</w:t>
      </w:r>
    </w:p>
    <w:p w14:paraId="55115374">
      <w:pPr>
        <w:pStyle w:val="8"/>
        <w:spacing w:line="360" w:lineRule="auto"/>
        <w:ind w:firstLine="4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项目名称：</w:t>
      </w:r>
    </w:p>
    <w:p w14:paraId="47FF1E6C">
      <w:pPr>
        <w:pStyle w:val="8"/>
        <w:spacing w:line="360" w:lineRule="auto"/>
        <w:ind w:firstLine="47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项目编号：</w:t>
      </w:r>
    </w:p>
    <w:tbl>
      <w:tblPr>
        <w:tblStyle w:val="1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1"/>
        <w:gridCol w:w="2688"/>
        <w:gridCol w:w="3411"/>
      </w:tblGrid>
      <w:tr w14:paraId="2AD9E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2541" w:type="dxa"/>
            <w:noWrap w:val="0"/>
            <w:vAlign w:val="center"/>
          </w:tcPr>
          <w:p w14:paraId="0FCF36D8">
            <w:pPr>
              <w:pStyle w:val="8"/>
              <w:spacing w:line="360" w:lineRule="auto"/>
              <w:ind w:firstLine="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投标</w:t>
            </w:r>
            <w:r>
              <w:rPr>
                <w:rFonts w:hint="eastAsia" w:ascii="仿宋" w:hAnsi="仿宋" w:eastAsia="仿宋" w:cs="仿宋"/>
                <w:color w:val="auto"/>
                <w:sz w:val="21"/>
                <w:szCs w:val="21"/>
                <w:highlight w:val="none"/>
                <w:lang w:val="en-US" w:eastAsia="zh-CN"/>
              </w:rPr>
              <w:t>报价</w:t>
            </w:r>
          </w:p>
        </w:tc>
        <w:tc>
          <w:tcPr>
            <w:tcW w:w="2688" w:type="dxa"/>
            <w:noWrap w:val="0"/>
            <w:vAlign w:val="center"/>
          </w:tcPr>
          <w:p w14:paraId="0FFD8206">
            <w:pPr>
              <w:pStyle w:val="8"/>
              <w:spacing w:line="360" w:lineRule="auto"/>
              <w:ind w:firstLine="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元/次</w:t>
            </w:r>
          </w:p>
        </w:tc>
        <w:tc>
          <w:tcPr>
            <w:tcW w:w="3411" w:type="dxa"/>
            <w:noWrap w:val="0"/>
            <w:vAlign w:val="center"/>
          </w:tcPr>
          <w:p w14:paraId="5A84CFCE">
            <w:pPr>
              <w:pStyle w:val="8"/>
              <w:spacing w:line="360" w:lineRule="auto"/>
              <w:ind w:firstLine="0"/>
              <w:jc w:val="center"/>
              <w:rPr>
                <w:rFonts w:hint="eastAsia" w:ascii="仿宋" w:hAnsi="仿宋" w:eastAsia="仿宋" w:cs="仿宋"/>
                <w:color w:val="auto"/>
                <w:sz w:val="21"/>
                <w:szCs w:val="21"/>
                <w:highlight w:val="none"/>
                <w:lang w:val="en-US" w:eastAsia="zh-CN"/>
              </w:rPr>
            </w:pPr>
          </w:p>
          <w:p w14:paraId="23B477C2">
            <w:pPr>
              <w:pStyle w:val="8"/>
              <w:spacing w:line="360" w:lineRule="auto"/>
              <w:ind w:firstLine="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说明：投标报价为全费用包干单价，包含人工、车辆、燃油、维保、保险、消毒、防疫、税费、遗体包装袋（遗体袋）、搬运劳务、鉴别带等全部费用等，采购人不再支付任何其他费用。</w:t>
            </w:r>
          </w:p>
        </w:tc>
      </w:tr>
      <w:tr w14:paraId="4C84C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2541" w:type="dxa"/>
            <w:noWrap w:val="0"/>
            <w:vAlign w:val="center"/>
          </w:tcPr>
          <w:p w14:paraId="20F1415C">
            <w:pPr>
              <w:pStyle w:val="8"/>
              <w:spacing w:line="360" w:lineRule="auto"/>
              <w:ind w:firstLine="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服务时间/交付使用时间</w:t>
            </w:r>
          </w:p>
        </w:tc>
        <w:tc>
          <w:tcPr>
            <w:tcW w:w="2688" w:type="dxa"/>
            <w:noWrap w:val="0"/>
            <w:vAlign w:val="center"/>
          </w:tcPr>
          <w:p w14:paraId="059EAC1C">
            <w:pPr>
              <w:pStyle w:val="8"/>
              <w:tabs>
                <w:tab w:val="left" w:pos="3624"/>
              </w:tabs>
              <w:spacing w:line="360" w:lineRule="auto"/>
              <w:ind w:firstLine="474"/>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满足征集文件要求</w:t>
            </w:r>
          </w:p>
        </w:tc>
        <w:tc>
          <w:tcPr>
            <w:tcW w:w="3411" w:type="dxa"/>
            <w:noWrap w:val="0"/>
            <w:vAlign w:val="center"/>
          </w:tcPr>
          <w:p w14:paraId="68FFC974">
            <w:pPr>
              <w:pStyle w:val="8"/>
              <w:spacing w:line="360" w:lineRule="auto"/>
              <w:ind w:firstLine="474"/>
              <w:jc w:val="center"/>
              <w:rPr>
                <w:rFonts w:hint="eastAsia" w:ascii="仿宋" w:hAnsi="仿宋" w:eastAsia="仿宋" w:cs="仿宋"/>
                <w:color w:val="auto"/>
                <w:sz w:val="21"/>
                <w:szCs w:val="21"/>
                <w:highlight w:val="none"/>
              </w:rPr>
            </w:pPr>
          </w:p>
          <w:p w14:paraId="38CBF061">
            <w:pPr>
              <w:pStyle w:val="8"/>
              <w:spacing w:line="360" w:lineRule="auto"/>
              <w:ind w:firstLine="474"/>
              <w:jc w:val="center"/>
              <w:rPr>
                <w:rFonts w:hint="eastAsia" w:ascii="仿宋" w:hAnsi="仿宋" w:eastAsia="仿宋" w:cs="仿宋"/>
                <w:color w:val="auto"/>
                <w:sz w:val="21"/>
                <w:szCs w:val="21"/>
                <w:highlight w:val="none"/>
              </w:rPr>
            </w:pPr>
          </w:p>
        </w:tc>
      </w:tr>
    </w:tbl>
    <w:p w14:paraId="321E2262">
      <w:pPr>
        <w:widowControl/>
        <w:shd w:val="clear" w:color="auto" w:fill="FFFFFF"/>
        <w:spacing w:line="360" w:lineRule="auto"/>
        <w:jc w:val="left"/>
        <w:rPr>
          <w:rFonts w:hint="eastAsia" w:ascii="仿宋" w:hAnsi="仿宋" w:eastAsia="仿宋" w:cs="仿宋"/>
          <w:bCs/>
          <w:color w:val="auto"/>
          <w:szCs w:val="21"/>
          <w:highlight w:val="none"/>
        </w:rPr>
      </w:pPr>
    </w:p>
    <w:p w14:paraId="5E8749EB">
      <w:pPr>
        <w:widowControl/>
        <w:shd w:val="clear" w:color="auto" w:fill="FFFFFF"/>
        <w:spacing w:line="360" w:lineRule="auto"/>
        <w:jc w:val="left"/>
        <w:rPr>
          <w:rFonts w:hint="eastAsia" w:ascii="仿宋" w:hAnsi="仿宋" w:eastAsia="仿宋" w:cs="仿宋"/>
          <w:bCs/>
          <w:color w:val="auto"/>
          <w:szCs w:val="21"/>
          <w:highlight w:val="none"/>
        </w:rPr>
      </w:pPr>
    </w:p>
    <w:p w14:paraId="00525477">
      <w:pPr>
        <w:pStyle w:val="2"/>
        <w:rPr>
          <w:rFonts w:hint="eastAsia" w:ascii="仿宋" w:hAnsi="仿宋" w:eastAsia="仿宋" w:cs="仿宋"/>
          <w:color w:val="auto"/>
          <w:highlight w:val="none"/>
        </w:rPr>
      </w:pPr>
    </w:p>
    <w:p w14:paraId="1570DB35">
      <w:pPr>
        <w:widowControl/>
        <w:shd w:val="clear" w:color="auto" w:fill="FFFFFF"/>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供应商（盖章）：</w:t>
      </w:r>
      <w:r>
        <w:rPr>
          <w:rFonts w:hint="eastAsia" w:ascii="仿宋" w:hAnsi="仿宋" w:eastAsia="仿宋" w:cs="仿宋"/>
          <w:color w:val="auto"/>
          <w:szCs w:val="21"/>
          <w:highlight w:val="none"/>
          <w:u w:val="single"/>
        </w:rPr>
        <w:t>                             </w:t>
      </w:r>
    </w:p>
    <w:p w14:paraId="0B6D4F3D">
      <w:pPr>
        <w:widowControl/>
        <w:shd w:val="clear" w:color="auto" w:fill="FFFFFF"/>
        <w:spacing w:line="360" w:lineRule="auto"/>
        <w:jc w:val="left"/>
        <w:rPr>
          <w:rFonts w:hint="eastAsia" w:ascii="仿宋" w:hAnsi="仿宋" w:eastAsia="仿宋" w:cs="仿宋"/>
          <w:color w:val="auto"/>
          <w:szCs w:val="21"/>
          <w:highlight w:val="none"/>
        </w:rPr>
      </w:pPr>
    </w:p>
    <w:p w14:paraId="20D05C65">
      <w:pPr>
        <w:widowControl/>
        <w:jc w:val="lef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br w:type="page" w:clear="all"/>
      </w:r>
    </w:p>
    <w:p w14:paraId="2D5BDF3B">
      <w:pPr>
        <w:widowControl/>
        <w:shd w:val="clear" w:color="auto" w:fill="FFFFFF"/>
        <w:spacing w:line="360" w:lineRule="auto"/>
        <w:jc w:val="left"/>
        <w:outlineLvl w:val="1"/>
        <w:rPr>
          <w:rFonts w:hint="eastAsia" w:ascii="仿宋" w:hAnsi="仿宋" w:eastAsia="仿宋" w:cs="仿宋"/>
          <w:color w:val="auto"/>
          <w:szCs w:val="21"/>
          <w:highlight w:val="none"/>
        </w:rPr>
      </w:pPr>
      <w:bookmarkStart w:id="38" w:name="_Toc18216"/>
      <w:r>
        <w:rPr>
          <w:rFonts w:hint="eastAsia" w:ascii="仿宋" w:hAnsi="仿宋" w:eastAsia="仿宋" w:cs="仿宋"/>
          <w:b/>
          <w:bCs/>
          <w:color w:val="auto"/>
          <w:szCs w:val="21"/>
          <w:highlight w:val="none"/>
        </w:rPr>
        <w:t>附件四、技术要求响应及偏离表格式</w:t>
      </w:r>
      <w:bookmarkEnd w:id="38"/>
    </w:p>
    <w:p w14:paraId="24D08ADC">
      <w:pPr>
        <w:widowControl/>
        <w:shd w:val="clear" w:color="auto" w:fill="FFFFFF"/>
        <w:spacing w:line="360" w:lineRule="auto"/>
        <w:ind w:left="435"/>
        <w:jc w:val="left"/>
        <w:rPr>
          <w:rFonts w:hint="eastAsia" w:ascii="仿宋" w:hAnsi="仿宋" w:eastAsia="仿宋" w:cs="仿宋"/>
          <w:color w:val="auto"/>
          <w:szCs w:val="21"/>
          <w:highlight w:val="none"/>
        </w:rPr>
      </w:pPr>
      <w:r>
        <w:rPr>
          <w:rFonts w:hint="eastAsia" w:ascii="仿宋" w:hAnsi="仿宋" w:eastAsia="仿宋" w:cs="仿宋"/>
          <w:color w:val="auto"/>
          <w:sz w:val="24"/>
          <w:highlight w:val="none"/>
        </w:rPr>
        <w:t> </w:t>
      </w:r>
    </w:p>
    <w:p w14:paraId="06ED30F4">
      <w:pPr>
        <w:widowControl/>
        <w:shd w:val="clear" w:color="auto" w:fill="FFFFFF"/>
        <w:spacing w:line="360" w:lineRule="auto"/>
        <w:ind w:left="420"/>
        <w:jc w:val="center"/>
        <w:rPr>
          <w:rFonts w:hint="eastAsia" w:ascii="仿宋" w:hAnsi="仿宋" w:eastAsia="仿宋" w:cs="仿宋"/>
          <w:b/>
          <w:color w:val="auto"/>
          <w:szCs w:val="21"/>
          <w:highlight w:val="none"/>
        </w:rPr>
      </w:pPr>
      <w:r>
        <w:rPr>
          <w:rFonts w:hint="eastAsia" w:ascii="仿宋" w:hAnsi="仿宋" w:eastAsia="仿宋" w:cs="仿宋"/>
          <w:b/>
          <w:color w:val="auto"/>
          <w:sz w:val="36"/>
          <w:szCs w:val="36"/>
          <w:highlight w:val="none"/>
        </w:rPr>
        <w:t>技术要求响应及偏离表</w:t>
      </w:r>
    </w:p>
    <w:p w14:paraId="7952008E">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p w14:paraId="6685B19C">
      <w:pPr>
        <w:widowControl/>
        <w:tabs>
          <w:tab w:val="left" w:pos="5397"/>
        </w:tabs>
        <w:spacing w:line="360" w:lineRule="auto"/>
        <w:ind w:firstLine="84"/>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项目编号：  </w:t>
      </w:r>
    </w:p>
    <w:tbl>
      <w:tblPr>
        <w:tblStyle w:val="15"/>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3012"/>
        <w:gridCol w:w="1246"/>
      </w:tblGrid>
      <w:tr w14:paraId="5D91E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91C5A5E">
            <w:pPr>
              <w:widowControl/>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678" w:type="dxa"/>
            <w:noWrap w:val="0"/>
            <w:tcMar>
              <w:top w:w="0" w:type="dxa"/>
              <w:left w:w="10" w:type="dxa"/>
              <w:bottom w:w="0" w:type="dxa"/>
              <w:right w:w="10" w:type="dxa"/>
            </w:tcMar>
            <w:vAlign w:val="center"/>
          </w:tcPr>
          <w:p w14:paraId="7D507BFD">
            <w:pPr>
              <w:widowControl/>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征集文件条目号</w:t>
            </w:r>
          </w:p>
        </w:tc>
        <w:tc>
          <w:tcPr>
            <w:tcW w:w="1931" w:type="dxa"/>
            <w:noWrap w:val="0"/>
            <w:tcMar>
              <w:top w:w="0" w:type="dxa"/>
              <w:left w:w="10" w:type="dxa"/>
              <w:bottom w:w="0" w:type="dxa"/>
              <w:right w:w="10" w:type="dxa"/>
            </w:tcMar>
            <w:vAlign w:val="center"/>
          </w:tcPr>
          <w:p w14:paraId="37D86D8F">
            <w:pPr>
              <w:widowControl/>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征集文件要求</w:t>
            </w:r>
          </w:p>
        </w:tc>
        <w:tc>
          <w:tcPr>
            <w:tcW w:w="3012" w:type="dxa"/>
            <w:noWrap w:val="0"/>
            <w:tcMar>
              <w:top w:w="0" w:type="dxa"/>
              <w:left w:w="10" w:type="dxa"/>
              <w:bottom w:w="0" w:type="dxa"/>
              <w:right w:w="10" w:type="dxa"/>
            </w:tcMar>
            <w:vAlign w:val="center"/>
          </w:tcPr>
          <w:p w14:paraId="0A28EB45">
            <w:pPr>
              <w:widowControl/>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响应情况</w:t>
            </w:r>
          </w:p>
        </w:tc>
        <w:tc>
          <w:tcPr>
            <w:tcW w:w="1246" w:type="dxa"/>
            <w:noWrap w:val="0"/>
            <w:tcMar>
              <w:top w:w="0" w:type="dxa"/>
              <w:left w:w="10" w:type="dxa"/>
              <w:bottom w:w="0" w:type="dxa"/>
              <w:right w:w="10" w:type="dxa"/>
            </w:tcMar>
            <w:vAlign w:val="center"/>
          </w:tcPr>
          <w:p w14:paraId="092FFBE6">
            <w:pPr>
              <w:widowControl/>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偏离</w:t>
            </w:r>
          </w:p>
        </w:tc>
      </w:tr>
      <w:tr w14:paraId="2D1D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9277331">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8" w:type="dxa"/>
            <w:noWrap w:val="0"/>
            <w:tcMar>
              <w:top w:w="0" w:type="dxa"/>
              <w:left w:w="10" w:type="dxa"/>
              <w:bottom w:w="0" w:type="dxa"/>
              <w:right w:w="10" w:type="dxa"/>
            </w:tcMar>
            <w:vAlign w:val="center"/>
          </w:tcPr>
          <w:p w14:paraId="0DC32421">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931" w:type="dxa"/>
            <w:noWrap w:val="0"/>
            <w:tcMar>
              <w:top w:w="0" w:type="dxa"/>
              <w:left w:w="10" w:type="dxa"/>
              <w:bottom w:w="0" w:type="dxa"/>
              <w:right w:w="10" w:type="dxa"/>
            </w:tcMar>
            <w:vAlign w:val="center"/>
          </w:tcPr>
          <w:p w14:paraId="07665E28">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012" w:type="dxa"/>
            <w:noWrap w:val="0"/>
            <w:tcMar>
              <w:top w:w="0" w:type="dxa"/>
              <w:left w:w="10" w:type="dxa"/>
              <w:bottom w:w="0" w:type="dxa"/>
              <w:right w:w="10" w:type="dxa"/>
            </w:tcMar>
            <w:vAlign w:val="center"/>
          </w:tcPr>
          <w:p w14:paraId="0E7A5F13">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46" w:type="dxa"/>
            <w:noWrap w:val="0"/>
            <w:tcMar>
              <w:top w:w="0" w:type="dxa"/>
              <w:left w:w="10" w:type="dxa"/>
              <w:bottom w:w="0" w:type="dxa"/>
              <w:right w:w="10" w:type="dxa"/>
            </w:tcMar>
            <w:vAlign w:val="center"/>
          </w:tcPr>
          <w:p w14:paraId="0ADC59A5">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55A52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B6E4665">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8" w:type="dxa"/>
            <w:noWrap w:val="0"/>
            <w:tcMar>
              <w:top w:w="0" w:type="dxa"/>
              <w:left w:w="10" w:type="dxa"/>
              <w:bottom w:w="0" w:type="dxa"/>
              <w:right w:w="10" w:type="dxa"/>
            </w:tcMar>
            <w:vAlign w:val="center"/>
          </w:tcPr>
          <w:p w14:paraId="7742D50D">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931" w:type="dxa"/>
            <w:noWrap w:val="0"/>
            <w:tcMar>
              <w:top w:w="0" w:type="dxa"/>
              <w:left w:w="10" w:type="dxa"/>
              <w:bottom w:w="0" w:type="dxa"/>
              <w:right w:w="10" w:type="dxa"/>
            </w:tcMar>
            <w:vAlign w:val="center"/>
          </w:tcPr>
          <w:p w14:paraId="6F8A6E55">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012" w:type="dxa"/>
            <w:noWrap w:val="0"/>
            <w:tcMar>
              <w:top w:w="0" w:type="dxa"/>
              <w:left w:w="10" w:type="dxa"/>
              <w:bottom w:w="0" w:type="dxa"/>
              <w:right w:w="10" w:type="dxa"/>
            </w:tcMar>
            <w:vAlign w:val="center"/>
          </w:tcPr>
          <w:p w14:paraId="370CC12B">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46" w:type="dxa"/>
            <w:noWrap w:val="0"/>
            <w:tcMar>
              <w:top w:w="0" w:type="dxa"/>
              <w:left w:w="10" w:type="dxa"/>
              <w:bottom w:w="0" w:type="dxa"/>
              <w:right w:w="10" w:type="dxa"/>
            </w:tcMar>
            <w:vAlign w:val="center"/>
          </w:tcPr>
          <w:p w14:paraId="2CDEFAB3">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5EDC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F269C29">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8" w:type="dxa"/>
            <w:noWrap w:val="0"/>
            <w:tcMar>
              <w:top w:w="0" w:type="dxa"/>
              <w:left w:w="10" w:type="dxa"/>
              <w:bottom w:w="0" w:type="dxa"/>
              <w:right w:w="10" w:type="dxa"/>
            </w:tcMar>
            <w:vAlign w:val="center"/>
          </w:tcPr>
          <w:p w14:paraId="5F31EE33">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931" w:type="dxa"/>
            <w:noWrap w:val="0"/>
            <w:tcMar>
              <w:top w:w="0" w:type="dxa"/>
              <w:left w:w="10" w:type="dxa"/>
              <w:bottom w:w="0" w:type="dxa"/>
              <w:right w:w="10" w:type="dxa"/>
            </w:tcMar>
            <w:vAlign w:val="center"/>
          </w:tcPr>
          <w:p w14:paraId="2D28ECD1">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012" w:type="dxa"/>
            <w:noWrap w:val="0"/>
            <w:tcMar>
              <w:top w:w="0" w:type="dxa"/>
              <w:left w:w="10" w:type="dxa"/>
              <w:bottom w:w="0" w:type="dxa"/>
              <w:right w:w="10" w:type="dxa"/>
            </w:tcMar>
            <w:vAlign w:val="center"/>
          </w:tcPr>
          <w:p w14:paraId="492F3B74">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46" w:type="dxa"/>
            <w:noWrap w:val="0"/>
            <w:tcMar>
              <w:top w:w="0" w:type="dxa"/>
              <w:left w:w="10" w:type="dxa"/>
              <w:bottom w:w="0" w:type="dxa"/>
              <w:right w:w="10" w:type="dxa"/>
            </w:tcMar>
            <w:vAlign w:val="center"/>
          </w:tcPr>
          <w:p w14:paraId="23E9D4ED">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01B6A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BE20885">
            <w:pPr>
              <w:widowControl/>
              <w:spacing w:line="360" w:lineRule="auto"/>
              <w:jc w:val="center"/>
              <w:rPr>
                <w:rFonts w:hint="eastAsia" w:ascii="仿宋" w:hAnsi="仿宋" w:eastAsia="仿宋" w:cs="仿宋"/>
                <w:color w:val="auto"/>
                <w:szCs w:val="21"/>
                <w:highlight w:val="none"/>
              </w:rPr>
            </w:pPr>
          </w:p>
        </w:tc>
        <w:tc>
          <w:tcPr>
            <w:tcW w:w="1678" w:type="dxa"/>
            <w:noWrap w:val="0"/>
            <w:tcMar>
              <w:top w:w="0" w:type="dxa"/>
              <w:left w:w="10" w:type="dxa"/>
              <w:bottom w:w="0" w:type="dxa"/>
              <w:right w:w="10" w:type="dxa"/>
            </w:tcMar>
            <w:vAlign w:val="center"/>
          </w:tcPr>
          <w:p w14:paraId="5280723B">
            <w:pPr>
              <w:widowControl/>
              <w:spacing w:line="360" w:lineRule="auto"/>
              <w:jc w:val="center"/>
              <w:rPr>
                <w:rFonts w:hint="eastAsia" w:ascii="仿宋" w:hAnsi="仿宋" w:eastAsia="仿宋" w:cs="仿宋"/>
                <w:color w:val="auto"/>
                <w:szCs w:val="21"/>
                <w:highlight w:val="none"/>
              </w:rPr>
            </w:pPr>
          </w:p>
        </w:tc>
        <w:tc>
          <w:tcPr>
            <w:tcW w:w="1931" w:type="dxa"/>
            <w:noWrap w:val="0"/>
            <w:tcMar>
              <w:top w:w="0" w:type="dxa"/>
              <w:left w:w="10" w:type="dxa"/>
              <w:bottom w:w="0" w:type="dxa"/>
              <w:right w:w="10" w:type="dxa"/>
            </w:tcMar>
            <w:vAlign w:val="center"/>
          </w:tcPr>
          <w:p w14:paraId="5C182A6C">
            <w:pPr>
              <w:widowControl/>
              <w:spacing w:line="360" w:lineRule="auto"/>
              <w:jc w:val="center"/>
              <w:rPr>
                <w:rFonts w:hint="eastAsia" w:ascii="仿宋" w:hAnsi="仿宋" w:eastAsia="仿宋" w:cs="仿宋"/>
                <w:color w:val="auto"/>
                <w:szCs w:val="21"/>
                <w:highlight w:val="none"/>
              </w:rPr>
            </w:pPr>
          </w:p>
        </w:tc>
        <w:tc>
          <w:tcPr>
            <w:tcW w:w="3012" w:type="dxa"/>
            <w:noWrap w:val="0"/>
            <w:tcMar>
              <w:top w:w="0" w:type="dxa"/>
              <w:left w:w="10" w:type="dxa"/>
              <w:bottom w:w="0" w:type="dxa"/>
              <w:right w:w="10" w:type="dxa"/>
            </w:tcMar>
            <w:vAlign w:val="center"/>
          </w:tcPr>
          <w:p w14:paraId="70FB33A3">
            <w:pPr>
              <w:widowControl/>
              <w:spacing w:line="360" w:lineRule="auto"/>
              <w:jc w:val="center"/>
              <w:rPr>
                <w:rFonts w:hint="eastAsia" w:ascii="仿宋" w:hAnsi="仿宋" w:eastAsia="仿宋" w:cs="仿宋"/>
                <w:color w:val="auto"/>
                <w:szCs w:val="21"/>
                <w:highlight w:val="none"/>
              </w:rPr>
            </w:pPr>
          </w:p>
        </w:tc>
        <w:tc>
          <w:tcPr>
            <w:tcW w:w="1246" w:type="dxa"/>
            <w:noWrap w:val="0"/>
            <w:tcMar>
              <w:top w:w="0" w:type="dxa"/>
              <w:left w:w="10" w:type="dxa"/>
              <w:bottom w:w="0" w:type="dxa"/>
              <w:right w:w="10" w:type="dxa"/>
            </w:tcMar>
            <w:vAlign w:val="center"/>
          </w:tcPr>
          <w:p w14:paraId="67B9E8C0">
            <w:pPr>
              <w:widowControl/>
              <w:spacing w:line="360" w:lineRule="auto"/>
              <w:jc w:val="center"/>
              <w:rPr>
                <w:rFonts w:hint="eastAsia" w:ascii="仿宋" w:hAnsi="仿宋" w:eastAsia="仿宋" w:cs="仿宋"/>
                <w:color w:val="auto"/>
                <w:szCs w:val="21"/>
                <w:highlight w:val="none"/>
              </w:rPr>
            </w:pPr>
          </w:p>
        </w:tc>
      </w:tr>
      <w:tr w14:paraId="41FA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EA930B2">
            <w:pPr>
              <w:widowControl/>
              <w:spacing w:line="360" w:lineRule="auto"/>
              <w:jc w:val="center"/>
              <w:rPr>
                <w:rFonts w:hint="eastAsia" w:ascii="仿宋" w:hAnsi="仿宋" w:eastAsia="仿宋" w:cs="仿宋"/>
                <w:color w:val="auto"/>
                <w:szCs w:val="21"/>
                <w:highlight w:val="none"/>
              </w:rPr>
            </w:pPr>
          </w:p>
        </w:tc>
        <w:tc>
          <w:tcPr>
            <w:tcW w:w="1678" w:type="dxa"/>
            <w:noWrap w:val="0"/>
            <w:tcMar>
              <w:top w:w="0" w:type="dxa"/>
              <w:left w:w="10" w:type="dxa"/>
              <w:bottom w:w="0" w:type="dxa"/>
              <w:right w:w="10" w:type="dxa"/>
            </w:tcMar>
            <w:vAlign w:val="center"/>
          </w:tcPr>
          <w:p w14:paraId="56CAD4CC">
            <w:pPr>
              <w:widowControl/>
              <w:spacing w:line="360" w:lineRule="auto"/>
              <w:jc w:val="center"/>
              <w:rPr>
                <w:rFonts w:hint="eastAsia" w:ascii="仿宋" w:hAnsi="仿宋" w:eastAsia="仿宋" w:cs="仿宋"/>
                <w:color w:val="auto"/>
                <w:szCs w:val="21"/>
                <w:highlight w:val="none"/>
              </w:rPr>
            </w:pPr>
          </w:p>
        </w:tc>
        <w:tc>
          <w:tcPr>
            <w:tcW w:w="1931" w:type="dxa"/>
            <w:noWrap w:val="0"/>
            <w:tcMar>
              <w:top w:w="0" w:type="dxa"/>
              <w:left w:w="10" w:type="dxa"/>
              <w:bottom w:w="0" w:type="dxa"/>
              <w:right w:w="10" w:type="dxa"/>
            </w:tcMar>
            <w:vAlign w:val="center"/>
          </w:tcPr>
          <w:p w14:paraId="2D139E44">
            <w:pPr>
              <w:widowControl/>
              <w:spacing w:line="360" w:lineRule="auto"/>
              <w:jc w:val="center"/>
              <w:rPr>
                <w:rFonts w:hint="eastAsia" w:ascii="仿宋" w:hAnsi="仿宋" w:eastAsia="仿宋" w:cs="仿宋"/>
                <w:color w:val="auto"/>
                <w:szCs w:val="21"/>
                <w:highlight w:val="none"/>
              </w:rPr>
            </w:pPr>
          </w:p>
        </w:tc>
        <w:tc>
          <w:tcPr>
            <w:tcW w:w="3012" w:type="dxa"/>
            <w:noWrap w:val="0"/>
            <w:tcMar>
              <w:top w:w="0" w:type="dxa"/>
              <w:left w:w="10" w:type="dxa"/>
              <w:bottom w:w="0" w:type="dxa"/>
              <w:right w:w="10" w:type="dxa"/>
            </w:tcMar>
            <w:vAlign w:val="center"/>
          </w:tcPr>
          <w:p w14:paraId="05136CC6">
            <w:pPr>
              <w:widowControl/>
              <w:spacing w:line="360" w:lineRule="auto"/>
              <w:jc w:val="center"/>
              <w:rPr>
                <w:rFonts w:hint="eastAsia" w:ascii="仿宋" w:hAnsi="仿宋" w:eastAsia="仿宋" w:cs="仿宋"/>
                <w:color w:val="auto"/>
                <w:szCs w:val="21"/>
                <w:highlight w:val="none"/>
              </w:rPr>
            </w:pPr>
          </w:p>
        </w:tc>
        <w:tc>
          <w:tcPr>
            <w:tcW w:w="1246" w:type="dxa"/>
            <w:noWrap w:val="0"/>
            <w:tcMar>
              <w:top w:w="0" w:type="dxa"/>
              <w:left w:w="10" w:type="dxa"/>
              <w:bottom w:w="0" w:type="dxa"/>
              <w:right w:w="10" w:type="dxa"/>
            </w:tcMar>
            <w:vAlign w:val="center"/>
          </w:tcPr>
          <w:p w14:paraId="6BDBB877">
            <w:pPr>
              <w:widowControl/>
              <w:spacing w:line="360" w:lineRule="auto"/>
              <w:jc w:val="center"/>
              <w:rPr>
                <w:rFonts w:hint="eastAsia" w:ascii="仿宋" w:hAnsi="仿宋" w:eastAsia="仿宋" w:cs="仿宋"/>
                <w:color w:val="auto"/>
                <w:szCs w:val="21"/>
                <w:highlight w:val="none"/>
              </w:rPr>
            </w:pPr>
          </w:p>
        </w:tc>
      </w:tr>
      <w:tr w14:paraId="4EFD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A1E1021">
            <w:pPr>
              <w:widowControl/>
              <w:spacing w:line="360" w:lineRule="auto"/>
              <w:jc w:val="center"/>
              <w:rPr>
                <w:rFonts w:hint="eastAsia" w:ascii="仿宋" w:hAnsi="仿宋" w:eastAsia="仿宋" w:cs="仿宋"/>
                <w:color w:val="auto"/>
                <w:szCs w:val="21"/>
                <w:highlight w:val="none"/>
              </w:rPr>
            </w:pPr>
          </w:p>
        </w:tc>
        <w:tc>
          <w:tcPr>
            <w:tcW w:w="1678" w:type="dxa"/>
            <w:noWrap w:val="0"/>
            <w:tcMar>
              <w:top w:w="0" w:type="dxa"/>
              <w:left w:w="10" w:type="dxa"/>
              <w:bottom w:w="0" w:type="dxa"/>
              <w:right w:w="10" w:type="dxa"/>
            </w:tcMar>
            <w:vAlign w:val="center"/>
          </w:tcPr>
          <w:p w14:paraId="056954C4">
            <w:pPr>
              <w:widowControl/>
              <w:spacing w:line="360" w:lineRule="auto"/>
              <w:jc w:val="center"/>
              <w:rPr>
                <w:rFonts w:hint="eastAsia" w:ascii="仿宋" w:hAnsi="仿宋" w:eastAsia="仿宋" w:cs="仿宋"/>
                <w:color w:val="auto"/>
                <w:szCs w:val="21"/>
                <w:highlight w:val="none"/>
              </w:rPr>
            </w:pPr>
          </w:p>
        </w:tc>
        <w:tc>
          <w:tcPr>
            <w:tcW w:w="1931" w:type="dxa"/>
            <w:noWrap w:val="0"/>
            <w:tcMar>
              <w:top w:w="0" w:type="dxa"/>
              <w:left w:w="10" w:type="dxa"/>
              <w:bottom w:w="0" w:type="dxa"/>
              <w:right w:w="10" w:type="dxa"/>
            </w:tcMar>
            <w:vAlign w:val="center"/>
          </w:tcPr>
          <w:p w14:paraId="7DF0E92D">
            <w:pPr>
              <w:widowControl/>
              <w:spacing w:line="360" w:lineRule="auto"/>
              <w:jc w:val="center"/>
              <w:rPr>
                <w:rFonts w:hint="eastAsia" w:ascii="仿宋" w:hAnsi="仿宋" w:eastAsia="仿宋" w:cs="仿宋"/>
                <w:color w:val="auto"/>
                <w:szCs w:val="21"/>
                <w:highlight w:val="none"/>
              </w:rPr>
            </w:pPr>
          </w:p>
        </w:tc>
        <w:tc>
          <w:tcPr>
            <w:tcW w:w="3012" w:type="dxa"/>
            <w:noWrap w:val="0"/>
            <w:tcMar>
              <w:top w:w="0" w:type="dxa"/>
              <w:left w:w="10" w:type="dxa"/>
              <w:bottom w:w="0" w:type="dxa"/>
              <w:right w:w="10" w:type="dxa"/>
            </w:tcMar>
            <w:vAlign w:val="center"/>
          </w:tcPr>
          <w:p w14:paraId="06F5B2F8">
            <w:pPr>
              <w:widowControl/>
              <w:spacing w:line="360" w:lineRule="auto"/>
              <w:jc w:val="center"/>
              <w:rPr>
                <w:rFonts w:hint="eastAsia" w:ascii="仿宋" w:hAnsi="仿宋" w:eastAsia="仿宋" w:cs="仿宋"/>
                <w:color w:val="auto"/>
                <w:szCs w:val="21"/>
                <w:highlight w:val="none"/>
              </w:rPr>
            </w:pPr>
          </w:p>
        </w:tc>
        <w:tc>
          <w:tcPr>
            <w:tcW w:w="1246" w:type="dxa"/>
            <w:noWrap w:val="0"/>
            <w:tcMar>
              <w:top w:w="0" w:type="dxa"/>
              <w:left w:w="10" w:type="dxa"/>
              <w:bottom w:w="0" w:type="dxa"/>
              <w:right w:w="10" w:type="dxa"/>
            </w:tcMar>
            <w:vAlign w:val="center"/>
          </w:tcPr>
          <w:p w14:paraId="16F166AA">
            <w:pPr>
              <w:widowControl/>
              <w:spacing w:line="360" w:lineRule="auto"/>
              <w:jc w:val="center"/>
              <w:rPr>
                <w:rFonts w:hint="eastAsia" w:ascii="仿宋" w:hAnsi="仿宋" w:eastAsia="仿宋" w:cs="仿宋"/>
                <w:color w:val="auto"/>
                <w:szCs w:val="21"/>
                <w:highlight w:val="none"/>
              </w:rPr>
            </w:pPr>
          </w:p>
        </w:tc>
      </w:tr>
    </w:tbl>
    <w:p w14:paraId="7BE144B8">
      <w:pPr>
        <w:widowControl/>
        <w:shd w:val="clear" w:color="auto" w:fill="FFFFFF"/>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说明：投标文件技术部分响应存在正偏离或无偏离或负偏离的，请在本表中逐条列出。未列出的，也视为响应招标文件要求，无偏离。如果行数不够，请自行增加。</w:t>
      </w:r>
    </w:p>
    <w:p w14:paraId="07D8A10B">
      <w:pPr>
        <w:widowControl/>
        <w:shd w:val="clear" w:color="auto" w:fill="FFFFFF"/>
        <w:spacing w:line="360" w:lineRule="auto"/>
        <w:jc w:val="left"/>
        <w:rPr>
          <w:rFonts w:hint="eastAsia" w:ascii="仿宋" w:hAnsi="仿宋" w:eastAsia="仿宋" w:cs="仿宋"/>
          <w:color w:val="auto"/>
          <w:szCs w:val="21"/>
          <w:highlight w:val="none"/>
        </w:rPr>
      </w:pPr>
    </w:p>
    <w:p w14:paraId="61BA9D64">
      <w:pPr>
        <w:widowControl/>
        <w:shd w:val="clear" w:color="auto" w:fill="FFFFFF"/>
        <w:spacing w:line="360" w:lineRule="auto"/>
        <w:jc w:val="left"/>
        <w:rPr>
          <w:rFonts w:hint="eastAsia" w:ascii="仿宋" w:hAnsi="仿宋" w:eastAsia="仿宋" w:cs="仿宋"/>
          <w:color w:val="auto"/>
          <w:szCs w:val="21"/>
          <w:highlight w:val="none"/>
        </w:rPr>
      </w:pPr>
    </w:p>
    <w:p w14:paraId="29D7B257">
      <w:pPr>
        <w:widowControl/>
        <w:shd w:val="clear" w:color="auto" w:fill="FFFFFF"/>
        <w:spacing w:line="360" w:lineRule="auto"/>
        <w:jc w:val="left"/>
        <w:rPr>
          <w:rFonts w:hint="eastAsia" w:ascii="仿宋" w:hAnsi="仿宋" w:eastAsia="仿宋" w:cs="仿宋"/>
          <w:color w:val="auto"/>
          <w:szCs w:val="21"/>
          <w:highlight w:val="none"/>
        </w:rPr>
      </w:pPr>
    </w:p>
    <w:p w14:paraId="1DAEF34F">
      <w:pPr>
        <w:widowControl/>
        <w:shd w:val="clear" w:color="auto" w:fill="FFFFFF"/>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供应商（盖章）：</w:t>
      </w:r>
      <w:r>
        <w:rPr>
          <w:rFonts w:hint="eastAsia" w:ascii="仿宋" w:hAnsi="仿宋" w:eastAsia="仿宋" w:cs="仿宋"/>
          <w:color w:val="auto"/>
          <w:szCs w:val="21"/>
          <w:highlight w:val="none"/>
          <w:u w:val="single"/>
        </w:rPr>
        <w:t>                             </w:t>
      </w:r>
    </w:p>
    <w:p w14:paraId="599FCA6B">
      <w:pPr>
        <w:widowControl/>
        <w:shd w:val="clear" w:color="auto" w:fill="FFFFFF"/>
        <w:spacing w:line="360" w:lineRule="auto"/>
        <w:jc w:val="left"/>
        <w:rPr>
          <w:rFonts w:hint="eastAsia" w:ascii="仿宋" w:hAnsi="仿宋" w:eastAsia="仿宋" w:cs="仿宋"/>
          <w:color w:val="auto"/>
          <w:szCs w:val="21"/>
          <w:highlight w:val="none"/>
        </w:rPr>
      </w:pPr>
    </w:p>
    <w:p w14:paraId="50B4E9BE">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p w14:paraId="188BA25B">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p w14:paraId="3462BE5F">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p w14:paraId="0E5F7780">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p w14:paraId="575ECB8C">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p w14:paraId="4DCEAF1C">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p w14:paraId="34EE05DC">
      <w:pPr>
        <w:widowControl/>
        <w:shd w:val="clear" w:color="auto" w:fill="FFFFFF"/>
        <w:spacing w:line="360" w:lineRule="auto"/>
        <w:jc w:val="left"/>
        <w:outlineLvl w:val="1"/>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br w:type="page" w:clear="all"/>
      </w:r>
      <w:bookmarkStart w:id="39" w:name="_Toc27717"/>
      <w:r>
        <w:rPr>
          <w:rFonts w:hint="eastAsia" w:ascii="仿宋" w:hAnsi="仿宋" w:eastAsia="仿宋" w:cs="仿宋"/>
          <w:b/>
          <w:bCs/>
          <w:color w:val="auto"/>
          <w:szCs w:val="21"/>
          <w:highlight w:val="none"/>
        </w:rPr>
        <w:t>附件五、商务要求响应及偏离表格式</w:t>
      </w:r>
      <w:bookmarkEnd w:id="39"/>
    </w:p>
    <w:p w14:paraId="5D6B4F51">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p w14:paraId="65E523BB">
      <w:pPr>
        <w:widowControl/>
        <w:shd w:val="clear" w:color="auto" w:fill="FFFFFF"/>
        <w:spacing w:line="360" w:lineRule="auto"/>
        <w:ind w:left="420"/>
        <w:jc w:val="center"/>
        <w:rPr>
          <w:rFonts w:hint="eastAsia" w:ascii="仿宋" w:hAnsi="仿宋" w:eastAsia="仿宋" w:cs="仿宋"/>
          <w:b/>
          <w:color w:val="auto"/>
          <w:szCs w:val="21"/>
          <w:highlight w:val="none"/>
        </w:rPr>
      </w:pPr>
      <w:r>
        <w:rPr>
          <w:rFonts w:hint="eastAsia" w:ascii="仿宋" w:hAnsi="仿宋" w:eastAsia="仿宋" w:cs="仿宋"/>
          <w:b/>
          <w:color w:val="auto"/>
          <w:sz w:val="36"/>
          <w:szCs w:val="36"/>
          <w:highlight w:val="none"/>
        </w:rPr>
        <w:t>商务要求响应及偏离表</w:t>
      </w:r>
    </w:p>
    <w:p w14:paraId="4356EE35">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 w:val="24"/>
          <w:highlight w:val="none"/>
        </w:rPr>
        <w:t> </w:t>
      </w:r>
    </w:p>
    <w:p w14:paraId="68D36B32">
      <w:pPr>
        <w:widowControl/>
        <w:tabs>
          <w:tab w:val="left" w:pos="5366"/>
        </w:tabs>
        <w:spacing w:line="360" w:lineRule="auto"/>
        <w:ind w:firstLine="9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项目编号：         </w:t>
      </w:r>
    </w:p>
    <w:tbl>
      <w:tblPr>
        <w:tblStyle w:val="1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0CAE1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157B525">
            <w:pPr>
              <w:widowControl/>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679" w:type="dxa"/>
            <w:noWrap w:val="0"/>
            <w:tcMar>
              <w:top w:w="0" w:type="dxa"/>
              <w:left w:w="10" w:type="dxa"/>
              <w:bottom w:w="0" w:type="dxa"/>
              <w:right w:w="10" w:type="dxa"/>
            </w:tcMar>
            <w:vAlign w:val="center"/>
          </w:tcPr>
          <w:p w14:paraId="76C9306A">
            <w:pPr>
              <w:widowControl/>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征集文件条目号</w:t>
            </w:r>
          </w:p>
        </w:tc>
        <w:tc>
          <w:tcPr>
            <w:tcW w:w="2488" w:type="dxa"/>
            <w:noWrap w:val="0"/>
            <w:tcMar>
              <w:top w:w="0" w:type="dxa"/>
              <w:left w:w="10" w:type="dxa"/>
              <w:bottom w:w="0" w:type="dxa"/>
              <w:right w:w="10" w:type="dxa"/>
            </w:tcMar>
            <w:vAlign w:val="center"/>
          </w:tcPr>
          <w:p w14:paraId="4A9C5701">
            <w:pPr>
              <w:widowControl/>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征集文件要求</w:t>
            </w:r>
          </w:p>
        </w:tc>
        <w:tc>
          <w:tcPr>
            <w:tcW w:w="3004" w:type="dxa"/>
            <w:noWrap w:val="0"/>
            <w:tcMar>
              <w:top w:w="0" w:type="dxa"/>
              <w:left w:w="10" w:type="dxa"/>
              <w:bottom w:w="0" w:type="dxa"/>
              <w:right w:w="10" w:type="dxa"/>
            </w:tcMar>
            <w:vAlign w:val="center"/>
          </w:tcPr>
          <w:p w14:paraId="43A4356B">
            <w:pPr>
              <w:widowControl/>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响应情况</w:t>
            </w:r>
          </w:p>
        </w:tc>
        <w:tc>
          <w:tcPr>
            <w:tcW w:w="1201" w:type="dxa"/>
            <w:noWrap w:val="0"/>
            <w:tcMar>
              <w:top w:w="0" w:type="dxa"/>
              <w:left w:w="10" w:type="dxa"/>
              <w:bottom w:w="0" w:type="dxa"/>
              <w:right w:w="10" w:type="dxa"/>
            </w:tcMar>
            <w:vAlign w:val="center"/>
          </w:tcPr>
          <w:p w14:paraId="369347EC">
            <w:pPr>
              <w:widowControl/>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偏离</w:t>
            </w:r>
          </w:p>
        </w:tc>
      </w:tr>
      <w:tr w14:paraId="42A66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6845BCE0">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6279743C">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488" w:type="dxa"/>
            <w:noWrap w:val="0"/>
            <w:tcMar>
              <w:top w:w="0" w:type="dxa"/>
              <w:left w:w="10" w:type="dxa"/>
              <w:bottom w:w="0" w:type="dxa"/>
              <w:right w:w="10" w:type="dxa"/>
            </w:tcMar>
            <w:vAlign w:val="center"/>
          </w:tcPr>
          <w:p w14:paraId="5222783F">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004" w:type="dxa"/>
            <w:noWrap w:val="0"/>
            <w:tcMar>
              <w:top w:w="0" w:type="dxa"/>
              <w:left w:w="10" w:type="dxa"/>
              <w:bottom w:w="0" w:type="dxa"/>
              <w:right w:w="10" w:type="dxa"/>
            </w:tcMar>
            <w:vAlign w:val="center"/>
          </w:tcPr>
          <w:p w14:paraId="29D938AC">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10B3B4AD">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71C06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10D7E1E9">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1D2D8E4D">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488" w:type="dxa"/>
            <w:noWrap w:val="0"/>
            <w:tcMar>
              <w:top w:w="0" w:type="dxa"/>
              <w:left w:w="10" w:type="dxa"/>
              <w:bottom w:w="0" w:type="dxa"/>
              <w:right w:w="10" w:type="dxa"/>
            </w:tcMar>
            <w:vAlign w:val="center"/>
          </w:tcPr>
          <w:p w14:paraId="5A227F56">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004" w:type="dxa"/>
            <w:noWrap w:val="0"/>
            <w:tcMar>
              <w:top w:w="0" w:type="dxa"/>
              <w:left w:w="10" w:type="dxa"/>
              <w:bottom w:w="0" w:type="dxa"/>
              <w:right w:w="10" w:type="dxa"/>
            </w:tcMar>
            <w:vAlign w:val="center"/>
          </w:tcPr>
          <w:p w14:paraId="60B73F81">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54BA3C9C">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043F2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27EE7FAF">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24C1E357">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488" w:type="dxa"/>
            <w:noWrap w:val="0"/>
            <w:tcMar>
              <w:top w:w="0" w:type="dxa"/>
              <w:left w:w="10" w:type="dxa"/>
              <w:bottom w:w="0" w:type="dxa"/>
              <w:right w:w="10" w:type="dxa"/>
            </w:tcMar>
            <w:vAlign w:val="center"/>
          </w:tcPr>
          <w:p w14:paraId="5E11D020">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004" w:type="dxa"/>
            <w:noWrap w:val="0"/>
            <w:tcMar>
              <w:top w:w="0" w:type="dxa"/>
              <w:left w:w="10" w:type="dxa"/>
              <w:bottom w:w="0" w:type="dxa"/>
              <w:right w:w="10" w:type="dxa"/>
            </w:tcMar>
            <w:vAlign w:val="center"/>
          </w:tcPr>
          <w:p w14:paraId="68D655D1">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3A299FDB">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36352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691FB496">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08E24AB7">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488" w:type="dxa"/>
            <w:noWrap w:val="0"/>
            <w:tcMar>
              <w:top w:w="0" w:type="dxa"/>
              <w:left w:w="10" w:type="dxa"/>
              <w:bottom w:w="0" w:type="dxa"/>
              <w:right w:w="10" w:type="dxa"/>
            </w:tcMar>
            <w:vAlign w:val="center"/>
          </w:tcPr>
          <w:p w14:paraId="178ACDA7">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004" w:type="dxa"/>
            <w:noWrap w:val="0"/>
            <w:tcMar>
              <w:top w:w="0" w:type="dxa"/>
              <w:left w:w="10" w:type="dxa"/>
              <w:bottom w:w="0" w:type="dxa"/>
              <w:right w:w="10" w:type="dxa"/>
            </w:tcMar>
            <w:vAlign w:val="center"/>
          </w:tcPr>
          <w:p w14:paraId="6AA7DA45">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11BBA79E">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4999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EC1FF67">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4F4442B7">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488" w:type="dxa"/>
            <w:noWrap w:val="0"/>
            <w:tcMar>
              <w:top w:w="0" w:type="dxa"/>
              <w:left w:w="10" w:type="dxa"/>
              <w:bottom w:w="0" w:type="dxa"/>
              <w:right w:w="10" w:type="dxa"/>
            </w:tcMar>
            <w:vAlign w:val="center"/>
          </w:tcPr>
          <w:p w14:paraId="1FFFB04A">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004" w:type="dxa"/>
            <w:noWrap w:val="0"/>
            <w:tcMar>
              <w:top w:w="0" w:type="dxa"/>
              <w:left w:w="10" w:type="dxa"/>
              <w:bottom w:w="0" w:type="dxa"/>
              <w:right w:w="10" w:type="dxa"/>
            </w:tcMar>
            <w:vAlign w:val="center"/>
          </w:tcPr>
          <w:p w14:paraId="60684B6F">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06D8A6AF">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4F215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FA548F2">
            <w:pPr>
              <w:widowControl/>
              <w:spacing w:line="360" w:lineRule="auto"/>
              <w:jc w:val="center"/>
              <w:rPr>
                <w:rFonts w:hint="eastAsia" w:ascii="仿宋" w:hAnsi="仿宋" w:eastAsia="仿宋" w:cs="仿宋"/>
                <w:color w:val="auto"/>
                <w:szCs w:val="21"/>
                <w:highlight w:val="none"/>
              </w:rPr>
            </w:pPr>
          </w:p>
        </w:tc>
        <w:tc>
          <w:tcPr>
            <w:tcW w:w="1679" w:type="dxa"/>
            <w:noWrap w:val="0"/>
            <w:tcMar>
              <w:top w:w="0" w:type="dxa"/>
              <w:left w:w="10" w:type="dxa"/>
              <w:bottom w:w="0" w:type="dxa"/>
              <w:right w:w="10" w:type="dxa"/>
            </w:tcMar>
            <w:vAlign w:val="center"/>
          </w:tcPr>
          <w:p w14:paraId="5E7F90ED">
            <w:pPr>
              <w:widowControl/>
              <w:spacing w:line="360" w:lineRule="auto"/>
              <w:jc w:val="center"/>
              <w:rPr>
                <w:rFonts w:hint="eastAsia" w:ascii="仿宋" w:hAnsi="仿宋" w:eastAsia="仿宋" w:cs="仿宋"/>
                <w:color w:val="auto"/>
                <w:szCs w:val="21"/>
                <w:highlight w:val="none"/>
              </w:rPr>
            </w:pPr>
          </w:p>
        </w:tc>
        <w:tc>
          <w:tcPr>
            <w:tcW w:w="2488" w:type="dxa"/>
            <w:noWrap w:val="0"/>
            <w:tcMar>
              <w:top w:w="0" w:type="dxa"/>
              <w:left w:w="10" w:type="dxa"/>
              <w:bottom w:w="0" w:type="dxa"/>
              <w:right w:w="10" w:type="dxa"/>
            </w:tcMar>
            <w:vAlign w:val="center"/>
          </w:tcPr>
          <w:p w14:paraId="0AFFC230">
            <w:pPr>
              <w:widowControl/>
              <w:spacing w:line="360" w:lineRule="auto"/>
              <w:jc w:val="center"/>
              <w:rPr>
                <w:rFonts w:hint="eastAsia" w:ascii="仿宋" w:hAnsi="仿宋" w:eastAsia="仿宋" w:cs="仿宋"/>
                <w:color w:val="auto"/>
                <w:szCs w:val="21"/>
                <w:highlight w:val="none"/>
              </w:rPr>
            </w:pPr>
          </w:p>
        </w:tc>
        <w:tc>
          <w:tcPr>
            <w:tcW w:w="3004" w:type="dxa"/>
            <w:noWrap w:val="0"/>
            <w:tcMar>
              <w:top w:w="0" w:type="dxa"/>
              <w:left w:w="10" w:type="dxa"/>
              <w:bottom w:w="0" w:type="dxa"/>
              <w:right w:w="10" w:type="dxa"/>
            </w:tcMar>
            <w:vAlign w:val="center"/>
          </w:tcPr>
          <w:p w14:paraId="6529C98E">
            <w:pPr>
              <w:widowControl/>
              <w:spacing w:line="360" w:lineRule="auto"/>
              <w:jc w:val="center"/>
              <w:rPr>
                <w:rFonts w:hint="eastAsia" w:ascii="仿宋" w:hAnsi="仿宋" w:eastAsia="仿宋" w:cs="仿宋"/>
                <w:color w:val="auto"/>
                <w:szCs w:val="21"/>
                <w:highlight w:val="none"/>
              </w:rPr>
            </w:pPr>
          </w:p>
        </w:tc>
        <w:tc>
          <w:tcPr>
            <w:tcW w:w="1201" w:type="dxa"/>
            <w:noWrap w:val="0"/>
            <w:tcMar>
              <w:top w:w="0" w:type="dxa"/>
              <w:left w:w="10" w:type="dxa"/>
              <w:bottom w:w="0" w:type="dxa"/>
              <w:right w:w="10" w:type="dxa"/>
            </w:tcMar>
            <w:vAlign w:val="center"/>
          </w:tcPr>
          <w:p w14:paraId="79AE9673">
            <w:pPr>
              <w:widowControl/>
              <w:spacing w:line="360" w:lineRule="auto"/>
              <w:jc w:val="center"/>
              <w:rPr>
                <w:rFonts w:hint="eastAsia" w:ascii="仿宋" w:hAnsi="仿宋" w:eastAsia="仿宋" w:cs="仿宋"/>
                <w:color w:val="auto"/>
                <w:szCs w:val="21"/>
                <w:highlight w:val="none"/>
              </w:rPr>
            </w:pPr>
          </w:p>
        </w:tc>
      </w:tr>
      <w:tr w14:paraId="6C3FE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248A8E7">
            <w:pPr>
              <w:widowControl/>
              <w:spacing w:line="360" w:lineRule="auto"/>
              <w:jc w:val="center"/>
              <w:rPr>
                <w:rFonts w:hint="eastAsia" w:ascii="仿宋" w:hAnsi="仿宋" w:eastAsia="仿宋" w:cs="仿宋"/>
                <w:color w:val="auto"/>
                <w:szCs w:val="21"/>
                <w:highlight w:val="none"/>
              </w:rPr>
            </w:pPr>
          </w:p>
        </w:tc>
        <w:tc>
          <w:tcPr>
            <w:tcW w:w="1679" w:type="dxa"/>
            <w:noWrap w:val="0"/>
            <w:tcMar>
              <w:top w:w="0" w:type="dxa"/>
              <w:left w:w="10" w:type="dxa"/>
              <w:bottom w:w="0" w:type="dxa"/>
              <w:right w:w="10" w:type="dxa"/>
            </w:tcMar>
            <w:vAlign w:val="center"/>
          </w:tcPr>
          <w:p w14:paraId="18984D4A">
            <w:pPr>
              <w:widowControl/>
              <w:spacing w:line="360" w:lineRule="auto"/>
              <w:jc w:val="center"/>
              <w:rPr>
                <w:rFonts w:hint="eastAsia" w:ascii="仿宋" w:hAnsi="仿宋" w:eastAsia="仿宋" w:cs="仿宋"/>
                <w:color w:val="auto"/>
                <w:szCs w:val="21"/>
                <w:highlight w:val="none"/>
              </w:rPr>
            </w:pPr>
          </w:p>
        </w:tc>
        <w:tc>
          <w:tcPr>
            <w:tcW w:w="2488" w:type="dxa"/>
            <w:noWrap w:val="0"/>
            <w:tcMar>
              <w:top w:w="0" w:type="dxa"/>
              <w:left w:w="10" w:type="dxa"/>
              <w:bottom w:w="0" w:type="dxa"/>
              <w:right w:w="10" w:type="dxa"/>
            </w:tcMar>
            <w:vAlign w:val="center"/>
          </w:tcPr>
          <w:p w14:paraId="15DC39DC">
            <w:pPr>
              <w:widowControl/>
              <w:spacing w:line="360" w:lineRule="auto"/>
              <w:jc w:val="center"/>
              <w:rPr>
                <w:rFonts w:hint="eastAsia" w:ascii="仿宋" w:hAnsi="仿宋" w:eastAsia="仿宋" w:cs="仿宋"/>
                <w:color w:val="auto"/>
                <w:szCs w:val="21"/>
                <w:highlight w:val="none"/>
              </w:rPr>
            </w:pPr>
          </w:p>
        </w:tc>
        <w:tc>
          <w:tcPr>
            <w:tcW w:w="3004" w:type="dxa"/>
            <w:noWrap w:val="0"/>
            <w:tcMar>
              <w:top w:w="0" w:type="dxa"/>
              <w:left w:w="10" w:type="dxa"/>
              <w:bottom w:w="0" w:type="dxa"/>
              <w:right w:w="10" w:type="dxa"/>
            </w:tcMar>
            <w:vAlign w:val="center"/>
          </w:tcPr>
          <w:p w14:paraId="3259808A">
            <w:pPr>
              <w:widowControl/>
              <w:spacing w:line="360" w:lineRule="auto"/>
              <w:jc w:val="center"/>
              <w:rPr>
                <w:rFonts w:hint="eastAsia" w:ascii="仿宋" w:hAnsi="仿宋" w:eastAsia="仿宋" w:cs="仿宋"/>
                <w:color w:val="auto"/>
                <w:szCs w:val="21"/>
                <w:highlight w:val="none"/>
              </w:rPr>
            </w:pPr>
          </w:p>
        </w:tc>
        <w:tc>
          <w:tcPr>
            <w:tcW w:w="1201" w:type="dxa"/>
            <w:noWrap w:val="0"/>
            <w:tcMar>
              <w:top w:w="0" w:type="dxa"/>
              <w:left w:w="10" w:type="dxa"/>
              <w:bottom w:w="0" w:type="dxa"/>
              <w:right w:w="10" w:type="dxa"/>
            </w:tcMar>
            <w:vAlign w:val="center"/>
          </w:tcPr>
          <w:p w14:paraId="14F6297C">
            <w:pPr>
              <w:widowControl/>
              <w:spacing w:line="360" w:lineRule="auto"/>
              <w:jc w:val="center"/>
              <w:rPr>
                <w:rFonts w:hint="eastAsia" w:ascii="仿宋" w:hAnsi="仿宋" w:eastAsia="仿宋" w:cs="仿宋"/>
                <w:color w:val="auto"/>
                <w:szCs w:val="21"/>
                <w:highlight w:val="none"/>
              </w:rPr>
            </w:pPr>
          </w:p>
        </w:tc>
      </w:tr>
    </w:tbl>
    <w:p w14:paraId="524571B8">
      <w:pPr>
        <w:widowControl/>
        <w:shd w:val="clear" w:color="auto" w:fill="FFFFFF"/>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说明：投标文件商务部分响应存在正偏离或无偏离或负偏离的，请在本表中逐条列出。未列出的，也视为响应招标文件要求，无偏离。如果行数不够，请自行增加。</w:t>
      </w:r>
    </w:p>
    <w:p w14:paraId="0F71C66F">
      <w:pPr>
        <w:widowControl/>
        <w:shd w:val="clear" w:color="auto" w:fill="FFFFFF"/>
        <w:spacing w:line="360" w:lineRule="auto"/>
        <w:jc w:val="left"/>
        <w:rPr>
          <w:rFonts w:hint="eastAsia" w:ascii="仿宋" w:hAnsi="仿宋" w:eastAsia="仿宋" w:cs="仿宋"/>
          <w:color w:val="auto"/>
          <w:szCs w:val="21"/>
          <w:highlight w:val="none"/>
        </w:rPr>
      </w:pPr>
    </w:p>
    <w:p w14:paraId="7E970CA8">
      <w:pPr>
        <w:widowControl/>
        <w:shd w:val="clear" w:color="auto" w:fill="FFFFFF"/>
        <w:spacing w:line="360" w:lineRule="auto"/>
        <w:jc w:val="left"/>
        <w:rPr>
          <w:rFonts w:hint="eastAsia" w:ascii="仿宋" w:hAnsi="仿宋" w:eastAsia="仿宋" w:cs="仿宋"/>
          <w:color w:val="auto"/>
          <w:szCs w:val="21"/>
          <w:highlight w:val="none"/>
        </w:rPr>
      </w:pPr>
    </w:p>
    <w:p w14:paraId="31723546">
      <w:pPr>
        <w:widowControl/>
        <w:shd w:val="clear" w:color="auto" w:fill="FFFFFF"/>
        <w:spacing w:line="360" w:lineRule="auto"/>
        <w:jc w:val="left"/>
        <w:rPr>
          <w:rFonts w:hint="eastAsia" w:ascii="仿宋" w:hAnsi="仿宋" w:eastAsia="仿宋" w:cs="仿宋"/>
          <w:color w:val="auto"/>
          <w:szCs w:val="21"/>
          <w:highlight w:val="none"/>
        </w:rPr>
      </w:pPr>
    </w:p>
    <w:p w14:paraId="3C923084">
      <w:pPr>
        <w:widowControl/>
        <w:shd w:val="clear" w:color="auto" w:fill="FFFFFF"/>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供应商（盖章）：</w:t>
      </w:r>
      <w:r>
        <w:rPr>
          <w:rFonts w:hint="eastAsia" w:ascii="仿宋" w:hAnsi="仿宋" w:eastAsia="仿宋" w:cs="仿宋"/>
          <w:color w:val="auto"/>
          <w:szCs w:val="21"/>
          <w:highlight w:val="none"/>
          <w:u w:val="single"/>
        </w:rPr>
        <w:t>                             </w:t>
      </w:r>
    </w:p>
    <w:p w14:paraId="28AE35D4">
      <w:pPr>
        <w:widowControl/>
        <w:shd w:val="clear" w:color="auto" w:fill="FFFFFF"/>
        <w:spacing w:line="360" w:lineRule="auto"/>
        <w:jc w:val="left"/>
        <w:rPr>
          <w:rFonts w:hint="eastAsia" w:ascii="仿宋" w:hAnsi="仿宋" w:eastAsia="仿宋" w:cs="仿宋"/>
          <w:color w:val="auto"/>
          <w:szCs w:val="21"/>
          <w:highlight w:val="none"/>
        </w:rPr>
      </w:pPr>
    </w:p>
    <w:p w14:paraId="41FE2D82">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p w14:paraId="4542CFEF">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p w14:paraId="0837EF92">
      <w:pPr>
        <w:widowControl/>
        <w:shd w:val="clear" w:color="auto" w:fill="FFFFFF"/>
        <w:spacing w:line="360" w:lineRule="auto"/>
        <w:jc w:val="left"/>
        <w:rPr>
          <w:rFonts w:hint="eastAsia" w:ascii="仿宋" w:hAnsi="仿宋" w:eastAsia="仿宋" w:cs="仿宋"/>
          <w:color w:val="auto"/>
          <w:szCs w:val="21"/>
          <w:highlight w:val="none"/>
        </w:rPr>
      </w:pPr>
    </w:p>
    <w:p w14:paraId="6E949ADD">
      <w:pPr>
        <w:widowControl/>
        <w:shd w:val="clear" w:color="auto" w:fill="FFFFFF"/>
        <w:spacing w:line="360" w:lineRule="auto"/>
        <w:jc w:val="left"/>
        <w:outlineLvl w:val="1"/>
        <w:rPr>
          <w:rFonts w:hint="eastAsia" w:ascii="仿宋" w:hAnsi="仿宋" w:eastAsia="仿宋" w:cs="仿宋"/>
          <w:b/>
          <w:color w:val="auto"/>
          <w:szCs w:val="21"/>
          <w:highlight w:val="none"/>
          <w:lang w:val="zh-CN"/>
        </w:rPr>
      </w:pPr>
      <w:r>
        <w:rPr>
          <w:rFonts w:hint="eastAsia" w:ascii="仿宋" w:hAnsi="仿宋" w:eastAsia="仿宋" w:cs="仿宋"/>
          <w:b/>
          <w:bCs/>
          <w:color w:val="auto"/>
          <w:szCs w:val="21"/>
          <w:highlight w:val="none"/>
        </w:rPr>
        <w:br w:type="page" w:clear="all"/>
      </w:r>
      <w:bookmarkStart w:id="40" w:name="_Toc11233"/>
      <w:r>
        <w:rPr>
          <w:rFonts w:hint="eastAsia" w:ascii="仿宋" w:hAnsi="仿宋" w:eastAsia="仿宋" w:cs="仿宋"/>
          <w:b/>
          <w:bCs/>
          <w:color w:val="auto"/>
          <w:szCs w:val="21"/>
          <w:highlight w:val="none"/>
        </w:rPr>
        <w:t>附件六、</w:t>
      </w:r>
      <w:r>
        <w:rPr>
          <w:rFonts w:hint="eastAsia" w:ascii="仿宋" w:hAnsi="仿宋" w:eastAsia="仿宋" w:cs="仿宋"/>
          <w:b/>
          <w:color w:val="auto"/>
          <w:szCs w:val="21"/>
          <w:highlight w:val="none"/>
          <w:lang w:val="zh-CN"/>
        </w:rPr>
        <w:t>技术说明与服务方案</w:t>
      </w:r>
      <w:bookmarkEnd w:id="40"/>
    </w:p>
    <w:p w14:paraId="73B35F53">
      <w:pPr>
        <w:widowControl/>
        <w:shd w:val="clear" w:color="auto" w:fill="FFFFFF"/>
        <w:spacing w:line="360" w:lineRule="auto"/>
        <w:jc w:val="left"/>
        <w:rPr>
          <w:rFonts w:hint="eastAsia" w:ascii="仿宋" w:hAnsi="仿宋" w:eastAsia="仿宋" w:cs="仿宋"/>
          <w:b/>
          <w:color w:val="auto"/>
          <w:szCs w:val="21"/>
          <w:highlight w:val="none"/>
          <w:lang w:val="zh-CN"/>
        </w:rPr>
      </w:pPr>
    </w:p>
    <w:p w14:paraId="3C96A285">
      <w:pPr>
        <w:pStyle w:val="22"/>
        <w:spacing w:before="0" w:after="0"/>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技术方案及服务承诺应根据征集人对项目的要求、确定入围供应商的要求及项目本身的特点编写。</w:t>
      </w:r>
    </w:p>
    <w:p w14:paraId="3BEE3F94">
      <w:pPr>
        <w:widowControl/>
        <w:shd w:val="clear" w:color="auto" w:fill="FFFFFF"/>
        <w:spacing w:line="360" w:lineRule="auto"/>
        <w:jc w:val="left"/>
        <w:rPr>
          <w:rFonts w:hint="eastAsia" w:ascii="仿宋" w:hAnsi="仿宋" w:eastAsia="仿宋" w:cs="仿宋"/>
          <w:b/>
          <w:bCs/>
          <w:color w:val="auto"/>
          <w:szCs w:val="21"/>
          <w:highlight w:val="none"/>
        </w:rPr>
      </w:pPr>
    </w:p>
    <w:p w14:paraId="14CE2F7D">
      <w:pPr>
        <w:widowControl/>
        <w:spacing w:line="360" w:lineRule="auto"/>
        <w:outlineLvl w:val="1"/>
        <w:rPr>
          <w:rFonts w:hint="eastAsia" w:ascii="仿宋" w:hAnsi="仿宋" w:eastAsia="仿宋" w:cs="仿宋"/>
          <w:b/>
          <w:bCs/>
          <w:color w:val="auto"/>
          <w:sz w:val="24"/>
          <w:highlight w:val="none"/>
        </w:rPr>
      </w:pPr>
      <w:r>
        <w:rPr>
          <w:rFonts w:hint="eastAsia" w:ascii="仿宋" w:hAnsi="仿宋" w:eastAsia="仿宋" w:cs="仿宋"/>
          <w:color w:val="auto"/>
          <w:highlight w:val="none"/>
        </w:rPr>
        <w:br w:type="page" w:clear="all"/>
      </w:r>
      <w:bookmarkStart w:id="41" w:name="_Toc28386"/>
      <w:r>
        <w:rPr>
          <w:rFonts w:hint="eastAsia" w:ascii="仿宋" w:hAnsi="仿宋" w:eastAsia="仿宋" w:cs="仿宋"/>
          <w:b/>
          <w:bCs/>
          <w:color w:val="auto"/>
          <w:sz w:val="24"/>
          <w:highlight w:val="none"/>
        </w:rPr>
        <w:t>附件七、拟参与本项目服务人员一览表</w:t>
      </w:r>
      <w:bookmarkEnd w:id="41"/>
    </w:p>
    <w:p w14:paraId="1FC04EA2">
      <w:pPr>
        <w:widowControl/>
        <w:spacing w:line="360" w:lineRule="auto"/>
        <w:rPr>
          <w:rFonts w:hint="eastAsia" w:ascii="仿宋" w:hAnsi="仿宋" w:eastAsia="仿宋" w:cs="仿宋"/>
          <w:b/>
          <w:bCs/>
          <w:color w:val="auto"/>
          <w:sz w:val="24"/>
          <w:highlight w:val="none"/>
        </w:rPr>
      </w:pPr>
    </w:p>
    <w:p w14:paraId="7C7CC80B">
      <w:pPr>
        <w:widowControl/>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拟参与本项目服务人员一览表</w:t>
      </w:r>
    </w:p>
    <w:p w14:paraId="5359EE7C">
      <w:pPr>
        <w:widowControl/>
        <w:spacing w:line="360" w:lineRule="auto"/>
        <w:jc w:val="center"/>
        <w:rPr>
          <w:rFonts w:hint="eastAsia" w:ascii="仿宋" w:hAnsi="仿宋" w:eastAsia="仿宋" w:cs="仿宋"/>
          <w:b/>
          <w:bCs/>
          <w:color w:val="auto"/>
          <w:sz w:val="24"/>
          <w:highlight w:val="none"/>
        </w:rPr>
      </w:pPr>
    </w:p>
    <w:p w14:paraId="7A26CCC1">
      <w:pPr>
        <w:widowControl/>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项目名称：项目编号：</w:t>
      </w:r>
    </w:p>
    <w:tbl>
      <w:tblPr>
        <w:tblStyle w:val="15"/>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3F76709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798398A1">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7B6F7187">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7C42C21A">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36F2B68E">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6021527D">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47619CC1">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542B9EEC">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执业</w:t>
            </w:r>
          </w:p>
          <w:p w14:paraId="06A37072">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570893A0">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5C3A4557">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72B9D1CF">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89D0540">
            <w:pPr>
              <w:widowControl/>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5F3FB3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1507CD57">
            <w:pPr>
              <w:widowControl/>
              <w:spacing w:line="360" w:lineRule="auto"/>
              <w:rPr>
                <w:rFonts w:hint="eastAsia" w:ascii="仿宋" w:hAnsi="仿宋" w:eastAsia="仿宋" w:cs="仿宋"/>
                <w:color w:val="auto"/>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5DD05968">
            <w:pPr>
              <w:widowControl/>
              <w:spacing w:line="360" w:lineRule="auto"/>
              <w:rPr>
                <w:rFonts w:hint="eastAsia" w:ascii="仿宋" w:hAnsi="仿宋" w:eastAsia="仿宋" w:cs="仿宋"/>
                <w:color w:val="auto"/>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78636889">
            <w:pPr>
              <w:widowControl/>
              <w:spacing w:line="360" w:lineRule="auto"/>
              <w:rPr>
                <w:rFonts w:hint="eastAsia" w:ascii="仿宋" w:hAnsi="仿宋" w:eastAsia="仿宋" w:cs="仿宋"/>
                <w:color w:val="auto"/>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44AB803E">
            <w:pPr>
              <w:widowControl/>
              <w:spacing w:line="360" w:lineRule="auto"/>
              <w:rPr>
                <w:rFonts w:hint="eastAsia" w:ascii="仿宋" w:hAnsi="仿宋" w:eastAsia="仿宋" w:cs="仿宋"/>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733B2857">
            <w:pPr>
              <w:widowControl/>
              <w:spacing w:line="360" w:lineRule="auto"/>
              <w:rPr>
                <w:rFonts w:hint="eastAsia" w:ascii="仿宋" w:hAnsi="仿宋" w:eastAsia="仿宋" w:cs="仿宋"/>
                <w:color w:val="auto"/>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40043C6A">
            <w:pPr>
              <w:widowControl/>
              <w:spacing w:line="360" w:lineRule="auto"/>
              <w:rPr>
                <w:rFonts w:hint="eastAsia" w:ascii="仿宋" w:hAnsi="仿宋" w:eastAsia="仿宋" w:cs="仿宋"/>
                <w:color w:val="auto"/>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5759A974">
            <w:pPr>
              <w:widowControl/>
              <w:spacing w:line="360" w:lineRule="auto"/>
              <w:rPr>
                <w:rFonts w:hint="eastAsia" w:ascii="仿宋" w:hAnsi="仿宋" w:eastAsia="仿宋" w:cs="仿宋"/>
                <w:color w:val="auto"/>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3EEF02DD">
            <w:pPr>
              <w:widowControl/>
              <w:spacing w:line="360" w:lineRule="auto"/>
              <w:rPr>
                <w:rFonts w:hint="eastAsia" w:ascii="仿宋" w:hAnsi="仿宋" w:eastAsia="仿宋" w:cs="仿宋"/>
                <w:color w:val="auto"/>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1A6C8D7B">
            <w:pPr>
              <w:widowControl/>
              <w:spacing w:line="360" w:lineRule="auto"/>
              <w:rPr>
                <w:rFonts w:hint="eastAsia" w:ascii="仿宋" w:hAnsi="仿宋" w:eastAsia="仿宋" w:cs="仿宋"/>
                <w:color w:val="auto"/>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209BAE00">
            <w:pPr>
              <w:widowControl/>
              <w:spacing w:line="360" w:lineRule="auto"/>
              <w:rPr>
                <w:rFonts w:hint="eastAsia" w:ascii="仿宋" w:hAnsi="仿宋" w:eastAsia="仿宋" w:cs="仿宋"/>
                <w:color w:val="auto"/>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2731494B">
            <w:pPr>
              <w:widowControl/>
              <w:spacing w:line="360" w:lineRule="auto"/>
              <w:rPr>
                <w:rFonts w:hint="eastAsia" w:ascii="仿宋" w:hAnsi="仿宋" w:eastAsia="仿宋" w:cs="仿宋"/>
                <w:color w:val="auto"/>
                <w:szCs w:val="21"/>
                <w:highlight w:val="none"/>
              </w:rPr>
            </w:pPr>
          </w:p>
        </w:tc>
      </w:tr>
      <w:tr w14:paraId="6C19C15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6A1EA1CC">
            <w:pPr>
              <w:widowControl/>
              <w:spacing w:line="360" w:lineRule="auto"/>
              <w:rPr>
                <w:rFonts w:hint="eastAsia" w:ascii="仿宋" w:hAnsi="仿宋" w:eastAsia="仿宋" w:cs="仿宋"/>
                <w:color w:val="auto"/>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597D7AB4">
            <w:pPr>
              <w:widowControl/>
              <w:spacing w:line="360" w:lineRule="auto"/>
              <w:rPr>
                <w:rFonts w:hint="eastAsia" w:ascii="仿宋" w:hAnsi="仿宋" w:eastAsia="仿宋" w:cs="仿宋"/>
                <w:color w:val="auto"/>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7EB624B5">
            <w:pPr>
              <w:widowControl/>
              <w:spacing w:line="360" w:lineRule="auto"/>
              <w:rPr>
                <w:rFonts w:hint="eastAsia" w:ascii="仿宋" w:hAnsi="仿宋" w:eastAsia="仿宋" w:cs="仿宋"/>
                <w:color w:val="auto"/>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111721F6">
            <w:pPr>
              <w:widowControl/>
              <w:spacing w:line="360" w:lineRule="auto"/>
              <w:rPr>
                <w:rFonts w:hint="eastAsia" w:ascii="仿宋" w:hAnsi="仿宋" w:eastAsia="仿宋" w:cs="仿宋"/>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04075608">
            <w:pPr>
              <w:widowControl/>
              <w:spacing w:line="360" w:lineRule="auto"/>
              <w:rPr>
                <w:rFonts w:hint="eastAsia" w:ascii="仿宋" w:hAnsi="仿宋" w:eastAsia="仿宋" w:cs="仿宋"/>
                <w:color w:val="auto"/>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1990AC3D">
            <w:pPr>
              <w:widowControl/>
              <w:spacing w:line="360" w:lineRule="auto"/>
              <w:rPr>
                <w:rFonts w:hint="eastAsia" w:ascii="仿宋" w:hAnsi="仿宋" w:eastAsia="仿宋" w:cs="仿宋"/>
                <w:color w:val="auto"/>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3677388B">
            <w:pPr>
              <w:widowControl/>
              <w:spacing w:line="360" w:lineRule="auto"/>
              <w:rPr>
                <w:rFonts w:hint="eastAsia" w:ascii="仿宋" w:hAnsi="仿宋" w:eastAsia="仿宋" w:cs="仿宋"/>
                <w:color w:val="auto"/>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53D935D0">
            <w:pPr>
              <w:widowControl/>
              <w:spacing w:line="360" w:lineRule="auto"/>
              <w:rPr>
                <w:rFonts w:hint="eastAsia" w:ascii="仿宋" w:hAnsi="仿宋" w:eastAsia="仿宋" w:cs="仿宋"/>
                <w:color w:val="auto"/>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11BBC39C">
            <w:pPr>
              <w:widowControl/>
              <w:spacing w:line="360" w:lineRule="auto"/>
              <w:rPr>
                <w:rFonts w:hint="eastAsia" w:ascii="仿宋" w:hAnsi="仿宋" w:eastAsia="仿宋" w:cs="仿宋"/>
                <w:color w:val="auto"/>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231CE803">
            <w:pPr>
              <w:widowControl/>
              <w:spacing w:line="360" w:lineRule="auto"/>
              <w:rPr>
                <w:rFonts w:hint="eastAsia" w:ascii="仿宋" w:hAnsi="仿宋" w:eastAsia="仿宋" w:cs="仿宋"/>
                <w:color w:val="auto"/>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048AA8B9">
            <w:pPr>
              <w:widowControl/>
              <w:spacing w:line="360" w:lineRule="auto"/>
              <w:rPr>
                <w:rFonts w:hint="eastAsia" w:ascii="仿宋" w:hAnsi="仿宋" w:eastAsia="仿宋" w:cs="仿宋"/>
                <w:color w:val="auto"/>
                <w:szCs w:val="21"/>
                <w:highlight w:val="none"/>
              </w:rPr>
            </w:pPr>
          </w:p>
        </w:tc>
      </w:tr>
      <w:tr w14:paraId="5D4F41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0B63E3D1">
            <w:pPr>
              <w:widowControl/>
              <w:spacing w:line="360" w:lineRule="auto"/>
              <w:rPr>
                <w:rFonts w:hint="eastAsia" w:ascii="仿宋" w:hAnsi="仿宋" w:eastAsia="仿宋" w:cs="仿宋"/>
                <w:color w:val="auto"/>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42088C02">
            <w:pPr>
              <w:widowControl/>
              <w:spacing w:line="360" w:lineRule="auto"/>
              <w:rPr>
                <w:rFonts w:hint="eastAsia" w:ascii="仿宋" w:hAnsi="仿宋" w:eastAsia="仿宋" w:cs="仿宋"/>
                <w:color w:val="auto"/>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5CB53E1A">
            <w:pPr>
              <w:widowControl/>
              <w:spacing w:line="360" w:lineRule="auto"/>
              <w:rPr>
                <w:rFonts w:hint="eastAsia" w:ascii="仿宋" w:hAnsi="仿宋" w:eastAsia="仿宋" w:cs="仿宋"/>
                <w:color w:val="auto"/>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26F969EA">
            <w:pPr>
              <w:widowControl/>
              <w:spacing w:line="360" w:lineRule="auto"/>
              <w:rPr>
                <w:rFonts w:hint="eastAsia" w:ascii="仿宋" w:hAnsi="仿宋" w:eastAsia="仿宋" w:cs="仿宋"/>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1BF5C0DF">
            <w:pPr>
              <w:widowControl/>
              <w:spacing w:line="360" w:lineRule="auto"/>
              <w:rPr>
                <w:rFonts w:hint="eastAsia" w:ascii="仿宋" w:hAnsi="仿宋" w:eastAsia="仿宋" w:cs="仿宋"/>
                <w:color w:val="auto"/>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1E356427">
            <w:pPr>
              <w:widowControl/>
              <w:spacing w:line="360" w:lineRule="auto"/>
              <w:rPr>
                <w:rFonts w:hint="eastAsia" w:ascii="仿宋" w:hAnsi="仿宋" w:eastAsia="仿宋" w:cs="仿宋"/>
                <w:color w:val="auto"/>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5E83AC49">
            <w:pPr>
              <w:widowControl/>
              <w:spacing w:line="360" w:lineRule="auto"/>
              <w:rPr>
                <w:rFonts w:hint="eastAsia" w:ascii="仿宋" w:hAnsi="仿宋" w:eastAsia="仿宋" w:cs="仿宋"/>
                <w:color w:val="auto"/>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645CA567">
            <w:pPr>
              <w:widowControl/>
              <w:spacing w:line="360" w:lineRule="auto"/>
              <w:rPr>
                <w:rFonts w:hint="eastAsia" w:ascii="仿宋" w:hAnsi="仿宋" w:eastAsia="仿宋" w:cs="仿宋"/>
                <w:color w:val="auto"/>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5829B99D">
            <w:pPr>
              <w:widowControl/>
              <w:spacing w:line="360" w:lineRule="auto"/>
              <w:rPr>
                <w:rFonts w:hint="eastAsia" w:ascii="仿宋" w:hAnsi="仿宋" w:eastAsia="仿宋" w:cs="仿宋"/>
                <w:color w:val="auto"/>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758005BC">
            <w:pPr>
              <w:widowControl/>
              <w:spacing w:line="360" w:lineRule="auto"/>
              <w:rPr>
                <w:rFonts w:hint="eastAsia" w:ascii="仿宋" w:hAnsi="仿宋" w:eastAsia="仿宋" w:cs="仿宋"/>
                <w:color w:val="auto"/>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66089A3D">
            <w:pPr>
              <w:widowControl/>
              <w:spacing w:line="360" w:lineRule="auto"/>
              <w:rPr>
                <w:rFonts w:hint="eastAsia" w:ascii="仿宋" w:hAnsi="仿宋" w:eastAsia="仿宋" w:cs="仿宋"/>
                <w:color w:val="auto"/>
                <w:szCs w:val="21"/>
                <w:highlight w:val="none"/>
              </w:rPr>
            </w:pPr>
          </w:p>
        </w:tc>
      </w:tr>
      <w:tr w14:paraId="5E189F1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22947F45">
            <w:pPr>
              <w:widowControl/>
              <w:spacing w:line="360" w:lineRule="auto"/>
              <w:rPr>
                <w:rFonts w:hint="eastAsia" w:ascii="仿宋" w:hAnsi="仿宋" w:eastAsia="仿宋" w:cs="仿宋"/>
                <w:color w:val="auto"/>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54A94D3A">
            <w:pPr>
              <w:widowControl/>
              <w:spacing w:line="360" w:lineRule="auto"/>
              <w:rPr>
                <w:rFonts w:hint="eastAsia" w:ascii="仿宋" w:hAnsi="仿宋" w:eastAsia="仿宋" w:cs="仿宋"/>
                <w:color w:val="auto"/>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7DFCFA3A">
            <w:pPr>
              <w:widowControl/>
              <w:spacing w:line="360" w:lineRule="auto"/>
              <w:rPr>
                <w:rFonts w:hint="eastAsia" w:ascii="仿宋" w:hAnsi="仿宋" w:eastAsia="仿宋" w:cs="仿宋"/>
                <w:color w:val="auto"/>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41DD6A44">
            <w:pPr>
              <w:widowControl/>
              <w:spacing w:line="360" w:lineRule="auto"/>
              <w:rPr>
                <w:rFonts w:hint="eastAsia" w:ascii="仿宋" w:hAnsi="仿宋" w:eastAsia="仿宋" w:cs="仿宋"/>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4C5BB589">
            <w:pPr>
              <w:widowControl/>
              <w:spacing w:line="360" w:lineRule="auto"/>
              <w:rPr>
                <w:rFonts w:hint="eastAsia" w:ascii="仿宋" w:hAnsi="仿宋" w:eastAsia="仿宋" w:cs="仿宋"/>
                <w:color w:val="auto"/>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3B86D28C">
            <w:pPr>
              <w:widowControl/>
              <w:spacing w:line="360" w:lineRule="auto"/>
              <w:rPr>
                <w:rFonts w:hint="eastAsia" w:ascii="仿宋" w:hAnsi="仿宋" w:eastAsia="仿宋" w:cs="仿宋"/>
                <w:color w:val="auto"/>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3CBFA08A">
            <w:pPr>
              <w:widowControl/>
              <w:spacing w:line="360" w:lineRule="auto"/>
              <w:rPr>
                <w:rFonts w:hint="eastAsia" w:ascii="仿宋" w:hAnsi="仿宋" w:eastAsia="仿宋" w:cs="仿宋"/>
                <w:color w:val="auto"/>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18C80B9D">
            <w:pPr>
              <w:widowControl/>
              <w:spacing w:line="360" w:lineRule="auto"/>
              <w:rPr>
                <w:rFonts w:hint="eastAsia" w:ascii="仿宋" w:hAnsi="仿宋" w:eastAsia="仿宋" w:cs="仿宋"/>
                <w:color w:val="auto"/>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6A6DE7D0">
            <w:pPr>
              <w:widowControl/>
              <w:spacing w:line="360" w:lineRule="auto"/>
              <w:rPr>
                <w:rFonts w:hint="eastAsia" w:ascii="仿宋" w:hAnsi="仿宋" w:eastAsia="仿宋" w:cs="仿宋"/>
                <w:color w:val="auto"/>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512D1736">
            <w:pPr>
              <w:widowControl/>
              <w:spacing w:line="360" w:lineRule="auto"/>
              <w:rPr>
                <w:rFonts w:hint="eastAsia" w:ascii="仿宋" w:hAnsi="仿宋" w:eastAsia="仿宋" w:cs="仿宋"/>
                <w:color w:val="auto"/>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1FDD5A38">
            <w:pPr>
              <w:widowControl/>
              <w:spacing w:line="360" w:lineRule="auto"/>
              <w:rPr>
                <w:rFonts w:hint="eastAsia" w:ascii="仿宋" w:hAnsi="仿宋" w:eastAsia="仿宋" w:cs="仿宋"/>
                <w:color w:val="auto"/>
                <w:szCs w:val="21"/>
                <w:highlight w:val="none"/>
              </w:rPr>
            </w:pPr>
          </w:p>
        </w:tc>
      </w:tr>
      <w:tr w14:paraId="02ADC93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4C131ADF">
            <w:pPr>
              <w:widowControl/>
              <w:spacing w:line="360" w:lineRule="auto"/>
              <w:rPr>
                <w:rFonts w:hint="eastAsia" w:ascii="仿宋" w:hAnsi="仿宋" w:eastAsia="仿宋" w:cs="仿宋"/>
                <w:color w:val="auto"/>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5E496879">
            <w:pPr>
              <w:widowControl/>
              <w:spacing w:line="360" w:lineRule="auto"/>
              <w:rPr>
                <w:rFonts w:hint="eastAsia" w:ascii="仿宋" w:hAnsi="仿宋" w:eastAsia="仿宋" w:cs="仿宋"/>
                <w:color w:val="auto"/>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15F1FA73">
            <w:pPr>
              <w:widowControl/>
              <w:spacing w:line="360" w:lineRule="auto"/>
              <w:rPr>
                <w:rFonts w:hint="eastAsia" w:ascii="仿宋" w:hAnsi="仿宋" w:eastAsia="仿宋" w:cs="仿宋"/>
                <w:color w:val="auto"/>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0DF8F246">
            <w:pPr>
              <w:widowControl/>
              <w:spacing w:line="360" w:lineRule="auto"/>
              <w:rPr>
                <w:rFonts w:hint="eastAsia" w:ascii="仿宋" w:hAnsi="仿宋" w:eastAsia="仿宋" w:cs="仿宋"/>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664B5F99">
            <w:pPr>
              <w:widowControl/>
              <w:spacing w:line="360" w:lineRule="auto"/>
              <w:rPr>
                <w:rFonts w:hint="eastAsia" w:ascii="仿宋" w:hAnsi="仿宋" w:eastAsia="仿宋" w:cs="仿宋"/>
                <w:color w:val="auto"/>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438CA890">
            <w:pPr>
              <w:widowControl/>
              <w:spacing w:line="360" w:lineRule="auto"/>
              <w:rPr>
                <w:rFonts w:hint="eastAsia" w:ascii="仿宋" w:hAnsi="仿宋" w:eastAsia="仿宋" w:cs="仿宋"/>
                <w:color w:val="auto"/>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75832B27">
            <w:pPr>
              <w:widowControl/>
              <w:spacing w:line="360" w:lineRule="auto"/>
              <w:rPr>
                <w:rFonts w:hint="eastAsia" w:ascii="仿宋" w:hAnsi="仿宋" w:eastAsia="仿宋" w:cs="仿宋"/>
                <w:color w:val="auto"/>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33200284">
            <w:pPr>
              <w:widowControl/>
              <w:spacing w:line="360" w:lineRule="auto"/>
              <w:rPr>
                <w:rFonts w:hint="eastAsia" w:ascii="仿宋" w:hAnsi="仿宋" w:eastAsia="仿宋" w:cs="仿宋"/>
                <w:color w:val="auto"/>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1805FBAA">
            <w:pPr>
              <w:widowControl/>
              <w:spacing w:line="360" w:lineRule="auto"/>
              <w:rPr>
                <w:rFonts w:hint="eastAsia" w:ascii="仿宋" w:hAnsi="仿宋" w:eastAsia="仿宋" w:cs="仿宋"/>
                <w:color w:val="auto"/>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4E981AEF">
            <w:pPr>
              <w:widowControl/>
              <w:spacing w:line="360" w:lineRule="auto"/>
              <w:rPr>
                <w:rFonts w:hint="eastAsia" w:ascii="仿宋" w:hAnsi="仿宋" w:eastAsia="仿宋" w:cs="仿宋"/>
                <w:color w:val="auto"/>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12344563">
            <w:pPr>
              <w:widowControl/>
              <w:spacing w:line="360" w:lineRule="auto"/>
              <w:rPr>
                <w:rFonts w:hint="eastAsia" w:ascii="仿宋" w:hAnsi="仿宋" w:eastAsia="仿宋" w:cs="仿宋"/>
                <w:color w:val="auto"/>
                <w:szCs w:val="21"/>
                <w:highlight w:val="none"/>
              </w:rPr>
            </w:pPr>
          </w:p>
        </w:tc>
      </w:tr>
      <w:tr w14:paraId="3CF70A8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69E32CAC">
            <w:pPr>
              <w:widowControl/>
              <w:spacing w:line="360" w:lineRule="auto"/>
              <w:rPr>
                <w:rFonts w:hint="eastAsia" w:ascii="仿宋" w:hAnsi="仿宋" w:eastAsia="仿宋" w:cs="仿宋"/>
                <w:color w:val="auto"/>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4D81C148">
            <w:pPr>
              <w:widowControl/>
              <w:spacing w:line="360" w:lineRule="auto"/>
              <w:rPr>
                <w:rFonts w:hint="eastAsia" w:ascii="仿宋" w:hAnsi="仿宋" w:eastAsia="仿宋" w:cs="仿宋"/>
                <w:color w:val="auto"/>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01C23BB4">
            <w:pPr>
              <w:widowControl/>
              <w:spacing w:line="360" w:lineRule="auto"/>
              <w:rPr>
                <w:rFonts w:hint="eastAsia" w:ascii="仿宋" w:hAnsi="仿宋" w:eastAsia="仿宋" w:cs="仿宋"/>
                <w:color w:val="auto"/>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038A8410">
            <w:pPr>
              <w:widowControl/>
              <w:spacing w:line="360" w:lineRule="auto"/>
              <w:rPr>
                <w:rFonts w:hint="eastAsia" w:ascii="仿宋" w:hAnsi="仿宋" w:eastAsia="仿宋" w:cs="仿宋"/>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65EA181B">
            <w:pPr>
              <w:widowControl/>
              <w:spacing w:line="360" w:lineRule="auto"/>
              <w:rPr>
                <w:rFonts w:hint="eastAsia" w:ascii="仿宋" w:hAnsi="仿宋" w:eastAsia="仿宋" w:cs="仿宋"/>
                <w:color w:val="auto"/>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2B7DCCC0">
            <w:pPr>
              <w:widowControl/>
              <w:spacing w:line="360" w:lineRule="auto"/>
              <w:rPr>
                <w:rFonts w:hint="eastAsia" w:ascii="仿宋" w:hAnsi="仿宋" w:eastAsia="仿宋" w:cs="仿宋"/>
                <w:color w:val="auto"/>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72501B45">
            <w:pPr>
              <w:widowControl/>
              <w:spacing w:line="360" w:lineRule="auto"/>
              <w:rPr>
                <w:rFonts w:hint="eastAsia" w:ascii="仿宋" w:hAnsi="仿宋" w:eastAsia="仿宋" w:cs="仿宋"/>
                <w:color w:val="auto"/>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6B23B45D">
            <w:pPr>
              <w:widowControl/>
              <w:spacing w:line="360" w:lineRule="auto"/>
              <w:rPr>
                <w:rFonts w:hint="eastAsia" w:ascii="仿宋" w:hAnsi="仿宋" w:eastAsia="仿宋" w:cs="仿宋"/>
                <w:color w:val="auto"/>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7EEBB364">
            <w:pPr>
              <w:widowControl/>
              <w:spacing w:line="360" w:lineRule="auto"/>
              <w:rPr>
                <w:rFonts w:hint="eastAsia" w:ascii="仿宋" w:hAnsi="仿宋" w:eastAsia="仿宋" w:cs="仿宋"/>
                <w:color w:val="auto"/>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2DD82CC1">
            <w:pPr>
              <w:widowControl/>
              <w:spacing w:line="360" w:lineRule="auto"/>
              <w:rPr>
                <w:rFonts w:hint="eastAsia" w:ascii="仿宋" w:hAnsi="仿宋" w:eastAsia="仿宋" w:cs="仿宋"/>
                <w:color w:val="auto"/>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24C59981">
            <w:pPr>
              <w:widowControl/>
              <w:spacing w:line="360" w:lineRule="auto"/>
              <w:rPr>
                <w:rFonts w:hint="eastAsia" w:ascii="仿宋" w:hAnsi="仿宋" w:eastAsia="仿宋" w:cs="仿宋"/>
                <w:color w:val="auto"/>
                <w:szCs w:val="21"/>
                <w:highlight w:val="none"/>
              </w:rPr>
            </w:pPr>
          </w:p>
        </w:tc>
      </w:tr>
      <w:tr w14:paraId="0CE8E82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22C76A4B">
            <w:pPr>
              <w:widowControl/>
              <w:spacing w:line="360" w:lineRule="auto"/>
              <w:rPr>
                <w:rFonts w:hint="eastAsia" w:ascii="仿宋" w:hAnsi="仿宋" w:eastAsia="仿宋" w:cs="仿宋"/>
                <w:color w:val="auto"/>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1C659607">
            <w:pPr>
              <w:widowControl/>
              <w:spacing w:line="360" w:lineRule="auto"/>
              <w:rPr>
                <w:rFonts w:hint="eastAsia" w:ascii="仿宋" w:hAnsi="仿宋" w:eastAsia="仿宋" w:cs="仿宋"/>
                <w:color w:val="auto"/>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0EEA2347">
            <w:pPr>
              <w:widowControl/>
              <w:spacing w:line="360" w:lineRule="auto"/>
              <w:rPr>
                <w:rFonts w:hint="eastAsia" w:ascii="仿宋" w:hAnsi="仿宋" w:eastAsia="仿宋" w:cs="仿宋"/>
                <w:color w:val="auto"/>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234AFF20">
            <w:pPr>
              <w:widowControl/>
              <w:spacing w:line="360" w:lineRule="auto"/>
              <w:rPr>
                <w:rFonts w:hint="eastAsia" w:ascii="仿宋" w:hAnsi="仿宋" w:eastAsia="仿宋" w:cs="仿宋"/>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0DE218EE">
            <w:pPr>
              <w:widowControl/>
              <w:spacing w:line="360" w:lineRule="auto"/>
              <w:rPr>
                <w:rFonts w:hint="eastAsia" w:ascii="仿宋" w:hAnsi="仿宋" w:eastAsia="仿宋" w:cs="仿宋"/>
                <w:color w:val="auto"/>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7424296B">
            <w:pPr>
              <w:widowControl/>
              <w:spacing w:line="360" w:lineRule="auto"/>
              <w:rPr>
                <w:rFonts w:hint="eastAsia" w:ascii="仿宋" w:hAnsi="仿宋" w:eastAsia="仿宋" w:cs="仿宋"/>
                <w:color w:val="auto"/>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27D4605A">
            <w:pPr>
              <w:widowControl/>
              <w:spacing w:line="360" w:lineRule="auto"/>
              <w:rPr>
                <w:rFonts w:hint="eastAsia" w:ascii="仿宋" w:hAnsi="仿宋" w:eastAsia="仿宋" w:cs="仿宋"/>
                <w:color w:val="auto"/>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1E114E5F">
            <w:pPr>
              <w:widowControl/>
              <w:spacing w:line="360" w:lineRule="auto"/>
              <w:rPr>
                <w:rFonts w:hint="eastAsia" w:ascii="仿宋" w:hAnsi="仿宋" w:eastAsia="仿宋" w:cs="仿宋"/>
                <w:color w:val="auto"/>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56594221">
            <w:pPr>
              <w:widowControl/>
              <w:spacing w:line="360" w:lineRule="auto"/>
              <w:rPr>
                <w:rFonts w:hint="eastAsia" w:ascii="仿宋" w:hAnsi="仿宋" w:eastAsia="仿宋" w:cs="仿宋"/>
                <w:color w:val="auto"/>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1E582CD3">
            <w:pPr>
              <w:widowControl/>
              <w:spacing w:line="360" w:lineRule="auto"/>
              <w:rPr>
                <w:rFonts w:hint="eastAsia" w:ascii="仿宋" w:hAnsi="仿宋" w:eastAsia="仿宋" w:cs="仿宋"/>
                <w:color w:val="auto"/>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440B2E93">
            <w:pPr>
              <w:widowControl/>
              <w:spacing w:line="360" w:lineRule="auto"/>
              <w:rPr>
                <w:rFonts w:hint="eastAsia" w:ascii="仿宋" w:hAnsi="仿宋" w:eastAsia="仿宋" w:cs="仿宋"/>
                <w:color w:val="auto"/>
                <w:szCs w:val="21"/>
                <w:highlight w:val="none"/>
              </w:rPr>
            </w:pPr>
          </w:p>
        </w:tc>
      </w:tr>
      <w:tr w14:paraId="0B65C0B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tcPr>
          <w:p w14:paraId="28083251">
            <w:pPr>
              <w:widowControl/>
              <w:spacing w:line="360" w:lineRule="auto"/>
              <w:rPr>
                <w:rFonts w:hint="eastAsia" w:ascii="仿宋" w:hAnsi="仿宋" w:eastAsia="仿宋" w:cs="仿宋"/>
                <w:color w:val="auto"/>
                <w:szCs w:val="21"/>
                <w:highlight w:val="none"/>
              </w:rPr>
            </w:pPr>
          </w:p>
        </w:tc>
        <w:tc>
          <w:tcPr>
            <w:tcW w:w="896" w:type="dxa"/>
            <w:tcBorders>
              <w:top w:val="single" w:color="000000" w:sz="4" w:space="0"/>
              <w:left w:val="nil"/>
              <w:bottom w:val="single" w:color="000000" w:sz="4" w:space="0"/>
              <w:right w:val="single" w:color="000000" w:sz="4" w:space="0"/>
            </w:tcBorders>
            <w:noWrap w:val="0"/>
          </w:tcPr>
          <w:p w14:paraId="74AAA320">
            <w:pPr>
              <w:widowControl/>
              <w:spacing w:line="360" w:lineRule="auto"/>
              <w:rPr>
                <w:rFonts w:hint="eastAsia" w:ascii="仿宋" w:hAnsi="仿宋" w:eastAsia="仿宋" w:cs="仿宋"/>
                <w:color w:val="auto"/>
                <w:szCs w:val="21"/>
                <w:highlight w:val="none"/>
              </w:rPr>
            </w:pPr>
          </w:p>
        </w:tc>
        <w:tc>
          <w:tcPr>
            <w:tcW w:w="663" w:type="dxa"/>
            <w:tcBorders>
              <w:top w:val="single" w:color="000000" w:sz="4" w:space="0"/>
              <w:left w:val="nil"/>
              <w:bottom w:val="single" w:color="000000" w:sz="4" w:space="0"/>
              <w:right w:val="single" w:color="000000" w:sz="4" w:space="0"/>
            </w:tcBorders>
            <w:noWrap w:val="0"/>
          </w:tcPr>
          <w:p w14:paraId="6E56EA05">
            <w:pPr>
              <w:widowControl/>
              <w:spacing w:line="360" w:lineRule="auto"/>
              <w:rPr>
                <w:rFonts w:hint="eastAsia" w:ascii="仿宋" w:hAnsi="仿宋" w:eastAsia="仿宋" w:cs="仿宋"/>
                <w:color w:val="auto"/>
                <w:szCs w:val="21"/>
                <w:highlight w:val="none"/>
              </w:rPr>
            </w:pPr>
          </w:p>
        </w:tc>
        <w:tc>
          <w:tcPr>
            <w:tcW w:w="709" w:type="dxa"/>
            <w:tcBorders>
              <w:top w:val="single" w:color="000000" w:sz="4" w:space="0"/>
              <w:left w:val="nil"/>
              <w:bottom w:val="single" w:color="000000" w:sz="4" w:space="0"/>
              <w:right w:val="single" w:color="000000" w:sz="4" w:space="0"/>
            </w:tcBorders>
            <w:noWrap w:val="0"/>
          </w:tcPr>
          <w:p w14:paraId="6C35488F">
            <w:pPr>
              <w:widowControl/>
              <w:spacing w:line="360" w:lineRule="auto"/>
              <w:rPr>
                <w:rFonts w:hint="eastAsia" w:ascii="仿宋" w:hAnsi="仿宋" w:eastAsia="仿宋" w:cs="仿宋"/>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2A234189">
            <w:pPr>
              <w:widowControl/>
              <w:spacing w:line="360" w:lineRule="auto"/>
              <w:rPr>
                <w:rFonts w:hint="eastAsia" w:ascii="仿宋" w:hAnsi="仿宋" w:eastAsia="仿宋" w:cs="仿宋"/>
                <w:color w:val="auto"/>
                <w:szCs w:val="21"/>
                <w:highlight w:val="none"/>
              </w:rPr>
            </w:pPr>
          </w:p>
        </w:tc>
        <w:tc>
          <w:tcPr>
            <w:tcW w:w="931" w:type="dxa"/>
            <w:tcBorders>
              <w:top w:val="single" w:color="000000" w:sz="4" w:space="0"/>
              <w:left w:val="nil"/>
              <w:bottom w:val="single" w:color="000000" w:sz="4" w:space="0"/>
              <w:right w:val="single" w:color="000000" w:sz="4" w:space="0"/>
            </w:tcBorders>
            <w:noWrap w:val="0"/>
          </w:tcPr>
          <w:p w14:paraId="5D8233D6">
            <w:pPr>
              <w:widowControl/>
              <w:spacing w:line="360" w:lineRule="auto"/>
              <w:rPr>
                <w:rFonts w:hint="eastAsia" w:ascii="仿宋" w:hAnsi="仿宋" w:eastAsia="仿宋" w:cs="仿宋"/>
                <w:color w:val="auto"/>
                <w:szCs w:val="21"/>
                <w:highlight w:val="none"/>
              </w:rPr>
            </w:pPr>
          </w:p>
        </w:tc>
        <w:tc>
          <w:tcPr>
            <w:tcW w:w="1020" w:type="dxa"/>
            <w:tcBorders>
              <w:top w:val="single" w:color="000000" w:sz="4" w:space="0"/>
              <w:left w:val="nil"/>
              <w:bottom w:val="single" w:color="000000" w:sz="4" w:space="0"/>
              <w:right w:val="single" w:color="000000" w:sz="4" w:space="0"/>
            </w:tcBorders>
            <w:noWrap w:val="0"/>
          </w:tcPr>
          <w:p w14:paraId="36AA1E03">
            <w:pPr>
              <w:widowControl/>
              <w:spacing w:line="360" w:lineRule="auto"/>
              <w:rPr>
                <w:rFonts w:hint="eastAsia" w:ascii="仿宋" w:hAnsi="仿宋" w:eastAsia="仿宋" w:cs="仿宋"/>
                <w:color w:val="auto"/>
                <w:szCs w:val="21"/>
                <w:highlight w:val="none"/>
              </w:rPr>
            </w:pPr>
          </w:p>
        </w:tc>
        <w:tc>
          <w:tcPr>
            <w:tcW w:w="994" w:type="dxa"/>
            <w:tcBorders>
              <w:top w:val="single" w:color="000000" w:sz="4" w:space="0"/>
              <w:left w:val="nil"/>
              <w:bottom w:val="single" w:color="000000" w:sz="4" w:space="0"/>
              <w:right w:val="single" w:color="000000" w:sz="4" w:space="0"/>
            </w:tcBorders>
            <w:noWrap w:val="0"/>
          </w:tcPr>
          <w:p w14:paraId="5F9025C3">
            <w:pPr>
              <w:widowControl/>
              <w:spacing w:line="360" w:lineRule="auto"/>
              <w:rPr>
                <w:rFonts w:hint="eastAsia" w:ascii="仿宋" w:hAnsi="仿宋" w:eastAsia="仿宋" w:cs="仿宋"/>
                <w:color w:val="auto"/>
                <w:szCs w:val="21"/>
                <w:highlight w:val="none"/>
              </w:rPr>
            </w:pPr>
          </w:p>
        </w:tc>
        <w:tc>
          <w:tcPr>
            <w:tcW w:w="882" w:type="dxa"/>
            <w:tcBorders>
              <w:top w:val="single" w:color="000000" w:sz="4" w:space="0"/>
              <w:left w:val="nil"/>
              <w:bottom w:val="single" w:color="000000" w:sz="4" w:space="0"/>
              <w:right w:val="single" w:color="000000" w:sz="4" w:space="0"/>
            </w:tcBorders>
            <w:noWrap w:val="0"/>
          </w:tcPr>
          <w:p w14:paraId="18B4F7DD">
            <w:pPr>
              <w:widowControl/>
              <w:spacing w:line="360" w:lineRule="auto"/>
              <w:rPr>
                <w:rFonts w:hint="eastAsia" w:ascii="仿宋" w:hAnsi="仿宋" w:eastAsia="仿宋" w:cs="仿宋"/>
                <w:color w:val="auto"/>
                <w:szCs w:val="21"/>
                <w:highlight w:val="none"/>
              </w:rPr>
            </w:pPr>
          </w:p>
        </w:tc>
        <w:tc>
          <w:tcPr>
            <w:tcW w:w="850" w:type="dxa"/>
            <w:tcBorders>
              <w:top w:val="single" w:color="000000" w:sz="4" w:space="0"/>
              <w:left w:val="nil"/>
              <w:bottom w:val="single" w:color="000000" w:sz="4" w:space="0"/>
              <w:right w:val="single" w:color="000000" w:sz="4" w:space="0"/>
            </w:tcBorders>
            <w:noWrap w:val="0"/>
          </w:tcPr>
          <w:p w14:paraId="0F45F4DE">
            <w:pPr>
              <w:widowControl/>
              <w:spacing w:line="360" w:lineRule="auto"/>
              <w:rPr>
                <w:rFonts w:hint="eastAsia" w:ascii="仿宋" w:hAnsi="仿宋" w:eastAsia="仿宋" w:cs="仿宋"/>
                <w:color w:val="auto"/>
                <w:szCs w:val="21"/>
                <w:highlight w:val="none"/>
              </w:rPr>
            </w:pPr>
          </w:p>
        </w:tc>
        <w:tc>
          <w:tcPr>
            <w:tcW w:w="851" w:type="dxa"/>
            <w:tcBorders>
              <w:top w:val="single" w:color="000000" w:sz="4" w:space="0"/>
              <w:left w:val="nil"/>
              <w:bottom w:val="single" w:color="000000" w:sz="4" w:space="0"/>
              <w:right w:val="single" w:color="000000" w:sz="4" w:space="0"/>
            </w:tcBorders>
            <w:noWrap w:val="0"/>
          </w:tcPr>
          <w:p w14:paraId="590282E1">
            <w:pPr>
              <w:widowControl/>
              <w:spacing w:line="360" w:lineRule="auto"/>
              <w:rPr>
                <w:rFonts w:hint="eastAsia" w:ascii="仿宋" w:hAnsi="仿宋" w:eastAsia="仿宋" w:cs="仿宋"/>
                <w:color w:val="auto"/>
                <w:szCs w:val="21"/>
                <w:highlight w:val="none"/>
              </w:rPr>
            </w:pPr>
          </w:p>
        </w:tc>
      </w:tr>
    </w:tbl>
    <w:p w14:paraId="4FDD4829">
      <w:pPr>
        <w:widowControl/>
        <w:shd w:val="clear" w:color="auto" w:fill="FFFFFF"/>
        <w:spacing w:line="360" w:lineRule="auto"/>
        <w:jc w:val="left"/>
        <w:rPr>
          <w:rFonts w:hint="eastAsia" w:ascii="仿宋" w:hAnsi="仿宋" w:eastAsia="仿宋" w:cs="仿宋"/>
          <w:color w:val="auto"/>
          <w:szCs w:val="21"/>
          <w:highlight w:val="none"/>
        </w:rPr>
      </w:pPr>
    </w:p>
    <w:p w14:paraId="7B8C0284">
      <w:pPr>
        <w:widowControl/>
        <w:shd w:val="clear" w:color="auto" w:fill="FFFFFF"/>
        <w:spacing w:line="360" w:lineRule="auto"/>
        <w:jc w:val="left"/>
        <w:rPr>
          <w:rFonts w:hint="eastAsia" w:ascii="仿宋" w:hAnsi="仿宋" w:eastAsia="仿宋" w:cs="仿宋"/>
          <w:color w:val="auto"/>
          <w:szCs w:val="21"/>
          <w:highlight w:val="none"/>
        </w:rPr>
      </w:pPr>
    </w:p>
    <w:p w14:paraId="78277FD4">
      <w:pPr>
        <w:widowControl/>
        <w:shd w:val="clear" w:color="auto" w:fill="FFFFFF"/>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供应商（盖章）：</w:t>
      </w:r>
      <w:r>
        <w:rPr>
          <w:rFonts w:hint="eastAsia" w:ascii="仿宋" w:hAnsi="仿宋" w:eastAsia="仿宋" w:cs="仿宋"/>
          <w:color w:val="auto"/>
          <w:szCs w:val="21"/>
          <w:highlight w:val="none"/>
          <w:u w:val="single"/>
        </w:rPr>
        <w:t>                             </w:t>
      </w:r>
    </w:p>
    <w:p w14:paraId="04E28F0A">
      <w:pPr>
        <w:widowControl/>
        <w:spacing w:line="360" w:lineRule="auto"/>
        <w:rPr>
          <w:rFonts w:hint="eastAsia" w:ascii="仿宋" w:hAnsi="仿宋" w:eastAsia="仿宋" w:cs="仿宋"/>
          <w:color w:val="auto"/>
          <w:szCs w:val="21"/>
          <w:highlight w:val="none"/>
        </w:rPr>
      </w:pPr>
    </w:p>
    <w:p w14:paraId="0446E5BE">
      <w:pPr>
        <w:widowControl/>
        <w:spacing w:line="360" w:lineRule="auto"/>
        <w:rPr>
          <w:rFonts w:hint="eastAsia" w:ascii="仿宋" w:hAnsi="仿宋" w:eastAsia="仿宋" w:cs="仿宋"/>
          <w:b/>
          <w:bCs/>
          <w:color w:val="auto"/>
          <w:szCs w:val="21"/>
          <w:highlight w:val="none"/>
        </w:rPr>
      </w:pPr>
    </w:p>
    <w:p w14:paraId="116757D6">
      <w:pPr>
        <w:widowControl/>
        <w:spacing w:line="360" w:lineRule="auto"/>
        <w:rPr>
          <w:rFonts w:hint="eastAsia" w:ascii="仿宋" w:hAnsi="仿宋" w:eastAsia="仿宋" w:cs="仿宋"/>
          <w:b/>
          <w:bCs/>
          <w:color w:val="auto"/>
          <w:sz w:val="24"/>
          <w:highlight w:val="none"/>
        </w:rPr>
        <w:sectPr>
          <w:pgSz w:w="11906" w:h="16838"/>
          <w:pgMar w:top="1440" w:right="1800" w:bottom="1440" w:left="1800" w:header="850" w:footer="850" w:gutter="0"/>
          <w:paperSrc/>
          <w:pgNumType w:fmt="decimal"/>
          <w:cols w:space="0" w:num="1"/>
          <w:rtlGutter w:val="0"/>
          <w:docGrid w:type="lines" w:linePitch="317" w:charSpace="0"/>
        </w:sectPr>
      </w:pPr>
    </w:p>
    <w:p w14:paraId="7FB77C9E">
      <w:pPr>
        <w:widowControl/>
        <w:spacing w:line="360" w:lineRule="auto"/>
        <w:outlineLvl w:val="1"/>
        <w:rPr>
          <w:rFonts w:hint="eastAsia" w:ascii="仿宋" w:hAnsi="仿宋" w:eastAsia="仿宋" w:cs="仿宋"/>
          <w:b/>
          <w:bCs/>
          <w:color w:val="auto"/>
          <w:sz w:val="24"/>
          <w:highlight w:val="none"/>
          <w:lang w:eastAsia="zh-CN"/>
        </w:rPr>
      </w:pPr>
      <w:bookmarkStart w:id="42" w:name="_Toc13393"/>
      <w:r>
        <w:rPr>
          <w:rFonts w:hint="eastAsia" w:ascii="仿宋" w:hAnsi="仿宋" w:eastAsia="仿宋" w:cs="仿宋"/>
          <w:b/>
          <w:bCs/>
          <w:color w:val="auto"/>
          <w:sz w:val="24"/>
          <w:highlight w:val="none"/>
        </w:rPr>
        <w:t>附件八、供应商类似业绩情况表</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如有</w:t>
      </w:r>
      <w:r>
        <w:rPr>
          <w:rFonts w:hint="eastAsia" w:ascii="仿宋" w:hAnsi="仿宋" w:eastAsia="仿宋" w:cs="仿宋"/>
          <w:b/>
          <w:bCs/>
          <w:color w:val="auto"/>
          <w:sz w:val="24"/>
          <w:highlight w:val="none"/>
          <w:lang w:eastAsia="zh-CN"/>
        </w:rPr>
        <w:t>）</w:t>
      </w:r>
      <w:bookmarkEnd w:id="42"/>
    </w:p>
    <w:p w14:paraId="0F25C50D">
      <w:pPr>
        <w:widowControl/>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供应商类似业绩情况表</w:t>
      </w:r>
    </w:p>
    <w:tbl>
      <w:tblPr>
        <w:tblStyle w:val="15"/>
        <w:tblW w:w="86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6"/>
        <w:gridCol w:w="1076"/>
        <w:gridCol w:w="1077"/>
        <w:gridCol w:w="1077"/>
        <w:gridCol w:w="1077"/>
        <w:gridCol w:w="1077"/>
        <w:gridCol w:w="1332"/>
        <w:gridCol w:w="822"/>
      </w:tblGrid>
      <w:tr w14:paraId="73EA9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76" w:type="dxa"/>
            <w:noWrap/>
          </w:tcPr>
          <w:p w14:paraId="7E22140C">
            <w:pPr>
              <w:spacing w:before="240" w:line="360" w:lineRule="auto"/>
              <w:rPr>
                <w:rFonts w:hint="eastAsia" w:ascii="仿宋" w:hAnsi="仿宋" w:eastAsia="仿宋" w:cs="仿宋"/>
                <w:color w:val="auto"/>
                <w:spacing w:val="1"/>
                <w:szCs w:val="22"/>
                <w:highlight w:val="none"/>
                <w:lang w:eastAsia="en-US"/>
              </w:rPr>
            </w:pPr>
            <w:r>
              <w:rPr>
                <w:rFonts w:hint="eastAsia" w:ascii="仿宋" w:hAnsi="仿宋" w:eastAsia="仿宋" w:cs="仿宋"/>
                <w:color w:val="auto"/>
                <w:spacing w:val="1"/>
                <w:szCs w:val="22"/>
                <w:highlight w:val="none"/>
                <w:lang w:eastAsia="en-US"/>
              </w:rPr>
              <w:t>序号</w:t>
            </w:r>
          </w:p>
        </w:tc>
        <w:tc>
          <w:tcPr>
            <w:tcW w:w="1076" w:type="dxa"/>
            <w:noWrap/>
          </w:tcPr>
          <w:p w14:paraId="45C8B439">
            <w:pPr>
              <w:spacing w:before="240" w:line="360" w:lineRule="auto"/>
              <w:rPr>
                <w:rFonts w:hint="eastAsia" w:ascii="仿宋" w:hAnsi="仿宋" w:eastAsia="仿宋" w:cs="仿宋"/>
                <w:color w:val="auto"/>
                <w:spacing w:val="1"/>
                <w:szCs w:val="22"/>
                <w:highlight w:val="none"/>
                <w:lang w:eastAsia="en-US"/>
              </w:rPr>
            </w:pPr>
            <w:r>
              <w:rPr>
                <w:rFonts w:hint="eastAsia" w:ascii="仿宋" w:hAnsi="仿宋" w:eastAsia="仿宋" w:cs="仿宋"/>
                <w:color w:val="auto"/>
                <w:szCs w:val="22"/>
                <w:highlight w:val="none"/>
                <w:lang w:eastAsia="en-US"/>
              </w:rPr>
              <w:t>项目名称</w:t>
            </w:r>
          </w:p>
        </w:tc>
        <w:tc>
          <w:tcPr>
            <w:tcW w:w="1077" w:type="dxa"/>
            <w:noWrap/>
          </w:tcPr>
          <w:p w14:paraId="401F232B">
            <w:pPr>
              <w:spacing w:before="240" w:line="360" w:lineRule="auto"/>
              <w:rPr>
                <w:rFonts w:hint="eastAsia" w:ascii="仿宋" w:hAnsi="仿宋" w:eastAsia="仿宋" w:cs="仿宋"/>
                <w:color w:val="auto"/>
                <w:spacing w:val="1"/>
                <w:szCs w:val="22"/>
                <w:highlight w:val="none"/>
                <w:lang w:eastAsia="en-US"/>
              </w:rPr>
            </w:pPr>
            <w:r>
              <w:rPr>
                <w:rFonts w:hint="eastAsia" w:ascii="仿宋" w:hAnsi="仿宋" w:eastAsia="仿宋" w:cs="仿宋"/>
                <w:color w:val="auto"/>
                <w:szCs w:val="22"/>
                <w:highlight w:val="none"/>
                <w:lang w:eastAsia="en-US"/>
              </w:rPr>
              <w:t>业主单位</w:t>
            </w:r>
          </w:p>
        </w:tc>
        <w:tc>
          <w:tcPr>
            <w:tcW w:w="1077" w:type="dxa"/>
            <w:noWrap/>
          </w:tcPr>
          <w:p w14:paraId="06DA08A9">
            <w:pPr>
              <w:spacing w:before="240" w:line="360" w:lineRule="auto"/>
              <w:rPr>
                <w:rFonts w:hint="eastAsia" w:ascii="仿宋" w:hAnsi="仿宋" w:eastAsia="仿宋" w:cs="仿宋"/>
                <w:color w:val="auto"/>
                <w:spacing w:val="1"/>
                <w:szCs w:val="22"/>
                <w:highlight w:val="none"/>
              </w:rPr>
            </w:pPr>
            <w:r>
              <w:rPr>
                <w:rFonts w:hint="eastAsia" w:ascii="仿宋" w:hAnsi="仿宋" w:eastAsia="仿宋" w:cs="仿宋"/>
                <w:color w:val="auto"/>
                <w:spacing w:val="1"/>
                <w:szCs w:val="22"/>
                <w:highlight w:val="none"/>
              </w:rPr>
              <w:t>项目规模</w:t>
            </w:r>
          </w:p>
        </w:tc>
        <w:tc>
          <w:tcPr>
            <w:tcW w:w="1077" w:type="dxa"/>
            <w:noWrap/>
          </w:tcPr>
          <w:p w14:paraId="7850E62F">
            <w:pPr>
              <w:spacing w:before="240" w:line="360" w:lineRule="auto"/>
              <w:rPr>
                <w:rFonts w:hint="eastAsia" w:ascii="仿宋" w:hAnsi="仿宋" w:eastAsia="仿宋" w:cs="仿宋"/>
                <w:color w:val="auto"/>
                <w:spacing w:val="1"/>
                <w:szCs w:val="22"/>
                <w:highlight w:val="none"/>
              </w:rPr>
            </w:pPr>
            <w:r>
              <w:rPr>
                <w:rFonts w:hint="eastAsia" w:ascii="仿宋" w:hAnsi="仿宋" w:eastAsia="仿宋" w:cs="仿宋"/>
                <w:color w:val="auto"/>
                <w:spacing w:val="1"/>
                <w:szCs w:val="22"/>
                <w:highlight w:val="none"/>
              </w:rPr>
              <w:t>获奖情况</w:t>
            </w:r>
          </w:p>
        </w:tc>
        <w:tc>
          <w:tcPr>
            <w:tcW w:w="1077" w:type="dxa"/>
            <w:noWrap/>
          </w:tcPr>
          <w:p w14:paraId="16823878">
            <w:pPr>
              <w:spacing w:before="240" w:line="360" w:lineRule="auto"/>
              <w:rPr>
                <w:rFonts w:hint="eastAsia" w:ascii="仿宋" w:hAnsi="仿宋" w:eastAsia="仿宋" w:cs="仿宋"/>
                <w:color w:val="auto"/>
                <w:spacing w:val="1"/>
                <w:szCs w:val="22"/>
                <w:highlight w:val="none"/>
              </w:rPr>
            </w:pPr>
            <w:r>
              <w:rPr>
                <w:rFonts w:hint="eastAsia" w:ascii="仿宋" w:hAnsi="仿宋" w:eastAsia="仿宋" w:cs="仿宋"/>
                <w:color w:val="auto"/>
                <w:spacing w:val="1"/>
                <w:szCs w:val="22"/>
                <w:highlight w:val="none"/>
              </w:rPr>
              <w:t>服务时间</w:t>
            </w:r>
          </w:p>
        </w:tc>
        <w:tc>
          <w:tcPr>
            <w:tcW w:w="1332" w:type="dxa"/>
            <w:noWrap/>
          </w:tcPr>
          <w:p w14:paraId="186CFBFB">
            <w:pPr>
              <w:spacing w:before="240" w:line="360" w:lineRule="auto"/>
              <w:rPr>
                <w:rFonts w:hint="eastAsia" w:ascii="仿宋" w:hAnsi="仿宋" w:eastAsia="仿宋" w:cs="仿宋"/>
                <w:color w:val="auto"/>
                <w:spacing w:val="1"/>
                <w:szCs w:val="22"/>
                <w:highlight w:val="none"/>
              </w:rPr>
            </w:pPr>
            <w:r>
              <w:rPr>
                <w:rFonts w:hint="eastAsia" w:ascii="仿宋" w:hAnsi="仿宋" w:eastAsia="仿宋" w:cs="仿宋"/>
                <w:color w:val="auto"/>
                <w:spacing w:val="1"/>
                <w:szCs w:val="22"/>
                <w:highlight w:val="none"/>
              </w:rPr>
              <w:t>联系人电话</w:t>
            </w:r>
          </w:p>
        </w:tc>
        <w:tc>
          <w:tcPr>
            <w:tcW w:w="822" w:type="dxa"/>
            <w:noWrap/>
          </w:tcPr>
          <w:p w14:paraId="44923B2B">
            <w:pPr>
              <w:spacing w:before="240" w:line="360" w:lineRule="auto"/>
              <w:rPr>
                <w:rFonts w:hint="eastAsia" w:ascii="仿宋" w:hAnsi="仿宋" w:eastAsia="仿宋" w:cs="仿宋"/>
                <w:color w:val="auto"/>
                <w:spacing w:val="1"/>
                <w:szCs w:val="22"/>
                <w:highlight w:val="none"/>
              </w:rPr>
            </w:pPr>
            <w:r>
              <w:rPr>
                <w:rFonts w:hint="eastAsia" w:ascii="仿宋" w:hAnsi="仿宋" w:eastAsia="仿宋" w:cs="仿宋"/>
                <w:color w:val="auto"/>
                <w:spacing w:val="1"/>
                <w:szCs w:val="22"/>
                <w:highlight w:val="none"/>
              </w:rPr>
              <w:t>备注</w:t>
            </w:r>
          </w:p>
        </w:tc>
      </w:tr>
      <w:tr w14:paraId="1CFE8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76" w:type="dxa"/>
            <w:noWrap/>
          </w:tcPr>
          <w:p w14:paraId="146E5D9D">
            <w:pPr>
              <w:spacing w:before="240" w:line="360" w:lineRule="auto"/>
              <w:rPr>
                <w:rFonts w:hint="eastAsia" w:ascii="仿宋" w:hAnsi="仿宋" w:eastAsia="仿宋" w:cs="仿宋"/>
                <w:color w:val="auto"/>
                <w:spacing w:val="1"/>
                <w:szCs w:val="22"/>
                <w:highlight w:val="none"/>
                <w:lang w:eastAsia="en-US"/>
              </w:rPr>
            </w:pPr>
          </w:p>
        </w:tc>
        <w:tc>
          <w:tcPr>
            <w:tcW w:w="1076" w:type="dxa"/>
            <w:noWrap/>
          </w:tcPr>
          <w:p w14:paraId="41E7DFF1">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42A7A03F">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02F7BC5B">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0710E4B6">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5B45DAA9">
            <w:pPr>
              <w:spacing w:before="240" w:line="360" w:lineRule="auto"/>
              <w:rPr>
                <w:rFonts w:hint="eastAsia" w:ascii="仿宋" w:hAnsi="仿宋" w:eastAsia="仿宋" w:cs="仿宋"/>
                <w:color w:val="auto"/>
                <w:spacing w:val="1"/>
                <w:szCs w:val="22"/>
                <w:highlight w:val="none"/>
                <w:lang w:eastAsia="en-US"/>
              </w:rPr>
            </w:pPr>
          </w:p>
        </w:tc>
        <w:tc>
          <w:tcPr>
            <w:tcW w:w="1332" w:type="dxa"/>
            <w:noWrap/>
          </w:tcPr>
          <w:p w14:paraId="377E75EA">
            <w:pPr>
              <w:spacing w:before="240" w:line="360" w:lineRule="auto"/>
              <w:rPr>
                <w:rFonts w:hint="eastAsia" w:ascii="仿宋" w:hAnsi="仿宋" w:eastAsia="仿宋" w:cs="仿宋"/>
                <w:color w:val="auto"/>
                <w:spacing w:val="1"/>
                <w:szCs w:val="22"/>
                <w:highlight w:val="none"/>
                <w:lang w:eastAsia="en-US"/>
              </w:rPr>
            </w:pPr>
          </w:p>
        </w:tc>
        <w:tc>
          <w:tcPr>
            <w:tcW w:w="822" w:type="dxa"/>
            <w:noWrap/>
          </w:tcPr>
          <w:p w14:paraId="28169B55">
            <w:pPr>
              <w:spacing w:before="240" w:line="360" w:lineRule="auto"/>
              <w:rPr>
                <w:rFonts w:hint="eastAsia" w:ascii="仿宋" w:hAnsi="仿宋" w:eastAsia="仿宋" w:cs="仿宋"/>
                <w:color w:val="auto"/>
                <w:spacing w:val="1"/>
                <w:szCs w:val="22"/>
                <w:highlight w:val="none"/>
                <w:lang w:eastAsia="en-US"/>
              </w:rPr>
            </w:pPr>
          </w:p>
        </w:tc>
      </w:tr>
      <w:tr w14:paraId="70A61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76" w:type="dxa"/>
            <w:noWrap/>
          </w:tcPr>
          <w:p w14:paraId="358E97BA">
            <w:pPr>
              <w:spacing w:before="240" w:line="360" w:lineRule="auto"/>
              <w:rPr>
                <w:rFonts w:hint="eastAsia" w:ascii="仿宋" w:hAnsi="仿宋" w:eastAsia="仿宋" w:cs="仿宋"/>
                <w:color w:val="auto"/>
                <w:spacing w:val="1"/>
                <w:szCs w:val="22"/>
                <w:highlight w:val="none"/>
                <w:lang w:eastAsia="en-US"/>
              </w:rPr>
            </w:pPr>
          </w:p>
        </w:tc>
        <w:tc>
          <w:tcPr>
            <w:tcW w:w="1076" w:type="dxa"/>
            <w:noWrap/>
          </w:tcPr>
          <w:p w14:paraId="16208F68">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0453C46B">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7E4EB54C">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4A2ECFB3">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7B9C9D46">
            <w:pPr>
              <w:spacing w:before="240" w:line="360" w:lineRule="auto"/>
              <w:rPr>
                <w:rFonts w:hint="eastAsia" w:ascii="仿宋" w:hAnsi="仿宋" w:eastAsia="仿宋" w:cs="仿宋"/>
                <w:color w:val="auto"/>
                <w:spacing w:val="1"/>
                <w:szCs w:val="22"/>
                <w:highlight w:val="none"/>
                <w:lang w:eastAsia="en-US"/>
              </w:rPr>
            </w:pPr>
          </w:p>
        </w:tc>
        <w:tc>
          <w:tcPr>
            <w:tcW w:w="1332" w:type="dxa"/>
            <w:noWrap/>
          </w:tcPr>
          <w:p w14:paraId="7BDBCF40">
            <w:pPr>
              <w:spacing w:before="240" w:line="360" w:lineRule="auto"/>
              <w:rPr>
                <w:rFonts w:hint="eastAsia" w:ascii="仿宋" w:hAnsi="仿宋" w:eastAsia="仿宋" w:cs="仿宋"/>
                <w:color w:val="auto"/>
                <w:spacing w:val="1"/>
                <w:szCs w:val="22"/>
                <w:highlight w:val="none"/>
                <w:lang w:eastAsia="en-US"/>
              </w:rPr>
            </w:pPr>
          </w:p>
        </w:tc>
        <w:tc>
          <w:tcPr>
            <w:tcW w:w="822" w:type="dxa"/>
            <w:noWrap/>
          </w:tcPr>
          <w:p w14:paraId="14CA0E78">
            <w:pPr>
              <w:spacing w:before="240" w:line="360" w:lineRule="auto"/>
              <w:rPr>
                <w:rFonts w:hint="eastAsia" w:ascii="仿宋" w:hAnsi="仿宋" w:eastAsia="仿宋" w:cs="仿宋"/>
                <w:color w:val="auto"/>
                <w:spacing w:val="1"/>
                <w:szCs w:val="22"/>
                <w:highlight w:val="none"/>
                <w:lang w:eastAsia="en-US"/>
              </w:rPr>
            </w:pPr>
          </w:p>
        </w:tc>
      </w:tr>
      <w:tr w14:paraId="4006B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76" w:type="dxa"/>
            <w:noWrap/>
          </w:tcPr>
          <w:p w14:paraId="4AACFC15">
            <w:pPr>
              <w:spacing w:before="240" w:line="360" w:lineRule="auto"/>
              <w:rPr>
                <w:rFonts w:hint="eastAsia" w:ascii="仿宋" w:hAnsi="仿宋" w:eastAsia="仿宋" w:cs="仿宋"/>
                <w:color w:val="auto"/>
                <w:spacing w:val="1"/>
                <w:szCs w:val="22"/>
                <w:highlight w:val="none"/>
                <w:lang w:eastAsia="en-US"/>
              </w:rPr>
            </w:pPr>
          </w:p>
        </w:tc>
        <w:tc>
          <w:tcPr>
            <w:tcW w:w="1076" w:type="dxa"/>
            <w:noWrap/>
          </w:tcPr>
          <w:p w14:paraId="171B8370">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5010D695">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53F67304">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1337BCD2">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77DC5C08">
            <w:pPr>
              <w:spacing w:before="240" w:line="360" w:lineRule="auto"/>
              <w:rPr>
                <w:rFonts w:hint="eastAsia" w:ascii="仿宋" w:hAnsi="仿宋" w:eastAsia="仿宋" w:cs="仿宋"/>
                <w:color w:val="auto"/>
                <w:spacing w:val="1"/>
                <w:szCs w:val="22"/>
                <w:highlight w:val="none"/>
                <w:lang w:eastAsia="en-US"/>
              </w:rPr>
            </w:pPr>
          </w:p>
        </w:tc>
        <w:tc>
          <w:tcPr>
            <w:tcW w:w="1332" w:type="dxa"/>
            <w:noWrap/>
          </w:tcPr>
          <w:p w14:paraId="18B5382C">
            <w:pPr>
              <w:spacing w:before="240" w:line="360" w:lineRule="auto"/>
              <w:rPr>
                <w:rFonts w:hint="eastAsia" w:ascii="仿宋" w:hAnsi="仿宋" w:eastAsia="仿宋" w:cs="仿宋"/>
                <w:color w:val="auto"/>
                <w:spacing w:val="1"/>
                <w:szCs w:val="22"/>
                <w:highlight w:val="none"/>
                <w:lang w:eastAsia="en-US"/>
              </w:rPr>
            </w:pPr>
          </w:p>
        </w:tc>
        <w:tc>
          <w:tcPr>
            <w:tcW w:w="822" w:type="dxa"/>
            <w:noWrap/>
          </w:tcPr>
          <w:p w14:paraId="60BBED36">
            <w:pPr>
              <w:spacing w:before="240" w:line="360" w:lineRule="auto"/>
              <w:rPr>
                <w:rFonts w:hint="eastAsia" w:ascii="仿宋" w:hAnsi="仿宋" w:eastAsia="仿宋" w:cs="仿宋"/>
                <w:color w:val="auto"/>
                <w:spacing w:val="1"/>
                <w:szCs w:val="22"/>
                <w:highlight w:val="none"/>
                <w:lang w:eastAsia="en-US"/>
              </w:rPr>
            </w:pPr>
          </w:p>
        </w:tc>
      </w:tr>
      <w:tr w14:paraId="37626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76" w:type="dxa"/>
            <w:noWrap/>
          </w:tcPr>
          <w:p w14:paraId="2D757DD9">
            <w:pPr>
              <w:spacing w:before="240" w:line="360" w:lineRule="auto"/>
              <w:rPr>
                <w:rFonts w:hint="eastAsia" w:ascii="仿宋" w:hAnsi="仿宋" w:eastAsia="仿宋" w:cs="仿宋"/>
                <w:color w:val="auto"/>
                <w:spacing w:val="1"/>
                <w:szCs w:val="22"/>
                <w:highlight w:val="none"/>
                <w:lang w:eastAsia="en-US"/>
              </w:rPr>
            </w:pPr>
          </w:p>
        </w:tc>
        <w:tc>
          <w:tcPr>
            <w:tcW w:w="1076" w:type="dxa"/>
            <w:noWrap/>
          </w:tcPr>
          <w:p w14:paraId="1FA344D4">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5FA0D56E">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2FE065EF">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48AEB5F6">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0620FEE7">
            <w:pPr>
              <w:spacing w:before="240" w:line="360" w:lineRule="auto"/>
              <w:rPr>
                <w:rFonts w:hint="eastAsia" w:ascii="仿宋" w:hAnsi="仿宋" w:eastAsia="仿宋" w:cs="仿宋"/>
                <w:color w:val="auto"/>
                <w:spacing w:val="1"/>
                <w:szCs w:val="22"/>
                <w:highlight w:val="none"/>
                <w:lang w:eastAsia="en-US"/>
              </w:rPr>
            </w:pPr>
          </w:p>
        </w:tc>
        <w:tc>
          <w:tcPr>
            <w:tcW w:w="1332" w:type="dxa"/>
            <w:noWrap/>
          </w:tcPr>
          <w:p w14:paraId="02E318D9">
            <w:pPr>
              <w:spacing w:before="240" w:line="360" w:lineRule="auto"/>
              <w:rPr>
                <w:rFonts w:hint="eastAsia" w:ascii="仿宋" w:hAnsi="仿宋" w:eastAsia="仿宋" w:cs="仿宋"/>
                <w:color w:val="auto"/>
                <w:spacing w:val="1"/>
                <w:szCs w:val="22"/>
                <w:highlight w:val="none"/>
                <w:lang w:eastAsia="en-US"/>
              </w:rPr>
            </w:pPr>
          </w:p>
        </w:tc>
        <w:tc>
          <w:tcPr>
            <w:tcW w:w="822" w:type="dxa"/>
            <w:noWrap/>
          </w:tcPr>
          <w:p w14:paraId="3ABF24A4">
            <w:pPr>
              <w:spacing w:before="240" w:line="360" w:lineRule="auto"/>
              <w:rPr>
                <w:rFonts w:hint="eastAsia" w:ascii="仿宋" w:hAnsi="仿宋" w:eastAsia="仿宋" w:cs="仿宋"/>
                <w:color w:val="auto"/>
                <w:spacing w:val="1"/>
                <w:szCs w:val="22"/>
                <w:highlight w:val="none"/>
                <w:lang w:eastAsia="en-US"/>
              </w:rPr>
            </w:pPr>
          </w:p>
        </w:tc>
      </w:tr>
      <w:tr w14:paraId="59252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76" w:type="dxa"/>
            <w:noWrap/>
          </w:tcPr>
          <w:p w14:paraId="480BB5E3">
            <w:pPr>
              <w:spacing w:before="240" w:line="360" w:lineRule="auto"/>
              <w:rPr>
                <w:rFonts w:hint="eastAsia" w:ascii="仿宋" w:hAnsi="仿宋" w:eastAsia="仿宋" w:cs="仿宋"/>
                <w:color w:val="auto"/>
                <w:spacing w:val="1"/>
                <w:szCs w:val="22"/>
                <w:highlight w:val="none"/>
                <w:lang w:eastAsia="en-US"/>
              </w:rPr>
            </w:pPr>
          </w:p>
        </w:tc>
        <w:tc>
          <w:tcPr>
            <w:tcW w:w="1076" w:type="dxa"/>
            <w:noWrap/>
          </w:tcPr>
          <w:p w14:paraId="6935B5C7">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52453822">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5D316F29">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224258B0">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5EF38B05">
            <w:pPr>
              <w:spacing w:before="240" w:line="360" w:lineRule="auto"/>
              <w:rPr>
                <w:rFonts w:hint="eastAsia" w:ascii="仿宋" w:hAnsi="仿宋" w:eastAsia="仿宋" w:cs="仿宋"/>
                <w:color w:val="auto"/>
                <w:spacing w:val="1"/>
                <w:szCs w:val="22"/>
                <w:highlight w:val="none"/>
                <w:lang w:eastAsia="en-US"/>
              </w:rPr>
            </w:pPr>
          </w:p>
        </w:tc>
        <w:tc>
          <w:tcPr>
            <w:tcW w:w="1332" w:type="dxa"/>
            <w:noWrap/>
          </w:tcPr>
          <w:p w14:paraId="25930D75">
            <w:pPr>
              <w:spacing w:before="240" w:line="360" w:lineRule="auto"/>
              <w:rPr>
                <w:rFonts w:hint="eastAsia" w:ascii="仿宋" w:hAnsi="仿宋" w:eastAsia="仿宋" w:cs="仿宋"/>
                <w:color w:val="auto"/>
                <w:spacing w:val="1"/>
                <w:szCs w:val="22"/>
                <w:highlight w:val="none"/>
                <w:lang w:eastAsia="en-US"/>
              </w:rPr>
            </w:pPr>
          </w:p>
        </w:tc>
        <w:tc>
          <w:tcPr>
            <w:tcW w:w="822" w:type="dxa"/>
            <w:noWrap/>
          </w:tcPr>
          <w:p w14:paraId="40D6D45D">
            <w:pPr>
              <w:spacing w:before="240" w:line="360" w:lineRule="auto"/>
              <w:rPr>
                <w:rFonts w:hint="eastAsia" w:ascii="仿宋" w:hAnsi="仿宋" w:eastAsia="仿宋" w:cs="仿宋"/>
                <w:color w:val="auto"/>
                <w:spacing w:val="1"/>
                <w:szCs w:val="22"/>
                <w:highlight w:val="none"/>
                <w:lang w:eastAsia="en-US"/>
              </w:rPr>
            </w:pPr>
          </w:p>
        </w:tc>
      </w:tr>
      <w:tr w14:paraId="43D29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76" w:type="dxa"/>
            <w:noWrap/>
          </w:tcPr>
          <w:p w14:paraId="3A52EDF7">
            <w:pPr>
              <w:spacing w:before="240" w:line="360" w:lineRule="auto"/>
              <w:rPr>
                <w:rFonts w:hint="eastAsia" w:ascii="仿宋" w:hAnsi="仿宋" w:eastAsia="仿宋" w:cs="仿宋"/>
                <w:color w:val="auto"/>
                <w:spacing w:val="1"/>
                <w:szCs w:val="22"/>
                <w:highlight w:val="none"/>
                <w:lang w:eastAsia="en-US"/>
              </w:rPr>
            </w:pPr>
          </w:p>
        </w:tc>
        <w:tc>
          <w:tcPr>
            <w:tcW w:w="1076" w:type="dxa"/>
            <w:noWrap/>
          </w:tcPr>
          <w:p w14:paraId="4DF1D280">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4B850FDE">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1C036821">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50B6648A">
            <w:pPr>
              <w:spacing w:before="240" w:line="360" w:lineRule="auto"/>
              <w:rPr>
                <w:rFonts w:hint="eastAsia" w:ascii="仿宋" w:hAnsi="仿宋" w:eastAsia="仿宋" w:cs="仿宋"/>
                <w:color w:val="auto"/>
                <w:spacing w:val="1"/>
                <w:szCs w:val="22"/>
                <w:highlight w:val="none"/>
                <w:lang w:eastAsia="en-US"/>
              </w:rPr>
            </w:pPr>
          </w:p>
        </w:tc>
        <w:tc>
          <w:tcPr>
            <w:tcW w:w="1077" w:type="dxa"/>
            <w:noWrap/>
          </w:tcPr>
          <w:p w14:paraId="62B9374C">
            <w:pPr>
              <w:spacing w:before="240" w:line="360" w:lineRule="auto"/>
              <w:rPr>
                <w:rFonts w:hint="eastAsia" w:ascii="仿宋" w:hAnsi="仿宋" w:eastAsia="仿宋" w:cs="仿宋"/>
                <w:color w:val="auto"/>
                <w:spacing w:val="1"/>
                <w:szCs w:val="22"/>
                <w:highlight w:val="none"/>
                <w:lang w:eastAsia="en-US"/>
              </w:rPr>
            </w:pPr>
          </w:p>
        </w:tc>
        <w:tc>
          <w:tcPr>
            <w:tcW w:w="1332" w:type="dxa"/>
            <w:noWrap/>
          </w:tcPr>
          <w:p w14:paraId="2331BA5C">
            <w:pPr>
              <w:spacing w:before="240" w:line="360" w:lineRule="auto"/>
              <w:rPr>
                <w:rFonts w:hint="eastAsia" w:ascii="仿宋" w:hAnsi="仿宋" w:eastAsia="仿宋" w:cs="仿宋"/>
                <w:color w:val="auto"/>
                <w:spacing w:val="1"/>
                <w:szCs w:val="22"/>
                <w:highlight w:val="none"/>
                <w:lang w:eastAsia="en-US"/>
              </w:rPr>
            </w:pPr>
          </w:p>
        </w:tc>
        <w:tc>
          <w:tcPr>
            <w:tcW w:w="822" w:type="dxa"/>
            <w:noWrap/>
          </w:tcPr>
          <w:p w14:paraId="4B352312">
            <w:pPr>
              <w:spacing w:before="240" w:line="360" w:lineRule="auto"/>
              <w:rPr>
                <w:rFonts w:hint="eastAsia" w:ascii="仿宋" w:hAnsi="仿宋" w:eastAsia="仿宋" w:cs="仿宋"/>
                <w:color w:val="auto"/>
                <w:spacing w:val="1"/>
                <w:szCs w:val="22"/>
                <w:highlight w:val="none"/>
                <w:lang w:eastAsia="en-US"/>
              </w:rPr>
            </w:pPr>
          </w:p>
        </w:tc>
      </w:tr>
    </w:tbl>
    <w:p w14:paraId="012AF8EF">
      <w:pPr>
        <w:widowControl/>
        <w:shd w:val="clear" w:color="auto" w:fill="FFFFFF"/>
        <w:spacing w:line="360" w:lineRule="auto"/>
        <w:jc w:val="left"/>
        <w:rPr>
          <w:rFonts w:hint="eastAsia" w:ascii="仿宋" w:hAnsi="仿宋" w:eastAsia="仿宋" w:cs="仿宋"/>
          <w:color w:val="auto"/>
          <w:szCs w:val="21"/>
          <w:highlight w:val="none"/>
        </w:rPr>
      </w:pPr>
    </w:p>
    <w:p w14:paraId="62384EAE">
      <w:pPr>
        <w:widowControl/>
        <w:shd w:val="clear" w:color="auto" w:fill="FFFFFF"/>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供应商（盖章）：</w:t>
      </w:r>
      <w:r>
        <w:rPr>
          <w:rFonts w:hint="eastAsia" w:ascii="仿宋" w:hAnsi="仿宋" w:eastAsia="仿宋" w:cs="仿宋"/>
          <w:color w:val="auto"/>
          <w:szCs w:val="21"/>
          <w:highlight w:val="none"/>
          <w:u w:val="single"/>
        </w:rPr>
        <w:t>                             </w:t>
      </w:r>
    </w:p>
    <w:p w14:paraId="41522793">
      <w:pPr>
        <w:widowControl/>
        <w:spacing w:line="360" w:lineRule="auto"/>
        <w:rPr>
          <w:rFonts w:hint="eastAsia" w:ascii="仿宋" w:hAnsi="仿宋" w:eastAsia="仿宋" w:cs="仿宋"/>
          <w:b/>
          <w:bCs/>
          <w:color w:val="auto"/>
          <w:szCs w:val="21"/>
          <w:highlight w:val="none"/>
        </w:rPr>
        <w:sectPr>
          <w:pgSz w:w="11906" w:h="16838"/>
          <w:pgMar w:top="1440" w:right="1800" w:bottom="1440" w:left="1800" w:header="850" w:footer="850" w:gutter="0"/>
          <w:paperSrc/>
          <w:pgNumType w:fmt="decimal"/>
          <w:cols w:space="0" w:num="1"/>
          <w:rtlGutter w:val="0"/>
          <w:docGrid w:type="lines" w:linePitch="317" w:charSpace="0"/>
        </w:sectPr>
      </w:pPr>
    </w:p>
    <w:p w14:paraId="521C4420">
      <w:pPr>
        <w:spacing w:line="360" w:lineRule="auto"/>
        <w:outlineLvl w:val="1"/>
        <w:rPr>
          <w:rFonts w:hint="eastAsia" w:ascii="仿宋" w:hAnsi="仿宋" w:eastAsia="仿宋" w:cs="仿宋"/>
          <w:b/>
          <w:bCs/>
          <w:color w:val="auto"/>
          <w:highlight w:val="none"/>
        </w:rPr>
      </w:pPr>
      <w:bookmarkStart w:id="43" w:name="_Toc15579"/>
      <w:bookmarkStart w:id="44" w:name="OLE_LINK13"/>
      <w:bookmarkStart w:id="45" w:name="OLE_LINK14"/>
      <w:r>
        <w:rPr>
          <w:rFonts w:hint="eastAsia" w:ascii="仿宋" w:hAnsi="仿宋" w:eastAsia="仿宋" w:cs="仿宋"/>
          <w:b/>
          <w:bCs/>
          <w:color w:val="auto"/>
          <w:sz w:val="24"/>
          <w:highlight w:val="none"/>
        </w:rPr>
        <w:t>附件九、企业声明函格式</w:t>
      </w:r>
      <w:bookmarkEnd w:id="43"/>
    </w:p>
    <w:p w14:paraId="1920E2C4">
      <w:pPr>
        <w:widowControl/>
        <w:shd w:val="clear" w:color="auto" w:fill="FFFFFF"/>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b/>
          <w:color w:val="auto"/>
          <w:szCs w:val="21"/>
          <w:highlight w:val="none"/>
          <w:shd w:val="clear" w:color="auto" w:fill="FFFFFF"/>
        </w:rPr>
        <w:t>关于符合本国产品标准的声明函</w:t>
      </w:r>
    </w:p>
    <w:p w14:paraId="214A1A21">
      <w:pPr>
        <w:widowControl/>
        <w:shd w:val="clear" w:color="auto" w:fill="FFFFFF"/>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E465282">
      <w:pPr>
        <w:widowControl/>
        <w:shd w:val="clear" w:color="auto" w:fill="FFFFFF"/>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1.（产品名称1）</w:t>
      </w:r>
      <w:r>
        <w:rPr>
          <w:rFonts w:hint="eastAsia" w:ascii="仿宋" w:hAnsi="仿宋" w:eastAsia="仿宋" w:cs="仿宋"/>
          <w:color w:val="auto"/>
          <w:szCs w:val="21"/>
          <w:highlight w:val="none"/>
          <w:shd w:val="clear" w:color="auto" w:fill="FFFFFF"/>
          <w:vertAlign w:val="superscript"/>
        </w:rPr>
        <w:t>1</w:t>
      </w:r>
      <w:r>
        <w:rPr>
          <w:rFonts w:hint="eastAsia" w:ascii="仿宋" w:hAnsi="仿宋" w:eastAsia="仿宋" w:cs="仿宋"/>
          <w:color w:val="auto"/>
          <w:szCs w:val="21"/>
          <w:highlight w:val="none"/>
          <w:shd w:val="clear" w:color="auto" w:fill="FFFFFF"/>
        </w:rPr>
        <w:t>，生产厂为（厂名）</w:t>
      </w:r>
      <w:r>
        <w:rPr>
          <w:rFonts w:hint="eastAsia" w:ascii="仿宋" w:hAnsi="仿宋" w:eastAsia="仿宋" w:cs="仿宋"/>
          <w:color w:val="auto"/>
          <w:szCs w:val="21"/>
          <w:highlight w:val="none"/>
          <w:shd w:val="clear" w:color="auto" w:fill="FFFFFF"/>
          <w:vertAlign w:val="superscript"/>
        </w:rPr>
        <w:t>2</w:t>
      </w:r>
      <w:r>
        <w:rPr>
          <w:rFonts w:hint="eastAsia" w:ascii="仿宋" w:hAnsi="仿宋" w:eastAsia="仿宋" w:cs="仿宋"/>
          <w:color w:val="auto"/>
          <w:szCs w:val="21"/>
          <w:highlight w:val="none"/>
          <w:shd w:val="clear" w:color="auto" w:fill="FFFFFF"/>
        </w:rPr>
        <w:t>，厂址为（生产厂址）。（产品名称1）的中国境内生产的组件成本占比≥（规定比例）</w:t>
      </w:r>
      <w:r>
        <w:rPr>
          <w:rFonts w:hint="eastAsia" w:ascii="仿宋" w:hAnsi="仿宋" w:eastAsia="仿宋" w:cs="仿宋"/>
          <w:color w:val="auto"/>
          <w:szCs w:val="21"/>
          <w:highlight w:val="none"/>
          <w:shd w:val="clear" w:color="auto" w:fill="FFFFFF"/>
          <w:vertAlign w:val="superscript"/>
        </w:rPr>
        <w:t>3</w:t>
      </w:r>
      <w:r>
        <w:rPr>
          <w:rFonts w:hint="eastAsia" w:ascii="仿宋" w:hAnsi="仿宋" w:eastAsia="仿宋" w:cs="仿宋"/>
          <w:color w:val="auto"/>
          <w:szCs w:val="21"/>
          <w:highlight w:val="none"/>
          <w:shd w:val="clear" w:color="auto" w:fill="FFFFFF"/>
        </w:rPr>
        <w:t>。（产品名称1）的（关键组件）</w:t>
      </w:r>
      <w:r>
        <w:rPr>
          <w:rFonts w:hint="eastAsia" w:ascii="仿宋" w:hAnsi="仿宋" w:eastAsia="仿宋" w:cs="仿宋"/>
          <w:color w:val="auto"/>
          <w:szCs w:val="21"/>
          <w:highlight w:val="none"/>
          <w:shd w:val="clear" w:color="auto" w:fill="FFFFFF"/>
          <w:vertAlign w:val="superscript"/>
        </w:rPr>
        <w:t>4</w:t>
      </w:r>
      <w:r>
        <w:rPr>
          <w:rFonts w:hint="eastAsia" w:ascii="仿宋" w:hAnsi="仿宋" w:eastAsia="仿宋" w:cs="仿宋"/>
          <w:color w:val="auto"/>
          <w:szCs w:val="21"/>
          <w:highlight w:val="none"/>
          <w:shd w:val="clear" w:color="auto" w:fill="FFFFFF"/>
        </w:rPr>
        <w:t>在中国境内生产。（产品名称1）的（关键工序）</w:t>
      </w:r>
      <w:r>
        <w:rPr>
          <w:rFonts w:hint="eastAsia" w:ascii="仿宋" w:hAnsi="仿宋" w:eastAsia="仿宋" w:cs="仿宋"/>
          <w:color w:val="auto"/>
          <w:szCs w:val="21"/>
          <w:highlight w:val="none"/>
          <w:shd w:val="clear" w:color="auto" w:fill="FFFFFF"/>
          <w:vertAlign w:val="superscript"/>
        </w:rPr>
        <w:t>5</w:t>
      </w:r>
      <w:r>
        <w:rPr>
          <w:rFonts w:hint="eastAsia" w:ascii="仿宋" w:hAnsi="仿宋" w:eastAsia="仿宋" w:cs="仿宋"/>
          <w:color w:val="auto"/>
          <w:szCs w:val="21"/>
          <w:highlight w:val="none"/>
          <w:shd w:val="clear" w:color="auto" w:fill="FFFFFF"/>
        </w:rPr>
        <w:t>在中国境内完成。</w:t>
      </w:r>
    </w:p>
    <w:p w14:paraId="3CF7BCC4">
      <w:pPr>
        <w:widowControl/>
        <w:shd w:val="clear" w:color="auto" w:fill="FFFFFF"/>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2.（产品名称2），生产厂为（厂名），厂址为（生产厂址）。（产品名称2）的中国境内生产的组件成本占比≥（规定比例）。（产品名称2）的（关键组件）在中国境内生产。（产品名称2）的（关键工序）在中国境内完成。</w:t>
      </w:r>
    </w:p>
    <w:p w14:paraId="3ABE14C4">
      <w:pPr>
        <w:widowControl/>
        <w:shd w:val="clear" w:color="auto" w:fill="FFFFFF"/>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w:t>
      </w:r>
    </w:p>
    <w:p w14:paraId="0B724072">
      <w:pPr>
        <w:widowControl/>
        <w:shd w:val="clear" w:color="auto" w:fill="FFFFFF"/>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本公司（单位）对上述声明内容的真实性负责。如有虚假，愿承担相应法律责任。</w:t>
      </w:r>
    </w:p>
    <w:p w14:paraId="2CB6D72E">
      <w:pPr>
        <w:widowControl/>
        <w:shd w:val="clear" w:color="auto" w:fill="FFFFFF"/>
        <w:spacing w:before="24" w:after="24" w:line="360" w:lineRule="auto"/>
        <w:ind w:firstLine="42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公司（单位）名称（盖章）：      </w:t>
      </w:r>
    </w:p>
    <w:p w14:paraId="3D76FE26">
      <w:pPr>
        <w:widowControl/>
        <w:shd w:val="clear" w:color="auto" w:fill="FFFFFF"/>
        <w:spacing w:before="24" w:after="24" w:line="360" w:lineRule="auto"/>
        <w:ind w:firstLine="42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日期：　　　　　年　　月　日    </w:t>
      </w:r>
    </w:p>
    <w:p w14:paraId="1EF14C4C">
      <w:pPr>
        <w:widowControl/>
        <w:shd w:val="clear" w:color="auto" w:fill="FFFFFF"/>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_____________________________</w:t>
      </w:r>
    </w:p>
    <w:p w14:paraId="23B94186">
      <w:pPr>
        <w:widowControl/>
        <w:shd w:val="clear" w:color="auto" w:fill="FFFFFF"/>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1.产品如有型号，请在“产品名称”栏一并填写。</w:t>
      </w:r>
    </w:p>
    <w:p w14:paraId="7E6CBA14">
      <w:pPr>
        <w:widowControl/>
        <w:shd w:val="clear" w:color="auto" w:fill="FFFFFF"/>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2.生产厂名与厂址应与生产厂营业执照载明的相关信息保持一致。</w:t>
      </w:r>
    </w:p>
    <w:p w14:paraId="4A071875">
      <w:pPr>
        <w:widowControl/>
        <w:shd w:val="clear" w:color="auto" w:fill="FFFFFF"/>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3.该产品的中国境内生产的组件成本占比相关要求实施前，“规定比例”栏可不填，下同。</w:t>
      </w:r>
    </w:p>
    <w:p w14:paraId="24CA8B08">
      <w:pPr>
        <w:widowControl/>
        <w:shd w:val="clear" w:color="auto" w:fill="FFFFFF"/>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4.该产品的关键组件要求实施前，“关键组件”栏可不填，下同。</w:t>
      </w:r>
    </w:p>
    <w:p w14:paraId="6DEE7E86">
      <w:pPr>
        <w:widowControl/>
        <w:shd w:val="clear" w:color="auto" w:fill="FFFFFF"/>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shd w:val="clear" w:color="auto" w:fill="FFFFFF"/>
        </w:rPr>
        <w:t>5.该产品的关键工序要求实施前，“关键工序”栏可不填，下同。</w:t>
      </w:r>
    </w:p>
    <w:p w14:paraId="5486BB81">
      <w:pPr>
        <w:rPr>
          <w:rFonts w:hint="eastAsia" w:ascii="仿宋" w:hAnsi="仿宋" w:eastAsia="仿宋" w:cs="仿宋"/>
          <w:color w:val="auto"/>
          <w:szCs w:val="21"/>
          <w:highlight w:val="none"/>
        </w:rPr>
      </w:pPr>
    </w:p>
    <w:p w14:paraId="52591D38">
      <w:pPr>
        <w:widowControl/>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p>
    <w:p w14:paraId="440FD52E">
      <w:pPr>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中小企业声明函（服务）</w:t>
      </w:r>
    </w:p>
    <w:p w14:paraId="3C56295A">
      <w:pPr>
        <w:widowControl/>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highlight w:val="none"/>
        </w:rPr>
        <w:t>本公司（联合体）郑重声明，根据《政府采购促进中小企业发展管理办法》（财库〔2020 ） 46号）的规定，本公司 （联合体）参加（单位名称）的（项目名称）采购活动，服务全部由符合政策要求的中小企业承接）。相关企业（含联合体中的中小企业、签订分包意向协议的中小企业）的具体情况如下：</w:t>
      </w:r>
    </w:p>
    <w:p w14:paraId="7B1550F5">
      <w:pPr>
        <w:widowControl/>
        <w:spacing w:line="360" w:lineRule="auto"/>
        <w:ind w:firstLine="420"/>
        <w:jc w:val="left"/>
        <w:rPr>
          <w:rFonts w:hint="eastAsia" w:ascii="仿宋" w:hAnsi="仿宋" w:eastAsia="仿宋" w:cs="仿宋"/>
          <w:color w:val="auto"/>
          <w:highlight w:val="none"/>
        </w:rPr>
      </w:pPr>
      <w:r>
        <w:rPr>
          <w:rFonts w:hint="eastAsia" w:ascii="仿宋" w:hAnsi="仿宋" w:eastAsia="仿宋" w:cs="仿宋"/>
          <w:color w:val="auto"/>
          <w:highlight w:val="none"/>
          <w:u w:val="single"/>
        </w:rPr>
        <w:t>（标的名称）</w:t>
      </w:r>
      <w:r>
        <w:rPr>
          <w:rFonts w:hint="eastAsia" w:ascii="仿宋" w:hAnsi="仿宋" w:eastAsia="仿宋" w:cs="仿宋"/>
          <w:color w:val="auto"/>
          <w:highlight w:val="none"/>
        </w:rPr>
        <w:t>,属于</w:t>
      </w:r>
      <w:r>
        <w:rPr>
          <w:rFonts w:hint="eastAsia" w:ascii="仿宋" w:hAnsi="仿宋" w:eastAsia="仿宋" w:cs="仿宋"/>
          <w:color w:val="auto"/>
          <w:highlight w:val="none"/>
          <w:u w:val="single"/>
        </w:rPr>
        <w:t>（采购文件中明确的所属行业）</w:t>
      </w:r>
      <w:r>
        <w:rPr>
          <w:rFonts w:hint="eastAsia" w:ascii="仿宋" w:hAnsi="仿宋" w:eastAsia="仿宋" w:cs="仿宋"/>
          <w:color w:val="auto"/>
          <w:highlight w:val="none"/>
        </w:rPr>
        <w:t>, 承建（承接）企业为（企业名称）,从业人员</w:t>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人</w:t>
      </w:r>
      <w:r>
        <w:rPr>
          <w:rFonts w:hint="eastAsia" w:ascii="仿宋" w:hAnsi="仿宋" w:eastAsia="仿宋" w:cs="仿宋"/>
          <w:color w:val="auto"/>
          <w:highlight w:val="none"/>
        </w:rPr>
        <w:t>，营业收入为</w:t>
      </w:r>
      <w:r>
        <w:rPr>
          <w:rFonts w:hint="eastAsia" w:ascii="仿宋" w:hAnsi="仿宋" w:eastAsia="仿宋" w:cs="仿宋"/>
          <w:color w:val="auto"/>
          <w:highlight w:val="none"/>
          <w:u w:val="single"/>
        </w:rPr>
        <w:tab/>
      </w:r>
      <w:r>
        <w:rPr>
          <w:rFonts w:hint="eastAsia" w:ascii="仿宋" w:hAnsi="仿宋" w:eastAsia="仿宋" w:cs="仿宋"/>
          <w:color w:val="auto"/>
          <w:highlight w:val="none"/>
        </w:rPr>
        <w:t>万元，资产总额为</w:t>
      </w:r>
      <w:r>
        <w:rPr>
          <w:rFonts w:hint="eastAsia" w:ascii="仿宋" w:hAnsi="仿宋" w:eastAsia="仿宋" w:cs="仿宋"/>
          <w:color w:val="auto"/>
          <w:highlight w:val="none"/>
          <w:u w:val="single"/>
        </w:rPr>
        <w:tab/>
      </w:r>
      <w:r>
        <w:rPr>
          <w:rFonts w:hint="eastAsia" w:ascii="仿宋" w:hAnsi="仿宋" w:eastAsia="仿宋" w:cs="仿宋"/>
          <w:color w:val="auto"/>
          <w:highlight w:val="none"/>
        </w:rPr>
        <w:t>万元，属于（中型企业、小型企业、微型企业）；</w:t>
      </w:r>
    </w:p>
    <w:p w14:paraId="5D1AE4A7">
      <w:pPr>
        <w:widowControl/>
        <w:spacing w:line="360" w:lineRule="auto"/>
        <w:ind w:firstLine="420"/>
        <w:jc w:val="left"/>
        <w:rPr>
          <w:rFonts w:hint="eastAsia" w:ascii="仿宋" w:hAnsi="仿宋" w:eastAsia="仿宋" w:cs="仿宋"/>
          <w:color w:val="auto"/>
          <w:highlight w:val="none"/>
        </w:rPr>
      </w:pPr>
      <w:r>
        <w:rPr>
          <w:rFonts w:hint="eastAsia" w:ascii="仿宋" w:hAnsi="仿宋" w:eastAsia="仿宋" w:cs="仿宋"/>
          <w:color w:val="auto"/>
          <w:highlight w:val="none"/>
          <w:u w:val="single"/>
        </w:rPr>
        <w:t>（标的名称）,</w:t>
      </w:r>
      <w:r>
        <w:rPr>
          <w:rFonts w:hint="eastAsia" w:ascii="仿宋" w:hAnsi="仿宋" w:eastAsia="仿宋" w:cs="仿宋"/>
          <w:color w:val="auto"/>
          <w:highlight w:val="none"/>
        </w:rPr>
        <w:t>属于（采购文件中明确的所属行业）, 承建（承接）企业为（企业名称）,从业人员</w:t>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人</w:t>
      </w:r>
      <w:r>
        <w:rPr>
          <w:rFonts w:hint="eastAsia" w:ascii="仿宋" w:hAnsi="仿宋" w:eastAsia="仿宋" w:cs="仿宋"/>
          <w:color w:val="auto"/>
          <w:highlight w:val="none"/>
        </w:rPr>
        <w:t>，营业收入为</w:t>
      </w:r>
      <w:r>
        <w:rPr>
          <w:rFonts w:hint="eastAsia" w:ascii="仿宋" w:hAnsi="仿宋" w:eastAsia="仿宋" w:cs="仿宋"/>
          <w:color w:val="auto"/>
          <w:highlight w:val="none"/>
          <w:u w:val="single"/>
        </w:rPr>
        <w:tab/>
      </w:r>
      <w:r>
        <w:rPr>
          <w:rFonts w:hint="eastAsia" w:ascii="仿宋" w:hAnsi="仿宋" w:eastAsia="仿宋" w:cs="仿宋"/>
          <w:color w:val="auto"/>
          <w:highlight w:val="none"/>
        </w:rPr>
        <w:t>万元，资产总额为</w:t>
      </w:r>
      <w:r>
        <w:rPr>
          <w:rFonts w:hint="eastAsia" w:ascii="仿宋" w:hAnsi="仿宋" w:eastAsia="仿宋" w:cs="仿宋"/>
          <w:color w:val="auto"/>
          <w:highlight w:val="none"/>
          <w:u w:val="single"/>
        </w:rPr>
        <w:tab/>
      </w:r>
      <w:r>
        <w:rPr>
          <w:rFonts w:hint="eastAsia" w:ascii="仿宋" w:hAnsi="仿宋" w:eastAsia="仿宋" w:cs="仿宋"/>
          <w:color w:val="auto"/>
          <w:highlight w:val="none"/>
        </w:rPr>
        <w:t>万元，属于（中型企业、小型企业、微型企业）；</w:t>
      </w:r>
      <w:r>
        <w:rPr>
          <w:rFonts w:hint="eastAsia" w:ascii="仿宋" w:hAnsi="仿宋" w:eastAsia="仿宋" w:cs="仿宋"/>
          <w:color w:val="auto"/>
          <w:highlight w:val="none"/>
        </w:rPr>
        <w:tab/>
      </w:r>
    </w:p>
    <w:p w14:paraId="7BFD7D33">
      <w:pPr>
        <w:widowControl/>
        <w:spacing w:line="360" w:lineRule="auto"/>
        <w:ind w:firstLine="420"/>
        <w:jc w:val="left"/>
        <w:rPr>
          <w:rFonts w:hint="eastAsia" w:ascii="仿宋" w:hAnsi="仿宋" w:eastAsia="仿宋" w:cs="仿宋"/>
          <w:color w:val="auto"/>
          <w:highlight w:val="none"/>
        </w:rPr>
      </w:pPr>
      <w:r>
        <w:rPr>
          <w:rFonts w:hint="eastAsia" w:ascii="仿宋" w:hAnsi="仿宋" w:eastAsia="仿宋" w:cs="仿宋"/>
          <w:color w:val="auto"/>
          <w:highlight w:val="none"/>
        </w:rPr>
        <w:t>以上企业，不属于大企业的分支机构，不存在控股股东为大企业的情形，也不存在与大企业的负责人为同一人的情形。</w:t>
      </w:r>
    </w:p>
    <w:p w14:paraId="3871CF35">
      <w:pPr>
        <w:widowControl/>
        <w:spacing w:line="360" w:lineRule="auto"/>
        <w:ind w:firstLine="420"/>
        <w:jc w:val="left"/>
        <w:rPr>
          <w:rFonts w:hint="eastAsia" w:ascii="仿宋" w:hAnsi="仿宋" w:eastAsia="仿宋" w:cs="仿宋"/>
          <w:color w:val="auto"/>
          <w:highlight w:val="none"/>
        </w:rPr>
      </w:pPr>
      <w:r>
        <w:rPr>
          <w:rFonts w:hint="eastAsia" w:ascii="仿宋" w:hAnsi="仿宋" w:eastAsia="仿宋" w:cs="仿宋"/>
          <w:color w:val="auto"/>
          <w:highlight w:val="none"/>
        </w:rPr>
        <w:t>本企业对上述声明内容的真实性负责。如有虚假，将依法承担相应责任。</w:t>
      </w:r>
    </w:p>
    <w:p w14:paraId="39B48368">
      <w:pPr>
        <w:widowControl/>
        <w:spacing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rPr>
        <w:t>企业名称（盖章）：</w:t>
      </w:r>
    </w:p>
    <w:p w14:paraId="78322122">
      <w:pPr>
        <w:widowControl/>
        <w:spacing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rPr>
        <w:t>日期：</w:t>
      </w:r>
    </w:p>
    <w:p w14:paraId="3BF3B207">
      <w:pPr>
        <w:widowControl/>
        <w:spacing w:line="360" w:lineRule="auto"/>
        <w:ind w:firstLine="420"/>
        <w:jc w:val="right"/>
        <w:rPr>
          <w:rFonts w:hint="eastAsia" w:ascii="仿宋" w:hAnsi="仿宋" w:eastAsia="仿宋" w:cs="仿宋"/>
          <w:color w:val="auto"/>
          <w:highlight w:val="none"/>
        </w:rPr>
      </w:pPr>
    </w:p>
    <w:p w14:paraId="5BEA0440">
      <w:pPr>
        <w:spacing w:line="360" w:lineRule="auto"/>
        <w:jc w:val="center"/>
        <w:rPr>
          <w:rFonts w:hint="eastAsia" w:ascii="仿宋" w:hAnsi="仿宋" w:eastAsia="仿宋" w:cs="仿宋"/>
          <w:b/>
          <w:bCs/>
          <w:color w:val="auto"/>
          <w:sz w:val="28"/>
          <w:szCs w:val="28"/>
          <w:highlight w:val="none"/>
        </w:rPr>
      </w:pPr>
    </w:p>
    <w:p w14:paraId="25D8D331">
      <w:pPr>
        <w:spacing w:line="360" w:lineRule="auto"/>
        <w:jc w:val="center"/>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t>残疾人福利性单位声明函</w:t>
      </w:r>
      <w:bookmarkEnd w:id="44"/>
      <w:bookmarkEnd w:id="45"/>
    </w:p>
    <w:p w14:paraId="437E0259">
      <w:pPr>
        <w:widowControl/>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411B056">
      <w:pPr>
        <w:widowControl/>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本单位对上述声明的真实性负责。如有虚假，将依法承担相应责任。</w:t>
      </w:r>
    </w:p>
    <w:p w14:paraId="40BE55FE">
      <w:pPr>
        <w:widowControl/>
        <w:spacing w:line="360" w:lineRule="auto"/>
        <w:ind w:firstLine="504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单位名称（盖章）：</w:t>
      </w:r>
    </w:p>
    <w:p w14:paraId="118547C6">
      <w:pPr>
        <w:widowControl/>
        <w:spacing w:line="360" w:lineRule="auto"/>
        <w:ind w:firstLine="504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p>
    <w:p w14:paraId="76905109">
      <w:pPr>
        <w:spacing w:line="360" w:lineRule="auto"/>
        <w:rPr>
          <w:rFonts w:hint="eastAsia" w:ascii="仿宋" w:hAnsi="仿宋" w:eastAsia="仿宋" w:cs="仿宋"/>
          <w:b/>
          <w:bCs/>
          <w:color w:val="auto"/>
          <w:highlight w:val="none"/>
        </w:rPr>
      </w:pPr>
    </w:p>
    <w:p w14:paraId="7554BEB6">
      <w:pPr>
        <w:spacing w:line="360" w:lineRule="auto"/>
        <w:rPr>
          <w:rFonts w:hint="eastAsia" w:ascii="仿宋" w:hAnsi="仿宋" w:eastAsia="仿宋" w:cs="仿宋"/>
          <w:b/>
          <w:bCs/>
          <w:color w:val="auto"/>
          <w:highlight w:val="none"/>
        </w:rPr>
      </w:pPr>
    </w:p>
    <w:p w14:paraId="14AD50FB">
      <w:pPr>
        <w:spacing w:line="360" w:lineRule="auto"/>
        <w:jc w:val="center"/>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t>属于监狱企业的证明文件</w:t>
      </w:r>
    </w:p>
    <w:p w14:paraId="40E0772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（提供由省级以上监狱管理局、戒毒管理局(含新疆生产建设兵团)出具的属于监狱企业的证明文件）</w:t>
      </w:r>
    </w:p>
    <w:p w14:paraId="331663D5">
      <w:pPr>
        <w:spacing w:line="360" w:lineRule="auto"/>
        <w:rPr>
          <w:rFonts w:hint="eastAsia" w:ascii="仿宋" w:hAnsi="仿宋" w:eastAsia="仿宋" w:cs="仿宋"/>
          <w:b/>
          <w:bCs/>
          <w:color w:val="auto"/>
          <w:highlight w:val="none"/>
        </w:rPr>
      </w:pPr>
    </w:p>
    <w:p w14:paraId="5CB4AC12">
      <w:pPr>
        <w:spacing w:line="360" w:lineRule="auto"/>
        <w:rPr>
          <w:rFonts w:hint="eastAsia" w:ascii="仿宋" w:hAnsi="仿宋" w:eastAsia="仿宋" w:cs="仿宋"/>
          <w:b/>
          <w:bCs/>
          <w:color w:val="auto"/>
          <w:highlight w:val="none"/>
        </w:rPr>
      </w:pPr>
    </w:p>
    <w:p w14:paraId="01812ED5">
      <w:pPr>
        <w:spacing w:line="360" w:lineRule="auto"/>
        <w:rPr>
          <w:rFonts w:hint="eastAsia" w:ascii="仿宋" w:hAnsi="仿宋" w:eastAsia="仿宋" w:cs="仿宋"/>
          <w:b/>
          <w:bCs/>
          <w:color w:val="auto"/>
          <w:highlight w:val="none"/>
        </w:rPr>
      </w:pPr>
    </w:p>
    <w:p w14:paraId="0B5AF898">
      <w:pPr>
        <w:spacing w:line="360" w:lineRule="auto"/>
        <w:rPr>
          <w:rFonts w:hint="eastAsia" w:ascii="仿宋" w:hAnsi="仿宋" w:eastAsia="仿宋" w:cs="仿宋"/>
          <w:b/>
          <w:bCs/>
          <w:color w:val="auto"/>
          <w:highlight w:val="none"/>
        </w:rPr>
      </w:pPr>
    </w:p>
    <w:p w14:paraId="1FDE376B">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sz w:val="28"/>
          <w:highlight w:val="none"/>
        </w:rPr>
        <w:t>节能产品认证证书</w:t>
      </w:r>
    </w:p>
    <w:p w14:paraId="2D2793AC">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（提供国家确定的认证机构出具的、处于有效期之内的产品认证证书）</w:t>
      </w:r>
    </w:p>
    <w:p w14:paraId="5AB988C4">
      <w:pPr>
        <w:spacing w:line="360" w:lineRule="auto"/>
        <w:rPr>
          <w:rFonts w:hint="eastAsia" w:ascii="仿宋" w:hAnsi="仿宋" w:eastAsia="仿宋" w:cs="仿宋"/>
          <w:b/>
          <w:bCs/>
          <w:color w:val="auto"/>
          <w:highlight w:val="none"/>
        </w:rPr>
      </w:pPr>
    </w:p>
    <w:p w14:paraId="1AED58BA">
      <w:pPr>
        <w:spacing w:line="360" w:lineRule="auto"/>
        <w:rPr>
          <w:rFonts w:hint="eastAsia" w:ascii="仿宋" w:hAnsi="仿宋" w:eastAsia="仿宋" w:cs="仿宋"/>
          <w:b/>
          <w:bCs/>
          <w:color w:val="auto"/>
          <w:highlight w:val="none"/>
        </w:rPr>
      </w:pPr>
    </w:p>
    <w:p w14:paraId="1291E46B">
      <w:pPr>
        <w:spacing w:line="360" w:lineRule="auto"/>
        <w:rPr>
          <w:rFonts w:hint="eastAsia" w:ascii="仿宋" w:hAnsi="仿宋" w:eastAsia="仿宋" w:cs="仿宋"/>
          <w:b/>
          <w:bCs/>
          <w:color w:val="auto"/>
          <w:highlight w:val="none"/>
        </w:rPr>
      </w:pPr>
    </w:p>
    <w:p w14:paraId="5C926D46">
      <w:pPr>
        <w:spacing w:line="360" w:lineRule="auto"/>
        <w:rPr>
          <w:rFonts w:hint="eastAsia" w:ascii="仿宋" w:hAnsi="仿宋" w:eastAsia="仿宋" w:cs="仿宋"/>
          <w:b/>
          <w:bCs/>
          <w:color w:val="auto"/>
          <w:highlight w:val="none"/>
        </w:rPr>
      </w:pPr>
    </w:p>
    <w:p w14:paraId="7DD0C596">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sz w:val="28"/>
          <w:highlight w:val="none"/>
        </w:rPr>
        <w:t>环境标志产品认证证书</w:t>
      </w:r>
    </w:p>
    <w:p w14:paraId="288D247E">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（提供国家确定的认证机构出具的、处于有效期之内的产品认证证书）</w:t>
      </w:r>
    </w:p>
    <w:p w14:paraId="1071C8C0">
      <w:pPr>
        <w:spacing w:line="360" w:lineRule="auto"/>
        <w:rPr>
          <w:rFonts w:hint="eastAsia" w:ascii="仿宋" w:hAnsi="仿宋" w:eastAsia="仿宋" w:cs="仿宋"/>
          <w:bCs/>
          <w:color w:val="auto"/>
          <w:highlight w:val="none"/>
        </w:rPr>
      </w:pPr>
    </w:p>
    <w:p w14:paraId="1FFDFEAF">
      <w:pPr>
        <w:spacing w:line="360" w:lineRule="auto"/>
        <w:rPr>
          <w:rFonts w:hint="eastAsia" w:ascii="仿宋" w:hAnsi="仿宋" w:eastAsia="仿宋" w:cs="仿宋"/>
          <w:bCs/>
          <w:color w:val="auto"/>
          <w:highlight w:val="none"/>
        </w:rPr>
      </w:pPr>
    </w:p>
    <w:p w14:paraId="089A5A46">
      <w:pPr>
        <w:spacing w:line="360" w:lineRule="auto"/>
        <w:rPr>
          <w:rFonts w:hint="eastAsia" w:ascii="仿宋" w:hAnsi="仿宋" w:eastAsia="仿宋" w:cs="仿宋"/>
          <w:bCs/>
          <w:color w:val="auto"/>
          <w:highlight w:val="none"/>
        </w:rPr>
      </w:pPr>
    </w:p>
    <w:p w14:paraId="0BB49386">
      <w:pPr>
        <w:spacing w:line="360" w:lineRule="auto"/>
        <w:rPr>
          <w:rFonts w:hint="eastAsia" w:ascii="仿宋" w:hAnsi="仿宋" w:eastAsia="仿宋" w:cs="仿宋"/>
          <w:bCs/>
          <w:color w:val="auto"/>
          <w:highlight w:val="none"/>
        </w:rPr>
      </w:pPr>
    </w:p>
    <w:p w14:paraId="794A9CCE">
      <w:pPr>
        <w:spacing w:line="360" w:lineRule="auto"/>
        <w:rPr>
          <w:rFonts w:hint="eastAsia" w:ascii="仿宋" w:hAnsi="仿宋" w:eastAsia="仿宋" w:cs="仿宋"/>
          <w:color w:val="auto"/>
          <w:highlight w:val="none"/>
        </w:rPr>
      </w:pPr>
    </w:p>
    <w:p w14:paraId="16563C9A">
      <w:pPr>
        <w:spacing w:line="360" w:lineRule="auto"/>
        <w:jc w:val="center"/>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t>进口产品转让技术、消化吸收再创新方案</w:t>
      </w:r>
    </w:p>
    <w:p w14:paraId="3FA475FE">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（对于允许进口产品参加的项目）</w:t>
      </w:r>
    </w:p>
    <w:p w14:paraId="4FF18582">
      <w:pPr>
        <w:spacing w:line="360" w:lineRule="auto"/>
        <w:rPr>
          <w:rFonts w:hint="eastAsia" w:ascii="仿宋" w:hAnsi="仿宋" w:eastAsia="仿宋" w:cs="仿宋"/>
          <w:b/>
          <w:bCs/>
          <w:color w:val="auto"/>
          <w:highlight w:val="none"/>
        </w:rPr>
      </w:pPr>
    </w:p>
    <w:p w14:paraId="11DBC507">
      <w:pPr>
        <w:spacing w:line="360" w:lineRule="auto"/>
        <w:outlineLvl w:val="1"/>
        <w:rPr>
          <w:rFonts w:hint="eastAsia" w:ascii="仿宋" w:hAnsi="仿宋" w:eastAsia="仿宋" w:cs="仿宋"/>
          <w:b/>
          <w:color w:val="auto"/>
          <w:highlight w:val="none"/>
        </w:rPr>
      </w:pPr>
      <w:r>
        <w:rPr>
          <w:rFonts w:hint="eastAsia" w:ascii="仿宋" w:hAnsi="仿宋" w:eastAsia="仿宋" w:cs="仿宋"/>
          <w:b/>
          <w:color w:val="auto"/>
          <w:szCs w:val="21"/>
          <w:highlight w:val="none"/>
          <w:lang w:val="zh-CN"/>
        </w:rPr>
        <w:br w:type="page" w:clear="all"/>
      </w:r>
      <w:bookmarkStart w:id="46" w:name="_Toc19498"/>
      <w:r>
        <w:rPr>
          <w:rFonts w:hint="eastAsia" w:ascii="仿宋" w:hAnsi="仿宋" w:eastAsia="仿宋" w:cs="仿宋"/>
          <w:b/>
          <w:color w:val="auto"/>
          <w:highlight w:val="none"/>
        </w:rPr>
        <w:t>附件十、无重大违法记录声明格式</w:t>
      </w:r>
      <w:bookmarkEnd w:id="46"/>
    </w:p>
    <w:p w14:paraId="5FAC221E">
      <w:pPr>
        <w:spacing w:line="360" w:lineRule="auto"/>
        <w:jc w:val="center"/>
        <w:rPr>
          <w:rFonts w:hint="eastAsia" w:ascii="仿宋" w:hAnsi="仿宋" w:eastAsia="仿宋" w:cs="仿宋"/>
          <w:color w:val="auto"/>
          <w:sz w:val="28"/>
          <w:szCs w:val="36"/>
          <w:highlight w:val="none"/>
        </w:rPr>
      </w:pPr>
    </w:p>
    <w:p w14:paraId="23B185A3">
      <w:pPr>
        <w:spacing w:line="360" w:lineRule="auto"/>
        <w:jc w:val="center"/>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无重大违法记录声明</w:t>
      </w:r>
    </w:p>
    <w:p w14:paraId="11F06DE3">
      <w:pPr>
        <w:spacing w:line="360" w:lineRule="auto"/>
        <w:rPr>
          <w:rFonts w:hint="eastAsia" w:ascii="仿宋" w:hAnsi="仿宋" w:eastAsia="仿宋" w:cs="仿宋"/>
          <w:color w:val="auto"/>
          <w:szCs w:val="21"/>
          <w:highlight w:val="none"/>
        </w:rPr>
      </w:pPr>
    </w:p>
    <w:p w14:paraId="62B33DC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江苏正捷全过程工程咨询有限公司</w:t>
      </w:r>
      <w:r>
        <w:rPr>
          <w:rFonts w:hint="eastAsia" w:ascii="仿宋" w:hAnsi="仿宋" w:eastAsia="仿宋" w:cs="仿宋"/>
          <w:color w:val="auto"/>
          <w:szCs w:val="21"/>
          <w:highlight w:val="none"/>
        </w:rPr>
        <w:t>：</w:t>
      </w:r>
    </w:p>
    <w:p w14:paraId="2A414E43">
      <w:pPr>
        <w:spacing w:line="360" w:lineRule="auto"/>
        <w:rPr>
          <w:rFonts w:hint="eastAsia" w:ascii="仿宋" w:hAnsi="仿宋" w:eastAsia="仿宋" w:cs="仿宋"/>
          <w:color w:val="auto"/>
          <w:highlight w:val="none"/>
        </w:rPr>
      </w:pPr>
    </w:p>
    <w:p w14:paraId="319C5D85">
      <w:pPr>
        <w:spacing w:line="360" w:lineRule="auto"/>
        <w:ind w:firstLine="336"/>
        <w:rPr>
          <w:rFonts w:hint="eastAsia" w:ascii="仿宋" w:hAnsi="仿宋" w:eastAsia="仿宋" w:cs="仿宋"/>
          <w:color w:val="auto"/>
          <w:highlight w:val="none"/>
        </w:rPr>
      </w:pPr>
      <w:r>
        <w:rPr>
          <w:rFonts w:hint="eastAsia" w:ascii="仿宋" w:hAnsi="仿宋" w:eastAsia="仿宋" w:cs="仿宋"/>
          <w:color w:val="auto"/>
          <w:highlight w:val="none"/>
        </w:rPr>
        <w:t>我单位（供应商名称）郑重声明：</w:t>
      </w:r>
    </w:p>
    <w:p w14:paraId="7C0B1CFC">
      <w:pPr>
        <w:widowControl/>
        <w:shd w:val="clear" w:color="auto" w:fill="FFFFFF"/>
        <w:spacing w:line="360" w:lineRule="auto"/>
        <w:ind w:firstLine="309"/>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我单位</w:t>
      </w:r>
      <w:r>
        <w:rPr>
          <w:rFonts w:hint="eastAsia" w:ascii="仿宋" w:hAnsi="仿宋" w:eastAsia="仿宋" w:cs="仿宋"/>
          <w:color w:val="auto"/>
          <w:highlight w:val="none"/>
        </w:rPr>
        <w:t>参加政府采购活动前3年内在经营活动中（</w:t>
      </w:r>
      <w:r>
        <w:rPr>
          <w:rFonts w:hint="eastAsia" w:ascii="仿宋" w:hAnsi="仿宋" w:eastAsia="仿宋" w:cs="仿宋"/>
          <w:b/>
          <w:i/>
          <w:color w:val="auto"/>
          <w:highlight w:val="none"/>
          <w:u w:val="single"/>
        </w:rPr>
        <w:t>在下划线上如实填写：有或没有</w:t>
      </w:r>
      <w:r>
        <w:rPr>
          <w:rFonts w:hint="eastAsia" w:ascii="仿宋" w:hAnsi="仿宋" w:eastAsia="仿宋" w:cs="仿宋"/>
          <w:color w:val="auto"/>
          <w:highlight w:val="none"/>
        </w:rPr>
        <w:t>）</w:t>
      </w:r>
      <w:r>
        <w:rPr>
          <w:rFonts w:hint="eastAsia" w:ascii="仿宋" w:hAnsi="仿宋" w:eastAsia="仿宋" w:cs="仿宋"/>
          <w:b/>
          <w:color w:val="auto"/>
          <w:highlight w:val="none"/>
        </w:rPr>
        <w:t>重大违法记录</w:t>
      </w:r>
      <w:r>
        <w:rPr>
          <w:rFonts w:hint="eastAsia" w:ascii="仿宋" w:hAnsi="仿宋" w:eastAsia="仿宋" w:cs="仿宋"/>
          <w:b/>
          <w:color w:val="auto"/>
          <w:szCs w:val="21"/>
          <w:highlight w:val="none"/>
        </w:rPr>
        <w:t>，且不是失信被执行人、重大税收违法案件当事人名单、政府采购严重违法失信行为记录名单的供应商。</w:t>
      </w:r>
    </w:p>
    <w:p w14:paraId="0A2EFECD">
      <w:pPr>
        <w:spacing w:line="360" w:lineRule="auto"/>
        <w:ind w:firstLine="420"/>
        <w:rPr>
          <w:rFonts w:hint="eastAsia" w:ascii="仿宋" w:hAnsi="仿宋" w:eastAsia="仿宋" w:cs="仿宋"/>
          <w:color w:val="auto"/>
          <w:highlight w:val="none"/>
        </w:rPr>
      </w:pPr>
    </w:p>
    <w:p w14:paraId="1350EBB9">
      <w:pPr>
        <w:spacing w:line="360" w:lineRule="auto"/>
        <w:ind w:firstLine="315"/>
        <w:rPr>
          <w:rFonts w:hint="eastAsia" w:ascii="仿宋" w:hAnsi="仿宋" w:eastAsia="仿宋" w:cs="仿宋"/>
          <w:color w:val="auto"/>
          <w:highlight w:val="none"/>
        </w:rPr>
      </w:pPr>
      <w:r>
        <w:rPr>
          <w:rFonts w:hint="eastAsia" w:ascii="仿宋" w:hAnsi="仿宋" w:eastAsia="仿宋" w:cs="仿宋"/>
          <w:color w:val="auto"/>
          <w:highlight w:val="none"/>
        </w:rPr>
        <w:t>（说明：政府采购法第二十二条第一款第五项所称重大违法记录，是指供应商因违法经营受到刑事处罚或者责令停产停业、吊销许可证或者执照、较大数额罚款等行政处罚。）</w:t>
      </w:r>
    </w:p>
    <w:p w14:paraId="2000C8F9">
      <w:pPr>
        <w:spacing w:line="360" w:lineRule="auto"/>
        <w:rPr>
          <w:rFonts w:hint="eastAsia" w:ascii="仿宋" w:hAnsi="仿宋" w:eastAsia="仿宋" w:cs="仿宋"/>
          <w:color w:val="auto"/>
          <w:highlight w:val="none"/>
        </w:rPr>
      </w:pPr>
    </w:p>
    <w:p w14:paraId="0AE32A4C">
      <w:pPr>
        <w:spacing w:line="360" w:lineRule="auto"/>
        <w:rPr>
          <w:rFonts w:hint="eastAsia" w:ascii="仿宋" w:hAnsi="仿宋" w:eastAsia="仿宋" w:cs="仿宋"/>
          <w:color w:val="auto"/>
          <w:highlight w:val="none"/>
        </w:rPr>
      </w:pPr>
    </w:p>
    <w:p w14:paraId="77C43257">
      <w:pPr>
        <w:spacing w:line="360" w:lineRule="auto"/>
        <w:ind w:firstLine="5103"/>
        <w:rPr>
          <w:rFonts w:hint="eastAsia" w:ascii="仿宋" w:hAnsi="仿宋" w:eastAsia="仿宋" w:cs="仿宋"/>
          <w:color w:val="auto"/>
          <w:highlight w:val="none"/>
        </w:rPr>
      </w:pPr>
      <w:r>
        <w:rPr>
          <w:rFonts w:hint="eastAsia" w:ascii="仿宋" w:hAnsi="仿宋" w:eastAsia="仿宋" w:cs="仿宋"/>
          <w:color w:val="auto"/>
          <w:highlight w:val="none"/>
        </w:rPr>
        <w:t>声明人：（公章）</w:t>
      </w:r>
    </w:p>
    <w:p w14:paraId="727B854E">
      <w:pPr>
        <w:spacing w:line="360" w:lineRule="auto"/>
        <w:ind w:firstLine="504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日期：</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zh-CN"/>
        </w:rPr>
        <w:t>年</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zh-CN"/>
        </w:rPr>
        <w:t>月</w:t>
      </w:r>
    </w:p>
    <w:p w14:paraId="6C1C3A22">
      <w:pPr>
        <w:spacing w:line="360" w:lineRule="auto"/>
        <w:ind w:firstLine="5040"/>
        <w:rPr>
          <w:rFonts w:hint="eastAsia" w:ascii="仿宋" w:hAnsi="仿宋" w:eastAsia="仿宋" w:cs="仿宋"/>
          <w:color w:val="auto"/>
          <w:szCs w:val="21"/>
          <w:highlight w:val="none"/>
          <w:lang w:val="zh-CN"/>
        </w:rPr>
      </w:pPr>
    </w:p>
    <w:p w14:paraId="510B97C6">
      <w:pPr>
        <w:spacing w:line="360" w:lineRule="auto"/>
        <w:ind w:firstLine="5060"/>
        <w:rPr>
          <w:rFonts w:hint="eastAsia" w:ascii="仿宋" w:hAnsi="仿宋" w:eastAsia="仿宋" w:cs="仿宋"/>
          <w:b/>
          <w:color w:val="auto"/>
          <w:highlight w:val="none"/>
        </w:rPr>
      </w:pPr>
      <w:r>
        <w:rPr>
          <w:rFonts w:hint="eastAsia" w:ascii="仿宋" w:hAnsi="仿宋" w:eastAsia="仿宋" w:cs="仿宋"/>
          <w:b/>
          <w:color w:val="auto"/>
          <w:szCs w:val="21"/>
          <w:highlight w:val="none"/>
          <w:lang w:val="zh-CN"/>
        </w:rPr>
        <w:br w:type="page" w:clear="all"/>
      </w:r>
    </w:p>
    <w:p w14:paraId="7F81111C">
      <w:pPr>
        <w:spacing w:line="360" w:lineRule="auto"/>
        <w:outlineLvl w:val="1"/>
        <w:rPr>
          <w:rFonts w:hint="eastAsia" w:ascii="仿宋" w:hAnsi="仿宋" w:eastAsia="仿宋" w:cs="仿宋"/>
          <w:b/>
          <w:color w:val="auto"/>
          <w:highlight w:val="none"/>
        </w:rPr>
      </w:pPr>
      <w:bookmarkStart w:id="47" w:name="_Toc18724"/>
      <w:r>
        <w:rPr>
          <w:rFonts w:hint="eastAsia" w:ascii="仿宋" w:hAnsi="仿宋" w:eastAsia="仿宋" w:cs="仿宋"/>
          <w:b/>
          <w:color w:val="auto"/>
          <w:highlight w:val="none"/>
        </w:rPr>
        <w:t>附件十一、资格资信证明文件</w:t>
      </w:r>
      <w:bookmarkEnd w:id="47"/>
    </w:p>
    <w:p w14:paraId="3E90C0F0">
      <w:pPr>
        <w:spacing w:line="360" w:lineRule="auto"/>
        <w:rPr>
          <w:rFonts w:hint="eastAsia" w:ascii="仿宋" w:hAnsi="仿宋" w:eastAsia="仿宋" w:cs="仿宋"/>
          <w:b/>
          <w:color w:val="auto"/>
          <w:highlight w:val="none"/>
        </w:rPr>
      </w:pPr>
    </w:p>
    <w:p w14:paraId="61A8EF4C">
      <w:pPr>
        <w:spacing w:line="360" w:lineRule="auto"/>
        <w:rPr>
          <w:rFonts w:hint="eastAsia" w:ascii="仿宋" w:hAnsi="仿宋" w:eastAsia="仿宋" w:cs="仿宋"/>
          <w:b/>
          <w:color w:val="auto"/>
          <w:highlight w:val="none"/>
        </w:rPr>
      </w:pPr>
    </w:p>
    <w:p w14:paraId="1B05B01F">
      <w:pPr>
        <w:spacing w:line="360" w:lineRule="auto"/>
        <w:rPr>
          <w:rFonts w:hint="eastAsia" w:ascii="仿宋" w:hAnsi="仿宋" w:eastAsia="仿宋" w:cs="仿宋"/>
          <w:b/>
          <w:color w:val="auto"/>
          <w:highlight w:val="none"/>
        </w:rPr>
      </w:pPr>
    </w:p>
    <w:p w14:paraId="2B02AB5F">
      <w:pPr>
        <w:spacing w:line="360" w:lineRule="auto"/>
        <w:rPr>
          <w:rFonts w:hint="eastAsia" w:ascii="仿宋" w:hAnsi="仿宋" w:eastAsia="仿宋" w:cs="仿宋"/>
          <w:b/>
          <w:color w:val="auto"/>
          <w:highlight w:val="none"/>
        </w:rPr>
      </w:pPr>
    </w:p>
    <w:p w14:paraId="183F6738">
      <w:pPr>
        <w:spacing w:line="360" w:lineRule="auto"/>
        <w:rPr>
          <w:rFonts w:hint="eastAsia" w:ascii="仿宋" w:hAnsi="仿宋" w:eastAsia="仿宋" w:cs="仿宋"/>
          <w:b/>
          <w:color w:val="auto"/>
          <w:highlight w:val="none"/>
        </w:rPr>
      </w:pPr>
    </w:p>
    <w:p w14:paraId="442DFBB3">
      <w:pPr>
        <w:spacing w:line="360" w:lineRule="auto"/>
        <w:rPr>
          <w:rFonts w:hint="eastAsia" w:ascii="仿宋" w:hAnsi="仿宋" w:eastAsia="仿宋" w:cs="仿宋"/>
          <w:b/>
          <w:color w:val="auto"/>
          <w:highlight w:val="none"/>
        </w:rPr>
      </w:pPr>
    </w:p>
    <w:p w14:paraId="0046FB49">
      <w:pPr>
        <w:spacing w:line="360" w:lineRule="auto"/>
        <w:rPr>
          <w:rFonts w:hint="eastAsia" w:ascii="仿宋" w:hAnsi="仿宋" w:eastAsia="仿宋" w:cs="仿宋"/>
          <w:b/>
          <w:color w:val="auto"/>
          <w:highlight w:val="none"/>
        </w:rPr>
      </w:pPr>
    </w:p>
    <w:p w14:paraId="04E72CF4">
      <w:pPr>
        <w:spacing w:line="360" w:lineRule="auto"/>
        <w:rPr>
          <w:rFonts w:hint="eastAsia" w:ascii="仿宋" w:hAnsi="仿宋" w:eastAsia="仿宋" w:cs="仿宋"/>
          <w:b/>
          <w:color w:val="auto"/>
          <w:highlight w:val="none"/>
        </w:rPr>
      </w:pPr>
    </w:p>
    <w:p w14:paraId="0830A606">
      <w:pPr>
        <w:spacing w:line="360" w:lineRule="auto"/>
        <w:rPr>
          <w:rFonts w:hint="eastAsia" w:ascii="仿宋" w:hAnsi="仿宋" w:eastAsia="仿宋" w:cs="仿宋"/>
          <w:b/>
          <w:color w:val="auto"/>
          <w:highlight w:val="none"/>
        </w:rPr>
      </w:pPr>
    </w:p>
    <w:p w14:paraId="0FB5D138">
      <w:pPr>
        <w:spacing w:line="360" w:lineRule="auto"/>
        <w:rPr>
          <w:rFonts w:hint="eastAsia" w:ascii="仿宋" w:hAnsi="仿宋" w:eastAsia="仿宋" w:cs="仿宋"/>
          <w:b/>
          <w:color w:val="auto"/>
          <w:highlight w:val="none"/>
        </w:rPr>
      </w:pPr>
    </w:p>
    <w:p w14:paraId="636103AD">
      <w:pPr>
        <w:spacing w:line="360" w:lineRule="auto"/>
        <w:rPr>
          <w:rFonts w:hint="eastAsia" w:ascii="仿宋" w:hAnsi="仿宋" w:eastAsia="仿宋" w:cs="仿宋"/>
          <w:b/>
          <w:color w:val="auto"/>
          <w:highlight w:val="none"/>
        </w:rPr>
      </w:pPr>
    </w:p>
    <w:p w14:paraId="65938D09">
      <w:pPr>
        <w:spacing w:line="360" w:lineRule="auto"/>
        <w:rPr>
          <w:rFonts w:hint="eastAsia" w:ascii="仿宋" w:hAnsi="仿宋" w:eastAsia="仿宋" w:cs="仿宋"/>
          <w:b/>
          <w:color w:val="auto"/>
          <w:highlight w:val="none"/>
        </w:rPr>
      </w:pPr>
    </w:p>
    <w:p w14:paraId="1823FE1E">
      <w:pPr>
        <w:widowControl/>
        <w:jc w:val="left"/>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p>
    <w:p w14:paraId="3BDFBF7A">
      <w:pPr>
        <w:spacing w:line="360" w:lineRule="auto"/>
        <w:outlineLvl w:val="1"/>
        <w:rPr>
          <w:rFonts w:hint="eastAsia" w:ascii="仿宋" w:hAnsi="仿宋" w:eastAsia="仿宋" w:cs="仿宋"/>
          <w:b/>
          <w:color w:val="auto"/>
          <w:highlight w:val="none"/>
        </w:rPr>
      </w:pPr>
      <w:bookmarkStart w:id="48" w:name="_Toc8307"/>
      <w:r>
        <w:rPr>
          <w:rFonts w:hint="eastAsia" w:ascii="仿宋" w:hAnsi="仿宋" w:eastAsia="仿宋" w:cs="仿宋"/>
          <w:b/>
          <w:color w:val="auto"/>
          <w:highlight w:val="none"/>
        </w:rPr>
        <w:t>附件十二、《南京市政府采购供应商信用记录表暨信用承诺书暨信用承诺书》（网站在线打印签字并盖章）</w:t>
      </w:r>
      <w:bookmarkEnd w:id="48"/>
    </w:p>
    <w:p w14:paraId="72284396">
      <w:pPr>
        <w:spacing w:line="360" w:lineRule="auto"/>
        <w:rPr>
          <w:rFonts w:hint="eastAsia" w:ascii="仿宋" w:hAnsi="仿宋" w:eastAsia="仿宋" w:cs="仿宋"/>
          <w:b/>
          <w:color w:val="auto"/>
          <w:highlight w:val="none"/>
        </w:rPr>
      </w:pPr>
    </w:p>
    <w:p w14:paraId="0A00DF86">
      <w:pPr>
        <w:spacing w:line="360" w:lineRule="auto"/>
        <w:rPr>
          <w:rFonts w:hint="eastAsia" w:ascii="仿宋" w:hAnsi="仿宋" w:eastAsia="仿宋" w:cs="仿宋"/>
          <w:b/>
          <w:color w:val="auto"/>
          <w:highlight w:val="none"/>
        </w:rPr>
      </w:pPr>
    </w:p>
    <w:p w14:paraId="61E90CF6">
      <w:pPr>
        <w:widowControl/>
        <w:jc w:val="left"/>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p>
    <w:p w14:paraId="1FEE69FD">
      <w:pPr>
        <w:spacing w:line="360" w:lineRule="auto"/>
        <w:outlineLvl w:val="1"/>
        <w:rPr>
          <w:rFonts w:hint="eastAsia" w:ascii="仿宋" w:hAnsi="仿宋" w:eastAsia="仿宋" w:cs="仿宋"/>
          <w:b/>
          <w:color w:val="auto"/>
          <w:highlight w:val="none"/>
        </w:rPr>
      </w:pPr>
      <w:bookmarkStart w:id="49" w:name="_Toc773"/>
      <w:r>
        <w:rPr>
          <w:rFonts w:hint="eastAsia" w:ascii="仿宋" w:hAnsi="仿宋" w:eastAsia="仿宋" w:cs="仿宋"/>
          <w:b/>
          <w:color w:val="auto"/>
          <w:highlight w:val="none"/>
        </w:rPr>
        <w:t>附件十三、实质性要求完全响应承诺书</w:t>
      </w:r>
      <w:bookmarkEnd w:id="49"/>
    </w:p>
    <w:p w14:paraId="7EB9D4E3">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实质性要求完全响应承诺书</w:t>
      </w:r>
    </w:p>
    <w:p w14:paraId="0F2A94DC">
      <w:pPr>
        <w:spacing w:line="56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南京市</w:t>
      </w:r>
      <w:r>
        <w:rPr>
          <w:rFonts w:hint="eastAsia" w:ascii="仿宋" w:hAnsi="仿宋" w:eastAsia="仿宋" w:cs="仿宋"/>
          <w:color w:val="auto"/>
          <w:sz w:val="24"/>
          <w:highlight w:val="none"/>
          <w:lang w:val="en-US" w:eastAsia="zh-CN"/>
        </w:rPr>
        <w:t>六合区民政局</w:t>
      </w:r>
    </w:p>
    <w:p w14:paraId="7188611F">
      <w:pP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江苏中衡工程顾问有限公司</w:t>
      </w:r>
      <w:r>
        <w:rPr>
          <w:rFonts w:hint="eastAsia" w:ascii="仿宋" w:hAnsi="仿宋" w:eastAsia="仿宋" w:cs="仿宋"/>
          <w:color w:val="auto"/>
          <w:sz w:val="24"/>
          <w:highlight w:val="none"/>
        </w:rPr>
        <w:t>：</w:t>
      </w:r>
    </w:p>
    <w:p w14:paraId="635CB981">
      <w:pPr>
        <w:spacing w:line="56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我公司完全响应</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征集文件“第四章采购需求”中所有“实质性要求”。</w:t>
      </w:r>
    </w:p>
    <w:p w14:paraId="7053A0AF">
      <w:pPr>
        <w:spacing w:line="56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我公司对上述承诺的真实性负责，如有虚假，将依法承担相应责任。</w:t>
      </w:r>
    </w:p>
    <w:p w14:paraId="6946AC5C">
      <w:pPr>
        <w:spacing w:line="560" w:lineRule="exact"/>
        <w:ind w:firstLine="48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相关证明材料如下：</w:t>
      </w:r>
    </w:p>
    <w:p w14:paraId="7110E4F4">
      <w:pPr>
        <w:spacing w:line="588" w:lineRule="exact"/>
        <w:ind w:firstLine="624"/>
        <w:rPr>
          <w:rFonts w:hint="eastAsia" w:ascii="仿宋" w:hAnsi="仿宋" w:eastAsia="仿宋" w:cs="仿宋"/>
          <w:color w:val="auto"/>
          <w:spacing w:val="6"/>
          <w:sz w:val="30"/>
          <w:szCs w:val="30"/>
          <w:highlight w:val="none"/>
        </w:rPr>
      </w:pPr>
    </w:p>
    <w:p w14:paraId="3BA0681D">
      <w:pPr>
        <w:spacing w:line="560" w:lineRule="exact"/>
        <w:ind w:right="180" w:firstLine="36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供应商名称（加盖公章）：</w:t>
      </w:r>
    </w:p>
    <w:p w14:paraId="229432FB">
      <w:pPr>
        <w:spacing w:line="560" w:lineRule="exact"/>
        <w:ind w:right="180" w:firstLine="36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日  期：</w:t>
      </w:r>
    </w:p>
    <w:p w14:paraId="0E969E1E">
      <w:pPr>
        <w:pStyle w:val="2"/>
        <w:rPr>
          <w:rFonts w:hint="eastAsia" w:ascii="仿宋" w:hAnsi="仿宋" w:eastAsia="仿宋" w:cs="仿宋"/>
          <w:color w:val="auto"/>
          <w:highlight w:val="none"/>
        </w:rPr>
      </w:pPr>
      <w:r>
        <w:rPr>
          <w:rFonts w:hint="eastAsia" w:ascii="仿宋" w:hAnsi="仿宋" w:eastAsia="仿宋" w:cs="仿宋"/>
          <w:color w:val="auto"/>
          <w:highlight w:val="none"/>
        </w:rPr>
        <w:br w:type="page" w:clear="all"/>
      </w:r>
    </w:p>
    <w:p w14:paraId="42A5812C">
      <w:pPr>
        <w:spacing w:line="360" w:lineRule="auto"/>
        <w:outlineLvl w:val="1"/>
        <w:rPr>
          <w:rFonts w:hint="eastAsia" w:ascii="仿宋" w:hAnsi="仿宋" w:eastAsia="仿宋" w:cs="仿宋"/>
          <w:b/>
          <w:color w:val="auto"/>
          <w:highlight w:val="none"/>
        </w:rPr>
      </w:pPr>
      <w:bookmarkStart w:id="50" w:name="_Toc26690"/>
      <w:bookmarkStart w:id="51" w:name="_GoBack"/>
      <w:bookmarkEnd w:id="51"/>
      <w:r>
        <w:rPr>
          <w:rFonts w:hint="eastAsia" w:ascii="仿宋" w:hAnsi="仿宋" w:eastAsia="仿宋" w:cs="仿宋"/>
          <w:b/>
          <w:color w:val="auto"/>
          <w:highlight w:val="none"/>
        </w:rPr>
        <w:t>附件十四、其他</w:t>
      </w:r>
      <w:bookmarkEnd w:id="50"/>
    </w:p>
    <w:p w14:paraId="52FF904A">
      <w:pPr>
        <w:spacing w:line="560" w:lineRule="exact"/>
        <w:ind w:right="480"/>
        <w:rPr>
          <w:rFonts w:hint="eastAsia" w:ascii="仿宋" w:hAnsi="仿宋" w:eastAsia="仿宋" w:cs="仿宋"/>
          <w:color w:val="auto"/>
          <w:sz w:val="32"/>
          <w:szCs w:val="32"/>
          <w:highlight w:val="none"/>
        </w:rPr>
      </w:pPr>
    </w:p>
    <w:p w14:paraId="64915475">
      <w:pPr>
        <w:spacing w:line="360" w:lineRule="auto"/>
        <w:rPr>
          <w:rFonts w:hint="eastAsia" w:ascii="仿宋" w:hAnsi="仿宋" w:eastAsia="仿宋" w:cs="仿宋"/>
          <w:b/>
          <w:color w:val="auto"/>
          <w:highlight w:val="none"/>
        </w:rPr>
      </w:pPr>
    </w:p>
    <w:p w14:paraId="5DB0346D">
      <w:pPr>
        <w:spacing w:line="360" w:lineRule="auto"/>
        <w:rPr>
          <w:rFonts w:hint="eastAsia" w:ascii="仿宋" w:hAnsi="仿宋" w:eastAsia="仿宋" w:cs="仿宋"/>
          <w:b/>
          <w:color w:val="auto"/>
          <w:highlight w:val="none"/>
        </w:rPr>
      </w:pPr>
    </w:p>
    <w:p w14:paraId="52C3B474">
      <w:pPr>
        <w:spacing w:line="360" w:lineRule="auto"/>
        <w:rPr>
          <w:rFonts w:hint="eastAsia" w:ascii="仿宋" w:hAnsi="仿宋" w:eastAsia="仿宋" w:cs="仿宋"/>
          <w:b/>
          <w:color w:val="auto"/>
          <w:highlight w:val="none"/>
        </w:rPr>
      </w:pPr>
    </w:p>
    <w:p w14:paraId="1D308C09">
      <w:pPr>
        <w:pStyle w:val="3"/>
        <w:keepNext w:val="0"/>
        <w:keepLines w:val="0"/>
        <w:pageBreakBefore w:val="0"/>
        <w:widowControl/>
        <w:kinsoku/>
        <w:wordWrap/>
        <w:overflowPunct/>
        <w:topLinePunct w:val="0"/>
        <w:autoSpaceDE/>
        <w:autoSpaceDN/>
        <w:bidi w:val="0"/>
        <w:adjustRightInd/>
        <w:snapToGrid/>
        <w:spacing w:line="560" w:lineRule="exact"/>
        <w:ind w:left="0" w:leftChars="0" w:firstLine="0" w:firstLineChars="0"/>
        <w:jc w:val="both"/>
        <w:textAlignment w:val="auto"/>
        <w:outlineLvl w:val="9"/>
        <w:rPr>
          <w:rFonts w:hint="eastAsia" w:ascii="仿宋" w:hAnsi="仿宋" w:eastAsia="仿宋" w:cs="仿宋"/>
          <w:color w:val="auto"/>
          <w:highlight w:val="none"/>
        </w:rPr>
      </w:pPr>
    </w:p>
    <w:p w14:paraId="120C4A3A">
      <w:pPr>
        <w:pStyle w:val="2"/>
        <w:rPr>
          <w:rFonts w:hint="eastAsia" w:ascii="仿宋" w:hAnsi="仿宋" w:eastAsia="仿宋" w:cs="仿宋"/>
          <w:color w:val="auto"/>
          <w:highlight w:val="none"/>
        </w:rPr>
      </w:pPr>
    </w:p>
    <w:sectPr>
      <w:pgSz w:w="11906" w:h="16838"/>
      <w:pgMar w:top="1440" w:right="1800" w:bottom="1440" w:left="1800" w:header="850" w:footer="850" w:gutter="0"/>
      <w:paperSrc/>
      <w:pgNumType w:fmt="decimal"/>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altName w:val="宋体"/>
    <w:panose1 w:val="02010509060101010101"/>
    <w:charset w:val="86"/>
    <w:family w:val="auto"/>
    <w:pitch w:val="default"/>
    <w:sig w:usb0="00000000" w:usb1="00000000" w:usb2="00000000" w:usb3="00000000" w:csb0="00040000"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auto"/>
    <w:pitch w:val="default"/>
    <w:sig w:usb0="E00006FF" w:usb1="420024FF" w:usb2="02000000" w:usb3="00000000" w:csb0="2000019F" w:csb1="00000000"/>
  </w:font>
  <w:font w:name="Helvetica Neue">
    <w:altName w:val="Times New Roman"/>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9FD74">
    <w:pPr>
      <w:pStyle w:val="11"/>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F4D5A">
    <w:pPr>
      <w:pStyle w:val="11"/>
      <w:tabs>
        <w:tab w:val="clear" w:pos="4153"/>
      </w:tabs>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35EC28">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235EC28">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83B3A">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8960A6">
                          <w:pPr>
                            <w:pStyle w:val="11"/>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E8960A6">
                    <w:pPr>
                      <w:pStyle w:val="11"/>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73A5">
    <w:pPr>
      <w:pStyle w:val="11"/>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16DF5">
                          <w:pPr>
                            <w:pStyle w:val="11"/>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7B16DF5">
                    <w:pPr>
                      <w:pStyle w:val="11"/>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8C12A">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D887DB">
                          <w:pPr>
                            <w:pStyle w:val="11"/>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BD887DB">
                    <w:pPr>
                      <w:pStyle w:val="11"/>
                    </w:pPr>
                    <w:r>
                      <w:fldChar w:fldCharType="begin"/>
                    </w:r>
                    <w:r>
                      <w:instrText xml:space="preserve"> PAGE  \* MERGEFORMAT </w:instrText>
                    </w:r>
                    <w:r>
                      <w:fldChar w:fldCharType="separate"/>
                    </w:r>
                    <w:r>
                      <w:t>27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7DCFC0"/>
    <w:multiLevelType w:val="singleLevel"/>
    <w:tmpl w:val="D87DCFC0"/>
    <w:lvl w:ilvl="0" w:tentative="0">
      <w:start w:val="1"/>
      <w:numFmt w:val="decimal"/>
      <w:lvlText w:val="%1."/>
      <w:lvlJc w:val="left"/>
      <w:pPr>
        <w:tabs>
          <w:tab w:val="left" w:pos="312"/>
        </w:tabs>
      </w:pPr>
    </w:lvl>
  </w:abstractNum>
  <w:abstractNum w:abstractNumId="1">
    <w:nsid w:val="DD53A9DD"/>
    <w:multiLevelType w:val="singleLevel"/>
    <w:tmpl w:val="DD53A9DD"/>
    <w:lvl w:ilvl="0" w:tentative="0">
      <w:start w:val="6"/>
      <w:numFmt w:val="chineseCounting"/>
      <w:suff w:val="nothing"/>
      <w:lvlText w:val="（%1）"/>
      <w:lvlJc w:val="left"/>
      <w:rPr>
        <w:rFonts w:hint="eastAsia"/>
      </w:rPr>
    </w:lvl>
  </w:abstractNum>
  <w:abstractNum w:abstractNumId="2">
    <w:nsid w:val="0053208E"/>
    <w:multiLevelType w:val="multilevel"/>
    <w:tmpl w:val="0053208E"/>
    <w:lvl w:ilvl="0" w:tentative="0">
      <w:start w:val="1"/>
      <w:numFmt w:val="chineseCountingThousand"/>
      <w:pStyle w:val="6"/>
      <w:suff w:val="nothing"/>
      <w:lvlText w:val="第%1章"/>
      <w:lvlJc w:val="left"/>
      <w:pPr>
        <w:ind w:left="4111" w:firstLine="0"/>
      </w:pPr>
    </w:lvl>
    <w:lvl w:ilvl="1" w:tentative="0">
      <w:start w:val="1"/>
      <w:numFmt w:val="none"/>
      <w:suff w:val="nothing"/>
      <w:lvlText w:val=""/>
      <w:lvlJc w:val="left"/>
      <w:pPr>
        <w:ind w:left="4111" w:firstLine="0"/>
      </w:pPr>
    </w:lvl>
    <w:lvl w:ilvl="2" w:tentative="0">
      <w:start w:val="1"/>
      <w:numFmt w:val="none"/>
      <w:suff w:val="nothing"/>
      <w:lvlText w:val=""/>
      <w:lvlJc w:val="left"/>
      <w:pPr>
        <w:ind w:left="4111" w:firstLine="0"/>
      </w:pPr>
    </w:lvl>
    <w:lvl w:ilvl="3" w:tentative="0">
      <w:start w:val="1"/>
      <w:numFmt w:val="none"/>
      <w:suff w:val="nothing"/>
      <w:lvlText w:val=""/>
      <w:lvlJc w:val="left"/>
      <w:pPr>
        <w:ind w:left="4111" w:firstLine="0"/>
      </w:pPr>
    </w:lvl>
    <w:lvl w:ilvl="4" w:tentative="0">
      <w:start w:val="1"/>
      <w:numFmt w:val="none"/>
      <w:suff w:val="nothing"/>
      <w:lvlText w:val=""/>
      <w:lvlJc w:val="left"/>
      <w:pPr>
        <w:ind w:left="4111" w:firstLine="0"/>
      </w:pPr>
    </w:lvl>
    <w:lvl w:ilvl="5" w:tentative="0">
      <w:start w:val="1"/>
      <w:numFmt w:val="none"/>
      <w:suff w:val="nothing"/>
      <w:lvlText w:val=""/>
      <w:lvlJc w:val="left"/>
      <w:pPr>
        <w:ind w:left="4111" w:firstLine="0"/>
      </w:pPr>
    </w:lvl>
    <w:lvl w:ilvl="6" w:tentative="0">
      <w:start w:val="1"/>
      <w:numFmt w:val="none"/>
      <w:suff w:val="nothing"/>
      <w:lvlText w:val=""/>
      <w:lvlJc w:val="left"/>
      <w:pPr>
        <w:ind w:left="4111" w:firstLine="0"/>
      </w:pPr>
    </w:lvl>
    <w:lvl w:ilvl="7" w:tentative="0">
      <w:start w:val="1"/>
      <w:numFmt w:val="none"/>
      <w:suff w:val="nothing"/>
      <w:lvlText w:val=""/>
      <w:lvlJc w:val="left"/>
      <w:pPr>
        <w:ind w:left="4111" w:firstLine="0"/>
      </w:pPr>
    </w:lvl>
    <w:lvl w:ilvl="8" w:tentative="0">
      <w:start w:val="1"/>
      <w:numFmt w:val="none"/>
      <w:suff w:val="nothing"/>
      <w:lvlText w:val=""/>
      <w:lvlJc w:val="left"/>
      <w:pPr>
        <w:ind w:left="4111" w:firstLine="0"/>
      </w:pPr>
    </w:lvl>
  </w:abstractNum>
  <w:abstractNum w:abstractNumId="3">
    <w:nsid w:val="59ADCABA"/>
    <w:multiLevelType w:val="multilevel"/>
    <w:tmpl w:val="59ADCABA"/>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210"/>
  <w:drawingGridVerticalSpacing w:val="159"/>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5E7706"/>
    <w:rsid w:val="1963421D"/>
    <w:rsid w:val="1D191084"/>
    <w:rsid w:val="2ABB128A"/>
    <w:rsid w:val="2E2723E8"/>
    <w:rsid w:val="2EA76491"/>
    <w:rsid w:val="30116BEC"/>
    <w:rsid w:val="35A525E9"/>
    <w:rsid w:val="3B9D4DD1"/>
    <w:rsid w:val="423C64A3"/>
    <w:rsid w:val="46031658"/>
    <w:rsid w:val="4A386A21"/>
    <w:rsid w:val="4C0F03BF"/>
    <w:rsid w:val="50DB713A"/>
    <w:rsid w:val="5E0803B2"/>
    <w:rsid w:val="617A1084"/>
    <w:rsid w:val="635320D9"/>
    <w:rsid w:val="64477B51"/>
    <w:rsid w:val="686228F2"/>
    <w:rsid w:val="6CD84010"/>
    <w:rsid w:val="6E882E65"/>
    <w:rsid w:val="704A5BD2"/>
    <w:rsid w:val="77F659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rPr>
  </w:style>
  <w:style w:type="paragraph" w:styleId="6">
    <w:name w:val="heading 1"/>
    <w:basedOn w:val="1"/>
    <w:next w:val="1"/>
    <w:qFormat/>
    <w:uiPriority w:val="0"/>
    <w:pPr>
      <w:keepNext/>
      <w:keepLines/>
      <w:numPr>
        <w:ilvl w:val="0"/>
        <w:numId w:val="1"/>
      </w:numPr>
      <w:spacing w:before="340" w:after="330" w:line="578" w:lineRule="auto"/>
      <w:jc w:val="center"/>
      <w:outlineLvl w:val="0"/>
    </w:pPr>
    <w:rPr>
      <w:b/>
      <w:bCs/>
      <w:sz w:val="32"/>
      <w:szCs w:val="44"/>
    </w:rPr>
  </w:style>
  <w:style w:type="paragraph" w:styleId="7">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rFonts w:eastAsia="幼圆"/>
      <w:b/>
      <w:bCs/>
      <w:sz w:val="44"/>
    </w:rPr>
  </w:style>
  <w:style w:type="paragraph" w:customStyle="1" w:styleId="3">
    <w:name w:val="一级条标题"/>
    <w:basedOn w:val="4"/>
    <w:next w:val="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5">
    <w:name w:val="段"/>
    <w:basedOn w:val="1"/>
    <w:next w:val="1"/>
    <w:qFormat/>
    <w:uiPriority w:val="0"/>
    <w:pPr>
      <w:widowControl/>
      <w:ind w:firstLine="200"/>
    </w:pPr>
    <w:rPr>
      <w:rFonts w:hint="eastAsia" w:ascii="宋体"/>
      <w:szCs w:val="20"/>
    </w:rPr>
  </w:style>
  <w:style w:type="paragraph" w:styleId="8">
    <w:name w:val="Normal Indent"/>
    <w:basedOn w:val="1"/>
    <w:qFormat/>
    <w:uiPriority w:val="0"/>
    <w:pPr>
      <w:ind w:firstLine="420"/>
    </w:pPr>
    <w:rPr>
      <w:b/>
      <w:sz w:val="24"/>
      <w:szCs w:val="20"/>
    </w:rPr>
  </w:style>
  <w:style w:type="paragraph" w:styleId="9">
    <w:name w:val="toc 3"/>
    <w:basedOn w:val="1"/>
    <w:next w:val="1"/>
    <w:qFormat/>
    <w:uiPriority w:val="0"/>
    <w:pPr>
      <w:ind w:left="840" w:leftChars="400"/>
    </w:pPr>
  </w:style>
  <w:style w:type="paragraph" w:styleId="10">
    <w:name w:val="Plain Text"/>
    <w:basedOn w:val="1"/>
    <w:qFormat/>
    <w:uiPriority w:val="0"/>
    <w:rPr>
      <w:rFonts w:ascii="Ari"/>
    </w:rPr>
  </w:style>
  <w:style w:type="paragraph" w:styleId="11">
    <w:name w:val="footer"/>
    <w:basedOn w:val="1"/>
    <w:qFormat/>
    <w:uiPriority w:val="0"/>
    <w:pPr>
      <w:tabs>
        <w:tab w:val="center" w:pos="4153"/>
        <w:tab w:val="right" w:pos="8306"/>
      </w:tabs>
      <w:jc w:val="left"/>
    </w:pPr>
    <w:rPr>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customStyle="1" w:styleId="17">
    <w:name w:val="列表段落1"/>
    <w:basedOn w:val="1"/>
    <w:qFormat/>
    <w:uiPriority w:val="34"/>
    <w:pPr>
      <w:ind w:firstLine="420"/>
    </w:pPr>
  </w:style>
  <w:style w:type="paragraph" w:customStyle="1" w:styleId="18">
    <w:name w:val="列表段落11"/>
    <w:basedOn w:val="1"/>
    <w:qFormat/>
    <w:uiPriority w:val="99"/>
    <w:pPr>
      <w:ind w:firstLine="420"/>
    </w:pPr>
  </w:style>
  <w:style w:type="paragraph" w:customStyle="1" w:styleId="19">
    <w:name w:val="TOC 标题1"/>
    <w:basedOn w:val="6"/>
    <w:next w:val="1"/>
    <w:qFormat/>
    <w:uiPriority w:val="0"/>
    <w:pPr>
      <w:widowControl/>
      <w:numPr>
        <w:ilvl w:val="0"/>
        <w:numId w:val="0"/>
      </w:numPr>
      <w:spacing w:before="480" w:after="0" w:line="276" w:lineRule="auto"/>
      <w:jc w:val="left"/>
      <w:outlineLvl w:val="9"/>
    </w:pPr>
    <w:rPr>
      <w:rFonts w:ascii="Cambria" w:hAnsi="Cambria"/>
      <w:color w:val="365F91"/>
      <w:sz w:val="28"/>
      <w:szCs w:val="28"/>
    </w:rPr>
  </w:style>
  <w:style w:type="paragraph" w:customStyle="1" w:styleId="20">
    <w:name w:val="List Paragraph1"/>
    <w:basedOn w:val="1"/>
    <w:qFormat/>
    <w:uiPriority w:val="99"/>
    <w:pPr>
      <w:ind w:firstLine="420"/>
    </w:pPr>
  </w:style>
  <w:style w:type="paragraph" w:styleId="21">
    <w:name w:val="List Paragraph"/>
    <w:basedOn w:val="1"/>
    <w:qFormat/>
    <w:uiPriority w:val="99"/>
    <w:pPr>
      <w:ind w:firstLine="420"/>
    </w:pPr>
  </w:style>
  <w:style w:type="paragraph" w:customStyle="1" w:styleId="22">
    <w:name w:val="普通正文"/>
    <w:basedOn w:val="23"/>
    <w:qFormat/>
    <w:uiPriority w:val="0"/>
    <w:pPr>
      <w:spacing w:before="120" w:after="120" w:line="360" w:lineRule="auto"/>
      <w:ind w:firstLine="480"/>
    </w:pPr>
    <w:rPr>
      <w:rFonts w:ascii="Arial" w:hAnsi="Arial"/>
      <w:sz w:val="24"/>
    </w:rPr>
  </w:style>
  <w:style w:type="paragraph" w:customStyle="1" w:styleId="23">
    <w:name w:val="正文1"/>
    <w:qFormat/>
    <w:uiPriority w:val="0"/>
    <w:pPr>
      <w:spacing w:line="460" w:lineRule="exact"/>
    </w:pPr>
    <w:rPr>
      <w:rFonts w:hint="default" w:ascii="Helvetica Neue" w:hAnsi="Helvetica Neue" w:eastAsia="宋体" w:cs="Arial Unicode MS"/>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25900</Words>
  <Characters>27392</Characters>
  <Lines>0</Lines>
  <Paragraphs>0</Paragraphs>
  <TotalTime>2649</TotalTime>
  <ScaleCrop>false</ScaleCrop>
  <LinksUpToDate>false</LinksUpToDate>
  <CharactersWithSpaces>28610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2026-03-24T03:10:00Z</dcterms:created>
  <dc:creator>hwj</dc:creator>
  <cp:lastModifiedBy>张玉男</cp:lastModifiedBy>
  <dcterms:modified xsi:type="dcterms:W3CDTF">2026-05-28T06:43:35Z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eyJoZGlkIjoiNjExYjcwNTEwMDNjYjE3MjEwNDY3NmQyNmFhYzg5M2MiLCJ1c2VySWQiOiI2Mjk2MzUzMDcifQ==</vt:lpwstr>
  </property>
  <property fmtid="{D5CDD505-2E9C-101B-9397-08002B2CF9AE}" pid="4" name="ICV">
    <vt:lpwstr>4BF6E44175E744739AC20287ACB1C6E1_12</vt:lpwstr>
  </property>
</Properties>
</file>