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Theme="minorEastAsia"/>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883"/>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JSZC-320509-HWZX-G2026-0297</w:t>
      </w:r>
      <w:r/>
    </w:p>
    <w:p>
      <w:pPr>
        <w:ind w:firstLine="1883"/>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苏州市吴江区同里镇人民政府</w:t>
      </w:r>
      <w:r/>
    </w:p>
    <w:p>
      <w:pPr>
        <w:ind w:left="3049" w:hanging="1197"/>
        <w:jc w:val="both"/>
        <w:spacing w:line="360" w:lineRule="auto"/>
        <w:rPr>
          <w:rFonts w:hint="eastAsia"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：同里镇安息堂</w:t>
      </w:r>
      <w:r>
        <w:rPr>
          <w:rFonts w:ascii="宋体" w:hAnsi="宋体" w:eastAsia="宋体" w:cs="宋体"/>
          <w:b/>
          <w:sz w:val="28"/>
          <w:highlight w:val="none"/>
        </w:rPr>
        <w:t xml:space="preserve">骨灰盒存放架</w:t>
      </w:r>
      <w:r>
        <w:rPr>
          <w:rFonts w:hint="eastAsia" w:ascii="宋体" w:hAnsi="宋体" w:eastAsia="宋体" w:cs="宋体"/>
          <w:b/>
          <w:sz w:val="28"/>
          <w:highlight w:val="none"/>
        </w:rPr>
        <w:t xml:space="preserve">采购项目</w:t>
      </w:r>
      <w:r/>
    </w:p>
    <w:p>
      <w:pPr>
        <w:ind w:firstLine="1883"/>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val="en-US" w:eastAsia="zh-CN"/>
        </w:rPr>
      </w:r>
      <w:r/>
    </w:p>
    <w:p>
      <w:pPr>
        <w:pStyle w:val="763"/>
        <w:rPr>
          <w:rFonts w:hint="eastAsia"/>
          <w:highlight w:val="none"/>
        </w:rPr>
      </w:pPr>
      <w:r>
        <w:rPr>
          <w:rFonts w:hint="eastAsia"/>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六</w:t>
      </w:r>
      <w:r>
        <w:rPr>
          <w:rFonts w:ascii="宋体" w:hAnsi="宋体" w:eastAsia="宋体" w:cs="宋体"/>
          <w:b/>
          <w:sz w:val="28"/>
          <w:highlight w:val="none"/>
        </w:rPr>
        <w:t xml:space="preserve">月</w:t>
      </w:r>
      <w:r/>
    </w:p>
    <w:p>
      <w:pPr>
        <w:jc w:val="center"/>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7"/>
        <w:gridCol w:w="6843"/>
      </w:tblGrid>
      <w:tr>
        <w:trPr>
          <w:trHeight w:val="47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6"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同里镇安息堂骨灰盒存放架采购项目</w:t>
            </w:r>
            <w:r/>
          </w:p>
        </w:tc>
      </w:tr>
      <w:tr>
        <w:trPr>
          <w:trHeight w:val="62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6"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在甲方通知进场30天内完成供货、安装、调试、交付验收等</w:t>
            </w:r>
            <w:r/>
          </w:p>
        </w:tc>
      </w:tr>
      <w:tr>
        <w:trPr>
          <w:trHeight w:val="405"/>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tc>
      </w:tr>
      <w:tr>
        <w:trPr>
          <w:trHeight w:val="90"/>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tc>
      </w:tr>
      <w:tr>
        <w:trPr>
          <w:trHeight w:val="90"/>
        </w:trPr>
        <w:tc>
          <w:tcPr>
            <w:tcMar>
              <w:left w:w="108" w:type="dxa"/>
              <w:top w:w="0" w:type="dxa"/>
              <w:right w:w="108" w:type="dxa"/>
              <w:bottom w:w="0" w:type="dxa"/>
            </w:tcMar>
            <w:tcW w:w="410"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6"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不接受进口产品投标</w:t>
            </w:r>
            <w:r/>
          </w:p>
        </w:tc>
      </w:tr>
      <w:tr>
        <w:trPr>
          <w:trHeight w:val="539"/>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供应商</w:t>
            </w:r>
            <w:r>
              <w:rPr>
                <w:rFonts w:ascii="宋体" w:hAnsi="宋体" w:eastAsia="宋体" w:cs="宋体"/>
                <w:sz w:val="24"/>
                <w:highlight w:val="none"/>
              </w:rPr>
              <w:t xml:space="preserve">中标后，提供纸质投标文件，送至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6"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支付金额的收费标准为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6.748</w:t>
            </w:r>
            <w:r>
              <w:rPr>
                <w:rFonts w:ascii="宋体" w:hAnsi="宋体" w:eastAsia="宋体" w:cs="宋体"/>
                <w:sz w:val="24"/>
                <w:highlight w:val="none"/>
              </w:rPr>
              <w:t xml:space="preserve">万元。</w:t>
            </w:r>
            <w:r/>
          </w:p>
        </w:tc>
      </w:tr>
      <w:tr>
        <w:trPr>
          <w:trHeight w:val="71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tcMar>
              <w:left w:w="108" w:type="dxa"/>
              <w:top w:w="0" w:type="dxa"/>
              <w:right w:w="108" w:type="dxa"/>
              <w:bottom w:w="0" w:type="dxa"/>
            </w:tcMar>
            <w:tcW w:w="410"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6" w:type="pct"/>
            <w:vAlign w:val="center"/>
            <w:textDirection w:val="lrTb"/>
            <w:noWrap w:val="false"/>
          </w:tcPr>
          <w:p>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2026年07月09日13时30分（北京时间）</w:t>
            </w:r>
            <w:r>
              <w:rPr>
                <w:rFonts w:ascii="SimSun" w:hAnsi="SimSun" w:eastAsia="SimSun" w:cs="SimSun"/>
                <w:sz w:val="24"/>
              </w:rPr>
            </w:r>
            <w:r/>
          </w:p>
        </w:tc>
      </w:tr>
      <w:tr>
        <w:trPr>
          <w:trHeight w:val="399"/>
        </w:trPr>
        <w:tc>
          <w:tcPr>
            <w:tcW w:w="410" w:type="pct"/>
            <w:vAlign w:val="center"/>
            <w:vMerge w:val="continue"/>
            <w:textDirection w:val="lrTb"/>
            <w:noWrap w:val="false"/>
          </w:tcPr>
          <w:p>
            <w:pPr>
              <w:jc w:val="center"/>
              <w:spacing w:line="360" w:lineRule="auto"/>
              <w:rPr>
                <w:highlight w:val="none"/>
              </w:rP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6" w:type="pct"/>
            <w:vAlign w:val="center"/>
            <w:textDirection w:val="lrTb"/>
            <w:noWrap w:val="false"/>
          </w:tcPr>
          <w:p>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2026年07月09日13时30分（北京时间）</w:t>
            </w:r>
            <w:r>
              <w:rPr>
                <w:sz w:val="21"/>
              </w:rPr>
            </w:r>
            <w:r/>
          </w:p>
        </w:tc>
      </w:tr>
      <w:tr>
        <w:trPr>
          <w:trHeight w:val="539"/>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要求确定中标供应商。</w:t>
            </w:r>
            <w:r/>
          </w:p>
        </w:tc>
      </w:tr>
      <w:tr>
        <w:trPr>
          <w:trHeight w:val="62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6"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highlight w:val="none"/>
              </w:rPr>
              <w:t xml:space="preserve">（ ）</w:t>
            </w:r>
            <w:r>
              <w:rPr>
                <w:rFonts w:hint="eastAsia" w:ascii="宋体" w:hAnsi="宋体" w:eastAsia="宋体" w:cs="宋体"/>
                <w:sz w:val="24"/>
                <w:highlight w:val="none"/>
              </w:rPr>
              <w:t xml:space="preserve">提交</w:t>
            </w:r>
            <w:r/>
          </w:p>
          <w:p>
            <w:pPr>
              <w:pStyle w:val="753"/>
              <w:spacing w:before="0" w:after="0"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金</w:t>
            </w:r>
            <w:r>
              <w:rPr>
                <w:rFonts w:hint="eastAsia" w:ascii="宋体" w:hAnsi="宋体" w:eastAsia="宋体" w:cs="宋体"/>
                <w:sz w:val="24"/>
                <w:szCs w:val="24"/>
                <w:highlight w:val="none"/>
              </w:rPr>
              <w:t xml:space="preserve">额：合同金额的5%，合同签订前，供应商需将履约保证金缴纳至指定账户。项目整体验收合格后10个工作日内无息退还。</w:t>
            </w:r>
            <w:r/>
          </w:p>
          <w:p>
            <w:pPr>
              <w:rPr>
                <w:highlight w:val="none"/>
              </w:rPr>
            </w:pPr>
            <w:r>
              <w:rPr>
                <w:rFonts w:ascii="Wingdings 2" w:hAnsi="Wingdings 2" w:eastAsia="Wingdings 2" w:cs="Wingdings 2"/>
                <w:sz w:val="24"/>
                <w:szCs w:val="24"/>
                <w:highlight w:val="none"/>
              </w:rPr>
              <w:t xml:space="preserve">（</w:t>
            </w:r>
            <w:r>
              <w:rPr>
                <w:rFonts w:ascii="Wingdings 2" w:hAnsi="Wingdings 2" w:eastAsia="Wingdings 2" w:cs="Wingdings 2"/>
                <w:sz w:val="24"/>
                <w:szCs w:val="24"/>
                <w:highlight w:val="none"/>
              </w:rPr>
              <w:t xml:space="preserve">√</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不提交</w:t>
            </w:r>
            <w:r/>
          </w:p>
        </w:tc>
      </w:tr>
      <w:tr>
        <w:trPr>
          <w:trHeight w:val="622"/>
        </w:trPr>
        <w:tc>
          <w:tcPr>
            <w:tcMar>
              <w:left w:w="108" w:type="dxa"/>
              <w:top w:w="0" w:type="dxa"/>
              <w:right w:w="108" w:type="dxa"/>
              <w:bottom w:w="0" w:type="dxa"/>
            </w:tcMar>
            <w:tcW w:w="410"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6" w:type="pct"/>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6"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lang w:eastAsia="zh-CN"/>
              </w:rPr>
              <w:t xml:space="preserve">0512-63982393</w:t>
            </w:r>
            <w:r/>
          </w:p>
        </w:tc>
      </w:tr>
      <w:tr>
        <w:trPr>
          <w:trHeight w:val="571"/>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78"/>
            <w:spacing w:after="0" w:line="480" w:lineRule="auto"/>
            <w:tabs>
              <w:tab w:val="right" w:pos="9355"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7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 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同里镇安息堂骨灰盒存放架采购项目</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w:t>
      </w:r>
      <w:r>
        <w:rPr>
          <w:rFonts w:ascii="宋体" w:hAnsi="宋体" w:eastAsia="宋体" w:cs="宋体"/>
          <w:sz w:val="24"/>
          <w:highlight w:val="none"/>
        </w:rPr>
        <w:t xml:space="preserve">于</w:t>
      </w:r>
      <w:r>
        <w:rPr>
          <w:rFonts w:ascii="SimSun" w:hAnsi="SimSun" w:eastAsia="SimSun" w:cs="SimSun"/>
          <w:color w:val="000000"/>
          <w:sz w:val="24"/>
        </w:rPr>
        <w:t xml:space="preserve">2026年07月09日13时30分</w:t>
      </w:r>
      <w:r>
        <w:rPr>
          <w:rFonts w:ascii="宋体" w:hAnsi="宋体" w:eastAsia="宋体" w:cs="宋体"/>
          <w:sz w:val="24"/>
          <w:highlight w:val="none"/>
        </w:rPr>
        <w:t xml:space="preserve">（北京时间）前递交投标文件。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JSZC-320509-HWZX-G2026-0297</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同里镇安息堂骨灰盒存放架采购项目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交货地点：采购单位指定地点。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验收标准：按照货物验收相关规定，结合</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文件、投标文件、合同等项目文件约定内容对项目进行验收。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在甲方通知进场30天内完成供货、安装、调试、交付验收等。</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000000"/>
          <w:sz w:val="24"/>
          <w:highlight w:val="none"/>
        </w:rPr>
        <w:t xml:space="preserve">本项目专门面向中小企</w:t>
      </w:r>
      <w:r>
        <w:rPr>
          <w:rFonts w:ascii="宋体" w:hAnsi="宋体" w:cs="宋体"/>
          <w:b/>
          <w:color w:val="000000"/>
          <w:sz w:val="24"/>
          <w:highlight w:val="none"/>
        </w:rPr>
        <w:t xml:space="preserve">业，所属行业为</w:t>
      </w:r>
      <w:r>
        <w:rPr>
          <w:rFonts w:hint="eastAsia" w:ascii="宋体" w:hAnsi="宋体" w:eastAsia="宋体" w:cs="宋体"/>
          <w:b/>
          <w:color w:val="000000"/>
          <w:sz w:val="24"/>
          <w:highlight w:val="none"/>
        </w:rPr>
        <w:t xml:space="preserve">工业</w:t>
      </w:r>
      <w:r>
        <w:rPr>
          <w:rFonts w:ascii="宋体" w:hAnsi="宋体" w:cs="宋体"/>
          <w:b/>
          <w:color w:val="000000"/>
          <w:sz w:val="24"/>
          <w:highlight w:val="none"/>
        </w:rPr>
        <w:t xml:space="preserve">，</w:t>
      </w:r>
      <w:r>
        <w:rPr>
          <w:rFonts w:hint="eastAsia" w:ascii="宋体" w:hAnsi="宋体" w:eastAsia="宋体" w:cs="宋体"/>
          <w:b/>
          <w:color w:val="000000"/>
          <w:sz w:val="24"/>
          <w:highlight w:val="none"/>
        </w:rPr>
        <w:t xml:space="preserve">供应商应为中小微企业、残疾人福利性单位或监狱企业</w:t>
      </w:r>
      <w:r>
        <w:rPr>
          <w:rFonts w:ascii="宋体" w:hAnsi="宋体" w:cs="宋体"/>
          <w:b/>
          <w:color w:val="000000"/>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770"/>
        <w:ind w:left="0" w:right="0" w:firstLine="480"/>
        <w:rPr>
          <w:rFonts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left="0" w:right="0" w:firstLine="480"/>
        <w:spacing w:before="0" w:after="0" w:line="85" w:lineRule="atLeast"/>
        <w:rPr>
          <w:rFonts w:hint="eastAsia" w:ascii="宋体" w:hAnsi="宋体" w:eastAsia="宋体" w:cs="宋体"/>
          <w:highlight w:val="none"/>
        </w:rPr>
        <w:pBdr>
          <w:top w:val="none" w:color="000000" w:sz="4" w:space="0"/>
          <w:left w:val="none" w:color="000000" w:sz="4" w:space="0"/>
          <w:bottom w:val="none" w:color="000000" w:sz="4" w:space="0"/>
          <w:right w:val="none" w:color="000000" w:sz="4" w:space="0"/>
        </w:pBdr>
      </w:pPr>
      <w:r>
        <w:rPr>
          <w:rFonts w:ascii="宋体" w:hAnsi="宋体" w:eastAsia="宋体" w:cs="宋体"/>
          <w:sz w:val="24"/>
          <w:highlight w:val="none"/>
        </w:rPr>
        <w:t xml:space="preserve">时间：</w:t>
      </w:r>
      <w:r>
        <w:rPr>
          <w:rFonts w:ascii="SimSun" w:hAnsi="SimSun" w:eastAsia="SimSun" w:cs="SimSun"/>
          <w:color w:val="000000"/>
          <w:sz w:val="24"/>
        </w:rPr>
        <w:t xml:space="preserve">2026年07月09日13时30分（北京时间）</w:t>
      </w:r>
      <w:r>
        <w:rPr>
          <w:sz w:val="21"/>
        </w:rPr>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0512-63982393</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p>
    <w:p>
      <w:pPr>
        <w:ind w:firstLine="482"/>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七、对本次招标提出的询问，请按以下方式联系。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采购人信息</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苏州市吴江区同里镇人民政府</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地址：</w:t>
      </w:r>
      <w:r>
        <w:rPr>
          <w:rFonts w:hint="eastAsia" w:ascii="宋体" w:hAnsi="宋体" w:eastAsia="宋体" w:cs="宋体"/>
          <w:sz w:val="24"/>
          <w:highlight w:val="none"/>
        </w:rPr>
        <w:t xml:space="preserve">江苏省苏州市吴江区同里镇迎燕东路68号</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联系人：邹文兵</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w:t>
      </w:r>
      <w:r>
        <w:rPr>
          <w:rFonts w:hint="eastAsia" w:ascii="宋体" w:hAnsi="宋体" w:eastAsia="宋体" w:cs="宋体"/>
          <w:sz w:val="24"/>
          <w:highlight w:val="none"/>
          <w:lang w:val="en-US" w:eastAsia="zh-CN"/>
        </w:rPr>
        <w:t xml:space="preserve">电话</w:t>
      </w:r>
      <w:r>
        <w:rPr>
          <w:rFonts w:ascii="宋体" w:hAnsi="宋体" w:eastAsia="宋体" w:cs="宋体"/>
          <w:sz w:val="24"/>
          <w:highlight w:val="none"/>
        </w:rPr>
        <w:t xml:space="preserve">：</w:t>
      </w:r>
      <w:r>
        <w:rPr>
          <w:rFonts w:hint="eastAsia" w:ascii="宋体" w:hAnsi="宋体" w:eastAsia="宋体" w:cs="宋体"/>
          <w:sz w:val="24"/>
          <w:highlight w:val="none"/>
        </w:rPr>
        <w:t xml:space="preserve">0512-63327937</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采购代理机构信息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电话</w:t>
      </w:r>
      <w:r>
        <w:rPr>
          <w:rFonts w:hint="eastAsia" w:ascii="宋体" w:hAnsi="宋体" w:eastAsia="宋体" w:cs="宋体"/>
          <w:sz w:val="24"/>
          <w:szCs w:val="24"/>
          <w:highlight w:val="none"/>
        </w:rPr>
        <w:t xml:space="preserve">：0512-65160659</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w:t>
      </w:r>
      <w:r>
        <w:rPr>
          <w:rFonts w:hint="eastAsia" w:ascii="宋体" w:hAnsi="宋体" w:eastAsia="宋体" w:cs="宋体"/>
          <w:sz w:val="24"/>
          <w:szCs w:val="24"/>
          <w:highlight w:val="none"/>
          <w:lang w:val="en-US" w:eastAsia="zh-CN"/>
        </w:rPr>
        <w:t xml:space="preserve">法定渠道</w:t>
      </w:r>
      <w:r>
        <w:rPr>
          <w:rFonts w:hint="eastAsia" w:ascii="宋体" w:hAnsi="宋体" w:eastAsia="宋体" w:cs="宋体"/>
          <w:sz w:val="24"/>
          <w:szCs w:val="24"/>
          <w:highlight w:val="none"/>
        </w:rPr>
        <w:t xml:space="preserve">获得的，招标采购单位对招标文件及其补遗的真实性、完整性不承担任何责任。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w:t>
      </w:r>
      <w:r>
        <w:rPr>
          <w:rFonts w:hint="eastAsia" w:ascii="宋体" w:hAnsi="宋体" w:eastAsia="宋体" w:cs="宋体"/>
          <w:spacing w:val="-3"/>
          <w:sz w:val="24"/>
          <w:szCs w:val="24"/>
          <w:highlight w:val="none"/>
          <w:lang w:val="en-US" w:eastAsia="zh-CN"/>
        </w:rPr>
        <w:t xml:space="preserve">代理人</w:t>
      </w:r>
      <w:r>
        <w:rPr>
          <w:rFonts w:hint="eastAsia" w:ascii="宋体" w:hAnsi="宋体" w:eastAsia="宋体" w:cs="宋体"/>
          <w:spacing w:val="-3"/>
          <w:sz w:val="24"/>
          <w:szCs w:val="24"/>
          <w:highlight w:val="none"/>
        </w:rPr>
        <w:t xml:space="preserve">身份证扫描件签公章（如有授权）、</w:t>
      </w:r>
      <w:r>
        <w:rPr>
          <w:rFonts w:hint="eastAsia" w:ascii="宋体" w:hAnsi="宋体" w:eastAsia="宋体" w:cs="宋体"/>
          <w:spacing w:val="-3"/>
          <w:sz w:val="24"/>
          <w:szCs w:val="24"/>
          <w:highlight w:val="none"/>
          <w:lang w:val="en-US" w:eastAsia="zh-CN"/>
        </w:rPr>
        <w:t xml:space="preserve">代理人</w:t>
      </w:r>
      <w:r>
        <w:rPr>
          <w:rFonts w:hint="eastAsia" w:ascii="宋体" w:hAnsi="宋体" w:eastAsia="宋体" w:cs="宋体"/>
          <w:spacing w:val="-3"/>
          <w:sz w:val="24"/>
          <w:szCs w:val="24"/>
          <w:highlight w:val="none"/>
        </w:rPr>
        <w:t xml:space="preserve">社保缴纳证明签公章（如有授权）；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如有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15.17供应商参加政府采购活动前三年内在经营活动中没有重大违法记录的书面声明函（格式自拟）；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如有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所有货物的供货、辅助材料、人工及五险一金、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w:t>
      </w:r>
      <w:r>
        <w:rPr>
          <w:rFonts w:hint="eastAsia" w:ascii="宋体" w:hAnsi="宋体" w:eastAsia="宋体" w:cs="宋体"/>
          <w:sz w:val="24"/>
          <w:szCs w:val="24"/>
          <w:highlight w:val="none"/>
          <w:lang w:val="en-US" w:eastAsia="zh-CN"/>
        </w:rPr>
        <w:t xml:space="preserve">投标（响应）</w:t>
      </w:r>
      <w:r>
        <w:rPr>
          <w:rFonts w:hint="eastAsia" w:ascii="宋体" w:hAnsi="宋体" w:eastAsia="宋体" w:cs="宋体"/>
          <w:sz w:val="24"/>
          <w:szCs w:val="24"/>
          <w:highlight w:val="none"/>
        </w:rPr>
        <w:t xml:space="preserve">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3）投标文件载明的招标项目完成期限不满足招标文件规定；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30.1.3供应商的报价均超过了采购预算或者最高限价的，采购人不能支付的；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w:t>
      </w:r>
      <w:r>
        <w:rPr>
          <w:rFonts w:hint="eastAsia" w:ascii="宋体" w:hAnsi="宋体" w:eastAsia="宋体" w:cs="宋体"/>
          <w:sz w:val="24"/>
          <w:szCs w:val="24"/>
          <w:highlight w:val="none"/>
          <w:u w:val="none"/>
        </w:rPr>
        <w:t xml:space="preserve">电子邮件</w:t>
      </w:r>
      <w:r>
        <w:rPr>
          <w:rFonts w:hint="eastAsia" w:ascii="宋体" w:hAnsi="宋体" w:eastAsia="宋体" w:cs="宋体"/>
          <w:sz w:val="24"/>
          <w:szCs w:val="24"/>
          <w:highlight w:val="none"/>
        </w:rPr>
        <w:t xml:space="preserve">，接收方式以供应商投标文件中《投标书》所列</w:t>
      </w:r>
      <w:r>
        <w:rPr>
          <w:rFonts w:hint="eastAsia" w:ascii="宋体" w:hAnsi="宋体" w:eastAsia="宋体" w:cs="宋体"/>
          <w:sz w:val="24"/>
          <w:szCs w:val="24"/>
          <w:highlight w:val="none"/>
          <w:u w:val="none"/>
        </w:rPr>
        <w:t xml:space="preserve">电子邮件</w:t>
      </w:r>
      <w:r>
        <w:rPr>
          <w:rFonts w:hint="eastAsia" w:ascii="宋体" w:hAnsi="宋体" w:eastAsia="宋体" w:cs="宋体"/>
          <w:sz w:val="24"/>
          <w:szCs w:val="24"/>
          <w:highlight w:val="none"/>
        </w:rPr>
        <w:t xml:space="preserve">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，并保留诉讼的权利。</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其中，供应商提供的货物既有中小企业制造货物，也有大型企业制造货物的，不享受中小企业扶持政策，视为非实质性响应招标文件。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，应提交《残疾人福利性单位声明函》，并对声明的真实性负责，</w:t>
      </w:r>
      <w:r>
        <w:rPr>
          <w:rFonts w:ascii="宋体" w:hAnsi="宋体" w:cs="宋体"/>
          <w:color w:val="000000"/>
          <w:sz w:val="24"/>
          <w:highlight w:val="none"/>
        </w:rPr>
        <w:t xml:space="preserve">未提交则视为</w:t>
      </w:r>
      <w:r>
        <w:rPr>
          <w:rFonts w:ascii="宋体" w:hAnsi="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rPr>
          <w:rFonts w:ascii="宋体" w:hAnsi="宋体" w:cs="宋体"/>
          <w:color w:val="000000"/>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未提交则视为</w:t>
      </w:r>
      <w:r>
        <w:rPr>
          <w:rFonts w:hint="eastAsia" w:ascii="宋体" w:hAnsi="宋体" w:eastAsia="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通过“信用中国”及“中国政府采购网”上的信用信息查询供应商的信用记录。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rPr>
        <w:t xml:space="preserve">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86"/>
        <w:ind w:firstLine="482"/>
        <w:spacing w:before="0" w:beforeAutospacing="0" w:after="0" w:afterAutospacing="0" w:line="360" w:lineRule="auto"/>
        <w:rPr>
          <w:rFonts w:hint="eastAsia" w:ascii="宋体" w:hAnsi="宋体" w:eastAsia="宋体" w:cs="宋体"/>
          <w:szCs w:val="24"/>
          <w:highlight w:val="none"/>
        </w:rPr>
      </w:pPr>
      <w:r>
        <w:rPr>
          <w:rStyle w:val="791"/>
          <w:rFonts w:hint="eastAsia" w:ascii="宋体" w:hAnsi="宋体" w:eastAsia="宋体" w:cs="宋体"/>
          <w:szCs w:val="24"/>
          <w:highlight w:val="none"/>
          <w:shd w:val="clear" w:color="auto" w:fill="ffffff"/>
        </w:rPr>
        <w:t xml:space="preserve">一、本国产品标准</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（一）在中国境内生产</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1.为确保产品在运输或者储存期间保持某种状态而进行的操作；</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2.为产品运输或者销售进行的包装或者展示；</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3.在产品或者其包装上粘贴或者印刷品牌、标志、标识以及其他用于区别的标记；</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4.简单的上漆、磨光和分装；</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5.其他不属于属性改变的情形。</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（二）在中国境内生产的组件成本占比达到规定比例</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86"/>
        <w:jc w:val="center"/>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8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（三）特定产品的关键组件、关键工序符合相关要求</w:t>
      </w:r>
      <w:r/>
    </w:p>
    <w:p>
      <w:pPr>
        <w:pStyle w:val="786"/>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86"/>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86"/>
        <w:jc w:val="center"/>
        <w:spacing w:before="20" w:beforeAutospacing="0" w:after="20" w:afterAutospacing="0" w:line="320" w:lineRule="atLeast"/>
        <w:rPr>
          <w:rFonts w:hint="eastAsia" w:ascii="宋体" w:hAnsi="宋体" w:eastAsia="宋体" w:cs="宋体"/>
          <w:sz w:val="16"/>
          <w:szCs w:val="16"/>
          <w:highlight w:val="none"/>
        </w:rPr>
      </w:pPr>
      <w:r>
        <w:rPr>
          <w:rStyle w:val="791"/>
          <w:rFonts w:hint="eastAsia" w:ascii="宋体" w:hAnsi="宋体" w:eastAsia="宋体" w:cs="宋体"/>
          <w:szCs w:val="24"/>
          <w:highlight w:val="none"/>
          <w:shd w:val="clear" w:color="auto" w:fill="ffffff"/>
        </w:rPr>
        <w:t xml:space="preserve">中国境内生产的组件成本核算基本规则</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1.产品的一级组件是指直接组成产品的组件。产品的二级组件是指直接组成产品一级组件的组件。一级组件不可分解的，视同二级组件。</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2.二级组件在中国境内生产的，其全部成本计入中国境内生产的组件成本；二级组件不在中国境内生产的，其成本不计入中国境内生产的组件成本。</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3.产品总成本和组件成本以相关会计核算数据、采购合同、进货记录等为基础进行计算。</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4.需要对成本核算规则予以进一步明确的其他有关事项，由财政部会同有关部门另行规定。</w:t>
      </w:r>
      <w:r/>
    </w:p>
    <w:p>
      <w:pPr>
        <w:pStyle w:val="786"/>
        <w:ind w:firstLine="482"/>
        <w:spacing w:before="0" w:beforeAutospacing="0" w:after="0" w:afterAutospacing="0" w:line="360" w:lineRule="auto"/>
        <w:rPr>
          <w:rFonts w:hint="eastAsia" w:ascii="宋体" w:hAnsi="宋体" w:eastAsia="宋体" w:cs="宋体"/>
          <w:szCs w:val="24"/>
          <w:highlight w:val="none"/>
        </w:rPr>
      </w:pPr>
      <w:r>
        <w:rPr>
          <w:rStyle w:val="791"/>
          <w:rFonts w:hint="eastAsia" w:ascii="宋体" w:hAnsi="宋体" w:eastAsia="宋体" w:cs="宋体"/>
          <w:szCs w:val="24"/>
          <w:highlight w:val="none"/>
          <w:shd w:val="clear" w:color="auto" w:fill="ffffff"/>
        </w:rPr>
        <w:t xml:space="preserve">二、本国产品标准的适用范围</w:t>
      </w:r>
      <w:r/>
    </w:p>
    <w:p>
      <w:pPr>
        <w:pStyle w:val="78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6"/>
        <w:ind w:firstLine="482"/>
        <w:spacing w:before="0" w:beforeAutospacing="0" w:after="0" w:afterAutospacing="0" w:line="360" w:lineRule="auto"/>
        <w:rPr>
          <w:rFonts w:hint="eastAsia" w:ascii="宋体" w:hAnsi="宋体" w:eastAsia="宋体" w:cs="宋体"/>
          <w:szCs w:val="24"/>
          <w:highlight w:val="none"/>
        </w:rPr>
      </w:pPr>
      <w:r>
        <w:rPr>
          <w:rStyle w:val="791"/>
          <w:rFonts w:hint="eastAsia" w:ascii="宋体" w:hAnsi="宋体" w:eastAsia="宋体" w:cs="宋体"/>
          <w:szCs w:val="24"/>
          <w:highlight w:val="none"/>
          <w:shd w:val="clear" w:color="auto" w:fill="ffffff"/>
        </w:rPr>
        <w:t xml:space="preserve">三、对本国产品的支持政策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69"/>
        <w:ind w:left="0"/>
        <w:rPr>
          <w:rFonts w:hint="eastAsia"/>
          <w:highlight w:val="none"/>
        </w:rPr>
      </w:pPr>
      <w:r>
        <w:rPr>
          <w:rFonts w:hint="eastAsia"/>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及五险一金、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       </w:t>
      </w:r>
      <w:r>
        <w:rPr>
          <w:rFonts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480"/>
        <w:spacing w:line="40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9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781"/>
        <w:gridCol w:w="895"/>
        <w:gridCol w:w="1830"/>
        <w:gridCol w:w="819"/>
        <w:gridCol w:w="958"/>
        <w:gridCol w:w="755"/>
        <w:gridCol w:w="882"/>
        <w:gridCol w:w="820"/>
        <w:gridCol w:w="884"/>
      </w:tblGrid>
      <w:tr>
        <w:trPr>
          <w:trHeight w:val="454"/>
        </w:trPr>
        <w:tc>
          <w:tcPr>
            <w:tcMar>
              <w:left w:w="108" w:type="dxa"/>
              <w:top w:w="0" w:type="dxa"/>
              <w:right w:w="108" w:type="dxa"/>
              <w:bottom w:w="0" w:type="dxa"/>
            </w:tcMar>
            <w:tcW w:w="35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2"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w:t>
      </w:r>
      <w:r>
        <w:rPr>
          <w:rFonts w:hint="eastAsia" w:ascii="宋体" w:hAnsi="宋体" w:cs="宋体"/>
          <w:sz w:val="24"/>
          <w:szCs w:val="24"/>
          <w:highlight w:val="none"/>
          <w:lang w:val="en-US" w:eastAsia="zh-CN"/>
        </w:rPr>
        <w:t xml:space="preserve">按照招标文件要求</w:t>
      </w:r>
      <w:r>
        <w:rPr>
          <w:rFonts w:hint="eastAsia" w:ascii="宋体" w:hAnsi="宋体" w:cs="宋体"/>
          <w:sz w:val="24"/>
          <w:szCs w:val="24"/>
          <w:highlight w:val="none"/>
        </w:rPr>
        <w:t xml:space="preserve">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9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0"/>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hint="eastAsia"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 （招标编号）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65"/>
              <w:ind w:firstLine="96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83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vAlign w:val="center"/>
            <w:textDirection w:val="lrTb"/>
            <w:noWrap w:val="false"/>
          </w:tcPr>
          <w:p>
            <w:pPr>
              <w:pStyle w:val="765"/>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65"/>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65"/>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65"/>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65"/>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65"/>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65"/>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65"/>
              <w:ind w:firstLine="0"/>
              <w:jc w:val="center"/>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714"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65"/>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65"/>
              <w:ind w:firstLine="0"/>
              <w:rPr>
                <w:rFonts w:hint="eastAsia"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1441"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65"/>
              <w:ind w:firstLine="0"/>
              <w:rPr>
                <w:rFonts w:hint="eastAsia" w:ascii="宋体" w:hAnsi="宋体" w:eastAsia="宋体" w:cs="宋体"/>
                <w:highlight w:val="none"/>
              </w:rPr>
            </w:pPr>
            <w:r>
              <w:rPr>
                <w:rFonts w:hint="eastAsia"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65"/>
        <w:ind w:firstLine="0"/>
        <w:spacing w:after="312"/>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甲方（业主）</w:t>
            </w:r>
            <w:r>
              <w:rPr>
                <w:rFonts w:hint="eastAsia" w:ascii="宋体" w:hAnsi="宋体" w:eastAsia="宋体" w:cs="宋体"/>
                <w:sz w:val="24"/>
                <w:szCs w:val="24"/>
                <w:highlight w:val="none"/>
              </w:rPr>
              <w:t xml:space="preserve">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r>
      <w:r/>
    </w:p>
    <w:p>
      <w:pPr>
        <w:jc w:val="center"/>
        <w:spacing w:line="85"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 工业 </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 ，属于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 （采购单位） </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86"/>
        <w:ind w:firstLine="420"/>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8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93"/>
          <w:rFonts w:hint="eastAsia" w:ascii="宋体" w:hAnsi="宋体" w:eastAsia="宋体" w:cs="宋体"/>
          <w:i w:val="0"/>
          <w:szCs w:val="24"/>
          <w:highlight w:val="none"/>
          <w:u w:val="single"/>
          <w:shd w:val="clear" w:color="auto" w:fill="ffffff"/>
        </w:rPr>
        <w:t xml:space="preserve">（产品名称1）</w:t>
      </w:r>
      <w:r>
        <w:rPr>
          <w:rStyle w:val="793"/>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93"/>
          <w:rFonts w:hint="eastAsia" w:ascii="宋体" w:hAnsi="宋体" w:eastAsia="宋体" w:cs="宋体"/>
          <w:i w:val="0"/>
          <w:szCs w:val="24"/>
          <w:highlight w:val="none"/>
          <w:u w:val="single"/>
          <w:shd w:val="clear" w:color="auto" w:fill="ffffff"/>
        </w:rPr>
        <w:t xml:space="preserve">（厂名）</w:t>
      </w:r>
      <w:r>
        <w:rPr>
          <w:rStyle w:val="793"/>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93"/>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93"/>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93"/>
          <w:rFonts w:hint="eastAsia" w:ascii="宋体" w:hAnsi="宋体" w:eastAsia="宋体" w:cs="宋体"/>
          <w:i w:val="0"/>
          <w:szCs w:val="24"/>
          <w:highlight w:val="none"/>
          <w:u w:val="single"/>
          <w:shd w:val="clear" w:color="auto" w:fill="ffffff"/>
        </w:rPr>
        <w:t xml:space="preserve">（规定比例）</w:t>
      </w:r>
      <w:r>
        <w:rPr>
          <w:rStyle w:val="793"/>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93"/>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93"/>
          <w:rFonts w:hint="eastAsia" w:ascii="宋体" w:hAnsi="宋体" w:eastAsia="宋体" w:cs="宋体"/>
          <w:i w:val="0"/>
          <w:szCs w:val="24"/>
          <w:highlight w:val="none"/>
          <w:u w:val="single"/>
          <w:shd w:val="clear" w:color="auto" w:fill="ffffff"/>
        </w:rPr>
        <w:t xml:space="preserve">（关键组件）</w:t>
      </w:r>
      <w:r>
        <w:rPr>
          <w:rStyle w:val="793"/>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93"/>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93"/>
          <w:rFonts w:hint="eastAsia" w:ascii="宋体" w:hAnsi="宋体" w:eastAsia="宋体" w:cs="宋体"/>
          <w:i w:val="0"/>
          <w:szCs w:val="24"/>
          <w:highlight w:val="none"/>
          <w:u w:val="single"/>
          <w:shd w:val="clear" w:color="auto" w:fill="ffffff"/>
        </w:rPr>
        <w:t xml:space="preserve">（关键工序）</w:t>
      </w:r>
      <w:r>
        <w:rPr>
          <w:rStyle w:val="793"/>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8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9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93"/>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93"/>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9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93"/>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9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93"/>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9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93"/>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8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8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86"/>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786"/>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p>
    <w:p>
      <w:pPr>
        <w:pStyle w:val="786"/>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86"/>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8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8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8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86"/>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86"/>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受</w:t>
      </w:r>
      <w:r>
        <w:rPr>
          <w:rFonts w:hint="eastAsia" w:ascii="宋体" w:hAnsi="宋体" w:eastAsia="宋体" w:cs="宋体"/>
          <w:sz w:val="24"/>
          <w:highlight w:val="none"/>
        </w:rPr>
        <w:t xml:space="preserve">苏州市吴江区同里镇人民政府</w:t>
      </w:r>
      <w:r>
        <w:rPr>
          <w:rFonts w:ascii="宋体" w:hAnsi="宋体" w:eastAsia="宋体" w:cs="宋体"/>
          <w:sz w:val="24"/>
          <w:highlight w:val="none"/>
        </w:rPr>
        <w:t xml:space="preserve">的委托，</w:t>
      </w:r>
      <w:r>
        <w:rPr>
          <w:rFonts w:hint="eastAsia" w:ascii="宋体" w:hAnsi="宋体" w:eastAsia="宋体" w:cs="宋体"/>
          <w:sz w:val="24"/>
          <w:highlight w:val="none"/>
        </w:rPr>
        <w:t xml:space="preserve">江苏海外集团国际工程咨询有限公司</w:t>
      </w:r>
      <w:r>
        <w:rPr>
          <w:rFonts w:ascii="宋体" w:hAnsi="宋体" w:eastAsia="宋体" w:cs="宋体"/>
          <w:sz w:val="24"/>
          <w:highlight w:val="none"/>
        </w:rPr>
        <w:t xml:space="preserve">作为</w:t>
      </w:r>
      <w:r>
        <w:rPr>
          <w:rFonts w:hint="eastAsia" w:ascii="宋体" w:hAnsi="宋体" w:eastAsia="宋体" w:cs="宋体"/>
          <w:sz w:val="24"/>
          <w:highlight w:val="none"/>
        </w:rPr>
        <w:t xml:space="preserve">采购代理机构</w:t>
      </w:r>
      <w:r>
        <w:rPr>
          <w:rFonts w:hint="eastAsia" w:ascii="宋体" w:hAnsi="宋体" w:eastAsia="宋体" w:cs="宋体"/>
          <w:sz w:val="24"/>
          <w:szCs w:val="24"/>
          <w:highlight w:val="none"/>
        </w:rPr>
        <w:t xml:space="preserve">，就其同里镇安息堂骨灰盒存放架采购项目进行国内公开招标。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一、采购内容</w:t>
      </w:r>
      <w:r/>
    </w:p>
    <w:p>
      <w:pPr>
        <w:pStyle w:val="806"/>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1.技术参数</w:t>
      </w:r>
      <w:r/>
    </w:p>
    <w:tbl>
      <w:tblPr>
        <w:tblStyle w:val="7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319"/>
        <w:gridCol w:w="6054"/>
        <w:gridCol w:w="1219"/>
      </w:tblGrid>
      <w:tr>
        <w:trPr/>
        <w:tc>
          <w:tcPr>
            <w:tcW w:w="373"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10"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3259"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详细技术参数</w:t>
            </w:r>
            <w:r/>
          </w:p>
        </w:tc>
        <w:tc>
          <w:tcPr>
            <w:tcW w:w="656"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骨灰存放架单穴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宽430mm*深420mm*高306mm；内径宽400mm*深400mm*高280mm。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.箱体承重板：铝合金中空板，整厚12mm（±2mm），板材厚度≥1.0mm，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1728门</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骨灰存放架双穴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宽760mm*深420mm*高306mm；内径宽730mm*深400mm*高280mm。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箱体承重板：铝合金中空板，</w:t>
            </w:r>
            <w:r>
              <w:rPr>
                <w:rFonts w:hint="eastAsia" w:ascii="宋体" w:hAnsi="宋体" w:eastAsia="宋体" w:cs="宋体"/>
                <w:bCs/>
                <w:sz w:val="24"/>
                <w:szCs w:val="24"/>
                <w:highlight w:val="none"/>
              </w:rPr>
              <w:t xml:space="preserve">整厚12mm</w:t>
            </w:r>
            <w:r>
              <w:rPr>
                <w:rFonts w:hint="eastAsia" w:ascii="宋体" w:hAnsi="宋体" w:eastAsia="宋体" w:cs="宋体"/>
                <w:sz w:val="24"/>
                <w:szCs w:val="24"/>
                <w:highlight w:val="none"/>
              </w:rPr>
              <w:t xml:space="preserve">（±2mm）</w:t>
            </w:r>
            <w:r>
              <w:rPr>
                <w:rFonts w:hint="eastAsia" w:ascii="宋体" w:hAnsi="宋体" w:eastAsia="宋体" w:cs="宋体"/>
                <w:bCs/>
                <w:sz w:val="24"/>
                <w:szCs w:val="24"/>
                <w:highlight w:val="none"/>
              </w:rPr>
              <w:t xml:space="preserve">，板材厚度≥1.0mm，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10350门</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骨灰存放架三穴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宽1100mm*深420mm*高306mm；内径宽1070mm*深400mm*高280mm。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箱体承重板：铝合金中空板，</w:t>
            </w:r>
            <w:r>
              <w:rPr>
                <w:rFonts w:hint="eastAsia" w:ascii="宋体" w:hAnsi="宋体" w:eastAsia="宋体" w:cs="宋体"/>
                <w:bCs/>
                <w:sz w:val="24"/>
                <w:szCs w:val="24"/>
                <w:highlight w:val="none"/>
              </w:rPr>
              <w:t xml:space="preserve">整厚12mm</w:t>
            </w:r>
            <w:r>
              <w:rPr>
                <w:rFonts w:hint="eastAsia" w:ascii="宋体" w:hAnsi="宋体" w:eastAsia="宋体" w:cs="宋体"/>
                <w:sz w:val="24"/>
                <w:szCs w:val="24"/>
                <w:highlight w:val="none"/>
              </w:rPr>
              <w:t xml:space="preserve">（±2mm）</w:t>
            </w:r>
            <w:r>
              <w:rPr>
                <w:rFonts w:hint="eastAsia" w:ascii="宋体" w:hAnsi="宋体" w:eastAsia="宋体" w:cs="宋体"/>
                <w:bCs/>
                <w:sz w:val="24"/>
                <w:szCs w:val="24"/>
                <w:highlight w:val="none"/>
              </w:rPr>
              <w:t xml:space="preserve">，板材厚度≥1.0mm，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99门</w:t>
            </w:r>
            <w:r/>
          </w:p>
        </w:tc>
      </w:tr>
    </w:tbl>
    <w:p>
      <w:pPr>
        <w:ind w:firstLine="482"/>
        <w:spacing w:before="18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注：1.本项目核心产品为：骨灰存放架单穴、骨灰存放架双穴；</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本项目</w:t>
      </w:r>
      <w:r>
        <w:rPr>
          <w:rFonts w:hint="eastAsia" w:ascii="宋体" w:hAnsi="宋体" w:eastAsia="宋体" w:cs="宋体"/>
          <w:b/>
          <w:sz w:val="24"/>
          <w:szCs w:val="24"/>
          <w:highlight w:val="none"/>
        </w:rPr>
        <w:t xml:space="preserve">实际采购数量</w:t>
      </w:r>
      <w:r>
        <w:rPr>
          <w:rFonts w:hint="eastAsia" w:ascii="宋体" w:hAnsi="宋体" w:eastAsia="宋体" w:cs="宋体"/>
          <w:b/>
          <w:sz w:val="24"/>
          <w:szCs w:val="24"/>
          <w:highlight w:val="none"/>
          <w:lang w:val="en-US" w:eastAsia="zh-CN"/>
        </w:rPr>
        <w:t xml:space="preserve">和实际尺寸</w:t>
      </w:r>
      <w:r>
        <w:rPr>
          <w:rFonts w:hint="eastAsia" w:ascii="宋体" w:hAnsi="宋体" w:eastAsia="宋体" w:cs="宋体"/>
          <w:b/>
          <w:sz w:val="24"/>
          <w:szCs w:val="24"/>
          <w:highlight w:val="none"/>
        </w:rPr>
        <w:t xml:space="preserve">以现场结构深化设计布局为准</w:t>
      </w:r>
      <w:r>
        <w:rPr>
          <w:rFonts w:hint="eastAsia" w:ascii="宋体" w:hAnsi="宋体" w:eastAsia="宋体" w:cs="宋体"/>
          <w:b/>
          <w:sz w:val="24"/>
          <w:szCs w:val="24"/>
          <w:highlight w:val="none"/>
          <w:lang w:eastAsia="zh-CN"/>
        </w:rPr>
        <w:t xml:space="preserve">。</w:t>
      </w:r>
      <w:r/>
    </w:p>
    <w:p>
      <w:pPr>
        <w:ind w:firstLine="482"/>
        <w:spacing w:before="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二、售后服务要求</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本项目免费质保期不少于2年，自项目全面验收合格之日起计算。</w:t>
      </w:r>
      <w:r>
        <w:rPr>
          <w:rFonts w:hint="eastAsia" w:ascii="宋体" w:hAnsi="宋体" w:eastAsia="宋体" w:cs="宋体"/>
          <w:sz w:val="24"/>
          <w:szCs w:val="24"/>
          <w:highlight w:val="none"/>
        </w:rPr>
        <w:t xml:space="preserve">免费质保期内，若非人为原因出现质量问题，中标单位负责无条件维修或更换。招标人报修后，中标单位须在24小时内响应，</w:t>
      </w:r>
      <w:r>
        <w:rPr>
          <w:rFonts w:hint="eastAsia" w:ascii="宋体" w:hAnsi="宋体" w:eastAsia="宋体" w:cs="宋体"/>
          <w:sz w:val="24"/>
          <w:szCs w:val="24"/>
          <w:highlight w:val="none"/>
          <w:lang w:val="en-US" w:eastAsia="zh-CN"/>
        </w:rPr>
        <w:t xml:space="preserve">响应后</w:t>
      </w:r>
      <w:r>
        <w:rPr>
          <w:rFonts w:hint="eastAsia" w:ascii="宋体" w:hAnsi="宋体" w:eastAsia="宋体" w:cs="宋体"/>
          <w:sz w:val="24"/>
          <w:szCs w:val="24"/>
          <w:highlight w:val="none"/>
        </w:rPr>
        <w:t xml:space="preserve">2小时内到达现场，8小时内完成维修；如需更换或送修，须在2个工作日内解决完毕。</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三、综合说明：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1.供应商所投产品应能够至少达到以上技术参数要求，同时必须明确所投产品的品牌、规格及一些必须说明的技术参数等，否则将可能导致其投标文件被评标委员会拒绝。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2.供应商必须响应招标文件中提出的全部技术规格与要求，如果其中某些条款不响应时，应在文件中逐条列出，未列出的视同响应。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3.投标总报价一次报定，包括所有货物的供货、辅助材料、人工及五险一金、运输、检验、送货、保险、装卸、仓储、代理服务费、保管、各种税费及其他伴随服务等一切必须费用。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4.供应商</w:t>
      </w:r>
      <w:r>
        <w:rPr>
          <w:rFonts w:ascii="宋体" w:hAnsi="宋体" w:eastAsia="宋体" w:cs="宋体"/>
          <w:sz w:val="24"/>
          <w:highlight w:val="none"/>
        </w:rPr>
        <w:t xml:space="preserve">为本项目配备的所有人员在项目服务期内出现的工伤</w:t>
      </w:r>
      <w:r>
        <w:rPr>
          <w:rFonts w:hint="eastAsia" w:ascii="宋体" w:hAnsi="宋体" w:eastAsia="宋体" w:cs="宋体"/>
          <w:sz w:val="24"/>
          <w:highlight w:val="none"/>
        </w:rPr>
        <w:t xml:space="preserve">、人身损害、财物损失</w:t>
      </w:r>
      <w:r>
        <w:rPr>
          <w:rFonts w:ascii="宋体" w:hAnsi="宋体" w:eastAsia="宋体" w:cs="宋体"/>
          <w:sz w:val="24"/>
          <w:highlight w:val="none"/>
        </w:rPr>
        <w:t xml:space="preserve">及其他意外事故，均由</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自行负责，采购人不承担任何责任。</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交货期限：</w:t>
      </w:r>
      <w:r>
        <w:rPr>
          <w:rFonts w:hint="eastAsia" w:ascii="宋体" w:hAnsi="宋体" w:eastAsia="宋体" w:cs="宋体"/>
          <w:sz w:val="24"/>
          <w:highlight w:val="none"/>
        </w:rPr>
        <w:t xml:space="preserve">在甲方通知进场30天内完成供货、安装、调试、交付及验收等。</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凡涉及招标文件的补充说明和修改，均以苏州</w:t>
      </w:r>
      <w:r>
        <w:rPr>
          <w:rFonts w:hint="eastAsia" w:ascii="宋体" w:hAnsi="宋体" w:eastAsia="宋体" w:cs="宋体"/>
          <w:sz w:val="24"/>
          <w:highlight w:val="none"/>
          <w:lang w:val="en-US" w:eastAsia="zh-CN"/>
        </w:rPr>
        <w:t xml:space="preserve">市</w:t>
      </w:r>
      <w:r>
        <w:rPr>
          <w:rFonts w:ascii="宋体" w:hAnsi="宋体" w:eastAsia="宋体" w:cs="宋体"/>
          <w:sz w:val="24"/>
          <w:highlight w:val="none"/>
        </w:rPr>
        <w:t xml:space="preserve">政府采购网发布通知为准。</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 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政府采购合同书</w:t>
      </w:r>
      <w:r/>
    </w:p>
    <w:p>
      <w:pPr>
        <w:ind w:firstLine="480"/>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甲方：苏州市吴江区同里镇人民政府</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根据《中华人民共和国民法典》等相关法律法规的规定，甲乙双方就此次成交的【同里镇安息堂骨灰盒存放架采购项目】项目（以下简称“本项目”）购销事宜，签订本合同书，以兹共同遵守。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（4）投标文件；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hint="eastAsia" w:ascii="宋体" w:hAnsi="宋体" w:eastAsia="宋体" w:cs="宋体"/>
          <w:sz w:val="24"/>
          <w:highlight w:val="none"/>
        </w:rPr>
        <w:t xml:space="preserve">在甲方通知进场30天内完成供货、安装、调试、交付及验收等。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（三）交付地点：甲方指定地点。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2  </w:t>
      </w:r>
      <w:r>
        <w:rPr>
          <w:rFonts w:ascii="宋体" w:hAnsi="宋体" w:eastAsia="宋体" w:cs="宋体"/>
          <w:sz w:val="24"/>
          <w:highlight w:val="none"/>
        </w:rPr>
        <w:t xml:space="preserve">】年，自货物经甲方验收通过之日起开始计算</w:t>
      </w:r>
      <w:r>
        <w:rPr>
          <w:rFonts w:hint="eastAsia" w:ascii="宋体" w:hAnsi="宋体" w:eastAsia="宋体" w:cs="宋体"/>
          <w:sz w:val="24"/>
          <w:highlight w:val="none"/>
        </w:rPr>
        <w:t xml:space="preserve">，分批送货及安装的，以最后一批货物验收之日起起算质保期期限</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u w:val="single"/>
        </w:rPr>
        <w:t xml:space="preserve">（¥</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包括所有货物的供货、辅助材料、人工及五险一金、运输、检验、送货、保险、装卸、仓储、代理服务费、保管、各种税费及其他伴随服务等一切必须费用。</w:t>
      </w:r>
      <w:r>
        <w:rPr>
          <w:rFonts w:ascii="宋体" w:hAnsi="宋体" w:eastAsia="宋体" w:cs="宋体"/>
          <w:sz w:val="24"/>
          <w:highlight w:val="none"/>
        </w:rPr>
        <w:t xml:space="preserve">除非本合同另有约定或经甲乙双方协商同意，乙方不得再要求追加任何其他费用。同时，除本合同另有约定外，本合同价格在实施期间不因市场变化因素而变动。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（二）合同价款的支付及付款方式：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合同签订后，货物全部经正确安装、调试</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交付及</w:t>
      </w:r>
      <w:r>
        <w:rPr>
          <w:rFonts w:hint="eastAsia" w:ascii="宋体" w:hAnsi="宋体" w:eastAsia="宋体" w:cs="宋体"/>
          <w:sz w:val="24"/>
          <w:szCs w:val="24"/>
          <w:highlight w:val="none"/>
        </w:rPr>
        <w:t xml:space="preserve">并验收，通过甲方验收合格并书面确认后60日内，甲方支付合同总金额的70%。剩余30%的合同金额根据成交单位的质保期（n年），每年支付合同金额的30%/n（</w:t>
      </w:r>
      <w:r>
        <w:rPr>
          <w:rFonts w:hint="eastAsia" w:ascii="宋体" w:hAnsi="宋体" w:eastAsia="宋体" w:cs="宋体"/>
          <w:sz w:val="24"/>
          <w:szCs w:val="24"/>
          <w:highlight w:val="none"/>
          <w:lang w:val="en-US" w:eastAsia="zh-CN"/>
        </w:rPr>
        <w:t xml:space="preserve">本条款所称</w:t>
      </w:r>
      <w:r>
        <w:rPr>
          <w:rFonts w:hint="eastAsia" w:ascii="宋体" w:hAnsi="宋体" w:eastAsia="宋体" w:cs="宋体"/>
          <w:sz w:val="24"/>
          <w:szCs w:val="24"/>
          <w:highlight w:val="none"/>
        </w:rPr>
        <w:t xml:space="preserve">n年指的是成交单位在响应文件中承诺的质保期年数，如承诺质保期2年，则n=2）。</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2.乙方提请甲方付款前，应提供以下资料：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（1）合法有效且符合甲方要求的发票；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（2）随货物附带的所有有关资料（如质量保证书等）；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（3）由甲乙双方及采购代理机构签章的《政府采购合同履行验收报告》（《政府采购合同履行验收报告》于本项目经甲</w:t>
      </w:r>
      <w:r>
        <w:rPr>
          <w:rFonts w:ascii="宋体" w:hAnsi="宋体" w:eastAsia="宋体" w:cs="宋体"/>
          <w:sz w:val="24"/>
          <w:highlight w:val="none"/>
        </w:rPr>
        <w:t xml:space="preserve">方验收后提供）。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若乙方未按要求提供上述资料的，甲方有权迟延付款，且不承担逾期付款的违约责任。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付款方式：银行转账或数字人民币转账。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（1）乙方数字人民币账户信息如下：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账户名：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数字人民币账号（数币钱包ID）：</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（2）乙方银行转账账户信息如下：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开户银行：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银行账号：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根据现行税法对甲方征收的与本合同有关的一切税费均由甲方承担；根据现行税法对乙方征收的与本合同有关的一切税费均由乙方承担。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四、质量保证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（一）乙方应保证其向甲方提供的货物是全新的、未使用过的，并且不是长期积压的库存商品，完全符合合同规定的质量、规格</w:t>
      </w:r>
      <w:r>
        <w:rPr>
          <w:rFonts w:hint="eastAsia" w:ascii="宋体" w:hAnsi="宋体" w:eastAsia="宋体" w:cs="宋体"/>
          <w:sz w:val="24"/>
          <w:highlight w:val="none"/>
        </w:rPr>
        <w:t xml:space="preserve">、品牌</w:t>
      </w:r>
      <w:r>
        <w:rPr>
          <w:rFonts w:ascii="宋体" w:hAnsi="宋体" w:eastAsia="宋体" w:cs="宋体"/>
          <w:sz w:val="24"/>
          <w:highlight w:val="none"/>
        </w:rPr>
        <w:t xml:space="preserve">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（二）乙方应按照本合同约定的质量标准提供合格的货物，如未约定质量标准的，应按照强制性国家标准履行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没有强制性国家标准的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按照推荐性国家标准履行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没有推荐性国家标准的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按照行业标准履行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没有国家标准、行业标准的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按照通常标准或者符合合同</w:t>
      </w:r>
      <w:r>
        <w:rPr>
          <w:rFonts w:hint="eastAsia" w:ascii="宋体" w:hAnsi="宋体" w:eastAsia="宋体" w:cs="宋体"/>
          <w:sz w:val="24"/>
          <w:highlight w:val="none"/>
        </w:rPr>
        <w:t xml:space="preserve">及甲方</w:t>
      </w:r>
      <w:r>
        <w:rPr>
          <w:rFonts w:ascii="宋体" w:hAnsi="宋体" w:eastAsia="宋体" w:cs="宋体"/>
          <w:sz w:val="24"/>
          <w:highlight w:val="none"/>
        </w:rPr>
        <w:t xml:space="preserve">目的的特定标准履行。同时存在不同标准的，以最高标准为准。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（三）根据甲方按本合同约定的检验标准检验的结果或具有法定检验资质的第三方检验机构出具的检验结果，如果设备的数量、质量</w:t>
      </w:r>
      <w:r>
        <w:rPr>
          <w:rFonts w:hint="eastAsia" w:ascii="宋体" w:hAnsi="宋体" w:eastAsia="宋体" w:cs="宋体"/>
          <w:sz w:val="24"/>
          <w:highlight w:val="none"/>
        </w:rPr>
        <w:t xml:space="preserve">、品牌</w:t>
      </w:r>
      <w:r>
        <w:rPr>
          <w:rFonts w:ascii="宋体" w:hAnsi="宋体" w:eastAsia="宋体" w:cs="宋体"/>
          <w:sz w:val="24"/>
          <w:highlight w:val="none"/>
        </w:rPr>
        <w:t xml:space="preserve">或规格与本合同约定不符或证实设备是有缺陷的，包括潜在缺陷或使用不符合要求的材料等，甲方有权以书面形式通知乙方并提出</w:t>
      </w:r>
      <w:r>
        <w:rPr>
          <w:rFonts w:hint="eastAsia" w:ascii="宋体" w:hAnsi="宋体" w:eastAsia="宋体" w:cs="宋体"/>
          <w:sz w:val="24"/>
          <w:highlight w:val="none"/>
        </w:rPr>
        <w:t xml:space="preserve">更换、重修、返修、赔款等</w:t>
      </w:r>
      <w:r>
        <w:rPr>
          <w:rFonts w:ascii="宋体" w:hAnsi="宋体" w:eastAsia="宋体" w:cs="宋体"/>
          <w:sz w:val="24"/>
          <w:highlight w:val="none"/>
        </w:rPr>
        <w:t xml:space="preserve">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五、包装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（二）乙方应保证其提供的货物是原包装未拆封的商品，在交付甲方验收前不得拆箱。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六、标的物的交付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（一）本项目货物的所有权自货物由乙方交付甲方时转移。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（二）乙方应当按照本合同约定的期限和约定的地点交付货物。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（三）乙方应当按照本合同约定或者交易习惯向甲方交付提取货物单证以外的有关单证和资料。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（四）本合同中所称“交付”，除根据上下文明显指到货时的交货外，均指完成安装调试后的交付。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七、伴随服务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（一）乙方除应按照本合同约定及甲方的要求履行按期按量交付合格货物的义务外，还应当提供下列服务：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货物的现场安装、启动、调试、监督（如果必须安装、调试的话）；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提供货物组装和一般维修所必需的工具；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在本合同规定的期限内对所提供的货物实行运行监督、维修服务的前提条件是该服务并不能免除乙方在质量保证期内应承担的义务；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对甲方技术人员进行技术指导或培训服务。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（二）除本合同另有规定外，伴随服务的费用均已包含在本合同总价款中，甲方不再另行向乙方支付任何其他费用。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八、标的物的检验和验收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（一）交付本合同货物前，乙方应对货物的质量、规格、性能、数量、外观、随机备件备品、装箱单、随机资料、包装等进行详细而全面的检验，并出具一份检验合格证明，检验合格证明仅作为甲方</w:t>
      </w:r>
      <w:r>
        <w:rPr>
          <w:rFonts w:hint="eastAsia" w:ascii="宋体" w:hAnsi="宋体" w:eastAsia="宋体" w:cs="宋体"/>
          <w:sz w:val="24"/>
          <w:highlight w:val="none"/>
        </w:rPr>
        <w:t xml:space="preserve">初步</w:t>
      </w:r>
      <w:r>
        <w:rPr>
          <w:rFonts w:ascii="宋体" w:hAnsi="宋体" w:eastAsia="宋体" w:cs="宋体"/>
          <w:sz w:val="24"/>
          <w:highlight w:val="none"/>
        </w:rPr>
        <w:t xml:space="preserve">验收的依据，但不能作为本合同项下货物质量、规格、数量或性能的最终检验结果。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（三）验收标准：按照货物验收相关规定，结合</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、投标文件、本合同等项目文件约定内容对项目进行验收。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（四）甲方应自</w:t>
      </w:r>
      <w:r>
        <w:rPr>
          <w:rFonts w:hint="eastAsia" w:ascii="宋体" w:hAnsi="宋体" w:eastAsia="宋体" w:cs="宋体"/>
          <w:sz w:val="24"/>
          <w:highlight w:val="none"/>
        </w:rPr>
        <w:t xml:space="preserve">满足验收条件</w:t>
      </w:r>
      <w:r>
        <w:rPr>
          <w:rFonts w:ascii="宋体" w:hAnsi="宋体" w:eastAsia="宋体" w:cs="宋体"/>
          <w:sz w:val="24"/>
          <w:highlight w:val="none"/>
        </w:rPr>
        <w:t xml:space="preserve">后1个月内或项目实施完成后进行验收。特殊情况需延长的，由甲乙双方另行协商确定。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（五）如双方对验收结果有分歧，则以具有国家法定资质的第三方检验机构的检验结果为准。如检验合格，检验费由甲方承担，检验不合格，检验费由乙方承担。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hint="eastAsia" w:ascii="宋体" w:hAnsi="宋体" w:eastAsia="宋体" w:cs="宋体"/>
          <w:sz w:val="24"/>
          <w:highlight w:val="none"/>
        </w:rPr>
        <w:t xml:space="preserve">，更换后的货物质保期自验收通过后重新计算</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九、标的物提出异议的时间和办法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（二）如果甲方在验收期满后</w:t>
      </w:r>
      <w:r>
        <w:rPr>
          <w:rFonts w:hint="eastAsia" w:ascii="宋体" w:hAnsi="宋体" w:eastAsia="宋体" w:cs="宋体"/>
          <w:sz w:val="24"/>
          <w:highlight w:val="none"/>
        </w:rPr>
        <w:t xml:space="preserve">30</w:t>
      </w:r>
      <w:r>
        <w:rPr>
          <w:rFonts w:ascii="宋体" w:hAnsi="宋体" w:eastAsia="宋体" w:cs="宋体"/>
          <w:sz w:val="24"/>
          <w:highlight w:val="none"/>
        </w:rPr>
        <w:t xml:space="preserve">内既不出具验收合格证明又未提出书面异议的，乙方应当自验收期满后</w:t>
      </w:r>
      <w:r>
        <w:rPr>
          <w:rFonts w:hint="eastAsia" w:ascii="宋体" w:hAnsi="宋体" w:eastAsia="宋体" w:cs="宋体"/>
          <w:sz w:val="24"/>
          <w:highlight w:val="none"/>
        </w:rPr>
        <w:t xml:space="preserve">60</w:t>
      </w:r>
      <w:r>
        <w:rPr>
          <w:rFonts w:ascii="宋体" w:hAnsi="宋体" w:eastAsia="宋体" w:cs="宋体"/>
          <w:sz w:val="24"/>
          <w:highlight w:val="none"/>
        </w:rPr>
        <w:t xml:space="preserve">内对甲方进行催告，经乙方催告后甲方在</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日内仍未出具验收合格证明或提出书面异议的，视为验收合格。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十、售后服务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1.自项目全面验收合格之日起，整个项目免费质保期为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年，在免费质保期内出现质量问题（人为除外），乙方负责无条件维修或更换。甲方报修后，乙方在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小时内响应，</w:t>
      </w:r>
      <w:r>
        <w:rPr>
          <w:rFonts w:hint="eastAsia" w:ascii="宋体" w:hAnsi="宋体" w:eastAsia="宋体" w:cs="宋体"/>
          <w:sz w:val="24"/>
          <w:highlight w:val="none"/>
          <w:lang w:val="en-US" w:eastAsia="zh-CN"/>
        </w:rPr>
        <w:t xml:space="preserve">响应后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小时内到达现场，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小时内完成甲方提出的维修要求，如需更换或送修，必须在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十一、安全生产</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1.</w:t>
      </w:r>
      <w:r>
        <w:rPr>
          <w:rFonts w:ascii="宋体" w:hAnsi="宋体" w:eastAsia="宋体" w:cs="宋体"/>
          <w:sz w:val="24"/>
          <w:highlight w:val="none"/>
        </w:rPr>
        <w:t xml:space="preserve">在项目实施及质保期间，乙方应当配备必要的安全生产管理人员，负责强化项目实施人员安全教育和安全管理</w:t>
      </w:r>
      <w:r>
        <w:rPr>
          <w:rFonts w:hint="eastAsia" w:ascii="宋体" w:hAnsi="宋体" w:eastAsia="宋体" w:cs="宋体"/>
          <w:sz w:val="24"/>
          <w:highlight w:val="none"/>
        </w:rPr>
        <w:t xml:space="preserve">、安全培训</w:t>
      </w:r>
      <w:r>
        <w:rPr>
          <w:rFonts w:ascii="宋体" w:hAnsi="宋体" w:eastAsia="宋体" w:cs="宋体"/>
          <w:sz w:val="24"/>
          <w:highlight w:val="none"/>
        </w:rPr>
        <w:t xml:space="preserve">，如实施过程中存在人身安全风险的，乙方应当为实施人员购买必要的人身安全保险</w:t>
      </w:r>
      <w:r>
        <w:rPr>
          <w:rFonts w:hint="eastAsia" w:ascii="宋体" w:hAnsi="宋体" w:eastAsia="宋体" w:cs="宋体"/>
          <w:sz w:val="24"/>
          <w:highlight w:val="none"/>
        </w:rPr>
        <w:t xml:space="preserve">等保险</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2.</w:t>
      </w:r>
      <w:r>
        <w:rPr>
          <w:rFonts w:ascii="宋体" w:hAnsi="宋体" w:eastAsia="宋体" w:cs="宋体"/>
          <w:sz w:val="24"/>
          <w:highlight w:val="none"/>
        </w:rPr>
        <w:t xml:space="preserve">所有作业人员均需按照国家法律法规之规定，取得对应上岗资格证书、作业许可证书、特种作业证书等相关资格证书，方可上岗作业。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3.</w:t>
      </w:r>
      <w:r>
        <w:rPr>
          <w:rFonts w:ascii="宋体" w:hAnsi="宋体" w:eastAsia="宋体" w:cs="宋体"/>
          <w:sz w:val="24"/>
          <w:highlight w:val="none"/>
        </w:rPr>
        <w:t xml:space="preserve">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十二、违约责任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本合同生效后，甲方无正当理由要求退货的，应向乙方支付本合同总金额</w:t>
      </w:r>
      <w:r>
        <w:rPr>
          <w:rFonts w:hint="eastAsia" w:ascii="宋体" w:hAnsi="宋体" w:eastAsia="宋体" w:cs="宋体"/>
          <w:sz w:val="24"/>
          <w:highlight w:val="none"/>
        </w:rPr>
        <w:t xml:space="preserve">5</w:t>
      </w:r>
      <w:r>
        <w:rPr>
          <w:rFonts w:ascii="宋体" w:hAnsi="宋体" w:eastAsia="宋体" w:cs="宋体"/>
          <w:sz w:val="24"/>
          <w:highlight w:val="none"/>
        </w:rPr>
        <w:t xml:space="preserve">%的违约金，违约金不足以弥补损失的，乙方有权要求甲方补足。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甲方逾期支付合同价款的，每逾期1日，</w:t>
      </w:r>
      <w:r>
        <w:rPr>
          <w:rFonts w:hint="eastAsia" w:ascii="宋体" w:hAnsi="宋体" w:eastAsia="宋体" w:cs="宋体"/>
          <w:sz w:val="24"/>
          <w:highlight w:val="none"/>
        </w:rPr>
        <w:t xml:space="preserve">应按照全国银行间同业拆借中心公布的市场报价利率（LPR）支付逾期违约金</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甲方违反本合同规定，无正当理由拒绝接收乙方交付的合格标的物的，应当承担因此给乙方造成的损失。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乙方未能按本合同约定的期限交付质量符合本合同约定货物的，甲方有权选择采取以下一种或多种措施：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逾期超过15日的，</w:t>
      </w:r>
      <w:r>
        <w:rPr>
          <w:rFonts w:ascii="宋体" w:hAnsi="宋体" w:eastAsia="宋体" w:cs="宋体"/>
          <w:sz w:val="24"/>
          <w:highlight w:val="none"/>
        </w:rPr>
        <w:t xml:space="preserve">甲方有权直接解除本合同，同时乙方应当立即退回已收取的全部款项并向甲方支付本合同总金额【20】%的违约金。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highlight w:val="none"/>
        </w:rPr>
        <w:t xml:space="preserve">：</w:t>
      </w:r>
      <w:r>
        <w:rPr>
          <w:rFonts w:ascii="宋体" w:hAnsi="宋体" w:eastAsia="宋体" w:cs="宋体"/>
          <w:sz w:val="24"/>
          <w:highlight w:val="none"/>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除本合同另有约定以外，若乙方违反本合同约定的，且经甲方催告后【10】日内仍未改正的或该违约情形无法改正</w:t>
      </w:r>
      <w:r>
        <w:rPr>
          <w:rFonts w:hint="eastAsia" w:ascii="宋体" w:hAnsi="宋体" w:eastAsia="宋体" w:cs="宋体"/>
          <w:sz w:val="24"/>
          <w:highlight w:val="none"/>
        </w:rPr>
        <w:t xml:space="preserve">或无法达到甲方要求</w:t>
      </w:r>
      <w:r>
        <w:rPr>
          <w:rFonts w:ascii="宋体" w:hAnsi="宋体" w:eastAsia="宋体" w:cs="宋体"/>
          <w:sz w:val="24"/>
          <w:highlight w:val="none"/>
        </w:rPr>
        <w:t xml:space="preserve">的，甲方有权要求乙方立即向甲方支付本合同总金额【20】%的违约金，且甲方有权解除本合同，要求乙方立即退回本合同项下已收取的全部款项</w:t>
      </w:r>
      <w:r>
        <w:rPr>
          <w:rFonts w:hint="eastAsia" w:ascii="宋体" w:hAnsi="宋体" w:eastAsia="宋体" w:cs="宋体"/>
          <w:sz w:val="24"/>
          <w:highlight w:val="none"/>
        </w:rPr>
        <w:t xml:space="preserve">，乙方还应赔偿甲方的全部损失</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乙方逾期支付本合同约定的任何款项（包括但不限于违约赔偿、退款等）的，每逾期一日，乙方应当甲方支付逾期金额万分之四的违约金。</w:t>
      </w:r>
      <w:r/>
    </w:p>
    <w:p>
      <w:pPr>
        <w:ind w:firstLine="480"/>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本合同约定的乙方应付违约金不足以弥补甲方一切直接或间接损失的，乙方应当足额赔偿。</w:t>
      </w:r>
      <w:r>
        <w:rPr>
          <w:rFonts w:hint="eastAsia" w:ascii="宋体" w:hAnsi="宋体" w:eastAsia="宋体" w:cs="宋体"/>
          <w:sz w:val="24"/>
          <w:highlight w:val="none"/>
        </w:rPr>
        <w:t xml:space="preserve">本合同所述甲方损失包括直接损失、间接损失、维权产生的律师费、保全费、保函费、调查取证费、交通费等。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乙方对招投标文件中承诺函所承诺的内容未按约定提供，甲方有权终止合同，并支付本合同总金额【20】%的违约金。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十三、不可抗力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（一）合同一方因不可抗力不能履行合同的，根据不可抗力的影响，部分或者全部免除责任。但合同一方迟延履行后发生不可抗力的，不能免除责任。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（三）不可抗力事由消除后，合同继续履行或解除等相关事宜，由合同双方协商解决。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十四、索赔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根据货物的低劣程度、损坏程度以及甲方遭受损失的数额，经甲乙双方协商确定降低货物的价格。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十五、合同的解除和转让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（二）有下列情形之一的，合同一方可以解除合同：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因不可抗力致使不能实现合同目的的，未受不可抗力影响的一方有权解除合同；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因合同一方违约导致合同不能履行的，另一方有权解除合同；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有权解除合同的一方，应当在违约事实或不可抗力发生后30日内书面通知对方解除本合同，本合同在书面通知到达对方时解除。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（三）乙方不得将本合同的部分或全部义务转让给任何第三方。</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十六、合同的生效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本合同自甲乙双方法定（授权）代表人签字并盖章后生效。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十七、争议解决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十八、其他附则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（一）合同份数：本合同一式陆份，甲方叁份，乙方贰份，采购代理机构执壹份，各份合同具有同等法律效力。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（二）本合同未尽事宜应按《中华人民共和国民法典》《中华人民共和国政府采购法》以及其它法律、法规之规定解释，在执行过程中甲乙双方应在不违背本合同和</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的原则下协商解决，协商结果以书面形式盖章记录，作为本合同的附件，与本合同具有同等法律效力，但须提交采购代理机构壹份备存。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（以下无正文）</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甲方（盖章）：</w:t>
      </w:r>
      <w:r>
        <w:rPr>
          <w:rFonts w:hint="eastAsia" w:ascii="宋体" w:hAnsi="宋体" w:eastAsia="宋体" w:cs="宋体"/>
          <w:sz w:val="24"/>
          <w:highlight w:val="none"/>
        </w:rPr>
        <w:t xml:space="preserve">苏州市吴江区同里镇人民政府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rPr>
          <w:rFonts w:hint="eastAsia"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75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5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5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二、评分标准：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(一)投标报价：(30分)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第一步：投标总报价低于或等于采购预算（最高限价）的，为有效投标报价。超采购预算（最高限价）的投标报价为无效投标报价。无效投标报价的投标文件不进行评审，也不得标。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第二步：价格分采用低价优先法计算，即满足招标文件要求且价格最低的投标报价为评标基准价，其价格分为满分30分。其他供应商的价格分统一按照下列公式计算：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投标报价得分=（评标基准价/投标报价）*价格权值*100，小数点后保留两位（价格权值为30%）。</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0"/>
        <w:ind w:left="0" w:right="0" w:firstLine="482"/>
        <w:rPr>
          <w:rFonts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70"/>
        <w:ind w:left="0" w:right="0" w:firstLine="480"/>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highlight w:val="none"/>
        </w:rPr>
        <w:t xml:space="preserve">本项目为专门面向中小企业采购的项目，不再执行价格评审优惠的扶持政策。</w:t>
      </w:r>
      <w:r/>
    </w:p>
    <w:p>
      <w:pPr>
        <w:pStyle w:val="770"/>
        <w:ind w:left="0" w:right="0" w:firstLine="482"/>
        <w:rPr>
          <w:rFonts w:hint="eastAsia"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rPr>
        <w:t xml:space="preserve">3.</w:t>
      </w:r>
      <w:r>
        <w:rPr>
          <w:rStyle w:val="791"/>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70"/>
        <w:ind w:left="0" w:right="0" w:firstLine="480"/>
        <w:rPr>
          <w:rFonts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（二）技术、质量（70分）</w:t>
      </w:r>
      <w:r/>
    </w:p>
    <w:tbl>
      <w:tblPr>
        <w:tblStyle w:val="76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67"/>
        <w:gridCol w:w="6559"/>
        <w:gridCol w:w="850"/>
      </w:tblGrid>
      <w:tr>
        <w:trPr>
          <w:jc w:val="center"/>
          <w:trHeight w:val="600"/>
        </w:trPr>
        <w:tc>
          <w:tcPr>
            <w:tcW w:w="383"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719"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评分项目</w:t>
            </w:r>
            <w:r/>
          </w:p>
        </w:tc>
        <w:tc>
          <w:tcPr>
            <w:tcW w:w="3449"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447" w:type="pct"/>
            <w:vAlign w:val="center"/>
            <w:textDirection w:val="lrTb"/>
            <w:noWrap w:val="false"/>
          </w:tcPr>
          <w:p>
            <w:pPr>
              <w:ind w:righ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p>
        </w:tc>
        <w:tc>
          <w:tcPr>
            <w:gridSpan w:val="2"/>
            <w:tcW w:w="4168"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材料质量</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原材料检测报告</w:t>
            </w:r>
            <w:r/>
          </w:p>
        </w:tc>
        <w:tc>
          <w:tcPr>
            <w:tcW w:w="344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提供下表中检测产品的检测报告扫描件并加盖供应商公章（如报告内容不全导致无法确认报告的各项要求的，或字迹模糊不清无法辨认的，都视为未提供）。</w:t>
            </w:r>
            <w:r>
              <w:rPr>
                <w:rFonts w:hint="eastAsia" w:ascii="宋体" w:hAnsi="宋体" w:eastAsia="宋体" w:cs="宋体"/>
                <w:bCs/>
                <w:sz w:val="24"/>
                <w:szCs w:val="24"/>
                <w:highlight w:val="none"/>
              </w:rPr>
              <w:t xml:space="preserve">中标后将对排名第一的中标候选人的投标文件中检测报告进行核查（第一中标候选人接到采购人或采购代理机构通知后需立即将检测报告官方网址、书面函询联系方式与地址发送至项目联系人邮箱供参考）</w:t>
            </w:r>
            <w:r>
              <w:rPr>
                <w:rFonts w:hint="eastAsia" w:ascii="宋体" w:hAnsi="宋体" w:eastAsia="宋体" w:cs="宋体"/>
                <w:bCs/>
                <w:color w:val="000000" w:themeColor="text1"/>
                <w:sz w:val="24"/>
                <w:szCs w:val="24"/>
                <w:highlight w:val="none"/>
                <w14:textFill>
                  <w14:solidFill>
                    <w14:schemeClr w14:val="tx1"/>
                  </w14:solidFill>
                </w14:textFill>
              </w:rPr>
              <w:t xml:space="preserve">，发现弄虚作假的将上报监督部门处理。提供的检测报告必须同时符合以下所有要求，否则不得分。（每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个检测产品提供包含所有检测项并满足要求的完整</w:t>
            </w:r>
            <w:r>
              <w:rPr>
                <w:rFonts w:hint="eastAsia" w:ascii="宋体" w:hAnsi="宋体" w:eastAsia="宋体" w:cs="宋体"/>
                <w:bCs/>
                <w:color w:val="000000" w:themeColor="text1"/>
                <w:sz w:val="24"/>
                <w:szCs w:val="24"/>
                <w:highlight w:val="none"/>
                <w14:textFill>
                  <w14:solidFill>
                    <w14:schemeClr w14:val="tx1"/>
                  </w14:solidFill>
                </w14:textFill>
              </w:rPr>
              <w:t xml:space="preserve">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4"/>
                <w:szCs w:val="24"/>
                <w:highlight w:val="none"/>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单个检测产品可以提供一份或多份检测报告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，最高得16分）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1.检测报告应为具有检验检测资质的检测机构出具，检测机构应通过相应的CMA认证，检测报告页面必须有CMA认证标志；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sz w:val="24"/>
                <w:szCs w:val="24"/>
                <w:highlight w:val="none"/>
              </w:rPr>
              <w:t xml:space="preserve">检测报告中的检测（判定）依据必须参照下表所列检测标准或其它现行国家（或行业）标准；</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3.检测报告中下表所列必须包含的检测项目检测结果应为合格。</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（1）铝塑板：</w:t>
            </w:r>
            <w:r>
              <w:rPr>
                <w:rFonts w:hint="eastAsia" w:ascii="宋体" w:hAnsi="宋体" w:eastAsia="宋体" w:cs="宋体"/>
                <w:bCs/>
                <w:sz w:val="24"/>
                <w:szCs w:val="24"/>
                <w:highlight w:val="none"/>
              </w:rPr>
              <w:t xml:space="preserve">符合标准</w:t>
            </w:r>
            <w:r>
              <w:rPr>
                <w:rFonts w:hint="eastAsia" w:ascii="宋体" w:hAnsi="宋体" w:eastAsia="宋体" w:cs="宋体"/>
                <w:sz w:val="24"/>
                <w:szCs w:val="24"/>
                <w:highlight w:val="none"/>
              </w:rPr>
              <w:t xml:space="preserve">GB/T22412-2016</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GB/T3325-2024</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GB/T1741-2020、GB/T10125-2021</w:t>
            </w:r>
            <w:r>
              <w:rPr>
                <w:rFonts w:hint="eastAsia" w:ascii="宋体" w:hAnsi="宋体" w:eastAsia="宋体" w:cs="宋体"/>
                <w:sz w:val="24"/>
                <w:szCs w:val="24"/>
                <w:highlight w:val="none"/>
              </w:rPr>
              <w:t xml:space="preserve">、QB/T1951.2-2024、</w:t>
            </w:r>
            <w:r>
              <w:rPr>
                <w:rFonts w:hint="eastAsia" w:ascii="宋体" w:hAnsi="宋体" w:eastAsia="宋体" w:cs="宋体"/>
                <w:sz w:val="24"/>
                <w:szCs w:val="24"/>
                <w:highlight w:val="none"/>
              </w:rPr>
              <w:t xml:space="preserve">GB/T16422.2-2022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检测报告检测项目须包括：金属件外观符合要求、</w:t>
            </w:r>
            <w:r>
              <w:rPr>
                <w:rFonts w:hint="eastAsia" w:ascii="宋体" w:hAnsi="宋体" w:eastAsia="宋体" w:cs="宋体"/>
                <w:sz w:val="24"/>
                <w:szCs w:val="24"/>
                <w:highlight w:val="none"/>
              </w:rPr>
              <w:t xml:space="preserve">可溶性元素（</w:t>
            </w:r>
            <w:r>
              <w:rPr>
                <w:rFonts w:hint="eastAsia" w:ascii="宋体" w:hAnsi="宋体" w:eastAsia="宋体" w:cs="宋体"/>
                <w:sz w:val="24"/>
                <w:szCs w:val="24"/>
                <w:highlight w:val="none"/>
                <w:lang w:bidi="ar"/>
              </w:rPr>
              <w:t xml:space="preserve">镉（Cd）未检出、铬（Cr)未检出、铅（Pb）未检出、汞（Hg）未检出）、耐霉菌性等级</w:t>
            </w:r>
            <w:r>
              <w:rPr>
                <w:rFonts w:hint="eastAsia" w:ascii="宋体" w:hAnsi="宋体" w:eastAsia="宋体" w:cs="宋体"/>
                <w:sz w:val="24"/>
                <w:szCs w:val="24"/>
                <w:highlight w:val="none"/>
              </w:rPr>
              <w:t xml:space="preserve">（黑曲霉0级）、铜加速</w:t>
            </w:r>
            <w:r>
              <w:rPr>
                <w:rFonts w:hint="eastAsia" w:ascii="宋体" w:hAnsi="宋体" w:eastAsia="宋体" w:cs="宋体"/>
                <w:color w:val="000000"/>
                <w:sz w:val="24"/>
                <w:szCs w:val="24"/>
                <w:highlight w:val="none"/>
              </w:rPr>
              <w:t xml:space="preserve">乙酸盐雾试验（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h，保护评级≥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级，外观评级≥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级）、硬度（</w:t>
            </w:r>
            <w:r>
              <w:rPr>
                <w:rFonts w:hint="eastAsia" w:ascii="宋体" w:hAnsi="宋体" w:eastAsia="宋体" w:cs="宋体"/>
                <w:sz w:val="24"/>
                <w:szCs w:val="24"/>
                <w:highlight w:val="none"/>
              </w:rPr>
              <w:t xml:space="preserve">≥H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评级≥AAA</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耐老化性能（≥</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（2）承重板：</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QB/T3826-1999，</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h后，应无锈迹、剥落、起皱、变色和失光等现象）、中性盐雾试验（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级，耐蚀等级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（3）底座：符合标准</w:t>
            </w:r>
            <w:r>
              <w:rPr>
                <w:rFonts w:hint="eastAsia" w:ascii="宋体" w:hAnsi="宋体" w:eastAsia="宋体" w:cs="宋体"/>
                <w:sz w:val="24"/>
                <w:szCs w:val="24"/>
                <w:highlight w:val="none"/>
              </w:rPr>
              <w:t xml:space="preserve">GB/T3325-2024、QB/T4767-2014</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QB/T3826-1999、GB/T1741-2020、GB/T5237.5-2017、</w:t>
            </w:r>
            <w:r>
              <w:rPr>
                <w:rFonts w:hint="eastAsia" w:ascii="宋体" w:hAnsi="宋体" w:eastAsia="宋体" w:cs="宋体"/>
                <w:sz w:val="24"/>
                <w:szCs w:val="24"/>
                <w:highlight w:val="none"/>
              </w:rPr>
              <w:t xml:space="preserve">QB/T3828-1999、</w:t>
            </w:r>
            <w:r>
              <w:rPr>
                <w:rFonts w:hint="eastAsia" w:ascii="宋体" w:hAnsi="宋体" w:eastAsia="宋体" w:cs="宋体"/>
                <w:sz w:val="24"/>
                <w:szCs w:val="24"/>
                <w:highlight w:val="none"/>
              </w:rPr>
              <w:t xml:space="preserve">GB/T10125-2021</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color w:val="000000"/>
                <w:sz w:val="24"/>
                <w:szCs w:val="24"/>
                <w:highlight w:val="none"/>
                <w:lang w:bidi="ar"/>
              </w:rPr>
              <w:t xml:space="preserve">金属件外观符合要求、</w:t>
            </w:r>
            <w:r>
              <w:rPr>
                <w:rFonts w:hint="eastAsia" w:ascii="宋体" w:hAnsi="宋体" w:eastAsia="宋体" w:cs="宋体"/>
                <w:sz w:val="24"/>
                <w:szCs w:val="24"/>
                <w:highlight w:val="none"/>
              </w:rPr>
              <w:t xml:space="preserve">膜厚≥70um、铝合金部件抗盐雾（中性盐雾试验≥100h）、</w:t>
            </w:r>
            <w:r>
              <w:rPr>
                <w:rFonts w:hint="eastAsia" w:ascii="宋体" w:hAnsi="宋体" w:eastAsia="宋体" w:cs="宋体"/>
                <w:sz w:val="24"/>
                <w:szCs w:val="24"/>
                <w:highlight w:val="none"/>
                <w:lang w:bidi="ar"/>
              </w:rPr>
              <w:t xml:space="preserve">耐霉菌性等级</w:t>
            </w:r>
            <w:r>
              <w:rPr>
                <w:rFonts w:hint="eastAsia" w:ascii="宋体" w:hAnsi="宋体" w:eastAsia="宋体" w:cs="宋体"/>
                <w:sz w:val="24"/>
                <w:szCs w:val="24"/>
                <w:highlight w:val="none"/>
              </w:rPr>
              <w:t xml:space="preserve">（黑曲霉0级）、铜盐加速试验（≥</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级，耐腐蚀等级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乙酸盐雾试验（</w:t>
            </w:r>
            <w:r>
              <w:rPr>
                <w:rFonts w:hint="eastAsia" w:ascii="宋体" w:hAnsi="宋体" w:eastAsia="宋体" w:cs="宋体"/>
                <w:sz w:val="24"/>
                <w:szCs w:val="24"/>
                <w:highlight w:val="none"/>
              </w:rPr>
              <w:t xml:space="preserve">≥400</w:t>
            </w:r>
            <w:r>
              <w:rPr>
                <w:rFonts w:hint="eastAsia" w:ascii="宋体" w:hAnsi="宋体" w:eastAsia="宋体" w:cs="宋体"/>
                <w:color w:val="000000"/>
                <w:sz w:val="24"/>
                <w:szCs w:val="24"/>
                <w:highlight w:val="none"/>
              </w:rPr>
              <w:t xml:space="preserve">h，保护评级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级，外观评级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（4）底座连接角：</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GB/T3325-2024，</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100h后，应无锈迹、剥落、起皱、变色和失光等现象）、附着力、燃烧性能等级B₁（B）级（燃烧增长速率指数、火焰横向蔓延、600s的总放热量、60s内焰尖高度、燃烧滴落物）；</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（5）架体侧板：</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QB/T3826-1999，</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h后，应无锈迹、剥落、起皱、变色和失光等现象）、中性盐雾试验（</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h，对基体的保护等级≥7级，耐蚀等级≥7级）；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（6）铝合金型材：符合标准</w:t>
            </w:r>
            <w:r>
              <w:rPr>
                <w:rFonts w:hint="eastAsia" w:ascii="宋体" w:hAnsi="宋体" w:eastAsia="宋体" w:cs="宋体"/>
                <w:color w:val="000000"/>
                <w:sz w:val="24"/>
                <w:szCs w:val="24"/>
                <w:highlight w:val="none"/>
                <w:lang w:bidi="ar"/>
              </w:rPr>
              <w:t xml:space="preserve">GB/T5237.5-2017，</w:t>
            </w:r>
            <w:r>
              <w:rPr>
                <w:rFonts w:hint="eastAsia" w:ascii="宋体" w:hAnsi="宋体" w:eastAsia="宋体" w:cs="宋体"/>
                <w:color w:val="000000"/>
                <w:sz w:val="24"/>
                <w:szCs w:val="24"/>
                <w:highlight w:val="none"/>
              </w:rPr>
              <w:t xml:space="preserve">检测报告检测项目须包括：外观质量、壁厚尺寸（壁厚偏差）、力学性能（抗拉强度、规定非比例延伸强度、断后伸长率）、化学成分（Cu、Mg、Mn、Fe、Si、Zn、Cr、Ti）、平均膜厚、局部膜厚、光泽（允许偏差）、色差、硬度、附着性（干附着性、湿附着性、沸水附着性）、耐沸水性、耐冲击性、耐盐酸性、耐砂浆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（7）锁具：样品等级达到机械防盗锁C级；符合GA/T73-2015、QB/T1621-2015，</w:t>
            </w:r>
            <w:r>
              <w:rPr>
                <w:rFonts w:hint="eastAsia" w:ascii="宋体" w:hAnsi="宋体" w:eastAsia="宋体" w:cs="宋体"/>
                <w:color w:val="000000"/>
                <w:sz w:val="24"/>
                <w:szCs w:val="24"/>
                <w:highlight w:val="none"/>
              </w:rPr>
              <w:t xml:space="preserve">检测报告检测项目须包括：主锁舌抗侧向静压力6000N、锁舌侧向静载荷6000N、互开率0%、牢固度（使用寿命不少于10000次）。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（8）骨灰存放架涂料：</w:t>
            </w:r>
            <w:r>
              <w:rPr>
                <w:rFonts w:hint="eastAsia" w:ascii="宋体" w:hAnsi="宋体" w:eastAsia="宋体" w:cs="宋体"/>
                <w:bCs/>
                <w:sz w:val="24"/>
                <w:szCs w:val="24"/>
                <w:highlight w:val="none"/>
              </w:rPr>
              <w:t xml:space="preserve">符合标准</w:t>
            </w:r>
            <w:r>
              <w:rPr>
                <w:rFonts w:hint="eastAsia" w:ascii="宋体" w:hAnsi="宋体" w:eastAsia="宋体" w:cs="宋体"/>
                <w:sz w:val="24"/>
                <w:szCs w:val="24"/>
                <w:highlight w:val="none"/>
                <w:lang w:bidi="ar"/>
              </w:rPr>
              <w:t xml:space="preserve">HJ/T414-2007</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sz w:val="24"/>
                <w:szCs w:val="24"/>
                <w:highlight w:val="none"/>
              </w:rPr>
              <w:t xml:space="preserve">游离二异氰酸酯总和含量[限甲苯二异氰酸酯(TDI)、六亚甲基二异氰酸酯(HDI]；固化剂中游离甲苯二异氰酸酯(TDI)质量分数</w:t>
            </w:r>
            <w:r>
              <w:rPr>
                <w:rFonts w:hint="eastAsia" w:ascii="宋体" w:hAnsi="宋体" w:eastAsia="宋体" w:cs="宋体"/>
                <w:sz w:val="24"/>
                <w:szCs w:val="24"/>
                <w:highlight w:val="none"/>
                <w:lang w:eastAsia="zh-CN"/>
              </w:rPr>
              <w:t xml:space="preserve">。</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16分</w:t>
            </w:r>
            <w:r/>
          </w:p>
        </w:tc>
      </w:tr>
      <w:tr>
        <w:trPr>
          <w:jc w:val="center"/>
          <w:trHeight w:val="298"/>
        </w:trPr>
        <w:tc>
          <w:tcPr>
            <w:tcW w:w="383"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成品检测报告</w:t>
            </w:r>
            <w:r/>
          </w:p>
        </w:tc>
        <w:tc>
          <w:tcPr>
            <w:tcW w:w="344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提供下表中检测产品的检测报告扫描件并加盖供应商公章（如报告内容不全导致无法确认报告的各项要求的，或字迹模糊不清无法辨认的都视为未提供）。</w:t>
            </w:r>
            <w:r>
              <w:rPr>
                <w:rFonts w:hint="eastAsia" w:ascii="宋体" w:hAnsi="宋体" w:eastAsia="宋体" w:cs="宋体"/>
                <w:bCs/>
                <w:sz w:val="24"/>
                <w:szCs w:val="24"/>
                <w:highlight w:val="none"/>
              </w:rPr>
              <w:t xml:space="preserve">中标后将对排名第一的中标候选人的投标文件中检测报告进行核查（第一中标候选人接到采购人或招标代理通知后需立即将检测报告官方网址、书面函询联系方式与地址发送至项目联系人邮箱供参考）</w:t>
            </w:r>
            <w:r>
              <w:rPr>
                <w:rFonts w:hint="eastAsia" w:ascii="宋体" w:hAnsi="宋体" w:eastAsia="宋体" w:cs="宋体"/>
                <w:bCs/>
                <w:color w:val="000000" w:themeColor="text1"/>
                <w:sz w:val="24"/>
                <w:szCs w:val="24"/>
                <w:highlight w:val="none"/>
                <w14:textFill>
                  <w14:solidFill>
                    <w14:schemeClr w14:val="tx1"/>
                  </w14:solidFill>
                </w14:textFill>
              </w:rPr>
              <w:t xml:space="preserve">，发现弄虚作假的将上报监督部门处理。提供的检测报告必须同时符合以下所有要求，否则不得分。（每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个检测产品提供包含所有检测项并满足要求的完整</w:t>
            </w:r>
            <w:r>
              <w:rPr>
                <w:rFonts w:hint="eastAsia" w:ascii="宋体" w:hAnsi="宋体" w:eastAsia="宋体" w:cs="宋体"/>
                <w:bCs/>
                <w:color w:val="000000" w:themeColor="text1"/>
                <w:sz w:val="24"/>
                <w:szCs w:val="24"/>
                <w:highlight w:val="none"/>
                <w14:textFill>
                  <w14:solidFill>
                    <w14:schemeClr w14:val="tx1"/>
                  </w14:solidFill>
                </w14:textFill>
              </w:rPr>
              <w:t xml:space="preserve">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4"/>
                <w:szCs w:val="24"/>
                <w:highlight w:val="none"/>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单个检测产品可以提供一份或多份检测报告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，最高得6分）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1.检测报告应为具有检验检测资质的检测机构出具，检测机构应通过相应的CMA认证，检测报告页面必须有CMA认证标志；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sz w:val="24"/>
                <w:szCs w:val="24"/>
                <w:highlight w:val="none"/>
              </w:rPr>
              <w:t xml:space="preserve">检测报告中的检测（判定）依据必须参照下表所列检测标准或其它现行国家（或行业）标准；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3.检测报告中下表所列必须包含的检测项目检测结果应为合格。</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（1）骨灰存放架：</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GB/T3325-2024、GB/T13667.1-2015、GB/T10357.5-2023、GB/T35607-2024、GB/T2408-2021，</w:t>
            </w:r>
            <w:r>
              <w:rPr>
                <w:rFonts w:hint="eastAsia" w:ascii="宋体" w:hAnsi="宋体" w:eastAsia="宋体" w:cs="宋体"/>
                <w:color w:val="000000"/>
                <w:sz w:val="24"/>
                <w:szCs w:val="24"/>
                <w:highlight w:val="none"/>
              </w:rPr>
              <w:t xml:space="preserve">检测报告检测项目须包括：外观性能-金属件（焊接件、冲压件、喷漆（塑）涂层）、形状和位置公差【邻边垂直度、翘曲度、平整度、位差度、分缝、底脚着地平稳性】、力学性能（搁板弯曲试验、顶板和底板持续加载试验）、产品有害物质【铅Pb、镉Cd、铬Cr、汞Hg、锑Sb、钡Ba</w:t>
            </w:r>
            <w:r>
              <w:rPr>
                <w:rFonts w:hint="eastAsia" w:ascii="宋体" w:hAnsi="宋体" w:eastAsia="宋体" w:cs="宋体"/>
                <w:color w:val="000000"/>
                <w:sz w:val="24"/>
                <w:szCs w:val="24"/>
                <w:highlight w:val="none"/>
              </w:rPr>
              <w:t xml:space="preserve">、硒Se、砷As】、安全性能-结构安全【基本结构安全、剪切和挤压点-使用过程中的剪切和挤压点、孔及间隙】、强度【柜体上部经500kg静载荷，48h；单格位的层板的垂直承载能力应不小于30kg，双格位的层板的垂直承载能力应不小于50kg】、稳定性【试验时架体不应倾倒。X轴方向试验后和Y轴方向试验后架体倾斜量均不得大于架体总高的1%，各部件应无塑性变形或其他异常现象】、燃烧性能等级B₁（B）级【燃烧增长速率指数、火焰横向蔓延、600s的总放热量、60s内焰尖高度、燃烧滴落物】、塑料垂直燃烧性能级别【V-0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（2）骨灰存放架双穴室内空气质量：</w:t>
            </w:r>
            <w:r>
              <w:rPr>
                <w:rFonts w:hint="eastAsia" w:ascii="宋体" w:hAnsi="宋体" w:eastAsia="宋体" w:cs="宋体"/>
                <w:bCs/>
                <w:sz w:val="24"/>
                <w:szCs w:val="24"/>
                <w:highlight w:val="none"/>
              </w:rPr>
              <w:t xml:space="preserve">符合标准GB/T18883-2022，</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bCs/>
                <w:color w:val="000000"/>
                <w:sz w:val="24"/>
                <w:szCs w:val="24"/>
                <w:highlight w:val="none"/>
              </w:rPr>
              <w:t xml:space="preserve">甲醛（HCHO）≤0.016</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、苯（C</w:t>
            </w:r>
            <w:r>
              <w:rPr>
                <w:rFonts w:hint="eastAsia" w:ascii="宋体" w:hAnsi="宋体" w:eastAsia="宋体" w:cs="宋体"/>
                <w:bCs/>
                <w:color w:val="000000"/>
                <w:sz w:val="24"/>
                <w:szCs w:val="24"/>
                <w:highlight w:val="none"/>
                <w:vertAlign w:val="subscript"/>
              </w:rPr>
              <w:t xml:space="preserve">6</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6</w:t>
            </w:r>
            <w:r>
              <w:rPr>
                <w:rFonts w:hint="eastAsia" w:ascii="宋体" w:hAnsi="宋体" w:eastAsia="宋体" w:cs="宋体"/>
                <w:bCs/>
                <w:color w:val="000000"/>
                <w:sz w:val="24"/>
                <w:szCs w:val="24"/>
                <w:highlight w:val="none"/>
              </w:rPr>
              <w:t xml:space="preserve">）≤0.001</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、甲苯（C</w:t>
            </w:r>
            <w:r>
              <w:rPr>
                <w:rFonts w:hint="eastAsia" w:ascii="宋体" w:hAnsi="宋体" w:eastAsia="宋体" w:cs="宋体"/>
                <w:bCs/>
                <w:color w:val="000000"/>
                <w:sz w:val="24"/>
                <w:szCs w:val="24"/>
                <w:highlight w:val="none"/>
                <w:vertAlign w:val="subscript"/>
              </w:rPr>
              <w:t xml:space="preserve">7</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8</w:t>
            </w:r>
            <w:r>
              <w:rPr>
                <w:rFonts w:hint="eastAsia" w:ascii="宋体" w:hAnsi="宋体" w:eastAsia="宋体" w:cs="宋体"/>
                <w:bCs/>
                <w:color w:val="000000"/>
                <w:sz w:val="24"/>
                <w:szCs w:val="24"/>
                <w:highlight w:val="none"/>
              </w:rPr>
              <w:t xml:space="preserve">）≤0.001</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、二甲苯（C</w:t>
            </w:r>
            <w:r>
              <w:rPr>
                <w:rFonts w:hint="eastAsia" w:ascii="宋体" w:hAnsi="宋体" w:eastAsia="宋体" w:cs="宋体"/>
                <w:bCs/>
                <w:color w:val="000000"/>
                <w:sz w:val="24"/>
                <w:szCs w:val="24"/>
                <w:highlight w:val="none"/>
                <w:vertAlign w:val="subscript"/>
              </w:rPr>
              <w:t xml:space="preserve">8</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10</w:t>
            </w:r>
            <w:r>
              <w:rPr>
                <w:rFonts w:hint="eastAsia" w:ascii="宋体" w:hAnsi="宋体" w:eastAsia="宋体" w:cs="宋体"/>
                <w:bCs/>
                <w:color w:val="000000"/>
                <w:sz w:val="24"/>
                <w:szCs w:val="24"/>
                <w:highlight w:val="none"/>
              </w:rPr>
              <w:t xml:space="preserve">）≤0.003</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、总挥发性有机化合物（TVOC）≤0.12</w:t>
            </w:r>
            <w:r>
              <w:rPr>
                <w:rFonts w:hint="eastAsia" w:ascii="宋体" w:hAnsi="宋体" w:eastAsia="宋体" w:cs="宋体"/>
                <w:sz w:val="24"/>
                <w:szCs w:val="24"/>
                <w:highlight w:val="none"/>
              </w:rPr>
              <w:t xml:space="preserve">mg/m³</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（3）骨灰存放架箱体：</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GB/T1740-2007、HG/T2006-2022、GB/T35607-2024</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color w:val="000000"/>
                <w:sz w:val="24"/>
                <w:szCs w:val="24"/>
                <w:highlight w:val="none"/>
                <w:lang w:bidi="ar"/>
              </w:rPr>
              <w:t xml:space="preserve">耐沸水性、耐人工气候老化性</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lang w:bidi="ar"/>
              </w:rPr>
              <w:t xml:space="preserve">h</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变色≤2级，失光≤2级，无粉化、起泡、开裂、剥落等异常现象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、耐湿热性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lang w:bidi="ar"/>
              </w:rPr>
              <w:t xml:space="preserve">h试验后，试板无生锈、起泡、变色、开裂或其他破坏现象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产品有害物质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铅 Pb、镉 Cd、铬 Cr、汞 Hg、锑 Sb、钡 Ba、硒 Se、砷 As</w:t>
            </w:r>
            <w:r>
              <w:rPr>
                <w:rFonts w:hint="eastAsia" w:ascii="宋体" w:hAnsi="宋体" w:eastAsia="宋体" w:cs="宋体"/>
                <w:color w:val="000000"/>
                <w:sz w:val="24"/>
                <w:szCs w:val="24"/>
                <w:highlight w:val="none"/>
              </w:rPr>
              <w:t xml:space="preserve">】。</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p>
        </w:tc>
        <w:tc>
          <w:tcPr>
            <w:gridSpan w:val="2"/>
            <w:tcW w:w="4168" w:type="pct"/>
            <w:vAlign w:val="center"/>
            <w:textDirection w:val="lrTb"/>
            <w:noWrap w:val="false"/>
          </w:tcPr>
          <w:p>
            <w:p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供应商综合实力</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pStyle w:val="954"/>
              <w:jc w:val="center"/>
              <w:spacing w:before="0"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体系认证证书</w:t>
            </w:r>
            <w:r/>
          </w:p>
        </w:tc>
        <w:tc>
          <w:tcPr>
            <w:tcW w:w="3449" w:type="pct"/>
            <w:vAlign w:val="center"/>
            <w:textDirection w:val="lrTb"/>
            <w:noWrap w:val="false"/>
          </w:tcPr>
          <w:p>
            <w:pPr>
              <w:pStyle w:val="954"/>
              <w:spacing w:before="0" w:line="360" w:lineRule="auto"/>
              <w:rPr>
                <w:rFonts w:hint="eastAsia" w:ascii="宋体" w:hAnsi="宋体" w:eastAsia="宋体" w:cs="宋体"/>
                <w:szCs w:val="24"/>
                <w:highlight w:val="none"/>
              </w:rPr>
            </w:pPr>
            <w:r>
              <w:rPr>
                <w:rFonts w:hint="eastAsia" w:ascii="宋体" w:hAnsi="宋体" w:eastAsia="宋体" w:cs="宋体"/>
                <w:bCs/>
                <w:color w:val="000000"/>
                <w:szCs w:val="24"/>
                <w:highlight w:val="none"/>
              </w:rPr>
              <w:t xml:space="preserve">供应商具有有效期内的①质量管理体系认证证书、②环境管理体系认证证书、③诚信管理体系认证证书，每项得1分，没有不得分，最高3分。（投标文件中须提供有效期内证书扫描件或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719" w:type="pct"/>
            <w:vAlign w:val="center"/>
            <w:textDirection w:val="lrTb"/>
            <w:noWrap w:val="false"/>
          </w:tcPr>
          <w:p>
            <w:pPr>
              <w:pStyle w:val="954"/>
              <w:jc w:val="center"/>
              <w:spacing w:before="0"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绿色采购</w:t>
            </w:r>
            <w:r/>
          </w:p>
        </w:tc>
        <w:tc>
          <w:tcPr>
            <w:tcW w:w="3449" w:type="pct"/>
            <w:vAlign w:val="center"/>
            <w:textDirection w:val="lrTb"/>
            <w:noWrap w:val="false"/>
          </w:tcPr>
          <w:p>
            <w:pPr>
              <w:pStyle w:val="954"/>
              <w:spacing w:before="0"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1.供应商核心产品具有有效期内的“中国环境标志产品认证证书”</w:t>
            </w:r>
            <w:bookmarkStart w:id="6" w:name="OLE_LINK8"/>
            <w:r>
              <w:rPr>
                <w:rFonts w:hint="eastAsia" w:ascii="宋体" w:hAnsi="宋体" w:eastAsia="宋体" w:cs="宋体"/>
                <w:color w:val="000000"/>
                <w:szCs w:val="24"/>
                <w:highlight w:val="none"/>
              </w:rPr>
              <w:t xml:space="preserve">（认证范围包含本次核心产品“骨灰存放架单穴、骨灰存放架双穴”）</w:t>
            </w:r>
            <w:bookmarkEnd w:id="6"/>
            <w:r>
              <w:rPr>
                <w:rFonts w:hint="eastAsia" w:ascii="宋体" w:hAnsi="宋体" w:eastAsia="宋体" w:cs="宋体"/>
                <w:color w:val="000000"/>
                <w:szCs w:val="24"/>
                <w:highlight w:val="none"/>
              </w:rPr>
              <w:t xml:space="preserve">，认证范围（</w:t>
            </w:r>
            <w:r>
              <w:rPr>
                <w:rFonts w:ascii="宋体" w:hAnsi="宋体" w:eastAsia="宋体" w:cs="宋体"/>
                <w:color w:val="000000" w:themeColor="text1"/>
                <w:szCs w:val="24"/>
                <w:highlight w:val="none"/>
                <w14:textFill>
                  <w14:solidFill>
                    <w14:schemeClr w14:val="tx1"/>
                  </w14:solidFill>
                </w14:textFill>
              </w:rPr>
              <w:t xml:space="preserve">涉及的证书范围如同一</w:t>
            </w:r>
            <w:r>
              <w:rPr>
                <w:rFonts w:hint="eastAsia" w:ascii="宋体" w:hAnsi="宋体" w:eastAsia="宋体" w:cs="宋体"/>
                <w:color w:val="000000" w:themeColor="text1"/>
                <w:szCs w:val="24"/>
                <w:highlight w:val="none"/>
                <w14:textFill>
                  <w14:solidFill>
                    <w14:schemeClr w14:val="tx1"/>
                  </w14:solidFill>
                </w14:textFill>
              </w:rPr>
              <w:t xml:space="preserve">产品</w:t>
            </w:r>
            <w:r>
              <w:rPr>
                <w:rFonts w:ascii="宋体" w:hAnsi="宋体" w:eastAsia="宋体" w:cs="宋体"/>
                <w:color w:val="000000" w:themeColor="text1"/>
                <w:szCs w:val="24"/>
                <w:highlight w:val="none"/>
                <w14:textFill>
                  <w14:solidFill>
                    <w14:schemeClr w14:val="tx1"/>
                  </w14:solidFill>
                </w14:textFill>
              </w:rPr>
              <w:t xml:space="preserve">存在文字表述不同但含义相同的亦可</w:t>
            </w:r>
            <w:r>
              <w:rPr>
                <w:rFonts w:hint="eastAsia" w:ascii="宋体" w:hAnsi="宋体" w:eastAsia="宋体" w:cs="宋体"/>
                <w:color w:val="000000"/>
                <w:szCs w:val="24"/>
                <w:highlight w:val="none"/>
              </w:rPr>
              <w:t xml:space="preserve">）每有一项得1分，没有不得分，最高2分。</w:t>
            </w:r>
            <w:r>
              <w:rPr>
                <w:rFonts w:hint="eastAsia" w:ascii="宋体" w:hAnsi="宋体" w:eastAsia="宋体" w:cs="宋体"/>
                <w:bCs/>
                <w:color w:val="000000"/>
                <w:szCs w:val="24"/>
                <w:highlight w:val="none"/>
              </w:rPr>
              <w:t xml:space="preserve">（投标文件中须提供有效期内证书扫描件或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p>
            <w:pPr>
              <w:pStyle w:val="954"/>
              <w:spacing w:before="0"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2.供应商具有有效期内的中国绿色产品认证证书的得2分，没有不得分，最高2分。（投标文件中须提供有效期内证书扫描件或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719" w:type="pct"/>
            <w:vAlign w:val="center"/>
            <w:textDirection w:val="lrTb"/>
            <w:noWrap w:val="false"/>
          </w:tcPr>
          <w:p>
            <w:pPr>
              <w:pStyle w:val="954"/>
              <w:jc w:val="center"/>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企业类似业绩</w:t>
            </w:r>
            <w:r/>
          </w:p>
        </w:tc>
        <w:tc>
          <w:tcPr>
            <w:tcW w:w="3449" w:type="pct"/>
            <w:vAlign w:val="center"/>
            <w:textDirection w:val="lrTb"/>
            <w:noWrap w:val="false"/>
          </w:tcPr>
          <w:p>
            <w:pPr>
              <w:pStyle w:val="95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供应商提供2023年1月以来的类似项目业绩（以合同签订日期为准），有1个得1分，没有不得分，最高</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分（投标文件中提供清晰的合同及对应合同服务期间任意一期发票的扫描件并加盖供应商公章，否则不得分）</w:t>
            </w:r>
            <w:bookmarkStart w:id="7" w:name="_GoBack"/>
            <w:r/>
            <w:bookmarkEnd w:id="7"/>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p>
        </w:tc>
        <w:tc>
          <w:tcPr>
            <w:gridSpan w:val="2"/>
            <w:tcW w:w="4168" w:type="pct"/>
            <w:vAlign w:val="center"/>
            <w:textDirection w:val="lrTb"/>
            <w:noWrap w:val="false"/>
          </w:tcPr>
          <w:p>
            <w:pPr>
              <w:pStyle w:val="954"/>
              <w:jc w:val="center"/>
              <w:spacing w:before="0"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产品深化方案设计比较</w:t>
            </w:r>
            <w:r/>
          </w:p>
        </w:tc>
        <w:tc>
          <w:tcPr>
            <w:tcW w:w="447"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产品深化方案设计比较</w:t>
            </w:r>
            <w:r/>
          </w:p>
        </w:tc>
        <w:tc>
          <w:tcPr>
            <w:tcW w:w="3449" w:type="pct"/>
            <w:vAlign w:val="center"/>
            <w:textDirection w:val="lrTb"/>
            <w:noWrap w:val="false"/>
          </w:tcPr>
          <w:p>
            <w:pPr>
              <w:pStyle w:val="95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供应商须提供产品清单中下述产品深化方案设计：</w:t>
            </w:r>
            <w:r/>
          </w:p>
          <w:p>
            <w:pPr>
              <w:pStyle w:val="954"/>
              <w:ind w:firstLine="0"/>
              <w:spacing w:before="0" w:line="360" w:lineRule="auto"/>
              <w:rPr>
                <w:rFonts w:hint="eastAsia" w:ascii="宋体" w:hAnsi="宋体" w:eastAsia="宋体" w:cs="宋体"/>
                <w:color w:val="000000"/>
                <w:szCs w:val="24"/>
                <w:highlight w:val="none"/>
              </w:rPr>
            </w:pPr>
            <w:r>
              <w:rPr>
                <w:rFonts w:hint="eastAsia" w:ascii="宋体" w:hAnsi="宋体" w:eastAsia="宋体" w:cs="宋体"/>
                <w:bCs/>
                <w:color w:val="000000"/>
                <w:szCs w:val="24"/>
                <w:highlight w:val="none"/>
              </w:rPr>
              <w:t xml:space="preserve">1.骨灰存放架产品；</w:t>
            </w:r>
            <w:r>
              <w:rPr>
                <w:rFonts w:hint="eastAsia" w:ascii="宋体" w:hAnsi="宋体" w:eastAsia="宋体" w:cs="宋体"/>
                <w:color w:val="000000"/>
                <w:szCs w:val="24"/>
                <w:highlight w:val="none"/>
              </w:rPr>
              <w:t xml:space="preserve">包含①</w:t>
            </w:r>
            <w:r>
              <w:rPr>
                <w:rFonts w:hint="eastAsia" w:ascii="宋体" w:hAnsi="宋体" w:eastAsia="宋体" w:cs="宋体"/>
                <w:bCs/>
                <w:szCs w:val="24"/>
                <w:highlight w:val="none"/>
                <w:lang w:bidi="ar"/>
              </w:rPr>
              <w:t xml:space="preserve">骨灰存放架</w:t>
            </w:r>
            <w:r>
              <w:rPr>
                <w:rFonts w:hint="eastAsia" w:ascii="宋体" w:hAnsi="宋体" w:eastAsia="宋体" w:cs="宋体"/>
                <w:bCs/>
                <w:szCs w:val="24"/>
                <w:highlight w:val="none"/>
              </w:rPr>
              <w:t xml:space="preserve">整体规划平面布置图、</w:t>
            </w:r>
            <w:r>
              <w:rPr>
                <w:rFonts w:hint="eastAsia" w:ascii="宋体" w:hAnsi="宋体" w:eastAsia="宋体" w:cs="宋体"/>
                <w:bCs/>
                <w:szCs w:val="24"/>
                <w:highlight w:val="none"/>
                <w:lang w:bidi="ar"/>
              </w:rPr>
              <w:t xml:space="preserve">鸟瞰图、</w:t>
            </w:r>
            <w:r>
              <w:rPr>
                <w:rFonts w:hint="eastAsia" w:ascii="宋体" w:hAnsi="宋体" w:eastAsia="宋体" w:cs="宋体"/>
                <w:color w:val="000000"/>
                <w:szCs w:val="24"/>
                <w:highlight w:val="none"/>
              </w:rPr>
              <w:t xml:space="preserve">②</w:t>
            </w:r>
            <w:r>
              <w:rPr>
                <w:rFonts w:hint="eastAsia" w:ascii="宋体" w:hAnsi="宋体" w:eastAsia="宋体" w:cs="宋体"/>
                <w:bCs/>
                <w:szCs w:val="24"/>
                <w:highlight w:val="none"/>
                <w:lang w:bidi="ar"/>
              </w:rPr>
              <w:t xml:space="preserve">效果图、</w:t>
            </w:r>
            <w:r>
              <w:rPr>
                <w:rFonts w:hint="eastAsia" w:ascii="宋体" w:hAnsi="宋体" w:eastAsia="宋体" w:cs="宋体"/>
                <w:color w:val="000000"/>
                <w:szCs w:val="24"/>
                <w:highlight w:val="none"/>
              </w:rPr>
              <w:t xml:space="preserve">③</w:t>
            </w:r>
            <w:r>
              <w:rPr>
                <w:rFonts w:hint="eastAsia" w:ascii="宋体" w:hAnsi="宋体" w:eastAsia="宋体" w:cs="宋体"/>
                <w:bCs/>
                <w:szCs w:val="24"/>
                <w:highlight w:val="none"/>
                <w:lang w:bidi="ar"/>
              </w:rPr>
              <w:t xml:space="preserve">产品结构图</w:t>
            </w:r>
            <w:r>
              <w:rPr>
                <w:rFonts w:hint="eastAsia" w:ascii="宋体" w:hAnsi="宋体" w:eastAsia="宋体" w:cs="宋体"/>
                <w:color w:val="000000"/>
                <w:szCs w:val="24"/>
                <w:highlight w:val="none"/>
              </w:rPr>
              <w:t xml:space="preserve">。</w:t>
            </w:r>
            <w:r/>
          </w:p>
          <w:p>
            <w:pPr>
              <w:pStyle w:val="95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图纸清晰完整、完全满足招标内实际采购需求样式、产品结构及招标清单材质要求的每项得2分，有一处内容不合理或错误的得1分，未提供或出现二处及以上内容不合理或错误的此项不得分。最高分6分。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w:t>
            </w:r>
            <w:r/>
          </w:p>
        </w:tc>
        <w:tc>
          <w:tcPr>
            <w:gridSpan w:val="2"/>
            <w:tcW w:w="4168"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生产、供货及售后服务</w:t>
            </w:r>
            <w:r/>
          </w:p>
        </w:tc>
        <w:tc>
          <w:tcPr>
            <w:tcW w:w="447"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项目整体实施方案比较</w:t>
            </w:r>
            <w:r/>
          </w:p>
        </w:tc>
        <w:tc>
          <w:tcPr>
            <w:tcW w:w="3449" w:type="pct"/>
            <w:vAlign w:val="center"/>
            <w:textDirection w:val="lrTb"/>
            <w:noWrap w:val="false"/>
          </w:tcPr>
          <w:p>
            <w:pPr>
              <w:pStyle w:val="955"/>
              <w:ind w:firstLine="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供应商提供本项目的实施进度安排</w:t>
            </w:r>
            <w:r>
              <w:rPr>
                <w:rFonts w:hint="eastAsia" w:ascii="宋体" w:hAnsi="宋体" w:eastAsia="宋体" w:cs="宋体"/>
                <w:color w:val="000000"/>
                <w:sz w:val="24"/>
                <w:szCs w:val="24"/>
                <w:highlight w:val="none"/>
                <w:lang w:val="en-US"/>
              </w:rPr>
              <w:t xml:space="preserve">方案，包含</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①从</w:t>
            </w:r>
            <w:r>
              <w:rPr>
                <w:rFonts w:hint="eastAsia" w:ascii="宋体" w:hAnsi="宋体" w:eastAsia="宋体" w:cs="宋体"/>
                <w:bCs/>
                <w:color w:val="000000"/>
                <w:sz w:val="24"/>
                <w:szCs w:val="24"/>
                <w:highlight w:val="none"/>
                <w:lang w:val="en-US"/>
              </w:rPr>
              <w:t xml:space="preserve">实施</w:t>
            </w:r>
            <w:r>
              <w:rPr>
                <w:rFonts w:hint="eastAsia" w:ascii="宋体" w:hAnsi="宋体" w:eastAsia="宋体" w:cs="宋体"/>
                <w:bCs/>
                <w:color w:val="000000"/>
                <w:sz w:val="24"/>
                <w:szCs w:val="24"/>
                <w:highlight w:val="none"/>
              </w:rPr>
              <w:t xml:space="preserve">进度计划表</w:t>
            </w:r>
            <w:r>
              <w:rPr>
                <w:rFonts w:hint="eastAsia" w:ascii="宋体" w:hAnsi="宋体" w:eastAsia="宋体" w:cs="宋体"/>
                <w:bCs/>
                <w:color w:val="000000"/>
                <w:sz w:val="24"/>
                <w:szCs w:val="24"/>
                <w:highlight w:val="none"/>
                <w:lang w:val="en-US"/>
              </w:rPr>
              <w:t xml:space="preserve">及保证措施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②</w:t>
            </w:r>
            <w:r>
              <w:rPr>
                <w:rFonts w:hint="eastAsia" w:ascii="宋体" w:hAnsi="宋体" w:eastAsia="宋体" w:cs="宋体"/>
                <w:bCs/>
                <w:color w:val="000000"/>
                <w:sz w:val="24"/>
                <w:szCs w:val="24"/>
                <w:highlight w:val="none"/>
              </w:rPr>
              <w:t xml:space="preserve">突发事件的</w:t>
            </w:r>
            <w:r>
              <w:rPr>
                <w:rFonts w:hint="eastAsia" w:ascii="宋体" w:hAnsi="宋体" w:eastAsia="宋体" w:cs="宋体"/>
                <w:sz w:val="24"/>
                <w:szCs w:val="24"/>
                <w:highlight w:val="none"/>
                <w:lang w:bidi="ar"/>
              </w:rPr>
              <w:t xml:space="preserve">应急预案紧急供货的方案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③</w:t>
            </w:r>
            <w:r>
              <w:rPr>
                <w:rFonts w:hint="eastAsia" w:ascii="宋体" w:hAnsi="宋体" w:eastAsia="宋体" w:cs="宋体"/>
                <w:sz w:val="24"/>
                <w:szCs w:val="24"/>
                <w:highlight w:val="none"/>
                <w:lang w:bidi="ar"/>
              </w:rPr>
              <w:t xml:space="preserve">货物运输及配送方案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④</w:t>
            </w:r>
            <w:r>
              <w:rPr>
                <w:rFonts w:hint="eastAsia" w:ascii="宋体" w:hAnsi="宋体" w:eastAsia="宋体" w:cs="宋体"/>
                <w:bCs/>
                <w:color w:val="000000"/>
                <w:sz w:val="24"/>
                <w:szCs w:val="24"/>
                <w:highlight w:val="none"/>
              </w:rPr>
              <w:t xml:space="preserve">安全文明施工制度等方面。方案完整、符合本项目实际需求的，每项得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分，供应商提供方案中每项内容里有一处内容不合理或错误的得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分，未提供或出现二处及以上内容不合理或错误的此项不得分。最高分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p>
            <w:pPr>
              <w:pStyle w:val="955"/>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供应商提供本项目的安装调试方案，</w:t>
            </w:r>
            <w:r>
              <w:rPr>
                <w:rFonts w:hint="eastAsia" w:ascii="宋体" w:hAnsi="宋体" w:eastAsia="宋体" w:cs="宋体"/>
                <w:color w:val="000000"/>
                <w:sz w:val="24"/>
                <w:szCs w:val="24"/>
                <w:highlight w:val="none"/>
                <w:lang w:val="en-US"/>
              </w:rPr>
              <w:t xml:space="preserve">包含</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lang w:val="en-US"/>
              </w:rPr>
              <w:t xml:space="preserve">对本项目主要产品的安装方案说明</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rPr>
              <w:t xml:space="preserve">②</w:t>
            </w:r>
            <w:r>
              <w:rPr>
                <w:rFonts w:hint="eastAsia" w:ascii="宋体" w:hAnsi="宋体" w:eastAsia="宋体" w:cs="宋体"/>
                <w:sz w:val="24"/>
                <w:szCs w:val="24"/>
                <w:highlight w:val="none"/>
                <w:lang w:bidi="ar"/>
              </w:rPr>
              <w:t xml:space="preserve">项目实施中的难点及解决方案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③</w:t>
            </w:r>
            <w:r>
              <w:rPr>
                <w:rFonts w:hint="eastAsia" w:ascii="宋体" w:hAnsi="宋体" w:eastAsia="宋体" w:cs="宋体"/>
                <w:bCs/>
                <w:color w:val="000000"/>
                <w:sz w:val="24"/>
                <w:szCs w:val="24"/>
                <w:highlight w:val="none"/>
              </w:rPr>
              <w:t xml:space="preserve">安装工具设备清单验收组织计划</w:t>
            </w:r>
            <w:r>
              <w:rPr>
                <w:rFonts w:hint="eastAsia" w:ascii="宋体" w:hAnsi="宋体" w:eastAsia="宋体" w:cs="宋体"/>
                <w:sz w:val="24"/>
                <w:szCs w:val="24"/>
                <w:highlight w:val="none"/>
                <w:lang w:bidi="ar"/>
              </w:rPr>
              <w:t xml:space="preserve">、</w:t>
            </w:r>
            <w:r>
              <w:rPr>
                <w:rFonts w:hint="eastAsia" w:ascii="宋体" w:hAnsi="宋体" w:eastAsia="宋体" w:cs="宋体"/>
                <w:color w:val="000000"/>
                <w:sz w:val="24"/>
                <w:szCs w:val="24"/>
                <w:highlight w:val="none"/>
                <w:lang w:val="en-US"/>
              </w:rPr>
              <w:t xml:space="preserve">④</w:t>
            </w:r>
            <w:r>
              <w:rPr>
                <w:rFonts w:hint="eastAsia" w:ascii="宋体" w:hAnsi="宋体" w:eastAsia="宋体" w:cs="宋体"/>
                <w:sz w:val="24"/>
                <w:szCs w:val="24"/>
                <w:highlight w:val="none"/>
                <w:lang w:bidi="ar"/>
              </w:rPr>
              <w:t xml:space="preserve">保证工程顺利移交的具体措施和解决方案</w:t>
            </w:r>
            <w:r>
              <w:rPr>
                <w:rFonts w:hint="eastAsia" w:ascii="宋体" w:hAnsi="宋体" w:eastAsia="宋体" w:cs="宋体"/>
                <w:bCs/>
                <w:color w:val="000000"/>
                <w:sz w:val="24"/>
                <w:szCs w:val="24"/>
                <w:highlight w:val="none"/>
              </w:rPr>
              <w:t xml:space="preserve">。方案完整、符合本项目实际需求的，每项得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分，供应商提供方案中每项内容里有一处内容不合理或错误的得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分，未提供或出现二处及以上内容不合理或错误的此项不得分。最高分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tc>
        <w:tc>
          <w:tcPr>
            <w:tcW w:w="447"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售后服务方案比较</w:t>
            </w:r>
            <w:r/>
          </w:p>
        </w:tc>
        <w:tc>
          <w:tcPr>
            <w:tcW w:w="3449" w:type="pct"/>
            <w:vAlign w:val="center"/>
            <w:textDirection w:val="lrTb"/>
            <w:noWrap w:val="false"/>
          </w:tcPr>
          <w:p>
            <w:pPr>
              <w:pStyle w:val="955"/>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供应商提供本项目的售后方案，包含①</w:t>
            </w:r>
            <w:r>
              <w:rPr>
                <w:rFonts w:hint="eastAsia" w:ascii="宋体" w:hAnsi="宋体" w:eastAsia="宋体" w:cs="宋体"/>
                <w:sz w:val="24"/>
                <w:szCs w:val="24"/>
                <w:highlight w:val="none"/>
              </w:rPr>
              <w:t xml:space="preserve">整体售后服务方案</w:t>
            </w:r>
            <w:r>
              <w:rPr>
                <w:rFonts w:hint="eastAsia" w:ascii="宋体" w:hAnsi="宋体" w:eastAsia="宋体" w:cs="宋体"/>
                <w:bCs/>
                <w:color w:val="000000"/>
                <w:sz w:val="24"/>
                <w:szCs w:val="24"/>
                <w:highlight w:val="none"/>
              </w:rPr>
              <w:t xml:space="preserve">、②售后服务流程及</w:t>
            </w:r>
            <w:r>
              <w:rPr>
                <w:rFonts w:hint="eastAsia" w:ascii="宋体" w:hAnsi="宋体" w:eastAsia="宋体" w:cs="宋体"/>
                <w:bCs/>
                <w:sz w:val="24"/>
                <w:szCs w:val="24"/>
                <w:highlight w:val="none"/>
              </w:rPr>
              <w:t xml:space="preserve">保修措施（含本项目售后服务人员配置、售后服务工具配备）</w:t>
            </w:r>
            <w:r>
              <w:rPr>
                <w:rFonts w:hint="eastAsia" w:ascii="宋体" w:hAnsi="宋体" w:eastAsia="宋体" w:cs="宋体"/>
                <w:bCs/>
                <w:color w:val="000000"/>
                <w:sz w:val="24"/>
                <w:szCs w:val="24"/>
                <w:highlight w:val="none"/>
              </w:rPr>
              <w:t xml:space="preserve">、③培训方案、④</w:t>
            </w:r>
            <w:r>
              <w:rPr>
                <w:rFonts w:hint="eastAsia" w:ascii="宋体" w:hAnsi="宋体" w:eastAsia="宋体" w:cs="宋体"/>
                <w:sz w:val="24"/>
                <w:szCs w:val="24"/>
                <w:highlight w:val="none"/>
              </w:rPr>
              <w:t xml:space="preserve">应急服务方案</w:t>
            </w:r>
            <w:r>
              <w:rPr>
                <w:rFonts w:hint="eastAsia" w:ascii="宋体" w:hAnsi="宋体" w:eastAsia="宋体" w:cs="宋体"/>
                <w:bCs/>
                <w:color w:val="000000"/>
                <w:sz w:val="24"/>
                <w:szCs w:val="24"/>
                <w:highlight w:val="none"/>
              </w:rPr>
              <w:t xml:space="preserve">。</w:t>
            </w:r>
            <w:r/>
          </w:p>
          <w:p>
            <w:pPr>
              <w:pStyle w:val="955"/>
              <w:ind w:firstLine="0"/>
              <w:spacing w:before="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分，供应商提供方案中每项内容有一处内容不合理</w:t>
            </w:r>
            <w:r>
              <w:rPr>
                <w:rFonts w:hint="eastAsia" w:ascii="宋体" w:hAnsi="宋体" w:eastAsia="宋体" w:cs="宋体"/>
                <w:bCs/>
                <w:color w:val="000000"/>
                <w:sz w:val="24"/>
                <w:szCs w:val="24"/>
                <w:highlight w:val="none"/>
                <w:lang w:val="en-US"/>
              </w:rPr>
              <w:t xml:space="preserve">或</w:t>
            </w:r>
            <w:r>
              <w:rPr>
                <w:rFonts w:hint="eastAsia" w:ascii="宋体" w:hAnsi="宋体" w:eastAsia="宋体" w:cs="宋体"/>
                <w:bCs/>
                <w:color w:val="000000"/>
                <w:sz w:val="24"/>
                <w:szCs w:val="24"/>
                <w:highlight w:val="none"/>
              </w:rPr>
              <w:t xml:space="preserve">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p>
            <w:pPr>
              <w:pStyle w:val="954"/>
              <w:spacing w:before="0" w:line="360" w:lineRule="auto"/>
              <w:rPr>
                <w:rFonts w:hint="eastAsia" w:ascii="宋体" w:hAnsi="宋体" w:eastAsia="宋体" w:cs="宋体"/>
                <w:bCs/>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t xml:space="preserve">能提供与本项目相关的附属实用用品或设施等，包括并不限于所提供的与本项目相关的附属实用用品及相关设施的品名、数量、标准及质地等。</w:t>
            </w:r>
            <w:r>
              <w:rPr>
                <w:rFonts w:hint="eastAsia" w:ascii="宋体" w:hAnsi="宋体" w:eastAsia="宋体" w:cs="宋体"/>
                <w:color w:val="000000"/>
                <w:szCs w:val="24"/>
                <w:highlight w:val="none"/>
              </w:rPr>
              <w:t xml:space="preserve">提供的相关的附属实用用品及相关设施实用性强、品质较好，加4分，和本项目存在一定关联的加1分。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延长质保期承诺</w:t>
            </w:r>
            <w:r/>
          </w:p>
        </w:tc>
        <w:tc>
          <w:tcPr>
            <w:tcW w:w="3449" w:type="pct"/>
            <w:vAlign w:val="center"/>
            <w:textDirection w:val="lrTb"/>
            <w:noWrap w:val="false"/>
          </w:tcPr>
          <w:p>
            <w:pPr>
              <w:pStyle w:val="95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供应商承诺在满足招标文件要求(2年)的基础上延长质保期的，承诺延长质保期每延长1年多增加1分，最高得3分。(注：投标文件中须提供承诺函并加盖供应商公章，未提供不得分)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p>
        </w:tc>
      </w:tr>
    </w:tbl>
    <w:p>
      <w:pPr>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华文细黑">
    <w:panose1 w:val="02010600040101010101"/>
  </w:font>
  <w:font w:name="楷体_GB2312">
    <w:panose1 w:val="02010609060101010101"/>
  </w:font>
  <w:font w:name="仿宋_GB2312">
    <w:panose1 w:val="02010609060101010101"/>
  </w:font>
  <w:font w:name="方正仿宋简体">
    <w:panose1 w:val="020B0503020202020204"/>
  </w:font>
  <w:font w:name="Courier New">
    <w:panose1 w:val="02070309020205020404"/>
  </w:font>
  <w:font w:name="创艺简仿宋">
    <w:panose1 w:val="020B050302020202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7"/>
    <w:uiPriority w:val="10"/>
    <w:rPr>
      <w:sz w:val="48"/>
      <w:szCs w:val="48"/>
    </w:rPr>
  </w:style>
  <w:style w:type="character" w:styleId="724">
    <w:name w:val="Subtitle Char"/>
    <w:basedOn w:val="761"/>
    <w:link w:val="780"/>
    <w:uiPriority w:val="11"/>
    <w:rPr>
      <w:sz w:val="24"/>
      <w:szCs w:val="24"/>
    </w:rPr>
  </w:style>
  <w:style w:type="character" w:styleId="725">
    <w:name w:val="Quote Char"/>
    <w:link w:val="810"/>
    <w:uiPriority w:val="29"/>
    <w:rPr>
      <w:i/>
    </w:rPr>
  </w:style>
  <w:style w:type="character" w:styleId="726">
    <w:name w:val="Intense Quote Char"/>
    <w:link w:val="812"/>
    <w:uiPriority w:val="30"/>
    <w:rPr>
      <w:i/>
    </w:rPr>
  </w:style>
  <w:style w:type="character" w:styleId="727">
    <w:name w:val="Header Char"/>
    <w:basedOn w:val="761"/>
    <w:link w:val="777"/>
    <w:uiPriority w:val="99"/>
  </w:style>
  <w:style w:type="character" w:styleId="728">
    <w:name w:val="Caption Char"/>
    <w:basedOn w:val="766"/>
    <w:link w:val="775"/>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1"/>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next w:val="763"/>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8"/>
    <w:uiPriority w:val="9"/>
    <w:unhideWhenUsed/>
    <w:qFormat/>
    <w:pPr>
      <w:keepLines/>
      <w:keepNext/>
      <w:spacing w:before="360" w:after="200"/>
      <w:outlineLvl w:val="1"/>
    </w:pPr>
    <w:rPr>
      <w:rFonts w:ascii="Arial" w:hAnsi="Arial" w:eastAsia="Arial" w:cs="Arial"/>
      <w:sz w:val="34"/>
    </w:rPr>
  </w:style>
  <w:style w:type="paragraph" w:styleId="754">
    <w:name w:val="Heading 3"/>
    <w:link w:val="79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Plain Text"/>
    <w:basedOn w:val="751"/>
    <w:uiPriority w:val="0"/>
    <w:qFormat/>
    <w:rPr>
      <w:rFonts w:hint="eastAsia" w:ascii="宋体" w:hAnsi="Courier New"/>
    </w:rPr>
  </w:style>
  <w:style w:type="paragraph" w:styleId="764">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5">
    <w:name w:val="Normal Indent"/>
    <w:basedOn w:val="751"/>
    <w:next w:val="751"/>
    <w:uiPriority w:val="0"/>
    <w:unhideWhenUsed/>
    <w:qFormat/>
    <w:pPr>
      <w:ind w:firstLine="420"/>
    </w:pPr>
    <w:rPr>
      <w:sz w:val="24"/>
    </w:rPr>
  </w:style>
  <w:style w:type="paragraph" w:styleId="76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7">
    <w:name w:val="annotation text"/>
    <w:basedOn w:val="751"/>
    <w:uiPriority w:val="99"/>
    <w:semiHidden/>
    <w:unhideWhenUsed/>
    <w:qFormat/>
    <w:rPr>
      <w:rFonts w:eastAsia="宋体"/>
      <w:b/>
      <w:sz w:val="24"/>
    </w:rPr>
  </w:style>
  <w:style w:type="paragraph" w:styleId="768">
    <w:name w:val="Body Text"/>
    <w:basedOn w:val="751"/>
    <w:next w:val="751"/>
    <w:uiPriority w:val="0"/>
    <w:unhideWhenUsed/>
    <w:qFormat/>
    <w:pPr>
      <w:spacing w:after="120"/>
    </w:pPr>
    <w:rPr>
      <w:rFonts w:ascii="Times New Roman" w:hAnsi="Times New Roman"/>
    </w:rPr>
  </w:style>
  <w:style w:type="paragraph" w:styleId="769">
    <w:name w:val="Body Text Indent"/>
    <w:basedOn w:val="751"/>
    <w:next w:val="751"/>
    <w:uiPriority w:val="0"/>
    <w:qFormat/>
    <w:pPr>
      <w:ind w:left="570"/>
      <w:spacing w:line="520" w:lineRule="exact"/>
    </w:pPr>
    <w:rPr>
      <w:rFonts w:ascii="方正仿宋简体" w:hAnsi="创艺简仿宋" w:eastAsia="方正仿宋简体"/>
      <w:sz w:val="24"/>
      <w:szCs w:val="20"/>
    </w:rPr>
  </w:style>
  <w:style w:type="paragraph" w:styleId="770">
    <w:name w:val="Block Text"/>
    <w:basedOn w:val="751"/>
    <w:uiPriority w:val="0"/>
    <w:qFormat/>
    <w:pPr>
      <w:ind w:left="630" w:right="-609" w:firstLine="420"/>
      <w:spacing w:line="360" w:lineRule="auto"/>
    </w:pPr>
    <w:rPr>
      <w:rFonts w:hint="eastAsia" w:ascii="仿宋_GB2312" w:eastAsia="仿宋_GB2312"/>
    </w:rPr>
  </w:style>
  <w:style w:type="paragraph" w:styleId="771">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2">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3"/>
    <w:uiPriority w:val="99"/>
    <w:semiHidden/>
    <w:unhideWhenUsed/>
    <w:qFormat/>
    <w:rPr>
      <w:rFonts w:asciiTheme="minorHAnsi" w:hAnsiTheme="minorHAnsi" w:eastAsiaTheme="minorEastAsia" w:cstheme="minorBidi"/>
      <w:szCs w:val="22"/>
      <w:lang w:val="en-US" w:eastAsia="zh-CN" w:bidi="ar-SA"/>
    </w:rPr>
  </w:style>
  <w:style w:type="paragraph" w:styleId="775">
    <w:name w:val="Footer"/>
    <w:link w:val="81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6">
    <w:name w:val="envelope return"/>
    <w:basedOn w:val="751"/>
    <w:uiPriority w:val="0"/>
    <w:qFormat/>
    <w:rPr>
      <w:rFonts w:ascii="Arial" w:hAnsi="Arial" w:eastAsia="宋体"/>
      <w:szCs w:val="24"/>
    </w:rPr>
  </w:style>
  <w:style w:type="paragraph" w:styleId="777">
    <w:name w:val="Header"/>
    <w:link w:val="81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8">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79">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0">
    <w:name w:val="Subtitle"/>
    <w:link w:val="809"/>
    <w:uiPriority w:val="11"/>
    <w:qFormat/>
    <w:pPr>
      <w:spacing w:before="200" w:after="200"/>
    </w:pPr>
    <w:rPr>
      <w:rFonts w:asciiTheme="minorHAnsi" w:hAnsiTheme="minorHAnsi" w:eastAsiaTheme="minorEastAsia" w:cstheme="minorBidi"/>
      <w:sz w:val="24"/>
      <w:szCs w:val="24"/>
      <w:lang w:val="en-US" w:eastAsia="zh-CN" w:bidi="ar-SA"/>
    </w:rPr>
  </w:style>
  <w:style w:type="paragraph" w:styleId="781">
    <w:name w:val="footnote text"/>
    <w:link w:val="942"/>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2">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3">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4">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5">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6">
    <w:name w:val="Normal (Web)"/>
    <w:basedOn w:val="751"/>
    <w:uiPriority w:val="0"/>
    <w:qFormat/>
    <w:pPr>
      <w:spacing w:before="100" w:beforeAutospacing="1" w:after="100" w:afterAutospacing="1"/>
    </w:pPr>
    <w:rPr>
      <w:rFonts w:cs="Times New Roman"/>
      <w:sz w:val="24"/>
    </w:rPr>
  </w:style>
  <w:style w:type="paragraph" w:styleId="787">
    <w:name w:val="Title"/>
    <w:link w:val="808"/>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8">
    <w:name w:val="Body Text First Indent"/>
    <w:basedOn w:val="768"/>
    <w:uiPriority w:val="0"/>
    <w:qFormat/>
    <w:pPr>
      <w:ind w:firstLine="420"/>
    </w:pPr>
  </w:style>
  <w:style w:type="paragraph" w:styleId="789">
    <w:name w:val="Body Text First Indent 2"/>
    <w:basedOn w:val="769"/>
    <w:next w:val="751"/>
    <w:uiPriority w:val="0"/>
    <w:qFormat/>
    <w:pPr>
      <w:ind w:firstLine="420"/>
    </w:p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1"/>
    <w:uiPriority w:val="0"/>
    <w:qFormat/>
    <w:rPr>
      <w:b/>
    </w:rPr>
  </w:style>
  <w:style w:type="character" w:styleId="792">
    <w:name w:val="endnote reference"/>
    <w:uiPriority w:val="99"/>
    <w:semiHidden/>
    <w:unhideWhenUsed/>
    <w:qFormat/>
    <w:rPr>
      <w:vertAlign w:val="superscript"/>
    </w:rPr>
  </w:style>
  <w:style w:type="character" w:styleId="793">
    <w:name w:val="Emphasis"/>
    <w:basedOn w:val="761"/>
    <w:uiPriority w:val="0"/>
    <w:qFormat/>
    <w:rPr>
      <w:i/>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annotation reference"/>
    <w:basedOn w:val="761"/>
    <w:uiPriority w:val="0"/>
    <w:qFormat/>
    <w:rPr>
      <w:sz w:val="21"/>
      <w:szCs w:val="21"/>
    </w:rPr>
  </w:style>
  <w:style w:type="character" w:styleId="796">
    <w:name w:val="footnote reference"/>
    <w:uiPriority w:val="99"/>
    <w:unhideWhenUsed/>
    <w:qFormat/>
    <w:rPr>
      <w:vertAlign w:val="superscript"/>
    </w:rPr>
  </w:style>
  <w:style w:type="character" w:styleId="797" w:customStyle="1">
    <w:name w:val="标题 1 字符"/>
    <w:link w:val="752"/>
    <w:uiPriority w:val="9"/>
    <w:qFormat/>
    <w:rPr>
      <w:rFonts w:ascii="Arial" w:hAnsi="Arial" w:eastAsia="Arial" w:cs="Arial"/>
      <w:sz w:val="40"/>
      <w:szCs w:val="40"/>
    </w:rPr>
  </w:style>
  <w:style w:type="character" w:styleId="798" w:customStyle="1">
    <w:name w:val="标题 2 字符"/>
    <w:link w:val="753"/>
    <w:uiPriority w:val="9"/>
    <w:qFormat/>
    <w:rPr>
      <w:rFonts w:ascii="Arial" w:hAnsi="Arial" w:eastAsia="Arial" w:cs="Arial"/>
      <w:sz w:val="34"/>
    </w:rPr>
  </w:style>
  <w:style w:type="character" w:styleId="799" w:customStyle="1">
    <w:name w:val="标题 3 字符"/>
    <w:link w:val="754"/>
    <w:uiPriority w:val="9"/>
    <w:qFormat/>
    <w:rPr>
      <w:rFonts w:ascii="Arial" w:hAnsi="Arial" w:eastAsia="Arial" w:cs="Arial"/>
      <w:sz w:val="30"/>
      <w:szCs w:val="30"/>
    </w:rPr>
  </w:style>
  <w:style w:type="character" w:styleId="800" w:customStyle="1">
    <w:name w:val="标题 4 字符"/>
    <w:link w:val="755"/>
    <w:uiPriority w:val="9"/>
    <w:qFormat/>
    <w:rPr>
      <w:rFonts w:ascii="Arial" w:hAnsi="Arial" w:eastAsia="Arial" w:cs="Arial"/>
      <w:b/>
      <w:bCs/>
      <w:sz w:val="26"/>
      <w:szCs w:val="26"/>
    </w:rPr>
  </w:style>
  <w:style w:type="character" w:styleId="801" w:customStyle="1">
    <w:name w:val="标题 5 字符"/>
    <w:link w:val="756"/>
    <w:uiPriority w:val="9"/>
    <w:qFormat/>
    <w:rPr>
      <w:rFonts w:ascii="Arial" w:hAnsi="Arial" w:eastAsia="Arial" w:cs="Arial"/>
      <w:b/>
      <w:bCs/>
      <w:sz w:val="24"/>
      <w:szCs w:val="24"/>
    </w:rPr>
  </w:style>
  <w:style w:type="character" w:styleId="802" w:customStyle="1">
    <w:name w:val="标题 6 字符"/>
    <w:link w:val="757"/>
    <w:uiPriority w:val="9"/>
    <w:qFormat/>
    <w:rPr>
      <w:rFonts w:ascii="Arial" w:hAnsi="Arial" w:eastAsia="Arial" w:cs="Arial"/>
      <w:b/>
      <w:bCs/>
      <w:sz w:val="22"/>
      <w:szCs w:val="22"/>
    </w:rPr>
  </w:style>
  <w:style w:type="character" w:styleId="803" w:customStyle="1">
    <w:name w:val="标题 7 字符"/>
    <w:link w:val="758"/>
    <w:uiPriority w:val="9"/>
    <w:qFormat/>
    <w:rPr>
      <w:rFonts w:ascii="Arial" w:hAnsi="Arial" w:eastAsia="Arial" w:cs="Arial"/>
      <w:b/>
      <w:bCs/>
      <w:i/>
      <w:iCs/>
      <w:sz w:val="22"/>
      <w:szCs w:val="22"/>
    </w:rPr>
  </w:style>
  <w:style w:type="character" w:styleId="804" w:customStyle="1">
    <w:name w:val="标题 8 字符"/>
    <w:link w:val="759"/>
    <w:uiPriority w:val="9"/>
    <w:qFormat/>
    <w:rPr>
      <w:rFonts w:ascii="Arial" w:hAnsi="Arial" w:eastAsia="Arial" w:cs="Arial"/>
      <w:i/>
      <w:iCs/>
      <w:sz w:val="22"/>
      <w:szCs w:val="22"/>
    </w:rPr>
  </w:style>
  <w:style w:type="character" w:styleId="805" w:customStyle="1">
    <w:name w:val="标题 9 字符"/>
    <w:link w:val="760"/>
    <w:uiPriority w:val="9"/>
    <w:qFormat/>
    <w:rPr>
      <w:rFonts w:ascii="Arial" w:hAnsi="Arial" w:eastAsia="Arial" w:cs="Arial"/>
      <w:i/>
      <w:iCs/>
      <w:sz w:val="21"/>
      <w:szCs w:val="21"/>
    </w:rPr>
  </w:style>
  <w:style w:type="paragraph" w:styleId="806">
    <w:name w:val="List Paragraph"/>
    <w:basedOn w:val="751"/>
    <w:uiPriority w:val="34"/>
    <w:qFormat/>
    <w:pPr>
      <w:contextualSpacing/>
      <w:ind w:left="720"/>
    </w:pPr>
  </w:style>
  <w:style w:type="paragraph" w:styleId="807">
    <w:name w:val="No Spacing"/>
    <w:uiPriority w:val="1"/>
    <w:qFormat/>
    <w:rPr>
      <w:rFonts w:asciiTheme="minorHAnsi" w:hAnsiTheme="minorHAnsi" w:eastAsiaTheme="minorEastAsia" w:cstheme="minorBidi"/>
      <w:sz w:val="21"/>
      <w:szCs w:val="22"/>
      <w:lang w:val="en-US" w:eastAsia="zh-CN" w:bidi="ar-SA"/>
    </w:rPr>
  </w:style>
  <w:style w:type="character" w:styleId="808" w:customStyle="1">
    <w:name w:val="标题 字符"/>
    <w:link w:val="787"/>
    <w:uiPriority w:val="10"/>
    <w:qFormat/>
    <w:rPr>
      <w:sz w:val="48"/>
      <w:szCs w:val="48"/>
    </w:rPr>
  </w:style>
  <w:style w:type="character" w:styleId="809" w:customStyle="1">
    <w:name w:val="副标题 字符"/>
    <w:link w:val="780"/>
    <w:uiPriority w:val="11"/>
    <w:qFormat/>
    <w:rPr>
      <w:sz w:val="24"/>
      <w:szCs w:val="24"/>
    </w:rPr>
  </w:style>
  <w:style w:type="paragraph" w:styleId="810">
    <w:name w:val="Quote"/>
    <w:link w:val="811"/>
    <w:uiPriority w:val="29"/>
    <w:qFormat/>
    <w:pPr>
      <w:ind w:left="720" w:right="720"/>
    </w:pPr>
    <w:rPr>
      <w:rFonts w:asciiTheme="minorHAnsi" w:hAnsiTheme="minorHAnsi" w:eastAsiaTheme="minorEastAsia" w:cstheme="minorBidi"/>
      <w:i/>
      <w:sz w:val="21"/>
      <w:szCs w:val="22"/>
      <w:lang w:val="en-US" w:eastAsia="zh-CN" w:bidi="ar-SA"/>
    </w:rPr>
  </w:style>
  <w:style w:type="character" w:styleId="811" w:customStyle="1">
    <w:name w:val="引用 字符"/>
    <w:link w:val="810"/>
    <w:uiPriority w:val="29"/>
    <w:qFormat/>
    <w:rPr>
      <w:i/>
    </w:rPr>
  </w:style>
  <w:style w:type="paragraph" w:styleId="812">
    <w:name w:val="Intense Quote"/>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3" w:customStyle="1">
    <w:name w:val="明显引用 字符"/>
    <w:link w:val="812"/>
    <w:uiPriority w:val="30"/>
    <w:qFormat/>
    <w:rPr>
      <w:i/>
    </w:rPr>
  </w:style>
  <w:style w:type="character" w:styleId="814" w:customStyle="1">
    <w:name w:val="页眉 字符"/>
    <w:link w:val="777"/>
    <w:uiPriority w:val="99"/>
    <w:qFormat/>
  </w:style>
  <w:style w:type="character" w:styleId="815" w:customStyle="1">
    <w:name w:val="Footer Char"/>
    <w:uiPriority w:val="99"/>
    <w:qFormat/>
  </w:style>
  <w:style w:type="character" w:styleId="816" w:customStyle="1">
    <w:name w:val="页脚 字符"/>
    <w:link w:val="775"/>
    <w:uiPriority w:val="99"/>
    <w:qFormat/>
  </w:style>
  <w:style w:type="table" w:styleId="8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81"/>
    <w:uiPriority w:val="99"/>
    <w:qFormat/>
    <w:rPr>
      <w:sz w:val="18"/>
    </w:rPr>
  </w:style>
  <w:style w:type="character" w:styleId="943" w:customStyle="1">
    <w:name w:val="尾注文本 字符"/>
    <w:link w:val="774"/>
    <w:uiPriority w:val="99"/>
    <w:qFormat/>
    <w:rPr>
      <w:sz w:val="20"/>
    </w:rPr>
  </w:style>
  <w:style w:type="paragraph" w:styleId="944"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5" w:customStyle="1">
    <w:name w:val="WPSOffice手动目录 1"/>
    <w:uiPriority w:val="0"/>
    <w:qFormat/>
    <w:rPr>
      <w:rFonts w:asciiTheme="minorHAnsi" w:hAnsiTheme="minorHAnsi" w:eastAsiaTheme="minorEastAsia" w:cstheme="minorBidi"/>
      <w:lang w:val="en-US" w:eastAsia="zh-CN" w:bidi="ar-SA"/>
    </w:rPr>
  </w:style>
  <w:style w:type="character" w:styleId="946" w:customStyle="1">
    <w:name w:val="font71"/>
    <w:basedOn w:val="761"/>
    <w:uiPriority w:val="0"/>
    <w:qFormat/>
    <w:rPr>
      <w:rFonts w:ascii="Arial" w:hAnsi="Arial" w:cs="Arial"/>
      <w:color w:val="000000"/>
      <w:sz w:val="20"/>
      <w:szCs w:val="20"/>
      <w:u w:val="none"/>
    </w:rPr>
  </w:style>
  <w:style w:type="character" w:styleId="947" w:customStyle="1">
    <w:name w:val="font11"/>
    <w:basedOn w:val="761"/>
    <w:uiPriority w:val="0"/>
    <w:qFormat/>
    <w:rPr>
      <w:rFonts w:hint="eastAsia" w:ascii="宋体" w:hAnsi="宋体" w:eastAsia="宋体" w:cs="宋体"/>
      <w:color w:val="000000"/>
      <w:sz w:val="20"/>
      <w:szCs w:val="20"/>
      <w:u w:val="none"/>
    </w:rPr>
  </w:style>
  <w:style w:type="character" w:styleId="948" w:customStyle="1">
    <w:name w:val="font81"/>
    <w:basedOn w:val="761"/>
    <w:uiPriority w:val="0"/>
    <w:qFormat/>
    <w:rPr>
      <w:rFonts w:hint="default" w:ascii="Times New Roman" w:hAnsi="Times New Roman" w:cs="Times New Roman"/>
      <w:color w:val="000000"/>
      <w:sz w:val="20"/>
      <w:szCs w:val="20"/>
      <w:u w:val="none"/>
    </w:rPr>
  </w:style>
  <w:style w:type="paragraph" w:styleId="949" w:customStyle="1">
    <w:name w:val="Normal_17"/>
    <w:uiPriority w:val="0"/>
    <w:qFormat/>
    <w:rPr>
      <w:rFonts w:ascii="Times New Roman" w:hAnsi="Times New Roman" w:eastAsia="Times New Roman" w:cs="Times New Roman"/>
      <w:sz w:val="24"/>
      <w:szCs w:val="24"/>
      <w:lang w:val="en-US" w:eastAsia="zh-CN" w:bidi="ar-SA"/>
    </w:rPr>
  </w:style>
  <w:style w:type="character" w:styleId="950" w:customStyle="1">
    <w:name w:val="font21"/>
    <w:basedOn w:val="761"/>
    <w:uiPriority w:val="0"/>
    <w:qFormat/>
    <w:rPr>
      <w:rFonts w:hint="eastAsia" w:ascii="宋体" w:hAnsi="宋体" w:eastAsia="宋体" w:cs="宋体"/>
      <w:color w:val="ff0000"/>
      <w:sz w:val="20"/>
      <w:szCs w:val="20"/>
      <w:u w:val="none"/>
    </w:rPr>
  </w:style>
  <w:style w:type="paragraph" w:styleId="951" w:customStyle="1">
    <w:name w:val="纯文本1"/>
    <w:basedOn w:val="751"/>
    <w:uiPriority w:val="0"/>
    <w:qFormat/>
    <w:rPr>
      <w:rFonts w:ascii="宋体" w:hAnsi="Courier New" w:eastAsia="楷体_GB2312"/>
      <w:sz w:val="26"/>
    </w:rPr>
  </w:style>
  <w:style w:type="character" w:styleId="952"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3"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4" w:customStyle="1">
    <w:name w:val="Table Paragraph"/>
    <w:basedOn w:val="751"/>
    <w:uiPriority w:val="1"/>
    <w:qFormat/>
    <w:rPr>
      <w:sz w:val="24"/>
    </w:rPr>
  </w:style>
  <w:style w:type="paragraph" w:styleId="955" w:customStyle="1">
    <w:name w:val="首行缩进"/>
    <w:basedOn w:val="751"/>
    <w:uiPriority w:val="0"/>
    <w:qFormat/>
    <w:pPr>
      <w:ind w:firstLine="480"/>
    </w:pPr>
    <w:rPr>
      <w:lang w:val="zh-CN"/>
    </w:rPr>
  </w:style>
  <w:style w:type="paragraph" w:styleId="956" w:customStyle="1">
    <w:name w:val="Table Text"/>
    <w:basedOn w:val="751"/>
    <w:uiPriority w:val="0"/>
    <w:semiHidden/>
    <w:qFormat/>
    <w:rPr>
      <w:rFonts w:ascii="仿宋" w:hAnsi="仿宋" w:eastAsia="仿宋" w:cs="宋体"/>
      <w:color w:val="000000"/>
      <w:sz w:val="28"/>
      <w:szCs w:val="28"/>
    </w:rPr>
  </w:style>
  <w:style w:type="paragraph" w:styleId="957"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66</cp:revision>
  <dcterms:created xsi:type="dcterms:W3CDTF">2024-11-19T01:25:00Z</dcterms:created>
  <dcterms:modified xsi:type="dcterms:W3CDTF">2026-06-16T02:44:37Z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CACF4B1FD0344CE79D05782EBEB4B122_13</vt:lpwstr>
  </property>
  <property fmtid="{D5CDD505-2E9C-101B-9397-08002B2CF9AE}" pid="4" name="KSOTemplateDocerSaveRecord">
    <vt:lpwstr>eyJoZGlkIjoiMmEwMTgwYmFhMTNmMWJiYWQyZGI4YmI5YWVhNmVkOWEiLCJ1c2VySWQiOiI0MzIyNTQ5MTkifQ==</vt:lpwstr>
  </property>
</Properties>
</file>