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spacing w:before="120" w:beforeAutospacing="0" w:after="120" w:afterAutospacing="0" w:line="360" w:lineRule="auto"/>
        <w:rPr>
          <w:color w:val="auto"/>
          <w:highlight w:val="none"/>
        </w:rPr>
      </w:pPr>
      <w:r>
        <w:rPr>
          <w:rFonts w:hint="eastAsia"/>
          <w:color w:val="auto"/>
          <w:highlight w:val="none"/>
          <w:lang w:eastAsia="zh-CN"/>
        </w:rPr>
      </w:r>
      <w:r/>
    </w:p>
    <w:p>
      <w:pPr>
        <w:pStyle w:val="67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7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677"/>
        <w:jc w:val="center"/>
        <w:spacing w:before="120" w:beforeAutospacing="0" w:after="120" w:afterAutospacing="0" w:line="360" w:lineRule="auto"/>
        <w:rPr>
          <w:rFonts w:hint="eastAsia" w:ascii="Arial" w:hAnsi="Arial" w:cs="Arial" w:eastAsiaTheme="minorEastAsia"/>
          <w:b w:val="0"/>
          <w:bCs/>
          <w:color w:val="auto"/>
          <w:sz w:val="24"/>
          <w:szCs w:val="24"/>
          <w:highlight w:val="none"/>
          <w:lang w:val="en-US" w:eastAsia="zh-CN"/>
        </w:rPr>
      </w:pPr>
      <w:r>
        <w:rPr>
          <w:rFonts w:hint="eastAsia" w:ascii="Arial" w:hAnsi="Arial" w:cs="Arial"/>
          <w:b w:val="0"/>
          <w:bCs/>
          <w:color w:val="auto"/>
          <w:sz w:val="24"/>
          <w:szCs w:val="24"/>
          <w:highlight w:val="none"/>
          <w:lang w:val="en-US" w:eastAsia="zh-CN"/>
        </w:rPr>
        <w:t xml:space="preserve">（服务类）</w:t>
      </w:r>
      <w:r/>
    </w:p>
    <w:p>
      <w:pPr>
        <w:pStyle w:val="677"/>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7"/>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7"/>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射阳县自然资源和规划局2026年度射阳县地形图测绘成果更新维护项目</w:t>
      </w:r>
      <w:r/>
    </w:p>
    <w:p>
      <w:pPr>
        <w:pStyle w:val="677"/>
        <w:ind w:firstLine="643"/>
        <w:spacing w:before="120" w:beforeAutospacing="0" w:after="120" w:afterAutospacing="0" w:line="360" w:lineRule="auto"/>
        <w:rPr>
          <w:color w:val="auto"/>
          <w:highlight w:val="yellow"/>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rPr>
        <w:t xml:space="preserve">JSZC-320924-SYHY-C2026-000</w:t>
      </w:r>
      <w:r>
        <w:rPr>
          <w:rFonts w:hint="eastAsia" w:ascii="Arial" w:hAnsi="Arial" w:cs="Arial"/>
          <w:b/>
          <w:color w:val="auto"/>
          <w:sz w:val="32"/>
          <w:szCs w:val="32"/>
          <w:highlight w:val="none"/>
          <w:lang w:val="en-US" w:eastAsia="zh-CN"/>
        </w:rPr>
        <w:t xml:space="preserve">8</w:t>
      </w:r>
      <w:r>
        <w:rPr>
          <w:rFonts w:ascii="Times New Roman" w:hAnsi="Times New Roman"/>
          <w:b/>
          <w:color w:val="auto"/>
          <w:sz w:val="30"/>
          <w:szCs w:val="30"/>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spacing w:beforeAutospacing="0" w:afterAutospacing="0" w:line="360" w:lineRule="auto"/>
        <w:rPr>
          <w:color w:val="auto"/>
          <w:highlight w:val="none"/>
        </w:rPr>
      </w:pPr>
      <w:r>
        <w:rPr>
          <w:color w:val="auto"/>
          <w:highlight w:val="none"/>
        </w:rPr>
        <w:t xml:space="preserve"> </w:t>
      </w:r>
      <w:r/>
    </w:p>
    <w:p>
      <w:pPr>
        <w:pStyle w:val="677"/>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：射阳县自然资源和规划局</w:t>
      </w:r>
      <w:r/>
    </w:p>
    <w:p>
      <w:pPr>
        <w:pStyle w:val="677"/>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代理机构：射阳宏远财会服务有限公司</w:t>
      </w:r>
      <w:r/>
    </w:p>
    <w:p>
      <w:pPr>
        <w:pStyle w:val="677"/>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677"/>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77"/>
        <w:jc w:val="center"/>
        <w:spacing w:before="120" w:beforeAutospacing="0" w:after="120" w:afterAutospacing="0" w:line="360" w:lineRule="auto"/>
        <w:rPr>
          <w:color w:val="auto"/>
          <w:highlight w:val="none"/>
        </w:rPr>
      </w:pPr>
      <w:r>
        <w:rPr>
          <w:color w:val="auto"/>
          <w:highlight w:val="none"/>
        </w:rPr>
        <w:t xml:space="preserve"> </w:t>
      </w:r>
      <w:r/>
    </w:p>
    <w:p>
      <w:pPr>
        <w:pStyle w:val="677"/>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20823272"/>
      <w:r/>
      <w:bookmarkStart w:id="1" w:name="_Toc513029200"/>
      <w:r/>
      <w:bookmarkStart w:id="2" w:name="_Toc479757206"/>
      <w:r/>
      <w:bookmarkStart w:id="3" w:name="_Toc120614210"/>
      <w:r/>
      <w:bookmarkStart w:id="4" w:name="_Toc523127445"/>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77"/>
        <w:jc w:val="both"/>
        <w:spacing w:beforeAutospacing="0" w:afterAutospacing="0" w:line="480" w:lineRule="auto"/>
        <w:rPr>
          <w:color w:val="auto"/>
          <w:highlight w:val="none"/>
        </w:rPr>
      </w:pPr>
      <w:r>
        <w:rPr>
          <w:color w:val="auto"/>
          <w:highlight w:val="none"/>
        </w:rPr>
        <w:t xml:space="preserve"> </w:t>
      </w:r>
      <w:r/>
    </w:p>
    <w:p>
      <w:pPr>
        <w:pStyle w:val="677"/>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77"/>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4</w:t>
      </w:r>
      <w:r>
        <w:rPr>
          <w:rFonts w:hint="eastAsia" w:ascii="黑体" w:hAnsi="宋体" w:eastAsia="黑体" w:cs="黑体"/>
          <w:color w:val="auto"/>
          <w:sz w:val="36"/>
          <w:szCs w:val="36"/>
          <w:highlight w:val="none"/>
        </w:rPr>
        <w:t xml:space="preserve">  </w:t>
      </w:r>
      <w:r/>
    </w:p>
    <w:p>
      <w:pPr>
        <w:pStyle w:val="67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16</w:t>
      </w:r>
      <w:r/>
    </w:p>
    <w:p>
      <w:pPr>
        <w:pStyle w:val="67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20</w:t>
      </w:r>
      <w:r/>
    </w:p>
    <w:p>
      <w:pPr>
        <w:pStyle w:val="67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27</w:t>
      </w:r>
      <w:r/>
    </w:p>
    <w:p>
      <w:pPr>
        <w:pStyle w:val="67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31</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134" w:right="1134" w:bottom="1134" w:left="1134" w:header="851" w:footer="992" w:gutter="0"/>
          <w:cols w:num="1" w:sep="0" w:space="425" w:equalWidth="1"/>
          <w:docGrid w:linePitch="360"/>
        </w:sectPr>
        <w:outlineLvl w:val="9"/>
      </w:pPr>
      <w:r/>
      <w:bookmarkStart w:id="6" w:name="_Toc28359086"/>
      <w:r/>
      <w:r/>
    </w:p>
    <w:p>
      <w:pPr>
        <w:pStyle w:val="677"/>
        <w:jc w:val="center"/>
        <w:keepNext/>
        <w:spacing w:beforeAutospacing="0" w:afterAutospacing="0"/>
        <w:rPr>
          <w:rFonts w:hint="eastAsia" w:ascii="仿宋" w:hAnsi="仿宋" w:eastAsia="仿宋" w:cs="仿宋"/>
          <w:color w:val="auto"/>
          <w:sz w:val="28"/>
          <w:szCs w:val="28"/>
          <w:highlight w:val="none"/>
          <w:lang w:val="en-US" w:eastAsia="zh-CN"/>
        </w:rPr>
        <w:outlineLvl w:val="0"/>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677"/>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outlineLvl w:val="0"/>
      </w:pPr>
      <w:r>
        <w:rPr>
          <w:rFonts w:hint="eastAsia" w:ascii="宋体" w:hAnsi="宋体" w:eastAsia="宋体" w:cs="宋体"/>
          <w:color w:val="auto"/>
          <w:sz w:val="24"/>
          <w:szCs w:val="24"/>
          <w:highlight w:val="none"/>
        </w:rPr>
        <w:t xml:space="preserve">项目概况</w:t>
      </w:r>
      <w:r/>
    </w:p>
    <w:p>
      <w:pPr>
        <w:pStyle w:val="677"/>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射阳县自然资源和规划局2026年度射阳县地形图测绘成果更新维护项目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ind w:left="420"/>
        <w:jc w:val="left"/>
        <w:rPr>
          <w:rFonts w:hint="eastAsia" w:asciiTheme="minorEastAsia" w:hAnsiTheme="minorEastAsia" w:eastAsiaTheme="minorEastAsia" w:cstheme="minorEastAsia"/>
          <w:b/>
          <w:bCs/>
          <w:sz w:val="28"/>
          <w:szCs w:val="40"/>
          <w:lang w:val="en-US" w:eastAsia="zh-CN"/>
        </w:rPr>
        <w:outlineLvl w:val="0"/>
      </w:pPr>
      <w:r/>
      <w:bookmarkStart w:id="7" w:name="_Toc28359002"/>
      <w:r/>
      <w:bookmarkStart w:id="8" w:name="_Toc38985263"/>
      <w:r/>
      <w:bookmarkStart w:id="9" w:name="_Toc35393790"/>
      <w:r/>
      <w:bookmarkStart w:id="10" w:name="_Toc35393621"/>
      <w:r/>
      <w:bookmarkStart w:id="11" w:name="_Toc28359079"/>
      <w:r/>
      <w:bookmarkStart w:id="12" w:name="_Hlk24379207"/>
      <w:r>
        <w:rPr>
          <w:rFonts w:hint="eastAsia" w:asciiTheme="minorEastAsia" w:hAnsiTheme="minorEastAsia" w:eastAsiaTheme="minorEastAsia" w:cstheme="minorEastAsia"/>
          <w:b/>
          <w:bCs/>
          <w:sz w:val="28"/>
          <w:szCs w:val="40"/>
          <w:lang w:val="en-US" w:eastAsia="zh-CN"/>
        </w:rPr>
        <w:t xml:space="preserve">一、项目基本情况</w:t>
      </w:r>
      <w:bookmarkEnd w:id="7"/>
      <w:r/>
      <w:bookmarkEnd w:id="8"/>
      <w:r/>
      <w:bookmarkEnd w:id="9"/>
      <w:r/>
      <w:bookmarkEnd w:id="10"/>
      <w:r/>
      <w:bookmarkEnd w:id="11"/>
      <w:r/>
      <w:bookmarkEnd w:id="12"/>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1.项目编号：JSZC-320924-SYHY-C2026-000</w:t>
      </w:r>
      <w:r>
        <w:rPr>
          <w:rFonts w:hint="eastAsia" w:ascii="宋体" w:hAnsi="宋体" w:eastAsia="宋体" w:cs="宋体"/>
          <w:color w:val="auto"/>
          <w:sz w:val="24"/>
          <w:szCs w:val="24"/>
          <w:highlight w:val="none"/>
          <w:lang w:val="en-US" w:eastAsia="zh-CN"/>
        </w:rPr>
        <w:t xml:space="preserve">8</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2.项目名称：射阳县自然资源和规划局2026年度射阳县地形图测绘成果更新维护项目</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额：115万元</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115</w:t>
      </w:r>
      <w:r>
        <w:rPr>
          <w:rFonts w:hint="eastAsia" w:ascii="宋体" w:hAnsi="宋体" w:eastAsia="宋体" w:cs="宋体"/>
          <w:i w:val="0"/>
          <w:iCs w:val="0"/>
          <w:caps w:val="0"/>
          <w:color w:val="auto"/>
          <w:spacing w:val="0"/>
          <w:sz w:val="24"/>
          <w:szCs w:val="24"/>
          <w:highlight w:val="none"/>
          <w:shd w:val="clear" w:color="auto" w:fill="auto"/>
        </w:rPr>
        <w:t xml:space="preserve">万元，投标报价高于最高限价的作无效标处理。</w:t>
      </w:r>
      <w:r/>
    </w:p>
    <w:p>
      <w:pPr>
        <w:pStyle w:val="677"/>
        <w:ind w:firstLine="482"/>
        <w:jc w:val="both"/>
        <w:keepLines w:val="0"/>
        <w:keepNext w:val="0"/>
        <w:pageBreakBefore w:val="0"/>
        <w:spacing w:beforeAutospacing="0" w:afterAutospacing="0" w:line="36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 xml:space="preserve">6.评标方法：综合评分法</w:t>
      </w:r>
      <w:r/>
    </w:p>
    <w:p>
      <w:pPr>
        <w:ind w:firstLine="480"/>
        <w:jc w:val="left"/>
        <w:keepLines w:val="0"/>
        <w:keepNext w:val="0"/>
        <w:pageBreakBefore w:val="0"/>
        <w:spacing w:line="36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rPr>
        <w:t xml:space="preserve">.采购需求：</w:t>
      </w:r>
      <w:r>
        <w:rPr>
          <w:rFonts w:hint="eastAsia" w:asciiTheme="minorEastAsia" w:hAnsiTheme="minorEastAsia" w:eastAsiaTheme="minorEastAsia" w:cstheme="minorEastAsia"/>
          <w:bCs/>
          <w:sz w:val="24"/>
          <w:szCs w:val="24"/>
          <w:lang w:eastAsia="zh-CN"/>
        </w:rPr>
        <w:t xml:space="preserve">射阳县自然资源和规划局2026年度射阳县地形图测绘成果更新维护项目，</w:t>
      </w:r>
      <w:r>
        <w:rPr>
          <w:rFonts w:hint="eastAsia" w:asciiTheme="minorEastAsia" w:hAnsiTheme="minorEastAsia" w:eastAsiaTheme="minorEastAsia" w:cstheme="minorEastAsia"/>
          <w:bCs/>
          <w:sz w:val="24"/>
          <w:szCs w:val="24"/>
        </w:rPr>
        <w:t xml:space="preserve">采购内容如下：</w:t>
      </w:r>
      <w:r/>
    </w:p>
    <w:p>
      <w:pPr>
        <w:ind w:firstLine="480"/>
        <w:jc w:val="left"/>
        <w:keepLines w:val="0"/>
        <w:keepNext w:val="0"/>
        <w:pageBreakBefore w:val="0"/>
        <w:spacing w:line="36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①县城规划区、镇区约273.35平方公里1：1000大比例尺地形图变化区域更新及县城规划区、镇区外约2199.82平方公里1：2000大比例尺地形图变化区域更新。</w:t>
      </w:r>
      <w:r/>
    </w:p>
    <w:p>
      <w:pPr>
        <w:ind w:firstLine="480"/>
        <w:jc w:val="left"/>
        <w:keepLines w:val="0"/>
        <w:keepNext w:val="0"/>
        <w:pageBreakBefore w:val="0"/>
        <w:spacing w:line="36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②制作射阳县基础测绘数据现状分布索引图。</w:t>
      </w:r>
      <w:r/>
    </w:p>
    <w:p>
      <w:pPr>
        <w:ind w:firstLine="480"/>
        <w:jc w:val="left"/>
        <w:keepLines w:val="0"/>
        <w:keepNext w:val="0"/>
        <w:pageBreakBefore w:val="0"/>
        <w:spacing w:line="360" w:lineRule="exact"/>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 xml:space="preserve">③</w:t>
      </w:r>
      <w:r>
        <w:rPr>
          <w:rFonts w:hint="eastAsia" w:asciiTheme="minorEastAsia" w:hAnsiTheme="minorEastAsia" w:eastAsiaTheme="minorEastAsia" w:cstheme="minorEastAsia"/>
          <w:bCs/>
          <w:sz w:val="24"/>
          <w:szCs w:val="24"/>
          <w:lang w:val="en-US" w:eastAsia="zh-CN"/>
        </w:rPr>
        <w:t xml:space="preserve">地理实体数据更新（省厅下发的70.77平方公里工作界）。</w:t>
      </w:r>
      <w:r/>
    </w:p>
    <w:p>
      <w:pPr>
        <w:ind w:firstLine="480"/>
        <w:jc w:val="left"/>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Cs/>
          <w:sz w:val="24"/>
          <w:szCs w:val="24"/>
        </w:rPr>
        <w:fldChar w:fldCharType="begin"/>
      </w:r>
      <w:r>
        <w:rPr>
          <w:rFonts w:hint="eastAsia" w:asciiTheme="minorEastAsia" w:hAnsiTheme="minorEastAsia" w:eastAsiaTheme="minorEastAsia" w:cstheme="minorEastAsia"/>
          <w:bCs/>
          <w:sz w:val="24"/>
          <w:szCs w:val="24"/>
        </w:rPr>
        <w:instrText xml:space="preserve"> = 4 \* GB3 \* MERGEFORMAT </w:instrText>
      </w:r>
      <w:r>
        <w:rPr>
          <w:rFonts w:hint="eastAsia" w:asciiTheme="minorEastAsia" w:hAnsiTheme="minorEastAsia" w:eastAsiaTheme="minorEastAsia" w:cstheme="minorEastAsia"/>
          <w:bCs/>
          <w:sz w:val="24"/>
          <w:szCs w:val="24"/>
        </w:rPr>
        <w:fldChar w:fldCharType="separate"/>
      </w:r>
      <w:r>
        <w:rPr>
          <w:rFonts w:hint="eastAsia" w:asciiTheme="minorEastAsia" w:hAnsiTheme="minorEastAsia" w:eastAsiaTheme="minorEastAsia" w:cstheme="minorEastAsia"/>
          <w:sz w:val="24"/>
          <w:szCs w:val="24"/>
        </w:rPr>
        <w:t xml:space="preserve">④</w:t>
      </w:r>
      <w:r>
        <w:rPr>
          <w:rFonts w:hint="eastAsia" w:asciiTheme="minorEastAsia" w:hAnsiTheme="minorEastAsia" w:eastAsiaTheme="minorEastAsia" w:cstheme="minorEastAsia"/>
          <w:bCs/>
          <w:sz w:val="24"/>
          <w:szCs w:val="24"/>
        </w:rPr>
        <w:fldChar w:fldCharType="end"/>
      </w:r>
      <w:r>
        <w:rPr>
          <w:rFonts w:hint="eastAsia" w:asciiTheme="minorEastAsia" w:hAnsiTheme="minorEastAsia" w:eastAsiaTheme="minorEastAsia" w:cstheme="minorEastAsia"/>
          <w:bCs/>
          <w:sz w:val="24"/>
          <w:szCs w:val="24"/>
        </w:rPr>
        <w:t xml:space="preserve">质量要求：通过江苏省测绘产品质量检验监督站的质量检验。</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rPr>
        <w:t xml:space="preserve">具体采购范围及所应达到的具体要求，以</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磋商</w:t>
      </w:r>
      <w:r>
        <w:rPr>
          <w:rFonts w:hint="eastAsia" w:asciiTheme="minorEastAsia" w:hAnsiTheme="minorEastAsia" w:eastAsiaTheme="minorEastAsia" w:cstheme="minorEastAsia"/>
          <w:color w:val="auto"/>
          <w:sz w:val="24"/>
          <w:szCs w:val="24"/>
          <w:highlight w:val="none"/>
          <w:shd w:val="clear" w:color="auto" w:fill="auto"/>
        </w:rPr>
        <w:t xml:space="preserve">文件采购需求中的相</w:t>
      </w:r>
      <w:r>
        <w:rPr>
          <w:rFonts w:hint="eastAsia" w:ascii="宋体" w:hAnsi="宋体" w:eastAsia="宋体" w:cs="宋体"/>
          <w:color w:val="auto"/>
          <w:sz w:val="24"/>
          <w:szCs w:val="24"/>
          <w:highlight w:val="none"/>
          <w:shd w:val="clear" w:color="auto" w:fill="auto"/>
        </w:rPr>
        <w:t xml:space="preserve">应规定为准。</w:t>
      </w:r>
      <w:r/>
    </w:p>
    <w:p>
      <w:pPr>
        <w:pStyle w:val="677"/>
        <w:ind w:firstLine="480"/>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rPr>
        <w:t xml:space="preserve">.合同履行期限：根据采购人要求，在2026年12月底前完成。</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9.本项目不接受联合体参与磋商。</w:t>
      </w:r>
      <w:r/>
    </w:p>
    <w:p>
      <w:pPr>
        <w:ind w:left="420"/>
        <w:jc w:val="left"/>
        <w:rPr>
          <w:rFonts w:hint="eastAsia" w:asciiTheme="minorEastAsia" w:hAnsiTheme="minorEastAsia" w:eastAsiaTheme="minorEastAsia" w:cstheme="minorEastAsia"/>
          <w:b/>
          <w:bCs/>
          <w:sz w:val="28"/>
          <w:szCs w:val="40"/>
          <w:lang w:val="en-US" w:eastAsia="zh-CN"/>
        </w:rPr>
        <w:outlineLvl w:val="0"/>
      </w:pPr>
      <w:r/>
      <w:bookmarkStart w:id="13" w:name="_Toc28359003"/>
      <w:r/>
      <w:bookmarkStart w:id="14" w:name="_Toc35393622"/>
      <w:r/>
      <w:bookmarkStart w:id="15" w:name="_Toc35393791"/>
      <w:r/>
      <w:bookmarkStart w:id="16" w:name="_Toc28359080"/>
      <w:r/>
      <w:bookmarkStart w:id="17" w:name="_Toc38985264"/>
      <w:r>
        <w:rPr>
          <w:rFonts w:hint="eastAsia" w:asciiTheme="minorEastAsia" w:hAnsiTheme="minorEastAsia" w:eastAsiaTheme="minorEastAsia" w:cstheme="minorEastAsia"/>
          <w:b/>
          <w:bCs/>
          <w:sz w:val="28"/>
          <w:szCs w:val="40"/>
          <w:lang w:val="en-US" w:eastAsia="zh-CN"/>
        </w:rPr>
        <w:t xml:space="preserve">二、申请人的资格要求</w:t>
      </w:r>
      <w:bookmarkEnd w:id="13"/>
      <w:r/>
      <w:bookmarkEnd w:id="14"/>
      <w:r/>
      <w:bookmarkEnd w:id="15"/>
      <w:r/>
      <w:bookmarkEnd w:id="16"/>
      <w:r/>
      <w:bookmarkEnd w:id="17"/>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sz w:val="24"/>
          <w:szCs w:val="24"/>
          <w:highlight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77"/>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供应商应提供小微企业申明函、监狱企业、残疾人福利性单位。</w:t>
      </w:r>
      <w:r/>
    </w:p>
    <w:p>
      <w:pPr>
        <w:pStyle w:val="677"/>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供应商</w:t>
      </w:r>
      <w:r>
        <w:rPr>
          <w:rFonts w:hint="eastAsia" w:ascii="宋体" w:hAnsi="宋体" w:eastAsia="宋体" w:cs="宋体"/>
          <w:i w:val="0"/>
          <w:iCs w:val="0"/>
          <w:caps w:val="0"/>
          <w:color w:val="auto"/>
          <w:spacing w:val="0"/>
          <w:sz w:val="24"/>
          <w:szCs w:val="24"/>
          <w:highlight w:val="none"/>
          <w:u w:val="none"/>
          <w:shd w:val="clear" w:color="auto" w:fill="auto"/>
        </w:rPr>
        <w:t xml:space="preserve">须具</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有有效期内的</w:t>
      </w:r>
      <w:r>
        <w:rPr>
          <w:rFonts w:hint="eastAsia" w:ascii="宋体" w:hAnsi="宋体" w:eastAsia="宋体" w:cs="宋体"/>
          <w:i w:val="0"/>
          <w:iCs w:val="0"/>
          <w:caps w:val="0"/>
          <w:color w:val="auto"/>
          <w:spacing w:val="0"/>
          <w:sz w:val="24"/>
          <w:szCs w:val="24"/>
          <w:highlight w:val="none"/>
          <w:u w:val="none"/>
          <w:shd w:val="clear" w:color="auto" w:fill="auto"/>
        </w:rPr>
        <w:t xml:space="preserve">测绘乙级及以上资质（专业范围须</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同时包含</w:t>
      </w:r>
      <w:r>
        <w:rPr>
          <w:rFonts w:hint="eastAsia" w:ascii="宋体" w:hAnsi="宋体" w:eastAsia="宋体" w:cs="宋体"/>
          <w:i w:val="0"/>
          <w:iCs w:val="0"/>
          <w:caps w:val="0"/>
          <w:color w:val="auto"/>
          <w:spacing w:val="0"/>
          <w:sz w:val="24"/>
          <w:szCs w:val="24"/>
          <w:highlight w:val="none"/>
          <w:u w:val="none"/>
          <w:shd w:val="clear" w:color="auto" w:fill="auto"/>
        </w:rPr>
        <w:t xml:space="preserve">摄影测量与遥感和地理信息系统工程。）</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三、获取磋商文件</w:t>
      </w:r>
      <w:r/>
    </w:p>
    <w:p>
      <w:pPr>
        <w:ind w:right="0" w:firstLine="480"/>
        <w:jc w:val="both"/>
        <w:keepLines w:val="0"/>
        <w:keepNext w:val="0"/>
        <w:pageBreakBefore w:val="0"/>
        <w:spacing w:before="0" w:after="0" w:line="360" w:lineRule="exact"/>
        <w:rPr>
          <w:rFonts w:hint="default"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28359005"/>
      <w:r/>
      <w:bookmarkStart w:id="19" w:name="_Toc35393624"/>
      <w:r/>
      <w:bookmarkStart w:id="20" w:name="_Toc28359082"/>
      <w:r/>
      <w:bookmarkStart w:id="21" w:name="_Toc38985266"/>
      <w:r/>
      <w:bookmarkStart w:id="22" w:name="_Toc35393793"/>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lang w:val="en-US" w:eastAsia="zh-CN" w:bidi="ar-SA"/>
        </w:rPr>
        <w:t xml:space="preserve">；</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四、响应文件提交</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none"/>
          <w:shd w:val="clear" w:color="auto" w:fill="auto"/>
        </w:rPr>
        <w:t xml:space="preserve">2026年</w:t>
      </w:r>
      <w:r>
        <w:rPr>
          <w:rFonts w:hint="eastAsia" w:ascii="宋体" w:hAnsi="宋体" w:eastAsia="宋体" w:cs="宋体"/>
          <w:color w:val="auto"/>
          <w:sz w:val="24"/>
          <w:szCs w:val="24"/>
          <w:highlight w:val="none"/>
          <w:u w:val="none"/>
          <w:shd w:val="clear" w:color="auto" w:fill="auto"/>
          <w:lang w:val="en-US" w:eastAsia="zh-CN"/>
        </w:rPr>
        <w:t xml:space="preserve">6</w:t>
      </w:r>
      <w:r>
        <w:rPr>
          <w:rFonts w:hint="eastAsia" w:ascii="宋体" w:hAnsi="宋体" w:eastAsia="宋体" w:cs="宋体"/>
          <w:color w:val="auto"/>
          <w:sz w:val="24"/>
          <w:szCs w:val="24"/>
          <w:highlight w:val="none"/>
          <w:u w:val="none"/>
          <w:shd w:val="clear" w:color="auto" w:fill="auto"/>
        </w:rPr>
        <w:t xml:space="preserve">月</w:t>
      </w:r>
      <w:r>
        <w:rPr>
          <w:rFonts w:hint="eastAsia" w:ascii="宋体" w:hAnsi="宋体" w:eastAsia="宋体" w:cs="宋体"/>
          <w:color w:val="auto"/>
          <w:sz w:val="24"/>
          <w:szCs w:val="24"/>
          <w:highlight w:val="none"/>
          <w:u w:val="none"/>
          <w:shd w:val="clear" w:color="auto" w:fill="auto"/>
          <w:lang w:val="en-US" w:eastAsia="zh-CN"/>
        </w:rPr>
        <w:t xml:space="preserve">29</w:t>
      </w:r>
      <w:r>
        <w:rPr>
          <w:rFonts w:hint="eastAsia" w:ascii="宋体" w:hAnsi="宋体" w:eastAsia="宋体" w:cs="宋体"/>
          <w:color w:val="auto"/>
          <w:sz w:val="24"/>
          <w:szCs w:val="24"/>
          <w:highlight w:val="none"/>
          <w:u w:val="none"/>
          <w:shd w:val="clear" w:color="auto" w:fill="auto"/>
        </w:rPr>
        <w:t xml:space="preserve">日15点00分（北京时间）</w:t>
      </w:r>
      <w:r>
        <w:rPr>
          <w:rFonts w:hint="eastAsia" w:ascii="宋体" w:hAnsi="宋体" w:eastAsia="宋体" w:cs="宋体"/>
          <w:color w:val="auto"/>
          <w:sz w:val="24"/>
          <w:szCs w:val="24"/>
          <w:highlight w:val="none"/>
          <w:u w:val="none"/>
          <w:shd w:val="clear" w:color="auto" w:fill="auto"/>
          <w:lang w:eastAsia="zh-CN"/>
        </w:rPr>
        <w:t xml:space="preserve">；</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ind w:left="420"/>
        <w:jc w:val="left"/>
        <w:rPr>
          <w:rFonts w:hint="eastAsia" w:asciiTheme="minorEastAsia" w:hAnsiTheme="minorEastAsia" w:eastAsiaTheme="minorEastAsia" w:cstheme="minorEastAsia"/>
          <w:b/>
          <w:bCs/>
          <w:sz w:val="28"/>
          <w:szCs w:val="40"/>
          <w:lang w:val="en-US" w:eastAsia="zh-CN"/>
        </w:rPr>
        <w:outlineLvl w:val="0"/>
      </w:pPr>
      <w:r/>
      <w:bookmarkStart w:id="23" w:name="_Toc35393795"/>
      <w:r/>
      <w:bookmarkStart w:id="24" w:name="_Toc35393626"/>
      <w:r/>
      <w:bookmarkStart w:id="25" w:name="_Toc38985268"/>
      <w:r>
        <w:rPr>
          <w:rFonts w:hint="eastAsia" w:asciiTheme="minorEastAsia" w:hAnsiTheme="minorEastAsia" w:eastAsiaTheme="minorEastAsia" w:cstheme="minorEastAsia"/>
          <w:b/>
          <w:bCs/>
          <w:sz w:val="28"/>
          <w:szCs w:val="40"/>
          <w:lang w:val="en-US" w:eastAsia="zh-CN"/>
        </w:rPr>
        <w:t xml:space="preserve">五、开启</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bookmarkEnd w:id="23"/>
      <w:r/>
      <w:bookmarkEnd w:id="24"/>
      <w:r/>
      <w:bookmarkEnd w:id="25"/>
      <w:r>
        <w:rPr>
          <w:rFonts w:hint="eastAsia" w:ascii="宋体" w:hAnsi="宋体" w:eastAsia="宋体" w:cs="宋体"/>
          <w:i w:val="0"/>
          <w:iCs w:val="0"/>
          <w:caps w:val="0"/>
          <w:color w:val="auto"/>
          <w:spacing w:val="0"/>
          <w:sz w:val="24"/>
          <w:szCs w:val="24"/>
          <w:highlight w:val="none"/>
          <w:shd w:val="clear" w:color="auto" w:fill="auto"/>
        </w:rPr>
        <w:t xml:space="preserve">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月</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29</w:t>
      </w:r>
      <w:r>
        <w:rPr>
          <w:rFonts w:hint="eastAsia" w:ascii="宋体" w:hAnsi="宋体" w:eastAsia="宋体" w:cs="宋体"/>
          <w:i w:val="0"/>
          <w:iCs w:val="0"/>
          <w:caps w:val="0"/>
          <w:color w:val="auto"/>
          <w:spacing w:val="0"/>
          <w:sz w:val="24"/>
          <w:szCs w:val="24"/>
          <w:highlight w:val="none"/>
          <w:shd w:val="clear" w:color="auto" w:fill="auto"/>
        </w:rPr>
        <w:t xml:space="preserve">日15点00分（北京时间）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地点：苏采云“不见面”开标大厅</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ind w:left="420"/>
        <w:jc w:val="left"/>
        <w:rPr>
          <w:rFonts w:hint="eastAsia" w:asciiTheme="minorEastAsia" w:hAnsiTheme="minorEastAsia" w:eastAsiaTheme="minorEastAsia" w:cstheme="minorEastAsia"/>
          <w:b/>
          <w:bCs/>
          <w:sz w:val="28"/>
          <w:szCs w:val="40"/>
          <w:lang w:val="en-US" w:eastAsia="zh-CN"/>
        </w:rPr>
        <w:outlineLvl w:val="0"/>
      </w:pPr>
      <w:r/>
      <w:bookmarkStart w:id="26" w:name="_Toc28359094"/>
      <w:r>
        <w:rPr>
          <w:rFonts w:hint="eastAsia" w:asciiTheme="minorEastAsia" w:hAnsiTheme="minorEastAsia" w:eastAsiaTheme="minorEastAsia" w:cstheme="minorEastAsia"/>
          <w:b/>
          <w:bCs/>
          <w:sz w:val="28"/>
          <w:szCs w:val="40"/>
          <w:lang w:val="en-US" w:eastAsia="zh-CN"/>
        </w:rPr>
        <w:t xml:space="preserve">六、公告期限</w:t>
      </w:r>
      <w:bookmarkEnd w:id="26"/>
      <w:r/>
      <w:r/>
    </w:p>
    <w:p>
      <w:pPr>
        <w:pStyle w:val="677"/>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自本公告发布之日起5个工作日。</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七、其他补充事宜</w:t>
      </w:r>
      <w:r/>
    </w:p>
    <w:p>
      <w:pPr>
        <w:pStyle w:val="677"/>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77"/>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潜在供应商访问“苏采云”系统方法：江苏省政府采购网首页-“苏采云”链接。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677"/>
        <w:ind w:right="0" w:firstLine="48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w:t>
      </w:r>
      <w:r>
        <w:rPr>
          <w:rFonts w:hint="eastAsia" w:ascii="宋体" w:hAnsi="宋体"/>
          <w:color w:val="000000"/>
          <w:sz w:val="24"/>
          <w:szCs w:val="32"/>
          <w:highlight w:val="none"/>
          <w:lang w:val="en-US" w:eastAsia="zh-CN"/>
        </w:rPr>
        <w:t xml:space="preserve">采购代理机构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77"/>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八、凡对本次采购提出询问，请按以下方式联系。</w:t>
      </w:r>
      <w:bookmarkEnd w:id="27"/>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称：射阳县自然资源和规划局 </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址：县城幸福大道26号（台阳•博雅苑写字楼A座8至10楼）              </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联系方式：18851555822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称：射阳宏远财会服务有限公司</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址：射阳县合德镇沿河路17-1号                    </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10"/>
      <w:r/>
      <w:bookmarkStart w:id="30"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13851150809       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项目联系人：沈颖莉</w:t>
      </w:r>
      <w:r/>
    </w:p>
    <w:p>
      <w:pPr>
        <w:pStyle w:val="6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话：18851555822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77"/>
        <w:ind w:right="840"/>
        <w:jc w:val="center"/>
        <w:spacing w:beforeAutospacing="0" w:afterAutospacing="0"/>
        <w:rPr>
          <w:color w:val="auto"/>
          <w:highlight w:val="none"/>
        </w:rPr>
        <w:outlineLvl w:val="0"/>
      </w:pPr>
      <w: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67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33" w:name="_Toc16938519"/>
      <w:r/>
      <w:bookmarkStart w:id="34" w:name="_Toc120614214"/>
      <w:r/>
      <w:bookmarkStart w:id="35" w:name="_Toc20823275"/>
      <w:r/>
      <w:bookmarkStart w:id="36" w:name="_Toc513029203"/>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37" w:name="_Toc20823276"/>
      <w:r/>
      <w:bookmarkStart w:id="38" w:name="_Toc458694821"/>
      <w:r/>
      <w:bookmarkStart w:id="39" w:name="_Toc16938520"/>
      <w:r/>
      <w:bookmarkStart w:id="40" w:name="_Toc513029204"/>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42" w:name="_Toc513029205"/>
      <w:r/>
      <w:bookmarkStart w:id="43" w:name="_Toc16938521"/>
      <w:r/>
      <w:bookmarkStart w:id="44" w:name="_Toc20823277"/>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360" w:lineRule="exact"/>
        <w:widowControl w:val="off"/>
        <w:rPr>
          <w:rFonts w:hint="eastAsia" w:ascii="方正魏碑_GBK" w:hAnsi="方正魏碑_GBK" w:eastAsia="方正魏碑_GBK" w:cs="方正魏碑_GBK"/>
          <w:color w:val="auto"/>
          <w:sz w:val="24"/>
          <w:szCs w:val="21"/>
        </w:rPr>
        <w:outlineLvl w:val="1"/>
      </w:pPr>
      <w:r/>
      <w:bookmarkStart w:id="45" w:name="_Toc513029206"/>
      <w:r/>
      <w:bookmarkStart w:id="46" w:name="_Toc20823278"/>
      <w:r/>
      <w:bookmarkStart w:id="47" w:name="_Toc16938522"/>
      <w:r/>
      <w:bookmarkStart w:id="48" w:name="_Toc20823279"/>
      <w:r/>
      <w:bookmarkStart w:id="49" w:name="_Toc16938523"/>
      <w:r/>
      <w:bookmarkStart w:id="50" w:name="_Toc462564067"/>
      <w:r/>
      <w:bookmarkStart w:id="51" w:name="_Toc513029207"/>
      <w:r>
        <w:rPr>
          <w:rFonts w:hint="eastAsia" w:ascii="方正魏碑_GBK" w:hAnsi="方正魏碑_GBK" w:eastAsia="方正魏碑_GBK" w:cs="方正魏碑_GBK"/>
          <w:color w:val="auto"/>
          <w:sz w:val="24"/>
          <w:szCs w:val="21"/>
        </w:rPr>
        <w:t xml:space="preserve">3、适用法律</w:t>
      </w:r>
      <w:bookmarkEnd w:id="45"/>
      <w:r/>
      <w:bookmarkEnd w:id="46"/>
      <w:r/>
      <w:bookmarkEnd w:id="47"/>
      <w:r>
        <w:rPr>
          <w:rFonts w:hint="eastAsia" w:ascii="方正魏碑_GBK" w:hAnsi="方正魏碑_GBK" w:eastAsia="方正魏碑_GBK" w:cs="方正魏碑_GBK"/>
          <w:color w:val="auto"/>
          <w:sz w:val="24"/>
          <w:szCs w:val="21"/>
        </w:rPr>
        <w:t xml:space="preserve">和标准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4.1供应商应自行承担所有与参加本次磋商有关的费用，无论磋商过程中的做法和结果如何，采购人和射阳宏远财会服务有限公司（以下简称代理机构）在任何情况下均无义务和责任承担这些费用。</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4.2本次磋商采购代理机构和采购人不收取标书工本费。</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val="0"/>
          <w:bCs/>
          <w:color w:val="auto"/>
          <w:sz w:val="24"/>
          <w:szCs w:val="24"/>
          <w:highlight w:val="none"/>
        </w:rPr>
        <w:t xml:space="preserve">5、磋商</w:t>
      </w:r>
      <w:r>
        <w:rPr>
          <w:rFonts w:hint="eastAsia" w:ascii="宋体" w:hAnsi="宋体" w:eastAsia="宋体" w:cs="宋体"/>
          <w:color w:val="auto"/>
          <w:sz w:val="24"/>
          <w:szCs w:val="24"/>
          <w:highlight w:val="none"/>
        </w:rPr>
        <w:t xml:space="preserve">文件的约束力</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77"/>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52" w:name="_Toc120614215"/>
      <w:r/>
      <w:bookmarkStart w:id="53" w:name="_Toc16938525"/>
      <w:r/>
      <w:bookmarkStart w:id="54" w:name="_Toc20823281"/>
      <w:r/>
      <w:bookmarkStart w:id="55" w:name="_Toc513029209"/>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6" w:name="_Toc20823282"/>
      <w:r/>
      <w:bookmarkStart w:id="57" w:name="_Toc513029210"/>
      <w:r/>
      <w:bookmarkStart w:id="58" w:name="_Toc16938526"/>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77"/>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77"/>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77"/>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7"/>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7"/>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77"/>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请仔细检查磋商文件是否齐全，如有缺漏请立即与采购人或采购代理机构联系解决。</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9" w:name="_Toc20823283"/>
      <w:r/>
      <w:bookmarkStart w:id="60" w:name="_Toc16938527"/>
      <w:r/>
      <w:bookmarkStart w:id="61" w:name="_Toc462564070"/>
      <w:r/>
      <w:bookmarkStart w:id="62" w:name="_Toc513029211"/>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7.1任何要求对磋商文件进行澄清的供应商，应在磋商截止期5日前按磋商公告中的通讯地址，以书面形式通知采购人或采购代理机构。</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63" w:name="_Toc20823284"/>
      <w:r/>
      <w:bookmarkStart w:id="64" w:name="_Toc513029212"/>
      <w:r/>
      <w:bookmarkStart w:id="65" w:name="_Toc16938528"/>
      <w:r/>
      <w:bookmarkStart w:id="66" w:name="_Toc462564071"/>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在响应</w:t>
      </w:r>
      <w:r>
        <w:rPr>
          <w:rFonts w:hint="eastAsia" w:ascii="宋体" w:hAnsi="宋体" w:eastAsia="宋体" w:cs="宋体"/>
          <w:color w:val="auto"/>
          <w:sz w:val="24"/>
          <w:szCs w:val="24"/>
          <w:highlight w:val="none"/>
        </w:rPr>
        <w:t xml:space="preserve">文件提交截止时间前，采购人可以对磋商文件进行澄清和修改,澄清或者修改的内容作为磋商文件的组成部分。澄清或者修改的内容可能影响响应文件编制的，采购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7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67" w:name="_Toc462564072"/>
      <w:r/>
      <w:bookmarkStart w:id="68" w:name="_Toc120614216"/>
      <w:r/>
      <w:bookmarkStart w:id="69" w:name="_Toc16938529"/>
      <w:r/>
      <w:bookmarkStart w:id="70" w:name="_Toc20823285"/>
      <w:r/>
      <w:bookmarkStart w:id="71" w:name="_Toc513029213"/>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2" w:name="_Toc513029214"/>
      <w:r/>
      <w:bookmarkStart w:id="73" w:name="_Toc20823286"/>
      <w:r/>
      <w:bookmarkStart w:id="74" w:name="_Toc462564073"/>
      <w:r/>
      <w:bookmarkStart w:id="75" w:name="_Toc16938530"/>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9.1供应商提交的响应文件以及供应商与采购人或采购代理机构就有关磋商的所有来往通知、函件和文件均应使用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6" w:name="_Toc20823287"/>
      <w:r/>
      <w:bookmarkStart w:id="77" w:name="_Toc462564074"/>
      <w:r/>
      <w:bookmarkStart w:id="78" w:name="_Toc513029215"/>
      <w:r/>
      <w:bookmarkStart w:id="79" w:name="_Toc16938531"/>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10.1供应商编写的响应文件应包括资格证明文件、符合性证明文件、分项报价表、其他证明文件、磋商响应函等部分。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80" w:name="_Toc49090508"/>
      <w:r/>
      <w:bookmarkStart w:id="81" w:name="_Toc14577355"/>
      <w:r/>
      <w:bookmarkStart w:id="82" w:name="_Toc49090509"/>
      <w:r/>
      <w:bookmarkStart w:id="83" w:name="_Toc49090507"/>
      <w:r/>
      <w:bookmarkStart w:id="84" w:name="_Toc513029216"/>
      <w:r/>
      <w:bookmarkStart w:id="85" w:name="_Toc14577354"/>
      <w:r/>
      <w:bookmarkStart w:id="86" w:name="_Toc513029219"/>
      <w:r/>
      <w:bookmarkStart w:id="87" w:name="_Toc14577357"/>
      <w:r/>
      <w:bookmarkStart w:id="88" w:name="_Hlt26668975"/>
      <w:r/>
      <w:bookmarkStart w:id="89" w:name="_Hlt26954838"/>
      <w:r/>
      <w:bookmarkStart w:id="90" w:name="_Hlt26670360"/>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12、分项报价表</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77"/>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bookmarkStart w:id="91" w:name="_Hlt26670482"/>
      <w:r/>
      <w:bookmarkStart w:id="92" w:name="_Hlt26954731"/>
      <w:r/>
      <w:bookmarkStart w:id="93" w:name="_Hlt26670486"/>
      <w:r/>
      <w:bookmarkStart w:id="94" w:name="_Hlt26954846"/>
      <w:r/>
      <w:bookmarkStart w:id="95" w:name="_Hlt26954848"/>
      <w:r>
        <w:rPr>
          <w:rFonts w:hint="eastAsia" w:ascii="宋体" w:hAnsi="宋体" w:eastAsia="宋体" w:cs="宋体"/>
          <w:b w:val="0"/>
          <w:bCs w:val="0"/>
          <w:color w:val="000000"/>
          <w:lang w:val="en-US" w:eastAsia="zh-CN"/>
        </w:rPr>
        <w:t xml:space="preserve">12.3其他费用处理</w:t>
      </w:r>
      <w:r/>
    </w:p>
    <w:p>
      <w:pPr>
        <w:pStyle w:val="677"/>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本次采购磋商供应商的总报价应包括磋商供应商为完成竞争性磋商文件所确定的招标范围内的全部服务工作内容所发生的一切费用。</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000000"/>
          <w:lang w:val="en-US" w:eastAsia="zh-CN"/>
        </w:rPr>
        <w:t xml:space="preserve">磋商文件未列明，而磋商供应商认为必需的费用也需列入报价。</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13、资格性审查响应对照表、符合性检查响应对照表</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13.1供应商需对磋商文件中的资格要求与符合要求逐项作出响应或偏离，并说明原因。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14、服务承诺、培训计划、人员安排及其他</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6" w:name="_Toc14577359"/>
      <w:r/>
      <w:bookmarkStart w:id="97" w:name="_Toc49090510"/>
      <w:r>
        <w:rPr>
          <w:rFonts w:hint="eastAsia" w:ascii="宋体" w:hAnsi="宋体" w:eastAsia="宋体" w:cs="宋体"/>
          <w:color w:val="auto"/>
          <w:sz w:val="24"/>
          <w:szCs w:val="24"/>
          <w:highlight w:val="none"/>
        </w:rPr>
        <w:t xml:space="preserve">15、磋商响应函</w:t>
      </w:r>
      <w:bookmarkEnd w:id="96"/>
      <w:r/>
      <w:bookmarkEnd w:id="97"/>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8" w:name="_Toc14577360"/>
      <w:r/>
      <w:bookmarkStart w:id="99" w:name="_Toc49090511"/>
      <w:r>
        <w:rPr>
          <w:rFonts w:hint="eastAsia" w:ascii="宋体" w:hAnsi="宋体" w:eastAsia="宋体" w:cs="宋体"/>
          <w:color w:val="auto"/>
          <w:sz w:val="24"/>
          <w:szCs w:val="24"/>
          <w:highlight w:val="none"/>
        </w:rPr>
        <w:t xml:space="preserve">16、磋商有效期</w:t>
      </w:r>
      <w:bookmarkEnd w:id="98"/>
      <w:r/>
      <w:bookmarkEnd w:id="99"/>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16.1磋商有效期为采购代理机构规定的提交响应文件截止之日后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17、磋商有效期的延长</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7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00" w:name="_Toc513029224"/>
      <w:r/>
      <w:bookmarkStart w:id="101" w:name="_Toc120614217"/>
      <w:r/>
      <w:bookmarkStart w:id="102" w:name="_Toc16938540"/>
      <w:r/>
      <w:bookmarkStart w:id="103" w:name="_Toc20823296"/>
      <w:r/>
      <w:bookmarkStart w:id="104" w:name="_Hlt26954852"/>
      <w:r/>
      <w:bookmarkStart w:id="105" w:name="_Hlt26954739"/>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06" w:name="_Toc462564084"/>
      <w:r/>
      <w:bookmarkStart w:id="107" w:name="_Toc513029225"/>
      <w:r/>
      <w:bookmarkStart w:id="108" w:name="_Toc16938541"/>
      <w:r/>
      <w:bookmarkStart w:id="109" w:name="_Toc20823297"/>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19、提交响应文件截止时间</w:t>
      </w:r>
      <w:r/>
    </w:p>
    <w:p>
      <w:pPr>
        <w:pStyle w:val="677"/>
        <w:ind w:firstLine="482"/>
        <w:jc w:val="both"/>
        <w:pageBreakBefore w:val="0"/>
        <w:spacing w:beforeAutospacing="0"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3" w:name="_Toc513029227"/>
      <w:r/>
      <w:bookmarkStart w:id="114" w:name="_Toc20823299"/>
      <w:r/>
      <w:bookmarkStart w:id="115" w:name="_Toc16938543"/>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6" w:name="_Toc16938544"/>
      <w:r/>
      <w:bookmarkStart w:id="117" w:name="_Toc513029228"/>
      <w:r/>
      <w:bookmarkStart w:id="118" w:name="_Toc20823300"/>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bookmarkStart w:id="119" w:name="_Toc513029229"/>
      <w:r/>
      <w:bookmarkStart w:id="120" w:name="_Toc16938545"/>
      <w:r/>
      <w:bookmarkStart w:id="121" w:name="_Toc20823301"/>
      <w:r/>
      <w:bookmarkStart w:id="122" w:name="_Toc120614218"/>
      <w:r/>
      <w:r/>
    </w:p>
    <w:p>
      <w:pPr>
        <w:pStyle w:val="677"/>
        <w:ind w:firstLine="480"/>
        <w:jc w:val="both"/>
        <w:pageBreakBefore w:val="0"/>
        <w:spacing w:beforeAutospacing="0" w:afterAutospacing="0" w:line="36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bookmarkStart w:id="123" w:name="_Toc20823302"/>
      <w:r/>
      <w:bookmarkStart w:id="124" w:name="_Toc513029230"/>
      <w:r/>
      <w:bookmarkStart w:id="125" w:name="_Toc16938546"/>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6" w:name="_Toc513029231"/>
      <w:r/>
      <w:bookmarkStart w:id="127" w:name="_Toc16938547"/>
      <w:r/>
      <w:bookmarkStart w:id="128" w:name="_Toc20823303"/>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677"/>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pStyle w:val="677"/>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24、评审过程的保密与公正</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000000"/>
          <w:lang w:val="en-US"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9" w:name="_Toc20823304"/>
      <w:r/>
      <w:bookmarkStart w:id="130" w:name="_Toc16938548"/>
      <w:r/>
      <w:bookmarkStart w:id="131" w:name="_Toc513029232"/>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77"/>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7"/>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32" w:name="_Toc16938549"/>
      <w:r/>
      <w:bookmarkStart w:id="133" w:name="_Toc513029233"/>
      <w:r/>
      <w:bookmarkStart w:id="134" w:name="_Toc20823305"/>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77"/>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26.3.10</w:t>
      </w:r>
      <w:r>
        <w:rPr>
          <w:rFonts w:hint="eastAsia" w:ascii="宋体" w:hAnsi="宋体" w:eastAsia="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rPr>
        <w:t xml:space="preserve">不能证明其报价合理性的，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rPr>
        <w:t xml:space="preserve">应当将其作为无效</w:t>
      </w:r>
      <w:r>
        <w:rPr>
          <w:rFonts w:hint="eastAsia" w:ascii="宋体" w:hAnsi="宋体" w:eastAsia="宋体" w:cs="宋体"/>
          <w:color w:val="ff0000"/>
          <w:sz w:val="24"/>
          <w:szCs w:val="24"/>
          <w:highlight w:val="none"/>
          <w:lang w:val="en-US" w:eastAsia="zh-CN" w:bidi="ar-SA"/>
        </w:rPr>
        <w:t xml:space="preserve">响应</w:t>
      </w:r>
      <w:r>
        <w:rPr>
          <w:rFonts w:hint="eastAsia" w:ascii="宋体" w:hAnsi="宋体" w:eastAsia="宋体" w:cs="宋体"/>
          <w:color w:val="ff0000"/>
          <w:sz w:val="24"/>
          <w:szCs w:val="24"/>
          <w:highlight w:val="none"/>
        </w:rPr>
        <w:t xml:space="preserve">处理。</w:t>
      </w:r>
      <w:r/>
    </w:p>
    <w:p>
      <w:pPr>
        <w:pStyle w:val="677"/>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677"/>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7"/>
        <w:ind w:left="0" w:right="0" w:firstLine="480"/>
        <w:jc w:val="both"/>
        <w:pageBreakBefore w:val="0"/>
        <w:spacing w:before="0" w:beforeAutospacing="0" w:after="0" w:afterAutospacing="0" w:line="360" w:lineRule="exact"/>
        <w:widowControl w:val="off"/>
        <w:rPr>
          <w:color w:val="ff0000"/>
        </w:rPr>
      </w:pPr>
      <w:r>
        <w:rPr>
          <w:rFonts w:hint="eastAsia" w:ascii="宋体" w:hAnsi="宋体" w:eastAsia="宋体" w:cs="宋体"/>
          <w:color w:val="ff0000"/>
          <w:sz w:val="24"/>
          <w:szCs w:val="24"/>
          <w:highlight w:val="none"/>
          <w:lang w:val="en-US" w:eastAsia="zh-CN" w:bidi="ar-SA"/>
        </w:rPr>
        <w:t xml:space="preserve">异常低价响应审查的启动原因、审查意见和审查结果应当在评审报告中记录，并随供应商提供的相关书面说明及证明材料，以及评审委员会有关互联网浏览、查询历史一并归档。</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35" w:name="_Toc16938550"/>
      <w:r/>
      <w:bookmarkStart w:id="136" w:name="_Toc20823306"/>
      <w:r/>
      <w:bookmarkStart w:id="137"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27、磋商程序及评审方法和评审标准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27.1磋商程序</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27.2 评审方法和评审标准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27.3采购活动终止的情况</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7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8" w:name="_Toc513029235"/>
      <w:r/>
      <w:bookmarkStart w:id="139" w:name="_Toc20823307"/>
      <w:r/>
      <w:bookmarkStart w:id="140" w:name="_Toc120614219"/>
      <w:r/>
      <w:bookmarkStart w:id="141" w:name="_Toc16938551"/>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2" w:name="_Toc20823310"/>
      <w:r/>
      <w:bookmarkStart w:id="143" w:name="_Toc513029238"/>
      <w:r/>
      <w:bookmarkStart w:id="144" w:name="_Toc16938554"/>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677"/>
        <w:ind w:firstLine="478"/>
        <w:jc w:val="both"/>
        <w:pageBreakBefore w:val="0"/>
        <w:spacing w:beforeAutospacing="0" w:after="145" w:afterAutospacing="0" w:line="3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采购人质疑接收人及联系方式见磋商文件第一章。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质疑人（或授权委托人）须是投标单位正式员工，授权委托人须提供投标单位为其缴纳的本年度近期社保证明。</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疑必须有参加投标单位法定代表人或授权代表（响应文件中所确定的）签字,并加盖供应商公章,以书面送达的方式提交。未按上述要求提交的质疑函（含传真、电子邮件等非书面送达方式）采购人有权不予受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77"/>
        <w:ind w:firstLine="468"/>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30、成交通知书</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7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46" w:name="_Toc16938552"/>
      <w:r/>
      <w:bookmarkStart w:id="147" w:name="_Toc120614220"/>
      <w:r/>
      <w:bookmarkStart w:id="148" w:name="_Toc513029236"/>
      <w:r/>
      <w:bookmarkStart w:id="149" w:name="_Toc20823308"/>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50" w:name="_Toc16938553"/>
      <w:r/>
      <w:bookmarkStart w:id="151" w:name="_Toc513029237"/>
      <w:r/>
      <w:bookmarkStart w:id="152" w:name="_Toc20823309"/>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31.l成交供应商应当在成交通知书发出之日起三十日内（原则上应在15日内签订采购合同），按照磋商文件确定的事项与采购人签订政府采购合同。合同签订</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2个工作日内</w:t>
      </w:r>
      <w:r>
        <w:rPr>
          <w:rFonts w:hint="eastAsia" w:ascii="宋体" w:hAnsi="宋体" w:eastAsia="宋体" w:cs="宋体"/>
          <w:color w:val="auto"/>
          <w:sz w:val="24"/>
          <w:szCs w:val="24"/>
          <w:highlight w:val="none"/>
          <w:lang w:val="en-US" w:eastAsia="zh-CN"/>
        </w:rPr>
        <w:t xml:space="preserve">在财政指定平台</w:t>
      </w:r>
      <w:r>
        <w:rPr>
          <w:rFonts w:hint="eastAsia" w:ascii="宋体" w:hAnsi="宋体" w:eastAsia="宋体" w:cs="宋体"/>
          <w:color w:val="auto"/>
          <w:sz w:val="24"/>
          <w:szCs w:val="24"/>
          <w:highlight w:val="none"/>
        </w:rPr>
        <w:t xml:space="preserve">公示。所签订的合同不得对招标文件确定的事项和中标人投标文件作实质性修改。</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服务（包含与服务相关的货物）的，在不改变合同其他条款的前提下，可以与成交供应商协商签订补充合同，但所有补充合同的采购金额不超过原合同金额10%。</w:t>
      </w:r>
      <w:r/>
    </w:p>
    <w:p>
      <w:pPr>
        <w:pStyle w:val="677"/>
        <w:numPr>
          <w:ilvl w:val="0"/>
          <w:numId w:val="0"/>
        </w:numPr>
        <w:ind w:left="474" w:firstLine="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val="en-US" w:eastAsia="zh-CN"/>
        </w:rPr>
        <w:outlineLvl w:val="1"/>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7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3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7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36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履约保证金的金额和是否缴纳由采购人与成交供应商协商确定。确需收取履约保证金的，履约保证金的缴纳形式：</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%。在签订合同时，成交供应商明确书面表示无需预付款或者主动要求降低预付款比例的，采购人可就预付款比例作相应调整。</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35.收费 </w:t>
      </w:r>
      <w:r/>
    </w:p>
    <w:p>
      <w:pPr>
        <w:pStyle w:val="677"/>
        <w:ind w:firstLine="480"/>
        <w:jc w:val="both"/>
        <w:spacing w:beforeAutospacing="0" w:afterAutospacing="0" w:line="460" w:lineRule="exact"/>
        <w:rPr>
          <w:rFonts w:hint="eastAsia" w:ascii="宋体" w:hAnsi="宋体" w:eastAsia="宋体" w:cs="Times New Roman"/>
          <w:color w:val="000000"/>
          <w:sz w:val="24"/>
          <w:szCs w:val="24"/>
          <w:lang w:val="en-US" w:eastAsia="zh-CN" w:bidi="ar-SA"/>
        </w:rPr>
        <w:outlineLvl w:val="9"/>
      </w:pPr>
      <w:r>
        <w:rPr>
          <w:rFonts w:hint="eastAsia" w:ascii="宋体" w:hAnsi="宋体" w:eastAsia="宋体" w:cs="宋体"/>
          <w:sz w:val="24"/>
          <w:lang w:val="en-US" w:eastAsia="zh-CN"/>
        </w:rPr>
        <w:t xml:space="preserve">成交</w:t>
      </w:r>
      <w:r>
        <w:rPr>
          <w:rFonts w:hint="eastAsia" w:ascii="宋体" w:hAnsi="宋体" w:eastAsia="宋体" w:cs="宋体"/>
          <w:sz w:val="24"/>
        </w:rPr>
        <w:t xml:space="preserve">服务费：本次</w:t>
      </w:r>
      <w:r>
        <w:rPr>
          <w:rFonts w:hint="eastAsia" w:ascii="宋体" w:hAnsi="宋体" w:eastAsia="宋体" w:cs="宋体"/>
          <w:sz w:val="24"/>
          <w:lang w:val="en-US" w:eastAsia="zh-CN"/>
        </w:rPr>
        <w:t xml:space="preserve">招标采购</w:t>
      </w:r>
      <w:r>
        <w:rPr>
          <w:rFonts w:hint="eastAsia" w:ascii="宋体" w:hAnsi="宋体" w:eastAsia="宋体" w:cs="宋体"/>
          <w:sz w:val="24"/>
        </w:rPr>
        <w:t xml:space="preserve">的代理服务费按《江苏省政府采购代理服务收费指导意见》的通知（苏政采协【2024】20号）收费标准进行计取（按差额定率分档累进法计算），</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金额50万元以下(含50万元)收取1.</w:t>
      </w:r>
      <w:r>
        <w:rPr>
          <w:rFonts w:hint="eastAsia" w:ascii="宋体" w:hAnsi="宋体" w:eastAsia="宋体" w:cs="宋体"/>
          <w:sz w:val="24"/>
          <w:lang w:val="en-US" w:eastAsia="zh-CN"/>
        </w:rPr>
        <w:t xml:space="preserve">6</w:t>
      </w:r>
      <w:r>
        <w:rPr>
          <w:rFonts w:hint="eastAsia" w:ascii="宋体" w:hAnsi="宋体" w:eastAsia="宋体" w:cs="宋体"/>
          <w:sz w:val="24"/>
        </w:rPr>
        <w:t xml:space="preserve">%，50万元-400万元(含400万元)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后采购人不再另行支付）。</w:t>
      </w:r>
      <w:r/>
    </w:p>
    <w:p>
      <w:pPr>
        <w:ind w:firstLine="480"/>
        <w:spacing w:line="480" w:lineRule="exact"/>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收款帐户为：射阳宏远财会服务有限公司，开户行：中国建设银行股份有限公司射阳县支行，账号：32001737436052512853。</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36.踏勘</w:t>
      </w:r>
      <w:r/>
    </w:p>
    <w:p>
      <w:pPr>
        <w:pStyle w:val="677"/>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pStyle w:val="677"/>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36.2采购人在踏勘现场中介绍的项目情况，供应商在编制响应文件时参考，采购人不对供应商据此作出的判断和决策负责。</w:t>
      </w:r>
      <w:r/>
    </w:p>
    <w:p>
      <w:pPr>
        <w:pStyle w:val="687"/>
        <w:ind w:left="0" w:firstLine="560"/>
        <w:spacing w:after="0" w:line="5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36.3供应商承担踏勘现场所发生的自身费用。</w:t>
      </w:r>
      <w:r/>
    </w:p>
    <w:p>
      <w:pPr>
        <w:pStyle w:val="677"/>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77"/>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77"/>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77"/>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77"/>
        <w:ind w:firstLine="2640"/>
        <w:jc w:val="both"/>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第三章  合同文本</w:t>
      </w:r>
      <w:r/>
    </w:p>
    <w:p>
      <w:pPr>
        <w:pStyle w:val="677"/>
        <w:ind w:firstLine="480"/>
        <w:jc w:val="both"/>
        <w:spacing w:beforeAutospacing="0" w:afterAutospacing="0" w:line="0" w:lineRule="atLeast"/>
        <w:rPr>
          <w:color w:val="auto"/>
          <w:highlight w:val="none"/>
        </w:rPr>
      </w:pPr>
      <w:r/>
      <w:bookmarkStart w:id="153" w:name="_Toc16938559"/>
      <w:r/>
      <w:bookmarkStart w:id="154" w:name="_Toc513029243"/>
      <w:r/>
      <w:bookmarkStart w:id="155" w:name="_Toc20823315"/>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3"/>
      <w:r/>
      <w:bookmarkEnd w:id="154"/>
      <w:r/>
      <w:bookmarkEnd w:id="155"/>
      <w:r>
        <w:rPr>
          <w:color w:val="auto"/>
          <w:highlight w:val="none"/>
        </w:rPr>
        <w:t xml:space="preserve"> </w:t>
      </w:r>
      <w:r/>
    </w:p>
    <w:p>
      <w:pPr>
        <w:pStyle w:val="677"/>
        <w:jc w:val="center"/>
        <w:spacing w:before="145" w:beforeAutospacing="0" w:after="145" w:afterAutospacing="0"/>
        <w:rPr>
          <w:color w:val="auto"/>
          <w:highlight w:val="none"/>
        </w:rPr>
        <w:outlineLvl w:val="0"/>
      </w:pPr>
      <w:r>
        <w:rPr>
          <w:rFonts w:hint="eastAsia" w:ascii="宋体" w:hAnsi="宋体" w:eastAsia="宋体" w:cs="宋体"/>
          <w:b/>
          <w:color w:val="auto"/>
          <w:sz w:val="30"/>
          <w:szCs w:val="30"/>
          <w:highlight w:val="none"/>
        </w:rPr>
        <w:t xml:space="preserve">盐城市政府采购合同（合同编号）</w:t>
      </w:r>
      <w:r/>
    </w:p>
    <w:p>
      <w:pPr>
        <w:pStyle w:val="677"/>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项目编号：</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lang w:val="en-US" w:eastAsia="zh-CN"/>
        </w:rPr>
        <w:t xml:space="preserve">射阳宏远财会服务有限公司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项目竞争性磋商的结果，签署本合同。</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一、合同内容</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1.1 标的名称：</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1.2 标的质量：</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1.3 标的数量（规模）：</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1.4 履行时间（期限）：</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1.5 履行地点：</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1.6 履行方式：</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二、合同金额</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2.1 本合同金额为（大写）：_________________圆（__________元）人民币。</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三、技术资料</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五、产权担保</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六、履约保证金</w:t>
      </w:r>
      <w:r/>
    </w:p>
    <w:p>
      <w:pPr>
        <w:pStyle w:val="677"/>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6.1 乙方交纳人民币_________元作为本合同的履约保证金。</w:t>
      </w:r>
      <w:r/>
    </w:p>
    <w:p>
      <w:pPr>
        <w:pStyle w:val="677"/>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677"/>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677"/>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缴纳履约保证金的账户。如为保函，在到期时自行失效。</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出现下列情形之一的，其履约保证金，招标人将视情节决定不予退还或部分不予退还。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其他供应商</w:t>
      </w:r>
      <w:r>
        <w:rPr>
          <w:rFonts w:hint="eastAsia" w:ascii="宋体" w:hAnsi="宋体" w:eastAsia="宋体" w:cs="宋体"/>
          <w:color w:val="auto"/>
          <w:sz w:val="24"/>
          <w:highlight w:val="none"/>
          <w:shd w:val="clear" w:color="auto" w:fill="auto"/>
        </w:rPr>
        <w:t xml:space="preserve">串通投标的；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7"/>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七、合同转包或分包</w:t>
      </w:r>
      <w:r/>
    </w:p>
    <w:p>
      <w:pPr>
        <w:pStyle w:val="677"/>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677"/>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677"/>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八、合同款项支付</w:t>
      </w:r>
      <w:r/>
    </w:p>
    <w:p>
      <w:pPr>
        <w:pStyle w:val="677"/>
        <w:ind w:firstLine="480"/>
        <w:jc w:val="both"/>
        <w:keepLines w:val="0"/>
        <w:keepNext w:val="0"/>
        <w:pageBreakBefore w:val="0"/>
        <w:spacing w:before="145" w:beforeAutospacing="0" w:after="145" w:afterAutospacing="0" w:line="360" w:lineRule="exact"/>
        <w:widowControl w:val="off"/>
        <w:rPr>
          <w:rFonts w:hint="eastAsia" w:asciiTheme="minorEastAsia" w:hAnsiTheme="minorEastAsia" w:eastAsiaTheme="minorEastAsia" w:cstheme="minorEastAsia"/>
          <w:b w:val="0"/>
          <w:bCs w:val="0"/>
          <w:color w:val="000000"/>
          <w:sz w:val="24"/>
          <w:szCs w:val="24"/>
          <w:highlight w:val="yellow"/>
          <w:lang w:eastAsia="zh-CN"/>
        </w:rPr>
        <w:outlineLvl w:val="9"/>
      </w:pPr>
      <w:r>
        <w:rPr>
          <w:rFonts w:hint="eastAsia" w:asciiTheme="minorEastAsia" w:hAnsiTheme="minorEastAsia" w:eastAsiaTheme="minorEastAsia" w:cstheme="minorEastAsia"/>
          <w:b w:val="0"/>
          <w:bCs w:val="0"/>
          <w:color w:val="000000"/>
          <w:sz w:val="24"/>
          <w:szCs w:val="24"/>
          <w:highlight w:val="yellow"/>
          <w:lang w:eastAsia="zh-CN"/>
        </w:rPr>
        <w:t xml:space="preserve">1.合同签订时，经采购人与成交供应商根据实际情况协商一致，可支付合同总价的30%作为项目启动预付款；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77"/>
        <w:ind w:firstLine="480"/>
        <w:jc w:val="both"/>
        <w:keepLines w:val="0"/>
        <w:keepNext w:val="0"/>
        <w:pageBreakBefore w:val="0"/>
        <w:spacing w:before="145" w:beforeAutospacing="0" w:after="145" w:afterAutospacing="0" w:line="360" w:lineRule="exact"/>
        <w:widowControl w:val="off"/>
        <w:rPr>
          <w:rFonts w:hint="eastAsia" w:asciiTheme="minorEastAsia" w:hAnsiTheme="minorEastAsia" w:eastAsiaTheme="minorEastAsia" w:cstheme="minorEastAsia"/>
          <w:b w:val="0"/>
          <w:bCs w:val="0"/>
          <w:color w:val="000000"/>
          <w:sz w:val="24"/>
          <w:szCs w:val="24"/>
          <w:highlight w:val="yellow"/>
          <w:lang w:eastAsia="zh-CN"/>
        </w:rPr>
        <w:outlineLvl w:val="9"/>
      </w:pPr>
      <w:r>
        <w:rPr>
          <w:rFonts w:hint="eastAsia" w:asciiTheme="minorEastAsia" w:hAnsiTheme="minorEastAsia" w:eastAsiaTheme="minorEastAsia" w:cstheme="minorEastAsia"/>
          <w:b w:val="0"/>
          <w:bCs w:val="0"/>
          <w:color w:val="000000"/>
          <w:sz w:val="24"/>
          <w:szCs w:val="24"/>
          <w:highlight w:val="yellow"/>
          <w:lang w:eastAsia="zh-CN"/>
        </w:rPr>
        <w:t xml:space="preserve">2.成交供应商在工作全部完成并通过质监站检查后，一次性付清项目尾款。并无息退还履约保证金（如有）。以上付款均不计任何利息和相关费用，付款一律通过银行结转。相关付款手续由用户单位向财政部门报批后办理。</w:t>
      </w:r>
      <w:r/>
    </w:p>
    <w:p>
      <w:pPr>
        <w:pStyle w:val="677"/>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九、税费</w:t>
      </w:r>
      <w:r/>
    </w:p>
    <w:p>
      <w:pPr>
        <w:pStyle w:val="677"/>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十、项目验收</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如有必要，甲方邀请参加本项目的其他供应商或第三方专业机构及专家参与验收，相关意见将作为验收书的参考资料。</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》。乙方在履约过程中有政府采购法律法规规定的违法违规情形的,甲方将及时报告本级财政部门。</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十一、违约责任</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每日向乙方支付违约金。</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乙方交付合同标的的标准不符合合同规定及磋商文件规定标准的，甲方有权拒绝接受合同标的，并可单方面解除合同。</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十二、不可抗力事件处理</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十三、解决争议的方法</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677"/>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pStyle w:val="677"/>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677"/>
        <w:ind w:left="480" w:hanging="48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甲方：                        乙方： </w:t>
      </w:r>
      <w:r/>
    </w:p>
    <w:p>
      <w:pPr>
        <w:pStyle w:val="677"/>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r/>
    </w:p>
    <w:p>
      <w:pPr>
        <w:pStyle w:val="677"/>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法定代表人或授权代表：        法定代表人或授权代表：</w:t>
      </w:r>
      <w:r/>
    </w:p>
    <w:p>
      <w:pPr>
        <w:pStyle w:val="677"/>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677"/>
        <w:ind w:firstLine="420"/>
        <w:jc w:val="both"/>
        <w:spacing w:beforeAutospacing="0" w:afterAutospacing="0" w:line="0" w:lineRule="atLeast"/>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xml:space="preserve">                                    </w:t>
      </w:r>
      <w:r>
        <w:rPr>
          <w:rFonts w:hint="eastAsia" w:ascii="Times New Roman" w:hAnsi="Times New Roman"/>
          <w:color w:val="auto"/>
          <w:sz w:val="21"/>
          <w:szCs w:val="21"/>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签订日期：      年    月   日</w:t>
      </w:r>
      <w:r/>
    </w:p>
    <w:p>
      <w:pPr>
        <w:pStyle w:val="677"/>
        <w:jc w:val="center"/>
        <w:spacing w:before="120" w:beforeAutospacing="0" w:after="120" w:afterAutospacing="0" w:line="0" w:lineRule="atLeast"/>
        <w:rPr>
          <w:b w:val="0"/>
          <w:bCs w:val="0"/>
          <w:color w:val="auto"/>
          <w:highlight w:val="none"/>
        </w:rPr>
        <w:outlineLvl w:val="0"/>
      </w:pPr>
      <w:r/>
      <w:bookmarkStart w:id="156" w:name="_Toc479757211"/>
      <w:r/>
      <w:bookmarkStart w:id="157" w:name="_Toc16938590"/>
      <w:r/>
      <w:bookmarkStart w:id="158" w:name="_Toc120614244"/>
      <w:r/>
      <w:bookmarkStart w:id="159" w:name="_Toc462564139"/>
      <w:r/>
      <w:bookmarkStart w:id="160" w:name="_Toc20823346"/>
      <w:r/>
      <w:bookmarkStart w:id="161" w:name="_Hlt16619369"/>
      <w:r/>
      <w:bookmarkStart w:id="162" w:name="_Hlt16619350"/>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b w:val="0"/>
          <w:bCs w:val="0"/>
          <w:color w:val="auto"/>
          <w:sz w:val="44"/>
          <w:szCs w:val="44"/>
          <w:highlight w:val="none"/>
        </w:rPr>
        <w:t xml:space="preserve">第</w:t>
      </w:r>
      <w:bookmarkEnd w:id="156"/>
      <w:r>
        <w:rPr>
          <w:rFonts w:hint="eastAsia" w:ascii="黑体" w:hAnsi="宋体" w:eastAsia="黑体" w:cs="黑体"/>
          <w:b w:val="0"/>
          <w:bCs w:val="0"/>
          <w:color w:val="auto"/>
          <w:sz w:val="44"/>
          <w:szCs w:val="44"/>
          <w:highlight w:val="none"/>
        </w:rPr>
        <w:t xml:space="preserve">四章 采购需求</w:t>
      </w:r>
      <w:bookmarkEnd w:id="157"/>
      <w:r/>
      <w:bookmarkEnd w:id="158"/>
      <w:r/>
      <w:bookmarkEnd w:id="159"/>
      <w:r/>
      <w:bookmarkEnd w:id="160"/>
      <w:r/>
      <w:bookmarkStart w:id="163" w:name="_Toc26554093"/>
      <w:r/>
      <w:bookmarkEnd w:id="163"/>
      <w:r/>
      <w:bookmarkStart w:id="164" w:name="_Toc49090575"/>
      <w:r/>
      <w:bookmarkEnd w:id="164"/>
      <w:r/>
      <w:r/>
    </w:p>
    <w:p>
      <w:pPr>
        <w:ind w:left="420"/>
        <w:jc w:val="left"/>
        <w:rPr>
          <w:rFonts w:hint="eastAsia" w:asciiTheme="minorEastAsia" w:hAnsiTheme="minorEastAsia" w:eastAsiaTheme="minorEastAsia" w:cstheme="minorEastAsia"/>
          <w:b/>
          <w:bCs/>
          <w:sz w:val="28"/>
          <w:szCs w:val="40"/>
          <w:lang w:val="en-US" w:eastAsia="zh-CN"/>
        </w:rPr>
        <w:outlineLvl w:val="0"/>
      </w:pPr>
      <w:r/>
      <w:bookmarkStart w:id="165" w:name="_Hlk97239590"/>
      <w:r>
        <w:rPr>
          <w:rFonts w:hint="eastAsia" w:asciiTheme="minorEastAsia" w:hAnsiTheme="minorEastAsia" w:eastAsiaTheme="minorEastAsia" w:cstheme="minorEastAsia"/>
          <w:b/>
          <w:bCs/>
          <w:sz w:val="28"/>
          <w:szCs w:val="40"/>
          <w:lang w:val="en-US" w:eastAsia="zh-CN"/>
        </w:rPr>
        <w:t xml:space="preserve">一、项目的工作范围和内容</w:t>
      </w:r>
      <w:r/>
    </w:p>
    <w:p>
      <w:pPr>
        <w:pStyle w:val="678"/>
        <w:ind w:firstLine="480"/>
        <w:keepLines w:val="0"/>
        <w:keepNext w:val="0"/>
        <w:pageBreakBefore w:val="0"/>
        <w:spacing w:after="0"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1、县城规划区、镇区约273.35平方公里1：1000大比例尺地形图变化区域更新及县城规划区、镇区外约2199.82平方公里1：2000大比例尺地形图变化区域更新。</w:t>
      </w:r>
      <w:r/>
    </w:p>
    <w:p>
      <w:pPr>
        <w:pStyle w:val="678"/>
        <w:ind w:firstLine="480"/>
        <w:keepLines w:val="0"/>
        <w:keepNext w:val="0"/>
        <w:pageBreakBefore w:val="0"/>
        <w:spacing w:after="0"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2、制作射阳县基础测绘数据现状分布索引图。</w:t>
      </w:r>
      <w:r/>
    </w:p>
    <w:p>
      <w:pPr>
        <w:pStyle w:val="676"/>
        <w:ind w:left="0" w:firstLine="480"/>
        <w:keepLines w:val="0"/>
        <w:keepNext w:val="0"/>
        <w:pageBreakBefore w:val="0"/>
        <w:spacing w:line="36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lang w:val="en-US" w:eastAsia="zh-CN"/>
        </w:rPr>
        <w:t xml:space="preserve">3、地理实体数据更新（省厅下发的70.77平方公里工作界）。</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二、项目技术要求</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以数据库应用为主要目的，兼顾计算机制图的技术要求。为加快工作进度，本项目拟充分利用成熟的软件工具，采用以计算机自动综合与人机交互相结合的技术路线，开展射阳县1：2000大比例尺地形图更新及县城规划区、镇区1：1000大比例尺地形图更新，充分提高工作效率。</w:t>
      </w:r>
      <w:r/>
    </w:p>
    <w:p>
      <w:pPr>
        <w:numPr>
          <w:ilvl w:val="0"/>
          <w:numId w:val="2"/>
        </w:numPr>
        <w:ind w:firstLine="480"/>
        <w:rPr>
          <w:rFonts w:hint="eastAsia" w:asciiTheme="minorEastAsia" w:hAnsiTheme="minorEastAsia" w:eastAsiaTheme="minorEastAsia" w:cstheme="minorEastAsia"/>
          <w:b w:val="0"/>
          <w:bCs/>
          <w:sz w:val="24"/>
          <w:szCs w:val="24"/>
        </w:rPr>
        <w:outlineLvl w:val="1"/>
      </w:pPr>
      <w:r>
        <w:rPr>
          <w:rFonts w:hint="eastAsia" w:asciiTheme="minorEastAsia" w:hAnsiTheme="minorEastAsia" w:eastAsiaTheme="minorEastAsia" w:cstheme="minorEastAsia"/>
          <w:b w:val="0"/>
          <w:bCs/>
          <w:sz w:val="24"/>
          <w:szCs w:val="24"/>
        </w:rPr>
        <w:t xml:space="preserve">技术标准与依据</w:t>
      </w:r>
      <w:r/>
    </w:p>
    <w:p>
      <w:pPr>
        <w:numPr>
          <w:ilvl w:val="0"/>
          <w:numId w:val="0"/>
        </w:num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项目主要技术标准和依据包括：</w:t>
      </w:r>
      <w:r/>
    </w:p>
    <w:tbl>
      <w:tblPr>
        <w:tblStyle w:val="665"/>
        <w:tblW w:w="9658"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6"/>
        <w:gridCol w:w="6574"/>
        <w:gridCol w:w="2288"/>
      </w:tblGrid>
      <w:tr>
        <w:trPr>
          <w:jc w:val="center"/>
          <w:trHeight w:val="495"/>
          <w:tblHeader/>
        </w:trPr>
        <w:tc>
          <w:tcPr>
            <w:shd w:val="clear" w:color="auto" w:fill="e6e6e6"/>
            <w:tcBorders>
              <w:top w:val="single" w:color="auto" w:sz="12" w:space="0"/>
              <w:bottom w:val="single" w:color="auto" w:sz="8" w:space="0"/>
            </w:tcBorders>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e6e6e6"/>
            <w:tcBorders>
              <w:top w:val="single" w:color="auto" w:sz="12" w:space="0"/>
              <w:bottom w:val="single" w:color="auto" w:sz="8" w:space="0"/>
            </w:tcBorders>
            <w:tcW w:w="6574"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标准名称</w:t>
            </w:r>
            <w:r/>
          </w:p>
        </w:tc>
        <w:tc>
          <w:tcPr>
            <w:shd w:val="clear" w:color="auto" w:fill="e6e6e6"/>
            <w:tcBorders>
              <w:top w:val="single" w:color="auto" w:sz="12" w:space="0"/>
              <w:bottom w:val="single" w:color="auto" w:sz="8" w:space="0"/>
            </w:tcBorders>
            <w:tcW w:w="2288" w:type="dxa"/>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标准版本号</w:t>
            </w:r>
            <w:r/>
          </w:p>
        </w:tc>
      </w:tr>
      <w:tr>
        <w:trPr>
          <w:jc w:val="center"/>
          <w:trHeight w:val="340"/>
        </w:trPr>
        <w:tc>
          <w:tcPr>
            <w:tcBorders>
              <w:top w:val="single" w:color="auto" w:sz="8" w:space="0"/>
            </w:tcBorders>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8" w:space="0"/>
            </w:tcBorders>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《1∶500 1∶1 000 1∶ 2000地形图航空摄影测量数字化测图规范》</w:t>
            </w:r>
            <w:r/>
          </w:p>
        </w:tc>
        <w:tc>
          <w:tcPr>
            <w:tcBorders>
              <w:top w:val="single" w:color="auto" w:sz="8" w:space="0"/>
            </w:tcBorders>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15967-2008</w:t>
            </w:r>
            <w:r/>
          </w:p>
        </w:tc>
      </w:tr>
      <w:tr>
        <w:trPr>
          <w:jc w:val="center"/>
          <w:trHeight w:val="619"/>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《1∶500  1∶1 000  1∶2 000地形图航空摄影测量内业规范》</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7930-2008</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《1∶500  1∶1 000  1∶2 000地形图航空摄影测量外业规范》</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7931-2008</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6574" w:type="dxa"/>
            <w:vAlign w:val="center"/>
            <w:textDirection w:val="lrTb"/>
            <w:noWrap w:val="false"/>
          </w:tcPr>
          <w:p>
            <w:pPr>
              <w:ind w:left="120" w:hanging="12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《国家基本比例尺地图图式 第1部分：1∶500  1∶1000  1∶2 000地形图图式》。（简称《图式》）</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20257.1-2017</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6574" w:type="dxa"/>
            <w:vAlign w:val="center"/>
            <w:textDirection w:val="lrTb"/>
            <w:noWrap w:val="false"/>
          </w:tcPr>
          <w:p>
            <w:pPr>
              <w:ind w:left="120" w:hanging="12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《全球定位系统（GPS）测量规范》</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18314-2009</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《全球定位系统实时动态测量（RTK）技术规范》 </w:t>
            </w:r>
            <w:r/>
          </w:p>
        </w:tc>
        <w:tc>
          <w:tcPr>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CH/T 2009-2010</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《卫星定位城市测量技术规范》</w:t>
            </w:r>
            <w:r/>
          </w:p>
        </w:tc>
        <w:tc>
          <w:tcPr>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CJJ/T 73-2010</w:t>
            </w:r>
            <w:r/>
          </w:p>
        </w:tc>
      </w:tr>
      <w:tr>
        <w:trPr>
          <w:jc w:val="center"/>
          <w:trHeight w:val="9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《城市测量规范》</w:t>
            </w:r>
            <w:r/>
          </w:p>
        </w:tc>
        <w:tc>
          <w:tcPr>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CJJ/T 8-2011</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《数字航空摄影测量  空中三角测量规范》</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23236-2009</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《数字航空摄影测量  控制测量规范》</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CH/T 3006-2011</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《数字地形图产品基本要求》</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17278-2009</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《数字测绘成果质量检查与验收》</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18316-2008</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《测绘成果质量检查与验收》</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24356-2009</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《基础地理信息数字成果1∶500 1∶1 000 1∶2 000数字线划图》</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CH/T 9008.1-2010</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《基础地理信息数字成果1∶500 1∶1 000 1∶2 000数字高程模型》</w:t>
            </w:r>
            <w:r/>
          </w:p>
        </w:tc>
        <w:tc>
          <w:tcPr>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CH/T 9008.2-2010</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《基础地理信息数字成果1∶500 1∶1 000 1∶2 000数字正射影像图》</w:t>
            </w:r>
            <w:r/>
          </w:p>
        </w:tc>
        <w:tc>
          <w:tcPr>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CH/T 9008.3-2010</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《测绘技术设计规定》</w:t>
            </w:r>
            <w:r/>
          </w:p>
        </w:tc>
        <w:tc>
          <w:tcPr>
            <w:tcW w:w="2288"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CH/T 1004-2005</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《GPS高程测量规范》</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DB32/T1223－2008</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《区域似大地水准面精化基本技术规定》</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23709-2009</w:t>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《盐城市1∶500、1∶1000、1∶2000基础地理信息数据标准》</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40"/>
        </w:trPr>
        <w:tc>
          <w:tcPr>
            <w:tcW w:w="79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tcW w:w="6574"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《本项目技术设计书》</w:t>
            </w:r>
            <w:r/>
          </w:p>
        </w:tc>
        <w:tc>
          <w:tcPr>
            <w:tcW w:w="2288"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技术依据运用既要满足现行的技术标准和规范，确保数据能验收入库。本项目技术设计书是按上述规范和图式规定制定的具体作业要求。</w:t>
      </w:r>
      <w:r/>
    </w:p>
    <w:p>
      <w:pPr>
        <w:ind w:firstLine="480"/>
        <w:rPr>
          <w:rFonts w:hint="eastAsia" w:asciiTheme="minorEastAsia" w:hAnsiTheme="minorEastAsia" w:eastAsiaTheme="minorEastAsia" w:cstheme="minorEastAsia"/>
          <w:b w:val="0"/>
          <w:bCs/>
          <w:sz w:val="24"/>
          <w:szCs w:val="24"/>
        </w:rPr>
        <w:outlineLvl w:val="1"/>
      </w:pPr>
      <w:r>
        <w:rPr>
          <w:rFonts w:hint="eastAsia" w:asciiTheme="minorEastAsia" w:hAnsiTheme="minorEastAsia" w:eastAsiaTheme="minorEastAsia" w:cstheme="minorEastAsia"/>
          <w:b w:val="0"/>
          <w:bCs/>
          <w:sz w:val="24"/>
          <w:szCs w:val="24"/>
        </w:rPr>
        <w:t xml:space="preserve">2</w:t>
      </w:r>
      <w:r>
        <w:rPr>
          <w:rFonts w:hint="eastAsia" w:asciiTheme="minorEastAsia" w:hAnsiTheme="minorEastAsia" w:eastAsiaTheme="minorEastAsia" w:cstheme="minorEastAsia"/>
          <w:b w:val="0"/>
          <w:bCs/>
          <w:sz w:val="24"/>
          <w:szCs w:val="24"/>
          <w:lang w:eastAsia="zh-CN"/>
        </w:rPr>
        <w:t xml:space="preserve">、</w:t>
      </w:r>
      <w:r>
        <w:rPr>
          <w:rFonts w:hint="eastAsia" w:asciiTheme="minorEastAsia" w:hAnsiTheme="minorEastAsia" w:eastAsiaTheme="minorEastAsia" w:cstheme="minorEastAsia"/>
          <w:b w:val="0"/>
          <w:bCs/>
          <w:sz w:val="24"/>
          <w:szCs w:val="24"/>
        </w:rPr>
        <w:t xml:space="preserve">数学基础</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outlineLvl w:val="2"/>
      </w:pPr>
      <w:r>
        <w:rPr>
          <w:rFonts w:hint="eastAsia" w:asciiTheme="minorEastAsia" w:hAnsiTheme="minorEastAsia" w:eastAsiaTheme="minorEastAsia" w:cstheme="minorEastAsia"/>
          <w:sz w:val="24"/>
          <w:szCs w:val="24"/>
        </w:rPr>
        <w:t xml:space="preserve">2.1坐标系统</w:t>
      </w:r>
      <w:r/>
    </w:p>
    <w:p>
      <w:pPr>
        <w:pStyle w:val="673"/>
        <w:ind w:firstLine="482"/>
        <w:jc w:val="left"/>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采用2000国家大地坐标系。</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outlineLvl w:val="2"/>
      </w:pPr>
      <w:r>
        <w:rPr>
          <w:rFonts w:hint="eastAsia" w:asciiTheme="minorEastAsia" w:hAnsiTheme="minorEastAsia" w:eastAsiaTheme="minorEastAsia" w:cstheme="minorEastAsia"/>
          <w:sz w:val="24"/>
          <w:szCs w:val="24"/>
        </w:rPr>
        <w:t xml:space="preserve">2.2高程基准</w:t>
      </w:r>
      <w:r/>
    </w:p>
    <w:p>
      <w:pPr>
        <w:pStyle w:val="673"/>
        <w:ind w:firstLine="482"/>
        <w:jc w:val="left"/>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采用1985国家高程基准。</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outlineLvl w:val="2"/>
      </w:pPr>
      <w:r>
        <w:rPr>
          <w:rFonts w:hint="eastAsia" w:asciiTheme="minorEastAsia" w:hAnsiTheme="minorEastAsia" w:eastAsiaTheme="minorEastAsia" w:cstheme="minorEastAsia"/>
          <w:sz w:val="24"/>
          <w:szCs w:val="24"/>
        </w:rPr>
        <w:t xml:space="preserve">2.3地图投影</w:t>
      </w:r>
      <w:r/>
    </w:p>
    <w:p>
      <w:pPr>
        <w:pStyle w:val="673"/>
        <w:ind w:firstLine="482"/>
        <w:jc w:val="left"/>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投影带：高斯－克吕格3度带投影；中央子午线东经120度；</w:t>
      </w:r>
      <w:r/>
    </w:p>
    <w:p>
      <w:pPr>
        <w:ind w:firstLine="480"/>
        <w:rPr>
          <w:rFonts w:hint="eastAsia" w:asciiTheme="minorEastAsia" w:hAnsiTheme="minorEastAsia" w:eastAsiaTheme="minorEastAsia" w:cstheme="minorEastAsia"/>
          <w:b w:val="0"/>
          <w:bCs/>
          <w:sz w:val="24"/>
          <w:szCs w:val="24"/>
        </w:rPr>
        <w:outlineLvl w:val="1"/>
      </w:pPr>
      <w:r>
        <w:rPr>
          <w:rFonts w:hint="eastAsia" w:asciiTheme="minorEastAsia" w:hAnsiTheme="minorEastAsia" w:eastAsiaTheme="minorEastAsia" w:cstheme="minorEastAsia"/>
          <w:b w:val="0"/>
          <w:bCs/>
          <w:sz w:val="24"/>
          <w:szCs w:val="24"/>
        </w:rPr>
        <w:t xml:space="preserve">3</w:t>
      </w:r>
      <w:r>
        <w:rPr>
          <w:rFonts w:hint="eastAsia" w:asciiTheme="minorEastAsia" w:hAnsiTheme="minorEastAsia" w:eastAsiaTheme="minorEastAsia" w:cstheme="minorEastAsia"/>
          <w:b w:val="0"/>
          <w:bCs/>
          <w:sz w:val="24"/>
          <w:szCs w:val="24"/>
          <w:lang w:eastAsia="zh-CN"/>
        </w:rPr>
        <w:t xml:space="preserve">、</w:t>
      </w:r>
      <w:r>
        <w:rPr>
          <w:rFonts w:hint="eastAsia" w:asciiTheme="minorEastAsia" w:hAnsiTheme="minorEastAsia" w:eastAsiaTheme="minorEastAsia" w:cstheme="minorEastAsia"/>
          <w:b w:val="0"/>
          <w:bCs/>
          <w:sz w:val="24"/>
          <w:szCs w:val="24"/>
        </w:rPr>
        <w:t xml:space="preserve">成果主要技术指标</w:t>
      </w:r>
      <w:bookmarkStart w:id="166" w:name="_Toc337880212"/>
      <w:r/>
      <w:bookmarkEnd w:id="166"/>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outlineLvl w:val="2"/>
      </w:pPr>
      <w:r/>
      <w:bookmarkStart w:id="167" w:name="_Toc125174273"/>
      <w:r/>
      <w:bookmarkStart w:id="168" w:name="_Toc125174356"/>
      <w:r>
        <w:rPr>
          <w:rFonts w:hint="eastAsia" w:asciiTheme="minorEastAsia" w:hAnsiTheme="minorEastAsia" w:eastAsiaTheme="minorEastAsia" w:cstheme="minorEastAsia"/>
          <w:sz w:val="24"/>
          <w:szCs w:val="24"/>
        </w:rPr>
        <w:t xml:space="preserve">3.1像控点精度</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①像片平面控制点和平高控制点对最近基础控制点的平面位置中误差不应超过地物点平面位置中误差的1/5。</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②像片高程控制点和平高控制点对最近基础控制点的高程中误差不应超过基本等高距的1/10。</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outlineLvl w:val="2"/>
      </w:pPr>
      <w:r>
        <w:rPr>
          <w:rFonts w:hint="eastAsia" w:asciiTheme="minorEastAsia" w:hAnsiTheme="minorEastAsia" w:eastAsiaTheme="minorEastAsia" w:cstheme="minorEastAsia"/>
          <w:sz w:val="24"/>
          <w:szCs w:val="24"/>
        </w:rPr>
        <w:t xml:space="preserve">3.2地形图成图精度</w:t>
      </w:r>
      <w:bookmarkEnd w:id="167"/>
      <w:r/>
      <w:bookmarkEnd w:id="168"/>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①数字化地形图的坐标取位：X、Y坐标均以m为单位，各取小数点前6位。</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地形图平面精度：图上地物点相对于邻近平面控制点的平面位置中误差不超过图上±0.5mm，邻近地物点间距中误差不大于图上±0.4mm。在建筑物密集的街坊内部及施测困难的隐蔽地区在上述规定的基础上放宽0.5倍。</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③地形图高程精度：图上高程注记点相对于邻近高程控制点的高程中误差不超过±0.15m。隐蔽地区可在上述基础上放宽0.5倍。</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④平面和高程中误差的2倍为最大误差。</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outlineLvl w:val="2"/>
      </w:pPr>
      <w:r>
        <w:rPr>
          <w:rFonts w:hint="eastAsia" w:asciiTheme="minorEastAsia" w:hAnsiTheme="minorEastAsia" w:eastAsiaTheme="minorEastAsia" w:cstheme="minorEastAsia"/>
          <w:sz w:val="24"/>
          <w:szCs w:val="24"/>
        </w:rPr>
        <w:t xml:space="preserve">3.3 DOM精度</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①要求图像清晰，明暗度、对比度适中，色调柔和，影像无明显变形。</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②基本技术指标</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8"/>
        <w:gridCol w:w="3004"/>
        <w:gridCol w:w="2735"/>
      </w:tblGrid>
      <w:tr>
        <w:trPr>
          <w:cantSplit/>
          <w:jc w:val="center"/>
          <w:trHeight w:val="391"/>
        </w:trPr>
        <w:tc>
          <w:tcPr>
            <w:tcW w:w="3788"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比例尺</w:t>
            </w:r>
            <w:r/>
          </w:p>
        </w:tc>
        <w:tc>
          <w:tcPr>
            <w:tcW w:w="300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地面分辨率(m)</w:t>
            </w:r>
            <w:r/>
          </w:p>
        </w:tc>
        <w:tc>
          <w:tcPr>
            <w:tcW w:w="27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灰度级</w:t>
            </w:r>
            <w:r/>
          </w:p>
        </w:tc>
      </w:tr>
      <w:tr>
        <w:trPr>
          <w:cantSplit/>
          <w:jc w:val="center"/>
          <w:trHeight w:val="615"/>
        </w:trPr>
        <w:tc>
          <w:tcPr>
            <w:tcBorders>
              <w:bottom w:val="single" w:color="auto" w:sz="4" w:space="0"/>
            </w:tcBorders>
            <w:tcW w:w="3788"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1∶1000</w:t>
            </w:r>
            <w:r/>
          </w:p>
        </w:tc>
        <w:tc>
          <w:tcPr>
            <w:tcBorders>
              <w:bottom w:val="single" w:color="auto" w:sz="4" w:space="0"/>
            </w:tcBorders>
            <w:tcW w:w="300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≤0.1</w:t>
            </w:r>
            <w:r/>
          </w:p>
        </w:tc>
        <w:tc>
          <w:tcPr>
            <w:tcBorders>
              <w:bottom w:val="single" w:color="auto" w:sz="4" w:space="0"/>
            </w:tcBorders>
            <w:tcW w:w="27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w:t>
            </w:r>
            <w:r/>
          </w:p>
        </w:tc>
      </w:tr>
    </w:tbl>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③正射影像图的接边，一般按图幅接边，地物影像相差不超过1.0mm，个别不超过1.2mm。</w:t>
      </w:r>
      <w:r/>
    </w:p>
    <w:p>
      <w:pPr>
        <w:ind w:left="420"/>
        <w:jc w:val="left"/>
        <w:rPr>
          <w:rFonts w:hint="eastAsia" w:asciiTheme="minorEastAsia" w:hAnsiTheme="minorEastAsia" w:eastAsiaTheme="minorEastAsia" w:cstheme="minorEastAsia"/>
          <w:b/>
          <w:bCs/>
          <w:sz w:val="28"/>
          <w:szCs w:val="40"/>
          <w:lang w:val="en-US" w:eastAsia="zh-CN"/>
        </w:rPr>
        <w:outlineLvl w:val="0"/>
      </w:pPr>
      <w:r/>
      <w:bookmarkStart w:id="169" w:name="_Toc125174357"/>
      <w:r/>
      <w:bookmarkStart w:id="170" w:name="_Toc125174274"/>
      <w:r>
        <w:rPr>
          <w:rFonts w:hint="eastAsia" w:asciiTheme="minorEastAsia" w:hAnsiTheme="minorEastAsia" w:eastAsiaTheme="minorEastAsia" w:cstheme="minorEastAsia"/>
          <w:b/>
          <w:bCs/>
          <w:sz w:val="28"/>
          <w:szCs w:val="40"/>
          <w:lang w:val="en-US" w:eastAsia="zh-CN"/>
        </w:rPr>
        <w:t xml:space="preserve">三、地形图更新成图的基本求</w:t>
      </w:r>
      <w:bookmarkEnd w:id="169"/>
      <w:bookmarkEnd w:id="170"/>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成图方法：利用数字摄影测量工作站采用内业定位、外业定性的内转外成图方法进行数据采集。DOM和DEM均根据空三加密成果,应用数字摄影测量方法制作，DLG按设计书要求和《数据标准》进行数字化编辑、属性录入、数据格式转换、入库数据处理。</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2、分幅：采用50cm×50cm规格进行分幅。</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3、图幅编号：采用图廓西南角坐标，以公里为单位，取小数点前三位和小数点后一位，X坐标在前，Y坐标在后，中间加短线连接，如326.5—350.0。</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4、高程注记点密度：一般地区高程注记点图上每平方分米12～15个, 乡镇和居民地密集区及水稻田平坦地区每平方分米8～10个。1∶2000高程均注记至0.1m。</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5、基本等高距：1∶2000成图采用1m等高距，城镇区、居民地和水稻田等平坦地区不勾绘等高线。</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图名选择：图名应选用所在图幅内主要居民地名称或主要企事业及行政单位名称，全测区不得重名或同名。若图内无名可取时，应以相邻图幅的东、南、西、北四个方位命名，方位加括号，如张家村（东）。若加方位命名仍无法取图名时可不取图名，只注图号。</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四、地理实体数据生产</w:t>
      </w:r>
      <w:r/>
    </w:p>
    <w:p>
      <w:pPr>
        <w:ind w:firstLine="480"/>
        <w:keepLines w:val="0"/>
        <w:keepNext w:val="0"/>
        <w:pageBreakBefore w:val="0"/>
        <w:spacing w:line="360" w:lineRule="exact"/>
        <w:rPr>
          <w:rFonts w:hint="eastAsia" w:asciiTheme="minorEastAsia" w:hAnsiTheme="minorEastAsia" w:eastAsiaTheme="minorEastAsia" w:cstheme="minorEastAsia"/>
          <w:sz w:val="24"/>
          <w:szCs w:val="24"/>
          <w:lang w:val="en-US" w:eastAsia="zh-CN"/>
        </w:rPr>
        <w:outlineLvl w:val="1"/>
      </w:pPr>
      <w:r/>
      <w:bookmarkStart w:id="171" w:name="_Toc84679659"/>
      <w:r/>
      <w:bookmarkStart w:id="172" w:name="_Toc103087025"/>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lang w:val="en-US" w:eastAsia="zh-CN"/>
        </w:rPr>
        <w:t xml:space="preserve">工作内容</w:t>
      </w:r>
      <w:r/>
    </w:p>
    <w:p>
      <w:pPr>
        <w:ind w:firstLine="480"/>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利用</w:t>
      </w:r>
      <w:r>
        <w:rPr>
          <w:rFonts w:hint="eastAsia" w:asciiTheme="minorEastAsia" w:hAnsiTheme="minorEastAsia" w:eastAsiaTheme="minorEastAsia" w:cstheme="minorEastAsia"/>
          <w:sz w:val="24"/>
          <w:szCs w:val="24"/>
          <w:lang w:val="en-US" w:eastAsia="zh-CN"/>
        </w:rPr>
        <w:t xml:space="preserve">射阳县</w:t>
      </w:r>
      <w:r>
        <w:rPr>
          <w:rFonts w:hint="eastAsia" w:asciiTheme="minorEastAsia" w:hAnsiTheme="minorEastAsia" w:eastAsiaTheme="minorEastAsia" w:cstheme="minorEastAsia"/>
          <w:sz w:val="24"/>
          <w:szCs w:val="24"/>
          <w:lang w:val="zh-CN"/>
        </w:rPr>
        <w:t xml:space="preserve">1：1000 DLG大比例尺地形图、</w:t>
      </w:r>
      <w:r>
        <w:rPr>
          <w:rFonts w:hint="eastAsia" w:asciiTheme="minorEastAsia" w:hAnsiTheme="minorEastAsia" w:eastAsiaTheme="minorEastAsia" w:cstheme="minorEastAsia"/>
          <w:sz w:val="24"/>
          <w:szCs w:val="24"/>
          <w:lang w:val="zh-CN" w:eastAsia="zh-CN"/>
        </w:rPr>
        <w:t xml:space="preserve">天地图、不动产调查成果</w:t>
      </w:r>
      <w:r>
        <w:rPr>
          <w:rFonts w:hint="eastAsia" w:asciiTheme="minorEastAsia" w:hAnsiTheme="minorEastAsia" w:eastAsiaTheme="minorEastAsia" w:cstheme="minorEastAsia"/>
          <w:sz w:val="24"/>
          <w:szCs w:val="24"/>
          <w:lang w:val="zh-CN"/>
        </w:rPr>
        <w:t xml:space="preserve">等基础地理数据，辅以各管理部门业务数据等多源行业专题数据，开展工作界内城市级基础地理实体全要素更新，包括水体、农林用地与其他土地、水利、交通、建（构）筑物及设施、管线、院落、行政区划单元、地名、国土空间规划、其他管理区域等类别，具体建设内容如下</w:t>
      </w:r>
      <w:r>
        <w:rPr>
          <w:rFonts w:hint="eastAsia" w:asciiTheme="minorEastAsia" w:hAnsiTheme="minorEastAsia" w:eastAsiaTheme="minorEastAsia" w:cstheme="minorEastAsia"/>
          <w:sz w:val="24"/>
          <w:szCs w:val="24"/>
          <w:lang w:val="en-US" w:eastAsia="zh-CN"/>
        </w:rPr>
        <w:t xml:space="preserve">表</w:t>
      </w:r>
      <w:r>
        <w:rPr>
          <w:rFonts w:hint="eastAsia" w:asciiTheme="minorEastAsia" w:hAnsiTheme="minorEastAsia" w:eastAsiaTheme="minorEastAsia" w:cstheme="minorEastAsia"/>
          <w:sz w:val="24"/>
          <w:szCs w:val="24"/>
          <w:lang w:val="zh-CN"/>
        </w:rPr>
        <w:t xml:space="preserve">：</w:t>
      </w:r>
      <w:r/>
    </w:p>
    <w:tbl>
      <w:tblPr>
        <w:tblStyle w:val="694"/>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90"/>
        <w:gridCol w:w="6919"/>
        <w:gridCol w:w="1335"/>
      </w:tblGrid>
      <w:tr>
        <w:trPr>
          <w:jc w:val="center"/>
          <w:trHeight w:val="542"/>
        </w:trPr>
        <w:tc>
          <w:tcPr>
            <w:shd w:val="clear" w:color="auto" w:fill="e7e6e6"/>
            <w:tcW w:w="0" w:type="auto"/>
            <w:vAlign w:val="top"/>
            <w:textDirection w:val="lrTb"/>
            <w:noWrap w:val="false"/>
          </w:tcPr>
          <w:p>
            <w:pPr>
              <w:jc w:val="center"/>
              <w:keepLines w:val="0"/>
              <w:keepNext w:val="0"/>
              <w:pageBreakBefore w:val="0"/>
              <w:spacing w:before="13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b/>
                <w:bCs/>
                <w:color w:val="000000"/>
                <w:spacing w:val="-7"/>
                <w:sz w:val="24"/>
                <w:szCs w:val="24"/>
                <w:lang w:val="en-US" w:eastAsia="en-US" w:bidi="ar-SA"/>
              </w:rPr>
              <w:t xml:space="preserve">更新内容</w:t>
            </w:r>
            <w:r/>
          </w:p>
        </w:tc>
        <w:tc>
          <w:tcPr>
            <w:shd w:val="clear" w:color="auto" w:fill="e7e6e6"/>
            <w:tcBorders>
              <w:bottom w:val="single" w:color="auto" w:sz="4" w:space="0"/>
            </w:tcBorders>
            <w:tcW w:w="0" w:type="auto"/>
            <w:vAlign w:val="top"/>
            <w:textDirection w:val="lrTb"/>
            <w:noWrap w:val="false"/>
          </w:tcPr>
          <w:p>
            <w:pPr>
              <w:jc w:val="center"/>
              <w:keepLines w:val="0"/>
              <w:keepNext w:val="0"/>
              <w:pageBreakBefore w:val="0"/>
              <w:spacing w:before="13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b/>
                <w:bCs/>
                <w:color w:val="000000"/>
                <w:spacing w:val="-7"/>
                <w:sz w:val="24"/>
                <w:szCs w:val="24"/>
                <w:lang w:val="en-US" w:eastAsia="en-US" w:bidi="ar-SA"/>
              </w:rPr>
              <w:t xml:space="preserve">更新要求</w:t>
            </w:r>
            <w:r/>
          </w:p>
        </w:tc>
        <w:tc>
          <w:tcPr>
            <w:shd w:val="clear" w:color="auto" w:fill="e7e6e6"/>
            <w:tcBorders>
              <w:bottom w:val="single" w:color="auto" w:sz="4" w:space="0"/>
            </w:tcBorders>
            <w:tcW w:w="0" w:type="auto"/>
            <w:vAlign w:val="top"/>
            <w:textDirection w:val="lrTb"/>
            <w:noWrap w:val="false"/>
          </w:tcPr>
          <w:p>
            <w:pPr>
              <w:jc w:val="center"/>
              <w:keepLines w:val="0"/>
              <w:keepNext w:val="0"/>
              <w:pageBreakBefore w:val="0"/>
              <w:spacing w:before="13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b/>
                <w:bCs/>
                <w:color w:val="000000"/>
                <w:spacing w:val="-10"/>
                <w:sz w:val="24"/>
                <w:szCs w:val="24"/>
                <w:lang w:val="en-US" w:eastAsia="en-US" w:bidi="ar-SA"/>
              </w:rPr>
              <w:t xml:space="preserve">备注</w:t>
            </w:r>
            <w:r/>
          </w:p>
        </w:tc>
      </w:tr>
      <w:tr>
        <w:trPr>
          <w:jc w:val="center"/>
          <w:trHeight w:val="794"/>
        </w:trPr>
        <w:tc>
          <w:tcPr>
            <w:tcBorders>
              <w:bottom w:val="none" w:color="000000" w:sz="4" w:space="0"/>
              <w:right w:val="single" w:color="auto" w:sz="4" w:space="0"/>
            </w:tcBorders>
            <w:tcW w:w="0" w:type="auto"/>
            <w:vAlign w:val="top"/>
            <w:vMerge w:val="restart"/>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p>
            <w:pPr>
              <w:ind w:right="104"/>
              <w:jc w:val="both"/>
              <w:keepLines w:val="0"/>
              <w:keepNext w:val="0"/>
              <w:pageBreakBefore w:val="0"/>
              <w:spacing w:before="9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15"/>
                <w:sz w:val="24"/>
                <w:szCs w:val="24"/>
                <w:lang w:val="en-US" w:eastAsia="en-US" w:bidi="ar-SA"/>
              </w:rPr>
              <w:t xml:space="preserve">城</w:t>
            </w:r>
            <w:r>
              <w:rPr>
                <w:rFonts w:hint="eastAsia" w:asciiTheme="minorEastAsia" w:hAnsiTheme="minorEastAsia" w:eastAsiaTheme="minorEastAsia" w:cstheme="minorEastAsia"/>
                <w:color w:val="000000"/>
                <w:spacing w:val="-45"/>
                <w:sz w:val="24"/>
                <w:szCs w:val="24"/>
                <w:lang w:val="en-US" w:eastAsia="en-US" w:bidi="ar-SA"/>
              </w:rPr>
              <w:t xml:space="preserve"> </w:t>
            </w:r>
            <w:r>
              <w:rPr>
                <w:rFonts w:hint="eastAsia" w:asciiTheme="minorEastAsia" w:hAnsiTheme="minorEastAsia" w:eastAsiaTheme="minorEastAsia" w:cstheme="minorEastAsia"/>
                <w:color w:val="000000"/>
                <w:spacing w:val="-15"/>
                <w:sz w:val="24"/>
                <w:szCs w:val="24"/>
                <w:lang w:val="en-US" w:eastAsia="en-US" w:bidi="ar-SA"/>
              </w:rPr>
              <w:t xml:space="preserve">镇</w:t>
            </w:r>
            <w:r>
              <w:rPr>
                <w:rFonts w:hint="eastAsia" w:asciiTheme="minorEastAsia" w:hAnsiTheme="minorEastAsia" w:eastAsiaTheme="minorEastAsia" w:cstheme="minorEastAsia"/>
                <w:color w:val="000000"/>
                <w:spacing w:val="-44"/>
                <w:sz w:val="24"/>
                <w:szCs w:val="24"/>
                <w:lang w:val="en-US" w:eastAsia="en-US" w:bidi="ar-SA"/>
              </w:rPr>
              <w:t xml:space="preserve"> </w:t>
            </w:r>
            <w:r>
              <w:rPr>
                <w:rFonts w:hint="eastAsia" w:asciiTheme="minorEastAsia" w:hAnsiTheme="minorEastAsia" w:eastAsiaTheme="minorEastAsia" w:cstheme="minorEastAsia"/>
                <w:color w:val="000000"/>
                <w:spacing w:val="-15"/>
                <w:sz w:val="24"/>
                <w:szCs w:val="24"/>
                <w:lang w:val="en-US" w:eastAsia="en-US" w:bidi="ar-SA"/>
              </w:rPr>
              <w:t xml:space="preserve">住</w:t>
            </w:r>
            <w:r>
              <w:rPr>
                <w:rFonts w:hint="eastAsia" w:asciiTheme="minorEastAsia" w:hAnsiTheme="minorEastAsia" w:eastAsiaTheme="minorEastAsia" w:cstheme="minorEastAsia"/>
                <w:color w:val="000000"/>
                <w:spacing w:val="-33"/>
                <w:sz w:val="24"/>
                <w:szCs w:val="24"/>
                <w:lang w:val="en-US" w:eastAsia="en-US" w:bidi="ar-SA"/>
              </w:rPr>
              <w:t xml:space="preserve"> </w:t>
            </w:r>
            <w:r>
              <w:rPr>
                <w:rFonts w:hint="eastAsia" w:asciiTheme="minorEastAsia" w:hAnsiTheme="minorEastAsia" w:eastAsiaTheme="minorEastAsia" w:cstheme="minorEastAsia"/>
                <w:color w:val="000000"/>
                <w:spacing w:val="-15"/>
                <w:sz w:val="24"/>
                <w:szCs w:val="24"/>
                <w:lang w:val="en-US" w:eastAsia="en-US" w:bidi="ar-SA"/>
              </w:rPr>
              <w:t xml:space="preserve">宅</w:t>
            </w:r>
            <w:r>
              <w:rPr>
                <w:rFonts w:hint="eastAsia" w:asciiTheme="minorEastAsia" w:hAnsiTheme="minorEastAsia" w:eastAsiaTheme="minorEastAsia" w:cstheme="minorEastAsia"/>
                <w:color w:val="000000"/>
                <w:spacing w:val="-47"/>
                <w:sz w:val="24"/>
                <w:szCs w:val="24"/>
                <w:lang w:val="en-US" w:eastAsia="en-US" w:bidi="ar-SA"/>
              </w:rPr>
              <w:t xml:space="preserve"> </w:t>
            </w:r>
            <w:r>
              <w:rPr>
                <w:rFonts w:hint="eastAsia" w:asciiTheme="minorEastAsia" w:hAnsiTheme="minorEastAsia" w:eastAsiaTheme="minorEastAsia" w:cstheme="minorEastAsia"/>
                <w:color w:val="000000"/>
                <w:spacing w:val="-15"/>
                <w:sz w:val="24"/>
                <w:szCs w:val="24"/>
                <w:lang w:val="en-US" w:eastAsia="en-US" w:bidi="ar-SA"/>
              </w:rPr>
              <w:t xml:space="preserve">小</w:t>
            </w:r>
            <w:r>
              <w:rPr>
                <w:rFonts w:hint="eastAsia" w:asciiTheme="minorEastAsia" w:hAnsiTheme="minorEastAsia" w:eastAsiaTheme="minorEastAsia" w:cstheme="minorEastAsia"/>
                <w:color w:val="000000"/>
                <w:spacing w:val="4"/>
                <w:sz w:val="24"/>
                <w:szCs w:val="24"/>
                <w:lang w:val="en-US" w:eastAsia="en-US" w:bidi="ar-SA"/>
              </w:rPr>
              <w:t xml:space="preserve">区、机关团体</w:t>
            </w:r>
            <w:r>
              <w:rPr>
                <w:rFonts w:hint="eastAsia" w:asciiTheme="minorEastAsia" w:hAnsiTheme="minorEastAsia" w:eastAsiaTheme="minorEastAsia" w:cstheme="minorEastAsia"/>
                <w:color w:val="000000"/>
                <w:spacing w:val="-8"/>
                <w:sz w:val="24"/>
                <w:szCs w:val="24"/>
                <w:lang w:val="en-US" w:eastAsia="en-US" w:bidi="ar-SA"/>
              </w:rPr>
              <w:t xml:space="preserve">等院落</w:t>
            </w:r>
            <w:r/>
          </w:p>
        </w:tc>
        <w:tc>
          <w:tcPr>
            <w:tcBorders>
              <w:top w:val="single" w:color="auto" w:sz="4" w:space="0"/>
              <w:left w:val="single" w:color="auto" w:sz="4" w:space="0"/>
              <w:bottom w:val="single" w:color="auto" w:sz="4" w:space="0"/>
              <w:right w:val="single" w:color="auto" w:sz="4" w:space="0"/>
            </w:tcBorders>
            <w:tcW w:w="0" w:type="auto"/>
            <w:vAlign w:val="top"/>
            <w:textDirection w:val="lrTb"/>
            <w:noWrap w:val="false"/>
          </w:tcPr>
          <w:p>
            <w:pPr>
              <w:ind w:left="113" w:right="85" w:hanging="1"/>
              <w:jc w:val="left"/>
              <w:keepLines w:val="0"/>
              <w:keepNext w:val="0"/>
              <w:pageBreakBefore w:val="0"/>
              <w:spacing w:before="113" w:line="36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pacing w:val="-4"/>
                <w:sz w:val="24"/>
                <w:szCs w:val="24"/>
                <w:lang w:val="en-US" w:eastAsia="en-US" w:bidi="ar-SA"/>
              </w:rPr>
              <w:t xml:space="preserve">城镇住宅小区、机关团体、科教文卫、</w:t>
            </w:r>
            <w:r>
              <w:rPr>
                <w:rFonts w:hint="eastAsia" w:asciiTheme="minorEastAsia" w:hAnsiTheme="minorEastAsia" w:eastAsiaTheme="minorEastAsia" w:cstheme="minorEastAsia"/>
                <w:color w:val="000000"/>
                <w:spacing w:val="-5"/>
                <w:sz w:val="24"/>
                <w:szCs w:val="24"/>
                <w:lang w:val="en-US" w:eastAsia="en-US" w:bidi="ar-SA"/>
              </w:rPr>
              <w:t xml:space="preserve">公园广场、交通场站等院落实体变化应</w:t>
            </w:r>
            <w:r>
              <w:rPr>
                <w:rFonts w:hint="eastAsia" w:asciiTheme="minorEastAsia" w:hAnsiTheme="minorEastAsia" w:eastAsiaTheme="minorEastAsia" w:cstheme="minorEastAsia"/>
                <w:color w:val="000000"/>
                <w:spacing w:val="-5"/>
                <w:sz w:val="24"/>
                <w:szCs w:val="24"/>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0" w:type="auto"/>
            <w:vAlign w:val="top"/>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p>
            <w:pPr>
              <w:ind w:left="114"/>
              <w:jc w:val="left"/>
              <w:keepLines w:val="0"/>
              <w:keepNext w:val="0"/>
              <w:pageBreakBefore w:val="0"/>
              <w:spacing w:before="9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9"/>
                <w:sz w:val="24"/>
                <w:szCs w:val="24"/>
                <w:lang w:val="en-US" w:eastAsia="en-US" w:bidi="ar-SA"/>
              </w:rPr>
              <w:t xml:space="preserve">依</w:t>
            </w:r>
            <w:r>
              <w:rPr>
                <w:rFonts w:hint="eastAsia" w:asciiTheme="minorEastAsia" w:hAnsiTheme="minorEastAsia" w:eastAsiaTheme="minorEastAsia" w:cstheme="minorEastAsia"/>
                <w:color w:val="000000"/>
                <w:spacing w:val="-51"/>
                <w:sz w:val="24"/>
                <w:szCs w:val="24"/>
                <w:lang w:val="en-US" w:eastAsia="en-US" w:bidi="ar-SA"/>
              </w:rPr>
              <w:t xml:space="preserve"> </w:t>
            </w:r>
            <w:r>
              <w:rPr>
                <w:rFonts w:hint="eastAsia" w:asciiTheme="minorEastAsia" w:hAnsiTheme="minorEastAsia" w:eastAsiaTheme="minorEastAsia" w:cstheme="minorEastAsia"/>
                <w:color w:val="000000"/>
                <w:spacing w:val="-9"/>
                <w:sz w:val="24"/>
                <w:szCs w:val="24"/>
                <w:lang w:val="en-US" w:eastAsia="en-US" w:bidi="ar-SA"/>
              </w:rPr>
              <w:t xml:space="preserve">据</w:t>
            </w:r>
            <w:r>
              <w:rPr>
                <w:rFonts w:hint="eastAsia" w:asciiTheme="minorEastAsia" w:hAnsiTheme="minorEastAsia" w:eastAsiaTheme="minorEastAsia" w:cstheme="minorEastAsia"/>
                <w:color w:val="000000"/>
                <w:spacing w:val="-50"/>
                <w:sz w:val="24"/>
                <w:szCs w:val="24"/>
                <w:lang w:val="en-US" w:eastAsia="en-US" w:bidi="ar-SA"/>
              </w:rPr>
              <w:t xml:space="preserve"> </w:t>
            </w:r>
            <w:r>
              <w:rPr>
                <w:rFonts w:hint="eastAsia" w:asciiTheme="minorEastAsia" w:hAnsiTheme="minorEastAsia" w:eastAsiaTheme="minorEastAsia" w:cstheme="minorEastAsia"/>
                <w:color w:val="000000"/>
                <w:spacing w:val="-9"/>
                <w:sz w:val="24"/>
                <w:szCs w:val="24"/>
                <w:lang w:val="en-US" w:eastAsia="en-US" w:bidi="ar-SA"/>
              </w:rPr>
              <w:t xml:space="preserve">不</w:t>
            </w:r>
            <w:r>
              <w:rPr>
                <w:rFonts w:hint="eastAsia" w:asciiTheme="minorEastAsia" w:hAnsiTheme="minorEastAsia" w:eastAsiaTheme="minorEastAsia" w:cstheme="minorEastAsia"/>
                <w:color w:val="000000"/>
                <w:spacing w:val="-39"/>
                <w:sz w:val="24"/>
                <w:szCs w:val="24"/>
                <w:lang w:val="en-US" w:eastAsia="en-US" w:bidi="ar-SA"/>
              </w:rPr>
              <w:t xml:space="preserve"> </w:t>
            </w:r>
            <w:r>
              <w:rPr>
                <w:rFonts w:hint="eastAsia" w:asciiTheme="minorEastAsia" w:hAnsiTheme="minorEastAsia" w:eastAsiaTheme="minorEastAsia" w:cstheme="minorEastAsia"/>
                <w:color w:val="000000"/>
                <w:spacing w:val="-9"/>
                <w:sz w:val="24"/>
                <w:szCs w:val="24"/>
                <w:lang w:val="en-US" w:eastAsia="en-US" w:bidi="ar-SA"/>
              </w:rPr>
              <w:t xml:space="preserve">动</w:t>
            </w:r>
            <w:r/>
          </w:p>
        </w:tc>
      </w:tr>
      <w:tr>
        <w:trPr>
          <w:jc w:val="center"/>
          <w:trHeight w:val="1056"/>
        </w:trPr>
        <w:tc>
          <w:tcPr>
            <w:tcBorders>
              <w:top w:val="none" w:color="000000" w:sz="4" w:space="0"/>
            </w:tcBorders>
            <w:tcW w:w="0" w:type="auto"/>
            <w:vAlign w:val="top"/>
            <w:vMerge w:val="continue"/>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tc>
        <w:tc>
          <w:tcPr>
            <w:tcBorders>
              <w:top w:val="single" w:color="auto" w:sz="4" w:space="0"/>
            </w:tcBorders>
            <w:tcW w:w="0" w:type="auto"/>
            <w:vAlign w:val="top"/>
            <w:textDirection w:val="lrTb"/>
            <w:noWrap w:val="false"/>
          </w:tcPr>
          <w:p>
            <w:pPr>
              <w:ind w:left="116" w:right="13" w:firstLine="5"/>
              <w:jc w:val="both"/>
              <w:keepLines w:val="0"/>
              <w:keepNext w:val="0"/>
              <w:pageBreakBefore w:val="0"/>
              <w:spacing w:before="43"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16"/>
                <w:sz w:val="24"/>
                <w:szCs w:val="24"/>
                <w:lang w:val="en-US" w:eastAsia="en-US" w:bidi="ar-SA"/>
              </w:rPr>
              <w:t xml:space="preserve">更新，如因新建、改扩建、拆除、合并、</w:t>
            </w:r>
            <w:r>
              <w:rPr>
                <w:rFonts w:hint="eastAsia" w:asciiTheme="minorEastAsia" w:hAnsiTheme="minorEastAsia" w:eastAsiaTheme="minorEastAsia" w:cstheme="minorEastAsia"/>
                <w:color w:val="000000"/>
                <w:sz w:val="24"/>
                <w:szCs w:val="24"/>
                <w:lang w:val="en-US" w:eastAsia="en-US" w:bidi="ar-SA"/>
              </w:rPr>
              <w:t xml:space="preserve">分割等引起的院落位置、范围、权属、</w:t>
            </w:r>
            <w:r>
              <w:rPr>
                <w:rFonts w:hint="eastAsia" w:asciiTheme="minorEastAsia" w:hAnsiTheme="minorEastAsia" w:eastAsiaTheme="minorEastAsia" w:cstheme="minorEastAsia"/>
                <w:color w:val="000000"/>
                <w:spacing w:val="-5"/>
                <w:sz w:val="24"/>
                <w:szCs w:val="24"/>
                <w:lang w:val="en-US" w:eastAsia="en-US" w:bidi="ar-SA"/>
              </w:rPr>
              <w:t xml:space="preserve">功能属性变化；对其他实体更新引起的</w:t>
            </w:r>
            <w:r>
              <w:rPr>
                <w:rFonts w:hint="eastAsia" w:asciiTheme="minorEastAsia" w:hAnsiTheme="minorEastAsia" w:eastAsiaTheme="minorEastAsia" w:cstheme="minorEastAsia"/>
                <w:color w:val="000000"/>
                <w:spacing w:val="-1"/>
                <w:sz w:val="24"/>
                <w:szCs w:val="24"/>
                <w:lang w:val="en-US" w:eastAsia="en-US" w:bidi="ar-SA"/>
              </w:rPr>
              <w:t xml:space="preserve">院落关联变化应作协调更新处理。</w:t>
            </w:r>
            <w:r/>
          </w:p>
        </w:tc>
        <w:tc>
          <w:tcPr>
            <w:tcBorders>
              <w:top w:val="single" w:color="auto" w:sz="4" w:space="0"/>
            </w:tcBorders>
            <w:tcW w:w="0" w:type="auto"/>
            <w:vAlign w:val="top"/>
            <w:textDirection w:val="lrTb"/>
            <w:noWrap w:val="false"/>
          </w:tcPr>
          <w:p>
            <w:pPr>
              <w:ind w:left="126" w:right="105" w:hanging="8"/>
              <w:jc w:val="both"/>
              <w:keepLines w:val="0"/>
              <w:keepNext w:val="0"/>
              <w:pageBreakBefore w:val="0"/>
              <w:spacing w:before="45"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13"/>
                <w:sz w:val="24"/>
                <w:szCs w:val="24"/>
                <w:lang w:val="en-US" w:eastAsia="en-US" w:bidi="ar-SA"/>
              </w:rPr>
              <w:t xml:space="preserve">产登记、多</w:t>
            </w:r>
            <w:r>
              <w:rPr>
                <w:rFonts w:hint="eastAsia" w:asciiTheme="minorEastAsia" w:hAnsiTheme="minorEastAsia" w:eastAsiaTheme="minorEastAsia" w:cstheme="minorEastAsia"/>
                <w:color w:val="000000"/>
                <w:spacing w:val="-21"/>
                <w:sz w:val="24"/>
                <w:szCs w:val="24"/>
                <w:lang w:val="en-US" w:eastAsia="en-US" w:bidi="ar-SA"/>
              </w:rPr>
              <w:t xml:space="preserve">测</w:t>
            </w:r>
            <w:r>
              <w:rPr>
                <w:rFonts w:hint="eastAsia" w:asciiTheme="minorEastAsia" w:hAnsiTheme="minorEastAsia" w:eastAsiaTheme="minorEastAsia" w:cstheme="minorEastAsia"/>
                <w:color w:val="000000"/>
                <w:spacing w:val="-52"/>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合</w:t>
            </w:r>
            <w:r>
              <w:rPr>
                <w:rFonts w:hint="eastAsia" w:asciiTheme="minorEastAsia" w:hAnsiTheme="minorEastAsia" w:eastAsiaTheme="minorEastAsia" w:cstheme="minorEastAsia"/>
                <w:color w:val="000000"/>
                <w:spacing w:val="-37"/>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一</w:t>
            </w:r>
            <w:r>
              <w:rPr>
                <w:rFonts w:hint="eastAsia" w:asciiTheme="minorEastAsia" w:hAnsiTheme="minorEastAsia" w:eastAsiaTheme="minorEastAsia" w:cstheme="minorEastAsia"/>
                <w:color w:val="000000"/>
                <w:spacing w:val="-42"/>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等</w:t>
            </w:r>
            <w:r>
              <w:rPr>
                <w:rFonts w:hint="eastAsia" w:asciiTheme="minorEastAsia" w:hAnsiTheme="minorEastAsia" w:eastAsiaTheme="minorEastAsia" w:cstheme="minorEastAsia"/>
                <w:color w:val="000000"/>
                <w:spacing w:val="-5"/>
                <w:sz w:val="24"/>
                <w:szCs w:val="24"/>
                <w:lang w:val="en-US" w:eastAsia="en-US" w:bidi="ar-SA"/>
              </w:rPr>
              <w:t xml:space="preserve">资料更新</w:t>
            </w:r>
            <w:r/>
          </w:p>
        </w:tc>
      </w:tr>
      <w:tr>
        <w:trPr>
          <w:jc w:val="center"/>
          <w:trHeight w:val="1457"/>
        </w:trPr>
        <w:tc>
          <w:tcPr>
            <w:tcW w:w="0" w:type="auto"/>
            <w:vAlign w:val="top"/>
            <w:textDirection w:val="lrTb"/>
            <w:noWrap w:val="false"/>
          </w:tcPr>
          <w:p>
            <w:pPr>
              <w:ind w:right="104"/>
              <w:jc w:val="both"/>
              <w:keepLines w:val="0"/>
              <w:keepNext w:val="0"/>
              <w:pageBreakBefore w:val="0"/>
              <w:spacing w:before="91" w:line="360" w:lineRule="exact"/>
              <w:rPr>
                <w:rFonts w:hint="eastAsia" w:asciiTheme="minorEastAsia" w:hAnsiTheme="minorEastAsia" w:eastAsiaTheme="minorEastAsia" w:cstheme="minorEastAsia"/>
                <w:color w:val="000000"/>
                <w:spacing w:val="-1"/>
                <w:sz w:val="24"/>
                <w:szCs w:val="24"/>
                <w:lang w:val="en-US" w:eastAsia="en-US" w:bidi="ar-SA"/>
              </w:rPr>
            </w:pPr>
            <w:r>
              <w:rPr>
                <w:rFonts w:hint="eastAsia" w:asciiTheme="minorEastAsia" w:hAnsiTheme="minorEastAsia" w:eastAsiaTheme="minorEastAsia" w:cstheme="minorEastAsia"/>
                <w:color w:val="000000"/>
                <w:spacing w:val="-1"/>
                <w:sz w:val="24"/>
                <w:szCs w:val="24"/>
                <w:lang w:val="en-US" w:eastAsia="en-US" w:bidi="ar-SA"/>
              </w:rPr>
            </w:r>
            <w:r/>
          </w:p>
          <w:p>
            <w:pPr>
              <w:ind w:right="104"/>
              <w:jc w:val="both"/>
              <w:keepLines w:val="0"/>
              <w:keepNext w:val="0"/>
              <w:pageBreakBefore w:val="0"/>
              <w:spacing w:before="9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1"/>
                <w:sz w:val="24"/>
                <w:szCs w:val="24"/>
                <w:lang w:val="en-US" w:eastAsia="en-US" w:bidi="ar-SA"/>
              </w:rPr>
              <w:t xml:space="preserve">乡级以下行政</w:t>
            </w:r>
            <w:r>
              <w:rPr>
                <w:rFonts w:hint="eastAsia" w:asciiTheme="minorEastAsia" w:hAnsiTheme="minorEastAsia" w:eastAsiaTheme="minorEastAsia" w:cstheme="minorEastAsia"/>
                <w:color w:val="000000"/>
                <w:spacing w:val="-13"/>
                <w:sz w:val="24"/>
                <w:szCs w:val="24"/>
                <w:lang w:val="en-US" w:eastAsia="en-US" w:bidi="ar-SA"/>
              </w:rPr>
              <w:t xml:space="preserve">区划单元</w:t>
            </w:r>
            <w:r/>
          </w:p>
        </w:tc>
        <w:tc>
          <w:tcPr>
            <w:tcW w:w="0" w:type="auto"/>
            <w:vAlign w:val="top"/>
            <w:textDirection w:val="lrTb"/>
            <w:noWrap w:val="false"/>
          </w:tcPr>
          <w:p>
            <w:pPr>
              <w:ind w:left="114" w:right="13" w:firstLine="39"/>
              <w:jc w:val="both"/>
              <w:keepLines w:val="0"/>
              <w:keepNext w:val="0"/>
              <w:pageBreakBefore w:val="0"/>
              <w:spacing w:before="42"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7"/>
                <w:sz w:val="24"/>
                <w:szCs w:val="24"/>
                <w:lang w:val="en-US" w:eastAsia="en-US" w:bidi="ar-SA"/>
              </w:rPr>
              <w:t xml:space="preserve">乡级以下行政区域、界线、界桩、名称</w:t>
            </w:r>
            <w:r>
              <w:rPr>
                <w:rFonts w:hint="eastAsia" w:asciiTheme="minorEastAsia" w:hAnsiTheme="minorEastAsia" w:eastAsiaTheme="minorEastAsia" w:cstheme="minorEastAsia"/>
                <w:color w:val="000000"/>
                <w:spacing w:val="-15"/>
                <w:sz w:val="24"/>
                <w:szCs w:val="24"/>
                <w:lang w:val="en-US" w:eastAsia="en-US" w:bidi="ar-SA"/>
              </w:rPr>
              <w:t xml:space="preserve">变化应更新，如因建制调整、区域拆分、</w:t>
            </w:r>
            <w:r>
              <w:rPr>
                <w:rFonts w:hint="eastAsia" w:asciiTheme="minorEastAsia" w:hAnsiTheme="minorEastAsia" w:eastAsiaTheme="minorEastAsia" w:cstheme="minorEastAsia"/>
                <w:color w:val="000000"/>
                <w:spacing w:val="12"/>
                <w:sz w:val="24"/>
                <w:szCs w:val="24"/>
                <w:lang w:val="en-US" w:eastAsia="en-US" w:bidi="ar-SA"/>
              </w:rPr>
              <w:t xml:space="preserve">合并、驻地迁移等引起的行政单元范</w:t>
            </w:r>
            <w:r>
              <w:rPr>
                <w:rFonts w:hint="eastAsia" w:asciiTheme="minorEastAsia" w:hAnsiTheme="minorEastAsia" w:eastAsiaTheme="minorEastAsia" w:cstheme="minorEastAsia"/>
                <w:color w:val="000000"/>
                <w:spacing w:val="-5"/>
                <w:sz w:val="24"/>
                <w:szCs w:val="24"/>
                <w:lang w:val="en-US" w:eastAsia="en-US" w:bidi="ar-SA"/>
              </w:rPr>
              <w:t xml:space="preserve">围、界线走向、界桩点位、名称标识变化；对其他实体更新引起的行政区划关</w:t>
            </w:r>
            <w:r>
              <w:rPr>
                <w:rFonts w:hint="eastAsia" w:asciiTheme="minorEastAsia" w:hAnsiTheme="minorEastAsia" w:eastAsiaTheme="minorEastAsia" w:cstheme="minorEastAsia"/>
                <w:color w:val="000000"/>
                <w:spacing w:val="-1"/>
                <w:sz w:val="24"/>
                <w:szCs w:val="24"/>
                <w:lang w:val="en-US" w:eastAsia="en-US" w:bidi="ar-SA"/>
              </w:rPr>
              <w:t xml:space="preserve">联变化应作协调更新处理。</w:t>
            </w:r>
            <w:r/>
          </w:p>
        </w:tc>
        <w:tc>
          <w:tcPr>
            <w:tcW w:w="0" w:type="auto"/>
            <w:vAlign w:val="top"/>
            <w:textDirection w:val="lrTb"/>
            <w:noWrap w:val="false"/>
          </w:tcPr>
          <w:p>
            <w:pPr>
              <w:ind w:right="105"/>
              <w:jc w:val="both"/>
              <w:keepLines w:val="0"/>
              <w:keepNext w:val="0"/>
              <w:pageBreakBefore w:val="0"/>
              <w:spacing w:before="91" w:line="360" w:lineRule="exact"/>
              <w:rPr>
                <w:rFonts w:hint="eastAsia" w:asciiTheme="minorEastAsia" w:hAnsiTheme="minorEastAsia" w:eastAsiaTheme="minorEastAsia" w:cstheme="minorEastAsia"/>
                <w:color w:val="000000"/>
                <w:spacing w:val="-21"/>
                <w:sz w:val="24"/>
                <w:szCs w:val="24"/>
                <w:lang w:val="en-US" w:eastAsia="en-US" w:bidi="ar-SA"/>
              </w:rPr>
            </w:pPr>
            <w:r>
              <w:rPr>
                <w:rFonts w:hint="eastAsia" w:asciiTheme="minorEastAsia" w:hAnsiTheme="minorEastAsia" w:eastAsiaTheme="minorEastAsia" w:cstheme="minorEastAsia"/>
                <w:color w:val="000000"/>
                <w:spacing w:val="-21"/>
                <w:sz w:val="24"/>
                <w:szCs w:val="24"/>
                <w:lang w:val="en-US" w:eastAsia="en-US" w:bidi="ar-SA"/>
              </w:rPr>
            </w:r>
            <w:r/>
          </w:p>
          <w:p>
            <w:pPr>
              <w:ind w:right="105"/>
              <w:jc w:val="both"/>
              <w:keepLines w:val="0"/>
              <w:keepNext w:val="0"/>
              <w:pageBreakBefore w:val="0"/>
              <w:spacing w:before="9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21"/>
                <w:sz w:val="24"/>
                <w:szCs w:val="24"/>
                <w:lang w:val="en-US" w:eastAsia="en-US" w:bidi="ar-SA"/>
              </w:rPr>
              <w:t xml:space="preserve">依</w:t>
            </w:r>
            <w:r>
              <w:rPr>
                <w:rFonts w:hint="eastAsia" w:asciiTheme="minorEastAsia" w:hAnsiTheme="minorEastAsia" w:eastAsiaTheme="minorEastAsia" w:cstheme="minorEastAsia"/>
                <w:color w:val="000000"/>
                <w:spacing w:val="-52"/>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据</w:t>
            </w:r>
            <w:r>
              <w:rPr>
                <w:rFonts w:hint="eastAsia" w:asciiTheme="minorEastAsia" w:hAnsiTheme="minorEastAsia" w:eastAsiaTheme="minorEastAsia" w:cstheme="minorEastAsia"/>
                <w:color w:val="000000"/>
                <w:spacing w:val="-16"/>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民</w:t>
            </w:r>
            <w:r>
              <w:rPr>
                <w:rFonts w:hint="eastAsia" w:asciiTheme="minorEastAsia" w:hAnsiTheme="minorEastAsia" w:eastAsiaTheme="minorEastAsia" w:cstheme="minorEastAsia"/>
                <w:color w:val="000000"/>
                <w:spacing w:val="-49"/>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政</w:t>
            </w:r>
            <w:r>
              <w:rPr>
                <w:rFonts w:hint="eastAsia" w:asciiTheme="minorEastAsia" w:hAnsiTheme="minorEastAsia" w:eastAsiaTheme="minorEastAsia" w:cstheme="minorEastAsia"/>
                <w:color w:val="000000"/>
                <w:spacing w:val="-18"/>
                <w:sz w:val="24"/>
                <w:szCs w:val="24"/>
                <w:lang w:val="en-US" w:eastAsia="en-US" w:bidi="ar-SA"/>
              </w:rPr>
              <w:t xml:space="preserve">行</w:t>
            </w:r>
            <w:r>
              <w:rPr>
                <w:rFonts w:hint="eastAsia" w:asciiTheme="minorEastAsia" w:hAnsiTheme="minorEastAsia" w:eastAsiaTheme="minorEastAsia" w:cstheme="minorEastAsia"/>
                <w:color w:val="000000"/>
                <w:spacing w:val="-41"/>
                <w:sz w:val="24"/>
                <w:szCs w:val="24"/>
                <w:lang w:val="en-US" w:eastAsia="en-US" w:bidi="ar-SA"/>
              </w:rPr>
              <w:t xml:space="preserve"> </w:t>
            </w:r>
            <w:r>
              <w:rPr>
                <w:rFonts w:hint="eastAsia" w:asciiTheme="minorEastAsia" w:hAnsiTheme="minorEastAsia" w:eastAsiaTheme="minorEastAsia" w:cstheme="minorEastAsia"/>
                <w:color w:val="000000"/>
                <w:spacing w:val="-18"/>
                <w:sz w:val="24"/>
                <w:szCs w:val="24"/>
                <w:lang w:val="en-US" w:eastAsia="en-US" w:bidi="ar-SA"/>
              </w:rPr>
              <w:t xml:space="preserve">业</w:t>
            </w:r>
            <w:r>
              <w:rPr>
                <w:rFonts w:hint="eastAsia" w:asciiTheme="minorEastAsia" w:hAnsiTheme="minorEastAsia" w:eastAsiaTheme="minorEastAsia" w:cstheme="minorEastAsia"/>
                <w:color w:val="000000"/>
                <w:spacing w:val="-43"/>
                <w:sz w:val="24"/>
                <w:szCs w:val="24"/>
                <w:lang w:val="en-US" w:eastAsia="en-US" w:bidi="ar-SA"/>
              </w:rPr>
              <w:t xml:space="preserve"> </w:t>
            </w:r>
            <w:r>
              <w:rPr>
                <w:rFonts w:hint="eastAsia" w:asciiTheme="minorEastAsia" w:hAnsiTheme="minorEastAsia" w:eastAsiaTheme="minorEastAsia" w:cstheme="minorEastAsia"/>
                <w:color w:val="000000"/>
                <w:spacing w:val="-18"/>
                <w:sz w:val="24"/>
                <w:szCs w:val="24"/>
                <w:lang w:val="en-US" w:eastAsia="en-US" w:bidi="ar-SA"/>
              </w:rPr>
              <w:t xml:space="preserve">资</w:t>
            </w:r>
            <w:r>
              <w:rPr>
                <w:rFonts w:hint="eastAsia" w:asciiTheme="minorEastAsia" w:hAnsiTheme="minorEastAsia" w:eastAsiaTheme="minorEastAsia" w:cstheme="minorEastAsia"/>
                <w:color w:val="000000"/>
                <w:spacing w:val="-50"/>
                <w:sz w:val="24"/>
                <w:szCs w:val="24"/>
                <w:lang w:val="en-US" w:eastAsia="en-US" w:bidi="ar-SA"/>
              </w:rPr>
              <w:t xml:space="preserve"> </w:t>
            </w:r>
            <w:r>
              <w:rPr>
                <w:rFonts w:hint="eastAsia" w:asciiTheme="minorEastAsia" w:hAnsiTheme="minorEastAsia" w:eastAsiaTheme="minorEastAsia" w:cstheme="minorEastAsia"/>
                <w:color w:val="000000"/>
                <w:spacing w:val="-18"/>
                <w:sz w:val="24"/>
                <w:szCs w:val="24"/>
                <w:lang w:val="en-US" w:eastAsia="en-US" w:bidi="ar-SA"/>
              </w:rPr>
              <w:t xml:space="preserve">料</w:t>
            </w:r>
            <w:r>
              <w:rPr>
                <w:rFonts w:hint="eastAsia" w:asciiTheme="minorEastAsia" w:hAnsiTheme="minorEastAsia" w:eastAsiaTheme="minorEastAsia" w:cstheme="minorEastAsia"/>
                <w:color w:val="000000"/>
                <w:spacing w:val="-5"/>
                <w:sz w:val="24"/>
                <w:szCs w:val="24"/>
                <w:lang w:val="en-US" w:eastAsia="en-US" w:bidi="ar-SA"/>
              </w:rPr>
              <w:t xml:space="preserve">更新</w:t>
            </w:r>
            <w:r/>
          </w:p>
        </w:tc>
      </w:tr>
      <w:tr>
        <w:trPr>
          <w:jc w:val="center"/>
          <w:trHeight w:val="1491"/>
        </w:trPr>
        <w:tc>
          <w:tcPr>
            <w:tcW w:w="0" w:type="auto"/>
            <w:vAlign w:val="top"/>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p>
            <w:pPr>
              <w:jc w:val="center"/>
              <w:keepLines w:val="0"/>
              <w:keepNext w:val="0"/>
              <w:pageBreakBefore w:val="0"/>
              <w:spacing w:before="9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3"/>
                <w:sz w:val="24"/>
                <w:szCs w:val="24"/>
                <w:lang w:val="en-US" w:eastAsia="en-US" w:bidi="ar-SA"/>
              </w:rPr>
              <w:t xml:space="preserve">行政地名</w:t>
            </w:r>
            <w:r/>
          </w:p>
        </w:tc>
        <w:tc>
          <w:tcPr>
            <w:tcW w:w="0" w:type="auto"/>
            <w:vAlign w:val="top"/>
            <w:textDirection w:val="lrTb"/>
            <w:noWrap w:val="false"/>
          </w:tcPr>
          <w:p>
            <w:pPr>
              <w:ind w:left="116" w:right="100" w:hanging="2"/>
              <w:jc w:val="both"/>
              <w:keepLines w:val="0"/>
              <w:keepNext w:val="0"/>
              <w:pageBreakBefore w:val="0"/>
              <w:spacing w:before="46"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5"/>
                <w:sz w:val="24"/>
                <w:szCs w:val="24"/>
                <w:lang w:val="en-US" w:eastAsia="en-US" w:bidi="ar-SA"/>
              </w:rPr>
              <w:t xml:space="preserve">村（含）以上等级居民地行政地名和政府驻地位置发生变化应更新，如因地名更名、命名、注销，政府驻地搬迁、调整等引起的地名标识、地理点位、权属关联变化；对其他实体更新引起的地名</w:t>
            </w:r>
            <w:r>
              <w:rPr>
                <w:rFonts w:hint="eastAsia" w:asciiTheme="minorEastAsia" w:hAnsiTheme="minorEastAsia" w:eastAsiaTheme="minorEastAsia" w:cstheme="minorEastAsia"/>
                <w:color w:val="000000"/>
                <w:spacing w:val="-2"/>
                <w:sz w:val="24"/>
                <w:szCs w:val="24"/>
                <w:lang w:val="en-US" w:eastAsia="en-US" w:bidi="ar-SA"/>
              </w:rPr>
              <w:t xml:space="preserve">关联变化应作协调更新处理。</w:t>
            </w:r>
            <w:r/>
          </w:p>
        </w:tc>
        <w:tc>
          <w:tcPr>
            <w:tcW w:w="0" w:type="auto"/>
            <w:vAlign w:val="top"/>
            <w:textDirection w:val="lrTb"/>
            <w:noWrap w:val="false"/>
          </w:tcPr>
          <w:p>
            <w:pPr>
              <w:ind w:right="105"/>
              <w:jc w:val="both"/>
              <w:keepLines w:val="0"/>
              <w:keepNext w:val="0"/>
              <w:pageBreakBefore w:val="0"/>
              <w:spacing w:before="91" w:line="360" w:lineRule="exact"/>
              <w:rPr>
                <w:rFonts w:hint="eastAsia" w:asciiTheme="minorEastAsia" w:hAnsiTheme="minorEastAsia" w:eastAsiaTheme="minorEastAsia" w:cstheme="minorEastAsia"/>
                <w:color w:val="000000"/>
                <w:spacing w:val="-21"/>
                <w:sz w:val="24"/>
                <w:szCs w:val="24"/>
                <w:lang w:val="en-US" w:eastAsia="en-US" w:bidi="ar-SA"/>
              </w:rPr>
            </w:pPr>
            <w:r>
              <w:rPr>
                <w:rFonts w:hint="eastAsia" w:asciiTheme="minorEastAsia" w:hAnsiTheme="minorEastAsia" w:eastAsiaTheme="minorEastAsia" w:cstheme="minorEastAsia"/>
                <w:color w:val="000000"/>
                <w:spacing w:val="-21"/>
                <w:sz w:val="24"/>
                <w:szCs w:val="24"/>
                <w:lang w:val="en-US" w:eastAsia="en-US" w:bidi="ar-SA"/>
              </w:rPr>
            </w:r>
            <w:r/>
          </w:p>
          <w:p>
            <w:pPr>
              <w:ind w:right="105"/>
              <w:jc w:val="both"/>
              <w:keepLines w:val="0"/>
              <w:keepNext w:val="0"/>
              <w:pageBreakBefore w:val="0"/>
              <w:spacing w:before="91" w:line="360" w:lineRule="exact"/>
              <w:rPr>
                <w:rFonts w:hint="eastAsia" w:asciiTheme="minorEastAsia" w:hAnsiTheme="minorEastAsia" w:eastAsiaTheme="minorEastAsia" w:cstheme="minorEastAsia"/>
                <w:color w:val="000000"/>
                <w:sz w:val="24"/>
                <w:szCs w:val="24"/>
                <w:lang w:val="en-US" w:eastAsia="en-US" w:bidi="ar-SA"/>
              </w:rPr>
            </w:pPr>
            <w:r>
              <w:rPr>
                <w:rFonts w:hint="eastAsia" w:asciiTheme="minorEastAsia" w:hAnsiTheme="minorEastAsia" w:eastAsiaTheme="minorEastAsia" w:cstheme="minorEastAsia"/>
                <w:color w:val="000000"/>
                <w:spacing w:val="-21"/>
                <w:sz w:val="24"/>
                <w:szCs w:val="24"/>
                <w:lang w:val="en-US" w:eastAsia="en-US" w:bidi="ar-SA"/>
              </w:rPr>
              <w:t xml:space="preserve">依</w:t>
            </w:r>
            <w:r>
              <w:rPr>
                <w:rFonts w:hint="eastAsia" w:asciiTheme="minorEastAsia" w:hAnsiTheme="minorEastAsia" w:eastAsiaTheme="minorEastAsia" w:cstheme="minorEastAsia"/>
                <w:color w:val="000000"/>
                <w:spacing w:val="-52"/>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据</w:t>
            </w:r>
            <w:r>
              <w:rPr>
                <w:rFonts w:hint="eastAsia" w:asciiTheme="minorEastAsia" w:hAnsiTheme="minorEastAsia" w:eastAsiaTheme="minorEastAsia" w:cstheme="minorEastAsia"/>
                <w:color w:val="000000"/>
                <w:spacing w:val="-16"/>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民</w:t>
            </w:r>
            <w:r>
              <w:rPr>
                <w:rFonts w:hint="eastAsia" w:asciiTheme="minorEastAsia" w:hAnsiTheme="minorEastAsia" w:eastAsiaTheme="minorEastAsia" w:cstheme="minorEastAsia"/>
                <w:color w:val="000000"/>
                <w:spacing w:val="-49"/>
                <w:sz w:val="24"/>
                <w:szCs w:val="24"/>
                <w:lang w:val="en-US" w:eastAsia="en-US" w:bidi="ar-SA"/>
              </w:rPr>
              <w:t xml:space="preserve"> </w:t>
            </w:r>
            <w:r>
              <w:rPr>
                <w:rFonts w:hint="eastAsia" w:asciiTheme="minorEastAsia" w:hAnsiTheme="minorEastAsia" w:eastAsiaTheme="minorEastAsia" w:cstheme="minorEastAsia"/>
                <w:color w:val="000000"/>
                <w:spacing w:val="-21"/>
                <w:sz w:val="24"/>
                <w:szCs w:val="24"/>
                <w:lang w:val="en-US" w:eastAsia="en-US" w:bidi="ar-SA"/>
              </w:rPr>
              <w:t xml:space="preserve">政</w:t>
            </w:r>
            <w:r>
              <w:rPr>
                <w:rFonts w:hint="eastAsia" w:asciiTheme="minorEastAsia" w:hAnsiTheme="minorEastAsia" w:eastAsiaTheme="minorEastAsia" w:cstheme="minorEastAsia"/>
                <w:color w:val="000000"/>
                <w:spacing w:val="-18"/>
                <w:sz w:val="24"/>
                <w:szCs w:val="24"/>
                <w:lang w:val="en-US" w:eastAsia="en-US" w:bidi="ar-SA"/>
              </w:rPr>
              <w:t xml:space="preserve">行</w:t>
            </w:r>
            <w:r>
              <w:rPr>
                <w:rFonts w:hint="eastAsia" w:asciiTheme="minorEastAsia" w:hAnsiTheme="minorEastAsia" w:eastAsiaTheme="minorEastAsia" w:cstheme="minorEastAsia"/>
                <w:color w:val="000000"/>
                <w:spacing w:val="-41"/>
                <w:sz w:val="24"/>
                <w:szCs w:val="24"/>
                <w:lang w:val="en-US" w:eastAsia="en-US" w:bidi="ar-SA"/>
              </w:rPr>
              <w:t xml:space="preserve"> </w:t>
            </w:r>
            <w:r>
              <w:rPr>
                <w:rFonts w:hint="eastAsia" w:asciiTheme="minorEastAsia" w:hAnsiTheme="minorEastAsia" w:eastAsiaTheme="minorEastAsia" w:cstheme="minorEastAsia"/>
                <w:color w:val="000000"/>
                <w:spacing w:val="-18"/>
                <w:sz w:val="24"/>
                <w:szCs w:val="24"/>
                <w:lang w:val="en-US" w:eastAsia="en-US" w:bidi="ar-SA"/>
              </w:rPr>
              <w:t xml:space="preserve">业</w:t>
            </w:r>
            <w:r>
              <w:rPr>
                <w:rFonts w:hint="eastAsia" w:asciiTheme="minorEastAsia" w:hAnsiTheme="minorEastAsia" w:eastAsiaTheme="minorEastAsia" w:cstheme="minorEastAsia"/>
                <w:color w:val="000000"/>
                <w:spacing w:val="-43"/>
                <w:sz w:val="24"/>
                <w:szCs w:val="24"/>
                <w:lang w:val="en-US" w:eastAsia="en-US" w:bidi="ar-SA"/>
              </w:rPr>
              <w:t xml:space="preserve"> </w:t>
            </w:r>
            <w:r>
              <w:rPr>
                <w:rFonts w:hint="eastAsia" w:asciiTheme="minorEastAsia" w:hAnsiTheme="minorEastAsia" w:eastAsiaTheme="minorEastAsia" w:cstheme="minorEastAsia"/>
                <w:color w:val="000000"/>
                <w:spacing w:val="-18"/>
                <w:sz w:val="24"/>
                <w:szCs w:val="24"/>
                <w:lang w:val="en-US" w:eastAsia="en-US" w:bidi="ar-SA"/>
              </w:rPr>
              <w:t xml:space="preserve">资</w:t>
            </w:r>
            <w:r>
              <w:rPr>
                <w:rFonts w:hint="eastAsia" w:asciiTheme="minorEastAsia" w:hAnsiTheme="minorEastAsia" w:eastAsiaTheme="minorEastAsia" w:cstheme="minorEastAsia"/>
                <w:color w:val="000000"/>
                <w:spacing w:val="-50"/>
                <w:sz w:val="24"/>
                <w:szCs w:val="24"/>
                <w:lang w:val="en-US" w:eastAsia="en-US" w:bidi="ar-SA"/>
              </w:rPr>
              <w:t xml:space="preserve"> </w:t>
            </w:r>
            <w:r>
              <w:rPr>
                <w:rFonts w:hint="eastAsia" w:asciiTheme="minorEastAsia" w:hAnsiTheme="minorEastAsia" w:eastAsiaTheme="minorEastAsia" w:cstheme="minorEastAsia"/>
                <w:color w:val="000000"/>
                <w:spacing w:val="-18"/>
                <w:sz w:val="24"/>
                <w:szCs w:val="24"/>
                <w:lang w:val="en-US" w:eastAsia="en-US" w:bidi="ar-SA"/>
              </w:rPr>
              <w:t xml:space="preserve">料</w:t>
            </w:r>
            <w:r>
              <w:rPr>
                <w:rFonts w:hint="eastAsia" w:asciiTheme="minorEastAsia" w:hAnsiTheme="minorEastAsia" w:eastAsiaTheme="minorEastAsia" w:cstheme="minorEastAsia"/>
                <w:color w:val="000000"/>
                <w:spacing w:val="-5"/>
                <w:sz w:val="24"/>
                <w:szCs w:val="24"/>
                <w:lang w:val="en-US" w:eastAsia="en-US" w:bidi="ar-SA"/>
              </w:rPr>
              <w:t xml:space="preserve">更新</w:t>
            </w:r>
            <w:r/>
          </w:p>
        </w:tc>
      </w:tr>
    </w:tbl>
    <w:p>
      <w:pPr>
        <w:ind w:firstLine="480"/>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bookmarkEnd w:id="171"/>
      <w:bookmarkEnd w:id="172"/>
      <w:r/>
    </w:p>
    <w:p>
      <w:pPr>
        <w:ind w:firstLine="480"/>
        <w:keepLines w:val="0"/>
        <w:keepNext w:val="0"/>
        <w:pageBreakBefore w:val="0"/>
        <w:spacing w:line="360" w:lineRule="exact"/>
        <w:rPr>
          <w:rFonts w:hint="eastAsia" w:asciiTheme="minorEastAsia" w:hAnsiTheme="minorEastAsia" w:eastAsiaTheme="minorEastAsia" w:cstheme="minorEastAsia"/>
          <w:sz w:val="24"/>
          <w:szCs w:val="24"/>
          <w:lang w:val="en-US" w:eastAsia="zh-CN"/>
        </w:rPr>
        <w:outlineLvl w:val="1"/>
      </w:pPr>
      <w:r>
        <w:rPr>
          <w:rFonts w:hint="eastAsia" w:asciiTheme="minorEastAsia" w:hAnsiTheme="minorEastAsia" w:eastAsiaTheme="minorEastAsia" w:cstheme="minorEastAsia"/>
          <w:sz w:val="24"/>
          <w:szCs w:val="24"/>
          <w:lang w:val="en-US" w:eastAsia="zh-CN"/>
        </w:rPr>
        <w:t xml:space="preserve">2、工作流程</w:t>
      </w:r>
      <w:r/>
    </w:p>
    <w:p>
      <w:pPr>
        <w:pStyle w:val="695"/>
        <w:ind w:firstLine="480"/>
        <w:keepLines w:val="0"/>
        <w:keepNext w:val="0"/>
        <w:pageBreakBefore w:val="0"/>
        <w:spacing w:line="360" w:lineRule="exact"/>
        <w:tabs>
          <w:tab w:val="left" w:pos="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lang w:val="en-US" w:eastAsia="zh-CN"/>
        </w:rPr>
        <w:t xml:space="preserve">完成射阳县城区1:1000大比例尺地形图70.77平方公里范围内</w:t>
      </w:r>
      <w:r>
        <w:rPr>
          <w:rFonts w:hint="eastAsia" w:asciiTheme="minorEastAsia" w:hAnsiTheme="minorEastAsia" w:eastAsiaTheme="minorEastAsia" w:cstheme="minorEastAsia"/>
          <w:color w:val="auto"/>
          <w:sz w:val="24"/>
          <w:szCs w:val="24"/>
          <w:highlight w:val="none"/>
        </w:rPr>
        <w:t xml:space="preserve">基础地理实体</w:t>
      </w:r>
      <w:r>
        <w:rPr>
          <w:rFonts w:hint="eastAsia" w:asciiTheme="minorEastAsia" w:hAnsiTheme="minorEastAsia" w:eastAsiaTheme="minorEastAsia" w:cstheme="minorEastAsia"/>
          <w:color w:val="auto"/>
          <w:sz w:val="24"/>
          <w:szCs w:val="24"/>
          <w:highlight w:val="none"/>
          <w:lang w:val="en-US" w:eastAsia="zh-CN"/>
        </w:rPr>
        <w:t xml:space="preserve">建设及更新，主要工作内容如下：</w:t>
      </w:r>
      <w:r/>
    </w:p>
    <w:p>
      <w:pPr>
        <w:pStyle w:val="696"/>
        <w:numPr>
          <w:ilvl w:val="0"/>
          <w:numId w:val="3"/>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源数据收集分析</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收集测区范围内包括大比例尺地形图、遥感影像等资料，对收集到的数据，从数据源、数据现势性、数据格式和数据覆盖范围等方面综合分析，梳理分析不同数据的用途。</w:t>
      </w:r>
      <w:r/>
    </w:p>
    <w:p>
      <w:pPr>
        <w:pStyle w:val="696"/>
        <w:numPr>
          <w:ilvl w:val="0"/>
          <w:numId w:val="3"/>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源数据预处理</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对</w:t>
      </w:r>
      <w:r>
        <w:rPr>
          <w:rFonts w:hint="eastAsia" w:asciiTheme="minorEastAsia" w:hAnsiTheme="minorEastAsia" w:eastAsiaTheme="minorEastAsia" w:cstheme="minorEastAsia"/>
          <w:sz w:val="24"/>
          <w:szCs w:val="24"/>
        </w:rPr>
        <w:t xml:space="preserve">收集到的源数据进行规范化、标准化处理，包括格式转换、坐标转换以及数据治理等，使其满足基础地理实体生产和数据技术标准规定。</w:t>
      </w:r>
      <w:r/>
    </w:p>
    <w:p>
      <w:pPr>
        <w:pStyle w:val="696"/>
        <w:numPr>
          <w:ilvl w:val="0"/>
          <w:numId w:val="3"/>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图元转换</w:t>
      </w:r>
      <w:r/>
    </w:p>
    <w:p>
      <w:pPr>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对存量源数据进行收集、分析和预处理，通过转换规则制定、数据转换和转换后处理等环节，得到最终的基础地理实体数据。 </w:t>
      </w:r>
      <w:r/>
    </w:p>
    <w:p>
      <w:pPr>
        <w:pStyle w:val="697"/>
        <w:numPr>
          <w:ilvl w:val="0"/>
          <w:numId w:val="4"/>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转换规则制定 </w:t>
      </w:r>
      <w:r/>
    </w:p>
    <w:p>
      <w:pPr>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转换规则制定主要包括制作DLG与基础地理实体图元映射表和建立基础地理实体数据库结构。制作基础地理实体图元与DLG映射表，是规范数据转换过程中DLG要素的图形、属性信息与基础地理实体图元的对应关系，方便利用程序进行批量化、自动化的转换处理。</w:t>
      </w:r>
      <w:r/>
    </w:p>
    <w:p>
      <w:pPr>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建立基础地理实体数据库结构是依据地理实体数据规范的内容与要求，创建基础地理实体所有数据图层与属性字段，以便转换后的数据能够规范存储。</w:t>
      </w:r>
      <w:r/>
    </w:p>
    <w:p>
      <w:pPr>
        <w:pStyle w:val="697"/>
        <w:numPr>
          <w:ilvl w:val="0"/>
          <w:numId w:val="4"/>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源数据编辑与转换 </w:t>
      </w:r>
      <w:r/>
    </w:p>
    <w:p>
      <w:pPr>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个实体对象必须是一个完整图形表达，如一条河流不做分段表达，而采用一个完整的图形进行表达。水系、交通实体表达应考虑连通性，如河流经过湖泊时河流中心线不应被湖泊打断。因此需要对DLG二维矢量图元进行编辑，使其满足完整性和联通性的要求。</w:t>
      </w:r>
      <w:r/>
    </w:p>
    <w:p>
      <w:pPr>
        <w:pStyle w:val="697"/>
        <w:numPr>
          <w:ilvl w:val="0"/>
          <w:numId w:val="4"/>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二维图元后处理 </w:t>
      </w:r>
      <w:r/>
    </w:p>
    <w:p>
      <w:pPr>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LG要素批量转换为基础地理实体图元数据后，还需要对不满足基础地理实体数据要求的图元几何表达、语义属性与关联关系进行编辑，主要包括图形编辑、属性编辑、基础地理实体与图元关联三个部分，通过这三个方面的编辑处理，可形成符合数据规范要求的图元数据。</w:t>
      </w:r>
      <w:r/>
    </w:p>
    <w:p>
      <w:pPr>
        <w:pStyle w:val="696"/>
        <w:numPr>
          <w:ilvl w:val="0"/>
          <w:numId w:val="3"/>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图元补充采集生产</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收集的地形图等矢量数据，因为时效性等原因，还可能存在部分区域数据缺失的情况。对于这部分区域，需要参照二维图元转换生产的方法，以</w:t>
      </w:r>
      <w:r>
        <w:rPr>
          <w:rFonts w:hint="eastAsia" w:asciiTheme="minorEastAsia" w:hAnsiTheme="minorEastAsia" w:eastAsiaTheme="minorEastAsia" w:cstheme="minorEastAsia"/>
          <w:sz w:val="24"/>
          <w:szCs w:val="24"/>
          <w:lang w:val="en-US" w:eastAsia="zh-CN"/>
        </w:rPr>
        <w:t xml:space="preserve">最新影像及实景三维模型</w:t>
      </w:r>
      <w:r>
        <w:rPr>
          <w:rFonts w:hint="eastAsia" w:asciiTheme="minorEastAsia" w:hAnsiTheme="minorEastAsia" w:eastAsiaTheme="minorEastAsia" w:cstheme="minorEastAsia"/>
          <w:sz w:val="24"/>
          <w:szCs w:val="24"/>
        </w:rPr>
        <w:t xml:space="preserve">为基础，进行二维矢量数据补充采集生产。</w:t>
      </w:r>
      <w:r/>
    </w:p>
    <w:p>
      <w:pPr>
        <w:pStyle w:val="696"/>
        <w:numPr>
          <w:ilvl w:val="0"/>
          <w:numId w:val="3"/>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语义化处理</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语义化内容主要包括完善实体属性及构建实体关系等内容。</w:t>
      </w:r>
      <w:r/>
    </w:p>
    <w:p>
      <w:pPr>
        <w:pStyle w:val="697"/>
        <w:numPr>
          <w:ilvl w:val="0"/>
          <w:numId w:val="5"/>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调整基本属性</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对于由已有大比例尺地形图数据转换而来的实体基本属性数据，应根据基础地理实体特点进行基本属性调整。</w:t>
      </w:r>
      <w:r/>
    </w:p>
    <w:p>
      <w:pPr>
        <w:pStyle w:val="697"/>
        <w:numPr>
          <w:ilvl w:val="0"/>
          <w:numId w:val="5"/>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二维图元标识码赋值</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图元标识码是在基础地理实体分类码的基础上，结合图元的所在政区、精度等级、几何类型进行顺序编码，共26位，由6位行政区划码、6位实体分类码、2位精度等级码、2位几何类型码、8位顺序码组成。</w:t>
      </w:r>
      <w:r/>
    </w:p>
    <w:p>
      <w:pPr>
        <w:pStyle w:val="697"/>
        <w:numPr>
          <w:ilvl w:val="0"/>
          <w:numId w:val="6"/>
        </w:numPr>
        <w:ind w:left="0" w:firstLine="400"/>
        <w:jc w:val="left"/>
        <w:keepLines w:val="0"/>
        <w:keepNext w:val="0"/>
        <w:pageBreakBefore w:val="0"/>
        <w:spacing w:line="360" w:lineRule="exact"/>
        <w:tabs>
          <w:tab w:val="clear" w:pos="0" w:leader="none"/>
        </w:tabs>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 xml:space="preserve">实体分类码</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沿用地理实体的分类代码，采用《江苏省基础地理实体分类、粒度及精度基本要求（送审稿）》规定的6位十进制数字码。</w:t>
      </w:r>
      <w:r/>
    </w:p>
    <w:p>
      <w:pPr>
        <w:pStyle w:val="697"/>
        <w:numPr>
          <w:ilvl w:val="0"/>
          <w:numId w:val="6"/>
        </w:numPr>
        <w:ind w:left="0" w:firstLine="400"/>
        <w:jc w:val="left"/>
        <w:keepLines w:val="0"/>
        <w:keepNext w:val="0"/>
        <w:pageBreakBefore w:val="0"/>
        <w:spacing w:line="360" w:lineRule="exact"/>
        <w:tabs>
          <w:tab w:val="clear" w:pos="0" w:leader="none"/>
        </w:tabs>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 xml:space="preserve">精度等级码</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参考《江苏省基础地理实体分类、粒度及精度基本要求（送审稿）》中对于实体的几何精度分级，将二维地形级、城市级实体对应图元的几何精度等级分别赋值 21 、22。</w:t>
      </w:r>
      <w:r/>
    </w:p>
    <w:p>
      <w:pPr>
        <w:pStyle w:val="697"/>
        <w:numPr>
          <w:ilvl w:val="0"/>
          <w:numId w:val="6"/>
        </w:numPr>
        <w:ind w:left="0" w:firstLine="400"/>
        <w:jc w:val="left"/>
        <w:keepLines w:val="0"/>
        <w:keepNext w:val="0"/>
        <w:pageBreakBefore w:val="0"/>
        <w:spacing w:line="360" w:lineRule="exact"/>
        <w:tabs>
          <w:tab w:val="clear" w:pos="0" w:leader="none"/>
        </w:tabs>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 xml:space="preserve">几何类型码</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图元的几何类型代码分别代表二维的点、线、面和三维的体。</w:t>
      </w:r>
      <w:r/>
    </w:p>
    <w:p>
      <w:pPr>
        <w:pStyle w:val="697"/>
        <w:numPr>
          <w:ilvl w:val="0"/>
          <w:numId w:val="6"/>
        </w:numPr>
        <w:ind w:left="0" w:firstLine="400"/>
        <w:jc w:val="left"/>
        <w:keepLines w:val="0"/>
        <w:keepNext w:val="0"/>
        <w:pageBreakBefore w:val="0"/>
        <w:spacing w:line="360" w:lineRule="exact"/>
        <w:tabs>
          <w:tab w:val="clear" w:pos="0" w:leader="none"/>
        </w:tabs>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 xml:space="preserve">顺序码</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设计为 8 位，从 1 开始，依据同一县(区)级行政区划范围内图元产生的时间先后顺序依次编码，保证图元标识码的唯一性。范围为 00000000～99999999。</w:t>
      </w:r>
      <w:r/>
    </w:p>
    <w:p>
      <w:pPr>
        <w:pStyle w:val="697"/>
        <w:numPr>
          <w:ilvl w:val="0"/>
          <w:numId w:val="5"/>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 xml:space="preserve">获取实体关系</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为准确描述基础地理实体本身和其他基础地理实体之间的关联关系，参考指导性技术文件《新型基础测绘与实景三维中国建设技术文件-7 基础地理实体语义化基本规定》和《江苏省基础地理实体数据库规范(送审稿)》的要求，关联关系获取包括空间关系、类属关系、时间关联关系以及几何构成关系等。</w:t>
      </w:r>
      <w:r/>
    </w:p>
    <w:p>
      <w:pPr>
        <w:pStyle w:val="697"/>
        <w:numPr>
          <w:ilvl w:val="0"/>
          <w:numId w:val="5"/>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丰富扩展属性</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根据《新型基础测绘与实景三维中国建设技术文件-7 基础地理实体语义化基本规定》和《江苏省基础地理实体数据库规范(送审稿)》，丰富基础地理实体数据的扩展属性数据。依据数据间的映射关系，将收集测区范围内已有城市大比例尺地形图数据作为基础地理实体的扩展属性。</w:t>
      </w:r>
      <w:r/>
    </w:p>
    <w:p>
      <w:pPr>
        <w:pStyle w:val="696"/>
        <w:numPr>
          <w:ilvl w:val="0"/>
          <w:numId w:val="3"/>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成果提交</w:t>
      </w:r>
      <w:r/>
    </w:p>
    <w:p>
      <w:pPr>
        <w:pStyle w:val="697"/>
        <w:ind w:firstLine="480"/>
        <w:jc w:val="left"/>
        <w:keepLines w:val="0"/>
        <w:keepNext w:val="0"/>
        <w:pageBreakBefore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rPr>
        <w:t xml:space="preserve">对基于基础地理信息要素数据转换生产基础地理实体数据的各个环节进行质量控制，并通过数据检查和验收确保数据质量。对基于基础地理信息要素数据转换生产基础地理实体数据的各项成果资料按要求归档。</w:t>
      </w:r>
      <w:r/>
    </w:p>
    <w:p>
      <w:pPr>
        <w:ind w:firstLine="480"/>
        <w:keepLines w:val="0"/>
        <w:keepNext w:val="0"/>
        <w:pageBreakBefore w:val="0"/>
        <w:spacing w:line="360" w:lineRule="exact"/>
        <w:rPr>
          <w:rFonts w:hint="eastAsia" w:asciiTheme="minorEastAsia" w:hAnsiTheme="minorEastAsia" w:eastAsiaTheme="minorEastAsia" w:cstheme="minorEastAsia"/>
          <w:sz w:val="24"/>
          <w:szCs w:val="24"/>
          <w:lang w:val="en-US" w:eastAsia="zh-CN"/>
        </w:rPr>
        <w:outlineLvl w:val="1"/>
      </w:pPr>
      <w:r>
        <w:rPr>
          <w:rFonts w:hint="eastAsia" w:asciiTheme="minorEastAsia" w:hAnsiTheme="minorEastAsia" w:eastAsiaTheme="minorEastAsia" w:cstheme="minorEastAsia"/>
          <w:sz w:val="24"/>
          <w:szCs w:val="24"/>
          <w:lang w:val="en-US" w:eastAsia="zh-CN"/>
        </w:rPr>
        <w:t xml:space="preserve">3、技术要求</w:t>
      </w:r>
      <w:r/>
    </w:p>
    <w:p>
      <w:pPr>
        <w:pStyle w:val="696"/>
        <w:numPr>
          <w:ilvl w:val="0"/>
          <w:numId w:val="7"/>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时空基准</w:t>
      </w:r>
      <w:r/>
    </w:p>
    <w:p>
      <w:pPr>
        <w:numPr>
          <w:ilvl w:val="0"/>
          <w:numId w:val="8"/>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坐标系统：2000国家大地坐标系（CGCS2000）。</w:t>
      </w:r>
      <w:r/>
    </w:p>
    <w:p>
      <w:pPr>
        <w:numPr>
          <w:ilvl w:val="0"/>
          <w:numId w:val="8"/>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高程基准：1985国家高程基准。</w:t>
      </w:r>
      <w:r/>
    </w:p>
    <w:p>
      <w:pPr>
        <w:numPr>
          <w:ilvl w:val="0"/>
          <w:numId w:val="8"/>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投影方式：采用3度分带的高斯-克吕格投影，中央子午线120度。</w:t>
      </w:r>
      <w:r/>
    </w:p>
    <w:p>
      <w:pPr>
        <w:numPr>
          <w:ilvl w:val="0"/>
          <w:numId w:val="8"/>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时间基准：公元纪年和北京时间。</w:t>
      </w:r>
      <w:r/>
    </w:p>
    <w:p>
      <w:pPr>
        <w:pStyle w:val="696"/>
        <w:numPr>
          <w:ilvl w:val="0"/>
          <w:numId w:val="7"/>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主要技术依据</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《数字测绘成果质量检查与验收》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GB/T 18316-2008</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《测绘成果质量检查与验收》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GB/T 24356-2023</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《国家基本比例尺地图图式 第1部分：1∶500 1∶1000 1∶2000 地形图图式》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GB/T 20257.1-2017</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《基础地理信息要素分类与代码》</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GB/T 13923-2022</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《测绘技术设计规定》</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CH/T 1004-2005</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《测绘技术总结编写规定》</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CH/T 1001-2005</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《全球定位系统实时动态测量（RTK）技术规范》</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CH/T 2009-2010</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《实景三维中国建设技术大纲(2021版)》</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2021.8</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《实景三维中国建设总体技术设计书（2023-2025年）》</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2023.3</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《实景三维江苏建设技术设计书（2023-2025 年）》</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2023.6</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《新型基础测绘与实景三维中国建设技术文件》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2024.6</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《基于 1:500 1:1000 1:2000 基础地理信息要素数据转换生产基础地理实体数据技术规程（试行）》</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2024.6</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《江苏省基础地理实体分类、粒度及精度基本要求(试行)》</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2023.11</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《江苏省基础地理实体数据库规范》</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2025.3</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《实景三维盐城建设技术设计书2023-2025年》</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2023.11</w:t>
      </w:r>
      <w:r/>
    </w:p>
    <w:p>
      <w:pPr>
        <w:numPr>
          <w:ilvl w:val="0"/>
          <w:numId w:val="9"/>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《2026年江苏省实景三维数据省市县协同更新实施方案》（征求意见稿）。</w:t>
      </w:r>
      <w:r/>
    </w:p>
    <w:p>
      <w:pPr>
        <w:pStyle w:val="696"/>
        <w:numPr>
          <w:ilvl w:val="0"/>
          <w:numId w:val="7"/>
        </w:numPr>
        <w:ind w:left="0" w:firstLine="480"/>
        <w:jc w:val="left"/>
        <w:keepLines w:val="0"/>
        <w:keepNext w:val="0"/>
        <w:pageBreakBefore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技术指标</w:t>
      </w:r>
      <w:r/>
    </w:p>
    <w:p>
      <w:pPr>
        <w:ind w:firstLine="480"/>
        <w:jc w:val="left"/>
        <w:keepLines w:val="0"/>
        <w:keepNext w:val="0"/>
        <w:pageBreakBefore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3.1数据精度</w:t>
      </w:r>
      <w:r/>
    </w:p>
    <w:p>
      <w:pPr>
        <w:ind w:firstLine="480"/>
        <w:jc w:val="left"/>
        <w:keepLines w:val="0"/>
        <w:keepNext w:val="0"/>
        <w:pageBreakBefore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地理实体二维矢量图元的平面精度与地形图平面精度一致。</w:t>
      </w:r>
      <w:r/>
    </w:p>
    <w:p>
      <w:pPr>
        <w:ind w:firstLine="480"/>
        <w:jc w:val="left"/>
        <w:keepLines w:val="0"/>
        <w:keepNext w:val="0"/>
        <w:pageBreakBefore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二维矢量图元基础地理实体的成果要求</w:t>
      </w:r>
      <w:r/>
    </w:p>
    <w:p>
      <w:pPr>
        <w:numPr>
          <w:ilvl w:val="0"/>
          <w:numId w:val="10"/>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源数据现势性及地理精度满足项目需求。</w:t>
      </w:r>
      <w:r/>
    </w:p>
    <w:p>
      <w:pPr>
        <w:numPr>
          <w:ilvl w:val="0"/>
          <w:numId w:val="10"/>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提取的基础地理信息要素映射正确。</w:t>
      </w:r>
      <w:r/>
    </w:p>
    <w:p>
      <w:pPr>
        <w:numPr>
          <w:ilvl w:val="0"/>
          <w:numId w:val="10"/>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点、线、面的表达形式正确。</w:t>
      </w:r>
      <w:r/>
    </w:p>
    <w:p>
      <w:pPr>
        <w:numPr>
          <w:ilvl w:val="0"/>
          <w:numId w:val="10"/>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拓扑关系和属性信息正确。</w:t>
      </w:r>
      <w:r/>
    </w:p>
    <w:p>
      <w:pPr>
        <w:numPr>
          <w:ilvl w:val="0"/>
          <w:numId w:val="10"/>
        </w:numPr>
        <w:ind w:left="0" w:firstLine="400"/>
        <w:keepLines w:val="0"/>
        <w:keepNext w:val="0"/>
        <w:pageBreakBefore w:val="0"/>
        <w:spacing w:line="36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元数据符合规定。</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五、项目提交的成果</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1、技术设计书；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本</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2、仪器检校报告；                                         1本</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3、各种观测、记录资料（手簿）；                           1套</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4、1:1000、1∶2000地形图分幅数据和数据库、元数据光盘；   </w:t>
      </w:r>
      <w:r>
        <w:rPr>
          <w:rFonts w:hint="eastAsia" w:asciiTheme="minorEastAsia" w:hAnsiTheme="minorEastAsia" w:cstheme="minorEastAsia"/>
          <w:sz w:val="24"/>
          <w:szCs w:val="24"/>
          <w:lang w:val="en-US" w:eastAsia="zh-CN"/>
        </w:rPr>
        <w:t xml:space="preserve"> </w:t>
      </w:r>
      <w:bookmarkStart w:id="189" w:name="_GoBack"/>
      <w:r/>
      <w:bookmarkEnd w:id="189"/>
      <w:r>
        <w:rPr>
          <w:rFonts w:hint="eastAsia" w:asciiTheme="minorEastAsia" w:hAnsiTheme="minorEastAsia" w:eastAsiaTheme="minorEastAsia" w:cstheme="minorEastAsia"/>
          <w:sz w:val="24"/>
          <w:szCs w:val="24"/>
        </w:rPr>
        <w:t xml:space="preserve">2套</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5、地理实体数据库成果；                                   1套</w:t>
      </w:r>
      <w:r/>
    </w:p>
    <w:p>
      <w:pPr>
        <w:ind w:firstLine="480"/>
        <w:jc w:val="left"/>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、射阳县基础测绘数据现状分布索引图；                     1套</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、测区技术总结；                                         2本</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、检查报告。                                             2本</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六、合同履行期限及地点</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合同履行期限：</w:t>
      </w:r>
      <w:r>
        <w:rPr>
          <w:rFonts w:hint="eastAsia" w:asciiTheme="minorEastAsia" w:hAnsiTheme="minorEastAsia" w:eastAsiaTheme="minorEastAsia" w:cstheme="minorEastAsia"/>
          <w:sz w:val="24"/>
          <w:szCs w:val="24"/>
          <w:lang w:eastAsia="zh-CN"/>
        </w:rPr>
        <w:t xml:space="preserve">2026年</w:t>
      </w: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月底前，完成所有工作</w:t>
      </w:r>
      <w:r>
        <w:rPr>
          <w:rFonts w:hint="eastAsia" w:asciiTheme="minorEastAsia" w:hAnsiTheme="minorEastAsia" w:eastAsiaTheme="minorEastAsia" w:cstheme="minorEastAsia"/>
          <w:sz w:val="24"/>
          <w:szCs w:val="24"/>
          <w:lang w:val="en-US" w:eastAsia="zh-CN"/>
        </w:rPr>
        <w:t xml:space="preserve">并按上级时间节点要求汇交</w:t>
      </w:r>
      <w:r>
        <w:rPr>
          <w:rFonts w:hint="eastAsia" w:asciiTheme="minorEastAsia" w:hAnsiTheme="minorEastAsia" w:eastAsiaTheme="minorEastAsia" w:cstheme="minorEastAsia"/>
          <w:sz w:val="24"/>
          <w:szCs w:val="24"/>
        </w:rPr>
        <w:t xml:space="preserve">。</w:t>
      </w:r>
      <w:r/>
    </w:p>
    <w:p>
      <w:pPr>
        <w:ind w:firstLine="480"/>
        <w:jc w:val="left"/>
        <w:keepLines w:val="0"/>
        <w:keepNext w:val="0"/>
        <w:pageBreakBefore w:val="0"/>
        <w:spacing w:line="360" w:lineRule="exact"/>
        <w:widowControl w:val="off"/>
        <w:rPr>
          <w:rFonts w:hint="eastAsia" w:asciiTheme="minorEastAsia" w:hAnsiTheme="minorEastAsia" w:eastAsiaTheme="minorEastAsia" w:cstheme="minorEastAsia"/>
          <w:szCs w:val="28"/>
          <w:shd w:val="clear" w:color="auto" w:fill="ffffff"/>
        </w:rPr>
      </w:pPr>
      <w:r>
        <w:rPr>
          <w:rFonts w:hint="eastAsia" w:asciiTheme="minorEastAsia" w:hAnsiTheme="minorEastAsia" w:eastAsiaTheme="minorEastAsia" w:cstheme="minorEastAsia"/>
          <w:sz w:val="24"/>
          <w:szCs w:val="24"/>
        </w:rPr>
        <w:t xml:space="preserve">地点：</w:t>
      </w:r>
      <w:r>
        <w:rPr>
          <w:rFonts w:hint="eastAsia" w:asciiTheme="minorEastAsia" w:hAnsiTheme="minorEastAsia" w:eastAsiaTheme="minorEastAsia" w:cstheme="minorEastAsia"/>
          <w:sz w:val="24"/>
          <w:szCs w:val="24"/>
          <w:shd w:val="clear" w:color="auto" w:fill="ffffff"/>
        </w:rPr>
        <w:t xml:space="preserve">射阳县自然资源和规划局指定地点。</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七、付款方式</w:t>
      </w:r>
      <w:bookmarkEnd w:id="165"/>
      <w:r/>
    </w:p>
    <w:p>
      <w:pPr>
        <w:pStyle w:val="674"/>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lang w:eastAsia="zh-CN"/>
        </w:rPr>
        <w:t xml:space="preserve">1.</w:t>
      </w:r>
      <w:r>
        <w:rPr>
          <w:rFonts w:hint="eastAsia" w:asciiTheme="minorEastAsia" w:hAnsiTheme="minorEastAsia" w:eastAsiaTheme="minorEastAsia" w:cstheme="minorEastAsia"/>
          <w:b w:val="0"/>
          <w:bCs w:val="0"/>
          <w:color w:val="000000"/>
          <w:sz w:val="24"/>
          <w:szCs w:val="24"/>
          <w:highlight w:val="none"/>
        </w:rPr>
        <w:t xml:space="preserve">合同签订时，经采购人与</w:t>
      </w:r>
      <w:r>
        <w:rPr>
          <w:rFonts w:hint="eastAsia" w:asciiTheme="minorEastAsia" w:hAnsiTheme="minorEastAsia" w:eastAsiaTheme="minorEastAsia" w:cstheme="minorEastAsia"/>
          <w:b w:val="0"/>
          <w:bCs w:val="0"/>
          <w:color w:val="000000"/>
          <w:sz w:val="24"/>
          <w:szCs w:val="24"/>
          <w:highlight w:val="none"/>
          <w:lang w:val="en-US" w:eastAsia="zh-CN"/>
        </w:rPr>
        <w:t xml:space="preserve">成交供应商</w:t>
      </w:r>
      <w:r>
        <w:rPr>
          <w:rFonts w:hint="eastAsia" w:asciiTheme="minorEastAsia" w:hAnsiTheme="minorEastAsia" w:eastAsiaTheme="minorEastAsia" w:cstheme="minorEastAsia"/>
          <w:b w:val="0"/>
          <w:bCs w:val="0"/>
          <w:color w:val="000000"/>
          <w:sz w:val="24"/>
          <w:szCs w:val="24"/>
          <w:highlight w:val="none"/>
        </w:rPr>
        <w:t xml:space="preserve">根据实际情况协商一致，可支付合同总价的30%作为项目启动预付款； 注：在签订合同时，</w:t>
      </w:r>
      <w:r>
        <w:rPr>
          <w:rFonts w:hint="eastAsia" w:asciiTheme="minorEastAsia" w:hAnsiTheme="minorEastAsia" w:eastAsiaTheme="minorEastAsia" w:cstheme="minorEastAsia"/>
          <w:b w:val="0"/>
          <w:bCs w:val="0"/>
          <w:color w:val="000000"/>
          <w:sz w:val="24"/>
          <w:szCs w:val="24"/>
          <w:highlight w:val="none"/>
          <w:lang w:val="en-US" w:eastAsia="zh-CN"/>
        </w:rPr>
        <w:t xml:space="preserve">成交供应商</w:t>
      </w:r>
      <w:r>
        <w:rPr>
          <w:rFonts w:hint="eastAsia" w:asciiTheme="minorEastAsia" w:hAnsiTheme="minorEastAsia" w:eastAsiaTheme="minorEastAsia" w:cstheme="minorEastAsia"/>
          <w:b w:val="0"/>
          <w:bCs w:val="0"/>
          <w:color w:val="000000"/>
          <w:sz w:val="24"/>
          <w:szCs w:val="24"/>
          <w:highlight w:val="none"/>
        </w:rPr>
        <w:t xml:space="preserve">明确表示无需预付款或者主动要求降低预付款比例的金额，</w:t>
      </w:r>
      <w:r>
        <w:rPr>
          <w:rFonts w:hint="eastAsia" w:asciiTheme="minorEastAsia" w:hAnsiTheme="minorEastAsia" w:eastAsiaTheme="minorEastAsia" w:cstheme="minorEastAsia"/>
          <w:b w:val="0"/>
          <w:bCs w:val="0"/>
          <w:color w:val="000000"/>
          <w:sz w:val="24"/>
          <w:szCs w:val="24"/>
          <w:highlight w:val="none"/>
          <w:lang w:val="en-US" w:eastAsia="zh-CN"/>
        </w:rPr>
        <w:t xml:space="preserve">成交</w:t>
      </w:r>
      <w:r>
        <w:rPr>
          <w:rFonts w:hint="eastAsia" w:asciiTheme="minorEastAsia" w:hAnsiTheme="minorEastAsia" w:eastAsiaTheme="minorEastAsia" w:cstheme="minorEastAsia"/>
          <w:b w:val="0"/>
          <w:bCs w:val="0"/>
          <w:color w:val="000000"/>
          <w:sz w:val="24"/>
          <w:szCs w:val="24"/>
          <w:highlight w:val="none"/>
        </w:rPr>
        <w:t xml:space="preserve">人可不适用预付款规定</w:t>
      </w:r>
      <w:r>
        <w:rPr>
          <w:rFonts w:hint="eastAsia" w:asciiTheme="minorEastAsia" w:hAnsiTheme="minorEastAsia" w:eastAsiaTheme="minorEastAsia" w:cstheme="minorEastAsia"/>
          <w:b w:val="0"/>
          <w:bCs w:val="0"/>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rPr>
        <w:t xml:space="preserve">但</w:t>
      </w:r>
      <w:r>
        <w:rPr>
          <w:rFonts w:hint="eastAsia" w:asciiTheme="minorEastAsia" w:hAnsiTheme="minorEastAsia" w:eastAsiaTheme="minorEastAsia" w:cstheme="minorEastAsia"/>
          <w:b w:val="0"/>
          <w:bCs w:val="0"/>
          <w:color w:val="000000"/>
          <w:sz w:val="24"/>
          <w:szCs w:val="24"/>
          <w:highlight w:val="none"/>
          <w:lang w:val="en-US" w:eastAsia="zh-CN"/>
        </w:rPr>
        <w:t xml:space="preserve">成交供应商</w:t>
      </w:r>
      <w:r>
        <w:rPr>
          <w:rFonts w:hint="eastAsia" w:asciiTheme="minorEastAsia" w:hAnsiTheme="minorEastAsia" w:eastAsiaTheme="minorEastAsia" w:cstheme="minorEastAsia"/>
          <w:b w:val="0"/>
          <w:bCs w:val="0"/>
          <w:color w:val="000000"/>
          <w:sz w:val="24"/>
          <w:szCs w:val="24"/>
          <w:highlight w:val="none"/>
        </w:rPr>
        <w:t xml:space="preserve">需提供书面声明，采购人可就预付款比例作相应调整。</w:t>
      </w:r>
      <w:r/>
    </w:p>
    <w:p>
      <w:pPr>
        <w:pStyle w:val="674"/>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color w:val="000000"/>
          <w:sz w:val="24"/>
          <w:szCs w:val="24"/>
          <w:highlight w:val="none"/>
          <w:lang w:eastAsia="zh-CN"/>
        </w:rPr>
        <w:t xml:space="preserve">2</w:t>
      </w:r>
      <w:r>
        <w:rPr>
          <w:rFonts w:hint="eastAsia" w:asciiTheme="minorEastAsia" w:hAnsiTheme="minorEastAsia" w:eastAsiaTheme="minorEastAsia" w:cstheme="minorEastAsia"/>
          <w:b w:val="0"/>
          <w:bCs w:val="0"/>
          <w:color w:val="000000"/>
          <w:sz w:val="24"/>
          <w:szCs w:val="24"/>
          <w:highlight w:val="none"/>
          <w:lang w:val="en-US" w:eastAsia="zh-CN"/>
        </w:rPr>
        <w:t xml:space="preserve">.</w:t>
      </w:r>
      <w:r>
        <w:rPr>
          <w:rFonts w:hint="eastAsia" w:asciiTheme="minorEastAsia" w:hAnsiTheme="minorEastAsia" w:eastAsiaTheme="minorEastAsia" w:cstheme="minorEastAsia"/>
          <w:b w:val="0"/>
          <w:bCs w:val="0"/>
          <w:color w:val="000000"/>
          <w:sz w:val="24"/>
          <w:szCs w:val="24"/>
          <w:highlight w:val="none"/>
        </w:rPr>
        <w:t xml:space="preserve">成交供应商在工作全部完成并通过质监站检查后</w:t>
      </w:r>
      <w:r>
        <w:rPr>
          <w:rFonts w:hint="eastAsia" w:asciiTheme="minorEastAsia" w:hAnsiTheme="minorEastAsia" w:eastAsiaTheme="minorEastAsia" w:cstheme="minorEastAsia"/>
          <w:b w:val="0"/>
          <w:bCs w:val="0"/>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rPr>
        <w:t xml:space="preserve">一次性付清项目尾款。并无息退还履约保证金（如有）。以上付款均不计任何利息和相关费用，付款一律通过银行结转。相关付款手续由用户单位</w:t>
      </w:r>
      <w:r>
        <w:rPr>
          <w:rFonts w:hint="eastAsia" w:asciiTheme="minorEastAsia" w:hAnsiTheme="minorEastAsia" w:eastAsiaTheme="minorEastAsia" w:cstheme="minorEastAsia"/>
          <w:b w:val="0"/>
          <w:bCs w:val="0"/>
          <w:color w:val="000000"/>
          <w:sz w:val="24"/>
          <w:szCs w:val="24"/>
          <w:highlight w:val="none"/>
          <w:lang w:val="en-US" w:eastAsia="zh-CN"/>
        </w:rPr>
        <w:t xml:space="preserve">向</w:t>
      </w:r>
      <w:r>
        <w:rPr>
          <w:rFonts w:hint="eastAsia" w:asciiTheme="minorEastAsia" w:hAnsiTheme="minorEastAsia" w:eastAsiaTheme="minorEastAsia" w:cstheme="minorEastAsia"/>
          <w:b w:val="0"/>
          <w:bCs w:val="0"/>
          <w:color w:val="000000"/>
          <w:sz w:val="24"/>
          <w:szCs w:val="24"/>
          <w:highlight w:val="none"/>
        </w:rPr>
        <w:t xml:space="preserve">财政部门报批后办理</w:t>
      </w:r>
      <w:r>
        <w:rPr>
          <w:rFonts w:hint="eastAsia" w:asciiTheme="minorEastAsia" w:hAnsiTheme="minorEastAsia" w:eastAsiaTheme="minorEastAsia" w:cstheme="minorEastAsia"/>
          <w:b w:val="0"/>
          <w:bCs w:val="0"/>
          <w:color w:val="000000"/>
          <w:sz w:val="24"/>
          <w:szCs w:val="24"/>
          <w:highlight w:val="none"/>
          <w:lang w:eastAsia="zh-CN"/>
        </w:rPr>
        <w:t xml:space="preserve">。</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八、质量要求及验收标准</w:t>
      </w:r>
      <w:r/>
    </w:p>
    <w:p>
      <w:pPr>
        <w:ind w:firstLine="480"/>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通过江苏省测绘产品质量检验监督站的质量检验，质检费用由作业单位承担。</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九、安全管理要求</w:t>
      </w:r>
      <w:r/>
    </w:p>
    <w:p>
      <w:pPr>
        <w:ind w:firstLine="480"/>
        <w:jc w:val="left"/>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bidi="ar"/>
        </w:rPr>
        <w:t xml:space="preserve">1、</w:t>
      </w:r>
      <w:r>
        <w:rPr>
          <w:rFonts w:hint="eastAsia" w:asciiTheme="minorEastAsia" w:hAnsiTheme="minorEastAsia" w:eastAsiaTheme="minorEastAsia" w:cstheme="minorEastAsia"/>
          <w:sz w:val="24"/>
          <w:lang w:bidi="ar"/>
        </w:rPr>
        <w:t xml:space="preserve">为贯彻“安全第一，预防为主”方针，中标人</w:t>
      </w:r>
      <w:r>
        <w:rPr>
          <w:rFonts w:hint="eastAsia" w:asciiTheme="minorEastAsia" w:hAnsiTheme="minorEastAsia" w:eastAsiaTheme="minorEastAsia" w:cstheme="minorEastAsia"/>
          <w:b/>
          <w:bCs/>
          <w:color w:val="ff0000"/>
          <w:sz w:val="24"/>
          <w:lang w:bidi="ar"/>
        </w:rPr>
        <w:t xml:space="preserve">应为项目安装服务人员购买不记名意外伤害保险</w:t>
      </w:r>
      <w:r>
        <w:rPr>
          <w:rFonts w:hint="eastAsia" w:asciiTheme="minorEastAsia" w:hAnsiTheme="minorEastAsia" w:eastAsiaTheme="minorEastAsia" w:cstheme="minorEastAsia"/>
          <w:sz w:val="24"/>
          <w:lang w:bidi="ar"/>
        </w:rPr>
        <w:t xml:space="preserve">。中标人在项目安装调试现场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firstLine="480"/>
        <w:jc w:val="left"/>
        <w:rPr>
          <w:rFonts w:hint="eastAsia" w:asciiTheme="minorEastAsia" w:hAnsiTheme="minorEastAsia" w:eastAsiaTheme="minorEastAsia" w:cstheme="minorEastAsia"/>
          <w:b/>
          <w:bCs/>
          <w:szCs w:val="28"/>
          <w:lang w:val="en-US" w:eastAsia="zh-CN"/>
        </w:rPr>
      </w:pPr>
      <w:r>
        <w:rPr>
          <w:rFonts w:hint="eastAsia" w:asciiTheme="minorEastAsia" w:hAnsiTheme="minorEastAsia" w:eastAsiaTheme="minorEastAsia" w:cstheme="minorEastAsia"/>
          <w:sz w:val="24"/>
          <w:lang w:val="en-US" w:eastAsia="zh-CN" w:bidi="ar"/>
        </w:rPr>
        <w:t xml:space="preserve">2、</w:t>
      </w:r>
      <w:r>
        <w:rPr>
          <w:rFonts w:hint="eastAsia" w:asciiTheme="minorEastAsia" w:hAnsiTheme="minorEastAsia" w:eastAsiaTheme="minorEastAsia" w:cstheme="minorEastAsia"/>
          <w:sz w:val="24"/>
          <w:lang w:bidi="ar"/>
        </w:rPr>
        <w:t xml:space="preserve">若发生安全问题，由中标人自行负责处理并承担一切经济和法律责任，其与采购人一切无关，同时按合同要求保证项目进度，按时完工。</w:t>
      </w:r>
      <w:r>
        <w:rPr>
          <w:rFonts w:hint="eastAsia" w:asciiTheme="minorEastAsia" w:hAnsiTheme="minorEastAsia" w:eastAsiaTheme="minorEastAsia" w:cstheme="minorEastAsia"/>
          <w:b/>
          <w:sz w:val="24"/>
          <w:lang w:bidi="ar"/>
        </w:rPr>
        <w:tab/>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十、特别说明</w:t>
      </w:r>
      <w:r/>
    </w:p>
    <w:p>
      <w:pPr>
        <w:ind w:firstLine="480"/>
        <w:jc w:val="left"/>
        <w:spacing w:line="360" w:lineRule="exac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bidi="ar"/>
        </w:rPr>
        <w:t xml:space="preserve">1</w:t>
      </w:r>
      <w:r>
        <w:rPr>
          <w:rFonts w:hint="eastAsia" w:asciiTheme="minorEastAsia" w:hAnsiTheme="minorEastAsia" w:eastAsiaTheme="minorEastAsia" w:cstheme="minorEastAsia"/>
          <w:bCs/>
          <w:sz w:val="24"/>
          <w:lang w:bidi="ar"/>
        </w:rPr>
        <w:t xml:space="preserve">、报价含项目成果交付前一切费用</w:t>
      </w:r>
      <w:r>
        <w:rPr>
          <w:rFonts w:hint="eastAsia" w:asciiTheme="minorEastAsia" w:hAnsiTheme="minorEastAsia" w:eastAsiaTheme="minorEastAsia" w:cstheme="minorEastAsia"/>
          <w:bCs/>
          <w:sz w:val="24"/>
          <w:lang w:eastAsia="zh-CN" w:bidi="ar"/>
        </w:rPr>
        <w:t xml:space="preserve">，</w:t>
      </w:r>
      <w:r>
        <w:rPr>
          <w:rFonts w:hint="eastAsia" w:asciiTheme="minorEastAsia" w:hAnsiTheme="minorEastAsia" w:eastAsiaTheme="minorEastAsia" w:cstheme="minorEastAsia"/>
          <w:bCs/>
          <w:sz w:val="24"/>
          <w:lang w:bidi="ar"/>
        </w:rPr>
        <w:t xml:space="preserve">不接受选择性报价。</w:t>
      </w:r>
      <w:r/>
    </w:p>
    <w:p>
      <w:pPr>
        <w:ind w:firstLine="480"/>
        <w:jc w:val="left"/>
        <w:spacing w:line="360" w:lineRule="exac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bidi="ar"/>
        </w:rPr>
        <w:t xml:space="preserve">2</w:t>
      </w:r>
      <w:r>
        <w:rPr>
          <w:rFonts w:hint="eastAsia" w:asciiTheme="minorEastAsia" w:hAnsiTheme="minorEastAsia" w:eastAsiaTheme="minorEastAsia" w:cstheme="minorEastAsia"/>
          <w:bCs/>
          <w:sz w:val="24"/>
          <w:lang w:bidi="ar"/>
        </w:rPr>
        <w:t xml:space="preserve">、对本项目</w:t>
      </w:r>
      <w:r>
        <w:rPr>
          <w:rFonts w:hint="eastAsia" w:asciiTheme="minorEastAsia" w:hAnsiTheme="minorEastAsia" w:eastAsiaTheme="minorEastAsia" w:cstheme="minorEastAsia"/>
          <w:bCs/>
          <w:sz w:val="24"/>
          <w:lang w:val="en-US" w:eastAsia="zh-CN" w:bidi="ar"/>
        </w:rPr>
        <w:t xml:space="preserve">供应商</w:t>
      </w:r>
      <w:r>
        <w:rPr>
          <w:rFonts w:hint="eastAsia" w:asciiTheme="minorEastAsia" w:hAnsiTheme="minorEastAsia" w:eastAsiaTheme="minorEastAsia" w:cstheme="minorEastAsia"/>
          <w:bCs/>
          <w:sz w:val="24"/>
          <w:lang w:bidi="ar"/>
        </w:rPr>
        <w:t xml:space="preserve">资格要求、项目需求、评分标准等的质疑由采购</w:t>
      </w:r>
      <w:r>
        <w:rPr>
          <w:rFonts w:hint="eastAsia" w:asciiTheme="minorEastAsia" w:hAnsiTheme="minorEastAsia" w:eastAsiaTheme="minorEastAsia" w:cstheme="minorEastAsia"/>
          <w:bCs/>
          <w:sz w:val="24"/>
          <w:lang w:eastAsia="zh-CN" w:bidi="ar"/>
        </w:rPr>
        <w:t xml:space="preserve">人</w:t>
      </w:r>
      <w:r>
        <w:rPr>
          <w:rFonts w:hint="eastAsia" w:asciiTheme="minorEastAsia" w:hAnsiTheme="minorEastAsia" w:eastAsiaTheme="minorEastAsia" w:cstheme="minorEastAsia"/>
          <w:bCs/>
          <w:sz w:val="24"/>
          <w:lang w:bidi="ar"/>
        </w:rPr>
        <w:t xml:space="preserve">负责答复；采购单位具有项目的解释权，质疑函和答复须同时报采购代理机构备案管理。</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十一、采购标的对应的中小企业划分标准所属行业一览表</w:t>
      </w:r>
      <w:r/>
    </w:p>
    <w:p>
      <w:pPr>
        <w:ind w:firstLine="480"/>
        <w:jc w:val="left"/>
        <w:spacing w:line="360" w:lineRule="exact"/>
        <w:widowControl/>
        <w:rPr>
          <w:rFonts w:hint="eastAsia"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 xml:space="preserve"> 根据《工业和信息化部、国家统计局、国家发展和改革委员会、财政部关于印发中小企业划型标准规定的通知》（工信部联企业[2011]300号）规定的划分标准填写。 </w:t>
      </w:r>
      <w:r/>
    </w:p>
    <w:tbl>
      <w:tblPr>
        <w:tblStyle w:val="665"/>
        <w:tblW w:w="9049"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4572"/>
        <w:gridCol w:w="3753"/>
      </w:tblGrid>
      <w:tr>
        <w:trPr>
          <w:jc w:val="center"/>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77"/>
              <w:jc w:val="center"/>
              <w:spacing w:beforeAutospacing="0" w:line="36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4572" w:type="dxa"/>
            <w:vAlign w:val="center"/>
            <w:textDirection w:val="lrTb"/>
            <w:noWrap w:val="false"/>
          </w:tcPr>
          <w:p>
            <w:pPr>
              <w:pStyle w:val="677"/>
              <w:jc w:val="center"/>
              <w:spacing w:beforeAutospacing="0" w:line="36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采购标的</w:t>
            </w:r>
            <w:r/>
          </w:p>
        </w:tc>
        <w:tc>
          <w:tcPr>
            <w:tcBorders>
              <w:top w:val="single" w:color="000000" w:sz="4" w:space="0"/>
              <w:left w:val="none" w:color="000000" w:sz="4" w:space="0"/>
              <w:bottom w:val="single" w:color="000000" w:sz="4" w:space="0"/>
              <w:right w:val="single" w:color="000000" w:sz="4" w:space="0"/>
            </w:tcBorders>
            <w:tcW w:w="3753" w:type="dxa"/>
            <w:vAlign w:val="center"/>
            <w:textDirection w:val="lrTb"/>
            <w:noWrap w:val="false"/>
          </w:tcPr>
          <w:p>
            <w:pPr>
              <w:pStyle w:val="677"/>
              <w:jc w:val="center"/>
              <w:spacing w:beforeAutospacing="0" w:line="36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对应中小企业划分标准所属行业</w:t>
            </w:r>
            <w:r/>
          </w:p>
        </w:tc>
      </w:tr>
      <w:tr>
        <w:trPr>
          <w:jc w:val="center"/>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77"/>
              <w:jc w:val="center"/>
              <w:spacing w:beforeAutospacing="0" w:line="36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4572" w:type="dxa"/>
            <w:vAlign w:val="center"/>
            <w:textDirection w:val="lrTb"/>
            <w:noWrap w:val="false"/>
          </w:tcPr>
          <w:p>
            <w:pPr>
              <w:pStyle w:val="677"/>
              <w:jc w:val="center"/>
              <w:spacing w:beforeAutospacing="0" w:line="360" w:lineRule="exact"/>
              <w:widowControl/>
              <w:rPr>
                <w:rFonts w:hint="eastAsia" w:asciiTheme="minorEastAsia" w:hAnsiTheme="minorEastAsia" w:eastAsiaTheme="minorEastAsia" w:cstheme="minorEastAsia"/>
                <w:highlight w:val="none"/>
                <w:lang w:bidi="ar"/>
              </w:rPr>
            </w:pPr>
            <w:r>
              <w:rPr>
                <w:rFonts w:hint="eastAsia" w:asciiTheme="minorEastAsia" w:hAnsiTheme="minorEastAsia" w:eastAsiaTheme="minorEastAsia" w:cstheme="minorEastAsia"/>
                <w:color w:val="auto"/>
                <w:sz w:val="24"/>
                <w:szCs w:val="24"/>
                <w:highlight w:val="none"/>
              </w:rPr>
              <w:t xml:space="preserve">射阳县自然资源和规划局2026年度射阳县地形图测绘成果更新维护项目</w:t>
            </w:r>
            <w:r/>
          </w:p>
        </w:tc>
        <w:tc>
          <w:tcPr>
            <w:tcBorders>
              <w:top w:val="single" w:color="000000" w:sz="4" w:space="0"/>
              <w:left w:val="none" w:color="000000" w:sz="4" w:space="0"/>
              <w:bottom w:val="single" w:color="000000" w:sz="4" w:space="0"/>
              <w:right w:val="single" w:color="000000" w:sz="4" w:space="0"/>
            </w:tcBorders>
            <w:tcW w:w="3753" w:type="dxa"/>
            <w:vAlign w:val="center"/>
            <w:textDirection w:val="lrTb"/>
            <w:noWrap w:val="false"/>
          </w:tcPr>
          <w:p>
            <w:pPr>
              <w:pStyle w:val="677"/>
              <w:ind w:firstLine="0"/>
              <w:jc w:val="center"/>
              <w:spacing w:beforeAutospacing="0" w:afterAutospacing="0" w:line="360" w:lineRule="exact"/>
              <w:shd w:val="clear" w:color="auto" w:fill="ffffff"/>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sz w:val="24"/>
                <w:szCs w:val="24"/>
                <w:highlight w:val="none"/>
                <w:shd w:val="clear" w:color="auto" w:fill="auto"/>
              </w:rPr>
              <w:t xml:space="preserve">其他未列明行业</w:t>
            </w:r>
            <w:r/>
          </w:p>
        </w:tc>
      </w:tr>
    </w:tbl>
    <w:p>
      <w:pPr>
        <w:pStyle w:val="677"/>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7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7"/>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7"/>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77"/>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77"/>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jc w:val="center"/>
        <w:rPr>
          <w:color w:val="auto"/>
          <w:highlight w:val="none"/>
        </w:rPr>
        <w:outlineLvl w:val="0"/>
      </w:pPr>
      <w:r/>
      <w:bookmarkStart w:id="173"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73"/>
      <w:r/>
      <w:r/>
    </w:p>
    <w:p>
      <w:pPr>
        <w:pStyle w:val="677"/>
        <w:jc w:val="both"/>
        <w:spacing w:beforeAutospacing="0" w:afterAutospacing="0"/>
        <w:rPr>
          <w:color w:val="auto"/>
          <w:highlight w:val="none"/>
        </w:rPr>
      </w:pPr>
      <w:r>
        <w:rPr>
          <w:color w:val="auto"/>
          <w:highlight w:val="none"/>
        </w:rPr>
        <w:t xml:space="preserve"> </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一、评审方法</w:t>
      </w:r>
      <w:r/>
    </w:p>
    <w:p>
      <w:pPr>
        <w:ind w:firstLine="488"/>
        <w:spacing w:line="360" w:lineRule="exact"/>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本项目选取1名成交候选供应商。</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二、政府采购政策功能落实</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1、小微型企业价格扣除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（2）供应商需按照采购文件的要求提供相应的《中小企业声明函》。</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（3）企业标准请参照《关于印发中小企业划型标准规定的通知》（工信部联企业[2011]300号）文件规定自行填写。</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2、残疾人福利单位价格扣除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（1）本项目对残疾人福利性单位视同小型、微型企业，给予20%的价格扣除。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（2）残疾人福利单位需按照采购文件的要求提供《残疾人福利性单位声明函》。</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（3）残疾人福利单位标准请参照《关于促进残疾人就业政府采购政策的通知》（财库〔2017〕141号）。</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3、监狱和戒毒企业价格扣除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（1）本项目对监狱和戒毒企业（简称监狱企业）视同小型、微型企业，给予20%的价格扣除。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（3）监狱企业标准请参照《关于政府采购支持监狱企业发展有关问题的通知》（财库[2014]68号）。</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4、残疾人福利单位、监狱企业属于小型、微型企业的，不重复享受政策。</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val="en-US" w:eastAsia="zh-CN" w:bidi="ar"/>
        </w:rPr>
        <w:t xml:space="preserve">5</w:t>
      </w:r>
      <w:r>
        <w:rPr>
          <w:rFonts w:hint="eastAsia" w:ascii="宋体" w:hAnsi="宋体" w:eastAsia="宋体" w:cs="宋体"/>
          <w:bCs/>
          <w:sz w:val="24"/>
          <w:lang w:bidi="ar"/>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bCs/>
          <w:sz w:val="24"/>
          <w:lang w:bidi="ar"/>
        </w:rPr>
        <w:t xml:space="preserve">其他条件相同情况下，应当优先采购节能产品、环境标志产品。</w:t>
      </w:r>
      <w:r/>
    </w:p>
    <w:p>
      <w:pPr>
        <w:ind w:firstLine="480"/>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cstheme="minorEastAsia"/>
          <w:color w:val="000000"/>
          <w:sz w:val="24"/>
          <w:lang w:val="en-US" w:eastAsia="zh-CN"/>
        </w:rPr>
        <w:t xml:space="preserve">6、</w:t>
      </w:r>
      <w:r>
        <w:rPr>
          <w:rFonts w:hint="eastAsia" w:asciiTheme="minorEastAsia" w:hAnsiTheme="minorEastAsia" w:eastAsiaTheme="minorEastAsia" w:cstheme="minorEastAsia"/>
          <w:color w:val="000000"/>
          <w:sz w:val="24"/>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left="420"/>
        <w:jc w:val="lef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三、评审标准</w:t>
      </w:r>
      <w:r/>
    </w:p>
    <w:tbl>
      <w:tblPr>
        <w:tblStyle w:val="665"/>
        <w:tblW w:w="9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196"/>
        <w:gridCol w:w="7461"/>
      </w:tblGrid>
      <w:tr>
        <w:trPr>
          <w:trHeight w:val="414"/>
          <w:tblHeader/>
        </w:trPr>
        <w:tc>
          <w:tcPr>
            <w:gridSpan w:val="2"/>
            <w:tcW w:w="2283" w:type="dxa"/>
            <w:vAlign w:val="center"/>
            <w:textDirection w:val="lrTb"/>
            <w:noWrap w:val="false"/>
          </w:tcPr>
          <w:p>
            <w:pPr>
              <w:ind w:firstLine="964"/>
              <w:jc w:val="left"/>
              <w:spacing w:line="240" w:lineRule="auto"/>
              <w:widowControl/>
              <w:rPr>
                <w:rFonts w:hint="eastAsia" w:asciiTheme="minorEastAsia" w:hAnsiTheme="minorEastAsia" w:eastAsiaTheme="minorEastAsia" w:cstheme="minorEastAsia"/>
                <w:b/>
                <w:color w:val="000000" w:themeColor="text1"/>
                <w:sz w:val="24"/>
                <w:szCs w:val="24"/>
                <w:lang w:eastAsia="zh-CN" w:bidi="en-US"/>
                <w14:textFill>
                  <w14:solidFill>
                    <w14:schemeClr w14:val="tx1"/>
                  </w14:solidFill>
                </w14:textFill>
              </w:rPr>
            </w:pPr>
            <w:r>
              <w:rPr>
                <w:rFonts w:hint="eastAsia" w:asciiTheme="minorEastAsia" w:hAnsiTheme="minorEastAsia" w:cstheme="minorEastAsia"/>
                <w:b/>
                <w:color w:val="000000" w:themeColor="text1"/>
                <w:sz w:val="24"/>
                <w:szCs w:val="24"/>
                <w:lang w:val="en-US" w:eastAsia="zh-CN" w:bidi="en-US"/>
                <w14:textFill>
                  <w14:solidFill>
                    <w14:schemeClr w14:val="tx1"/>
                  </w14:solidFill>
                </w14:textFill>
              </w:rPr>
              <w:t xml:space="preserve">评审因素</w:t>
            </w:r>
            <w:r/>
          </w:p>
        </w:tc>
        <w:tc>
          <w:tcPr>
            <w:tcW w:w="7461" w:type="dxa"/>
            <w:vAlign w:val="center"/>
            <w:textDirection w:val="lrTb"/>
            <w:noWrap w:val="false"/>
          </w:tcPr>
          <w:p>
            <w:pPr>
              <w:jc w:val="center"/>
              <w:spacing w:line="240" w:lineRule="auto"/>
              <w:widowControl/>
              <w:rPr>
                <w:rFonts w:hint="eastAsia" w:asciiTheme="minorEastAsia" w:hAnsiTheme="minorEastAsia" w:eastAsiaTheme="minorEastAsia" w:cstheme="minorEastAsia"/>
                <w:b/>
                <w:color w:val="000000" w:themeColor="text1"/>
                <w:sz w:val="24"/>
                <w:szCs w:val="24"/>
                <w:lang w:eastAsia="zh-CN" w:bidi="en-US"/>
                <w14:textFill>
                  <w14:solidFill>
                    <w14:schemeClr w14:val="tx1"/>
                  </w14:solidFill>
                </w14:textFill>
              </w:rPr>
            </w:pPr>
            <w:r>
              <w:rPr>
                <w:rFonts w:hint="eastAsia" w:asciiTheme="minorEastAsia" w:hAnsiTheme="minorEastAsia" w:cstheme="minorEastAsia"/>
                <w:b/>
                <w:color w:val="000000" w:themeColor="text1"/>
                <w:sz w:val="24"/>
                <w:szCs w:val="24"/>
                <w:lang w:val="en-US" w:eastAsia="zh-CN" w:bidi="en-US"/>
                <w14:textFill>
                  <w14:solidFill>
                    <w14:schemeClr w14:val="tx1"/>
                  </w14:solidFill>
                </w14:textFill>
              </w:rPr>
              <w:t xml:space="preserve">评审细则</w:t>
            </w:r>
            <w:r/>
          </w:p>
        </w:tc>
      </w:tr>
      <w:tr>
        <w:trPr>
          <w:trHeight w:val="1045"/>
        </w:trPr>
        <w:tc>
          <w:tcPr>
            <w:gridSpan w:val="2"/>
            <w:tcW w:w="2283"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价格分</w:t>
            </w: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分）</w:t>
            </w:r>
            <w:r/>
          </w:p>
        </w:tc>
        <w:tc>
          <w:tcPr>
            <w:tcW w:w="7461" w:type="dxa"/>
            <w:vAlign w:val="center"/>
            <w:textDirection w:val="lrTb"/>
            <w:noWrap w:val="false"/>
          </w:tcPr>
          <w:p>
            <w:pPr>
              <w:ind w:firstLine="480"/>
              <w:jc w:val="left"/>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采用低价优先法计算，即满足磋商文件要求且投标价格最低的投标报价为评标基准价，其价格分为满分：</w:t>
            </w:r>
            <w:r/>
          </w:p>
          <w:p>
            <w:pPr>
              <w:jc w:val="left"/>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sz w:val="24"/>
              </w:rPr>
              <w:t xml:space="preserve">各供应商价格得分=（评标基准价/投标报价）×1</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（按四舍五入取至小数点后两位）。</w:t>
            </w:r>
            <w:r/>
          </w:p>
        </w:tc>
      </w:tr>
      <w:tr>
        <w:trPr>
          <w:trHeight w:val="1328"/>
        </w:trPr>
        <w:tc>
          <w:tcPr>
            <w:tcW w:w="1087" w:type="dxa"/>
            <w:vAlign w:val="center"/>
            <w:vMerge w:val="restart"/>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商务</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部分</w:t>
            </w:r>
            <w:r/>
          </w:p>
          <w:p>
            <w:pPr>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49</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分）</w:t>
            </w:r>
            <w:r/>
          </w:p>
        </w:tc>
        <w:tc>
          <w:tcPr>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bidi="en-US"/>
                <w14:textFill>
                  <w14:solidFill>
                    <w14:schemeClr w14:val="tx1"/>
                  </w14:solidFill>
                </w14:textFill>
              </w:rPr>
              <w:t xml:space="preserve">综合实力</w:t>
            </w:r>
            <w:r/>
          </w:p>
          <w:p>
            <w:pPr>
              <w:jc w:val="center"/>
              <w:spacing w:line="24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分）</w:t>
            </w:r>
            <w:r/>
          </w:p>
        </w:tc>
        <w:tc>
          <w:tcPr>
            <w:tcW w:w="7461" w:type="dxa"/>
            <w:vAlign w:val="center"/>
            <w:textDirection w:val="lrTb"/>
            <w:noWrap w:val="false"/>
          </w:tcPr>
          <w:p>
            <w:pPr>
              <w:ind w:firstLine="480"/>
              <w:jc w:val="left"/>
              <w:spacing w:line="240" w:lineRule="auto"/>
              <w:widowControl/>
              <w:rPr>
                <w:rFonts w:hint="eastAsia" w:asciiTheme="minorEastAsia" w:hAnsiTheme="minorEastAsia" w:eastAsiaTheme="minorEastAsia" w:cstheme="minorEastAsia"/>
                <w:b w:val="0"/>
                <w:bCs w:val="0"/>
                <w:color w:val="000000" w:themeColor="text1"/>
                <w:sz w:val="24"/>
                <w:szCs w:val="24"/>
                <w:lang w:val="en-US" w:eastAsia="zh-CN" w:bidi="en-US"/>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bidi="en-US"/>
                <w14:textFill>
                  <w14:solidFill>
                    <w14:schemeClr w14:val="tx1"/>
                  </w14:solidFill>
                </w14:textFill>
              </w:rPr>
              <w:t xml:space="preserve">供应商自2023年1月1日以来承担的测绘类项目获得过县级及以上政府部门颁发的优秀项目成果奖项的,每提供一个得1分，本项最多得6分。</w:t>
            </w:r>
            <w:r/>
          </w:p>
          <w:p>
            <w:pPr>
              <w:ind w:firstLine="482"/>
              <w:jc w:val="left"/>
              <w:spacing w:line="240" w:lineRule="auto"/>
              <w:widowControl/>
              <w:rPr>
                <w:rFonts w:hint="eastAsia" w:asciiTheme="minorEastAsia" w:hAnsiTheme="minorEastAsia" w:eastAsiaTheme="minorEastAsia" w:cstheme="minorEastAsia"/>
                <w:b w:val="0"/>
                <w:bCs w:val="0"/>
                <w:color w:val="000000" w:themeColor="text1"/>
                <w:sz w:val="24"/>
                <w:szCs w:val="24"/>
                <w:lang w:val="en-US" w:eastAsia="zh-CN" w:bidi="en-US"/>
                <w14:textFill>
                  <w14:solidFill>
                    <w14:schemeClr w14:val="tx1"/>
                  </w14:solidFill>
                </w14:textFill>
              </w:rPr>
            </w:pPr>
            <w:r>
              <w:rPr>
                <w:rFonts w:hint="eastAsia" w:asciiTheme="minorEastAsia" w:hAnsiTheme="minorEastAsia" w:eastAsiaTheme="minorEastAsia" w:cstheme="minorEastAsia"/>
                <w:b/>
                <w:bCs/>
                <w:sz w:val="24"/>
              </w:rPr>
              <w:t xml:space="preserve">注：提供</w:t>
            </w:r>
            <w:r>
              <w:rPr>
                <w:rFonts w:hint="eastAsia" w:asciiTheme="minorEastAsia" w:hAnsiTheme="minorEastAsia" w:eastAsiaTheme="minorEastAsia" w:cstheme="minorEastAsia"/>
                <w:b/>
                <w:bCs/>
                <w:sz w:val="24"/>
                <w:lang w:val="en-US" w:eastAsia="zh-CN"/>
              </w:rPr>
              <w:t xml:space="preserve">相关证书</w:t>
            </w:r>
            <w:r>
              <w:rPr>
                <w:rFonts w:hint="eastAsia" w:asciiTheme="minorEastAsia" w:hAnsiTheme="minorEastAsia" w:eastAsiaTheme="minorEastAsia" w:cstheme="minorEastAsia"/>
                <w:b/>
                <w:bCs/>
                <w:sz w:val="24"/>
              </w:rPr>
              <w:t xml:space="preserve">彩色扫描件加盖</w:t>
            </w:r>
            <w:r>
              <w:rPr>
                <w:rFonts w:hint="eastAsia" w:asciiTheme="minorEastAsia" w:hAnsiTheme="minorEastAsia" w:eastAsiaTheme="minorEastAsia" w:cstheme="minorEastAsia"/>
                <w:b/>
                <w:bCs/>
                <w:sz w:val="24"/>
                <w:lang w:eastAsia="zh-CN"/>
              </w:rPr>
              <w:t xml:space="preserve">供应商</w:t>
            </w:r>
            <w:r>
              <w:rPr>
                <w:rFonts w:hint="eastAsia" w:asciiTheme="minorEastAsia" w:hAnsiTheme="minorEastAsia" w:eastAsiaTheme="minorEastAsia" w:cstheme="minorEastAsia"/>
                <w:b/>
                <w:bCs/>
                <w:sz w:val="24"/>
              </w:rPr>
              <w:t xml:space="preserve">公章</w:t>
            </w:r>
            <w:r>
              <w:rPr>
                <w:rFonts w:hint="eastAsia" w:asciiTheme="minorEastAsia" w:hAnsiTheme="minorEastAsia" w:eastAsiaTheme="minorEastAsia" w:cstheme="minorEastAsia"/>
                <w:b/>
                <w:bCs/>
                <w:sz w:val="24"/>
                <w:lang w:eastAsia="zh-CN"/>
              </w:rPr>
              <w:t xml:space="preserve">，</w:t>
            </w:r>
            <w:r>
              <w:rPr>
                <w:rFonts w:hint="eastAsia" w:asciiTheme="minorEastAsia" w:hAnsiTheme="minorEastAsia" w:eastAsiaTheme="minorEastAsia" w:cstheme="minorEastAsia"/>
                <w:b/>
                <w:bCs/>
                <w:sz w:val="24"/>
                <w:lang w:val="en-US" w:eastAsia="zh-CN"/>
              </w:rPr>
              <w:t xml:space="preserve">未提供的不得分。</w:t>
            </w:r>
            <w:r/>
          </w:p>
        </w:tc>
      </w:tr>
      <w:tr>
        <w:trPr>
          <w:trHeight w:val="1328"/>
        </w:trPr>
        <w:tc>
          <w:tcPr>
            <w:tcW w:w="1087" w:type="dxa"/>
            <w:vAlign w:val="center"/>
            <w:vMerge w:val="continue"/>
            <w:textDirection w:val="lrTb"/>
            <w:noWrap w:val="false"/>
          </w:tcPr>
          <w:p>
            <w:pPr>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r>
            <w:r/>
          </w:p>
        </w:tc>
        <w:tc>
          <w:tcPr>
            <w:shd w:val="clear" w:color="auto" w:fill="auto"/>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业绩</w:t>
            </w:r>
            <w:r/>
          </w:p>
          <w:p>
            <w:pPr>
              <w:jc w:val="center"/>
              <w:spacing w:line="240" w:lineRule="auto"/>
              <w:rPr>
                <w:rFonts w:hint="eastAsia" w:asciiTheme="minorEastAsia" w:hAnsiTheme="minorEastAsia" w:eastAsiaTheme="minorEastAsia" w:cstheme="minorEastAsia"/>
                <w:color w:val="000000" w:themeColor="text1"/>
                <w:sz w:val="24"/>
                <w:szCs w:val="24"/>
                <w:lang w:val="en-US" w:eastAsia="en-US" w:bidi="ar-SA"/>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0</w:t>
            </w:r>
            <w:r>
              <w:rPr>
                <w:rFonts w:hint="eastAsia" w:asciiTheme="minorEastAsia" w:hAnsiTheme="minorEastAsia" w:eastAsiaTheme="minorEastAsia" w:cstheme="minorEastAsia"/>
                <w:bCs/>
                <w:color w:val="000000" w:themeColor="text1"/>
                <w:sz w:val="24"/>
                <w:szCs w:val="24"/>
                <w:lang w:eastAsia="en-US"/>
                <w14:textFill>
                  <w14:solidFill>
                    <w14:schemeClr w14:val="tx1"/>
                  </w14:solidFill>
                </w14:textFill>
              </w:rPr>
              <w:t xml:space="preserve">分）</w:t>
            </w:r>
            <w:r/>
          </w:p>
        </w:tc>
        <w:tc>
          <w:tcPr>
            <w:shd w:val="clear" w:color="auto" w:fill="auto"/>
            <w:tcW w:w="7461" w:type="dxa"/>
            <w:vAlign w:val="center"/>
            <w:textDirection w:val="lrTb"/>
            <w:noWrap w:val="false"/>
          </w:tcPr>
          <w:p>
            <w:pPr>
              <w:ind w:firstLine="480"/>
              <w:jc w:val="left"/>
              <w:spacing w:line="240" w:lineRule="auto"/>
              <w:widowControl/>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自</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2023年1月1日以</w:t>
            </w: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来承担过地形图测绘或更新项目业绩的，每提供一份得2分，本项最高得10分。</w:t>
            </w:r>
            <w:r/>
          </w:p>
          <w:p>
            <w:pPr>
              <w:ind w:firstLine="482"/>
              <w:jc w:val="left"/>
              <w:spacing w:line="240" w:lineRule="auto"/>
              <w:widowControl/>
              <w:rPr>
                <w:rFonts w:hint="eastAsia" w:asciiTheme="minorEastAsia" w:hAnsiTheme="minorEastAsia" w:eastAsiaTheme="minorEastAsia" w:cstheme="minorEastAsia"/>
                <w:b/>
                <w:bCs/>
                <w:color w:val="000000" w:themeColor="text1"/>
                <w:sz w:val="24"/>
                <w:szCs w:val="24"/>
                <w:lang w:val="en-US" w:eastAsia="zh-CN" w:bidi="en-US"/>
                <w14:textFill>
                  <w14:solidFill>
                    <w14:schemeClr w14:val="tx1"/>
                  </w14:solidFill>
                </w14:textFill>
              </w:rPr>
            </w:pPr>
            <w:r>
              <w:rPr>
                <w:rFonts w:hint="eastAsia" w:asciiTheme="minorEastAsia" w:hAnsiTheme="minorEastAsia" w:eastAsiaTheme="minorEastAsia" w:cstheme="minorEastAsia"/>
                <w:b/>
                <w:bCs/>
                <w:sz w:val="24"/>
              </w:rPr>
              <w:t xml:space="preserve">注：提供合同原件彩色扫描件加盖</w:t>
            </w:r>
            <w:r>
              <w:rPr>
                <w:rFonts w:hint="eastAsia" w:asciiTheme="minorEastAsia" w:hAnsiTheme="minorEastAsia" w:eastAsiaTheme="minorEastAsia" w:cstheme="minorEastAsia"/>
                <w:b/>
                <w:bCs/>
                <w:sz w:val="24"/>
                <w:lang w:eastAsia="zh-CN"/>
              </w:rPr>
              <w:t xml:space="preserve">供应商</w:t>
            </w:r>
            <w:r>
              <w:rPr>
                <w:rFonts w:hint="eastAsia" w:asciiTheme="minorEastAsia" w:hAnsiTheme="minorEastAsia" w:eastAsiaTheme="minorEastAsia" w:cstheme="minorEastAsia"/>
                <w:b/>
                <w:bCs/>
                <w:sz w:val="24"/>
              </w:rPr>
              <w:t xml:space="preserve">公章，转包、分包合同无效，不提供的不得分。</w:t>
            </w:r>
            <w:r>
              <w:rPr>
                <w:rFonts w:hint="eastAsia" w:asciiTheme="minorEastAsia" w:hAnsiTheme="minorEastAsia" w:eastAsiaTheme="minorEastAsia" w:cstheme="minorEastAsia"/>
                <w:b/>
                <w:bCs/>
                <w:color w:val="000000"/>
                <w:sz w:val="24"/>
              </w:rPr>
              <w:t xml:space="preserve">合同中的重要信息因存在内容模糊、无法辨认、不完整而产生不利于该项评审的情况，供应商自行承担后果。</w:t>
            </w:r>
            <w:r/>
          </w:p>
        </w:tc>
      </w:tr>
      <w:tr>
        <w:trPr>
          <w:trHeight w:val="90"/>
        </w:trPr>
        <w:tc>
          <w:tcPr>
            <w:tcW w:w="1087" w:type="dxa"/>
            <w:vAlign w:val="center"/>
            <w:vMerge w:val="continue"/>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r>
            <w:r/>
          </w:p>
        </w:tc>
        <w:tc>
          <w:tcPr>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人员配置</w:t>
            </w:r>
            <w:r/>
          </w:p>
          <w:p>
            <w:pPr>
              <w:jc w:val="center"/>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（28分</w:t>
            </w: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w:t>
            </w:r>
            <w:r/>
          </w:p>
        </w:tc>
        <w:tc>
          <w:tcPr>
            <w:tcW w:w="7461" w:type="dxa"/>
            <w:vAlign w:val="center"/>
            <w:textDirection w:val="lrTb"/>
            <w:noWrap w:val="false"/>
          </w:tcPr>
          <w:p>
            <w:pPr>
              <w:ind w:firstLine="480"/>
              <w:jc w:val="left"/>
              <w:spacing w:line="240" w:lineRule="auto"/>
              <w:widowControl/>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1.项目负责人具有注册测绘师</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的得2分；具有</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测绘类正</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（研究员级）</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高级工程师职称证书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高级工程师职称证书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1.5</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得1分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助理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0.5</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具有市级</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及</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以上应急管理部门颁发的安全生产培训合格证书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本项最高得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p>
          <w:p>
            <w:pPr>
              <w:ind w:firstLine="480"/>
              <w:jc w:val="left"/>
              <w:spacing w:line="240" w:lineRule="auto"/>
              <w:widowControl/>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.技术负责人具有注册测绘师</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的得2分；具有</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测绘类正</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（研究员级）</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高级工程师职称证书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高级工程师职称证书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1.5</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得1分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助理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工程师职称证书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0.5</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具有市级</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及</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以上应急管理部门颁发的安全生产培训合格证书</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本项最高得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p>
          <w:p>
            <w:pPr>
              <w:numPr>
                <w:ilvl w:val="0"/>
                <w:numId w:val="0"/>
              </w:numPr>
              <w:ind w:firstLine="480"/>
              <w:jc w:val="both"/>
              <w:spacing w:line="240" w:lineRule="auto"/>
              <w:widowControl/>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项目组人员中（除项目负责人、技术负责人）具有注册测绘师证书的，</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每有1人得1</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本项</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最高得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p>
          <w:p>
            <w:pPr>
              <w:numPr>
                <w:ilvl w:val="0"/>
                <w:numId w:val="0"/>
              </w:numPr>
              <w:ind w:firstLine="480"/>
              <w:jc w:val="both"/>
              <w:spacing w:line="240" w:lineRule="auto"/>
              <w:widowControl/>
              <w:rPr>
                <w:rFonts w:hint="eastAsia" w:asciiTheme="minorEastAsia" w:hAnsiTheme="minorEastAsia" w:eastAsiaTheme="minorEastAsia" w:cstheme="minorEastAsia"/>
                <w:bCs/>
                <w:color w:val="000000" w:themeColor="text1"/>
                <w:sz w:val="24"/>
                <w:szCs w:val="24"/>
                <w:highlight w:val="none"/>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项目组人员中</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具</w:t>
            </w:r>
            <w:r>
              <w:rPr>
                <w:rFonts w:hint="eastAsia" w:asciiTheme="minorEastAsia" w:hAnsiTheme="minorEastAsia" w:eastAsiaTheme="minorEastAsia" w:cstheme="minorEastAsia"/>
                <w:bCs/>
                <w:color w:val="000000" w:themeColor="text1"/>
                <w:sz w:val="24"/>
                <w:szCs w:val="24"/>
                <w:highlight w:val="none"/>
                <w:lang w:eastAsia="en-US" w:bidi="en-US"/>
                <w14:textFill>
                  <w14:solidFill>
                    <w14:schemeClr w14:val="tx1"/>
                  </w14:solidFill>
                </w14:textFill>
              </w:rPr>
              <w:t xml:space="preserve">有涉密测绘成果管理证书</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 xml:space="preserve">的得2分，本项最高得2分。</w:t>
            </w:r>
            <w:r/>
          </w:p>
          <w:p>
            <w:pPr>
              <w:ind w:firstLine="482"/>
              <w:jc w:val="left"/>
              <w:spacing w:line="240" w:lineRule="auto"/>
              <w:widowControl/>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以上人员须为本单位职工，非本单位的</w:t>
            </w:r>
            <w:r>
              <w:rPr>
                <w:rFonts w:hint="eastAsia" w:asciiTheme="minorEastAsia" w:hAnsiTheme="minorEastAsia" w:eastAsiaTheme="minorEastAsia" w:cstheme="minorEastAsia"/>
                <w:b/>
                <w:bCs/>
                <w:sz w:val="24"/>
                <w:szCs w:val="24"/>
                <w:highlight w:val="none"/>
                <w:lang w:val="en-US" w:eastAsia="zh-CN"/>
              </w:rPr>
              <w:t xml:space="preserve">不予认可</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提供相关人员证明材料</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与</w:t>
            </w:r>
            <w:r>
              <w:rPr>
                <w:rFonts w:hint="eastAsia" w:asciiTheme="minorEastAsia" w:hAnsiTheme="minorEastAsia" w:eastAsiaTheme="minorEastAsia" w:cstheme="minorEastAsia"/>
                <w:b/>
                <w:bCs/>
                <w:sz w:val="24"/>
                <w:highlight w:val="none"/>
                <w:lang w:val="en-US" w:eastAsia="zh-CN"/>
              </w:rPr>
              <w:t xml:space="preserve">供应商签订的劳务合同或供应商为其发放的银行工资流水证明）及相</w:t>
            </w:r>
            <w:r>
              <w:rPr>
                <w:rFonts w:hint="eastAsia" w:asciiTheme="minorEastAsia" w:hAnsiTheme="minorEastAsia" w:eastAsiaTheme="minorEastAsia" w:cstheme="minorEastAsia"/>
                <w:b/>
                <w:bCs/>
                <w:sz w:val="24"/>
                <w:szCs w:val="24"/>
                <w:highlight w:val="none"/>
              </w:rPr>
              <w:t xml:space="preserve">关证书彩色扫描件加盖供应商公章，未提供或提供材料不全的不得分，同一人员不重复计分</w:t>
            </w:r>
            <w:r>
              <w:rPr>
                <w:rFonts w:hint="eastAsia" w:asciiTheme="minorEastAsia" w:hAnsiTheme="minorEastAsia" w:eastAsiaTheme="minorEastAsia" w:cstheme="minorEastAsia"/>
                <w:b/>
                <w:bCs/>
                <w:sz w:val="24"/>
                <w:szCs w:val="24"/>
                <w:highlight w:val="none"/>
                <w:lang w:eastAsia="zh-CN"/>
              </w:rPr>
              <w:t xml:space="preserve">。</w:t>
            </w:r>
            <w:r/>
          </w:p>
        </w:tc>
      </w:tr>
      <w:tr>
        <w:trPr>
          <w:trHeight w:val="274"/>
        </w:trPr>
        <w:tc>
          <w:tcPr>
            <w:tcW w:w="1087" w:type="dxa"/>
            <w:vAlign w:val="center"/>
            <w:vMerge w:val="continue"/>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r>
            <w:r/>
          </w:p>
        </w:tc>
        <w:tc>
          <w:tcPr>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仪器</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设备</w:t>
            </w:r>
            <w:r/>
          </w:p>
          <w:p>
            <w:pPr>
              <w:jc w:val="center"/>
              <w:spacing w:line="240" w:lineRule="auto"/>
              <w:widowControl/>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分）</w:t>
            </w:r>
            <w:r/>
          </w:p>
        </w:tc>
        <w:tc>
          <w:tcPr>
            <w:tcW w:w="7461" w:type="dxa"/>
            <w:vAlign w:val="center"/>
            <w:textDirection w:val="lrTb"/>
            <w:noWrap w:val="false"/>
          </w:tcPr>
          <w:p>
            <w:pPr>
              <w:jc w:val="left"/>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在项目实施过程中，为保障项目质量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供应商自有</w:t>
            </w:r>
            <w:r>
              <w:rPr>
                <w:rFonts w:hint="eastAsia" w:asciiTheme="minorEastAsia" w:hAnsiTheme="minorEastAsia" w:eastAsiaTheme="minorEastAsia" w:cstheme="minorEastAsia"/>
                <w:sz w:val="24"/>
                <w:highlight w:val="none"/>
              </w:rPr>
              <w:t xml:space="preserve">：</w:t>
            </w:r>
            <w:r/>
          </w:p>
          <w:p>
            <w:pPr>
              <w:numPr>
                <w:ilvl w:val="0"/>
                <w:numId w:val="0"/>
              </w:numPr>
              <w:ind w:firstLine="480"/>
              <w:jc w:val="left"/>
              <w:spacing w:line="240" w:lineRule="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（1）拟投入</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GNSS </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套（含）以上的</w:t>
            </w:r>
            <w:r>
              <w:rPr>
                <w:rFonts w:hint="eastAsia" w:asciiTheme="minorEastAsia" w:hAnsiTheme="minorEastAsia" w:eastAsiaTheme="minorEastAsia" w:cstheme="minorEastAsia"/>
                <w:sz w:val="24"/>
                <w:highlight w:val="none"/>
              </w:rPr>
              <w:t xml:space="preserve">得</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不具备的不得分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本项最高得</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）拟投入</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全站仪设备</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套（含）</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以上</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的</w:t>
            </w:r>
            <w:r>
              <w:rPr>
                <w:rFonts w:hint="eastAsia" w:asciiTheme="minorEastAsia" w:hAnsiTheme="minorEastAsia" w:eastAsiaTheme="minorEastAsia" w:cstheme="minorEastAsia"/>
                <w:sz w:val="24"/>
                <w:highlight w:val="none"/>
              </w:rPr>
              <w:t xml:space="preserve">得</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不具备的不得分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本项最高得</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分；</w:t>
            </w:r>
            <w:r/>
          </w:p>
          <w:p>
            <w:pPr>
              <w:ind w:firstLine="480"/>
              <w:jc w:val="left"/>
              <w:spacing w:line="240" w:lineRule="auto"/>
              <w:widowControl/>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）拟投入</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专业级固定翼无人机2台（含）以上的得</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分</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不具备的不得分</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本项最高得</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w:t>
            </w:r>
            <w:r/>
          </w:p>
          <w:p>
            <w:pPr>
              <w:ind w:firstLine="482"/>
              <w:jc w:val="left"/>
              <w:spacing w:line="240" w:lineRule="auto"/>
              <w:widowControl/>
              <w:rPr>
                <w:rFonts w:hint="eastAsia"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color w:val="000000" w:themeColor="text1"/>
                <w:sz w:val="24"/>
                <w:szCs w:val="24"/>
                <w:highlight w:val="none"/>
                <w:lang w:val="en-US" w:eastAsia="zh-CN" w:bidi="en-US"/>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 xml:space="preserve">GNSS</w:t>
            </w:r>
            <w:r>
              <w:rPr>
                <w:rFonts w:hint="eastAsia" w:asciiTheme="minorEastAsia" w:hAnsiTheme="minorEastAsia" w:eastAsiaTheme="minorEastAsia" w:cstheme="minorEastAsia"/>
                <w:b/>
                <w:bCs/>
                <w:color w:val="000000" w:themeColor="text1"/>
                <w:sz w:val="24"/>
                <w:szCs w:val="24"/>
                <w:highlight w:val="none"/>
                <w:lang w:bidi="en-US"/>
                <w14:textFill>
                  <w14:solidFill>
                    <w14:schemeClr w14:val="tx1"/>
                  </w14:solidFill>
                </w14:textFill>
              </w:rPr>
              <w:t xml:space="preserve">、全站仪提供设备检定证书</w:t>
            </w:r>
            <w:r>
              <w:rPr>
                <w:rFonts w:hint="eastAsia" w:asciiTheme="minorEastAsia" w:hAnsiTheme="minorEastAsia" w:eastAsiaTheme="minorEastAsia" w:cstheme="minorEastAsia"/>
                <w:b/>
                <w:bCs/>
                <w:color w:val="000000" w:themeColor="text1"/>
                <w:sz w:val="24"/>
                <w:szCs w:val="24"/>
                <w:highlight w:val="none"/>
                <w:lang w:val="en-US" w:eastAsia="zh-CN" w:bidi="en-US"/>
                <w14:textFill>
                  <w14:solidFill>
                    <w14:schemeClr w14:val="tx1"/>
                  </w14:solidFill>
                </w14:textFill>
              </w:rPr>
              <w:t xml:space="preserve">彩色扫描件加盖供应商公章</w:t>
            </w:r>
            <w:r>
              <w:rPr>
                <w:rFonts w:hint="eastAsia" w:asciiTheme="minorEastAsia" w:hAnsiTheme="minorEastAsia" w:eastAsiaTheme="minorEastAsia" w:cstheme="minorEastAsia"/>
                <w:b/>
                <w:bCs/>
                <w:color w:val="000000" w:themeColor="text1"/>
                <w:sz w:val="24"/>
                <w:szCs w:val="24"/>
                <w:highlight w:val="none"/>
                <w:lang w:bidi="en-US"/>
                <w14:textFill>
                  <w14:solidFill>
                    <w14:schemeClr w14:val="tx1"/>
                  </w14:solidFill>
                </w14:textFill>
              </w:rPr>
              <w:t xml:space="preserve">，固定翼无人机需提供购买合同和发票</w:t>
            </w:r>
            <w:r>
              <w:rPr>
                <w:rFonts w:hint="eastAsia" w:asciiTheme="minorEastAsia" w:hAnsiTheme="minorEastAsia" w:eastAsiaTheme="minorEastAsia" w:cstheme="minorEastAsia"/>
                <w:b/>
                <w:bCs/>
                <w:color w:val="000000" w:themeColor="text1"/>
                <w:sz w:val="24"/>
                <w:szCs w:val="24"/>
                <w:highlight w:val="none"/>
                <w:lang w:val="en-US" w:eastAsia="zh-CN" w:bidi="en-US"/>
                <w14:textFill>
                  <w14:solidFill>
                    <w14:schemeClr w14:val="tx1"/>
                  </w14:solidFill>
                </w14:textFill>
              </w:rPr>
              <w:t xml:space="preserve">彩色</w:t>
            </w:r>
            <w:r>
              <w:rPr>
                <w:rFonts w:hint="eastAsia" w:asciiTheme="minorEastAsia" w:hAnsiTheme="minorEastAsia" w:eastAsiaTheme="minorEastAsia" w:cstheme="minorEastAsia"/>
                <w:b/>
                <w:bCs/>
                <w:color w:val="000000" w:themeColor="text1"/>
                <w:sz w:val="24"/>
                <w:szCs w:val="24"/>
                <w:highlight w:val="none"/>
                <w:lang w:bidi="en-US"/>
                <w14:textFill>
                  <w14:solidFill>
                    <w14:schemeClr w14:val="tx1"/>
                  </w14:solidFill>
                </w14:textFill>
              </w:rPr>
              <w:t xml:space="preserve">扫描件</w:t>
            </w:r>
            <w:r>
              <w:rPr>
                <w:rFonts w:hint="eastAsia" w:asciiTheme="minorEastAsia" w:hAnsiTheme="minorEastAsia" w:eastAsiaTheme="minorEastAsia" w:cstheme="minorEastAsia"/>
                <w:b/>
                <w:bCs/>
                <w:color w:val="000000" w:themeColor="text1"/>
                <w:sz w:val="24"/>
                <w:szCs w:val="24"/>
                <w:highlight w:val="none"/>
                <w:lang w:val="en-US" w:eastAsia="zh-CN" w:bidi="en-US"/>
                <w14:textFill>
                  <w14:solidFill>
                    <w14:schemeClr w14:val="tx1"/>
                  </w14:solidFill>
                </w14:textFill>
              </w:rPr>
              <w:t xml:space="preserve">加盖供应商公章</w:t>
            </w:r>
            <w:r>
              <w:rPr>
                <w:rFonts w:hint="eastAsia" w:asciiTheme="minorEastAsia" w:hAnsiTheme="minorEastAsia" w:eastAsiaTheme="minorEastAsia" w:cstheme="minorEastAsia"/>
                <w:b/>
                <w:bCs/>
                <w:color w:val="000000" w:themeColor="text1"/>
                <w:sz w:val="24"/>
                <w:szCs w:val="24"/>
                <w:highlight w:val="none"/>
                <w:lang w:bidi="en-US"/>
                <w14:textFill>
                  <w14:solidFill>
                    <w14:schemeClr w14:val="tx1"/>
                  </w14:solidFill>
                </w14:textFill>
              </w:rPr>
              <w:t xml:space="preserve">，未提供不得分</w:t>
            </w:r>
            <w:r>
              <w:rPr>
                <w:rFonts w:hint="eastAsia" w:asciiTheme="minorEastAsia" w:hAnsiTheme="minorEastAsia" w:eastAsiaTheme="minorEastAsia" w:cstheme="minorEastAsia"/>
                <w:b/>
                <w:bCs/>
                <w:color w:val="000000" w:themeColor="text1"/>
                <w:sz w:val="24"/>
                <w:szCs w:val="24"/>
                <w:highlight w:val="none"/>
                <w:lang w:val="en-US" w:eastAsia="zh-CN" w:bidi="en-US"/>
                <w14:textFill>
                  <w14:solidFill>
                    <w14:schemeClr w14:val="tx1"/>
                  </w14:solidFill>
                </w14:textFill>
              </w:rPr>
              <w:t xml:space="preserve">或提供不全的不得分。</w:t>
            </w:r>
            <w:r/>
          </w:p>
        </w:tc>
      </w:tr>
      <w:tr>
        <w:trPr>
          <w:trHeight w:val="1499"/>
        </w:trPr>
        <w:tc>
          <w:tcPr>
            <w:tcW w:w="1087" w:type="dxa"/>
            <w:vAlign w:val="center"/>
            <w:vMerge w:val="restart"/>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技术</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方案</w:t>
            </w:r>
            <w:r/>
          </w:p>
          <w:p>
            <w:pPr>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36</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分）</w:t>
            </w:r>
            <w:r/>
          </w:p>
        </w:tc>
        <w:tc>
          <w:tcPr>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工作</w:t>
            </w:r>
            <w:r/>
          </w:p>
          <w:p>
            <w:pPr>
              <w:jc w:val="center"/>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方案</w:t>
            </w:r>
            <w:r/>
          </w:p>
          <w:p>
            <w:pPr>
              <w:jc w:val="center"/>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18</w:t>
            </w: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分）</w:t>
            </w:r>
            <w:r/>
          </w:p>
        </w:tc>
        <w:tc>
          <w:tcPr>
            <w:tcW w:w="7461" w:type="dxa"/>
            <w:vAlign w:val="center"/>
            <w:textDirection w:val="lrTb"/>
            <w:noWrap w:val="false"/>
          </w:tcPr>
          <w:p>
            <w:p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bidi="en-US"/>
                <w14:textFill>
                  <w14:solidFill>
                    <w14:schemeClr w14:val="tx1"/>
                  </w14:solidFill>
                </w14:textFill>
              </w:rPr>
              <w:t xml:space="preserve">1.</w:t>
            </w: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lang w:val="en-US" w:eastAsia="zh-CN"/>
              </w:rPr>
              <w:t xml:space="preserve">供应商针对本项目</w:t>
            </w:r>
            <w:r>
              <w:rPr>
                <w:rFonts w:hint="eastAsia" w:asciiTheme="minorEastAsia" w:hAnsiTheme="minorEastAsia" w:eastAsiaTheme="minorEastAsia" w:cstheme="minorEastAsia"/>
                <w:sz w:val="24"/>
                <w:highlight w:val="none"/>
              </w:rPr>
              <w:t xml:space="preserve">制</w:t>
            </w:r>
            <w:r>
              <w:rPr>
                <w:rFonts w:hint="eastAsia" w:asciiTheme="minorEastAsia" w:hAnsiTheme="minorEastAsia" w:eastAsiaTheme="minorEastAsia" w:cstheme="minorEastAsia"/>
                <w:b w:val="0"/>
                <w:bCs w:val="0"/>
                <w:sz w:val="24"/>
                <w:highlight w:val="none"/>
              </w:rPr>
              <w:t xml:space="preserve">定的</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技术方案</w:t>
            </w:r>
            <w:r>
              <w:rPr>
                <w:rFonts w:hint="eastAsia" w:asciiTheme="minorEastAsia" w:hAnsiTheme="minorEastAsia" w:eastAsiaTheme="minorEastAsia" w:cstheme="minorEastAsia"/>
                <w:sz w:val="24"/>
                <w:highlight w:val="none"/>
              </w:rPr>
              <w:t xml:space="preserve">进行综合</w:t>
            </w:r>
            <w:r>
              <w:rPr>
                <w:rFonts w:hint="eastAsia" w:asciiTheme="minorEastAsia" w:hAnsiTheme="minorEastAsia" w:eastAsiaTheme="minorEastAsia" w:cstheme="minorEastAsia"/>
                <w:sz w:val="24"/>
                <w:highlight w:val="none"/>
                <w:lang w:val="en-US" w:eastAsia="zh-CN"/>
              </w:rPr>
              <w:t xml:space="preserve">评审，内容包括但不限于</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以下内容：</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用户需求分析</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建设目标</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详细技术实施方案</w:t>
            </w:r>
            <w:r/>
          </w:p>
          <w:p>
            <w:pPr>
              <w:ind w:firstLine="482"/>
              <w:jc w:val="left"/>
              <w:spacing w:line="360" w:lineRule="exact"/>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
                <w:bCs/>
                <w:sz w:val="24"/>
                <w:highlight w:val="none"/>
                <w:lang w:val="en-US" w:eastAsia="zh-CN"/>
              </w:rPr>
              <w:t xml:space="preserve">方案中有上述内容，方案完整详细、思路清晰明了、对现状有全面深入的了解、</w:t>
            </w:r>
            <w:r>
              <w:rPr>
                <w:rFonts w:hint="eastAsia" w:asciiTheme="minorEastAsia" w:hAnsiTheme="minorEastAsia" w:eastAsiaTheme="minorEastAsia" w:cstheme="minorEastAsia"/>
                <w:b/>
                <w:bCs/>
                <w:sz w:val="24"/>
                <w:szCs w:val="24"/>
                <w:highlight w:val="none"/>
              </w:rPr>
              <w:t xml:space="preserve">可操作性强且有不同于其他</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特色举措</w:t>
            </w:r>
            <w:r>
              <w:rPr>
                <w:rFonts w:hint="eastAsia" w:asciiTheme="minorEastAsia" w:hAnsiTheme="minorEastAsia" w:eastAsiaTheme="minorEastAsia" w:cstheme="minorEastAsia"/>
                <w:b/>
                <w:bCs/>
                <w:sz w:val="24"/>
                <w:highlight w:val="none"/>
                <w:lang w:val="en-US" w:eastAsia="zh-CN"/>
              </w:rPr>
              <w:t xml:space="preserve">，完全满足采购需求的得9分；每有一项内容缺失的扣3分； </w:t>
            </w:r>
            <w:r>
              <w:rPr>
                <w:rFonts w:hint="eastAsia" w:asciiTheme="minorEastAsia" w:hAnsiTheme="minorEastAsia" w:eastAsiaTheme="minorEastAsia" w:cstheme="minorEastAsia"/>
                <w:b/>
                <w:bCs/>
                <w:sz w:val="24"/>
                <w:highlight w:val="none"/>
              </w:rPr>
              <w:t xml:space="preserve">每有一处内容存在缺陷或不满足</w:t>
            </w:r>
            <w:r>
              <w:rPr>
                <w:rFonts w:hint="eastAsia" w:asciiTheme="minorEastAsia" w:hAnsiTheme="minorEastAsia" w:eastAsiaTheme="minorEastAsia" w:cstheme="minorEastAsia"/>
                <w:b/>
                <w:bCs/>
                <w:sz w:val="24"/>
                <w:highlight w:val="none"/>
                <w:lang w:val="en-US" w:eastAsia="zh-CN"/>
              </w:rPr>
              <w:t xml:space="preserve">需求</w:t>
            </w:r>
            <w:r>
              <w:rPr>
                <w:rFonts w:hint="eastAsia" w:asciiTheme="minorEastAsia" w:hAnsiTheme="minorEastAsia" w:eastAsiaTheme="minorEastAsia" w:cstheme="minorEastAsia"/>
                <w:b/>
                <w:bCs/>
                <w:sz w:val="24"/>
                <w:highlight w:val="none"/>
              </w:rPr>
              <w:t xml:space="preserve">的扣</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rPr>
              <w:t xml:space="preserve">分，扣完为止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缺陷或不满足指</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内容不全面、</w:t>
            </w:r>
            <w:r>
              <w:rPr>
                <w:rFonts w:hint="eastAsia" w:asciiTheme="minorEastAsia" w:hAnsiTheme="minorEastAsia" w:eastAsiaTheme="minorEastAsia" w:cstheme="minorEastAsia"/>
                <w:b/>
                <w:bCs/>
                <w:sz w:val="24"/>
                <w:szCs w:val="24"/>
                <w:highlight w:val="none"/>
              </w:rPr>
              <w:t xml:space="preserve">条理不清晰</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highlight w:val="none"/>
              </w:rPr>
              <w:t xml:space="preserve">与实际需求不符、内容不清晰或交叉混乱、套用其他项目方案、有规范性或常识性错误、有逻辑漏洞、存在无关的事项、凭空编造、存在不可能实现的夸大情形等任意一种情形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；未提供方案不得分。</w:t>
            </w:r>
            <w:r/>
          </w:p>
          <w:p>
            <w:p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lang w:val="en-US" w:eastAsia="zh-CN"/>
              </w:rPr>
              <w:t xml:space="preserve">供应商针对本项目</w:t>
            </w:r>
            <w:r>
              <w:rPr>
                <w:rFonts w:hint="eastAsia" w:asciiTheme="minorEastAsia" w:hAnsiTheme="minorEastAsia" w:eastAsiaTheme="minorEastAsia" w:cstheme="minorEastAsia"/>
                <w:sz w:val="24"/>
                <w:highlight w:val="none"/>
              </w:rPr>
              <w:t xml:space="preserve">制</w:t>
            </w:r>
            <w:r>
              <w:rPr>
                <w:rFonts w:hint="eastAsia" w:asciiTheme="minorEastAsia" w:hAnsiTheme="minorEastAsia" w:eastAsiaTheme="minorEastAsia" w:cstheme="minorEastAsia"/>
                <w:b w:val="0"/>
                <w:bCs w:val="0"/>
                <w:sz w:val="24"/>
                <w:highlight w:val="none"/>
              </w:rPr>
              <w:t xml:space="preserve">定的</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实施方案</w:t>
            </w:r>
            <w:r>
              <w:rPr>
                <w:rFonts w:hint="eastAsia" w:asciiTheme="minorEastAsia" w:hAnsiTheme="minorEastAsia" w:eastAsiaTheme="minorEastAsia" w:cstheme="minorEastAsia"/>
                <w:sz w:val="24"/>
                <w:highlight w:val="none"/>
              </w:rPr>
              <w:t xml:space="preserve">进行综合</w:t>
            </w:r>
            <w:r>
              <w:rPr>
                <w:rFonts w:hint="eastAsia" w:asciiTheme="minorEastAsia" w:hAnsiTheme="minorEastAsia" w:eastAsiaTheme="minorEastAsia" w:cstheme="minorEastAsia"/>
                <w:sz w:val="24"/>
                <w:highlight w:val="none"/>
                <w:lang w:val="en-US" w:eastAsia="zh-CN"/>
              </w:rPr>
              <w:t xml:space="preserve">评审，内容包括但不限于</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以下内容：</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项目组织管理</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bidi="en-US"/>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质量管理措施</w:t>
            </w:r>
            <w:r/>
          </w:p>
          <w:p>
            <w:pPr>
              <w:numPr>
                <w:ilvl w:val="0"/>
                <w:numId w:val="0"/>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质量管理关键点分析及应对</w:t>
            </w:r>
            <w:r/>
          </w:p>
          <w:p>
            <w:pPr>
              <w:ind w:firstLine="482"/>
              <w:jc w:val="left"/>
              <w:spacing w:line="36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sz w:val="24"/>
                <w:highlight w:val="none"/>
                <w:lang w:val="en-US" w:eastAsia="zh-CN"/>
              </w:rPr>
              <w:t xml:space="preserve">方案中有上述内容，方案完整详细、思路清晰明了、对现状有全面深入的了解、</w:t>
            </w:r>
            <w:r>
              <w:rPr>
                <w:rFonts w:hint="eastAsia" w:asciiTheme="minorEastAsia" w:hAnsiTheme="minorEastAsia" w:eastAsiaTheme="minorEastAsia" w:cstheme="minorEastAsia"/>
                <w:b/>
                <w:bCs/>
                <w:sz w:val="24"/>
                <w:szCs w:val="24"/>
                <w:highlight w:val="none"/>
              </w:rPr>
              <w:t xml:space="preserve">可操作性强且有不同于其他</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特色举措</w:t>
            </w:r>
            <w:r>
              <w:rPr>
                <w:rFonts w:hint="eastAsia" w:asciiTheme="minorEastAsia" w:hAnsiTheme="minorEastAsia" w:eastAsiaTheme="minorEastAsia" w:cstheme="minorEastAsia"/>
                <w:b/>
                <w:bCs/>
                <w:sz w:val="24"/>
                <w:highlight w:val="none"/>
                <w:lang w:val="en-US" w:eastAsia="zh-CN"/>
              </w:rPr>
              <w:t xml:space="preserve">，完全满足采购需求的得9分；每有一项内容缺失的扣3分； </w:t>
            </w:r>
            <w:r>
              <w:rPr>
                <w:rFonts w:hint="eastAsia" w:asciiTheme="minorEastAsia" w:hAnsiTheme="minorEastAsia" w:eastAsiaTheme="minorEastAsia" w:cstheme="minorEastAsia"/>
                <w:b/>
                <w:bCs/>
                <w:sz w:val="24"/>
                <w:highlight w:val="none"/>
              </w:rPr>
              <w:t xml:space="preserve">每有一处内容存在缺陷或不满足</w:t>
            </w:r>
            <w:r>
              <w:rPr>
                <w:rFonts w:hint="eastAsia" w:asciiTheme="minorEastAsia" w:hAnsiTheme="minorEastAsia" w:eastAsiaTheme="minorEastAsia" w:cstheme="minorEastAsia"/>
                <w:b/>
                <w:bCs/>
                <w:sz w:val="24"/>
                <w:highlight w:val="none"/>
                <w:lang w:val="en-US" w:eastAsia="zh-CN"/>
              </w:rPr>
              <w:t xml:space="preserve">需求</w:t>
            </w:r>
            <w:r>
              <w:rPr>
                <w:rFonts w:hint="eastAsia" w:asciiTheme="minorEastAsia" w:hAnsiTheme="minorEastAsia" w:eastAsiaTheme="minorEastAsia" w:cstheme="minorEastAsia"/>
                <w:b/>
                <w:bCs/>
                <w:sz w:val="24"/>
                <w:highlight w:val="none"/>
              </w:rPr>
              <w:t xml:space="preserve">的扣</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rPr>
              <w:t xml:space="preserve">分，扣完为止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缺陷或不满足指</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内容不全面、</w:t>
            </w:r>
            <w:r>
              <w:rPr>
                <w:rFonts w:hint="eastAsia" w:asciiTheme="minorEastAsia" w:hAnsiTheme="minorEastAsia" w:eastAsiaTheme="minorEastAsia" w:cstheme="minorEastAsia"/>
                <w:b/>
                <w:bCs/>
                <w:sz w:val="24"/>
                <w:szCs w:val="24"/>
                <w:highlight w:val="none"/>
              </w:rPr>
              <w:t xml:space="preserve">条理不清晰</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highlight w:val="none"/>
              </w:rPr>
              <w:t xml:space="preserve">与实际需求不符、内容不清晰或交叉混乱、套用其他项目方案、有规范性或常识性错误、有逻辑漏洞、存在无关的事项、凭空编造、存在不可能实现的夸大情形等任意一种情形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；未提供方案不得分。</w:t>
            </w:r>
            <w:r/>
          </w:p>
        </w:tc>
      </w:tr>
      <w:tr>
        <w:trPr>
          <w:trHeight w:val="466"/>
        </w:trPr>
        <w:tc>
          <w:tcPr>
            <w:tcW w:w="1087" w:type="dxa"/>
            <w:vAlign w:val="center"/>
            <w:vMerge w:val="continue"/>
            <w:textDirection w:val="lrTb"/>
            <w:noWrap w:val="false"/>
          </w:tcPr>
          <w:p>
            <w:pPr>
              <w:ind w:firstLine="480"/>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r>
            <w:r/>
          </w:p>
        </w:tc>
        <w:tc>
          <w:tcPr>
            <w:tcW w:w="1196" w:type="dxa"/>
            <w:vAlign w:val="center"/>
            <w:textDirection w:val="lrTb"/>
            <w:noWrap w:val="false"/>
          </w:tcPr>
          <w:p>
            <w:pPr>
              <w:ind w:firstLine="240"/>
              <w:jc w:val="both"/>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进度</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安排</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分）</w:t>
            </w:r>
            <w:r/>
          </w:p>
        </w:tc>
        <w:tc>
          <w:tcPr>
            <w:tcW w:w="7461" w:type="dxa"/>
            <w:vAlign w:val="center"/>
            <w:textDirection w:val="lrTb"/>
            <w:noWrap w:val="false"/>
          </w:tcPr>
          <w:p>
            <w:pPr>
              <w:ind w:firstLine="480"/>
              <w:jc w:val="left"/>
              <w:spacing w:line="240" w:lineRule="auto"/>
              <w:widowControl/>
              <w:rPr>
                <w:rFonts w:hint="eastAsia" w:asciiTheme="minorEastAsia" w:hAnsiTheme="minorEastAsia" w:eastAsiaTheme="minorEastAsia" w:cstheme="minorEastAsia"/>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lang w:val="en-US" w:eastAsia="zh-CN"/>
              </w:rPr>
              <w:t xml:space="preserve">供应商针对本项目</w:t>
            </w:r>
            <w:r>
              <w:rPr>
                <w:rFonts w:hint="eastAsia" w:asciiTheme="minorEastAsia" w:hAnsiTheme="minorEastAsia" w:eastAsiaTheme="minorEastAsia" w:cstheme="minorEastAsia"/>
                <w:sz w:val="24"/>
                <w:highlight w:val="none"/>
              </w:rPr>
              <w:t xml:space="preserve">制</w:t>
            </w:r>
            <w:r>
              <w:rPr>
                <w:rFonts w:hint="eastAsia" w:asciiTheme="minorEastAsia" w:hAnsiTheme="minorEastAsia" w:eastAsiaTheme="minorEastAsia" w:cstheme="minorEastAsia"/>
                <w:b w:val="0"/>
                <w:bCs w:val="0"/>
                <w:sz w:val="24"/>
                <w:highlight w:val="none"/>
              </w:rPr>
              <w:t xml:space="preserve">定的</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进度安排方案</w:t>
            </w:r>
            <w:r>
              <w:rPr>
                <w:rFonts w:hint="eastAsia" w:asciiTheme="minorEastAsia" w:hAnsiTheme="minorEastAsia" w:eastAsiaTheme="minorEastAsia" w:cstheme="minorEastAsia"/>
                <w:sz w:val="24"/>
                <w:highlight w:val="none"/>
              </w:rPr>
              <w:t xml:space="preserve">进行综合</w:t>
            </w:r>
            <w:r>
              <w:rPr>
                <w:rFonts w:hint="eastAsia" w:asciiTheme="minorEastAsia" w:hAnsiTheme="minorEastAsia" w:eastAsiaTheme="minorEastAsia" w:cstheme="minorEastAsia"/>
                <w:sz w:val="24"/>
                <w:highlight w:val="none"/>
                <w:lang w:val="en-US" w:eastAsia="zh-CN"/>
              </w:rPr>
              <w:t xml:space="preserve">评审，内容包括但不限于</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以下内容：</w:t>
            </w:r>
            <w:r/>
          </w:p>
          <w:p>
            <w:pPr>
              <w:ind w:firstLine="480"/>
              <w:jc w:val="left"/>
              <w:spacing w:line="24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lang w:val="en-US" w:eastAsia="zh-CN"/>
              </w:rPr>
              <w:t xml:space="preserve">1</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安排合理性</w:t>
            </w:r>
            <w:r/>
          </w:p>
          <w:p>
            <w:pPr>
              <w:ind w:firstLine="480"/>
              <w:jc w:val="left"/>
              <w:spacing w:line="24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工序管理措施科学性</w:t>
            </w:r>
            <w:r/>
          </w:p>
          <w:p>
            <w:pPr>
              <w:ind w:firstLine="480"/>
              <w:jc w:val="left"/>
              <w:spacing w:line="240"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lang w:eastAsia="zh-CN"/>
              </w:rPr>
              <w:t xml:space="preserve">工期滞后弥补办法</w:t>
            </w:r>
            <w:r>
              <w:rPr>
                <w:rFonts w:hint="eastAsia" w:asciiTheme="minorEastAsia" w:hAnsiTheme="minorEastAsia" w:eastAsiaTheme="minorEastAsia" w:cstheme="minorEastAsia"/>
                <w:bCs/>
                <w:sz w:val="24"/>
                <w:szCs w:val="24"/>
                <w:lang w:val="en-US" w:eastAsia="zh-CN"/>
              </w:rPr>
              <w:t xml:space="preserve">以及</w:t>
            </w:r>
            <w:r>
              <w:rPr>
                <w:rFonts w:hint="eastAsia" w:asciiTheme="minorEastAsia" w:hAnsiTheme="minorEastAsia" w:eastAsiaTheme="minorEastAsia" w:cstheme="minorEastAsia"/>
                <w:bCs/>
                <w:sz w:val="24"/>
                <w:szCs w:val="24"/>
                <w:lang w:eastAsia="zh-CN"/>
              </w:rPr>
              <w:t xml:space="preserve">突发情况应急办法</w:t>
            </w:r>
            <w:r/>
          </w:p>
          <w:p>
            <w:pPr>
              <w:ind w:firstLine="482"/>
              <w:jc w:val="left"/>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
                <w:bCs/>
                <w:sz w:val="24"/>
                <w:highlight w:val="none"/>
                <w:lang w:val="en-US" w:eastAsia="zh-CN"/>
              </w:rPr>
              <w:t xml:space="preserve">方案中有上述内容，方案完整详细、思路清晰明了、对现状有全面深入的了解、</w:t>
            </w:r>
            <w:r>
              <w:rPr>
                <w:rFonts w:hint="eastAsia" w:asciiTheme="minorEastAsia" w:hAnsiTheme="minorEastAsia" w:eastAsiaTheme="minorEastAsia" w:cstheme="minorEastAsia"/>
                <w:b/>
                <w:bCs/>
                <w:sz w:val="24"/>
                <w:szCs w:val="24"/>
                <w:highlight w:val="none"/>
              </w:rPr>
              <w:t xml:space="preserve">可操作性强且有不同于其他</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特色举措</w:t>
            </w:r>
            <w:r>
              <w:rPr>
                <w:rFonts w:hint="eastAsia" w:asciiTheme="minorEastAsia" w:hAnsiTheme="minorEastAsia" w:eastAsiaTheme="minorEastAsia" w:cstheme="minorEastAsia"/>
                <w:b/>
                <w:bCs/>
                <w:sz w:val="24"/>
                <w:highlight w:val="none"/>
                <w:lang w:val="en-US" w:eastAsia="zh-CN"/>
              </w:rPr>
              <w:t xml:space="preserve">，完全满足采购需求的得6分；每有一项内容缺失的扣2分； </w:t>
            </w:r>
            <w:r>
              <w:rPr>
                <w:rFonts w:hint="eastAsia" w:asciiTheme="minorEastAsia" w:hAnsiTheme="minorEastAsia" w:eastAsiaTheme="minorEastAsia" w:cstheme="minorEastAsia"/>
                <w:b/>
                <w:bCs/>
                <w:sz w:val="24"/>
                <w:highlight w:val="none"/>
              </w:rPr>
              <w:t xml:space="preserve">每有一处内容存在缺陷或不满足</w:t>
            </w:r>
            <w:r>
              <w:rPr>
                <w:rFonts w:hint="eastAsia" w:asciiTheme="minorEastAsia" w:hAnsiTheme="minorEastAsia" w:eastAsiaTheme="minorEastAsia" w:cstheme="minorEastAsia"/>
                <w:b/>
                <w:bCs/>
                <w:sz w:val="24"/>
                <w:highlight w:val="none"/>
                <w:lang w:val="en-US" w:eastAsia="zh-CN"/>
              </w:rPr>
              <w:t xml:space="preserve">需求</w:t>
            </w:r>
            <w:r>
              <w:rPr>
                <w:rFonts w:hint="eastAsia" w:asciiTheme="minorEastAsia" w:hAnsiTheme="minorEastAsia" w:eastAsiaTheme="minorEastAsia" w:cstheme="minorEastAsia"/>
                <w:b/>
                <w:bCs/>
                <w:sz w:val="24"/>
                <w:highlight w:val="none"/>
              </w:rPr>
              <w:t xml:space="preserve">的扣</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rPr>
              <w:t xml:space="preserve">分，扣完为止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缺陷或不满足指</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内容不全面、</w:t>
            </w:r>
            <w:r>
              <w:rPr>
                <w:rFonts w:hint="eastAsia" w:asciiTheme="minorEastAsia" w:hAnsiTheme="minorEastAsia" w:eastAsiaTheme="minorEastAsia" w:cstheme="minorEastAsia"/>
                <w:b/>
                <w:bCs/>
                <w:sz w:val="24"/>
                <w:szCs w:val="24"/>
                <w:highlight w:val="none"/>
              </w:rPr>
              <w:t xml:space="preserve">条理不清晰</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highlight w:val="none"/>
              </w:rPr>
              <w:t xml:space="preserve">与实际需求不符、内容不清晰或交叉混乱、套用其他项目方案、有规范性或常识性错误、有逻辑漏洞、存在无关的事项、凭空编造、存在不可能实现的夸大情形等任意一种情形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；未提供方案不得分。</w:t>
            </w:r>
            <w:r/>
          </w:p>
        </w:tc>
      </w:tr>
      <w:tr>
        <w:trPr>
          <w:trHeight w:val="1662"/>
        </w:trPr>
        <w:tc>
          <w:tcPr>
            <w:tcW w:w="1087" w:type="dxa"/>
            <w:vAlign w:val="center"/>
            <w:vMerge w:val="continue"/>
            <w:textDirection w:val="lrTb"/>
            <w:noWrap w:val="false"/>
          </w:tcPr>
          <w:p>
            <w:pPr>
              <w:ind w:firstLine="480"/>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r>
            <w:r/>
          </w:p>
        </w:tc>
        <w:tc>
          <w:tcPr>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质量保证措施</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en-US"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lang w:val="en-US" w:eastAsia="en-US" w:bidi="en-US"/>
                <w14:textFill>
                  <w14:solidFill>
                    <w14:schemeClr w14:val="tx1"/>
                  </w14:solidFill>
                </w14:textFill>
              </w:rPr>
              <w:t xml:space="preserve">分）</w:t>
            </w:r>
            <w:r/>
          </w:p>
        </w:tc>
        <w:tc>
          <w:tcPr>
            <w:tcW w:w="7461" w:type="dxa"/>
            <w:vAlign w:val="center"/>
            <w:textDirection w:val="lrTb"/>
            <w:noWrap w:val="false"/>
          </w:tcPr>
          <w:p>
            <w:pPr>
              <w:ind w:firstLine="480"/>
              <w:jc w:val="left"/>
              <w:spacing w:line="240" w:lineRule="auto"/>
              <w:widowControl/>
              <w:rPr>
                <w:rFonts w:hint="eastAsia" w:asciiTheme="minorEastAsia" w:hAnsiTheme="minorEastAsia" w:eastAsiaTheme="minorEastAsia" w:cstheme="minorEastAsia"/>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lang w:val="en-US" w:eastAsia="zh-CN"/>
              </w:rPr>
              <w:t xml:space="preserve">供应商针对本项目</w:t>
            </w:r>
            <w:r>
              <w:rPr>
                <w:rFonts w:hint="eastAsia" w:asciiTheme="minorEastAsia" w:hAnsiTheme="minorEastAsia" w:eastAsiaTheme="minorEastAsia" w:cstheme="minorEastAsia"/>
                <w:sz w:val="24"/>
                <w:highlight w:val="none"/>
              </w:rPr>
              <w:t xml:space="preserve">制</w:t>
            </w:r>
            <w:r>
              <w:rPr>
                <w:rFonts w:hint="eastAsia" w:asciiTheme="minorEastAsia" w:hAnsiTheme="minorEastAsia" w:eastAsiaTheme="minorEastAsia" w:cstheme="minorEastAsia"/>
                <w:b w:val="0"/>
                <w:bCs w:val="0"/>
                <w:sz w:val="24"/>
                <w:highlight w:val="none"/>
              </w:rPr>
              <w:t xml:space="preserve">定的</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质量保证措施</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方案</w:t>
            </w:r>
            <w:r>
              <w:rPr>
                <w:rFonts w:hint="eastAsia" w:asciiTheme="minorEastAsia" w:hAnsiTheme="minorEastAsia" w:eastAsiaTheme="minorEastAsia" w:cstheme="minorEastAsia"/>
                <w:sz w:val="24"/>
                <w:highlight w:val="none"/>
              </w:rPr>
              <w:t xml:space="preserve">进行综合</w:t>
            </w:r>
            <w:r>
              <w:rPr>
                <w:rFonts w:hint="eastAsia" w:asciiTheme="minorEastAsia" w:hAnsiTheme="minorEastAsia" w:eastAsiaTheme="minorEastAsia" w:cstheme="minorEastAsia"/>
                <w:sz w:val="24"/>
                <w:highlight w:val="none"/>
                <w:lang w:val="en-US" w:eastAsia="zh-CN"/>
              </w:rPr>
              <w:t xml:space="preserve">评审，内容包括但不限于</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以下内容：</w:t>
            </w:r>
            <w:r/>
          </w:p>
          <w:p>
            <w:pPr>
              <w:numPr>
                <w:ilvl w:val="0"/>
                <w:numId w:val="11"/>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质量管理体系</w:t>
            </w:r>
            <w:r/>
          </w:p>
          <w:p>
            <w:pPr>
              <w:numPr>
                <w:ilvl w:val="0"/>
                <w:numId w:val="11"/>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质量管理制度</w:t>
            </w:r>
            <w:r/>
          </w:p>
          <w:p>
            <w:pPr>
              <w:numPr>
                <w:ilvl w:val="0"/>
                <w:numId w:val="11"/>
              </w:numPr>
              <w:ind w:firstLine="480"/>
              <w:jc w:val="left"/>
              <w:spacing w:line="240" w:lineRule="auto"/>
              <w:widowControl/>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质量保证措施</w:t>
            </w:r>
            <w:r/>
          </w:p>
          <w:p>
            <w:pPr>
              <w:ind w:firstLine="482"/>
              <w:spacing w:line="240" w:lineRule="auto"/>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
                <w:bCs/>
                <w:sz w:val="24"/>
                <w:highlight w:val="none"/>
                <w:lang w:val="en-US" w:eastAsia="zh-CN"/>
              </w:rPr>
              <w:t xml:space="preserve">方案中有上述内容，方案完整详细、思路清晰明了、对现状有全面深入的了解、</w:t>
            </w:r>
            <w:r>
              <w:rPr>
                <w:rFonts w:hint="eastAsia" w:asciiTheme="minorEastAsia" w:hAnsiTheme="minorEastAsia" w:eastAsiaTheme="minorEastAsia" w:cstheme="minorEastAsia"/>
                <w:b/>
                <w:bCs/>
                <w:sz w:val="24"/>
                <w:szCs w:val="24"/>
                <w:highlight w:val="none"/>
              </w:rPr>
              <w:t xml:space="preserve">可操作性强且有不同于其他</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特色举措</w:t>
            </w:r>
            <w:r>
              <w:rPr>
                <w:rFonts w:hint="eastAsia" w:asciiTheme="minorEastAsia" w:hAnsiTheme="minorEastAsia" w:eastAsiaTheme="minorEastAsia" w:cstheme="minorEastAsia"/>
                <w:b/>
                <w:bCs/>
                <w:sz w:val="24"/>
                <w:highlight w:val="none"/>
                <w:lang w:val="en-US" w:eastAsia="zh-CN"/>
              </w:rPr>
              <w:t xml:space="preserve">，完全满足采购需求的得6分；每有一项内容缺失的扣2分； </w:t>
            </w:r>
            <w:r>
              <w:rPr>
                <w:rFonts w:hint="eastAsia" w:asciiTheme="minorEastAsia" w:hAnsiTheme="minorEastAsia" w:eastAsiaTheme="minorEastAsia" w:cstheme="minorEastAsia"/>
                <w:b/>
                <w:bCs/>
                <w:sz w:val="24"/>
                <w:highlight w:val="none"/>
              </w:rPr>
              <w:t xml:space="preserve">每有一处内容存在缺陷或不满足</w:t>
            </w:r>
            <w:r>
              <w:rPr>
                <w:rFonts w:hint="eastAsia" w:asciiTheme="minorEastAsia" w:hAnsiTheme="minorEastAsia" w:eastAsiaTheme="minorEastAsia" w:cstheme="minorEastAsia"/>
                <w:b/>
                <w:bCs/>
                <w:sz w:val="24"/>
                <w:highlight w:val="none"/>
                <w:lang w:val="en-US" w:eastAsia="zh-CN"/>
              </w:rPr>
              <w:t xml:space="preserve">需求</w:t>
            </w:r>
            <w:r>
              <w:rPr>
                <w:rFonts w:hint="eastAsia" w:asciiTheme="minorEastAsia" w:hAnsiTheme="minorEastAsia" w:eastAsiaTheme="minorEastAsia" w:cstheme="minorEastAsia"/>
                <w:b/>
                <w:bCs/>
                <w:sz w:val="24"/>
                <w:highlight w:val="none"/>
              </w:rPr>
              <w:t xml:space="preserve">的扣</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rPr>
              <w:t xml:space="preserve">分，扣完为止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缺陷或不满足指</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内容不全面、</w:t>
            </w:r>
            <w:r>
              <w:rPr>
                <w:rFonts w:hint="eastAsia" w:asciiTheme="minorEastAsia" w:hAnsiTheme="minorEastAsia" w:eastAsiaTheme="minorEastAsia" w:cstheme="minorEastAsia"/>
                <w:b/>
                <w:bCs/>
                <w:sz w:val="24"/>
                <w:szCs w:val="24"/>
                <w:highlight w:val="none"/>
              </w:rPr>
              <w:t xml:space="preserve">条理不清晰</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highlight w:val="none"/>
              </w:rPr>
              <w:t xml:space="preserve">与实际需求不符、内容不清晰或交叉混乱、套用其他项目方案、有规范性或常识性错误、有逻辑漏洞、存在无关的事项、凭空编造、存在不可能实现的夸大情形等任意一种情形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；未提供方案不得分。</w:t>
            </w:r>
            <w:r/>
          </w:p>
        </w:tc>
      </w:tr>
      <w:tr>
        <w:trPr>
          <w:trHeight w:val="952"/>
        </w:trPr>
        <w:tc>
          <w:tcPr>
            <w:tcW w:w="1087" w:type="dxa"/>
            <w:vAlign w:val="center"/>
            <w:vMerge w:val="continue"/>
            <w:textDirection w:val="lrTb"/>
            <w:noWrap w:val="false"/>
          </w:tcPr>
          <w:p>
            <w:pPr>
              <w:ind w:firstLine="480"/>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r>
            <w:r/>
          </w:p>
        </w:tc>
        <w:tc>
          <w:tcPr>
            <w:tcW w:w="1196"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合理</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化建议</w:t>
            </w:r>
            <w:r/>
          </w:p>
          <w:p>
            <w:pPr>
              <w:jc w:val="center"/>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val="en-US" w:eastAsia="zh-CN" w:bidi="en-US"/>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分）</w:t>
            </w:r>
            <w:r/>
          </w:p>
        </w:tc>
        <w:tc>
          <w:tcPr>
            <w:tcW w:w="7461" w:type="dxa"/>
            <w:vAlign w:val="center"/>
            <w:textDirection w:val="lrTb"/>
            <w:noWrap w:val="false"/>
          </w:tcPr>
          <w:p>
            <w:pPr>
              <w:ind w:firstLine="480"/>
              <w:jc w:val="both"/>
              <w:spacing w:line="240" w:lineRule="auto"/>
              <w:widowControl/>
              <w:rPr>
                <w:rFonts w:hint="eastAsia" w:asciiTheme="minorEastAsia" w:hAnsiTheme="minorEastAsia" w:eastAsiaTheme="minorEastAsia" w:cstheme="minorEastAsia"/>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lang w:val="en-US" w:eastAsia="zh-CN"/>
              </w:rPr>
              <w:t xml:space="preserve">供应商针对本项目</w:t>
            </w:r>
            <w:r>
              <w:rPr>
                <w:rFonts w:hint="eastAsia" w:asciiTheme="minorEastAsia" w:hAnsiTheme="minorEastAsia" w:eastAsiaTheme="minorEastAsia" w:cstheme="minorEastAsia"/>
                <w:sz w:val="24"/>
                <w:highlight w:val="none"/>
              </w:rPr>
              <w:t xml:space="preserve">制</w:t>
            </w:r>
            <w:r>
              <w:rPr>
                <w:rFonts w:hint="eastAsia" w:asciiTheme="minorEastAsia" w:hAnsiTheme="minorEastAsia" w:eastAsiaTheme="minorEastAsia" w:cstheme="minorEastAsia"/>
                <w:b w:val="0"/>
                <w:bCs w:val="0"/>
                <w:sz w:val="24"/>
                <w:highlight w:val="none"/>
              </w:rPr>
              <w:t xml:space="preserve">定的</w:t>
            </w:r>
            <w:r>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t xml:space="preserve">合理化建议</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方案</w:t>
            </w:r>
            <w:r>
              <w:rPr>
                <w:rFonts w:hint="eastAsia" w:asciiTheme="minorEastAsia" w:hAnsiTheme="minorEastAsia" w:eastAsiaTheme="minorEastAsia" w:cstheme="minorEastAsia"/>
                <w:sz w:val="24"/>
                <w:highlight w:val="none"/>
              </w:rPr>
              <w:t xml:space="preserve">进行综合</w:t>
            </w:r>
            <w:r>
              <w:rPr>
                <w:rFonts w:hint="eastAsia" w:asciiTheme="minorEastAsia" w:hAnsiTheme="minorEastAsia" w:eastAsiaTheme="minorEastAsia" w:cstheme="minorEastAsia"/>
                <w:sz w:val="24"/>
                <w:highlight w:val="none"/>
                <w:lang w:val="en-US" w:eastAsia="zh-CN"/>
              </w:rPr>
              <w:t xml:space="preserve">评审，内容包括但不限于</w:t>
            </w:r>
            <w:r>
              <w:rPr>
                <w:rFonts w:hint="eastAsia" w:asciiTheme="minorEastAsia" w:hAnsiTheme="minorEastAsia" w:eastAsiaTheme="minorEastAsia" w:cstheme="minorEastAsia"/>
                <w:color w:val="000000" w:themeColor="text1"/>
                <w:sz w:val="24"/>
                <w:szCs w:val="24"/>
                <w:lang w:eastAsia="en-US" w:bidi="en-US"/>
                <w14:textFill>
                  <w14:solidFill>
                    <w14:schemeClr w14:val="tx1"/>
                  </w14:solidFill>
                </w14:textFill>
              </w:rPr>
              <w:t xml:space="preserve">以下内容：</w:t>
            </w:r>
            <w:r/>
          </w:p>
          <w:p>
            <w:pPr>
              <w:numPr>
                <w:ilvl w:val="0"/>
                <w:numId w:val="12"/>
              </w:numPr>
              <w:ind w:firstLine="480"/>
              <w:jc w:val="left"/>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分析本项目重点</w:t>
            </w:r>
            <w:r/>
          </w:p>
          <w:p>
            <w:pPr>
              <w:numPr>
                <w:ilvl w:val="0"/>
                <w:numId w:val="12"/>
              </w:numPr>
              <w:ind w:left="0" w:firstLine="480"/>
              <w:jc w:val="left"/>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分析本项目难点</w:t>
            </w:r>
            <w:r/>
          </w:p>
          <w:p>
            <w:pPr>
              <w:numPr>
                <w:ilvl w:val="0"/>
                <w:numId w:val="12"/>
              </w:numPr>
              <w:ind w:left="0" w:firstLine="480"/>
              <w:jc w:val="left"/>
              <w:spacing w:line="240" w:lineRule="auto"/>
              <w:widowControl/>
              <w:rPr>
                <w:rFonts w:hint="eastAsia" w:asciiTheme="minorEastAsia" w:hAnsiTheme="minorEastAsia" w:eastAsiaTheme="minorEastAsia" w:cstheme="minorEastAsia"/>
                <w:bCs/>
                <w:color w:val="000000" w:themeColor="text1"/>
                <w:sz w:val="24"/>
                <w:szCs w:val="24"/>
                <w:lang w:eastAsia="en-US" w:bidi="en-US"/>
                <w14:textFill>
                  <w14:solidFill>
                    <w14:schemeClr w14:val="tx1"/>
                  </w14:solidFill>
                </w14:textFill>
              </w:rPr>
            </w:pPr>
            <w:r>
              <w:rPr>
                <w:rFonts w:hint="eastAsia" w:asciiTheme="minorEastAsia" w:hAnsiTheme="minorEastAsia" w:eastAsiaTheme="minorEastAsia" w:cstheme="minorEastAsia"/>
                <w:bCs/>
                <w:sz w:val="24"/>
                <w:szCs w:val="24"/>
              </w:rPr>
              <w:t xml:space="preserve">针对本项目提出创新、创优等合理化建议</w:t>
            </w:r>
            <w:r/>
          </w:p>
          <w:p>
            <w:pPr>
              <w:ind w:firstLine="482"/>
              <w:jc w:val="left"/>
              <w:spacing w:line="240" w:lineRule="auto"/>
              <w:widowControl/>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pPr>
            <w:r>
              <w:rPr>
                <w:rFonts w:hint="eastAsia" w:asciiTheme="minorEastAsia" w:hAnsiTheme="minorEastAsia" w:eastAsiaTheme="minorEastAsia" w:cstheme="minorEastAsia"/>
                <w:b/>
                <w:bCs/>
                <w:sz w:val="24"/>
                <w:highlight w:val="none"/>
                <w:lang w:val="en-US" w:eastAsia="zh-CN"/>
              </w:rPr>
              <w:t xml:space="preserve">方案中有上述内容，</w:t>
            </w: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分析全面透彻</w:t>
            </w:r>
            <w:r>
              <w:rPr>
                <w:rFonts w:hint="eastAsia" w:asciiTheme="minorEastAsia" w:hAnsiTheme="minorEastAsia" w:eastAsiaTheme="minorEastAsia" w:cstheme="minorEastAsia"/>
                <w:bCs/>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lang w:bidi="en-US"/>
                <w14:textFill>
                  <w14:solidFill>
                    <w14:schemeClr w14:val="tx1"/>
                  </w14:solidFill>
                </w14:textFill>
              </w:rPr>
              <w:t xml:space="preserve">建议清晰合理</w:t>
            </w:r>
            <w:r>
              <w:rPr>
                <w:rFonts w:hint="eastAsia" w:asciiTheme="minorEastAsia" w:hAnsiTheme="minorEastAsia" w:eastAsiaTheme="minorEastAsia" w:cstheme="minorEastAsia"/>
                <w:bCs/>
                <w:color w:val="000000" w:themeColor="text1"/>
                <w:sz w:val="24"/>
                <w:szCs w:val="24"/>
                <w:lang w:eastAsia="zh-CN" w:bidi="en-US"/>
                <w14:textFill>
                  <w14:solidFill>
                    <w14:schemeClr w14:val="tx1"/>
                  </w14:solidFill>
                </w14:textFill>
              </w:rPr>
              <w:t xml:space="preserve">，</w:t>
            </w:r>
            <w:r>
              <w:rPr>
                <w:rFonts w:hint="eastAsia" w:asciiTheme="minorEastAsia" w:hAnsiTheme="minorEastAsia" w:eastAsiaTheme="minorEastAsia" w:cstheme="minorEastAsia"/>
                <w:b/>
                <w:bCs/>
                <w:sz w:val="24"/>
                <w:highlight w:val="none"/>
                <w:lang w:val="en-US" w:eastAsia="zh-CN"/>
              </w:rPr>
              <w:t xml:space="preserve">对现状有全面深入的了解，完全满足采购需求的得6分；每有一项内容缺失的扣2分； </w:t>
            </w:r>
            <w:r>
              <w:rPr>
                <w:rFonts w:hint="eastAsia" w:asciiTheme="minorEastAsia" w:hAnsiTheme="minorEastAsia" w:eastAsiaTheme="minorEastAsia" w:cstheme="minorEastAsia"/>
                <w:b/>
                <w:bCs/>
                <w:sz w:val="24"/>
                <w:highlight w:val="none"/>
              </w:rPr>
              <w:t xml:space="preserve">每有一处内容存在缺陷或不满足</w:t>
            </w:r>
            <w:r>
              <w:rPr>
                <w:rFonts w:hint="eastAsia" w:asciiTheme="minorEastAsia" w:hAnsiTheme="minorEastAsia" w:eastAsiaTheme="minorEastAsia" w:cstheme="minorEastAsia"/>
                <w:b/>
                <w:bCs/>
                <w:sz w:val="24"/>
                <w:highlight w:val="none"/>
                <w:lang w:val="en-US" w:eastAsia="zh-CN"/>
              </w:rPr>
              <w:t xml:space="preserve">需求</w:t>
            </w:r>
            <w:r>
              <w:rPr>
                <w:rFonts w:hint="eastAsia" w:asciiTheme="minorEastAsia" w:hAnsiTheme="minorEastAsia" w:eastAsiaTheme="minorEastAsia" w:cstheme="minorEastAsia"/>
                <w:b/>
                <w:bCs/>
                <w:sz w:val="24"/>
                <w:highlight w:val="none"/>
              </w:rPr>
              <w:t xml:space="preserve">的扣</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rPr>
              <w:t xml:space="preserve">分，扣完为止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缺陷或不满足指</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内容不全面、</w:t>
            </w:r>
            <w:r>
              <w:rPr>
                <w:rFonts w:hint="eastAsia" w:asciiTheme="minorEastAsia" w:hAnsiTheme="minorEastAsia" w:eastAsiaTheme="minorEastAsia" w:cstheme="minorEastAsia"/>
                <w:b/>
                <w:bCs/>
                <w:sz w:val="24"/>
                <w:szCs w:val="24"/>
                <w:highlight w:val="none"/>
              </w:rPr>
              <w:t xml:space="preserve">条理不清晰</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highlight w:val="none"/>
              </w:rPr>
              <w:t xml:space="preserve">与实际需求不符、内容不清晰或交叉混乱、套用其他项目方案、有规范性或常识性错误、有逻辑漏洞、存在无关的事项、凭空编造、存在不可能实现的夸大情形等任意一种情形</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；未提供方案不得分。</w:t>
            </w:r>
            <w:r/>
          </w:p>
        </w:tc>
      </w:tr>
    </w:tbl>
    <w:p>
      <w:pPr>
        <w:pStyle w:val="67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tLeast"/>
        <w:rPr>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Times New Roman"/>
          <w:b/>
          <w:bCs/>
          <w:color w:val="000000"/>
          <w:sz w:val="24"/>
        </w:rPr>
        <w:t xml:space="preserve">备注：</w:t>
      </w:r>
      <w:r/>
    </w:p>
    <w:p>
      <w:pPr>
        <w:ind w:firstLine="480"/>
        <w:jc w:val="left"/>
        <w:spacing w:line="360" w:lineRule="atLeast"/>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1、评分标准中要求提供的证明材料均以原件扫描加盖所要求的公章在响应文件中反映，相关证明材料须按要求完整提供且不得涂</w:t>
      </w:r>
      <w:r>
        <w:rPr>
          <w:rFonts w:hint="eastAsia" w:ascii="宋体" w:hAnsi="宋体" w:eastAsia="宋体" w:cs="Times New Roman"/>
          <w:sz w:val="24"/>
        </w:rPr>
        <w:t xml:space="preserve">改</w:t>
      </w:r>
      <w:r>
        <w:rPr>
          <w:rFonts w:hint="eastAsia" w:ascii="宋体" w:hAnsi="宋体" w:eastAsia="宋体" w:cs="Times New Roman"/>
          <w:b/>
          <w:bCs/>
          <w:sz w:val="24"/>
        </w:rPr>
        <w:t xml:space="preserve">，</w:t>
      </w:r>
      <w:r>
        <w:rPr>
          <w:rFonts w:hint="eastAsia" w:ascii="宋体" w:hAnsi="宋体" w:eastAsia="宋体" w:cs="Times New Roman"/>
          <w:b/>
          <w:bCs/>
          <w:color w:val="ff0000"/>
          <w:sz w:val="24"/>
        </w:rPr>
        <w:t xml:space="preserve">本项目所须提供的证明材料均应原件扫描（如原件是彩色件，则扫描件须是彩色），否则不能得分。</w:t>
      </w:r>
      <w:r/>
    </w:p>
    <w:p>
      <w:pPr>
        <w:ind w:firstLine="480"/>
        <w:jc w:val="left"/>
        <w:spacing w:line="360" w:lineRule="atLeast"/>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2、采购人有权在规定的时间内（中标公示或质疑期间及其他采购人明确要求的时间内）对成交供应商或其他供应商提供的与项目需求、评分办法相关的材料等评分依据</w:t>
      </w:r>
      <w:r>
        <w:rPr>
          <w:rFonts w:hint="eastAsia" w:ascii="宋体" w:hAnsi="宋体" w:eastAsia="宋体" w:cs="Times New Roman"/>
          <w:b/>
          <w:bCs/>
          <w:color w:val="ff0000"/>
          <w:sz w:val="24"/>
        </w:rPr>
        <w:t xml:space="preserve">（原件）</w:t>
      </w:r>
      <w:r>
        <w:rPr>
          <w:rFonts w:hint="eastAsia" w:ascii="宋体" w:hAnsi="宋体" w:eastAsia="宋体" w:cs="Times New Roman"/>
          <w:color w:val="000000"/>
          <w:sz w:val="24"/>
        </w:rPr>
        <w:t xml:space="preserve">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0"/>
        <w:jc w:val="left"/>
        <w:spacing w:line="360" w:lineRule="atLeast"/>
        <w:rPr>
          <w:rFonts w:hint="eastAsia" w:ascii="宋体" w:hAnsi="宋体" w:cs="宋体"/>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rPr>
        <w:t xml:space="preserve">3、</w:t>
      </w:r>
      <w:r>
        <w:rPr>
          <w:rFonts w:hint="eastAsia" w:ascii="宋体" w:hAnsi="宋体" w:eastAsia="宋体" w:cs="Times New Roman"/>
          <w:color w:val="000000"/>
          <w:sz w:val="24"/>
        </w:rPr>
        <w:t xml:space="preserve">评分中涉及的证书/评价报告等应在有效期内，且在磋商文件上网前取得。</w:t>
      </w:r>
      <w:r/>
    </w:p>
    <w:p>
      <w:pPr>
        <w:pStyle w:val="679"/>
        <w:ind w:left="0" w:firstLine="0"/>
        <w:rPr>
          <w:rFonts w:hint="eastAsia" w:ascii="宋体" w:hAnsi="宋体" w:cs="宋体"/>
          <w:bCs/>
          <w:szCs w:val="21"/>
          <w:lang w:val="zh-TW" w:eastAsia="zh-TW"/>
        </w:rPr>
      </w:pPr>
      <w:r>
        <w:rPr>
          <w:rFonts w:hint="eastAsia" w:ascii="宋体" w:hAnsi="宋体" w:cs="宋体"/>
          <w:bCs/>
          <w:szCs w:val="21"/>
          <w:lang w:val="zh-TW" w:eastAsia="zh-TW"/>
        </w:rPr>
      </w:r>
      <w:r/>
    </w:p>
    <w:p>
      <w:pPr>
        <w:pStyle w:val="67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7"/>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7"/>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7"/>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7"/>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7"/>
        <w:jc w:val="center"/>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响应文件格式</w:t>
      </w:r>
      <w:r/>
    </w:p>
    <w:p>
      <w:pPr>
        <w:pStyle w:val="677"/>
        <w:jc w:val="center"/>
        <w:spacing w:beforeAutospacing="0" w:afterAutospacing="0"/>
        <w:rPr>
          <w:rFonts w:hint="eastAsia" w:ascii="宋体" w:hAnsi="宋体" w:eastAsia="宋体" w:cs="宋体"/>
          <w:b/>
          <w:color w:val="auto"/>
          <w:sz w:val="72"/>
          <w:szCs w:val="72"/>
          <w:highlight w:val="none"/>
        </w:rPr>
      </w:pPr>
      <w:r/>
      <w:bookmarkStart w:id="174" w:name="_Toc49090576"/>
      <w:r/>
      <w:bookmarkEnd w:id="174"/>
      <w:r/>
      <w:bookmarkStart w:id="175" w:name="_Toc120614282"/>
      <w:r/>
      <w:bookmarkEnd w:id="175"/>
      <w:r/>
      <w:bookmarkStart w:id="176" w:name="_Hlt26955039"/>
      <w:r/>
      <w:bookmarkStart w:id="177" w:name="_Hlt26671244"/>
      <w:r/>
      <w:bookmarkStart w:id="178" w:name="_Toc26554094"/>
      <w:r/>
      <w:r/>
    </w:p>
    <w:p>
      <w:pPr>
        <w:pStyle w:val="677"/>
        <w:jc w:val="center"/>
        <w:spacing w:beforeAutospacing="0" w:afterAutospacing="0"/>
        <w:rPr>
          <w:color w:val="auto"/>
          <w:highlight w:val="none"/>
        </w:rPr>
        <w:outlineLvl w:val="0"/>
      </w:pPr>
      <w:r>
        <w:rPr>
          <w:rFonts w:hint="eastAsia" w:ascii="宋体" w:hAnsi="宋体" w:eastAsia="宋体" w:cs="宋体"/>
          <w:b/>
          <w:color w:val="auto"/>
          <w:sz w:val="72"/>
          <w:szCs w:val="72"/>
          <w:highlight w:val="none"/>
        </w:rPr>
        <w:t xml:space="preserve">响  应  文  件</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7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7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7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7"/>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rPr>
          <w:rFonts w:hint="eastAsia" w:asciiTheme="minorEastAsia" w:hAnsiTheme="minorEastAsia" w:cstheme="minorEastAsia"/>
          <w:i w:val="0"/>
          <w:iCs/>
          <w:color w:val="auto"/>
          <w:sz w:val="24"/>
          <w:szCs w:val="24"/>
          <w:highlight w:val="none"/>
          <w:u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表</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rPr>
          <w:rFonts w:hint="eastAsia" w:asciiTheme="minorEastAsia" w:hAnsiTheme="minorEastAsia" w:cstheme="minorEastAsia"/>
          <w:i w:val="0"/>
          <w:iCs/>
          <w:color w:val="auto"/>
          <w:sz w:val="24"/>
          <w:szCs w:val="24"/>
          <w:highlight w:val="none"/>
          <w:u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cstheme="minorEastAsia"/>
          <w:i w:val="0"/>
          <w:iCs/>
          <w:color w:val="auto"/>
          <w:sz w:val="24"/>
          <w:szCs w:val="24"/>
          <w:highlight w:val="none"/>
          <w:u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、资格性审查响应对照表</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、符合性检查响应对照表</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ind w:firstLine="480"/>
        <w:keepLines w:val="0"/>
        <w:keepNext w:val="0"/>
        <w:pageBreakBefore w:val="0"/>
        <w:spacing w:before="50" w:after="50" w:line="360" w:lineRule="exact"/>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677"/>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77"/>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rFonts w:hint="eastAsia" w:ascii="黑体" w:hAnsi="宋体" w:eastAsia="黑体" w:cs="黑体"/>
          <w:i/>
          <w:color w:val="auto"/>
          <w:sz w:val="32"/>
          <w:szCs w:val="32"/>
          <w:highlight w:val="none"/>
          <w:u w:val="single"/>
          <w:lang w:eastAsia="zh-CN"/>
        </w:rPr>
        <w:t xml:space="preserve">；</w:t>
      </w:r>
      <w:r/>
    </w:p>
    <w:p>
      <w:pPr>
        <w:pStyle w:val="677"/>
        <w:ind w:firstLine="480"/>
        <w:jc w:val="both"/>
        <w:spacing w:beforeAutospacing="0" w:afterAutospacing="0" w:line="0" w:lineRule="atLeast"/>
        <w:rPr>
          <w:color w:val="auto"/>
          <w:highlight w:val="none"/>
        </w:rPr>
      </w:pPr>
      <w:r>
        <w:rPr>
          <w:color w:val="auto"/>
          <w:highlight w:val="none"/>
        </w:rPr>
        <w:t xml:space="preserve"> </w:t>
      </w:r>
      <w:r/>
    </w:p>
    <w:p>
      <w:pPr>
        <w:pStyle w:val="677"/>
        <w:jc w:val="both"/>
        <w:spacing w:beforeAutospacing="0" w:afterAutospacing="0"/>
        <w:rPr>
          <w:rFonts w:hint="eastAsia" w:eastAsia="黑体"/>
          <w:color w:val="auto"/>
          <w:highlight w:val="none"/>
          <w:lang w:val="en-US" w:eastAsia="zh-CN"/>
        </w:rPr>
        <w:outlineLvl w:val="0"/>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（至少提供资产负债表、利润表、现金流量表，磋商供应商成立不满一年无需提供）；</w:t>
      </w:r>
      <w:r/>
    </w:p>
    <w:p>
      <w:pPr>
        <w:pStyle w:val="677"/>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rFonts w:hint="eastAsia" w:ascii="黑体" w:hAnsi="宋体" w:eastAsia="黑体" w:cs="黑体"/>
          <w:i/>
          <w:color w:val="auto"/>
          <w:sz w:val="32"/>
          <w:szCs w:val="32"/>
          <w:highlight w:val="none"/>
          <w:u w:val="single"/>
          <w:lang w:eastAsia="zh-CN"/>
        </w:rPr>
        <w:t xml:space="preserve">；</w:t>
      </w:r>
      <w:r/>
    </w:p>
    <w:p>
      <w:pPr>
        <w:pStyle w:val="67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7"/>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77"/>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rFonts w:hint="eastAsia" w:ascii="黑体" w:hAnsi="宋体" w:eastAsia="黑体" w:cs="黑体"/>
          <w:i/>
          <w:color w:val="auto"/>
          <w:sz w:val="32"/>
          <w:szCs w:val="32"/>
          <w:highlight w:val="none"/>
          <w:u w:val="single"/>
          <w:lang w:eastAsia="zh-CN"/>
        </w:rPr>
        <w:t xml:space="preserve">；</w:t>
      </w:r>
      <w:r/>
    </w:p>
    <w:p>
      <w:pPr>
        <w:pStyle w:val="67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提供提交磋商响应文件截止时间前一年内至少一个月依法缴纳税收及缴纳社会保障资金的证明材料。磋商供应商依法享受缓缴、免缴税收、社会保障资金的提供证明材料。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auto"/>
          <w:sz w:val="32"/>
          <w:szCs w:val="32"/>
          <w:highlight w:val="none"/>
          <w:u w:val="single"/>
          <w:lang w:eastAsia="zh-CN"/>
        </w:rPr>
        <w:t xml:space="preserve">；</w:t>
      </w:r>
      <w:r/>
    </w:p>
    <w:p>
      <w:pPr>
        <w:pStyle w:val="677"/>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77"/>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六、特定资格要求的证明文件</w:t>
      </w:r>
      <w:r>
        <w:rPr>
          <w:rFonts w:hint="eastAsia" w:ascii="黑体" w:hAnsi="宋体" w:eastAsia="黑体" w:cs="黑体"/>
          <w:i/>
          <w:color w:val="auto"/>
          <w:sz w:val="32"/>
          <w:szCs w:val="32"/>
          <w:highlight w:val="none"/>
          <w:u w:val="single"/>
          <w:lang w:eastAsia="zh-CN"/>
        </w:rPr>
        <w:t xml:space="preserve">；</w:t>
      </w:r>
      <w:r/>
    </w:p>
    <w:p>
      <w:pPr>
        <w:pStyle w:val="67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7"/>
        <w:jc w:val="center"/>
        <w:spacing w:beforeAutospacing="0" w:afterAutospacing="0"/>
        <w:rPr>
          <w:rFonts w:ascii="黑体" w:hAnsi="宋体" w:eastAsia="黑体" w:cs="黑体"/>
          <w:i/>
          <w:color w:val="auto"/>
          <w:sz w:val="32"/>
          <w:szCs w:val="32"/>
          <w:highlight w:val="none"/>
          <w:u w:val="single"/>
        </w:rPr>
      </w:pPr>
      <w:r/>
      <w:bookmarkStart w:id="179" w:name="_Toc120614284"/>
      <w:r/>
      <w:r/>
    </w:p>
    <w:p>
      <w:pPr>
        <w:pStyle w:val="67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7"/>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rPr>
        <w:t xml:space="preserve">七、法人授权书</w:t>
      </w:r>
      <w:r/>
    </w:p>
    <w:p>
      <w:pPr>
        <w:ind w:firstLine="480"/>
        <w:spacing w:line="480" w:lineRule="auto"/>
        <w:tabs>
          <w:tab w:val="left" w:pos="360" w:leader="none"/>
        </w:tabs>
        <w:rPr>
          <w:rFonts w:hint="eastAsia" w:hAnsi="宋体" w:eastAsia="宋体" w:cs="宋体"/>
          <w:sz w:val="24"/>
        </w:rPr>
      </w:pPr>
      <w:r/>
      <w:bookmarkStart w:id="180" w:name="_Hlt26955070"/>
      <w:r/>
      <w:bookmarkStart w:id="181" w:name="_格式3__银行出具的资信证明"/>
      <w:r/>
      <w:bookmarkStart w:id="182" w:name="_Hlt26671380"/>
      <w:r>
        <w:rPr>
          <w:rFonts w:hint="eastAsia" w:hAnsi="宋体" w:eastAsia="宋体" w:cs="宋体"/>
          <w:sz w:val="24"/>
        </w:rPr>
        <w:t xml:space="preserve">本授权书声明：</w:t>
      </w:r>
      <w:r>
        <w:rPr>
          <w:rFonts w:hint="eastAsia" w:hAnsi="宋体" w:eastAsia="宋体" w:cs="宋体"/>
          <w:sz w:val="24"/>
          <w:u w:val="single"/>
        </w:rPr>
        <w:t xml:space="preserve">（供应商名称）</w:t>
      </w:r>
      <w:r>
        <w:rPr>
          <w:rFonts w:hint="eastAsia" w:hAnsi="宋体" w:eastAsia="宋体" w:cs="宋体"/>
          <w:sz w:val="24"/>
          <w:u w:val="single"/>
          <w:lang w:val="en-US" w:eastAsia="zh-CN"/>
        </w:rPr>
        <w:t xml:space="preserve">   </w:t>
      </w:r>
      <w:r>
        <w:rPr>
          <w:rFonts w:hint="eastAsia" w:hAnsi="宋体" w:eastAsia="宋体" w:cs="宋体"/>
          <w:sz w:val="24"/>
        </w:rPr>
        <w:t xml:space="preserve">授权__</w:t>
      </w:r>
      <w:r>
        <w:rPr>
          <w:rFonts w:hint="eastAsia" w:hAnsi="宋体" w:eastAsia="宋体" w:cs="宋体"/>
          <w:sz w:val="24"/>
          <w:u w:val="single"/>
        </w:rPr>
        <w:t xml:space="preserve">_（被授权人的姓名）</w:t>
      </w:r>
      <w:r>
        <w:rPr>
          <w:rFonts w:hint="eastAsia" w:hAnsi="宋体" w:eastAsia="宋体" w:cs="宋体"/>
          <w:sz w:val="24"/>
          <w:u w:val="single"/>
          <w:lang w:val="en-US" w:eastAsia="zh-CN"/>
        </w:rPr>
        <w:t xml:space="preserve">  </w:t>
      </w:r>
      <w:r>
        <w:rPr>
          <w:rFonts w:hint="eastAsia" w:hAnsi="宋体" w:eastAsia="宋体" w:cs="宋体"/>
          <w:sz w:val="24"/>
        </w:rPr>
        <w:t xml:space="preserve">为我方就</w:t>
      </w:r>
      <w:r>
        <w:rPr>
          <w:rFonts w:hint="eastAsia" w:hAnsi="宋体" w:eastAsia="宋体" w:cs="宋体"/>
          <w:sz w:val="24"/>
          <w:u w:val="single"/>
        </w:rPr>
        <w:t xml:space="preserve"> （项目名称、项目编号）  </w:t>
      </w:r>
      <w:r>
        <w:rPr>
          <w:rFonts w:hint="eastAsia" w:hAnsi="宋体" w:eastAsia="宋体" w:cs="宋体"/>
          <w:sz w:val="24"/>
        </w:rPr>
        <w:t xml:space="preserve">项目采购活动的合法代理人，以本单位名义全权处理一切与该项目采购有关的事务。</w:t>
      </w:r>
      <w:r/>
    </w:p>
    <w:p>
      <w:pPr>
        <w:ind w:firstLine="480"/>
        <w:spacing w:line="480" w:lineRule="auto"/>
        <w:tabs>
          <w:tab w:val="left" w:pos="360" w:leader="none"/>
        </w:tabs>
        <w:rPr>
          <w:rFonts w:hint="eastAsia" w:hAnsi="宋体" w:eastAsia="宋体" w:cs="宋体"/>
          <w:sz w:val="24"/>
        </w:rPr>
      </w:pPr>
      <w:r>
        <w:rPr>
          <w:rFonts w:hint="eastAsia" w:hAnsi="宋体" w:eastAsia="宋体" w:cs="宋体"/>
          <w:sz w:val="24"/>
        </w:rPr>
        <w:t xml:space="preserve">本授权书于______年____月____日起生效，特此声明。</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被授权人身份证号码：</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被授权人联系电话：（手机）</w:t>
      </w:r>
      <w:r/>
    </w:p>
    <w:p>
      <w:pPr>
        <w:ind w:firstLine="1200"/>
        <w:spacing w:line="480" w:lineRule="auto"/>
        <w:tabs>
          <w:tab w:val="left" w:pos="360" w:leader="none"/>
        </w:tabs>
        <w:rPr>
          <w:rFonts w:hint="eastAsia" w:hAnsi="宋体" w:eastAsia="宋体" w:cs="宋体"/>
          <w:sz w:val="24"/>
        </w:rPr>
      </w:pPr>
      <w:r>
        <w:rPr>
          <w:rFonts w:hint="eastAsia" w:hAnsi="宋体" w:eastAsia="宋体" w:cs="宋体"/>
          <w:sz w:val="24"/>
        </w:rPr>
        <w:t xml:space="preserve">授权单位名称：</w:t>
      </w:r>
      <w:r>
        <w:rPr>
          <w:rFonts w:hint="eastAsia" w:hAnsi="宋体" w:eastAsia="宋体" w:cs="宋体"/>
          <w:sz w:val="24"/>
          <w:u w:val="single"/>
        </w:rPr>
        <w:t xml:space="preserve">（加盖CA电子公章）</w:t>
      </w:r>
      <w:r/>
    </w:p>
    <w:p>
      <w:pPr>
        <w:ind w:firstLine="480"/>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单位地址：</w:t>
      </w:r>
      <w:r/>
    </w:p>
    <w:p>
      <w:pPr>
        <w:ind w:firstLine="480"/>
        <w:spacing w:line="480" w:lineRule="auto"/>
        <w:tabs>
          <w:tab w:val="left" w:pos="360" w:leader="none"/>
        </w:tabs>
        <w:rPr>
          <w:rFonts w:hint="eastAsia" w:hAnsi="宋体" w:eastAsia="宋体"/>
          <w:color w:val="000000"/>
        </w:rPr>
      </w:pPr>
      <w:r>
        <w:rPr>
          <w:rFonts w:hint="eastAsia" w:hAnsi="宋体" w:eastAsia="宋体" w:cs="宋体"/>
          <w:sz w:val="24"/>
        </w:rPr>
        <w:t xml:space="preserve">      日期：</w:t>
      </w:r>
      <w:r/>
    </w:p>
    <w:p>
      <w:pPr>
        <w:rPr>
          <w:rFonts w:hint="eastAsia" w:hAnsi="宋体" w:eastAsia="宋体"/>
          <w:color w:val="000000"/>
        </w:rPr>
      </w:pPr>
      <w:r>
        <w:rPr>
          <w:rFonts w:hint="eastAsia" w:hAnsi="宋体" w:eastAsia="宋体"/>
          <w:color w:val="000000"/>
        </w:rPr>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r>
    </w:tbl>
    <w:p>
      <w:pPr>
        <w:pStyle w:val="67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7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77"/>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7"/>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77"/>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77"/>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77"/>
        <w:jc w:val="both"/>
        <w:spacing w:beforeAutospacing="0" w:afterAutospacing="0"/>
        <w:rPr>
          <w:color w:val="auto"/>
          <w:highlight w:val="none"/>
        </w:rPr>
      </w:pPr>
      <w:r>
        <w:rPr>
          <w:color w:val="auto"/>
          <w:highlight w:val="none"/>
        </w:rPr>
        <w:t xml:space="preserve"> </w:t>
      </w:r>
      <w:r/>
    </w:p>
    <w:p>
      <w:pPr>
        <w:pStyle w:val="677"/>
        <w:jc w:val="center"/>
        <w:keepLines/>
        <w:keepNext/>
        <w:spacing w:before="260" w:beforeAutospacing="0" w:after="260" w:afterAutospacing="0" w:line="415" w:lineRule="auto"/>
        <w:rPr>
          <w:color w:val="auto"/>
          <w:highlight w:val="none"/>
        </w:rPr>
        <w:outlineLvl w:val="0"/>
      </w:pPr>
      <w:r>
        <w:rPr>
          <w:rFonts w:hint="eastAsia" w:ascii="黑体" w:hAnsi="宋体" w:eastAsia="黑体" w:cs="黑体"/>
          <w:b/>
          <w:i/>
          <w:color w:val="auto"/>
          <w:sz w:val="32"/>
          <w:szCs w:val="32"/>
          <w:highlight w:val="none"/>
          <w:u w:val="single"/>
        </w:rPr>
        <w:t xml:space="preserve">八、磋商响应函</w:t>
      </w:r>
      <w:r/>
    </w:p>
    <w:p>
      <w:pPr>
        <w:pStyle w:val="677"/>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致：射阳县自然资源和规划局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射阳宏远财会服务有限公司</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JSZC-320924-SYHY-C2026-000</w:t>
      </w:r>
      <w:r>
        <w:rPr>
          <w:rFonts w:hint="eastAsia" w:ascii="宋体" w:hAnsi="宋体" w:eastAsia="宋体" w:cs="宋体"/>
          <w:color w:val="auto"/>
          <w:highlight w:val="none"/>
          <w:u w:val="single"/>
          <w:lang w:val="en-US" w:eastAsia="zh-CN"/>
        </w:rPr>
        <w:t xml:space="preserve">8</w:t>
      </w:r>
      <w:r>
        <w:rPr>
          <w:rFonts w:hint="eastAsia" w:ascii="宋体" w:hAnsi="宋体" w:eastAsia="宋体" w:cs="宋体"/>
          <w:color w:val="auto"/>
          <w:highlight w:val="none"/>
        </w:rPr>
        <w:t xml:space="preserve">号磋商文件，正式授权下述签字人</w:t>
      </w:r>
      <w:r>
        <w:rPr>
          <w:rFonts w:hint="eastAsia" w:ascii="宋体" w:hAnsi="宋体" w:eastAsia="宋体" w:cs="宋体"/>
          <w:color w:val="auto"/>
          <w:highlight w:val="none"/>
          <w:u w:val="single"/>
        </w:rPr>
        <w:t xml:space="preserve">(姓名)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代表我方</w:t>
      </w:r>
      <w:r>
        <w:rPr>
          <w:rFonts w:hint="eastAsia" w:ascii="宋体" w:hAnsi="宋体" w:eastAsia="宋体" w:cs="宋体"/>
          <w:color w:val="auto"/>
          <w:highlight w:val="none"/>
          <w:u w:val="single"/>
        </w:rPr>
        <w:t xml:space="preserve">（供应商的名称）</w:t>
      </w:r>
      <w:r>
        <w:rPr>
          <w:rFonts w:hint="eastAsia" w:ascii="宋体" w:hAnsi="宋体" w:eastAsia="宋体" w:cs="宋体"/>
          <w:color w:val="auto"/>
          <w:highlight w:val="none"/>
        </w:rPr>
        <w:t xml:space="preserve">，全权处理本次项目磋商的有关事宜。</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1.按磋商文件规定的各项要求，向买方提供所需服务（包含与服务相关的货物）。</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77"/>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77"/>
        <w:ind w:left="425"/>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地          址：</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邮          编：</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电          话：</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账          号： </w:t>
      </w:r>
      <w:r/>
    </w:p>
    <w:p>
      <w:pPr>
        <w:pStyle w:val="677"/>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77"/>
        <w:ind w:firstLine="240"/>
        <w:jc w:val="center"/>
        <w:spacing w:beforeAutospacing="0" w:afterAutospacing="0" w:line="0" w:lineRule="atLeast"/>
        <w:rPr>
          <w:color w:val="auto"/>
          <w:highlight w:val="none"/>
        </w:rPr>
      </w:pPr>
      <w:r>
        <w:rPr>
          <w:color w:val="auto"/>
          <w:highlight w:val="none"/>
        </w:rPr>
        <w:t xml:space="preserve"> </w:t>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r>
      <w:r/>
    </w:p>
    <w:p>
      <w:pPr>
        <w:pStyle w:val="677"/>
        <w:ind w:firstLine="240"/>
        <w:jc w:val="center"/>
        <w:spacing w:beforeAutospacing="0" w:afterAutospacing="0" w:line="0" w:lineRule="atLeast"/>
        <w:rPr>
          <w:color w:val="auto"/>
          <w:highlight w:val="none"/>
        </w:rPr>
      </w:pPr>
      <w:r>
        <w:rPr>
          <w:color w:val="auto"/>
          <w:highlight w:val="none"/>
        </w:rPr>
        <w:t xml:space="preserve"> </w:t>
      </w:r>
      <w:r/>
    </w:p>
    <w:p>
      <w:pPr>
        <w:pStyle w:val="677"/>
        <w:ind w:firstLine="240"/>
        <w:jc w:val="center"/>
        <w:spacing w:beforeAutospacing="0" w:afterAutospacing="0" w:line="0" w:lineRule="atLeast"/>
        <w:rPr>
          <w:color w:val="auto"/>
          <w:highlight w:val="none"/>
        </w:rPr>
      </w:pPr>
      <w:r>
        <w:rPr>
          <w:color w:val="auto"/>
          <w:highlight w:val="none"/>
        </w:rPr>
        <w:t xml:space="preserve"> </w:t>
      </w:r>
      <w:r/>
    </w:p>
    <w:p>
      <w:pPr>
        <w:pStyle w:val="677"/>
        <w:ind w:firstLine="240"/>
        <w:jc w:val="center"/>
        <w:spacing w:beforeAutospacing="0" w:afterAutospacing="0" w:line="0" w:lineRule="atLeast"/>
        <w:rPr>
          <w:color w:val="auto"/>
          <w:highlight w:val="none"/>
        </w:rPr>
      </w:pPr>
      <w:r>
        <w:rPr>
          <w:color w:val="auto"/>
          <w:highlight w:val="none"/>
        </w:rPr>
        <w:t xml:space="preserve"> </w:t>
      </w:r>
      <w:r/>
    </w:p>
    <w:p>
      <w:pPr>
        <w:pStyle w:val="677"/>
        <w:ind w:firstLine="240"/>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i/>
          <w:iCs/>
          <w:color w:val="auto"/>
          <w:highlight w:val="none"/>
          <w:u w:val="single"/>
        </w:rPr>
        <w:outlineLvl w:val="0"/>
      </w:pPr>
      <w:r>
        <w:rPr>
          <w:i/>
          <w:iCs/>
          <w:color w:val="auto"/>
          <w:highlight w:val="none"/>
          <w:u w:val="single"/>
        </w:rPr>
        <w:t xml:space="preserve"> </w:t>
      </w: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企业声明函（服务）</w:t>
      </w:r>
      <w:r/>
    </w:p>
    <w:p>
      <w:pPr>
        <w:ind w:firstLine="480"/>
        <w:jc w:val="both"/>
        <w:spacing w:line="500" w:lineRule="exact"/>
        <w:rPr>
          <w:rFonts w:hint="eastAsia" w:asciiTheme="minorEastAsia" w:hAnsiTheme="minorEastAsia" w:eastAsiaTheme="minorEastAsia" w:cstheme="minorEastAsia"/>
          <w:b w:val="0"/>
          <w:bCs w:val="0"/>
          <w:color w:val="auto"/>
          <w:sz w:val="24"/>
          <w:highlight w:val="none"/>
          <w:u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u w:val="single"/>
        </w:rPr>
        <w:t xml:space="preserve">射阳宏远财会服务有限公司</w:t>
      </w:r>
      <w:r>
        <w:rPr>
          <w:rFonts w:hint="eastAsia"/>
          <w:color w:val="auto"/>
          <w:sz w:val="24"/>
          <w:highlight w:val="none"/>
        </w:rPr>
        <w:t xml:space="preserve">组织的</w:t>
      </w:r>
      <w:r>
        <w:rPr>
          <w:rFonts w:hint="eastAsia"/>
          <w:i w:val="0"/>
          <w:iCs w:val="0"/>
          <w:color w:val="auto"/>
          <w:sz w:val="24"/>
          <w:szCs w:val="24"/>
          <w:highlight w:val="none"/>
          <w:u w:val="single"/>
        </w:rPr>
        <w:t xml:space="preserve">射阳县自然资源和规划局</w:t>
      </w:r>
      <w:r>
        <w:rPr>
          <w:rFonts w:hint="eastAsia"/>
          <w:i w:val="0"/>
          <w:iCs w:val="0"/>
          <w:color w:val="auto"/>
          <w:sz w:val="24"/>
          <w:szCs w:val="20"/>
          <w:highlight w:val="none"/>
        </w:rPr>
        <w:t xml:space="preserve">，</w:t>
      </w:r>
      <w:r>
        <w:rPr>
          <w:rFonts w:hint="eastAsia"/>
          <w:color w:val="auto"/>
          <w:sz w:val="24"/>
          <w:highlight w:val="none"/>
        </w:rPr>
        <w:t xml:space="preserve">采购编号</w:t>
      </w:r>
      <w:r>
        <w:rPr>
          <w:rFonts w:hint="eastAsia" w:asciiTheme="minorEastAsia" w:hAnsiTheme="minorEastAsia" w:eastAsiaTheme="minorEastAsia" w:cstheme="minorEastAsia"/>
          <w:b w:val="0"/>
          <w:bCs w:val="0"/>
          <w:color w:val="auto"/>
          <w:sz w:val="24"/>
          <w:highlight w:val="none"/>
          <w:u w:val="none"/>
        </w:rPr>
        <w:t xml:space="preserve">为</w:t>
      </w:r>
      <w:r>
        <w:rPr>
          <w:rFonts w:hint="eastAsia" w:asciiTheme="minorEastAsia" w:hAnsiTheme="minorEastAsia" w:eastAsiaTheme="minorEastAsia" w:cstheme="minorEastAsia"/>
          <w:b w:val="0"/>
          <w:bCs w:val="0"/>
          <w:color w:val="auto"/>
          <w:sz w:val="24"/>
          <w:highlight w:val="none"/>
          <w:u w:val="none"/>
          <w:lang w:val="en-US" w:eastAsia="zh-CN"/>
        </w:rPr>
        <w:t xml:space="preserve"> </w:t>
      </w:r>
      <w:r>
        <w:rPr>
          <w:rFonts w:hint="eastAsia" w:asciiTheme="minorEastAsia" w:hAnsiTheme="minorEastAsia" w:eastAsiaTheme="minorEastAsia" w:cstheme="minorEastAsia"/>
          <w:b w:val="0"/>
          <w:bCs w:val="0"/>
          <w:color w:val="auto"/>
          <w:sz w:val="24"/>
          <w:highlight w:val="none"/>
          <w:u w:val="single"/>
          <w:lang w:val="en-US" w:eastAsia="zh-CN"/>
        </w:rPr>
        <w:t xml:space="preserve">JSZC-320924-SYHY-C2026-000</w:t>
      </w:r>
      <w:r>
        <w:rPr>
          <w:rFonts w:hint="eastAsia" w:asciiTheme="minorEastAsia" w:hAnsiTheme="minorEastAsia" w:cstheme="minorEastAsia"/>
          <w:b w:val="0"/>
          <w:bCs w:val="0"/>
          <w:color w:val="auto"/>
          <w:sz w:val="24"/>
          <w:highlight w:val="none"/>
          <w:u w:val="single"/>
          <w:lang w:val="en-US" w:eastAsia="zh-CN"/>
        </w:rPr>
        <w:t xml:space="preserve">8</w:t>
      </w:r>
      <w:r>
        <w:rPr>
          <w:rFonts w:hint="eastAsia" w:asciiTheme="minorEastAsia" w:hAnsiTheme="minorEastAsia" w:eastAsiaTheme="minorEastAsia" w:cstheme="minorEastAsia"/>
          <w:b w:val="0"/>
          <w:bCs w:val="0"/>
          <w:color w:val="auto"/>
          <w:sz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highlight w:val="none"/>
          <w:u w:val="none"/>
          <w:lang w:val="en-US" w:eastAsia="zh-CN"/>
        </w:rPr>
        <w:t xml:space="preserve">的</w:t>
      </w:r>
      <w:r>
        <w:rPr>
          <w:rFonts w:hint="eastAsia" w:asciiTheme="minorEastAsia" w:hAnsiTheme="minorEastAsia" w:eastAsiaTheme="minorEastAsia" w:cstheme="minorEastAsia"/>
          <w:b w:val="0"/>
          <w:bCs w:val="0"/>
          <w:i w:val="0"/>
          <w:iCs w:val="0"/>
          <w:color w:val="auto"/>
          <w:sz w:val="24"/>
          <w:highlight w:val="none"/>
          <w:u w:val="single"/>
        </w:rPr>
        <w:t xml:space="preserve">射阳县自然资源和规划局2026年度射阳县地形图测绘成果更新维护项目</w:t>
      </w:r>
      <w:r>
        <w:rPr>
          <w:rFonts w:hint="eastAsia" w:asciiTheme="minorEastAsia" w:hAnsiTheme="minorEastAsia" w:eastAsiaTheme="minorEastAsia" w:cstheme="minorEastAsia"/>
          <w:b w:val="0"/>
          <w:bCs w:val="0"/>
          <w:color w:val="auto"/>
          <w:sz w:val="24"/>
          <w:highlight w:val="none"/>
          <w:u w:val="none"/>
        </w:rPr>
        <w:t xml:space="preserve">的采购活动，服务全部由符合政策要求的中小企业承接。相关企业的具体情况如下：</w:t>
      </w:r>
      <w:r/>
    </w:p>
    <w:p>
      <w:pPr>
        <w:numPr>
          <w:ilvl w:val="0"/>
          <w:numId w:val="1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asciiTheme="minorEastAsia" w:hAnsiTheme="minorEastAsia" w:eastAsiaTheme="minorEastAsia" w:cstheme="minorEastAsia"/>
          <w:color w:val="auto"/>
          <w:sz w:val="24"/>
          <w:szCs w:val="24"/>
          <w:highlight w:val="none"/>
          <w:u w:val="single"/>
          <w:shd w:val="clear" w:color="auto" w:fill="auto"/>
        </w:rPr>
        <w:t xml:space="preserve">其他未列明行业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color w:val="auto"/>
          <w:sz w:val="24"/>
          <w:highlight w:val="none"/>
          <w:lang w:eastAsia="zh-CN"/>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77"/>
        <w:ind w:right="720"/>
        <w:jc w:val="both"/>
        <w:spacing w:beforeAutospacing="0" w:afterAutospacing="0" w:line="0" w:lineRule="atLeast"/>
        <w:rPr>
          <w:color w:val="auto"/>
          <w:highlight w:val="none"/>
        </w:rPr>
      </w:pPr>
      <w:r>
        <w:rPr>
          <w:color w:val="auto"/>
          <w:highlight w:val="none"/>
        </w:rPr>
        <w:t xml:space="preserve"> </w:t>
      </w:r>
      <w:r/>
    </w:p>
    <w:p>
      <w:pPr>
        <w:pStyle w:val="67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77"/>
        <w:ind w:right="480" w:firstLine="71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77"/>
        <w:ind w:firstLine="240"/>
        <w:jc w:val="both"/>
        <w:spacing w:beforeAutospacing="0" w:afterAutospacing="0" w:line="0" w:lineRule="atLeast"/>
        <w:rPr>
          <w:color w:val="auto"/>
          <w:highlight w:val="none"/>
        </w:rPr>
      </w:pPr>
      <w:r>
        <w:rPr>
          <w:color w:val="auto"/>
          <w:highlight w:val="none"/>
        </w:rPr>
        <w:t xml:space="preserve"> </w:t>
      </w:r>
      <w:r/>
    </w:p>
    <w:p>
      <w:pPr>
        <w:pStyle w:val="67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7"/>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77"/>
        <w:ind w:firstLine="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射阳县自然资源和规划局</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000000"/>
          <w:sz w:val="24"/>
          <w:szCs w:val="24"/>
          <w:highlight w:val="none"/>
          <w:u w:val="single"/>
        </w:rPr>
        <w:t xml:space="preserve">JSZC-320924-SYHY-C2026-000</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射阳县自然资源和规划局2026年度射阳县地形图测绘成果更新维护项目</w:t>
      </w:r>
      <w:r>
        <w:rPr>
          <w:rFonts w:hint="eastAsia" w:ascii="宋体" w:hAnsi="宋体" w:eastAsia="宋体" w:cs="宋体"/>
          <w:color w:val="000000"/>
          <w:sz w:val="24"/>
          <w:szCs w:val="24"/>
          <w:highlight w:val="none"/>
        </w:rPr>
        <w:t xml:space="preserve">项目采购活动由本单位提供服务。</w:t>
      </w:r>
      <w:r/>
    </w:p>
    <w:p>
      <w:pPr>
        <w:pStyle w:val="67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677"/>
        <w:ind w:firstLine="480"/>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77"/>
        <w:ind w:firstLine="480"/>
        <w:jc w:val="both"/>
        <w:keepLines w:val="0"/>
        <w:keepNext w:val="0"/>
        <w:pageBreakBefore w:val="0"/>
        <w:spacing w:beforeAutospacing="0" w:afterAutospacing="0" w:line="36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。2、成交供应商为残疾人福利单位的，此声明函将随成交结果同时公告，接受社会监督）</w:t>
      </w:r>
      <w:r/>
    </w:p>
    <w:p>
      <w:pPr>
        <w:pStyle w:val="677"/>
        <w:ind w:firstLine="624"/>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77"/>
        <w:ind w:right="1560" w:firstLine="624"/>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77"/>
        <w:ind w:right="1560" w:firstLine="480"/>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rPr>
        <w:t xml:space="preserve">        日  期：</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t xml:space="preserve"> </w:t>
      </w:r>
      <w:r/>
    </w:p>
    <w:p>
      <w:pPr>
        <w:pStyle w:val="677"/>
        <w:jc w:val="center"/>
        <w:spacing w:beforeAutospacing="0" w:afterAutospacing="0" w:line="0" w:lineRule="atLeast"/>
        <w:rPr>
          <w:color w:val="auto"/>
          <w:highlight w:val="none"/>
        </w:rPr>
      </w:pPr>
      <w:r>
        <w:rPr>
          <w:color w:val="auto"/>
          <w:highlight w:val="none"/>
        </w:rPr>
      </w:r>
      <w:r/>
    </w:p>
    <w:p>
      <w:pPr>
        <w:rPr>
          <w:rFonts w:hint="eastAsia" w:ascii="黑体" w:hAnsi="黑体" w:eastAsia="黑体" w:cs="黑体"/>
          <w:b/>
          <w:color w:val="ff0000"/>
          <w:sz w:val="32"/>
          <w:szCs w:val="32"/>
          <w:lang w:val="en-US" w:eastAsia="zh-CN"/>
        </w:rPr>
      </w:pPr>
      <w:r>
        <w:rPr>
          <w:rFonts w:hint="eastAsia" w:ascii="黑体" w:hAnsi="黑体" w:eastAsia="黑体" w:cs="黑体"/>
          <w:b/>
          <w:color w:val="ff0000"/>
          <w:sz w:val="32"/>
          <w:szCs w:val="32"/>
          <w:lang w:val="en-US" w:eastAsia="zh-CN"/>
        </w:rPr>
        <w:br w:type="page" w:clear="all"/>
      </w:r>
      <w:r/>
    </w:p>
    <w:p>
      <w:pPr>
        <w:spacing w:line="241" w:lineRule="auto"/>
        <w:rPr>
          <w:rFonts w:ascii="Arial"/>
          <w:sz w:val="21"/>
          <w:highlight w:val="green"/>
        </w:rPr>
      </w:pPr>
      <w:r>
        <w:rPr>
          <w:rFonts w:ascii="Arial"/>
          <w:sz w:val="21"/>
          <w:highlight w:val="green"/>
        </w:rPr>
      </w:r>
      <w:r/>
    </w:p>
    <w:p>
      <w:pPr>
        <w:pStyle w:val="677"/>
        <w:numPr>
          <w:ilvl w:val="0"/>
          <w:numId w:val="14"/>
        </w:numPr>
        <w:jc w:val="center"/>
        <w:spacing w:beforeAutospacing="0" w:afterAutospacing="0" w:line="0" w:lineRule="atLeast"/>
        <w:rPr>
          <w:rFonts w:hint="eastAsia" w:ascii="黑体" w:hAnsi="宋体" w:eastAsia="黑体" w:cs="黑体"/>
          <w:b/>
          <w:i/>
          <w:iCs/>
          <w:color w:val="auto"/>
          <w:sz w:val="32"/>
          <w:szCs w:val="32"/>
          <w:highlight w:val="none"/>
          <w:u w:val="single"/>
        </w:rPr>
        <w:outlineLvl w:val="0"/>
      </w:pPr>
      <w:r>
        <w:rPr>
          <w:rFonts w:hint="eastAsia" w:ascii="黑体" w:hAnsi="宋体" w:eastAsia="黑体" w:cs="黑体"/>
          <w:b/>
          <w:i/>
          <w:iCs/>
          <w:color w:val="auto"/>
          <w:sz w:val="32"/>
          <w:szCs w:val="32"/>
          <w:highlight w:val="none"/>
          <w:u w:val="single"/>
        </w:rPr>
        <w:t xml:space="preserve">分项报价表</w:t>
      </w:r>
      <w:r/>
    </w:p>
    <w:p>
      <w:pPr>
        <w:ind w:firstLine="210"/>
        <w:jc w:val="right"/>
        <w:keepLines w:val="0"/>
        <w:keepNext w:val="0"/>
        <w:pageBreakBefore w:val="0"/>
        <w:spacing w:line="3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单位（元）</w:t>
      </w:r>
      <w:r/>
    </w:p>
    <w:tbl>
      <w:tblPr>
        <w:tblStyle w:val="665"/>
        <w:tblW w:w="990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75"/>
        <w:gridCol w:w="2066"/>
        <w:gridCol w:w="1080"/>
        <w:gridCol w:w="1448"/>
        <w:gridCol w:w="917"/>
        <w:gridCol w:w="1378"/>
        <w:gridCol w:w="2143"/>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pStyle w:val="693"/>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693"/>
              <w:ind w:firstLine="480"/>
              <w:jc w:val="left"/>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ind w:firstLine="480"/>
              <w:jc w:val="left"/>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93"/>
              <w:ind w:firstLine="480"/>
              <w:jc w:val="left"/>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r>
      <w:tr>
        <w:trPr>
          <w:cantSplit/>
          <w:tblCellSpacing w:w="0" w:type="dxa"/>
          <w:trHeight w:val="302"/>
        </w:trPr>
        <w:tc>
          <w:tcPr>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693"/>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93"/>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分项总价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693"/>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764" w:type="dxa"/>
            <w:vAlign w:val="center"/>
            <w:textDirection w:val="lrTb"/>
            <w:noWrap w:val="false"/>
          </w:tcPr>
          <w:p>
            <w:pPr>
              <w:pStyle w:val="693"/>
              <w:ind w:firstLine="480"/>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总</w:t>
            </w:r>
            <w:r>
              <w:rPr>
                <w:rFonts w:hint="eastAsia" w:ascii="宋体" w:hAnsi="宋体" w:eastAsia="宋体" w:cs="宋体"/>
                <w:sz w:val="24"/>
                <w:szCs w:val="24"/>
                <w:lang w:val="en-US" w:eastAsia="zh-CN"/>
              </w:rPr>
              <w:t xml:space="preserve">报</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693"/>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677"/>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ff0000"/>
          <w:sz w:val="24"/>
          <w:szCs w:val="24"/>
          <w:highlight w:val="none"/>
          <w:shd w:val="clear" w:color="auto" w:fill="auto"/>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报价采用总承包方式，</w:t>
      </w:r>
      <w:r>
        <w:rPr>
          <w:rFonts w:hint="eastAsia" w:asciiTheme="minorEastAsia" w:hAnsiTheme="minorEastAsia" w:eastAsia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的“分项</w:t>
      </w:r>
      <w:r>
        <w:rPr>
          <w:rFonts w:hint="eastAsia" w:asciiTheme="minorEastAsia" w:hAnsiTheme="minorEastAsia" w:eastAsiaTheme="minorEastAsia" w:cstheme="minorEastAsia"/>
          <w:sz w:val="24"/>
          <w:szCs w:val="24"/>
          <w:lang w:val="en-US" w:eastAsia="zh-CN"/>
        </w:rPr>
        <w:t xml:space="preserve">报价表</w:t>
      </w:r>
      <w:r>
        <w:rPr>
          <w:rFonts w:hint="eastAsia" w:asciiTheme="minorEastAsia" w:hAnsiTheme="minorEastAsia" w:eastAsiaTheme="minorEastAsia" w:cstheme="minorEastAsia"/>
          <w:sz w:val="24"/>
          <w:szCs w:val="24"/>
        </w:rPr>
        <w:t xml:space="preserve">”应包括采购人需求的服务（包含与服务相关的产品）价格、质量保证费用、培训费用及售后服务费用，项目在指定地点、环境交付、验收所需费用和所有相关税金费用及为完成整个项目所产生的其它所有费用。</w:t>
      </w:r>
      <w:r/>
    </w:p>
    <w:p>
      <w:pPr>
        <w:pStyle w:val="677"/>
        <w:numPr>
          <w:ilvl w:val="0"/>
          <w:numId w:val="0"/>
        </w:numPr>
        <w:ind w:firstLine="480"/>
        <w:jc w:val="both"/>
        <w:keepLines w:val="0"/>
        <w:keepNext w:val="0"/>
        <w:pageBreakBefore w:val="0"/>
        <w:spacing w:beforeAutospacing="0" w:afterAutospacing="0" w:line="36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2、“分项报价表”中“投标总报价”数额应当与“开标一览表”中“投标总报价”数额一致。</w:t>
      </w:r>
      <w:r/>
    </w:p>
    <w:p>
      <w:pPr>
        <w:pStyle w:val="677"/>
        <w:ind w:firstLine="480"/>
        <w:jc w:val="both"/>
        <w:keepLines w:val="0"/>
        <w:keepNext w:val="0"/>
        <w:pageBreakBefore w:val="0"/>
        <w:spacing w:beforeAutospacing="0" w:afterAutospacing="0" w:line="360" w:lineRule="exact"/>
        <w:widowControl w:val="off"/>
        <w:rPr>
          <w:rFonts w:hint="eastAsia" w:asciiTheme="minorEastAsia" w:hAnsiTheme="minorEastAsia" w:eastAsiaTheme="minorEastAsia" w:cstheme="minorEastAsia"/>
          <w:color w:val="auto"/>
          <w:sz w:val="24"/>
          <w:szCs w:val="24"/>
          <w:lang w:val="zh-CN"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lang w:val="en-US" w:eastAsia="zh-CN"/>
        </w:rPr>
        <w:t xml:space="preserve">、</w:t>
      </w:r>
      <w:r>
        <w:rPr>
          <w:rFonts w:hint="eastAsia" w:asciiTheme="minorEastAsia" w:hAnsiTheme="minorEastAsia" w:eastAsiaTheme="minorEastAsia" w:cstheme="minorEastAsia"/>
          <w:b w:val="0"/>
          <w:bCs w:val="0"/>
          <w:color w:val="auto"/>
          <w:sz w:val="24"/>
          <w:szCs w:val="24"/>
        </w:rPr>
        <w:t xml:space="preserve">小数点后保留两位</w:t>
      </w:r>
      <w:r>
        <w:rPr>
          <w:rFonts w:hint="eastAsia" w:asciiTheme="minorEastAsia" w:hAnsiTheme="minorEastAsia" w:eastAsiaTheme="minorEastAsia" w:cstheme="minorEastAsia"/>
          <w:color w:val="auto"/>
          <w:sz w:val="24"/>
          <w:szCs w:val="24"/>
          <w:lang w:eastAsia="zh-CN"/>
        </w:rPr>
        <w:t xml:space="preserve">。</w:t>
      </w:r>
      <w:r/>
    </w:p>
    <w:p>
      <w:pPr>
        <w:pStyle w:val="677"/>
        <w:jc w:val="both"/>
        <w:keepLines w:val="0"/>
        <w:keepNext w:val="0"/>
        <w:pageBreakBefore w:val="0"/>
        <w:spacing w:beforeAutospacing="0" w:afterAutospacing="0" w:line="360" w:lineRule="exact"/>
        <w:widowControl w:val="off"/>
        <w:rPr>
          <w:b/>
          <w:bCs/>
          <w:color w:val="ff0000"/>
          <w:sz w:val="24"/>
          <w:szCs w:val="24"/>
          <w:highlight w:val="none"/>
        </w:rPr>
      </w:pPr>
      <w:r>
        <w:rPr>
          <w:b/>
          <w:bCs/>
          <w:color w:val="ff0000"/>
          <w:sz w:val="24"/>
          <w:szCs w:val="24"/>
          <w:highlight w:val="none"/>
        </w:rPr>
      </w:r>
      <w:r/>
    </w:p>
    <w:p>
      <w:pPr>
        <w:pStyle w:val="677"/>
        <w:ind w:right="1560" w:firstLine="624"/>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hint="eastAsia"/>
          <w:sz w:val="24"/>
          <w:szCs w:val="24"/>
          <w:highlight w:val="none"/>
          <w:lang w:val="en-US" w:eastAsia="zh-CN"/>
        </w:rPr>
        <w:t xml:space="preserve">                              </w:t>
      </w:r>
      <w:r>
        <w:rPr>
          <w:rFonts w:hint="eastAsia" w:ascii="宋体" w:hAnsi="宋体" w:eastAsia="宋体" w:cs="宋体"/>
          <w:color w:val="auto"/>
          <w:sz w:val="24"/>
          <w:szCs w:val="24"/>
          <w:highlight w:val="none"/>
        </w:rPr>
        <w:t xml:space="preserve">  供应商全称（加盖CA电子公章）：</w:t>
      </w:r>
      <w:r/>
    </w:p>
    <w:p>
      <w:pPr>
        <w:pStyle w:val="677"/>
        <w:ind w:right="1560" w:firstLine="480"/>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rPr>
        <w:t xml:space="preserve">        日  期：</w:t>
      </w:r>
      <w:r/>
    </w:p>
    <w:p>
      <w:pPr>
        <w:pStyle w:val="677"/>
        <w:jc w:val="center"/>
        <w:keepLines w:val="0"/>
        <w:keepNext w:val="0"/>
        <w:pageBreakBefore w:val="0"/>
        <w:spacing w:beforeAutospacing="0" w:afterAutospacing="0" w:line="360" w:lineRule="exact"/>
        <w:widowControl w:val="off"/>
        <w:rPr>
          <w:sz w:val="24"/>
          <w:szCs w:val="24"/>
          <w:highlight w:val="none"/>
        </w:rPr>
      </w:pPr>
      <w:r>
        <w:rPr>
          <w:sz w:val="24"/>
          <w:szCs w:val="24"/>
          <w:highlight w:val="none"/>
        </w:rPr>
      </w:r>
      <w:r/>
    </w:p>
    <w:p>
      <w:pPr>
        <w:pStyle w:val="677"/>
        <w:jc w:val="both"/>
        <w:spacing w:beforeAutospacing="0" w:afterAutospacing="0"/>
        <w:rPr>
          <w:color w:val="auto"/>
          <w:highlight w:val="none"/>
          <w:shd w:val="clear" w:color="auto" w:fill="auto"/>
        </w:rPr>
      </w:pPr>
      <w:r>
        <w:rPr>
          <w:color w:val="auto"/>
          <w:highlight w:val="none"/>
          <w:shd w:val="clear" w:color="auto" w:fill="auto"/>
        </w:rPr>
      </w:r>
      <w:r/>
    </w:p>
    <w:p>
      <w:pPr>
        <w:pStyle w:val="67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77"/>
        <w:jc w:val="center"/>
        <w:spacing w:beforeAutospacing="0" w:afterAutospacing="0"/>
        <w:rPr>
          <w:rFonts w:hint="eastAsia" w:ascii="黑体" w:hAnsi="宋体" w:eastAsia="黑体" w:cs="黑体"/>
          <w:b/>
          <w:i/>
          <w:iCs/>
          <w:color w:val="000000"/>
          <w:sz w:val="32"/>
          <w:szCs w:val="32"/>
          <w:u w:val="single"/>
        </w:rPr>
        <w:outlineLvl w:val="0"/>
      </w:pPr>
      <w:r>
        <w:rPr>
          <w:rFonts w:hint="eastAsia" w:ascii="黑体" w:hAnsi="宋体" w:eastAsia="黑体" w:cs="黑体"/>
          <w:b/>
          <w:i/>
          <w:iCs/>
          <w:color w:val="000000"/>
          <w:sz w:val="32"/>
          <w:szCs w:val="32"/>
          <w:u w:val="single"/>
          <w:lang w:val="en-US" w:eastAsia="zh-CN"/>
        </w:rPr>
        <w:t xml:space="preserve">十二、</w:t>
      </w:r>
      <w:r>
        <w:rPr>
          <w:rFonts w:hint="eastAsia" w:ascii="黑体" w:hAnsi="宋体" w:eastAsia="黑体" w:cs="黑体"/>
          <w:b/>
          <w:i/>
          <w:iCs/>
          <w:color w:val="000000"/>
          <w:sz w:val="32"/>
          <w:szCs w:val="32"/>
          <w:u w:val="single"/>
        </w:rPr>
        <w:t xml:space="preserve">资格性审查响应对照表</w:t>
      </w:r>
      <w:r/>
    </w:p>
    <w:tbl>
      <w:tblPr>
        <w:tblStyle w:val="66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20"/>
        <w:gridCol w:w="1807"/>
        <w:gridCol w:w="1785"/>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5320"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资格性审查响应内容</w:t>
            </w:r>
            <w:r/>
          </w:p>
        </w:tc>
        <w:tc>
          <w:tcPr>
            <w:tcW w:w="1807"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是否响应</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（填是或者否）</w:t>
            </w:r>
            <w:r/>
          </w:p>
        </w:tc>
        <w:tc>
          <w:tcPr>
            <w:tcW w:w="1785"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响应文件</w:t>
            </w:r>
            <w:r>
              <w:rPr>
                <w:rFonts w:hint="eastAsia" w:asciiTheme="minorEastAsia" w:hAnsiTheme="minorEastAsia" w:eastAsiaTheme="minorEastAsia" w:cstheme="minorEastAsia"/>
                <w:b/>
                <w:sz w:val="24"/>
                <w:szCs w:val="24"/>
              </w:rPr>
              <w:t xml:space="preserve">中的</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页码位置</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tcW w:w="5320" w:type="dxa"/>
            <w:vAlign w:val="center"/>
            <w:textDirection w:val="lrTb"/>
            <w:noWrap w:val="false"/>
          </w:tcPr>
          <w:p>
            <w:pPr>
              <w:jc w:val="left"/>
              <w:rPr>
                <w:rFonts w:hint="eastAsia" w:asciiTheme="minorEastAsia" w:hAnsiTheme="minorEastAsia" w:eastAsiaTheme="minorEastAsia" w:cstheme="minorEastAsia"/>
                <w:b w:val="0"/>
                <w:bCs/>
                <w:iCs/>
                <w:sz w:val="24"/>
                <w:szCs w:val="24"/>
              </w:rPr>
            </w:pPr>
            <w:r>
              <w:rPr>
                <w:rFonts w:hint="eastAsia" w:asciiTheme="minorEastAsia" w:hAnsiTheme="minorEastAsia" w:eastAsiaTheme="minorEastAsia" w:cstheme="minorEastAsia"/>
                <w:b w:val="0"/>
                <w:bCs/>
                <w:i w:val="0"/>
                <w:iCs/>
                <w:color w:val="000000"/>
                <w:sz w:val="24"/>
                <w:szCs w:val="24"/>
                <w:highlight w:val="none"/>
                <w:u w:val="none"/>
              </w:rPr>
              <w:t xml:space="preserve">法人或者其他组织的营业执照等证明文件，自然人的身份证明</w:t>
            </w:r>
            <w:r>
              <w:rPr>
                <w:rFonts w:hint="eastAsia" w:asciiTheme="minorEastAsia" w:hAnsiTheme="minorEastAsia" w:eastAsiaTheme="minorEastAsia" w:cstheme="minorEastAsia"/>
                <w:b w:val="0"/>
                <w:bCs/>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c>
          <w:tcPr>
            <w:tcW w:w="1785"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lang w:val="en-US" w:eastAsia="zh-CN" w:bidi="ar-SA"/>
              </w:rPr>
              <w:t xml:space="preserve">上一年度的财务状况报表（至少提供资产负债表、利润表、现金流量表，投标人成立不满一年无需提供）</w:t>
            </w:r>
            <w:r>
              <w:rPr>
                <w:rFonts w:hint="eastAsia" w:asciiTheme="minorEastAsia" w:hAnsiTheme="minorEastAsia" w:cstheme="minorEastAsia"/>
                <w:i w:val="0"/>
                <w:iCs/>
                <w:color w:val="000000"/>
                <w:sz w:val="24"/>
                <w:szCs w:val="24"/>
                <w:highlight w:val="none"/>
                <w:u w:val="none"/>
                <w:lang w:val="en-US" w:eastAsia="zh-CN" w:bidi="ar-SA"/>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依法缴纳税收和社会保障资金的相关材料（</w:t>
            </w:r>
            <w:r>
              <w:rPr>
                <w:rFonts w:hint="eastAsia" w:asciiTheme="minorEastAsia" w:hAnsiTheme="minorEastAsia" w:eastAsiaTheme="minorEastAsia" w:cstheme="minorEastAsia"/>
                <w:i w:val="0"/>
                <w:iCs/>
                <w:color w:val="auto"/>
                <w:sz w:val="24"/>
                <w:szCs w:val="24"/>
                <w:highlight w:val="none"/>
                <w:u w:val="none"/>
              </w:rPr>
              <w:t xml:space="preserve">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参加政府采购活动前 3 年内在经营活动中没有重大违法记录的书面声明</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供应商</w:t>
            </w:r>
            <w:r>
              <w:rPr>
                <w:rFonts w:hint="eastAsia" w:ascii="宋体" w:hAnsi="宋体" w:eastAsia="宋体" w:cs="宋体"/>
                <w:i w:val="0"/>
                <w:iCs w:val="0"/>
                <w:caps w:val="0"/>
                <w:color w:val="auto"/>
                <w:spacing w:val="0"/>
                <w:sz w:val="24"/>
                <w:szCs w:val="24"/>
                <w:highlight w:val="none"/>
                <w:u w:val="none"/>
                <w:shd w:val="clear" w:color="auto" w:fill="auto"/>
              </w:rPr>
              <w:t xml:space="preserve">须具</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有有效期内的</w:t>
            </w:r>
            <w:r>
              <w:rPr>
                <w:rFonts w:hint="eastAsia" w:ascii="宋体" w:hAnsi="宋体" w:eastAsia="宋体" w:cs="宋体"/>
                <w:i w:val="0"/>
                <w:iCs w:val="0"/>
                <w:caps w:val="0"/>
                <w:color w:val="auto"/>
                <w:spacing w:val="0"/>
                <w:sz w:val="24"/>
                <w:szCs w:val="24"/>
                <w:highlight w:val="none"/>
                <w:u w:val="none"/>
                <w:shd w:val="clear" w:color="auto" w:fill="auto"/>
              </w:rPr>
              <w:t xml:space="preserve">测绘乙级及以上资质（专业范围须</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同时包含</w:t>
            </w:r>
            <w:r>
              <w:rPr>
                <w:rFonts w:hint="eastAsia" w:ascii="宋体" w:hAnsi="宋体" w:eastAsia="宋体" w:cs="宋体"/>
                <w:i w:val="0"/>
                <w:iCs w:val="0"/>
                <w:caps w:val="0"/>
                <w:color w:val="auto"/>
                <w:spacing w:val="0"/>
                <w:sz w:val="24"/>
                <w:szCs w:val="24"/>
                <w:highlight w:val="none"/>
                <w:u w:val="none"/>
                <w:shd w:val="clear" w:color="auto" w:fill="auto"/>
              </w:rPr>
              <w:t xml:space="preserve">摄影测量与遥感和地理信息系统工程。）</w:t>
            </w:r>
            <w:r>
              <w:rPr>
                <w:rFonts w:hint="eastAsia" w:asciiTheme="minorEastAsia" w:hAnsiTheme="minorEastAsia" w:eastAsiaTheme="minorEastAsia" w:cstheme="minorEastAsia"/>
                <w:i w:val="0"/>
                <w:iCs/>
                <w:color w:val="000000"/>
                <w:sz w:val="24"/>
                <w:szCs w:val="24"/>
                <w:highlight w:val="none"/>
                <w:u w:val="none"/>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5320" w:type="dxa"/>
            <w:vAlign w:val="center"/>
            <w:textDirection w:val="lrTb"/>
            <w:noWrap w:val="false"/>
          </w:tcPr>
          <w:p>
            <w:pPr>
              <w:jc w:val="left"/>
              <w:rPr>
                <w:rFonts w:hint="default" w:asciiTheme="minorEastAsia" w:hAnsiTheme="minorEastAsia" w:eastAsia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210"/>
        <w:rPr>
          <w:rFonts w:cs="宋体"/>
          <w:szCs w:val="28"/>
          <w:lang w:val="zh-CN"/>
        </w:rPr>
      </w:pPr>
      <w:r>
        <w:rPr>
          <w:rFonts w:cs="宋体"/>
          <w:szCs w:val="28"/>
          <w:lang w:val="zh-CN"/>
        </w:rPr>
      </w:r>
      <w:r/>
    </w:p>
    <w:p>
      <w:pPr>
        <w:rPr>
          <w:rFonts w:hAnsi="宋体" w:eastAsia="宋体" w:cs="宋体"/>
          <w:iCs/>
          <w:sz w:val="24"/>
          <w:szCs w:val="24"/>
          <w:lang w:val="zh-CN"/>
        </w:rPr>
      </w:pPr>
      <w:r>
        <w:rPr>
          <w:rFonts w:hint="eastAsia" w:hAnsi="宋体" w:eastAsia="宋体" w:cs="宋体"/>
          <w:iCs/>
          <w:sz w:val="24"/>
          <w:szCs w:val="24"/>
          <w:lang w:val="zh-CN"/>
        </w:rPr>
        <w:t xml:space="preserve">注：本表须明确填写并按</w:t>
      </w:r>
      <w:r>
        <w:rPr>
          <w:rFonts w:hint="eastAsia" w:hAnsi="宋体" w:eastAsia="宋体" w:cs="宋体"/>
          <w:iCs/>
          <w:sz w:val="24"/>
          <w:szCs w:val="24"/>
          <w:lang w:val="en-US" w:eastAsia="zh-CN"/>
        </w:rPr>
        <w:t xml:space="preserve">磋商</w:t>
      </w:r>
      <w:r>
        <w:rPr>
          <w:rFonts w:hint="eastAsia" w:hAnsi="宋体" w:eastAsia="宋体" w:cs="宋体"/>
          <w:iCs/>
          <w:sz w:val="24"/>
          <w:szCs w:val="24"/>
          <w:lang w:val="zh-CN"/>
        </w:rPr>
        <w:t xml:space="preserve">文件要求提供材料，否则资格性检查无法通过。</w:t>
      </w:r>
      <w:r/>
    </w:p>
    <w:p>
      <w:pPr>
        <w:ind w:firstLine="3780"/>
        <w:spacing w:line="560" w:lineRule="exact"/>
        <w:rPr>
          <w:rFonts w:hAnsi="宋体"/>
          <w:bCs/>
          <w:szCs w:val="28"/>
        </w:rPr>
      </w:pPr>
      <w:r>
        <w:rPr>
          <w:rFonts w:hAnsi="宋体"/>
          <w:bCs/>
          <w:szCs w:val="28"/>
        </w:rPr>
      </w:r>
      <w:r/>
    </w:p>
    <w:p>
      <w:pPr>
        <w:pStyle w:val="677"/>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77"/>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77"/>
        <w:ind w:right="1560"/>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77"/>
        <w:ind w:right="1560" w:firstLine="480"/>
        <w:jc w:val="right"/>
        <w:spacing w:line="0" w:lineRule="atLeast"/>
        <w:tabs>
          <w:tab w:val="left" w:pos="4864" w:leader="none"/>
        </w:tabs>
        <w:rPr>
          <w:rFonts w:ascii="宋体" w:hAnsi="宋体" w:eastAsia="宋体" w:cs="宋体"/>
          <w:color w:val="000000"/>
          <w:sz w:val="30"/>
          <w:szCs w:val="30"/>
        </w:rPr>
      </w:pPr>
      <w:r>
        <w:rPr>
          <w:rFonts w:hint="eastAsia" w:ascii="宋体" w:hAnsi="宋体" w:eastAsia="宋体" w:cs="宋体"/>
          <w:color w:val="000000"/>
        </w:rPr>
        <w:t xml:space="preserve">   日  期：</w:t>
      </w:r>
      <w:r/>
    </w:p>
    <w:p>
      <w:pPr>
        <w:pStyle w:val="67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jc w:val="center"/>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63"/>
        <w:numPr>
          <w:ilvl w:val="1"/>
          <w:numId w:val="0"/>
        </w:numPr>
        <w:ind w:left="0" w:firstLine="0"/>
        <w:jc w:val="center"/>
        <w:tabs>
          <w:tab w:val="left" w:pos="851" w:leader="none"/>
        </w:tabs>
        <w:outlineLvl w:val="0"/>
      </w:pPr>
      <w:r>
        <w:rPr>
          <w:color w:val="auto"/>
          <w:highlight w:val="none"/>
        </w:rPr>
        <w:t xml:space="preserve"> </w:t>
      </w:r>
      <w:r>
        <w:rPr>
          <w:rFonts w:hint="eastAsia" w:ascii="黑体" w:hAnsi="宋体" w:eastAsia="黑体" w:cs="黑体"/>
          <w:b/>
          <w:i/>
          <w:iCs/>
          <w:color w:val="000000"/>
          <w:sz w:val="32"/>
          <w:szCs w:val="32"/>
          <w:highlight w:val="none"/>
        </w:rPr>
        <w:t xml:space="preserve">十</w:t>
      </w:r>
      <w:r>
        <w:rPr>
          <w:rFonts w:hint="eastAsia" w:ascii="黑体" w:eastAsia="黑体" w:cs="黑体"/>
          <w:b/>
          <w:i/>
          <w:iCs/>
          <w:color w:val="000000"/>
          <w:sz w:val="32"/>
          <w:szCs w:val="32"/>
          <w:highlight w:val="none"/>
          <w:lang w:eastAsia="zh-CN"/>
        </w:rPr>
        <w:t xml:space="preserve">三</w:t>
      </w:r>
      <w:r>
        <w:rPr>
          <w:rFonts w:hint="eastAsia" w:ascii="黑体" w:hAnsi="宋体" w:eastAsia="黑体" w:cs="黑体"/>
          <w:b/>
          <w:i/>
          <w:iCs/>
          <w:color w:val="000000"/>
          <w:sz w:val="32"/>
          <w:szCs w:val="32"/>
          <w:highlight w:val="none"/>
        </w:rPr>
        <w:t xml:space="preserve">、</w:t>
      </w:r>
      <w:r>
        <w:rPr>
          <w:rFonts w:hint="eastAsia" w:ascii="黑体" w:hAnsi="宋体" w:eastAsia="黑体" w:cs="黑体"/>
          <w:b/>
          <w:i/>
          <w:iCs/>
          <w:color w:val="000000"/>
          <w:sz w:val="32"/>
          <w:szCs w:val="32"/>
          <w:u w:val="single"/>
          <w:lang w:val="en-US" w:eastAsia="zh-CN" w:bidi="ar-SA"/>
        </w:rPr>
        <w:t xml:space="preserve">符合性检查响应对照表</w:t>
      </w:r>
      <w:r/>
    </w:p>
    <w:tbl>
      <w:tblPr>
        <w:tblStyle w:val="66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650"/>
        <w:gridCol w:w="2085"/>
        <w:gridCol w:w="2021"/>
      </w:tblGrid>
      <w:tr>
        <w:trPr>
          <w:trHeight w:val="882"/>
        </w:trPr>
        <w:tc>
          <w:tcPr>
            <w:tcW w:w="802"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序号</w:t>
            </w:r>
            <w:r/>
          </w:p>
        </w:tc>
        <w:tc>
          <w:tcPr>
            <w:tcW w:w="4650"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符合性检查响应内容</w:t>
            </w:r>
            <w:r/>
          </w:p>
        </w:tc>
        <w:tc>
          <w:tcPr>
            <w:tcW w:w="2085"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是否响应</w:t>
            </w:r>
            <w:r/>
          </w:p>
          <w:p>
            <w:pPr>
              <w:jc w:val="center"/>
              <w:spacing w:line="240" w:lineRule="atLeast"/>
              <w:rPr>
                <w:rFonts w:hAnsi="宋体" w:eastAsia="宋体" w:cs="宋体"/>
                <w:b/>
                <w:sz w:val="24"/>
                <w:szCs w:val="24"/>
              </w:rPr>
            </w:pPr>
            <w:r>
              <w:rPr>
                <w:rFonts w:hint="eastAsia" w:hAnsi="宋体" w:eastAsia="宋体" w:cs="宋体"/>
                <w:b/>
                <w:sz w:val="24"/>
                <w:szCs w:val="24"/>
              </w:rPr>
              <w:t xml:space="preserve">（填是或者否）</w:t>
            </w:r>
            <w:r/>
          </w:p>
        </w:tc>
        <w:tc>
          <w:tcPr>
            <w:tcW w:w="2021" w:type="dxa"/>
            <w:vAlign w:val="center"/>
            <w:textDirection w:val="lrTb"/>
            <w:noWrap w:val="false"/>
          </w:tcPr>
          <w:p>
            <w:pPr>
              <w:jc w:val="center"/>
              <w:spacing w:line="240" w:lineRule="atLeast"/>
              <w:rPr>
                <w:rFonts w:hAnsi="宋体" w:eastAsia="宋体" w:cs="宋体"/>
                <w:b/>
                <w:sz w:val="24"/>
                <w:szCs w:val="24"/>
              </w:rPr>
            </w:pPr>
            <w:r>
              <w:rPr>
                <w:rFonts w:hint="eastAsia" w:hAnsi="宋体" w:cs="宋体"/>
                <w:b/>
                <w:sz w:val="24"/>
                <w:szCs w:val="24"/>
                <w:lang w:val="en-US" w:eastAsia="zh-CN"/>
              </w:rPr>
              <w:t xml:space="preserve">响应文件</w:t>
            </w:r>
            <w:r>
              <w:rPr>
                <w:rFonts w:hint="eastAsia" w:hAnsi="宋体" w:eastAsia="宋体" w:cs="宋体"/>
                <w:b/>
                <w:sz w:val="24"/>
                <w:szCs w:val="24"/>
              </w:rPr>
              <w:t xml:space="preserve">中的</w:t>
            </w:r>
            <w:r/>
          </w:p>
          <w:p>
            <w:pPr>
              <w:jc w:val="center"/>
              <w:spacing w:line="240" w:lineRule="atLeast"/>
              <w:rPr>
                <w:rFonts w:hAnsi="宋体" w:eastAsia="宋体" w:cs="宋体"/>
                <w:b/>
                <w:sz w:val="24"/>
                <w:szCs w:val="24"/>
              </w:rPr>
            </w:pPr>
            <w:r>
              <w:rPr>
                <w:rFonts w:hint="eastAsia" w:hAnsi="宋体" w:eastAsia="宋体" w:cs="宋体"/>
                <w:b/>
                <w:sz w:val="24"/>
                <w:szCs w:val="24"/>
              </w:rPr>
              <w:t xml:space="preserve">页码位置</w:t>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1</w:t>
            </w:r>
            <w:r/>
          </w:p>
        </w:tc>
        <w:tc>
          <w:tcPr>
            <w:tcW w:w="4650" w:type="dxa"/>
            <w:vAlign w:val="center"/>
            <w:textDirection w:val="lrTb"/>
            <w:noWrap w:val="false"/>
          </w:tcPr>
          <w:p>
            <w:pPr>
              <w:jc w:val="left"/>
              <w:spacing w:line="240" w:lineRule="auto"/>
              <w:rPr>
                <w:rFonts w:hint="eastAsia" w:hAnsi="宋体" w:eastAsia="宋体" w:cs="宋体"/>
                <w:iCs/>
                <w:sz w:val="24"/>
                <w:szCs w:val="24"/>
              </w:rPr>
            </w:pPr>
            <w:r>
              <w:rPr>
                <w:rFonts w:hint="eastAsia" w:hAnsi="宋体" w:eastAsia="宋体" w:cs="宋体"/>
                <w:iCs/>
                <w:sz w:val="24"/>
                <w:szCs w:val="24"/>
              </w:rPr>
              <w:t xml:space="preserve">最高限价 </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2</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合同履行期限</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3</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付款方式</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4</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lang w:val="en-US" w:eastAsia="zh-CN"/>
              </w:rPr>
              <w:t xml:space="preserve">实质性响应内容（附件1）</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5</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6</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bl>
    <w:p>
      <w:pPr>
        <w:ind w:firstLine="210"/>
        <w:rPr>
          <w:rFonts w:hAnsi="宋体" w:eastAsia="宋体" w:cs="宋体"/>
          <w:sz w:val="24"/>
          <w:szCs w:val="24"/>
          <w:lang w:val="zh-CN"/>
        </w:rPr>
      </w:pPr>
      <w:r>
        <w:rPr>
          <w:rFonts w:hAnsi="宋体" w:eastAsia="宋体" w:cs="宋体"/>
          <w:sz w:val="24"/>
          <w:szCs w:val="24"/>
          <w:lang w:val="zh-CN"/>
        </w:rPr>
      </w:r>
      <w:r/>
    </w:p>
    <w:p>
      <w:pPr>
        <w:ind w:firstLine="210"/>
        <w:rPr>
          <w:rFonts w:hAnsi="宋体" w:eastAsia="宋体" w:cs="宋体"/>
          <w:color w:val="000000"/>
          <w:sz w:val="24"/>
          <w:szCs w:val="22"/>
          <w:lang w:val="zh-CN"/>
        </w:rPr>
      </w:pPr>
      <w:r>
        <w:rPr>
          <w:rFonts w:hint="eastAsia" w:hAnsi="宋体" w:eastAsia="宋体" w:cs="宋体"/>
          <w:color w:val="000000"/>
          <w:sz w:val="24"/>
          <w:szCs w:val="22"/>
          <w:lang w:val="zh-CN"/>
        </w:rPr>
        <w:t xml:space="preserve">注：本表须明确填写并按</w:t>
      </w:r>
      <w:r>
        <w:rPr>
          <w:rFonts w:hint="eastAsia" w:hAnsi="宋体" w:eastAsia="宋体" w:cs="宋体"/>
          <w:color w:val="000000"/>
          <w:sz w:val="24"/>
          <w:szCs w:val="22"/>
          <w:lang w:val="en-US" w:eastAsia="zh-CN"/>
        </w:rPr>
        <w:t xml:space="preserve">磋商</w:t>
      </w:r>
      <w:r>
        <w:rPr>
          <w:rFonts w:hint="eastAsia" w:hAnsi="宋体" w:eastAsia="宋体" w:cs="宋体"/>
          <w:color w:val="000000"/>
          <w:sz w:val="24"/>
          <w:szCs w:val="22"/>
          <w:lang w:val="zh-CN"/>
        </w:rPr>
        <w:t xml:space="preserve">文件要求提供材料，否则符合性检查无法通过。</w:t>
      </w:r>
      <w:r/>
    </w:p>
    <w:p>
      <w:pPr>
        <w:ind w:firstLine="210"/>
        <w:rPr>
          <w:rFonts w:hAnsi="宋体" w:eastAsia="宋体" w:cs="宋体"/>
          <w:color w:val="000000"/>
          <w:sz w:val="24"/>
          <w:szCs w:val="22"/>
          <w:lang w:val="zh-CN"/>
        </w:rPr>
      </w:pPr>
      <w:r>
        <w:rPr>
          <w:rFonts w:hAnsi="宋体" w:eastAsia="宋体" w:cs="宋体"/>
          <w:color w:val="000000"/>
          <w:sz w:val="24"/>
          <w:szCs w:val="22"/>
          <w:lang w:val="zh-CN"/>
        </w:rPr>
      </w:r>
      <w:r/>
    </w:p>
    <w:p>
      <w:pPr>
        <w:ind w:firstLine="210"/>
        <w:rPr>
          <w:rFonts w:cs="宋体"/>
          <w:szCs w:val="28"/>
          <w:lang w:val="zh-CN"/>
        </w:rPr>
      </w:pPr>
      <w:r>
        <w:rPr>
          <w:rFonts w:cs="宋体"/>
          <w:szCs w:val="28"/>
          <w:lang w:val="zh-CN"/>
        </w:rPr>
      </w:r>
      <w:r/>
    </w:p>
    <w:p>
      <w:pPr>
        <w:pStyle w:val="677"/>
        <w:ind w:right="1560" w:firstLine="624"/>
        <w:jc w:val="right"/>
        <w:spacing w:line="0" w:lineRule="atLeast"/>
        <w:tabs>
          <w:tab w:val="left" w:pos="4864" w:leader="none"/>
        </w:tabs>
        <w:rPr>
          <w:rFonts w:ascii="宋体" w:hAnsi="宋体" w:eastAsia="宋体" w:cs="宋体"/>
          <w:color w:val="000000"/>
        </w:rPr>
      </w:pPr>
      <w:r>
        <w:rPr>
          <w:rFonts w:hint="eastAsia" w:ascii="宋体" w:hAnsi="宋体" w:eastAsia="宋体" w:cs="宋体"/>
          <w:color w:val="000000"/>
        </w:rPr>
        <w:t xml:space="preserve">             </w:t>
      </w:r>
      <w:r/>
    </w:p>
    <w:p>
      <w:pPr>
        <w:pStyle w:val="677"/>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77"/>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77"/>
        <w:ind w:right="1560" w:firstLine="480"/>
        <w:jc w:val="right"/>
        <w:spacing w:line="0" w:lineRule="atLeast"/>
        <w:tabs>
          <w:tab w:val="left" w:pos="4864" w:leader="none"/>
        </w:tabs>
      </w:pPr>
      <w:r>
        <w:rPr>
          <w:rFonts w:hint="eastAsia" w:ascii="宋体" w:hAnsi="宋体" w:eastAsia="宋体" w:cs="宋体"/>
          <w:color w:val="000000"/>
        </w:rPr>
        <w:t xml:space="preserve">        日  期：</w:t>
      </w:r>
      <w:r/>
    </w:p>
    <w:p>
      <w:pPr>
        <w:pStyle w:val="677"/>
        <w:jc w:val="both"/>
        <w:spacing w:beforeAutospacing="0" w:afterAutospacing="0"/>
        <w:rPr>
          <w:color w:val="auto"/>
          <w:highlight w:val="none"/>
        </w:rPr>
      </w:pPr>
      <w:r>
        <w:rPr>
          <w:color w:val="auto"/>
          <w:highlight w:val="none"/>
        </w:rPr>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77"/>
        <w:jc w:val="both"/>
        <w:spacing w:beforeAutospacing="0" w:afterAutospacing="0"/>
        <w:rPr>
          <w:color w:val="auto"/>
          <w:highlight w:val="none"/>
        </w:rPr>
      </w:pPr>
      <w:r>
        <w:rPr>
          <w:color w:val="auto"/>
          <w:highlight w:val="none"/>
        </w:rPr>
        <w:t xml:space="preserve"> </w:t>
      </w:r>
      <w:r/>
    </w:p>
    <w:p>
      <w:pPr>
        <w:pStyle w:val="662"/>
        <w:jc w:val="left"/>
        <w:spacing w:line="360" w:lineRule="auto"/>
        <w:rPr>
          <w:rFonts w:hint="eastAsia" w:hAnsi="宋体" w:eastAsia="宋体"/>
          <w:b/>
          <w:bCs/>
          <w:sz w:val="32"/>
          <w:szCs w:val="32"/>
        </w:rPr>
      </w:pPr>
      <w:r/>
      <w:bookmarkStart w:id="183" w:name="_Hlt26955054"/>
      <w:r>
        <w:rPr>
          <w:rFonts w:hint="eastAsia" w:ascii="黑体" w:hAnsi="宋体" w:eastAsia="黑体" w:cs="黑体"/>
          <w:b/>
          <w:color w:val="auto"/>
          <w:sz w:val="32"/>
          <w:szCs w:val="32"/>
          <w:highlight w:val="none"/>
        </w:rPr>
        <w:br w:type="page" w:clear="all"/>
      </w:r>
      <w:r>
        <w:rPr>
          <w:rFonts w:hint="eastAsia" w:hAnsi="宋体" w:eastAsia="宋体"/>
          <w:b/>
          <w:bCs/>
          <w:sz w:val="32"/>
          <w:szCs w:val="32"/>
        </w:rPr>
        <w:t xml:space="preserve">附件1、            </w:t>
      </w:r>
      <w:r/>
    </w:p>
    <w:p>
      <w:pPr>
        <w:pStyle w:val="662"/>
        <w:jc w:val="center"/>
        <w:spacing w:line="360" w:lineRule="auto"/>
        <w:rPr>
          <w:rFonts w:hint="eastAsia" w:hAnsi="宋体" w:cs="Times New Roman"/>
          <w:sz w:val="28"/>
          <w:szCs w:val="28"/>
        </w:rPr>
        <w:outlineLvl w:val="9"/>
      </w:pPr>
      <w:r>
        <w:rPr>
          <w:rFonts w:hint="eastAsia" w:hAnsi="宋体" w:eastAsia="宋体"/>
          <w:b/>
          <w:bCs/>
          <w:sz w:val="32"/>
          <w:szCs w:val="32"/>
        </w:rPr>
        <w:t xml:space="preserve">实质性响应内容</w:t>
      </w:r>
      <w:r/>
    </w:p>
    <w:p>
      <w:pPr>
        <w:pStyle w:val="692"/>
        <w:ind w:firstLine="560"/>
        <w:rPr>
          <w:rFonts w:hAnsi="宋体" w:cs="Times New Roman"/>
          <w:sz w:val="28"/>
          <w:szCs w:val="28"/>
        </w:rPr>
      </w:pPr>
      <w:r>
        <w:rPr>
          <w:rFonts w:hint="eastAsia" w:hAnsi="宋体" w:cs="Times New Roman"/>
          <w:sz w:val="28"/>
          <w:szCs w:val="28"/>
        </w:rPr>
        <w:t xml:space="preserve">我公司承诺响应磋商文件采购需求</w:t>
      </w:r>
      <w:r>
        <w:rPr>
          <w:rFonts w:hint="eastAsia" w:hAnsi="宋体" w:cs="Times New Roman"/>
          <w:sz w:val="28"/>
          <w:szCs w:val="28"/>
          <w:lang w:eastAsia="zh-CN"/>
        </w:rPr>
        <w:t xml:space="preserve">中</w:t>
      </w:r>
      <w:r>
        <w:rPr>
          <w:rFonts w:hint="eastAsia" w:hAnsi="宋体" w:cs="Times New Roman"/>
          <w:sz w:val="28"/>
          <w:szCs w:val="28"/>
        </w:rPr>
        <w:t xml:space="preserve">的全部内容。</w:t>
      </w:r>
      <w:r/>
    </w:p>
    <w:p>
      <w:pPr>
        <w:ind w:firstLine="3080"/>
        <w:spacing w:line="560" w:lineRule="exact"/>
        <w:rPr>
          <w:rFonts w:hint="eastAsia" w:hAnsi="宋体" w:cs="Times New Roman"/>
          <w:sz w:val="28"/>
          <w:szCs w:val="28"/>
          <w:lang w:val="en-US" w:eastAsia="zh-CN" w:bidi="ar-SA"/>
        </w:rPr>
      </w:pPr>
      <w:r>
        <w:rPr>
          <w:rFonts w:hint="eastAsia" w:hAnsi="宋体" w:cs="Times New Roman"/>
          <w:sz w:val="28"/>
          <w:szCs w:val="28"/>
          <w:lang w:val="en-US" w:eastAsia="zh-CN" w:bidi="ar-SA"/>
        </w:rPr>
      </w:r>
      <w:r/>
    </w:p>
    <w:p>
      <w:pPr>
        <w:ind w:firstLine="2640"/>
        <w:spacing w:line="560" w:lineRule="exact"/>
        <w:rPr>
          <w:rFonts w:hint="eastAsia" w:hAnsi="宋体" w:cs="Times New Roman"/>
          <w:sz w:val="24"/>
          <w:szCs w:val="24"/>
          <w:lang w:val="en-US" w:eastAsia="zh-CN" w:bidi="ar-SA"/>
        </w:rPr>
      </w:pPr>
      <w:r>
        <w:rPr>
          <w:rFonts w:hint="eastAsia" w:hAnsi="宋体" w:cs="Times New Roman"/>
          <w:sz w:val="24"/>
          <w:szCs w:val="24"/>
          <w:lang w:val="en-US" w:eastAsia="zh-CN" w:bidi="ar-SA"/>
        </w:rPr>
      </w:r>
      <w:r/>
    </w:p>
    <w:p>
      <w:pPr>
        <w:ind w:firstLine="4320"/>
        <w:spacing w:line="560" w:lineRule="exact"/>
        <w:rPr>
          <w:rFonts w:hint="eastAsia" w:hAnsi="宋体" w:cs="Times New Roman" w:asciiTheme="minorHAnsi" w:eastAsiaTheme="minorEastAsia"/>
          <w:sz w:val="24"/>
          <w:szCs w:val="24"/>
          <w:lang w:val="en-US" w:eastAsia="zh-CN" w:bidi="ar-SA"/>
        </w:rPr>
      </w:pPr>
      <w:r>
        <w:rPr>
          <w:rFonts w:hint="eastAsia" w:hAnsi="宋体" w:cs="Times New Roman"/>
          <w:sz w:val="24"/>
          <w:szCs w:val="24"/>
          <w:lang w:val="en-US" w:eastAsia="zh-CN" w:bidi="ar-SA"/>
        </w:rPr>
        <w:t xml:space="preserve">供应商全称（加盖CA电子公章）</w:t>
      </w:r>
      <w:r>
        <w:rPr>
          <w:rFonts w:hint="eastAsia" w:hAnsi="宋体" w:cs="Times New Roman" w:asciiTheme="minorHAnsi" w:eastAsiaTheme="minorEastAsia"/>
          <w:sz w:val="24"/>
          <w:szCs w:val="24"/>
          <w:lang w:val="en-US" w:eastAsia="zh-CN" w:bidi="ar-SA"/>
        </w:rPr>
        <w:t xml:space="preserve">：</w:t>
      </w:r>
      <w:r/>
    </w:p>
    <w:p>
      <w:pPr>
        <w:pStyle w:val="672"/>
        <w:ind w:right="0" w:firstLine="4068"/>
        <w:spacing w:line="560" w:lineRule="exact"/>
        <w:rPr>
          <w:rFonts w:hint="eastAsia" w:hAnsi="宋体" w:cs="Times New Roman" w:asciiTheme="minorHAnsi" w:eastAsiaTheme="minorEastAsia"/>
          <w:sz w:val="24"/>
          <w:szCs w:val="24"/>
          <w:lang w:val="en-US" w:eastAsia="zh-CN" w:bidi="ar-SA"/>
        </w:rPr>
      </w:pPr>
      <w:r>
        <w:rPr>
          <w:rFonts w:hint="eastAsia" w:hAnsi="宋体" w:cs="Times New Roman" w:asciiTheme="minorHAnsi" w:eastAsiaTheme="minorEastAsia"/>
          <w:sz w:val="24"/>
          <w:szCs w:val="24"/>
          <w:lang w:val="en-US" w:eastAsia="zh-CN" w:bidi="ar-SA"/>
        </w:rPr>
        <w:t xml:space="preserve">日期：      年     月     日</w:t>
      </w:r>
      <w:r/>
    </w:p>
    <w:p>
      <w:pPr>
        <w:pStyle w:val="672"/>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72"/>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72"/>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72"/>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72"/>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82"/>
        <w:numPr>
          <w:ilvl w:val="2"/>
          <w:numId w:val="0"/>
        </w:numPr>
        <w:ind w:left="0" w:firstLine="0"/>
        <w:rPr>
          <w:rFonts w:hint="eastAsia"/>
        </w:rPr>
        <w:outlineLvl w:val="9"/>
      </w:pPr>
      <w:r/>
      <w:bookmarkStart w:id="184" w:name="_格式2__法定代表人授权书"/>
      <w:r/>
      <w:bookmarkStart w:id="185" w:name="_Hlt26609389"/>
      <w:r/>
      <w:bookmarkStart w:id="186" w:name="_Toc462564146"/>
      <w:r/>
      <w:bookmarkStart w:id="187" w:name="_Hlt26671374"/>
      <w:r/>
      <w:bookmarkStart w:id="188" w:name="_Hlt26955066"/>
      <w:r/>
      <w:r/>
    </w:p>
    <w:p>
      <w:pPr>
        <w:pStyle w:val="67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7"/>
        <w:numPr>
          <w:ilvl w:val="0"/>
          <w:numId w:val="0"/>
        </w:numPr>
        <w:jc w:val="center"/>
        <w:spacing w:beforeAutospacing="0" w:afterAutospacing="0"/>
        <w:rPr>
          <w:rFonts w:hint="eastAsia" w:ascii="黑体" w:hAnsi="宋体" w:eastAsia="黑体" w:cs="黑体"/>
          <w:b/>
          <w:i/>
          <w:color w:val="auto"/>
          <w:sz w:val="32"/>
          <w:szCs w:val="32"/>
          <w:highlight w:val="none"/>
          <w:u w:val="single"/>
        </w:rPr>
        <w:outlineLvl w:val="0"/>
      </w:pPr>
      <w:r>
        <w:rPr>
          <w:rFonts w:hint="eastAsia" w:ascii="黑体" w:hAnsi="宋体" w:eastAsia="黑体" w:cs="黑体"/>
          <w:b/>
          <w:i/>
          <w:color w:val="auto"/>
          <w:sz w:val="32"/>
          <w:szCs w:val="32"/>
          <w:highlight w:val="none"/>
          <w:u w:val="single"/>
          <w:lang w:val="en-US" w:eastAsia="zh-CN"/>
        </w:rPr>
        <w:t xml:space="preserve">十四、</w:t>
      </w:r>
      <w:r>
        <w:rPr>
          <w:rFonts w:hint="eastAsia" w:ascii="黑体" w:hAnsi="宋体" w:eastAsia="黑体" w:cs="黑体"/>
          <w:b/>
          <w:i/>
          <w:color w:val="auto"/>
          <w:sz w:val="32"/>
          <w:szCs w:val="32"/>
          <w:highlight w:val="none"/>
          <w:u w:val="single"/>
        </w:rPr>
        <w:t xml:space="preserve">开标一览表</w:t>
      </w:r>
      <w:r/>
    </w:p>
    <w:p>
      <w:pPr>
        <w:pStyle w:val="677"/>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（一轮报价表）</w:t>
      </w:r>
      <w:r/>
    </w:p>
    <w:p>
      <w:pPr>
        <w:pStyle w:val="677"/>
        <w:ind w:firstLine="480"/>
        <w:jc w:val="both"/>
        <w:spacing w:beforeAutospacing="0" w:afterAutospacing="0"/>
        <w:rPr>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77"/>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65"/>
        <w:tblW w:w="965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5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77"/>
              <w:jc w:val="center"/>
              <w:spacing w:beforeAutospacing="0" w:afterAutospacing="0"/>
              <w:rPr>
                <w:color w:val="auto"/>
                <w:highlight w:val="none"/>
              </w:rPr>
            </w:pPr>
            <w:r>
              <w:rPr>
                <w:rFonts w:hint="eastAsia" w:ascii="宋体" w:hAnsi="宋体" w:eastAsia="宋体" w:cs="宋体"/>
                <w:color w:val="auto"/>
                <w:highlight w:val="none"/>
              </w:rPr>
              <w:t xml:space="preserve">投标总</w:t>
            </w:r>
            <w:r>
              <w:rPr>
                <w:rFonts w:hint="eastAsia" w:ascii="宋体" w:hAnsi="宋体" w:eastAsia="宋体" w:cs="宋体"/>
                <w:color w:val="auto"/>
                <w:highlight w:val="none"/>
                <w:lang w:val="en-US" w:eastAsia="zh-CN"/>
              </w:rPr>
              <w:t xml:space="preserve">报</w:t>
            </w:r>
            <w:r>
              <w:rPr>
                <w:rFonts w:hint="eastAsia" w:ascii="宋体" w:hAnsi="宋体" w:eastAsia="宋体" w:cs="宋体"/>
                <w:color w:val="auto"/>
                <w:highlight w:val="none"/>
              </w:rPr>
              <w:t xml:space="preserve">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7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7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77"/>
        <w:jc w:val="both"/>
        <w:spacing w:beforeAutospacing="0" w:afterAutospacing="0"/>
        <w:rPr>
          <w:color w:val="auto"/>
          <w:highlight w:val="none"/>
        </w:rPr>
      </w:pPr>
      <w:r>
        <w:rPr>
          <w:color w:val="auto"/>
          <w:highlight w:val="none"/>
        </w:rPr>
        <w:t xml:space="preserve"> </w:t>
      </w:r>
      <w:r/>
    </w:p>
    <w:p>
      <w:pPr>
        <w:pStyle w:val="677"/>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7"/>
        <w:ind w:firstLine="480"/>
        <w:jc w:val="both"/>
        <w:spacing w:beforeAutospacing="0" w:afterAutospacing="0"/>
        <w:rPr>
          <w:highlight w:val="none"/>
        </w:rPr>
      </w:pPr>
      <w:r>
        <w:rPr>
          <w:highlight w:val="none"/>
        </w:rPr>
        <w:t xml:space="preserve"> </w:t>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682"/>
        <w:numPr>
          <w:ilvl w:val="2"/>
          <w:numId w:val="0"/>
        </w:numPr>
        <w:ind w:left="288" w:firstLine="0"/>
        <w:rPr>
          <w:rFonts w:hint="eastAsia"/>
          <w:lang w:val="en-US" w:eastAsia="zh-CN"/>
        </w:rPr>
        <w:outlineLvl w:val="9"/>
      </w:pPr>
      <w:r>
        <w:rPr>
          <w:rFonts w:hint="eastAsia"/>
          <w:lang w:val="en-US" w:eastAsia="zh-CN"/>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t xml:space="preserve">十五、技术方案、服务承诺、培训承诺等</w:t>
      </w:r>
      <w:r/>
    </w:p>
    <w:p>
      <w:pPr>
        <w:pStyle w:val="677"/>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highlight w:val="none"/>
        </w:rPr>
        <w:outlineLvl w:val="0"/>
      </w:pPr>
      <w:r>
        <w:rPr>
          <w:rFonts w:hint="eastAsia" w:ascii="黑体" w:hAnsi="宋体" w:eastAsia="黑体" w:cs="黑体"/>
          <w:b/>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77"/>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r/>
    </w:p>
    <w:p>
      <w:pPr>
        <w:pStyle w:val="677"/>
        <w:jc w:val="both"/>
        <w:spacing w:before="290"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一、质疑供应商基本信息</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二、质疑项目基本情况</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三、质疑事项具体内容</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77"/>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四、与质疑事项相关的质疑请求</w:t>
      </w:r>
      <w:r/>
    </w:p>
    <w:p>
      <w:pPr>
        <w:pStyle w:val="6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7"/>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7"/>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77"/>
        <w:ind w:firstLine="420"/>
        <w:jc w:val="both"/>
        <w:spacing w:beforeAutospacing="0" w:afterAutospacing="0"/>
        <w:rPr>
          <w:color w:val="auto"/>
          <w:highlight w:val="none"/>
        </w:rPr>
      </w:pPr>
      <w:r>
        <w:rPr>
          <w:color w:val="auto"/>
          <w:highlight w:val="none"/>
        </w:rPr>
        <w:t xml:space="preserve"> </w:t>
      </w:r>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76"/>
      <w:bookmarkEnd w:id="177"/>
      <w:bookmarkEnd w:id="178"/>
      <w:bookmarkEnd w:id="179"/>
      <w:bookmarkEnd w:id="180"/>
      <w:bookmarkEnd w:id="181"/>
      <w:bookmarkEnd w:id="182"/>
      <w:bookmarkEnd w:id="183"/>
      <w:bookmarkEnd w:id="184"/>
      <w:bookmarkEnd w:id="185"/>
      <w:bookmarkEnd w:id="186"/>
      <w:bookmarkEnd w:id="187"/>
      <w:bookmarkEnd w:id="188"/>
      <w:r/>
    </w:p>
    <w:p>
      <w:pPr>
        <w:rPr>
          <w:color w:val="auto"/>
          <w:highlight w:val="none"/>
        </w:rPr>
      </w:pPr>
      <w:r>
        <w:rPr>
          <w:color w:val="auto"/>
          <w:highlight w:val="none"/>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1467" w:hanging="420"/>
      </w:pPr>
      <w:rPr>
        <w:rFonts w:hint="eastAsia" w:asciiTheme="minorEastAsia" w:hAnsiTheme="minorEastAsia" w:eastAsiaTheme="minorEastAsia"/>
      </w:rPr>
    </w:lvl>
    <w:lvl w:ilvl="1">
      <w:start w:val="1"/>
      <w:numFmt w:val="lowerLetter"/>
      <w:isLgl w:val="false"/>
      <w:suff w:val="tab"/>
      <w:lvlText w:val="%2)"/>
      <w:lvlJc w:val="left"/>
      <w:pPr>
        <w:ind w:left="1887" w:hanging="420"/>
      </w:pPr>
    </w:lvl>
    <w:lvl w:ilvl="2">
      <w:start w:val="1"/>
      <w:numFmt w:val="lowerRoman"/>
      <w:isLgl w:val="false"/>
      <w:suff w:val="tab"/>
      <w:lvlText w:val="%3."/>
      <w:lvlJc w:val="right"/>
      <w:pPr>
        <w:ind w:left="2307" w:hanging="420"/>
      </w:pPr>
    </w:lvl>
    <w:lvl w:ilvl="3">
      <w:start w:val="1"/>
      <w:numFmt w:val="decimal"/>
      <w:isLgl w:val="false"/>
      <w:suff w:val="tab"/>
      <w:lvlText w:val="%4."/>
      <w:lvlJc w:val="left"/>
      <w:pPr>
        <w:ind w:left="2727" w:hanging="420"/>
      </w:pPr>
    </w:lvl>
    <w:lvl w:ilvl="4">
      <w:start w:val="1"/>
      <w:numFmt w:val="lowerLetter"/>
      <w:isLgl w:val="false"/>
      <w:suff w:val="tab"/>
      <w:lvlText w:val="%5)"/>
      <w:lvlJc w:val="left"/>
      <w:pPr>
        <w:ind w:left="3147" w:hanging="420"/>
      </w:pPr>
    </w:lvl>
    <w:lvl w:ilvl="5">
      <w:start w:val="1"/>
      <w:numFmt w:val="lowerRoman"/>
      <w:isLgl w:val="false"/>
      <w:suff w:val="tab"/>
      <w:lvlText w:val="%6."/>
      <w:lvlJc w:val="right"/>
      <w:pPr>
        <w:ind w:left="3567" w:hanging="420"/>
      </w:pPr>
    </w:lvl>
    <w:lvl w:ilvl="6">
      <w:start w:val="1"/>
      <w:numFmt w:val="decimal"/>
      <w:isLgl w:val="false"/>
      <w:suff w:val="tab"/>
      <w:lvlText w:val="%7."/>
      <w:lvlJc w:val="left"/>
      <w:pPr>
        <w:ind w:left="3987" w:hanging="420"/>
      </w:pPr>
    </w:lvl>
    <w:lvl w:ilvl="7">
      <w:start w:val="1"/>
      <w:numFmt w:val="lowerLetter"/>
      <w:isLgl w:val="false"/>
      <w:suff w:val="tab"/>
      <w:lvlText w:val="%8)"/>
      <w:lvlJc w:val="left"/>
      <w:pPr>
        <w:ind w:left="4407" w:hanging="420"/>
      </w:pPr>
    </w:lvl>
    <w:lvl w:ilvl="8">
      <w:start w:val="1"/>
      <w:numFmt w:val="lowerRoman"/>
      <w:isLgl w:val="false"/>
      <w:suff w:val="tab"/>
      <w:lvlText w:val="%9."/>
      <w:lvlJc w:val="right"/>
      <w:pPr>
        <w:ind w:left="4827" w:hanging="420"/>
      </w:pPr>
    </w:lvl>
  </w:abstractNum>
  <w:abstractNum w:abstractNumId="2">
    <w:multiLevelType w:val="hybridMultilevel"/>
    <w:lvl w:ilvl="0">
      <w:start w:val="1"/>
      <w:numFmt w:val="decimal"/>
      <w:isLgl w:val="false"/>
      <w:suff w:val="space"/>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1467" w:hanging="420"/>
      </w:pPr>
      <w:rPr>
        <w:rFonts w:hint="eastAsia" w:asciiTheme="minorEastAsia" w:hAnsiTheme="minorEastAsia" w:eastAsiaTheme="minorEastAsia"/>
      </w:rPr>
    </w:lvl>
    <w:lvl w:ilvl="1">
      <w:start w:val="1"/>
      <w:numFmt w:val="lowerLetter"/>
      <w:isLgl w:val="false"/>
      <w:suff w:val="tab"/>
      <w:lvlText w:val="%2)"/>
      <w:lvlJc w:val="left"/>
      <w:pPr>
        <w:ind w:left="1887" w:hanging="420"/>
      </w:pPr>
    </w:lvl>
    <w:lvl w:ilvl="2">
      <w:start w:val="1"/>
      <w:numFmt w:val="lowerRoman"/>
      <w:isLgl w:val="false"/>
      <w:suff w:val="tab"/>
      <w:lvlText w:val="%3."/>
      <w:lvlJc w:val="right"/>
      <w:pPr>
        <w:ind w:left="2307" w:hanging="420"/>
      </w:pPr>
    </w:lvl>
    <w:lvl w:ilvl="3">
      <w:start w:val="1"/>
      <w:numFmt w:val="decimal"/>
      <w:isLgl w:val="false"/>
      <w:suff w:val="tab"/>
      <w:lvlText w:val="%4."/>
      <w:lvlJc w:val="left"/>
      <w:pPr>
        <w:ind w:left="2727" w:hanging="420"/>
      </w:pPr>
    </w:lvl>
    <w:lvl w:ilvl="4">
      <w:start w:val="1"/>
      <w:numFmt w:val="lowerLetter"/>
      <w:isLgl w:val="false"/>
      <w:suff w:val="tab"/>
      <w:lvlText w:val="%5)"/>
      <w:lvlJc w:val="left"/>
      <w:pPr>
        <w:ind w:left="3147" w:hanging="420"/>
      </w:pPr>
    </w:lvl>
    <w:lvl w:ilvl="5">
      <w:start w:val="1"/>
      <w:numFmt w:val="lowerRoman"/>
      <w:isLgl w:val="false"/>
      <w:suff w:val="tab"/>
      <w:lvlText w:val="%6."/>
      <w:lvlJc w:val="right"/>
      <w:pPr>
        <w:ind w:left="3567" w:hanging="420"/>
      </w:pPr>
    </w:lvl>
    <w:lvl w:ilvl="6">
      <w:start w:val="1"/>
      <w:numFmt w:val="decimal"/>
      <w:isLgl w:val="false"/>
      <w:suff w:val="tab"/>
      <w:lvlText w:val="%7."/>
      <w:lvlJc w:val="left"/>
      <w:pPr>
        <w:ind w:left="3987" w:hanging="420"/>
      </w:pPr>
    </w:lvl>
    <w:lvl w:ilvl="7">
      <w:start w:val="1"/>
      <w:numFmt w:val="lowerLetter"/>
      <w:isLgl w:val="false"/>
      <w:suff w:val="tab"/>
      <w:lvlText w:val="%8)"/>
      <w:lvlJc w:val="left"/>
      <w:pPr>
        <w:ind w:left="4407" w:hanging="420"/>
      </w:pPr>
    </w:lvl>
    <w:lvl w:ilvl="8">
      <w:start w:val="1"/>
      <w:numFmt w:val="lowerRoman"/>
      <w:isLgl w:val="false"/>
      <w:suff w:val="tab"/>
      <w:lvlText w:val="%9."/>
      <w:lvlJc w:val="right"/>
      <w:pPr>
        <w:ind w:left="4827" w:hanging="420"/>
      </w:pPr>
    </w:lvl>
  </w:abstractNum>
  <w:abstractNum w:abstractNumId="8">
    <w:multiLevelType w:val="hybridMultilevel"/>
    <w:lvl w:ilvl="0">
      <w:start w:val="1"/>
      <w:numFmt w:val="decimalEnclosedCircleChinese"/>
      <w:isLgl w:val="false"/>
      <w:suff w:val="space"/>
      <w:lvlText w:val="%1"/>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682"/>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11">
    <w:multiLevelType w:val="hybridMultilevel"/>
    <w:lvl w:ilvl="0">
      <w:start w:val="1"/>
      <w:numFmt w:val="decimal"/>
      <w:isLgl w:val="false"/>
      <w:suff w:val="nothing"/>
      <w:lvlText w:val="（%1）"/>
      <w:lvlJc w:val="left"/>
      <w:pPr>
        <w:ind w:left="0" w:firstLine="4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2"/>
  </w:num>
  <w:num w:numId="3">
    <w:abstractNumId w:val="1"/>
  </w:num>
  <w:num w:numId="4">
    <w:abstractNumId w:val="11"/>
  </w:num>
  <w:num w:numId="5">
    <w:abstractNumId w:val="3"/>
  </w:num>
  <w:num w:numId="6">
    <w:abstractNumId w:val="8"/>
  </w:num>
  <w:num w:numId="7">
    <w:abstractNumId w:val="7"/>
  </w:num>
  <w:num w:numId="8">
    <w:abstractNumId w:val="2"/>
  </w:num>
  <w:num w:numId="9">
    <w:abstractNumId w:val="13"/>
  </w:num>
  <w:num w:numId="10">
    <w:abstractNumId w:val="6"/>
  </w:num>
  <w:num w:numId="11">
    <w:abstractNumId w:val="9"/>
  </w:num>
  <w:num w:numId="12">
    <w:abstractNumId w:val="5"/>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62"/>
    <w:uiPriority w:val="9"/>
    <w:rPr>
      <w:rFonts w:ascii="Arial" w:hAnsi="Arial" w:eastAsia="Arial" w:cs="Arial"/>
      <w:sz w:val="40"/>
      <w:szCs w:val="40"/>
    </w:rPr>
  </w:style>
  <w:style w:type="character" w:styleId="15">
    <w:name w:val="Heading 2 Char"/>
    <w:basedOn w:val="664"/>
    <w:link w:val="663"/>
    <w:uiPriority w:val="9"/>
    <w:rPr>
      <w:rFonts w:ascii="Arial" w:hAnsi="Arial" w:eastAsia="Arial" w:cs="Arial"/>
      <w:sz w:val="34"/>
    </w:rPr>
  </w:style>
  <w:style w:type="paragraph" w:styleId="16">
    <w:name w:val="Heading 3"/>
    <w:basedOn w:val="661"/>
    <w:next w:val="6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4"/>
    <w:link w:val="16"/>
    <w:uiPriority w:val="9"/>
    <w:rPr>
      <w:rFonts w:ascii="Arial" w:hAnsi="Arial" w:eastAsia="Arial" w:cs="Arial"/>
      <w:sz w:val="30"/>
      <w:szCs w:val="30"/>
    </w:rPr>
  </w:style>
  <w:style w:type="paragraph" w:styleId="18">
    <w:name w:val="Heading 4"/>
    <w:basedOn w:val="661"/>
    <w:next w:val="6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4"/>
    <w:link w:val="18"/>
    <w:uiPriority w:val="9"/>
    <w:rPr>
      <w:rFonts w:ascii="Arial" w:hAnsi="Arial" w:eastAsia="Arial" w:cs="Arial"/>
      <w:b/>
      <w:bCs/>
      <w:sz w:val="26"/>
      <w:szCs w:val="26"/>
    </w:rPr>
  </w:style>
  <w:style w:type="paragraph" w:styleId="20">
    <w:name w:val="Heading 5"/>
    <w:basedOn w:val="661"/>
    <w:next w:val="6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4"/>
    <w:link w:val="20"/>
    <w:uiPriority w:val="9"/>
    <w:rPr>
      <w:rFonts w:ascii="Arial" w:hAnsi="Arial" w:eastAsia="Arial" w:cs="Arial"/>
      <w:b/>
      <w:bCs/>
      <w:sz w:val="24"/>
      <w:szCs w:val="24"/>
    </w:rPr>
  </w:style>
  <w:style w:type="paragraph" w:styleId="22">
    <w:name w:val="Heading 6"/>
    <w:basedOn w:val="661"/>
    <w:next w:val="6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4"/>
    <w:link w:val="22"/>
    <w:uiPriority w:val="9"/>
    <w:rPr>
      <w:rFonts w:ascii="Arial" w:hAnsi="Arial" w:eastAsia="Arial" w:cs="Arial"/>
      <w:b/>
      <w:bCs/>
      <w:sz w:val="22"/>
      <w:szCs w:val="22"/>
    </w:rPr>
  </w:style>
  <w:style w:type="paragraph" w:styleId="24">
    <w:name w:val="Heading 7"/>
    <w:basedOn w:val="661"/>
    <w:next w:val="6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4"/>
    <w:link w:val="24"/>
    <w:uiPriority w:val="9"/>
    <w:rPr>
      <w:rFonts w:ascii="Arial" w:hAnsi="Arial" w:eastAsia="Arial" w:cs="Arial"/>
      <w:b/>
      <w:bCs/>
      <w:i/>
      <w:iCs/>
      <w:sz w:val="22"/>
      <w:szCs w:val="22"/>
    </w:rPr>
  </w:style>
  <w:style w:type="paragraph" w:styleId="26">
    <w:name w:val="Heading 8"/>
    <w:basedOn w:val="661"/>
    <w:next w:val="6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4"/>
    <w:link w:val="26"/>
    <w:uiPriority w:val="9"/>
    <w:rPr>
      <w:rFonts w:ascii="Arial" w:hAnsi="Arial" w:eastAsia="Arial" w:cs="Arial"/>
      <w:i/>
      <w:iCs/>
      <w:sz w:val="22"/>
      <w:szCs w:val="22"/>
    </w:rPr>
  </w:style>
  <w:style w:type="paragraph" w:styleId="28">
    <w:name w:val="Heading 9"/>
    <w:basedOn w:val="661"/>
    <w:next w:val="6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1"/>
    <w:next w:val="661"/>
    <w:link w:val="34"/>
    <w:uiPriority w:val="10"/>
    <w:qFormat/>
    <w:pPr>
      <w:contextualSpacing/>
      <w:spacing w:before="300" w:after="200"/>
    </w:pPr>
    <w:rPr>
      <w:sz w:val="48"/>
      <w:szCs w:val="48"/>
    </w:rPr>
  </w:style>
  <w:style w:type="character" w:styleId="34">
    <w:name w:val="Title Char"/>
    <w:basedOn w:val="664"/>
    <w:link w:val="33"/>
    <w:uiPriority w:val="10"/>
    <w:rPr>
      <w:sz w:val="48"/>
      <w:szCs w:val="48"/>
    </w:rPr>
  </w:style>
  <w:style w:type="paragraph" w:styleId="35">
    <w:name w:val="Subtitle"/>
    <w:basedOn w:val="661"/>
    <w:next w:val="661"/>
    <w:link w:val="36"/>
    <w:uiPriority w:val="11"/>
    <w:qFormat/>
    <w:pPr>
      <w:spacing w:before="200" w:after="200"/>
    </w:pPr>
    <w:rPr>
      <w:sz w:val="24"/>
      <w:szCs w:val="24"/>
    </w:rPr>
  </w:style>
  <w:style w:type="character" w:styleId="36">
    <w:name w:val="Subtitle Char"/>
    <w:basedOn w:val="664"/>
    <w:link w:val="35"/>
    <w:uiPriority w:val="11"/>
    <w:rPr>
      <w:sz w:val="24"/>
      <w:szCs w:val="24"/>
    </w:rPr>
  </w:style>
  <w:style w:type="paragraph" w:styleId="37">
    <w:name w:val="Quote"/>
    <w:basedOn w:val="661"/>
    <w:next w:val="661"/>
    <w:link w:val="38"/>
    <w:uiPriority w:val="29"/>
    <w:qFormat/>
    <w:pPr>
      <w:ind w:left="720" w:right="720"/>
    </w:pPr>
    <w:rPr>
      <w:i/>
    </w:rPr>
  </w:style>
  <w:style w:type="character" w:styleId="38">
    <w:name w:val="Quote Char"/>
    <w:link w:val="37"/>
    <w:uiPriority w:val="29"/>
    <w:rPr>
      <w:i/>
    </w:rPr>
  </w:style>
  <w:style w:type="paragraph" w:styleId="39">
    <w:name w:val="Intense Quote"/>
    <w:basedOn w:val="661"/>
    <w:next w:val="6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4"/>
    <w:link w:val="675"/>
    <w:uiPriority w:val="99"/>
  </w:style>
  <w:style w:type="character" w:styleId="44">
    <w:name w:val="Footer Char"/>
    <w:basedOn w:val="664"/>
    <w:link w:val="674"/>
    <w:uiPriority w:val="99"/>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character" w:styleId="46">
    <w:name w:val="Caption Char"/>
    <w:basedOn w:val="45"/>
    <w:link w:val="674"/>
    <w:uiPriority w:val="99"/>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4"/>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4"/>
    <w:uiPriority w:val="99"/>
    <w:semiHidden/>
    <w:unhideWhenUsed/>
    <w:rPr>
      <w:vertAlign w:val="superscript"/>
    </w:rPr>
  </w:style>
  <w:style w:type="paragraph" w:styleId="180">
    <w:name w:val="toc 1"/>
    <w:basedOn w:val="661"/>
    <w:next w:val="661"/>
    <w:uiPriority w:val="39"/>
    <w:unhideWhenUsed/>
    <w:pPr>
      <w:ind w:left="0" w:right="0" w:firstLine="0"/>
      <w:spacing w:after="57"/>
    </w:pPr>
  </w:style>
  <w:style w:type="paragraph" w:styleId="181">
    <w:name w:val="toc 2"/>
    <w:basedOn w:val="661"/>
    <w:next w:val="661"/>
    <w:uiPriority w:val="39"/>
    <w:unhideWhenUsed/>
    <w:pPr>
      <w:ind w:left="283" w:right="0" w:firstLine="0"/>
      <w:spacing w:after="57"/>
    </w:pPr>
  </w:style>
  <w:style w:type="paragraph" w:styleId="182">
    <w:name w:val="toc 3"/>
    <w:basedOn w:val="661"/>
    <w:next w:val="661"/>
    <w:uiPriority w:val="39"/>
    <w:unhideWhenUsed/>
    <w:pPr>
      <w:ind w:left="567" w:right="0" w:firstLine="0"/>
      <w:spacing w:after="57"/>
    </w:pPr>
  </w:style>
  <w:style w:type="paragraph" w:styleId="183">
    <w:name w:val="toc 4"/>
    <w:basedOn w:val="661"/>
    <w:next w:val="661"/>
    <w:uiPriority w:val="39"/>
    <w:unhideWhenUsed/>
    <w:pPr>
      <w:ind w:left="850" w:right="0" w:firstLine="0"/>
      <w:spacing w:after="57"/>
    </w:pPr>
  </w:style>
  <w:style w:type="paragraph" w:styleId="184">
    <w:name w:val="toc 5"/>
    <w:basedOn w:val="661"/>
    <w:next w:val="661"/>
    <w:uiPriority w:val="39"/>
    <w:unhideWhenUsed/>
    <w:pPr>
      <w:ind w:left="1134" w:right="0" w:firstLine="0"/>
      <w:spacing w:after="57"/>
    </w:pPr>
  </w:style>
  <w:style w:type="paragraph" w:styleId="186">
    <w:name w:val="toc 7"/>
    <w:basedOn w:val="661"/>
    <w:next w:val="661"/>
    <w:uiPriority w:val="39"/>
    <w:unhideWhenUsed/>
    <w:pPr>
      <w:ind w:left="1701" w:right="0" w:firstLine="0"/>
      <w:spacing w:after="57"/>
    </w:pPr>
  </w:style>
  <w:style w:type="paragraph" w:styleId="187">
    <w:name w:val="toc 8"/>
    <w:basedOn w:val="661"/>
    <w:next w:val="661"/>
    <w:uiPriority w:val="39"/>
    <w:unhideWhenUsed/>
    <w:pPr>
      <w:ind w:left="1984" w:right="0" w:firstLine="0"/>
      <w:spacing w:after="57"/>
    </w:pPr>
  </w:style>
  <w:style w:type="paragraph" w:styleId="188">
    <w:name w:val="toc 9"/>
    <w:basedOn w:val="661"/>
    <w:next w:val="6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2">
    <w:name w:val="Heading 1"/>
    <w:basedOn w:val="661"/>
    <w:next w:val="66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63">
    <w:name w:val="Heading 2"/>
    <w:basedOn w:val="661"/>
    <w:next w:val="66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Normal Indent"/>
    <w:basedOn w:val="661"/>
    <w:uiPriority w:val="0"/>
    <w:qFormat/>
    <w:pPr>
      <w:ind w:firstLine="420"/>
    </w:pPr>
    <w:rPr>
      <w:rFonts w:ascii="Times New Roman" w:eastAsia="宋体"/>
      <w:szCs w:val="20"/>
    </w:rPr>
  </w:style>
  <w:style w:type="paragraph" w:styleId="667">
    <w:name w:val="Note Heading"/>
    <w:basedOn w:val="661"/>
    <w:next w:val="661"/>
    <w:uiPriority w:val="0"/>
    <w:qFormat/>
    <w:rPr>
      <w:rFonts w:ascii="Verdana" w:hAnsi="Verdana"/>
      <w:szCs w:val="20"/>
    </w:rPr>
  </w:style>
  <w:style w:type="paragraph" w:styleId="668">
    <w:name w:val="annotation text"/>
    <w:basedOn w:val="661"/>
    <w:uiPriority w:val="0"/>
    <w:qFormat/>
    <w:pPr>
      <w:jc w:val="left"/>
    </w:pPr>
  </w:style>
  <w:style w:type="paragraph" w:styleId="669">
    <w:name w:val="Body Text"/>
    <w:basedOn w:val="661"/>
    <w:next w:val="661"/>
    <w:uiPriority w:val="0"/>
    <w:qFormat/>
    <w:pPr>
      <w:spacing w:after="120"/>
    </w:pPr>
  </w:style>
  <w:style w:type="paragraph" w:styleId="670">
    <w:name w:val="Body Text Indent"/>
    <w:basedOn w:val="661"/>
    <w:next w:val="671"/>
    <w:uiPriority w:val="0"/>
    <w:qFormat/>
    <w:pPr>
      <w:ind w:left="420"/>
      <w:spacing w:after="120"/>
    </w:pPr>
    <w:rPr>
      <w:sz w:val="24"/>
    </w:rPr>
  </w:style>
  <w:style w:type="paragraph" w:styleId="671">
    <w:name w:val="envelope return"/>
    <w:basedOn w:val="661"/>
    <w:uiPriority w:val="99"/>
    <w:qFormat/>
    <w:rPr>
      <w:rFonts w:ascii="Arial" w:hAnsi="Arial" w:cs="Arial"/>
    </w:rPr>
  </w:style>
  <w:style w:type="paragraph" w:styleId="672">
    <w:name w:val="Block Text"/>
    <w:basedOn w:val="66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73">
    <w:name w:val="Plain Text"/>
    <w:basedOn w:val="661"/>
    <w:next w:val="661"/>
    <w:uiPriority w:val="0"/>
    <w:qFormat/>
    <w:rPr>
      <w:rFonts w:hint="eastAsia" w:hAnsi="Courier New" w:eastAsia="宋体"/>
      <w:sz w:val="21"/>
    </w:rPr>
  </w:style>
  <w:style w:type="paragraph" w:styleId="674">
    <w:name w:val="Footer"/>
    <w:basedOn w:val="661"/>
    <w:link w:val="685"/>
    <w:uiPriority w:val="0"/>
    <w:qFormat/>
    <w:pPr>
      <w:jc w:val="left"/>
      <w:tabs>
        <w:tab w:val="center" w:pos="4153" w:leader="none"/>
        <w:tab w:val="right" w:pos="8306" w:leader="none"/>
      </w:tabs>
    </w:pPr>
    <w:rPr>
      <w:sz w:val="18"/>
      <w:szCs w:val="18"/>
    </w:rPr>
  </w:style>
  <w:style w:type="paragraph" w:styleId="675">
    <w:name w:val="Header"/>
    <w:basedOn w:val="661"/>
    <w:link w:val="684"/>
    <w:uiPriority w:val="0"/>
    <w:qFormat/>
    <w:pPr>
      <w:jc w:val="center"/>
      <w:tabs>
        <w:tab w:val="center" w:pos="4153" w:leader="none"/>
        <w:tab w:val="right" w:pos="8306" w:leader="none"/>
      </w:tabs>
      <w:pBdr>
        <w:bottom w:val="single" w:color="auto" w:sz="6" w:space="1"/>
      </w:pBdr>
    </w:pPr>
    <w:rPr>
      <w:sz w:val="18"/>
      <w:szCs w:val="18"/>
    </w:rPr>
  </w:style>
  <w:style w:type="paragraph" w:styleId="676">
    <w:name w:val="toc 6"/>
    <w:basedOn w:val="661"/>
    <w:next w:val="661"/>
    <w:uiPriority w:val="0"/>
    <w:qFormat/>
    <w:pPr>
      <w:ind w:left="1200"/>
      <w:jc w:val="left"/>
    </w:pPr>
    <w:rPr>
      <w:rFonts w:ascii="Calibri" w:hAnsi="Calibri"/>
      <w:sz w:val="18"/>
      <w:szCs w:val="18"/>
    </w:rPr>
  </w:style>
  <w:style w:type="paragraph" w:styleId="677">
    <w:name w:val="Normal (Web)"/>
    <w:basedOn w:val="661"/>
    <w:uiPriority w:val="0"/>
    <w:qFormat/>
    <w:pPr>
      <w:jc w:val="left"/>
      <w:spacing w:beforeAutospacing="1" w:afterAutospacing="1"/>
    </w:pPr>
    <w:rPr>
      <w:rFonts w:cs="Times New Roman"/>
      <w:sz w:val="24"/>
    </w:rPr>
  </w:style>
  <w:style w:type="paragraph" w:styleId="678">
    <w:name w:val="Body Text First Indent"/>
    <w:basedOn w:val="661"/>
    <w:next w:val="676"/>
    <w:uiPriority w:val="0"/>
    <w:qFormat/>
    <w:pPr>
      <w:ind w:firstLine="420"/>
    </w:pPr>
    <w:rPr>
      <w:sz w:val="24"/>
    </w:rPr>
  </w:style>
  <w:style w:type="paragraph" w:styleId="679">
    <w:name w:val="Body Text First Indent 2"/>
    <w:basedOn w:val="670"/>
    <w:uiPriority w:val="0"/>
    <w:qFormat/>
    <w:pPr>
      <w:ind w:firstLine="420"/>
    </w:pPr>
  </w:style>
  <w:style w:type="table" w:styleId="680">
    <w:name w:val="Table Grid"/>
    <w:basedOn w:val="6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Emphasis"/>
    <w:uiPriority w:val="0"/>
    <w:qFormat/>
    <w:rPr>
      <w:i/>
    </w:rPr>
  </w:style>
  <w:style w:type="paragraph" w:styleId="682" w:customStyle="1">
    <w:name w:val="标题 31"/>
    <w:basedOn w:val="661"/>
    <w:next w:val="661"/>
    <w:uiPriority w:val="0"/>
    <w:qFormat/>
    <w:pPr>
      <w:numPr>
        <w:ilvl w:val="2"/>
        <w:numId w:val="1"/>
      </w:numPr>
      <w:keepLines/>
      <w:keepNext/>
      <w:spacing w:before="260" w:after="260" w:line="416" w:lineRule="atLeast"/>
      <w:outlineLvl w:val="2"/>
    </w:pPr>
    <w:rPr>
      <w:b/>
      <w:bCs/>
      <w:sz w:val="32"/>
      <w:szCs w:val="32"/>
    </w:rPr>
  </w:style>
  <w:style w:type="paragraph" w:styleId="683" w:customStyle="1">
    <w:name w:val="Default"/>
    <w:basedOn w:val="661"/>
    <w:uiPriority w:val="0"/>
    <w:semiHidden/>
    <w:qFormat/>
    <w:pPr>
      <w:jc w:val="left"/>
    </w:pPr>
    <w:rPr>
      <w:rFonts w:ascii="宋体" w:hAnsi="Calibri" w:cs="宋体"/>
      <w:color w:val="000000"/>
      <w:sz w:val="24"/>
    </w:rPr>
  </w:style>
  <w:style w:type="character" w:styleId="684" w:customStyle="1">
    <w:name w:val="页眉 Char"/>
    <w:basedOn w:val="664"/>
    <w:link w:val="675"/>
    <w:uiPriority w:val="0"/>
    <w:qFormat/>
    <w:rPr>
      <w:rFonts w:asciiTheme="minorHAnsi" w:hAnsiTheme="minorHAnsi" w:eastAsiaTheme="minorEastAsia" w:cstheme="minorBidi"/>
      <w:sz w:val="18"/>
      <w:szCs w:val="18"/>
    </w:rPr>
  </w:style>
  <w:style w:type="character" w:styleId="685" w:customStyle="1">
    <w:name w:val="页脚 Char"/>
    <w:basedOn w:val="664"/>
    <w:link w:val="674"/>
    <w:uiPriority w:val="0"/>
    <w:qFormat/>
    <w:rPr>
      <w:rFonts w:asciiTheme="minorHAnsi" w:hAnsiTheme="minorHAnsi" w:eastAsiaTheme="minorEastAsia" w:cstheme="minorBidi"/>
      <w:sz w:val="18"/>
      <w:szCs w:val="18"/>
    </w:rPr>
  </w:style>
  <w:style w:type="paragraph" w:styleId="686" w:customStyle="1">
    <w:name w:val="普通正文"/>
    <w:basedOn w:val="661"/>
    <w:uiPriority w:val="0"/>
    <w:qFormat/>
    <w:pPr>
      <w:ind w:firstLine="480"/>
      <w:jc w:val="left"/>
      <w:spacing w:before="120" w:after="120" w:line="360" w:lineRule="auto"/>
    </w:pPr>
    <w:rPr>
      <w:rFonts w:ascii="Arial" w:hAnsi="Arial" w:eastAsia="等线" w:cs="Arial"/>
      <w:sz w:val="24"/>
      <w:szCs w:val="24"/>
    </w:rPr>
  </w:style>
  <w:style w:type="paragraph" w:styleId="687" w:customStyle="1">
    <w:name w:val="正文首行缩进 21"/>
    <w:basedOn w:val="688"/>
    <w:uiPriority w:val="0"/>
    <w:qFormat/>
    <w:pPr>
      <w:ind w:firstLine="420"/>
    </w:pPr>
  </w:style>
  <w:style w:type="paragraph" w:styleId="688" w:customStyle="1">
    <w:name w:val="正文文本缩进1"/>
    <w:basedOn w:val="661"/>
    <w:uiPriority w:val="0"/>
    <w:qFormat/>
    <w:pPr>
      <w:ind w:left="420"/>
      <w:spacing w:after="120"/>
    </w:pPr>
  </w:style>
  <w:style w:type="paragraph" w:styleId="689">
    <w:name w:val="List Paragraph"/>
    <w:basedOn w:val="661"/>
    <w:uiPriority w:val="34"/>
    <w:qFormat/>
    <w:pPr>
      <w:ind w:firstLine="420"/>
      <w:spacing w:line="240" w:lineRule="auto"/>
    </w:pPr>
    <w:rPr>
      <w:rFonts w:ascii="Times New Roman" w:eastAsia="宋体"/>
      <w:sz w:val="20"/>
      <w:szCs w:val="24"/>
    </w:rPr>
  </w:style>
  <w:style w:type="paragraph" w:styleId="690" w:customStyle="1">
    <w:name w:val="1 正文"/>
    <w:basedOn w:val="661"/>
    <w:uiPriority w:val="0"/>
    <w:qFormat/>
    <w:pPr>
      <w:ind w:firstLine="420"/>
    </w:pPr>
    <w:rPr>
      <w:rFonts w:hAnsi="宋体"/>
      <w:sz w:val="24"/>
    </w:rPr>
  </w:style>
  <w:style w:type="paragraph" w:styleId="691" w:customStyle="1">
    <w:name w:val="首行缩进"/>
    <w:basedOn w:val="661"/>
    <w:uiPriority w:val="0"/>
    <w:qFormat/>
    <w:pPr>
      <w:ind w:firstLine="480"/>
      <w:spacing w:line="360" w:lineRule="auto"/>
    </w:pPr>
    <w:rPr>
      <w:rFonts w:ascii="宋体" w:hAnsi="宋体" w:cs="宋体"/>
      <w:sz w:val="24"/>
    </w:rPr>
  </w:style>
  <w:style w:type="paragraph" w:styleId="692" w:customStyle="1">
    <w:name w:val="正文空2格  1."/>
    <w:basedOn w:val="661"/>
    <w:uiPriority w:val="0"/>
    <w:qFormat/>
    <w:pPr>
      <w:ind w:firstLine="480"/>
    </w:pPr>
    <w:rPr>
      <w:rFonts w:cs="宋体"/>
      <w:szCs w:val="20"/>
    </w:rPr>
  </w:style>
  <w:style w:type="paragraph" w:styleId="693" w:customStyle="1">
    <w:name w:val="普通(网站)1"/>
    <w:basedOn w:val="661"/>
    <w:uiPriority w:val="0"/>
    <w:qFormat/>
    <w:rPr>
      <w:rFonts w:ascii="Times New Roman"/>
      <w:szCs w:val="24"/>
    </w:rPr>
  </w:style>
  <w:style w:type="table" w:styleId="694" w:customStyle="1">
    <w:name w:val="Table Normal"/>
    <w:uiPriority w:val="0"/>
    <w:semiHidden/>
    <w:unhideWhenUsed/>
    <w:qFormat/>
    <w:tblPr>
      <w:tblCellMar>
        <w:left w:w="0" w:type="dxa"/>
        <w:top w:w="0" w:type="dxa"/>
        <w:right w:w="0" w:type="dxa"/>
        <w:bottom w:w="0" w:type="dxa"/>
      </w:tblCellMar>
    </w:tblPr>
  </w:style>
  <w:style w:type="paragraph" w:styleId="695" w:customStyle="1">
    <w:name w:val="Normal_0_2"/>
    <w:uiPriority w:val="0"/>
    <w:qFormat/>
    <w:rPr>
      <w:rFonts w:hint="default" w:ascii="Calibri" w:hAnsi="Calibri" w:eastAsia="Times New Roman" w:cs="Times New Roman"/>
      <w:sz w:val="24"/>
      <w:szCs w:val="24"/>
      <w:lang w:val="en-US" w:eastAsia="zh-CN" w:bidi="ar-SA"/>
    </w:rPr>
  </w:style>
  <w:style w:type="paragraph" w:styleId="69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697" w:customStyle="1">
    <w:name w:val="方案正文"/>
    <w:basedOn w:val="698"/>
    <w:uiPriority w:val="0"/>
    <w:qFormat/>
    <w:pPr>
      <w:ind w:firstLine="359"/>
      <w:jc w:val="left"/>
      <w:spacing w:before="156"/>
    </w:pPr>
    <w:rPr>
      <w:rFonts w:ascii="Arial" w:hAnsi="Arial" w:eastAsia="宋体" w:cs="宋体"/>
    </w:rPr>
  </w:style>
  <w:style w:type="paragraph" w:styleId="698" w:customStyle="1">
    <w:name w:val="公文正文"/>
    <w:basedOn w:val="670"/>
    <w:uiPriority w:val="0"/>
    <w:qFormat/>
    <w:pPr>
      <w:ind w:left="0" w:firstLine="200"/>
      <w:spacing w:after="0" w:line="240" w:lineRule="auto"/>
    </w:pPr>
    <w:rPr>
      <w:rFonts w:ascii="仿宋_GB2312" w:hAnsi="宋体" w:eastAsia="仿宋_GB2312"/>
      <w:sz w:val="28"/>
      <w:szCs w:val="24"/>
    </w:rPr>
  </w:style>
  <w:style w:type="numbering" w:styleId="9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曹红芹</cp:lastModifiedBy>
  <cp:revision>191</cp:revision>
  <dcterms:created xsi:type="dcterms:W3CDTF">2014-10-29T12:08:00Z</dcterms:created>
  <dcterms:modified xsi:type="dcterms:W3CDTF">2026-06-18T03:33:38Z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8C617C946F6B4629A6FB1DE111DFEB7B_13</vt:lpwstr>
  </property>
  <property fmtid="{D5CDD505-2E9C-101B-9397-08002B2CF9AE}" pid="4" name="KSOTemplateDocerSaveRecord">
    <vt:lpwstr>eyJoZGlkIjoiM2Y0ODFmNDM2NTVkMTc3MGRiOTY0ZTRmZWY1ZjUyY2IiLCJ1c2VySWQiOiI2NzEzMjE2OTMifQ==</vt:lpwstr>
  </property>
</Properties>
</file>