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ind w:right="-58"/>
        <w:jc w:val="righ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71"/>
        <w:ind w:right="-58"/>
        <w:jc w:val="righ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项目编号：</w:t>
      </w:r>
      <w:r>
        <w:rPr>
          <w:rFonts w:hint="eastAsia" w:ascii="宋体" w:hAnsi="宋体" w:cs="宋体"/>
          <w:b/>
          <w:bCs/>
          <w:color w:val="000000"/>
          <w:szCs w:val="21"/>
          <w:highlight w:val="none"/>
          <w:lang w:eastAsia="zh-CN"/>
        </w:rPr>
        <w:t xml:space="preserve">JSZC-320000-JSWD-G2026-0021</w:t>
      </w:r>
      <w:r>
        <w:rPr>
          <w:rFonts w:hint="eastAsia" w:ascii="宋体" w:hAnsi="宋体" w:eastAsia="宋体" w:cs="宋体"/>
          <w:b/>
          <w:bCs/>
          <w:color w:val="000000"/>
          <w:szCs w:val="21"/>
          <w:highlight w:val="none"/>
          <w:lang w:eastAsia="zh-CN"/>
        </w:rPr>
      </w:r>
      <w:r/>
    </w:p>
    <w:p>
      <w:pPr>
        <w:pStyle w:val="87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97"/>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b/>
          <w:bCs/>
          <w:color w:val="000000"/>
          <w:sz w:val="36"/>
          <w:szCs w:val="36"/>
          <w:highlight w:val="none"/>
        </w:rPr>
        <w:t xml:space="preserve">扬州大学2026年学生宿舍租住服务</w:t>
      </w:r>
      <w:r>
        <w:rPr>
          <w:rFonts w:hint="eastAsia" w:ascii="宋体" w:hAnsi="宋体" w:eastAsia="宋体" w:cs="宋体"/>
          <w:color w:val="000000"/>
          <w:sz w:val="36"/>
          <w:szCs w:val="36"/>
          <w:highlight w:val="none"/>
        </w:rPr>
      </w:r>
      <w:r/>
    </w:p>
    <w:p>
      <w:pPr>
        <w:pStyle w:val="871"/>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公开招标文件</w:t>
      </w:r>
      <w:r>
        <w:rPr>
          <w:rFonts w:hint="eastAsia" w:ascii="宋体" w:hAnsi="宋体" w:cs="宋体"/>
          <w:b/>
          <w:bCs/>
          <w:color w:val="000000"/>
          <w:sz w:val="36"/>
          <w:szCs w:val="36"/>
          <w:highlight w:val="none"/>
        </w:rPr>
      </w:r>
      <w:r/>
    </w:p>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5267858" cy="373301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7858" cy="37330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93.9pt;mso-wrap-distance-left:0.0pt;mso-wrap-distance-top:0.0pt;mso-wrap-distance-right:0.0pt;mso-wrap-distance-bottom:0.0pt;" stroked="f">
                <v:path textboxrect="0,0,0,0"/>
                <v:imagedata r:id="rId15" o:title=""/>
              </v:shape>
            </w:pict>
          </mc:Fallback>
        </mc:AlternateContent>
      </w:r>
      <w:r>
        <w:rPr>
          <w:rFonts w:hint="eastAsia" w:ascii="宋体" w:hAnsi="宋体" w:cs="宋体"/>
          <w:color w:val="000000"/>
          <w:szCs w:val="21"/>
          <w:highlight w:val="none"/>
        </w:rPr>
      </w:r>
      <w:r/>
    </w:p>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江苏万达工程造价事务所有限公司</w:t>
      </w:r>
      <w:r>
        <w:rPr>
          <w:rFonts w:hint="eastAsia" w:ascii="宋体" w:hAnsi="宋体" w:cs="宋体"/>
          <w:b/>
          <w:bCs/>
          <w:color w:val="000000"/>
          <w:sz w:val="36"/>
          <w:szCs w:val="36"/>
          <w:highlight w:val="none"/>
        </w:rPr>
      </w:r>
      <w:r/>
    </w:p>
    <w:p>
      <w:pPr>
        <w:pStyle w:val="871"/>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2026年</w:t>
      </w:r>
      <w:r>
        <w:rPr>
          <w:rFonts w:hint="eastAsia" w:ascii="宋体" w:hAnsi="宋体" w:cs="宋体"/>
          <w:b/>
          <w:bCs/>
          <w:color w:val="000000"/>
          <w:sz w:val="36"/>
          <w:szCs w:val="36"/>
          <w:highlight w:val="none"/>
          <w:lang w:val="en-US" w:eastAsia="zh-CN"/>
        </w:rPr>
        <w:t xml:space="preserve">0</w:t>
      </w:r>
      <w:r>
        <w:rPr>
          <w:rFonts w:hint="eastAsia" w:ascii="宋体" w:hAnsi="宋体" w:cs="宋体"/>
          <w:b/>
          <w:bCs/>
          <w:color w:val="000000"/>
          <w:sz w:val="36"/>
          <w:szCs w:val="36"/>
          <w:highlight w:val="none"/>
          <w:lang w:val="en-US" w:eastAsia="zh-CN"/>
        </w:rPr>
        <w:t xml:space="preserve">6</w:t>
      </w:r>
      <w:r>
        <w:rPr>
          <w:rFonts w:hint="eastAsia" w:ascii="宋体" w:hAnsi="宋体" w:cs="宋体"/>
          <w:b/>
          <w:bCs/>
          <w:color w:val="000000"/>
          <w:sz w:val="36"/>
          <w:szCs w:val="36"/>
          <w:highlight w:val="none"/>
        </w:rPr>
        <w:t xml:space="preserve">月</w:t>
      </w:r>
      <w:r>
        <w:rPr>
          <w:rFonts w:hint="eastAsia" w:ascii="宋体" w:hAnsi="宋体" w:cs="宋体"/>
          <w:b/>
          <w:bCs/>
          <w:color w:val="000000"/>
          <w:sz w:val="36"/>
          <w:szCs w:val="36"/>
          <w:highlight w:val="none"/>
          <w:lang w:val="en-US" w:eastAsia="zh-CN"/>
        </w:rPr>
        <w:t xml:space="preserve">1</w:t>
      </w:r>
      <w:r>
        <w:rPr>
          <w:rFonts w:hint="eastAsia" w:ascii="宋体" w:hAnsi="宋体" w:cs="宋体"/>
          <w:b/>
          <w:bCs/>
          <w:color w:val="000000"/>
          <w:sz w:val="36"/>
          <w:szCs w:val="36"/>
          <w:highlight w:val="none"/>
          <w:lang w:val="en-US" w:eastAsia="zh-CN"/>
        </w:rPr>
        <w:t xml:space="preserve">2</w:t>
      </w:r>
      <w:r>
        <w:rPr>
          <w:rFonts w:hint="eastAsia" w:ascii="宋体" w:hAnsi="宋体" w:cs="宋体"/>
          <w:b/>
          <w:bCs/>
          <w:color w:val="000000"/>
          <w:sz w:val="36"/>
          <w:szCs w:val="36"/>
          <w:highlight w:val="none"/>
        </w:rPr>
        <w:t xml:space="preserve">日</w:t>
      </w:r>
      <w:r>
        <w:rPr>
          <w:rFonts w:hint="eastAsia" w:ascii="宋体" w:hAnsi="宋体" w:cs="宋体"/>
          <w:b/>
          <w:bCs/>
          <w:color w:val="000000"/>
          <w:sz w:val="36"/>
          <w:szCs w:val="36"/>
          <w:highlight w:val="none"/>
        </w:rPr>
      </w:r>
      <w:r/>
    </w:p>
    <w:p>
      <w:pPr>
        <w:pStyle w:val="909"/>
        <w:spacing w:line="360" w:lineRule="auto"/>
        <w:tabs>
          <w:tab w:val="center" w:pos="4153" w:leader="none"/>
          <w:tab w:val="right" w:pos="8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12"/>
        <w:spacing w:line="360" w:lineRule="auto"/>
        <w:tabs>
          <w:tab w:val="right" w:pos="8300" w:leader="dot"/>
        </w:tabs>
        <w:rPr>
          <w:rFonts w:hint="eastAsia" w:ascii="宋体" w:hAnsi="宋体" w:cs="宋体"/>
          <w:b/>
          <w:bCs/>
          <w:color w:val="000000"/>
          <w:szCs w:val="21"/>
          <w:highlight w:val="none"/>
        </w:rPr>
        <w:sectPr>
          <w:headerReference w:type="default" r:id="rId9"/>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s="宋体"/>
          <w:b/>
          <w:bCs/>
          <w:color w:val="000000"/>
          <w:szCs w:val="21"/>
          <w:highlight w:val="none"/>
        </w:rPr>
      </w:r>
      <w:r/>
    </w:p>
    <w:p>
      <w:pPr>
        <w:pStyle w:val="912"/>
        <w:spacing w:line="360" w:lineRule="auto"/>
        <w:tabs>
          <w:tab w:val="right" w:pos="8300" w:leader="dot"/>
        </w:tabs>
        <w:rPr>
          <w:rFonts w:hint="eastAsia" w:ascii="宋体" w:hAnsi="宋体" w:cs="宋体"/>
          <w:color w:val="000000"/>
          <w:szCs w:val="21"/>
          <w:highlight w:val="none"/>
        </w:rPr>
      </w:pPr>
      <w:r>
        <w:rPr>
          <w:rFonts w:hint="eastAsia" w:ascii="宋体" w:hAnsi="宋体" w:cs="宋体"/>
          <w:b/>
          <w:bCs/>
          <w:color w:val="000000"/>
          <w:szCs w:val="21"/>
          <w:highlight w:val="none"/>
        </w:rPr>
        <w:fldChar w:fldCharType="begin"/>
      </w:r>
      <w:r>
        <w:rPr>
          <w:rFonts w:hint="eastAsia" w:ascii="宋体" w:hAnsi="宋体" w:cs="宋体"/>
          <w:b/>
          <w:bCs/>
          <w:color w:val="000000"/>
          <w:szCs w:val="21"/>
          <w:highlight w:val="none"/>
        </w:rPr>
        <w:instrText xml:space="preserve"> TOC \o "1-3" \f </w:instrText>
      </w:r>
      <w:r>
        <w:rPr>
          <w:rFonts w:hint="eastAsia" w:ascii="宋体" w:hAnsi="宋体" w:cs="宋体"/>
          <w:b/>
          <w:bCs/>
          <w:color w:val="000000"/>
          <w:szCs w:val="21"/>
          <w:highlight w:val="none"/>
        </w:rPr>
        <w:fldChar w:fldCharType="separate"/>
      </w:r>
      <w:r>
        <w:rPr>
          <w:rFonts w:hint="eastAsia" w:ascii="宋体" w:hAnsi="宋体" w:cs="宋体"/>
          <w:color w:val="000000"/>
          <w:szCs w:val="21"/>
          <w:highlight w:val="none"/>
        </w:rPr>
      </w:r>
      <w:r/>
    </w:p>
    <w:p>
      <w:pPr>
        <w:pStyle w:val="872"/>
        <w:jc w:val="center"/>
        <w:rPr>
          <w:rFonts w:hint="eastAsia"/>
          <w:color w:val="000000"/>
          <w:highlight w:val="none"/>
        </w:rPr>
      </w:pPr>
      <w:r>
        <w:rPr>
          <w:rFonts w:hint="eastAsia"/>
          <w:color w:val="000000"/>
          <w:highlight w:val="none"/>
        </w:rPr>
        <w:t xml:space="preserve">目 录</w:t>
      </w:r>
      <w:r>
        <w:rPr>
          <w:rFonts w:hint="eastAsia"/>
          <w:color w:val="000000"/>
          <w:highlight w:val="none"/>
        </w:rPr>
      </w:r>
      <w:r/>
    </w:p>
    <w:p>
      <w:pPr>
        <w:pStyle w:val="912"/>
        <w:spacing w:line="360" w:lineRule="auto"/>
        <w:tabs>
          <w:tab w:val="right" w:pos="8300" w:leader="dot"/>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912"/>
        <w:spacing w:line="360" w:lineRule="auto"/>
        <w:tabs>
          <w:tab w:val="right" w:pos="8300" w:leader="dot"/>
        </w:tabs>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TOC \o "1-1" \h \u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\l _Toc19247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第一章 招标公告</w:t>
      </w:r>
      <w:r>
        <w:rPr>
          <w:rFonts w:hint="eastAsia" w:ascii="宋体" w:hAnsi="宋体" w:cs="宋体"/>
          <w:color w:val="000000"/>
          <w:szCs w:val="21"/>
          <w:highlight w:val="none"/>
        </w:rPr>
        <w:tab/>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fldChar w:fldCharType="end"/>
      </w:r>
      <w:r>
        <w:rPr>
          <w:rFonts w:hint="eastAsia" w:ascii="宋体" w:hAnsi="宋体" w:cs="宋体"/>
          <w:color w:val="000000"/>
          <w:szCs w:val="21"/>
          <w:highlight w:val="none"/>
        </w:rPr>
      </w:r>
      <w:r/>
    </w:p>
    <w:p>
      <w:pPr>
        <w:pStyle w:val="912"/>
        <w:spacing w:line="360" w:lineRule="auto"/>
        <w:tabs>
          <w:tab w:val="right" w:pos="8300" w:leader="dot"/>
        </w:tabs>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\l _Toc3930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第二章 供应商须知</w:t>
      </w:r>
      <w:r>
        <w:rPr>
          <w:rFonts w:hint="eastAsia" w:ascii="宋体" w:hAnsi="宋体" w:cs="宋体"/>
          <w:color w:val="000000"/>
          <w:szCs w:val="21"/>
          <w:highlight w:val="none"/>
        </w:rPr>
        <w:tab/>
      </w:r>
      <w:r>
        <w:rPr>
          <w:rFonts w:hint="eastAsia" w:ascii="宋体" w:hAnsi="宋体" w:cs="宋体"/>
          <w:color w:val="000000"/>
          <w:szCs w:val="21"/>
          <w:highlight w:val="none"/>
        </w:rPr>
        <w:t xml:space="preserve">5</w:t>
      </w:r>
      <w:r>
        <w:rPr>
          <w:rFonts w:hint="eastAsia" w:ascii="宋体" w:hAnsi="宋体" w:cs="宋体"/>
          <w:color w:val="000000"/>
          <w:szCs w:val="21"/>
          <w:highlight w:val="none"/>
        </w:rPr>
        <w:fldChar w:fldCharType="end"/>
      </w:r>
      <w:r>
        <w:rPr>
          <w:rFonts w:hint="eastAsia" w:ascii="宋体" w:hAnsi="宋体" w:cs="宋体"/>
          <w:color w:val="000000"/>
          <w:szCs w:val="21"/>
          <w:highlight w:val="none"/>
        </w:rPr>
      </w:r>
      <w:r/>
    </w:p>
    <w:p>
      <w:pPr>
        <w:pStyle w:val="912"/>
        <w:spacing w:line="360" w:lineRule="auto"/>
        <w:tabs>
          <w:tab w:val="right" w:pos="8300" w:leader="dot"/>
        </w:tabs>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\l _Toc11127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第三章 合同条款及格式</w:t>
      </w:r>
      <w:r>
        <w:rPr>
          <w:rFonts w:hint="eastAsia" w:ascii="宋体" w:hAnsi="宋体" w:cs="宋体"/>
          <w:color w:val="000000"/>
          <w:szCs w:val="21"/>
          <w:highlight w:val="none"/>
        </w:rPr>
        <w:tab/>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PAGEREF _Toc11127 \h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17</w:t>
      </w:r>
      <w:r>
        <w:rPr>
          <w:rFonts w:hint="eastAsia" w:ascii="宋体" w:hAnsi="宋体" w:cs="宋体"/>
          <w:color w:val="000000"/>
          <w:szCs w:val="21"/>
          <w:highlight w:val="none"/>
        </w:rPr>
        <w:fldChar w:fldCharType="end"/>
      </w:r>
      <w:r>
        <w:rPr>
          <w:rFonts w:hint="eastAsia" w:ascii="宋体" w:hAnsi="宋体" w:cs="宋体"/>
          <w:color w:val="000000"/>
          <w:szCs w:val="21"/>
          <w:highlight w:val="none"/>
        </w:rPr>
        <w:fldChar w:fldCharType="end"/>
      </w:r>
      <w:r>
        <w:rPr>
          <w:rFonts w:hint="eastAsia" w:ascii="宋体" w:hAnsi="宋体" w:cs="宋体"/>
          <w:color w:val="000000"/>
          <w:szCs w:val="21"/>
          <w:highlight w:val="none"/>
        </w:rPr>
      </w:r>
      <w:r/>
    </w:p>
    <w:p>
      <w:pPr>
        <w:pStyle w:val="912"/>
        <w:spacing w:line="360" w:lineRule="auto"/>
        <w:tabs>
          <w:tab w:val="right" w:pos="8300" w:leader="dot"/>
        </w:tabs>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\l _Toc4787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第四章 项目需求</w:t>
      </w:r>
      <w:r>
        <w:rPr>
          <w:rFonts w:hint="eastAsia" w:ascii="宋体" w:hAnsi="宋体" w:cs="宋体"/>
          <w:color w:val="000000"/>
          <w:szCs w:val="21"/>
          <w:highlight w:val="none"/>
        </w:rPr>
        <w:tab/>
      </w:r>
      <w:r>
        <w:rPr>
          <w:rFonts w:hint="eastAsia" w:ascii="宋体" w:hAnsi="宋体" w:cs="宋体"/>
          <w:color w:val="000000"/>
          <w:szCs w:val="21"/>
          <w:highlight w:val="none"/>
        </w:rPr>
        <w:t xml:space="preserve">2</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p>
      <w:pPr>
        <w:pStyle w:val="912"/>
        <w:spacing w:line="360" w:lineRule="auto"/>
        <w:tabs>
          <w:tab w:val="right" w:pos="8300" w:leader="dot"/>
        </w:tabs>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\l _Toc2548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第五章 评标方法及评标标准</w:t>
      </w:r>
      <w:r>
        <w:rPr>
          <w:rFonts w:hint="eastAsia" w:ascii="宋体" w:hAnsi="宋体" w:cs="宋体"/>
          <w:color w:val="000000"/>
          <w:szCs w:val="21"/>
          <w:highlight w:val="none"/>
        </w:rPr>
        <w:tab/>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PAGEREF _Toc2548 \h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fldChar w:fldCharType="end"/>
      </w:r>
      <w:r>
        <w:rPr>
          <w:rFonts w:hint="eastAsia" w:ascii="宋体" w:hAnsi="宋体" w:cs="宋体"/>
          <w:color w:val="000000"/>
          <w:szCs w:val="21"/>
          <w:highlight w:val="none"/>
        </w:rPr>
        <w:fldChar w:fldCharType="end"/>
      </w:r>
      <w:r>
        <w:rPr>
          <w:rFonts w:hint="eastAsia" w:ascii="宋体" w:hAnsi="宋体" w:cs="宋体"/>
          <w:color w:val="000000"/>
          <w:szCs w:val="21"/>
          <w:highlight w:val="none"/>
        </w:rPr>
      </w:r>
      <w:r/>
    </w:p>
    <w:p>
      <w:pPr>
        <w:pStyle w:val="912"/>
        <w:spacing w:line="360" w:lineRule="auto"/>
        <w:tabs>
          <w:tab w:val="right" w:pos="8300" w:leader="dot"/>
        </w:tabs>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\l _Toc15941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第六章 投标文件格式</w:t>
      </w:r>
      <w:r>
        <w:rPr>
          <w:rFonts w:hint="eastAsia" w:ascii="宋体" w:hAnsi="宋体" w:cs="宋体"/>
          <w:color w:val="000000"/>
          <w:szCs w:val="21"/>
          <w:highlight w:val="none"/>
        </w:rPr>
        <w:tab/>
      </w:r>
      <w:r>
        <w:rPr>
          <w:rFonts w:hint="eastAsia" w:ascii="宋体" w:hAnsi="宋体" w:cs="宋体"/>
          <w:color w:val="000000"/>
          <w:szCs w:val="21"/>
          <w:highlight w:val="none"/>
        </w:rPr>
        <w:t xml:space="preserve">3</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0</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fldChar w:fldCharType="end"/>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rPr>
        <w:fldChar w:fldCharType="end"/>
      </w:r>
      <w:bookmarkStart w:id="0" w:name="_Toc55204177"/>
      <w:r>
        <w:rPr>
          <w:rFonts w:hint="eastAsia" w:ascii="宋体" w:hAnsi="宋体" w:cs="宋体"/>
          <w:b/>
          <w:bCs/>
          <w:color w:val="000000"/>
          <w:szCs w:val="21"/>
          <w:highlight w:val="none"/>
        </w:rPr>
      </w:r>
      <w:r/>
    </w:p>
    <w:p>
      <w:pPr>
        <w:pStyle w:val="872"/>
        <w:jc w:val="center"/>
        <w:spacing w:line="360" w:lineRule="auto"/>
        <w:rPr>
          <w:rFonts w:hint="eastAsia" w:ascii="宋体" w:hAnsi="宋体" w:cs="宋体"/>
          <w:color w:val="000000"/>
          <w:sz w:val="21"/>
          <w:szCs w:val="21"/>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sz w:val="21"/>
          <w:szCs w:val="21"/>
          <w:highlight w:val="none"/>
        </w:rPr>
      </w:r>
      <w:r/>
    </w:p>
    <w:p>
      <w:pPr>
        <w:pStyle w:val="871"/>
        <w:jc w:val="center"/>
        <w:rPr>
          <w:rFonts w:hint="eastAsia"/>
          <w:b/>
          <w:bCs/>
          <w:color w:val="000000"/>
          <w:sz w:val="36"/>
          <w:szCs w:val="36"/>
          <w:highlight w:val="none"/>
        </w:rPr>
      </w:pPr>
      <w:r/>
      <w:bookmarkEnd w:id="0"/>
      <w:r/>
      <w:bookmarkStart w:id="1" w:name="_Toc17588"/>
      <w:r/>
      <w:bookmarkEnd w:id="1"/>
      <w:r>
        <w:rPr>
          <w:rFonts w:hint="eastAsia"/>
          <w:b/>
          <w:bCs/>
          <w:color w:val="000000"/>
          <w:sz w:val="36"/>
          <w:szCs w:val="36"/>
          <w:highlight w:val="none"/>
        </w:rPr>
        <w:t xml:space="preserve">第一章  招标公告</w:t>
      </w:r>
      <w:r>
        <w:rPr>
          <w:rFonts w:hint="eastAsia"/>
          <w:b/>
          <w:bCs/>
          <w:color w:val="000000"/>
          <w:sz w:val="36"/>
          <w:szCs w:val="36"/>
          <w:highlight w:val="none"/>
        </w:rPr>
      </w:r>
      <w:r/>
    </w:p>
    <w:p>
      <w:pPr>
        <w:pStyle w:val="1113"/>
        <w:rPr>
          <w:rFonts w:hint="eastAsia"/>
          <w:color w:val="000000"/>
          <w:highlight w:val="none"/>
        </w:rPr>
      </w:pPr>
      <w:r>
        <w:rPr>
          <w:rFonts w:hint="eastAsia"/>
          <w:color w:val="000000"/>
          <w:highlight w:val="none"/>
        </w:rPr>
      </w:r>
      <w:r/>
    </w:p>
    <w:p>
      <w:pPr>
        <w:pStyle w:val="871"/>
        <w:ind w:firstLine="422"/>
        <w:spacing w:line="360" w:lineRule="auto"/>
        <w:rPr>
          <w:rFonts w:hint="eastAsia" w:ascii="宋体" w:hAnsi="宋体" w:cs="宋体"/>
          <w:b/>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Cs w:val="21"/>
          <w:highlight w:val="none"/>
        </w:rPr>
        <w:t xml:space="preserve">项目概况：</w:t>
      </w:r>
      <w:r>
        <w:rPr>
          <w:rFonts w:hint="eastAsia" w:ascii="宋体" w:hAnsi="宋体" w:cs="宋体"/>
          <w:b/>
          <w:bCs/>
          <w:color w:val="000000"/>
          <w:szCs w:val="21"/>
          <w:highlight w:val="none"/>
        </w:rPr>
      </w:r>
      <w:r/>
    </w:p>
    <w:p>
      <w:pPr>
        <w:pStyle w:val="871"/>
        <w:ind w:firstLine="420"/>
        <w:spacing w:line="360" w:lineRule="auto"/>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rPr>
        <w:t xml:space="preserve">扬州大学2026年学生宿舍租住服务</w:t>
      </w:r>
      <w:r>
        <w:rPr>
          <w:rFonts w:hint="eastAsia" w:ascii="宋体" w:hAnsi="宋体" w:cs="宋体"/>
          <w:color w:val="000000"/>
          <w:szCs w:val="21"/>
          <w:highlight w:val="none"/>
          <w:u w:val="single"/>
          <w:lang w:eastAsia="zh-CN"/>
        </w:rPr>
        <w:t xml:space="preserve">JSZC-320000-JSWD-G2026-0021</w:t>
      </w:r>
      <w:r>
        <w:rPr>
          <w:rFonts w:hint="eastAsia" w:ascii="宋体" w:hAnsi="宋体" w:cs="宋体"/>
          <w:color w:val="000000"/>
          <w:szCs w:val="21"/>
          <w:highlight w:val="none"/>
          <w:u w:val="single"/>
        </w:rPr>
        <w:t xml:space="preserve">号</w:t>
      </w:r>
      <w:r>
        <w:rPr>
          <w:rFonts w:hint="eastAsia" w:ascii="宋体" w:hAnsi="宋体" w:cs="宋体"/>
          <w:color w:val="000000"/>
          <w:szCs w:val="21"/>
          <w:highlight w:val="none"/>
        </w:rPr>
        <w:t xml:space="preserve">招标项目的潜在供应商应在</w:t>
      </w:r>
      <w:r>
        <w:rPr>
          <w:rFonts w:hint="eastAsia" w:ascii="宋体" w:hAnsi="宋体" w:cs="宋体"/>
          <w:color w:val="000000"/>
          <w:szCs w:val="21"/>
          <w:highlight w:val="none"/>
          <w:u w:val="single"/>
        </w:rPr>
        <w:t xml:space="preserve">“江苏政府采购网”自行免费下载</w:t>
      </w:r>
      <w:r>
        <w:rPr>
          <w:rFonts w:hint="eastAsia" w:ascii="宋体" w:hAnsi="宋体" w:cs="宋体"/>
          <w:color w:val="000000"/>
          <w:szCs w:val="21"/>
          <w:highlight w:val="none"/>
        </w:rPr>
        <w:t xml:space="preserve">获取招标文件，并于</w:t>
      </w:r>
      <w:r>
        <w:rPr>
          <w:rFonts w:hint="eastAsia" w:ascii="宋体" w:hAnsi="宋体" w:cs="宋体"/>
          <w:color w:val="000000"/>
          <w:szCs w:val="21"/>
          <w:highlight w:val="none"/>
          <w:u w:val="single"/>
        </w:rPr>
        <w:t xml:space="preserve">2026年</w:t>
      </w:r>
      <w:r>
        <w:rPr>
          <w:rFonts w:hint="eastAsia" w:ascii="宋体" w:hAnsi="宋体" w:cs="宋体"/>
          <w:color w:val="000000"/>
          <w:szCs w:val="21"/>
          <w:highlight w:val="none"/>
          <w:u w:val="single"/>
          <w:lang w:val="en-US" w:eastAsia="zh-CN"/>
        </w:rPr>
        <w:t xml:space="preserve">07</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06</w:t>
      </w:r>
      <w:r>
        <w:rPr>
          <w:rFonts w:hint="eastAsia" w:ascii="宋体" w:hAnsi="宋体" w:cs="宋体"/>
          <w:color w:val="000000"/>
          <w:szCs w:val="21"/>
          <w:highlight w:val="none"/>
          <w:u w:val="single"/>
        </w:rPr>
        <w:t xml:space="preserve">日14点30分</w:t>
      </w:r>
      <w:r>
        <w:rPr>
          <w:rFonts w:hint="eastAsia" w:ascii="宋体" w:hAnsi="宋体" w:cs="宋体"/>
          <w:color w:val="000000"/>
          <w:szCs w:val="21"/>
          <w:highlight w:val="none"/>
        </w:rPr>
        <w:t xml:space="preserve">（北京时间）前递交投标文件。</w:t>
      </w:r>
      <w:r>
        <w:rPr>
          <w:rFonts w:hint="eastAsia" w:ascii="宋体" w:hAnsi="宋体" w:cs="宋体"/>
          <w:color w:val="000000"/>
          <w:szCs w:val="21"/>
          <w:highlight w:val="none"/>
        </w:rPr>
      </w:r>
      <w:r/>
    </w:p>
    <w:p>
      <w:pPr>
        <w:pStyle w:val="871"/>
        <w:spacing w:line="360" w:lineRule="auto"/>
        <w:tabs>
          <w:tab w:val="left" w:pos="266" w:leader="none"/>
        </w:tabs>
        <w:rPr>
          <w:rFonts w:hint="eastAsia" w:ascii="宋体" w:hAnsi="宋体" w:cs="宋体"/>
          <w:b/>
          <w:bCs/>
          <w:color w:val="000000"/>
          <w:szCs w:val="21"/>
          <w:highlight w:val="none"/>
        </w:rPr>
      </w:pPr>
      <w:r/>
      <w:bookmarkStart w:id="2" w:name="_Toc28359079"/>
      <w:r/>
      <w:bookmarkStart w:id="3" w:name="_Toc28359002"/>
      <w:r/>
      <w:bookmarkStart w:id="4" w:name="_Toc35393621"/>
      <w:r/>
      <w:bookmarkStart w:id="5" w:name="_Toc35393790"/>
      <w:r/>
      <w:bookmarkStart w:id="6" w:name="_Toc38985263"/>
      <w:r/>
      <w:bookmarkStart w:id="7" w:name="_Hlk24379207"/>
      <w:r>
        <w:rPr>
          <w:rFonts w:hint="eastAsia" w:ascii="宋体" w:hAnsi="宋体" w:cs="宋体"/>
          <w:b/>
          <w:bCs/>
          <w:color w:val="000000"/>
          <w:szCs w:val="21"/>
          <w:highlight w:val="none"/>
        </w:rPr>
        <w:t xml:space="preserve">一、项目基本情况</w:t>
      </w:r>
      <w:bookmarkEnd w:id="2"/>
      <w:r/>
      <w:bookmarkEnd w:id="3"/>
      <w:r/>
      <w:bookmarkEnd w:id="4"/>
      <w:r/>
      <w:bookmarkEnd w:id="5"/>
      <w:r/>
      <w:bookmarkEnd w:id="6"/>
      <w:r>
        <w:rPr>
          <w:rFonts w:hint="eastAsia" w:ascii="宋体" w:hAnsi="宋体" w:cs="宋体"/>
          <w:b/>
          <w:bCs/>
          <w:color w:val="000000"/>
          <w:szCs w:val="21"/>
          <w:highlight w:val="none"/>
        </w:rPr>
      </w:r>
      <w:r/>
    </w:p>
    <w:p>
      <w:pPr>
        <w:pStyle w:val="871"/>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JSZC-320000-JSWD-G2026-0021</w:t>
      </w:r>
      <w:r>
        <w:rPr>
          <w:rFonts w:hint="eastAsia" w:ascii="宋体" w:hAnsi="宋体" w:eastAsia="宋体" w:cs="宋体"/>
          <w:color w:val="000000"/>
          <w:szCs w:val="21"/>
          <w:highlight w:val="none"/>
          <w:lang w:eastAsia="zh-CN"/>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2.项目名称：</w:t>
      </w:r>
      <w:bookmarkEnd w:id="7"/>
      <w:r>
        <w:rPr>
          <w:rFonts w:hint="eastAsia" w:ascii="宋体" w:hAnsi="宋体" w:cs="宋体"/>
          <w:color w:val="000000"/>
          <w:szCs w:val="21"/>
          <w:highlight w:val="none"/>
        </w:rPr>
        <w:t xml:space="preserve">扬州大学2026年学生宿舍租住服务</w:t>
      </w:r>
      <w:r>
        <w:rPr>
          <w:rFonts w:hint="eastAsia" w:ascii="宋体" w:hAnsi="宋体" w:cs="宋体"/>
          <w:color w:val="000000"/>
          <w:szCs w:val="21"/>
          <w:highlight w:val="none"/>
        </w:rPr>
      </w:r>
      <w:r/>
    </w:p>
    <w:p>
      <w:pPr>
        <w:pStyle w:val="87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3.预算金额：630万元</w:t>
      </w:r>
      <w:r>
        <w:rPr>
          <w:rFonts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4.最高限价：三年555万元，185万元/年，</w:t>
      </w:r>
      <w:r>
        <w:rPr>
          <w:rFonts w:hint="eastAsia" w:ascii="宋体" w:hAnsi="宋体"/>
          <w:color w:val="000000"/>
          <w:spacing w:val="-8"/>
          <w:szCs w:val="21"/>
          <w:highlight w:val="none"/>
        </w:rPr>
        <w:t xml:space="preserve">报价超过最高限价的为无效报价，按照无效响应处理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5.采购需求：</w:t>
      </w:r>
      <w:r>
        <w:rPr>
          <w:rFonts w:hint="eastAsia"/>
          <w:color w:val="000000"/>
          <w:szCs w:val="21"/>
          <w:highlight w:val="none"/>
        </w:rPr>
        <w:t xml:space="preserve">见招标文件第四章“项目需求”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6.合同履行期限：三年，2026年8月1日至2029年7月31日，本项目合同首签壹年，在服务质量考核合格的情况下，校方与供应商可签订下一年合同，续签不超过两次。</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color w:val="000000"/>
          <w:szCs w:val="21"/>
          <w:highlight w:val="none"/>
        </w:rPr>
        <w:t xml:space="preserve">本项目（是/否）接受联合体投标：</w:t>
      </w:r>
      <w:r>
        <w:rPr>
          <w:rFonts w:hint="eastAsia" w:ascii="宋体" w:hAnsi="宋体" w:cs="宋体"/>
          <w:color w:val="000000"/>
          <w:spacing w:val="25"/>
          <w:szCs w:val="21"/>
          <w:highlight w:val="none"/>
        </w:rPr>
        <w:t xml:space="preserve">否</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1"/>
        <w:spacing w:line="360" w:lineRule="auto"/>
        <w:tabs>
          <w:tab w:val="left" w:pos="266" w:leader="none"/>
        </w:tabs>
        <w:rPr>
          <w:rFonts w:hint="eastAsia" w:ascii="宋体" w:hAnsi="宋体" w:cs="宋体"/>
          <w:b/>
          <w:bCs/>
          <w:color w:val="000000"/>
          <w:szCs w:val="21"/>
          <w:highlight w:val="none"/>
        </w:rPr>
      </w:pPr>
      <w:r/>
      <w:bookmarkStart w:id="8" w:name="_Toc35393791"/>
      <w:r/>
      <w:bookmarkStart w:id="9" w:name="_Toc28359080"/>
      <w:r/>
      <w:bookmarkStart w:id="10" w:name="_Toc38985264"/>
      <w:r/>
      <w:bookmarkStart w:id="11" w:name="_Toc35393622"/>
      <w:r/>
      <w:bookmarkStart w:id="12" w:name="_Toc28359003"/>
      <w:r>
        <w:rPr>
          <w:rFonts w:hint="eastAsia" w:ascii="宋体" w:hAnsi="宋体" w:cs="宋体"/>
          <w:b/>
          <w:bCs/>
          <w:color w:val="000000"/>
          <w:szCs w:val="21"/>
          <w:highlight w:val="none"/>
        </w:rPr>
        <w:t xml:space="preserve">二、申请人的资格要求：</w:t>
      </w:r>
      <w:bookmarkEnd w:id="8"/>
      <w:r/>
      <w:bookmarkEnd w:id="9"/>
      <w:r/>
      <w:bookmarkEnd w:id="10"/>
      <w:r/>
      <w:bookmarkEnd w:id="11"/>
      <w:r/>
      <w:bookmarkEnd w:id="12"/>
      <w:r>
        <w:rPr>
          <w:rFonts w:hint="eastAsia" w:ascii="宋体" w:hAnsi="宋体" w:cs="宋体"/>
          <w:b/>
          <w:bCs/>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1.法人或者其他组织的营业执照等证明文件，自然人的身份证明</w:t>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2.上一年度的财务状况报告（成立不满一年无需提供）</w:t>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 依法缴纳税收和社会保障资金的相关材料。</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4.具备履行合同所必需的设备和专业技术能力的书面声明</w:t>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 参加政府采购活动前3年内在经营活动中没有重大违法记录的书面声明</w:t>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 供应商信用承诺书。</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法律、行政法规规定的其他条件：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cs="宋体"/>
          <w:color w:val="000000"/>
          <w:szCs w:val="21"/>
          <w:highlight w:val="none"/>
        </w:rPr>
      </w:r>
      <w:r/>
    </w:p>
    <w:p>
      <w:pPr>
        <w:pStyle w:val="871"/>
        <w:ind w:firstLine="420"/>
        <w:spacing w:line="360" w:lineRule="auto"/>
        <w:rPr>
          <w:rFonts w:hint="eastAsia" w:ascii="宋体" w:hAnsi="宋体" w:cs="宋体"/>
          <w:b/>
          <w:bCs/>
          <w:iCs/>
          <w:color w:val="000000"/>
          <w:szCs w:val="21"/>
          <w:highlight w:val="none"/>
        </w:rPr>
      </w:pPr>
      <w:r>
        <w:rPr>
          <w:rFonts w:hint="eastAsia" w:ascii="宋体" w:hAnsi="宋体" w:cs="宋体"/>
          <w:color w:val="000000"/>
          <w:szCs w:val="21"/>
          <w:highlight w:val="none"/>
        </w:rPr>
        <w:t xml:space="preserve">（二）落实政府采购政策需满足的资格要求：</w:t>
      </w:r>
      <w:r>
        <w:rPr>
          <w:rFonts w:hint="eastAsia"/>
          <w:b/>
          <w:bCs/>
          <w:color w:val="000000"/>
          <w:szCs w:val="21"/>
          <w:highlight w:val="none"/>
        </w:rPr>
        <w:t xml:space="preserve">根据《政府采购促进中小企业发展管理办法》的规定，本项目对小型和微型企业、残疾人福利单位、监狱和戒毒企业提供的货物、服务给予 10%的价格扣除。</w:t>
      </w:r>
      <w:r>
        <w:rPr>
          <w:rFonts w:hint="eastAsia" w:ascii="宋体" w:hAnsi="宋体" w:cs="宋体"/>
          <w:b/>
          <w:bCs/>
          <w:iCs/>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（三）本项目的特定资格要求：无</w:t>
      </w:r>
      <w:r>
        <w:rPr>
          <w:rFonts w:hint="eastAsia" w:ascii="宋体" w:hAnsi="宋体" w:cs="宋体"/>
          <w:bCs/>
          <w:color w:val="000000"/>
          <w:szCs w:val="21"/>
          <w:highlight w:val="none"/>
          <w:lang w:bidi="ar"/>
        </w:rPr>
        <w:t xml:space="preserve"> </w:t>
      </w:r>
      <w:r>
        <w:rPr>
          <w:rFonts w:hint="eastAsia" w:ascii="宋体" w:hAnsi="宋体" w:cs="宋体"/>
          <w:color w:val="000000"/>
          <w:szCs w:val="21"/>
          <w:highlight w:val="none"/>
        </w:rPr>
      </w:r>
      <w:r/>
    </w:p>
    <w:p>
      <w:pPr>
        <w:pStyle w:val="871"/>
        <w:spacing w:line="360" w:lineRule="auto"/>
        <w:tabs>
          <w:tab w:val="left" w:pos="266"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rPr>
          <w:rFonts w:hint="eastAsia" w:ascii="宋体" w:hAnsi="宋体" w:cs="宋体"/>
          <w:b/>
          <w:bCs/>
          <w:color w:val="000000"/>
          <w:szCs w:val="21"/>
          <w:highlight w:val="none"/>
        </w:rPr>
      </w:r>
      <w:r/>
    </w:p>
    <w:p>
      <w:pPr>
        <w:pStyle w:val="871"/>
        <w:ind w:firstLine="540"/>
        <w:spacing w:line="360" w:lineRule="auto"/>
        <w:rPr>
          <w:rFonts w:ascii="Times New Roman" w:hAnsi="Times New Roman" w:cs="宋体"/>
          <w:color w:val="000000"/>
          <w:highlight w:val="none"/>
        </w:rPr>
      </w:pPr>
      <w:r/>
      <w:bookmarkStart w:id="13" w:name="_Toc28359005"/>
      <w:r/>
      <w:bookmarkStart w:id="14" w:name="_Toc28359082"/>
      <w:r/>
      <w:bookmarkStart w:id="15" w:name="_Toc38985266"/>
      <w:r/>
      <w:bookmarkStart w:id="16" w:name="_Toc35393624"/>
      <w:r/>
      <w:bookmarkStart w:id="17" w:name="_Toc35393793"/>
      <w:r>
        <w:rPr>
          <w:rFonts w:hint="eastAsia" w:ascii="宋体" w:hAnsi="宋体" w:cs="宋体"/>
          <w:color w:val="000000"/>
          <w:szCs w:val="21"/>
          <w:highlight w:val="none"/>
        </w:rPr>
        <w:t xml:space="preserve">1.时间：</w:t>
      </w:r>
      <w:r>
        <w:rPr>
          <w:rFonts w:hint="eastAsia"/>
          <w:color w:val="000000"/>
          <w:szCs w:val="21"/>
          <w:highlight w:val="none"/>
        </w:rPr>
        <w:t xml:space="preserve">自招标文件公告发布之日起5个工作日</w:t>
      </w:r>
      <w:r>
        <w:rPr>
          <w:rFonts w:hint="eastAsia" w:ascii="宋体" w:hAnsi="宋体" w:cs="宋体"/>
          <w:color w:val="000000"/>
          <w:szCs w:val="21"/>
          <w:highlight w:val="none"/>
        </w:rPr>
        <w:t xml:space="preserve">。</w:t>
      </w:r>
      <w:r>
        <w:rPr>
          <w:rFonts w:hint="eastAsia" w:ascii="Times New Roman" w:hAnsi="Times New Roman" w:cs="宋体"/>
          <w:color w:val="000000"/>
          <w:highlight w:val="none"/>
        </w:rPr>
        <w:t xml:space="preserve">5个工作日后仍可下载招标文件，但不作为供应商权益受到损害的证明材料和依据。</w:t>
      </w:r>
      <w:r>
        <w:rPr>
          <w:rFonts w:ascii="Times New Roman" w:hAnsi="Times New Roman" w:cs="宋体"/>
          <w:color w:val="000000"/>
          <w:highlight w:val="none"/>
        </w:rPr>
      </w:r>
      <w:r/>
    </w:p>
    <w:p>
      <w:pPr>
        <w:pStyle w:val="871"/>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2.获取方式：本项目采用网上注册登记方式。</w:t>
      </w:r>
      <w:r>
        <w:rPr>
          <w:rFonts w:hint="eastAsia" w:ascii="宋体" w:hAnsi="宋体" w:cs="宋体"/>
          <w:color w:val="000000"/>
          <w:szCs w:val="21"/>
          <w:highlight w:val="none"/>
        </w:rPr>
      </w:r>
      <w:r/>
    </w:p>
    <w:p>
      <w:pPr>
        <w:pStyle w:val="871"/>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3.潜在供应商访问政府采购管理交易系统（苏采云）的网络地址和方法：</w:t>
      </w:r>
      <w:r>
        <w:rPr>
          <w:rFonts w:hint="eastAsia" w:ascii="宋体" w:hAnsi="宋体" w:cs="宋体"/>
          <w:color w:val="000000"/>
          <w:szCs w:val="21"/>
          <w:highlight w:val="none"/>
        </w:rPr>
      </w:r>
      <w:r/>
    </w:p>
    <w:p>
      <w:pPr>
        <w:pStyle w:val="871"/>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招标文件（后缀名为“.kedt”）--将后缀名为“.kedt”的招标文件导入政府采购客户端工具－－制作响应文件－－导出加密的响应文件（后缀名为zip）--通过“苏采云”系统上传响应文件。</w:t>
      </w:r>
      <w:r>
        <w:rPr>
          <w:rFonts w:hint="eastAsia" w:ascii="宋体" w:hAnsi="宋体" w:cs="宋体"/>
          <w:color w:val="000000"/>
          <w:szCs w:val="21"/>
          <w:highlight w:val="none"/>
        </w:rPr>
      </w:r>
      <w:r/>
    </w:p>
    <w:p>
      <w:pPr>
        <w:pStyle w:val="871"/>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highlight w:val="none"/>
        </w:rPr>
      </w:r>
      <w:r/>
    </w:p>
    <w:p>
      <w:pPr>
        <w:pStyle w:val="871"/>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w:t>
      </w:r>
      <w:r>
        <w:rPr>
          <w:rFonts w:hint="eastAsia" w:ascii="宋体" w:hAnsi="宋体" w:cs="宋体"/>
          <w:color w:val="000000"/>
          <w:szCs w:val="21"/>
          <w:highlight w:val="none"/>
        </w:rPr>
      </w:r>
      <w:r/>
    </w:p>
    <w:p>
      <w:pPr>
        <w:pStyle w:val="871"/>
        <w:ind w:firstLine="54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http//zfcg.yangzhou.gov.cn/xzzx/art/2023/art_4d7de1f7865f4a2894fc22bc452f94d8.html。</w:t>
      </w:r>
      <w:r>
        <w:rPr>
          <w:rFonts w:hint="eastAsia" w:ascii="宋体" w:hAnsi="宋体" w:cs="宋体"/>
          <w:color w:val="000000"/>
          <w:szCs w:val="21"/>
          <w:highlight w:val="none"/>
        </w:rPr>
      </w:r>
      <w:r/>
    </w:p>
    <w:p>
      <w:pPr>
        <w:pStyle w:val="871"/>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w:t>
      </w:r>
      <w:r>
        <w:rPr>
          <w:rFonts w:hint="eastAsia" w:ascii="宋体" w:hAnsi="宋体" w:cs="宋体"/>
          <w:color w:val="000000"/>
          <w:szCs w:val="21"/>
          <w:highlight w:val="none"/>
        </w:rPr>
      </w:r>
      <w:r/>
    </w:p>
    <w:p>
      <w:pPr>
        <w:pStyle w:val="871"/>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（5）招标文件（后缀名为“.kedt”）、供应商操作手册及政府采购客户端工具也可通过“苏采云”系统－－已报名项目－－报名详情页面内相应链接进行下载。</w:t>
      </w:r>
      <w:r>
        <w:rPr>
          <w:rFonts w:hint="eastAsia" w:ascii="宋体" w:hAnsi="宋体" w:cs="宋体"/>
          <w:color w:val="000000"/>
          <w:szCs w:val="21"/>
          <w:highlight w:val="none"/>
        </w:rPr>
      </w:r>
      <w:r/>
    </w:p>
    <w:p>
      <w:pPr>
        <w:pStyle w:val="871"/>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（6）招标代理机构（采购代理机构）将数据电文形式的招标文件加载至“苏采云”系统，供潜在供应商下载或者查阅。</w:t>
      </w:r>
      <w:r>
        <w:rPr>
          <w:rFonts w:hint="eastAsia" w:ascii="宋体" w:hAnsi="宋体" w:cs="宋体"/>
          <w:color w:val="000000"/>
          <w:szCs w:val="21"/>
          <w:highlight w:val="none"/>
        </w:rPr>
      </w:r>
      <w:r/>
    </w:p>
    <w:p>
      <w:pPr>
        <w:pStyle w:val="871"/>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（7）苏采云系统使用谷歌浏览器参与不见面开标。</w:t>
      </w:r>
      <w:r>
        <w:rPr>
          <w:rFonts w:hint="eastAsia" w:ascii="宋体" w:hAnsi="宋体" w:cs="宋体"/>
          <w:color w:val="000000"/>
          <w:szCs w:val="21"/>
          <w:highlight w:val="none"/>
        </w:rPr>
      </w:r>
      <w:r/>
    </w:p>
    <w:p>
      <w:pPr>
        <w:pStyle w:val="871"/>
        <w:spacing w:line="360" w:lineRule="auto"/>
        <w:tabs>
          <w:tab w:val="left" w:pos="266"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四、提交投标文件</w:t>
      </w:r>
      <w:bookmarkEnd w:id="13"/>
      <w:r/>
      <w:bookmarkEnd w:id="14"/>
      <w:r>
        <w:rPr>
          <w:rFonts w:hint="eastAsia" w:ascii="宋体" w:hAnsi="宋体" w:cs="宋体"/>
          <w:b/>
          <w:bCs/>
          <w:color w:val="000000"/>
          <w:szCs w:val="21"/>
          <w:highlight w:val="none"/>
        </w:rPr>
        <w:t xml:space="preserve">截止时间、开标时间和地点</w:t>
      </w:r>
      <w:bookmarkEnd w:id="15"/>
      <w:r/>
      <w:bookmarkEnd w:id="16"/>
      <w:r/>
      <w:bookmarkEnd w:id="17"/>
      <w:r>
        <w:rPr>
          <w:rFonts w:hint="eastAsia" w:ascii="宋体" w:hAnsi="宋体" w:cs="宋体"/>
          <w:b/>
          <w:bCs/>
          <w:color w:val="000000"/>
          <w:szCs w:val="21"/>
          <w:highlight w:val="none"/>
        </w:rPr>
      </w:r>
      <w:r/>
    </w:p>
    <w:p>
      <w:pPr>
        <w:pStyle w:val="871"/>
        <w:ind w:firstLine="420"/>
        <w:spacing w:line="360" w:lineRule="auto"/>
        <w:rPr>
          <w:rFonts w:hint="eastAsia" w:ascii="宋体" w:hAnsi="宋体" w:cs="宋体"/>
          <w:bCs/>
          <w:color w:val="000000"/>
          <w:szCs w:val="21"/>
          <w:highlight w:val="none"/>
          <w:u w:val="single"/>
        </w:rPr>
      </w:pPr>
      <w:r/>
      <w:bookmarkStart w:id="18" w:name="_Toc28359007"/>
      <w:r/>
      <w:bookmarkStart w:id="19" w:name="_Toc38985267"/>
      <w:r/>
      <w:bookmarkStart w:id="20" w:name="_Toc28359084"/>
      <w:r/>
      <w:bookmarkStart w:id="21" w:name="_Toc35393625"/>
      <w:r/>
      <w:bookmarkStart w:id="22" w:name="_Toc35393794"/>
      <w:r>
        <w:rPr>
          <w:rFonts w:hint="eastAsia" w:ascii="宋体" w:hAnsi="宋体" w:cs="宋体"/>
          <w:color w:val="000000"/>
          <w:szCs w:val="21"/>
          <w:highlight w:val="none"/>
        </w:rPr>
        <w:t xml:space="preserve">1.时间：</w:t>
      </w:r>
      <w:r>
        <w:rPr>
          <w:rFonts w:hint="eastAsia" w:ascii="宋体" w:hAnsi="宋体" w:cs="宋体"/>
          <w:bCs/>
          <w:color w:val="000000"/>
          <w:szCs w:val="21"/>
          <w:highlight w:val="none"/>
          <w:u w:val="single"/>
        </w:rPr>
        <w:t xml:space="preserve">2026年</w:t>
      </w:r>
      <w:r>
        <w:rPr>
          <w:rFonts w:hint="eastAsia" w:ascii="宋体" w:hAnsi="宋体" w:cs="宋体"/>
          <w:bCs/>
          <w:color w:val="000000"/>
          <w:szCs w:val="21"/>
          <w:highlight w:val="none"/>
          <w:u w:val="single"/>
          <w:lang w:val="en-US" w:eastAsia="zh-CN"/>
        </w:rPr>
        <w:t xml:space="preserve">7</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rPr>
        <w:t xml:space="preserve">日 14:30</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2.地点：</w:t>
      </w:r>
      <w:r>
        <w:rPr>
          <w:rFonts w:hint="eastAsia" w:ascii="宋体" w:hAnsi="宋体" w:cs="宋体"/>
          <w:color w:val="000000"/>
          <w:szCs w:val="21"/>
          <w:highlight w:val="none"/>
          <w:u w:val="single"/>
        </w:rPr>
        <w:t xml:space="preserve">“苏采云”政府采购交易系统。</w:t>
      </w:r>
      <w:r>
        <w:rPr>
          <w:rFonts w:hint="eastAsia" w:ascii="宋体" w:hAnsi="宋体" w:cs="宋体"/>
          <w:color w:val="000000"/>
          <w:szCs w:val="21"/>
          <w:highlight w:val="none"/>
        </w:rPr>
      </w:r>
      <w:r/>
    </w:p>
    <w:p>
      <w:pPr>
        <w:pStyle w:val="871"/>
        <w:spacing w:line="360" w:lineRule="auto"/>
        <w:tabs>
          <w:tab w:val="left" w:pos="266"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五、公告期限</w:t>
      </w:r>
      <w:bookmarkEnd w:id="18"/>
      <w:r/>
      <w:bookmarkEnd w:id="19"/>
      <w:r/>
      <w:bookmarkEnd w:id="20"/>
      <w:r/>
      <w:bookmarkEnd w:id="21"/>
      <w:r/>
      <w:bookmarkEnd w:id="22"/>
      <w:r>
        <w:rPr>
          <w:rFonts w:hint="eastAsia" w:ascii="宋体" w:hAnsi="宋体" w:cs="宋体"/>
          <w:b/>
          <w:bCs/>
          <w:color w:val="000000"/>
          <w:szCs w:val="21"/>
          <w:highlight w:val="none"/>
        </w:rPr>
      </w:r>
      <w:r/>
    </w:p>
    <w:p>
      <w:pPr>
        <w:pStyle w:val="871"/>
        <w:ind w:firstLine="420"/>
        <w:spacing w:line="360" w:lineRule="auto"/>
        <w:rPr>
          <w:rFonts w:hint="eastAsia" w:ascii="宋体" w:hAnsi="宋体" w:cs="宋体"/>
          <w:color w:val="000000"/>
          <w:szCs w:val="21"/>
          <w:highlight w:val="none"/>
        </w:rPr>
      </w:pPr>
      <w:r/>
      <w:bookmarkStart w:id="23" w:name="_Toc38985268"/>
      <w:r/>
      <w:bookmarkStart w:id="24" w:name="_Toc35393795"/>
      <w:r/>
      <w:bookmarkStart w:id="25" w:name="_Toc35393626"/>
      <w:r>
        <w:rPr>
          <w:rFonts w:hint="eastAsia" w:ascii="宋体" w:hAnsi="宋体" w:cs="宋体"/>
          <w:color w:val="000000"/>
          <w:szCs w:val="21"/>
          <w:highlight w:val="none"/>
        </w:rPr>
        <w:t xml:space="preserve">自本公告发布之日起5个工作日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spacing w:line="360" w:lineRule="auto"/>
        <w:tabs>
          <w:tab w:val="left" w:pos="266"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bookmarkEnd w:id="23"/>
      <w:r/>
      <w:bookmarkEnd w:id="24"/>
      <w:r/>
      <w:bookmarkEnd w:id="25"/>
      <w:r>
        <w:rPr>
          <w:rFonts w:hint="eastAsia" w:ascii="宋体" w:hAnsi="宋体" w:cs="宋体"/>
          <w:b/>
          <w:bCs/>
          <w:color w:val="000000"/>
          <w:szCs w:val="21"/>
          <w:highlight w:val="none"/>
        </w:rPr>
      </w:r>
      <w:r/>
    </w:p>
    <w:p>
      <w:pPr>
        <w:pStyle w:val="871"/>
        <w:ind w:firstLine="422"/>
        <w:jc w:val="left"/>
        <w:spacing w:line="360" w:lineRule="auto"/>
        <w:rPr>
          <w:rFonts w:hint="eastAsia" w:ascii="宋体" w:hAnsi="宋体" w:cs="宋体"/>
          <w:color w:val="000000"/>
          <w:szCs w:val="21"/>
          <w:highlight w:val="none"/>
        </w:rPr>
      </w:pPr>
      <w:r/>
      <w:bookmarkStart w:id="26" w:name="_Toc38985269"/>
      <w:r/>
      <w:bookmarkStart w:id="27" w:name="_Toc35393627"/>
      <w:r/>
      <w:bookmarkStart w:id="28" w:name="_Toc28359008"/>
      <w:r/>
      <w:bookmarkStart w:id="29" w:name="_Toc35393796"/>
      <w:r/>
      <w:bookmarkStart w:id="30" w:name="_Toc28359085"/>
      <w:r>
        <w:rPr>
          <w:rFonts w:hint="eastAsia" w:ascii="宋体" w:hAnsi="宋体" w:cs="宋体"/>
          <w:color w:val="000000"/>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color w:val="000000"/>
          <w:szCs w:val="21"/>
          <w:highlight w:val="none"/>
        </w:rPr>
      </w:r>
      <w:r/>
    </w:p>
    <w:p>
      <w:pPr>
        <w:pStyle w:val="871"/>
        <w:ind w:firstLine="42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2.供应商如确定参加投标，可自行下载招标文件及有关资料，按照《操作手册》进行注册，领取CA和办理电子签章，并按《操作手册》要求制作、上传电子投标文件。</w:t>
      </w:r>
      <w:r>
        <w:rPr>
          <w:rFonts w:hint="eastAsia" w:ascii="宋体" w:hAnsi="宋体" w:cs="宋体"/>
          <w:color w:val="000000"/>
          <w:szCs w:val="21"/>
          <w:highlight w:val="none"/>
        </w:rPr>
      </w:r>
      <w:r/>
    </w:p>
    <w:p>
      <w:pPr>
        <w:pStyle w:val="871"/>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3.本项目招标文件中所有斜体下划线部分为实质性条款，如不满足，则为无效投标。</w:t>
      </w:r>
      <w:r>
        <w:rPr>
          <w:rFonts w:hint="eastAsia" w:ascii="宋体" w:hAnsi="宋体" w:cs="宋体"/>
          <w:i/>
          <w:iCs/>
          <w:color w:val="000000"/>
          <w:szCs w:val="21"/>
          <w:highlight w:val="none"/>
          <w:u w:val="singl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4.有关本次招标的事项若存在变动或修改，敬请及时关注采购人在“江苏政府采购网”发布的更正公告。</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color w:val="000000"/>
          <w:szCs w:val="21"/>
          <w:highlight w:val="none"/>
        </w:rPr>
        <w:t xml:space="preserve">本次招标不收取投标保证金。</w:t>
      </w:r>
      <w:r>
        <w:rPr>
          <w:rFonts w:hint="eastAsia" w:ascii="宋体" w:hAnsi="宋体" w:cs="宋体"/>
          <w:color w:val="000000"/>
          <w:szCs w:val="21"/>
          <w:highlight w:val="none"/>
        </w:rPr>
      </w:r>
      <w:r/>
    </w:p>
    <w:p>
      <w:pPr>
        <w:pStyle w:val="871"/>
        <w:ind w:firstLine="420"/>
        <w:jc w:val="left"/>
        <w:spacing w:line="360" w:lineRule="auto"/>
        <w:tabs>
          <w:tab w:val="left" w:pos="266"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6.如在开标时间发生系统崩溃等不可预见的情况，造成开评标活动无法正常进行的，将延迟开评标，具体开评标时间另行通知。</w:t>
      </w:r>
      <w:r>
        <w:rPr>
          <w:rFonts w:hint="eastAsia" w:ascii="宋体" w:hAnsi="宋体" w:cs="宋体"/>
          <w:bCs/>
          <w:color w:val="000000"/>
          <w:szCs w:val="21"/>
          <w:highlight w:val="none"/>
        </w:rPr>
      </w:r>
      <w:r/>
    </w:p>
    <w:p>
      <w:pPr>
        <w:pStyle w:val="871"/>
        <w:ind w:firstLine="420"/>
        <w:jc w:val="left"/>
        <w:spacing w:line="360" w:lineRule="auto"/>
        <w:tabs>
          <w:tab w:val="left" w:pos="266"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7.为落实好政府采购履约资金扶持政策，中标/成交人可凭政府采购合同办理融资贷款，详见江苏政府采购网“政采贷”专栏。</w:t>
      </w:r>
      <w:r>
        <w:rPr>
          <w:rFonts w:hint="eastAsia" w:ascii="宋体" w:hAnsi="宋体" w:cs="宋体"/>
          <w:bCs/>
          <w:color w:val="000000"/>
          <w:szCs w:val="21"/>
          <w:highlight w:val="none"/>
        </w:rPr>
      </w:r>
      <w:r/>
    </w:p>
    <w:p>
      <w:pPr>
        <w:pStyle w:val="871"/>
        <w:ind w:firstLine="420"/>
        <w:jc w:val="left"/>
        <w:spacing w:line="360" w:lineRule="auto"/>
        <w:tabs>
          <w:tab w:val="left" w:pos="266"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8.本项目严格执行政府采购关于支持节能产品</w:t>
      </w:r>
      <w:r>
        <w:rPr>
          <w:rFonts w:hint="eastAsia" w:ascii="宋体" w:hAnsi="宋体" w:cs="宋体"/>
          <w:bCs/>
          <w:color w:val="000000"/>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cs="宋体"/>
          <w:bCs/>
          <w:color w:val="000000"/>
          <w:szCs w:val="21"/>
          <w:highlight w:val="none"/>
        </w:rPr>
      </w:r>
      <w:r/>
    </w:p>
    <w:p>
      <w:pPr>
        <w:pStyle w:val="871"/>
        <w:ind w:firstLine="420"/>
        <w:jc w:val="left"/>
        <w:spacing w:line="360" w:lineRule="auto"/>
        <w:tabs>
          <w:tab w:val="left" w:pos="266"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9.供应商对于所投产品的包装应按照“财办库〔2020〕123号【关于印发《商品包装政府采购需求标准（试行）》《快递包装政府采购需求标准（试行）》的通知】”执行。</w:t>
      </w:r>
      <w:r>
        <w:rPr>
          <w:rFonts w:hint="eastAsia" w:ascii="宋体" w:hAnsi="宋体" w:cs="宋体"/>
          <w:bCs/>
          <w:color w:val="000000"/>
          <w:szCs w:val="21"/>
          <w:highlight w:val="none"/>
        </w:rPr>
      </w:r>
      <w:r/>
    </w:p>
    <w:p>
      <w:pPr>
        <w:pStyle w:val="871"/>
        <w:spacing w:line="360" w:lineRule="auto"/>
        <w:tabs>
          <w:tab w:val="left" w:pos="266" w:leader="none"/>
        </w:tabs>
        <w:rPr>
          <w:rFonts w:hint="eastAsia" w:ascii="宋体" w:hAnsi="宋体" w:cs="宋体"/>
          <w:b/>
          <w:bCs/>
          <w:color w:val="000000"/>
          <w:szCs w:val="21"/>
          <w:highlight w:val="none"/>
        </w:rPr>
      </w:pPr>
      <w:r/>
      <w:bookmarkEnd w:id="26"/>
      <w:r/>
      <w:bookmarkEnd w:id="27"/>
      <w:r/>
      <w:bookmarkEnd w:id="28"/>
      <w:r/>
      <w:bookmarkEnd w:id="29"/>
      <w:r/>
      <w:bookmarkEnd w:id="30"/>
      <w:r/>
      <w:bookmarkStart w:id="31" w:name="_Toc28359087"/>
      <w:r/>
      <w:bookmarkStart w:id="32" w:name="_Toc28359010"/>
      <w:r>
        <w:rPr>
          <w:rFonts w:hint="eastAsia" w:ascii="宋体" w:hAnsi="宋体" w:cs="宋体"/>
          <w:b/>
          <w:bCs/>
          <w:color w:val="000000"/>
          <w:szCs w:val="21"/>
          <w:highlight w:val="none"/>
        </w:rPr>
        <w:t xml:space="preserve">七、本次招标联系方式</w:t>
      </w:r>
      <w:r>
        <w:rPr>
          <w:rFonts w:hint="eastAsia" w:ascii="宋体" w:hAnsi="宋体" w:cs="宋体"/>
          <w:b/>
          <w:bCs/>
          <w:color w:val="000000"/>
          <w:szCs w:val="21"/>
          <w:highlight w:val="none"/>
        </w:rPr>
      </w:r>
      <w:r/>
    </w:p>
    <w:p>
      <w:pPr>
        <w:pStyle w:val="902"/>
        <w:ind w:firstLine="420"/>
        <w:spacing w:line="360" w:lineRule="auto"/>
        <w:rPr>
          <w:rFonts w:hint="eastAsia" w:hAnsi="宋体" w:cs="宋体"/>
          <w:color w:val="000000"/>
          <w:sz w:val="21"/>
          <w:highlight w:val="none"/>
        </w:rPr>
      </w:pPr>
      <w:r>
        <w:rPr>
          <w:rFonts w:hint="eastAsia" w:hAnsi="宋体" w:cs="宋体"/>
          <w:color w:val="000000"/>
          <w:sz w:val="21"/>
          <w:highlight w:val="none"/>
        </w:rPr>
        <w:t xml:space="preserve">1.采购人信息</w:t>
      </w:r>
      <w:r>
        <w:rPr>
          <w:rFonts w:hint="eastAsia" w:hAnsi="宋体" w:cs="宋体"/>
          <w:color w:val="000000"/>
          <w:sz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color w:val="000000"/>
          <w:szCs w:val="21"/>
          <w:highlight w:val="none"/>
        </w:rPr>
        <w:t xml:space="preserve">扬州大学（本部）</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址：扬州市大学南路88号</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color w:val="000000"/>
          <w:szCs w:val="21"/>
          <w:highlight w:val="none"/>
        </w:rPr>
        <w:t xml:space="preserve">刘坤</w:t>
      </w:r>
      <w:r>
        <w:rPr>
          <w:rFonts w:hint="eastAsia" w:ascii="宋体" w:hAnsi="宋体" w:cs="宋体"/>
          <w:color w:val="000000"/>
          <w:szCs w:val="21"/>
          <w:highlight w:val="none"/>
        </w:rPr>
      </w:r>
      <w:r/>
    </w:p>
    <w:p>
      <w:pPr>
        <w:pStyle w:val="871"/>
        <w:ind w:firstLine="420"/>
        <w:jc w:val="left"/>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lang w:val="en-US" w:eastAsia="zh-CN"/>
        </w:rPr>
        <w:t xml:space="preserve">0514-87977862</w:t>
      </w:r>
      <w:r>
        <w:rPr>
          <w:rFonts w:ascii="宋体" w:hAnsi="宋体" w:eastAsia="宋体" w:cs="宋体"/>
          <w:color w:val="000000"/>
          <w:szCs w:val="21"/>
          <w:highlight w:val="none"/>
          <w:lang w:val="en-US" w:eastAsia="zh-CN"/>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2.代理机构信息</w:t>
      </w:r>
      <w:r>
        <w:rPr>
          <w:rFonts w:hint="eastAsia" w:ascii="宋体" w:hAnsi="宋体" w:cs="宋体"/>
          <w:color w:val="000000"/>
          <w:szCs w:val="21"/>
          <w:highlight w:val="none"/>
        </w:rPr>
      </w:r>
      <w:r/>
    </w:p>
    <w:p>
      <w:pPr>
        <w:pStyle w:val="871"/>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名 称：江苏万达工程造价事务所有限公司</w:t>
      </w:r>
      <w:r>
        <w:rPr>
          <w:rFonts w:hint="eastAsia" w:ascii="宋体" w:hAnsi="宋体" w:cs="宋体"/>
          <w:color w:val="000000"/>
          <w:szCs w:val="21"/>
          <w:highlight w:val="none"/>
        </w:rPr>
      </w:r>
      <w:r/>
    </w:p>
    <w:p>
      <w:pPr>
        <w:pStyle w:val="871"/>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　址：扬州市邗江北路中石化南侧邗文化博物馆1号院</w:t>
      </w:r>
      <w:r>
        <w:rPr>
          <w:rFonts w:hint="eastAsia" w:ascii="宋体" w:hAnsi="宋体" w:cs="宋体"/>
          <w:color w:val="000000"/>
          <w:szCs w:val="21"/>
          <w:highlight w:val="none"/>
        </w:rPr>
      </w:r>
      <w:r/>
    </w:p>
    <w:p>
      <w:pPr>
        <w:pStyle w:val="871"/>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联系人：肖红红</w:t>
      </w:r>
      <w:r>
        <w:rPr>
          <w:rFonts w:hint="eastAsia" w:ascii="宋体" w:hAnsi="宋体" w:cs="宋体"/>
          <w:color w:val="000000"/>
          <w:szCs w:val="21"/>
          <w:highlight w:val="none"/>
        </w:rPr>
      </w:r>
      <w:r/>
    </w:p>
    <w:p>
      <w:pPr>
        <w:pStyle w:val="871"/>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联系方式：17368903512</w:t>
      </w:r>
      <w:r>
        <w:rPr>
          <w:rFonts w:hint="eastAsia" w:ascii="宋体" w:hAnsi="宋体" w:cs="宋体"/>
          <w:color w:val="000000"/>
          <w:szCs w:val="21"/>
          <w:highlight w:val="none"/>
        </w:rPr>
      </w:r>
      <w:r/>
    </w:p>
    <w:p>
      <w:pPr>
        <w:pStyle w:val="871"/>
        <w:ind w:left="420"/>
        <w:spacing w:line="360" w:lineRule="auto"/>
        <w:tabs>
          <w:tab w:val="left" w:pos="900" w:leader="none"/>
        </w:tabs>
        <w:rPr>
          <w:rFonts w:hint="eastAsia" w:ascii="宋体" w:hAnsi="宋体" w:cs="宋体"/>
          <w:color w:val="000000"/>
          <w:szCs w:val="21"/>
          <w:highlight w:val="none"/>
        </w:rPr>
      </w:pPr>
      <w:r/>
      <w:bookmarkEnd w:id="31"/>
      <w:r/>
      <w:bookmarkEnd w:id="32"/>
      <w:r/>
      <w:bookmarkStart w:id="33" w:name="_Toc55204178"/>
      <w:r>
        <w:rPr>
          <w:rFonts w:hint="eastAsia" w:ascii="宋体" w:hAnsi="宋体" w:cs="宋体"/>
          <w:color w:val="000000"/>
          <w:szCs w:val="21"/>
          <w:highlight w:val="none"/>
        </w:rPr>
        <w:t xml:space="preserve">3.项目联系方式</w:t>
      </w:r>
      <w:r>
        <w:rPr>
          <w:rFonts w:hint="eastAsia" w:ascii="宋体" w:hAnsi="宋体" w:cs="宋体"/>
          <w:color w:val="000000"/>
          <w:szCs w:val="21"/>
          <w:highlight w:val="none"/>
        </w:rPr>
      </w:r>
      <w:r/>
    </w:p>
    <w:p>
      <w:pPr>
        <w:pStyle w:val="871"/>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项目联系人：肖红红</w:t>
      </w:r>
      <w:r>
        <w:rPr>
          <w:rFonts w:hint="eastAsia" w:ascii="宋体" w:hAnsi="宋体" w:cs="宋体"/>
          <w:color w:val="000000"/>
          <w:szCs w:val="21"/>
          <w:highlight w:val="none"/>
        </w:rPr>
      </w:r>
      <w:r/>
    </w:p>
    <w:p>
      <w:pPr>
        <w:pStyle w:val="871"/>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电话：17368903512</w:t>
      </w:r>
      <w:r>
        <w:rPr>
          <w:rFonts w:hint="eastAsia" w:ascii="宋体" w:hAnsi="宋体" w:cs="宋体"/>
          <w:color w:val="000000"/>
          <w:szCs w:val="21"/>
          <w:highlight w:val="none"/>
        </w:rPr>
      </w:r>
      <w:r/>
    </w:p>
    <w:p>
      <w:pPr>
        <w:pStyle w:val="871"/>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72"/>
        <w:jc w:val="center"/>
        <w:spacing w:line="360" w:lineRule="auto"/>
        <w:rPr>
          <w:rFonts w:hint="eastAsia" w:ascii="宋体" w:hAnsi="宋体" w:cs="宋体"/>
          <w:color w:val="000000"/>
          <w:sz w:val="21"/>
          <w:szCs w:val="21"/>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34" w:name="_Toc9345"/>
      <w:r>
        <w:rPr>
          <w:rFonts w:hint="eastAsia" w:ascii="宋体" w:hAnsi="宋体" w:cs="宋体"/>
          <w:color w:val="000000"/>
          <w:sz w:val="21"/>
          <w:szCs w:val="21"/>
          <w:highlight w:val="none"/>
        </w:rPr>
      </w:r>
      <w:r/>
    </w:p>
    <w:p>
      <w:pPr>
        <w:pStyle w:val="871"/>
        <w:jc w:val="center"/>
        <w:rPr>
          <w:rFonts w:hint="eastAsia"/>
          <w:color w:val="000000"/>
          <w:highlight w:val="none"/>
        </w:rPr>
      </w:pPr>
      <w:r/>
      <w:bookmarkStart w:id="35" w:name="_Toc3930"/>
      <w:r>
        <w:rPr>
          <w:rFonts w:hint="eastAsia"/>
          <w:b/>
          <w:bCs/>
          <w:color w:val="000000"/>
          <w:sz w:val="36"/>
          <w:szCs w:val="36"/>
          <w:highlight w:val="none"/>
        </w:rPr>
        <w:t xml:space="preserve">第二章 供应商须知</w:t>
      </w:r>
      <w:bookmarkEnd w:id="33"/>
      <w:r/>
      <w:bookmarkEnd w:id="34"/>
      <w:r/>
      <w:bookmarkEnd w:id="35"/>
      <w:r>
        <w:rPr>
          <w:rFonts w:hint="eastAsia"/>
          <w:color w:val="000000"/>
          <w:highlight w:val="none"/>
        </w:rPr>
      </w:r>
      <w:r/>
    </w:p>
    <w:p>
      <w:pPr>
        <w:pStyle w:val="87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1.招标方式</w:t>
      </w:r>
      <w:r>
        <w:rPr>
          <w:rFonts w:hint="eastAsia" w:ascii="宋体" w:hAnsi="宋体" w:cs="宋体"/>
          <w:b/>
          <w:color w:val="000000"/>
          <w:szCs w:val="21"/>
          <w:highlight w:val="none"/>
        </w:rPr>
      </w:r>
      <w:r/>
    </w:p>
    <w:p>
      <w:pPr>
        <w:pStyle w:val="8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 本次招标采取公开招标方式，本招标文件仅适用于招标公告中所述项目。</w:t>
      </w:r>
      <w:r>
        <w:rPr>
          <w:rFonts w:hint="eastAsia" w:ascii="宋体" w:hAnsi="宋体" w:cs="宋体"/>
          <w:bCs/>
          <w:color w:val="000000"/>
          <w:szCs w:val="21"/>
          <w:highlight w:val="none"/>
        </w:rPr>
      </w:r>
      <w:r/>
    </w:p>
    <w:p>
      <w:pPr>
        <w:pStyle w:val="87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2.合格的供应商</w:t>
      </w:r>
      <w:r>
        <w:rPr>
          <w:rFonts w:hint="eastAsia" w:ascii="宋体" w:hAnsi="宋体" w:cs="宋体"/>
          <w:b/>
          <w:color w:val="000000"/>
          <w:szCs w:val="21"/>
          <w:highlight w:val="none"/>
        </w:rPr>
      </w:r>
      <w:r/>
    </w:p>
    <w:p>
      <w:pPr>
        <w:pStyle w:val="8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 满足招标公告中供应商的资格要求的规定。</w:t>
      </w:r>
      <w:r>
        <w:rPr>
          <w:rFonts w:hint="eastAsia" w:ascii="宋体" w:hAnsi="宋体" w:cs="宋体"/>
          <w:bCs/>
          <w:color w:val="000000"/>
          <w:szCs w:val="21"/>
          <w:highlight w:val="none"/>
        </w:rPr>
      </w:r>
      <w:r/>
    </w:p>
    <w:p>
      <w:pPr>
        <w:pStyle w:val="8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 满足本文件实质性要求的规定。</w:t>
      </w:r>
      <w:r>
        <w:rPr>
          <w:rFonts w:hint="eastAsia" w:ascii="宋体" w:hAnsi="宋体" w:cs="宋体"/>
          <w:bCs/>
          <w:color w:val="000000"/>
          <w:szCs w:val="21"/>
          <w:highlight w:val="none"/>
        </w:rPr>
      </w:r>
      <w:r/>
    </w:p>
    <w:p>
      <w:pPr>
        <w:pStyle w:val="87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3.适用法律和标准</w:t>
      </w:r>
      <w:r>
        <w:rPr>
          <w:rFonts w:hint="eastAsia" w:ascii="宋体" w:hAnsi="宋体" w:cs="宋体"/>
          <w:b/>
          <w:color w:val="000000"/>
          <w:szCs w:val="21"/>
          <w:highlight w:val="none"/>
        </w:rPr>
      </w:r>
      <w:r/>
    </w:p>
    <w:p>
      <w:pPr>
        <w:pStyle w:val="8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3.1 本次招标及由此产生的合同受中华人民共和国有关的法律法规制约和保护。</w:t>
      </w:r>
      <w:r>
        <w:rPr>
          <w:rFonts w:hint="eastAsia" w:ascii="宋体" w:hAnsi="宋体" w:cs="宋体"/>
          <w:bCs/>
          <w:color w:val="000000"/>
          <w:szCs w:val="21"/>
          <w:highlight w:val="none"/>
        </w:rPr>
      </w:r>
      <w:r/>
    </w:p>
    <w:p>
      <w:pPr>
        <w:pStyle w:val="8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3.2 在本项目政府采购活动过程中，如果所执行的标准有更新的，按照最新标准执行。</w:t>
      </w:r>
      <w:r>
        <w:rPr>
          <w:rFonts w:hint="eastAsia" w:ascii="宋体" w:hAnsi="宋体" w:cs="宋体"/>
          <w:bCs/>
          <w:color w:val="000000"/>
          <w:szCs w:val="21"/>
          <w:highlight w:val="none"/>
        </w:rPr>
      </w:r>
      <w:r/>
    </w:p>
    <w:p>
      <w:pPr>
        <w:pStyle w:val="87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4.投标费用</w:t>
      </w:r>
      <w:r>
        <w:rPr>
          <w:rFonts w:hint="eastAsia" w:ascii="宋体" w:hAnsi="宋体" w:cs="宋体"/>
          <w:b/>
          <w:color w:val="000000"/>
          <w:szCs w:val="21"/>
          <w:highlight w:val="none"/>
        </w:rPr>
      </w:r>
      <w:r/>
    </w:p>
    <w:p>
      <w:pPr>
        <w:pStyle w:val="871"/>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4.1</w:t>
      </w:r>
      <w:r>
        <w:rPr>
          <w:rFonts w:hint="eastAsia" w:ascii="宋体" w:hAnsi="宋体" w:cs="宋体"/>
          <w:color w:val="000000"/>
          <w:szCs w:val="21"/>
          <w:highlight w:val="none"/>
        </w:rPr>
        <w:t xml:space="preserve">供应商应自行承担所有与参加投标有关的费用，无论投标过程中的做法和结果如何，代理机构在任何情况下均无义务和责任承担这些费用。</w:t>
      </w:r>
      <w:r>
        <w:rPr>
          <w:rFonts w:ascii="宋体" w:hAnsi="宋体" w:cs="宋体"/>
          <w:color w:val="000000"/>
          <w:szCs w:val="21"/>
          <w:highlight w:val="none"/>
        </w:rPr>
      </w:r>
      <w:r/>
    </w:p>
    <w:p>
      <w:pPr>
        <w:pStyle w:val="1114"/>
        <w:ind w:firstLine="420"/>
        <w:spacing w:before="0" w:after="0" w:line="360" w:lineRule="auto"/>
        <w:rPr>
          <w:rFonts w:hint="eastAsia" w:ascii="Times New Roman" w:hAnsi="Times New Roman" w:eastAsia="宋体"/>
          <w:b w:val="0"/>
          <w:bCs w:val="0"/>
          <w:color w:val="000000"/>
          <w:sz w:val="21"/>
          <w:szCs w:val="21"/>
          <w:highlight w:val="none"/>
        </w:rPr>
      </w:pPr>
      <w:r>
        <w:rPr>
          <w:rFonts w:hint="eastAsia" w:ascii="宋体" w:hAnsi="宋体" w:eastAsia="宋体" w:cs="宋体"/>
          <w:b w:val="0"/>
          <w:color w:val="000000"/>
          <w:sz w:val="21"/>
          <w:szCs w:val="21"/>
          <w:highlight w:val="none"/>
        </w:rPr>
        <w:t xml:space="preserve">4.2本次采购由中标供</w:t>
      </w:r>
      <w:r>
        <w:rPr>
          <w:rFonts w:hint="eastAsia" w:ascii="Times New Roman" w:hAnsi="Times New Roman" w:eastAsia="宋体"/>
          <w:b w:val="0"/>
          <w:bCs w:val="0"/>
          <w:color w:val="000000"/>
          <w:sz w:val="21"/>
          <w:szCs w:val="21"/>
          <w:highlight w:val="none"/>
        </w:rPr>
        <w:t xml:space="preserve">应商在领取中标通知书前一次性支付给招标代理机构代理服务费，招标代理服务费按国家计委计价格[2002]1980号文规定服务类标准*27.17 %计算</w:t>
      </w:r>
      <w:r>
        <w:rPr>
          <w:rFonts w:hint="eastAsia" w:ascii="Times New Roman" w:hAnsi="Times New Roman" w:eastAsia="宋体" w:cs="Times New Roman"/>
          <w:b w:val="0"/>
          <w:bCs w:val="0"/>
          <w:color w:val="000000"/>
          <w:sz w:val="21"/>
          <w:szCs w:val="21"/>
          <w:highlight w:val="none"/>
        </w:rPr>
        <w:t xml:space="preserve">（采购预算中已包含代理服务费</w:t>
      </w:r>
      <w:r>
        <w:rPr>
          <w:rFonts w:hint="eastAsia" w:ascii="Times New Roman" w:hAnsi="Times New Roman" w:eastAsia="宋体" w:cs="Times New Roman"/>
          <w:b w:val="0"/>
          <w:bCs w:val="0"/>
          <w:color w:val="000000"/>
          <w:sz w:val="21"/>
          <w:szCs w:val="21"/>
          <w:highlight w:val="none"/>
          <w:lang w:eastAsia="zh-CN"/>
        </w:rPr>
        <w:t xml:space="preserve">，</w:t>
      </w:r>
      <w:r>
        <w:rPr>
          <w:rFonts w:hint="eastAsia" w:ascii="Times New Roman" w:hAnsi="Times New Roman" w:eastAsia="宋体"/>
          <w:b w:val="0"/>
          <w:bCs w:val="0"/>
          <w:color w:val="000000"/>
          <w:sz w:val="21"/>
          <w:szCs w:val="21"/>
          <w:highlight w:val="none"/>
        </w:rPr>
        <w:t xml:space="preserve">具体计算方式详见下表）。</w:t>
      </w:r>
      <w:r>
        <w:rPr>
          <w:rFonts w:hint="eastAsia" w:ascii="Times New Roman" w:hAnsi="Times New Roman" w:eastAsia="宋体"/>
          <w:b w:val="0"/>
          <w:bCs w:val="0"/>
          <w:color w:val="000000"/>
          <w:sz w:val="21"/>
          <w:szCs w:val="21"/>
          <w:highlight w:val="none"/>
        </w:rPr>
      </w:r>
      <w:r/>
    </w:p>
    <w:tbl>
      <w:tblPr>
        <w:tblpPr w:horzAnchor="page" w:tblpX="1920" w:vertAnchor="text" w:tblpY="199"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847"/>
        <w:gridCol w:w="2214"/>
        <w:gridCol w:w="1879"/>
        <w:gridCol w:w="2171"/>
      </w:tblGrid>
      <w:tr>
        <w:trP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服务项目</w:t>
            </w:r>
            <w:r>
              <w:rPr>
                <w:rFonts w:hint="eastAsia" w:ascii="Times New Roman" w:hAnsi="Times New Roman" w:eastAsia="宋体"/>
                <w:b w:val="0"/>
                <w:bCs w:val="0"/>
                <w:color w:val="000000"/>
                <w:sz w:val="21"/>
                <w:szCs w:val="21"/>
                <w:highlight w:val="none"/>
              </w:rPr>
            </w:r>
            <w:r/>
          </w:p>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类型</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100万以下</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100万以上</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1114"/>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代理服务费最高收费</w:t>
            </w:r>
            <w:r>
              <w:rPr>
                <w:rFonts w:hint="eastAsia" w:ascii="Times New Roman" w:hAnsi="Times New Roman" w:eastAsia="宋体"/>
                <w:b w:val="0"/>
                <w:bCs w:val="0"/>
                <w:color w:val="000000"/>
                <w:sz w:val="21"/>
                <w:szCs w:val="21"/>
                <w:highlight w:val="none"/>
              </w:rPr>
            </w:r>
            <w:r/>
          </w:p>
        </w:tc>
      </w:tr>
      <w:tr>
        <w:trP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代理费</w:t>
            </w:r>
            <w:r>
              <w:rPr>
                <w:rFonts w:hint="eastAsia" w:ascii="Times New Roman" w:hAnsi="Times New Roman" w:eastAsia="宋体"/>
                <w:b w:val="0"/>
                <w:bCs w:val="0"/>
                <w:color w:val="000000"/>
                <w:sz w:val="21"/>
                <w:szCs w:val="21"/>
                <w:highlight w:val="none"/>
              </w:rPr>
            </w:r>
            <w:r/>
          </w:p>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（单位：元）</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代理费</w:t>
            </w:r>
            <w:r>
              <w:rPr>
                <w:rFonts w:hint="eastAsia" w:ascii="Times New Roman" w:hAnsi="Times New Roman" w:eastAsia="宋体"/>
                <w:b w:val="0"/>
                <w:bCs w:val="0"/>
                <w:color w:val="000000"/>
                <w:sz w:val="21"/>
                <w:szCs w:val="21"/>
                <w:highlight w:val="none"/>
              </w:rPr>
            </w:r>
            <w:r/>
          </w:p>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（折扣率）</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代理费</w:t>
            </w:r>
            <w:r>
              <w:rPr>
                <w:rFonts w:hint="eastAsia" w:ascii="Times New Roman" w:hAnsi="Times New Roman" w:eastAsia="宋体"/>
                <w:b w:val="0"/>
                <w:bCs w:val="0"/>
                <w:color w:val="000000"/>
                <w:sz w:val="21"/>
                <w:szCs w:val="21"/>
                <w:highlight w:val="none"/>
              </w:rPr>
            </w:r>
            <w:r/>
          </w:p>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（单位：元）</w:t>
            </w:r>
            <w:r>
              <w:rPr>
                <w:rFonts w:hint="eastAsia" w:ascii="Times New Roman" w:hAnsi="Times New Roman" w:eastAsia="宋体"/>
                <w:b w:val="0"/>
                <w:bCs w:val="0"/>
                <w:color w:val="000000"/>
                <w:sz w:val="21"/>
                <w:szCs w:val="21"/>
                <w:highlight w:val="none"/>
              </w:rPr>
            </w:r>
            <w:r/>
          </w:p>
        </w:tc>
      </w:tr>
      <w:tr>
        <w:trP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货物</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2000元</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 27.17  %</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10000元</w:t>
            </w:r>
            <w:r>
              <w:rPr>
                <w:rFonts w:hint="eastAsia" w:ascii="Times New Roman" w:hAnsi="Times New Roman" w:eastAsia="宋体"/>
                <w:b w:val="0"/>
                <w:bCs w:val="0"/>
                <w:color w:val="000000"/>
                <w:sz w:val="21"/>
                <w:szCs w:val="21"/>
                <w:highlight w:val="none"/>
              </w:rPr>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服务</w:t>
            </w:r>
            <w:r>
              <w:rPr>
                <w:rFonts w:hint="eastAsia" w:ascii="Times New Roman" w:hAnsi="Times New Roman" w:eastAsia="宋体"/>
                <w:b w:val="0"/>
                <w:bCs w:val="0"/>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工程</w:t>
            </w:r>
            <w:r>
              <w:rPr>
                <w:rFonts w:hint="eastAsia" w:ascii="Times New Roman" w:hAnsi="Times New Roman" w:eastAsia="宋体"/>
                <w:b w:val="0"/>
                <w:bCs w:val="0"/>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 27  %</w:t>
            </w:r>
            <w:r>
              <w:rPr>
                <w:rFonts w:hint="eastAsia" w:ascii="Times New Roman" w:hAnsi="Times New Roman" w:eastAsia="宋体"/>
                <w:b w:val="0"/>
                <w:bCs w:val="0"/>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1114"/>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r>
            <w:r/>
          </w:p>
        </w:tc>
      </w:tr>
    </w:tbl>
    <w:p>
      <w:pPr>
        <w:pStyle w:val="1114"/>
        <w:ind w:firstLine="420"/>
        <w:spacing w:before="0" w:after="0" w:line="360" w:lineRule="auto"/>
        <w:rPr>
          <w:rFonts w:hint="eastAsia" w:ascii="Times New Roman" w:hAnsi="Times New Roman" w:eastAsia="宋体"/>
          <w:b w:val="0"/>
          <w:bCs w:val="0"/>
          <w:color w:val="000000"/>
          <w:sz w:val="21"/>
          <w:szCs w:val="21"/>
          <w:highlight w:val="none"/>
        </w:rPr>
      </w:pPr>
      <w:r>
        <w:rPr>
          <w:rFonts w:hint="eastAsia" w:ascii="Times New Roman" w:hAnsi="Times New Roman" w:eastAsia="宋体"/>
          <w:b w:val="0"/>
          <w:bCs w:val="0"/>
          <w:color w:val="000000"/>
          <w:sz w:val="21"/>
          <w:szCs w:val="21"/>
          <w:highlight w:val="none"/>
        </w:rPr>
        <w:t xml:space="preserve">基准费率表</w:t>
      </w:r>
      <w:r>
        <w:rPr>
          <w:rFonts w:hint="eastAsia" w:ascii="Times New Roman" w:hAnsi="Times New Roman" w:eastAsia="宋体"/>
          <w:b w:val="0"/>
          <w:bCs w:val="0"/>
          <w:color w:val="000000"/>
          <w:sz w:val="21"/>
          <w:szCs w:val="21"/>
          <w:highlight w:val="none"/>
        </w:rPr>
      </w:r>
      <w:r/>
    </w:p>
    <w:tbl>
      <w:tblPr>
        <w:tblW w:w="0" w:type="auto"/>
        <w:jc w:val="center"/>
        <w:tblInd w:w="-8" w:type="dxa"/>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71"/>
              <w:rPr>
                <w:rFonts w:hint="eastAsia"/>
                <w:color w:val="000000"/>
                <w:highlight w:val="none"/>
              </w:rPr>
            </w:pPr>
            <w:r>
              <w:rPr>
                <w:rFonts w:hint="eastAsia"/>
                <w:color w:val="000000"/>
                <w:highlight w:val="none"/>
              </w:rPr>
              <w:t xml:space="preserve">中标金额（万元）</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货物采购</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服务采购</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工程采购</w:t>
            </w:r>
            <w:r>
              <w:rPr>
                <w:rFonts w:hint="eastAsia"/>
                <w:color w:val="000000"/>
                <w:highlight w:val="none"/>
              </w:rPr>
            </w:r>
            <w:r/>
          </w:p>
        </w:tc>
      </w:tr>
      <w:tr>
        <w:trP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71"/>
              <w:rPr>
                <w:rFonts w:hint="eastAsia"/>
                <w:color w:val="000000"/>
                <w:highlight w:val="none"/>
              </w:rPr>
            </w:pPr>
            <w:r>
              <w:rPr>
                <w:rFonts w:hint="eastAsia"/>
                <w:color w:val="000000"/>
                <w:highlight w:val="none"/>
              </w:rPr>
              <w:t xml:space="preserve">100以下</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1.5％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1.5％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1.0％</w:t>
            </w:r>
            <w:r>
              <w:rPr>
                <w:rFonts w:hint="eastAsia"/>
                <w:color w:val="000000"/>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71"/>
              <w:rPr>
                <w:rFonts w:hint="eastAsia"/>
                <w:color w:val="000000"/>
                <w:highlight w:val="none"/>
              </w:rPr>
            </w:pPr>
            <w:r>
              <w:rPr>
                <w:rFonts w:hint="eastAsia"/>
                <w:color w:val="000000"/>
                <w:highlight w:val="none"/>
              </w:rPr>
              <w:t xml:space="preserve">100-500</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1.1％</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0.8％</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0.7％</w:t>
            </w:r>
            <w:r>
              <w:rPr>
                <w:rFonts w:hint="eastAsia"/>
                <w:color w:val="000000"/>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71"/>
              <w:rPr>
                <w:rFonts w:hint="eastAsia"/>
                <w:color w:val="000000"/>
                <w:highlight w:val="none"/>
              </w:rPr>
            </w:pPr>
            <w:r>
              <w:rPr>
                <w:rFonts w:hint="eastAsia"/>
                <w:color w:val="000000"/>
                <w:highlight w:val="none"/>
              </w:rPr>
              <w:t xml:space="preserve">500-1000</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0.8％</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0.45％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0.55％</w:t>
            </w:r>
            <w:r>
              <w:rPr>
                <w:rFonts w:hint="eastAsia"/>
                <w:color w:val="000000"/>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71"/>
              <w:rPr>
                <w:rFonts w:hint="eastAsia"/>
                <w:color w:val="000000"/>
                <w:highlight w:val="none"/>
              </w:rPr>
            </w:pPr>
            <w:r>
              <w:rPr>
                <w:rFonts w:hint="eastAsia"/>
                <w:color w:val="000000"/>
                <w:highlight w:val="none"/>
              </w:rPr>
              <w:t xml:space="preserve">1000-5000</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0.5％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0.25％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0.35％</w:t>
            </w:r>
            <w:r>
              <w:rPr>
                <w:rFonts w:hint="eastAsia"/>
                <w:color w:val="000000"/>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71"/>
              <w:rPr>
                <w:rFonts w:hint="eastAsia"/>
                <w:color w:val="000000"/>
                <w:highlight w:val="none"/>
              </w:rPr>
            </w:pPr>
            <w:r>
              <w:rPr>
                <w:rFonts w:hint="eastAsia"/>
                <w:color w:val="000000"/>
                <w:highlight w:val="none"/>
              </w:rPr>
              <w:t xml:space="preserve">5000-1亿</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0.25％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0.1％</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0.2％</w:t>
            </w:r>
            <w:r>
              <w:rPr>
                <w:rFonts w:hint="eastAsia"/>
                <w:color w:val="000000"/>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71"/>
              <w:rPr>
                <w:rFonts w:hint="eastAsia"/>
                <w:color w:val="000000"/>
                <w:highlight w:val="none"/>
              </w:rPr>
            </w:pPr>
            <w:r>
              <w:rPr>
                <w:rFonts w:hint="eastAsia"/>
                <w:color w:val="000000"/>
                <w:highlight w:val="none"/>
              </w:rPr>
              <w:t xml:space="preserve">1亿以上</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0.05％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0.05％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71"/>
              <w:rPr>
                <w:rFonts w:hint="eastAsia"/>
                <w:color w:val="000000"/>
                <w:highlight w:val="none"/>
              </w:rPr>
            </w:pPr>
            <w:r>
              <w:rPr>
                <w:rFonts w:hint="eastAsia"/>
                <w:color w:val="000000"/>
                <w:highlight w:val="none"/>
              </w:rPr>
              <w:t xml:space="preserve">0.05％</w:t>
            </w:r>
            <w:r>
              <w:rPr>
                <w:rFonts w:hint="eastAsia"/>
                <w:color w:val="000000"/>
                <w:highlight w:val="none"/>
              </w:rPr>
            </w:r>
            <w:r/>
          </w:p>
        </w:tc>
      </w:tr>
    </w:tbl>
    <w:p>
      <w:pPr>
        <w:pStyle w:val="871"/>
        <w:rPr>
          <w:rFonts w:hint="eastAsia"/>
          <w:color w:val="000000"/>
          <w:highlight w:val="none"/>
        </w:rPr>
      </w:pPr>
      <w:r>
        <w:rPr>
          <w:rFonts w:hint="eastAsia"/>
          <w:color w:val="000000"/>
          <w:highlight w:val="none"/>
        </w:rPr>
      </w:r>
      <w:r/>
    </w:p>
    <w:p>
      <w:pPr>
        <w:pStyle w:val="1114"/>
        <w:ind w:firstLine="420"/>
        <w:spacing w:before="0" w:after="0" w:line="360" w:lineRule="auto"/>
        <w:rPr>
          <w:rFonts w:hint="eastAsia" w:ascii="Times New Roman" w:hAnsi="Times New Roman" w:eastAsia="宋体"/>
          <w:b w:val="0"/>
          <w:bCs w:val="0"/>
          <w:color w:val="000000"/>
          <w:sz w:val="21"/>
          <w:szCs w:val="21"/>
          <w:highlight w:val="none"/>
        </w:rPr>
      </w:pPr>
      <w:r>
        <w:rPr>
          <w:rFonts w:hint="eastAsia" w:ascii="Times New Roman" w:hAnsi="Times New Roman" w:eastAsia="宋体"/>
          <w:b w:val="0"/>
          <w:bCs w:val="0"/>
          <w:color w:val="000000"/>
          <w:sz w:val="21"/>
          <w:szCs w:val="21"/>
          <w:highlight w:val="none"/>
        </w:rPr>
        <w:t xml:space="preserve">（1）代理服务费以人民币支付；</w:t>
      </w:r>
      <w:r>
        <w:rPr>
          <w:rFonts w:hint="eastAsia" w:ascii="Times New Roman" w:hAnsi="Times New Roman" w:eastAsia="宋体"/>
          <w:b w:val="0"/>
          <w:bCs w:val="0"/>
          <w:color w:val="000000"/>
          <w:sz w:val="21"/>
          <w:szCs w:val="21"/>
          <w:highlight w:val="none"/>
        </w:rPr>
      </w:r>
      <w:r/>
    </w:p>
    <w:p>
      <w:pPr>
        <w:pStyle w:val="1114"/>
        <w:ind w:firstLine="420"/>
        <w:spacing w:before="0" w:after="0" w:line="360" w:lineRule="auto"/>
        <w:rPr>
          <w:rFonts w:hint="eastAsia" w:ascii="Times New Roman" w:hAnsi="Times New Roman" w:eastAsia="宋体"/>
          <w:b w:val="0"/>
          <w:bCs w:val="0"/>
          <w:color w:val="000000"/>
          <w:sz w:val="21"/>
          <w:szCs w:val="21"/>
          <w:highlight w:val="none"/>
        </w:rPr>
      </w:pPr>
      <w:r>
        <w:rPr>
          <w:rFonts w:hint="eastAsia" w:ascii="Times New Roman" w:hAnsi="Times New Roman" w:eastAsia="宋体"/>
          <w:b w:val="0"/>
          <w:bCs w:val="0"/>
          <w:color w:val="000000"/>
          <w:sz w:val="21"/>
          <w:szCs w:val="21"/>
          <w:highlight w:val="none"/>
        </w:rPr>
        <w:t xml:space="preserve">（2）代理服务费支付方式：一次性以电汇或转账等形式支付。</w:t>
      </w:r>
      <w:r>
        <w:rPr>
          <w:rFonts w:hint="eastAsia" w:ascii="Times New Roman" w:hAnsi="Times New Roman" w:eastAsia="宋体"/>
          <w:b w:val="0"/>
          <w:bCs w:val="0"/>
          <w:color w:val="000000"/>
          <w:sz w:val="21"/>
          <w:szCs w:val="21"/>
          <w:highlight w:val="none"/>
        </w:rPr>
      </w:r>
      <w:r/>
    </w:p>
    <w:p>
      <w:pPr>
        <w:pStyle w:val="1114"/>
        <w:ind w:firstLine="420"/>
        <w:spacing w:before="0" w:after="0" w:line="360" w:lineRule="auto"/>
        <w:rPr>
          <w:rFonts w:cs="宋体"/>
          <w:color w:val="000000"/>
          <w:szCs w:val="21"/>
          <w:highlight w:val="none"/>
        </w:rPr>
      </w:pPr>
      <w:r>
        <w:rPr>
          <w:rFonts w:hint="eastAsia" w:ascii="Times New Roman" w:hAnsi="Times New Roman" w:eastAsia="宋体"/>
          <w:b w:val="0"/>
          <w:bCs w:val="0"/>
          <w:color w:val="000000"/>
          <w:sz w:val="21"/>
          <w:szCs w:val="21"/>
          <w:highlight w:val="none"/>
        </w:rPr>
        <w:t xml:space="preserve">（3）代理服务费不在报价中单列，但包含在总价中，由中标供应商支付给代理机构。</w:t>
      </w:r>
      <w:r>
        <w:rPr>
          <w:rFonts w:cs="宋体"/>
          <w:color w:val="000000"/>
          <w:szCs w:val="21"/>
          <w:highlight w:val="none"/>
        </w:rPr>
      </w:r>
      <w:r/>
    </w:p>
    <w:p>
      <w:pPr>
        <w:pStyle w:val="871"/>
        <w:ind w:firstLine="420"/>
        <w:spacing w:line="360" w:lineRule="auto"/>
        <w:rPr>
          <w:rFonts w:hint="eastAsia" w:ascii="Times New Roman" w:hAnsi="Times New Roman" w:cs="宋体"/>
          <w:color w:val="000000"/>
          <w:szCs w:val="21"/>
          <w:highlight w:val="none"/>
        </w:rPr>
      </w:pPr>
      <w:r>
        <w:rPr>
          <w:rFonts w:hint="eastAsia" w:cs="宋体"/>
          <w:color w:val="000000"/>
          <w:szCs w:val="21"/>
          <w:highlight w:val="none"/>
        </w:rPr>
        <w:t xml:space="preserve">4.3</w:t>
      </w:r>
      <w:r>
        <w:rPr>
          <w:rFonts w:hint="eastAsia" w:ascii="Times New Roman" w:hAnsi="Times New Roman" w:cs="宋体"/>
          <w:color w:val="000000"/>
          <w:szCs w:val="21"/>
          <w:highlight w:val="none"/>
        </w:rPr>
        <w:t xml:space="preserve">专家评审费按照《关于规范江苏省政府采购专家评审费标准的通知》（苏财购〔2016〕48号）执行，由采购人支付。</w:t>
      </w:r>
      <w:r>
        <w:rPr>
          <w:rFonts w:hint="eastAsia" w:ascii="Times New Roman" w:hAnsi="Times New Roman" w:cs="宋体"/>
          <w:color w:val="000000"/>
          <w:szCs w:val="21"/>
          <w:highlight w:val="none"/>
        </w:rPr>
      </w:r>
      <w:r/>
    </w:p>
    <w:p>
      <w:pPr>
        <w:pStyle w:val="875"/>
        <w:ind w:firstLine="422"/>
        <w:spacing w:before="0" w:after="0" w:line="360" w:lineRule="auto"/>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val="0"/>
          <w:color w:val="000000"/>
          <w:sz w:val="21"/>
          <w:szCs w:val="21"/>
          <w:highlight w:val="none"/>
        </w:rPr>
        <w:t xml:space="preserve">招标文件的约束力</w:t>
      </w:r>
      <w:r>
        <w:rPr>
          <w:rFonts w:hint="eastAsia" w:ascii="宋体" w:hAnsi="宋体" w:eastAsia="宋体" w:cs="宋体"/>
          <w:bCs w:val="0"/>
          <w:color w:val="000000"/>
          <w:sz w:val="21"/>
          <w:szCs w:val="21"/>
          <w:highlight w:val="none"/>
        </w:rPr>
      </w:r>
      <w:r/>
    </w:p>
    <w:p>
      <w:pPr>
        <w:pStyle w:val="8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5.1</w:t>
      </w:r>
      <w:r>
        <w:rPr>
          <w:rFonts w:hint="eastAsia" w:ascii="宋体" w:hAnsi="宋体" w:cs="宋体"/>
          <w:color w:val="000000"/>
          <w:szCs w:val="21"/>
          <w:highlight w:val="none"/>
        </w:rPr>
        <w:t xml:space="preserve"> 供应商一旦参加本项目采购活动，即被认为接受了本招标文件的规定和约束。</w:t>
      </w:r>
      <w:r>
        <w:rPr>
          <w:rFonts w:hint="eastAsia" w:ascii="宋体" w:hAnsi="宋体" w:cs="宋体"/>
          <w:bCs/>
          <w:color w:val="000000"/>
          <w:szCs w:val="21"/>
          <w:highlight w:val="none"/>
        </w:rPr>
      </w:r>
      <w:r/>
    </w:p>
    <w:p>
      <w:pPr>
        <w:pStyle w:val="875"/>
        <w:ind w:firstLine="422"/>
        <w:spacing w:before="0" w:after="0" w:line="360" w:lineRule="auto"/>
        <w:rPr>
          <w:rFonts w:hint="eastAsia" w:ascii="宋体" w:hAnsi="宋体" w:eastAsia="宋体" w:cs="宋体"/>
          <w:bCs w:val="0"/>
          <w:color w:val="000000"/>
          <w:sz w:val="21"/>
          <w:szCs w:val="21"/>
          <w:highlight w:val="none"/>
        </w:rPr>
      </w:pPr>
      <w:r/>
      <w:bookmarkStart w:id="36" w:name="_Toc513029210"/>
      <w:r/>
      <w:bookmarkStart w:id="37" w:name="_Toc16938526"/>
      <w:r/>
      <w:bookmarkStart w:id="38" w:name="_Toc20823282"/>
      <w:r>
        <w:rPr>
          <w:rFonts w:hint="eastAsia" w:ascii="宋体" w:hAnsi="宋体" w:eastAsia="宋体" w:cs="宋体"/>
          <w:bCs w:val="0"/>
          <w:color w:val="000000"/>
          <w:sz w:val="21"/>
          <w:szCs w:val="21"/>
          <w:highlight w:val="none"/>
        </w:rPr>
        <w:t xml:space="preserve">6.招标文件构成</w:t>
      </w:r>
      <w:bookmarkEnd w:id="36"/>
      <w:r/>
      <w:bookmarkEnd w:id="37"/>
      <w:r/>
      <w:bookmarkEnd w:id="38"/>
      <w:r>
        <w:rPr>
          <w:rFonts w:hint="eastAsia" w:ascii="宋体" w:hAnsi="宋体" w:eastAsia="宋体" w:cs="宋体"/>
          <w:bCs w:val="0"/>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6.1</w:t>
      </w:r>
      <w:r>
        <w:rPr>
          <w:rFonts w:hint="eastAsia" w:ascii="宋体" w:hAnsi="宋体" w:cs="宋体"/>
          <w:color w:val="000000"/>
          <w:szCs w:val="21"/>
          <w:highlight w:val="none"/>
        </w:rPr>
        <w:t xml:space="preserve"> 招标文件由以下部分组成：</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（1）招标公告</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（2）供应商须知</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（3）合同条款及格式</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（4）项目需求</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（5）评标方法及评标标准</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（6）投标文件格式</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请仔细检查招标文件是否齐全，如有缺漏请立即与代理机构联系解决。</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6.2</w:t>
      </w:r>
      <w:r>
        <w:rPr>
          <w:rFonts w:hint="eastAsia" w:ascii="宋体" w:hAnsi="宋体" w:cs="宋体"/>
          <w:color w:val="000000"/>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highlight w:val="none"/>
        </w:rPr>
      </w:r>
      <w:r/>
    </w:p>
    <w:p>
      <w:pPr>
        <w:pStyle w:val="875"/>
        <w:ind w:firstLine="422"/>
        <w:spacing w:before="0" w:after="0" w:line="360" w:lineRule="auto"/>
        <w:rPr>
          <w:rFonts w:hint="eastAsia" w:ascii="宋体" w:hAnsi="宋体" w:eastAsia="宋体" w:cs="宋体"/>
          <w:b w:val="0"/>
          <w:bCs w:val="0"/>
          <w:color w:val="000000"/>
          <w:sz w:val="21"/>
          <w:szCs w:val="21"/>
          <w:highlight w:val="none"/>
        </w:rPr>
      </w:pPr>
      <w:r/>
      <w:bookmarkStart w:id="39" w:name="_Toc513029212"/>
      <w:r/>
      <w:bookmarkStart w:id="40" w:name="_Toc20823284"/>
      <w:r/>
      <w:bookmarkStart w:id="41" w:name="_Toc462564071"/>
      <w:r/>
      <w:bookmarkStart w:id="42" w:name="_Toc16938528"/>
      <w:r>
        <w:rPr>
          <w:rFonts w:hint="eastAsia" w:ascii="宋体" w:hAnsi="宋体" w:eastAsia="宋体" w:cs="宋体"/>
          <w:bCs w:val="0"/>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Cs w:val="0"/>
          <w:color w:val="000000"/>
          <w:sz w:val="21"/>
          <w:szCs w:val="21"/>
          <w:highlight w:val="none"/>
        </w:rPr>
        <w:t xml:space="preserve">招标文件的修改</w:t>
      </w:r>
      <w:bookmarkEnd w:id="39"/>
      <w:r/>
      <w:bookmarkEnd w:id="40"/>
      <w:r/>
      <w:bookmarkEnd w:id="41"/>
      <w:r/>
      <w:bookmarkEnd w:id="42"/>
      <w:r>
        <w:rPr>
          <w:rFonts w:hint="eastAsia" w:ascii="宋体" w:hAnsi="宋体" w:eastAsia="宋体" w:cs="宋体"/>
          <w:b w:val="0"/>
          <w:bCs w:val="0"/>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7.1</w:t>
      </w:r>
      <w:r>
        <w:rPr>
          <w:rFonts w:hint="eastAsia" w:ascii="宋体" w:hAnsi="宋体" w:cs="宋体"/>
          <w:color w:val="000000"/>
          <w:szCs w:val="21"/>
          <w:highlight w:val="none"/>
        </w:rPr>
        <w:t xml:space="preserve"> 在投标截止时间之前，代理机构可以对招标文件进行修改。</w:t>
      </w:r>
      <w:r>
        <w:rPr>
          <w:rFonts w:hint="eastAsia" w:ascii="宋体" w:hAnsi="宋体" w:cs="宋体"/>
          <w:color w:val="000000"/>
          <w:szCs w:val="21"/>
          <w:highlight w:val="none"/>
        </w:rPr>
      </w:r>
      <w:r/>
    </w:p>
    <w:p>
      <w:pPr>
        <w:pStyle w:val="8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7.2代理机构有权按照法定的要求推迟投标截止日期和开标日期。</w:t>
      </w:r>
      <w:r>
        <w:rPr>
          <w:rFonts w:hint="eastAsia" w:ascii="宋体" w:hAnsi="宋体" w:cs="宋体"/>
          <w:bCs/>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7.3</w:t>
      </w:r>
      <w:r>
        <w:rPr>
          <w:rFonts w:hint="eastAsia" w:ascii="宋体" w:hAnsi="宋体" w:cs="宋体"/>
          <w:color w:val="000000"/>
          <w:szCs w:val="21"/>
          <w:highlight w:val="none"/>
        </w:rPr>
        <w:t xml:space="preserve">招标文件的修改将在</w:t>
      </w:r>
      <w:r>
        <w:rPr>
          <w:rFonts w:hint="eastAsia" w:ascii="宋体" w:hAnsi="宋体" w:cs="宋体"/>
          <w:bCs/>
          <w:color w:val="000000"/>
          <w:szCs w:val="21"/>
          <w:highlight w:val="none"/>
        </w:rPr>
        <w:t xml:space="preserve">原采购信息发布媒体上</w:t>
      </w:r>
      <w:r>
        <w:rPr>
          <w:rFonts w:hint="eastAsia" w:ascii="宋体" w:hAnsi="宋体" w:cs="宋体"/>
          <w:color w:val="000000"/>
          <w:szCs w:val="21"/>
          <w:highlight w:val="none"/>
        </w:rPr>
        <w:t xml:space="preserve">公布，补充文件将作为招标文件的组成部分，并对供应商具有约束力。</w:t>
      </w:r>
      <w:r>
        <w:rPr>
          <w:rFonts w:hint="eastAsia" w:ascii="宋体" w:hAnsi="宋体" w:cs="宋体"/>
          <w:color w:val="000000"/>
          <w:szCs w:val="21"/>
          <w:highlight w:val="none"/>
        </w:rPr>
      </w:r>
      <w:r/>
    </w:p>
    <w:p>
      <w:pPr>
        <w:pStyle w:val="875"/>
        <w:ind w:firstLine="422"/>
        <w:spacing w:before="0" w:after="0" w:line="360" w:lineRule="auto"/>
        <w:rPr>
          <w:rFonts w:hint="eastAsia" w:ascii="宋体" w:hAnsi="宋体" w:eastAsia="宋体" w:cs="宋体"/>
          <w:bCs w:val="0"/>
          <w:color w:val="000000"/>
          <w:sz w:val="21"/>
          <w:szCs w:val="21"/>
          <w:highlight w:val="none"/>
        </w:rPr>
      </w:pPr>
      <w:r/>
      <w:bookmarkStart w:id="43" w:name="_Toc462564073"/>
      <w:r/>
      <w:bookmarkStart w:id="44" w:name="_Toc16938530"/>
      <w:r/>
      <w:bookmarkStart w:id="45" w:name="_Toc20823286"/>
      <w:r/>
      <w:bookmarkStart w:id="46" w:name="_Toc513029214"/>
      <w:r>
        <w:rPr>
          <w:rFonts w:hint="eastAsia" w:ascii="宋体" w:hAnsi="宋体" w:eastAsia="宋体" w:cs="宋体"/>
          <w:bCs w:val="0"/>
          <w:color w:val="000000"/>
          <w:sz w:val="21"/>
          <w:szCs w:val="21"/>
          <w:highlight w:val="none"/>
        </w:rPr>
        <w:t xml:space="preserve">8.</w:t>
      </w:r>
      <w:bookmarkEnd w:id="43"/>
      <w:r/>
      <w:bookmarkEnd w:id="44"/>
      <w:r/>
      <w:bookmarkEnd w:id="45"/>
      <w:r/>
      <w:bookmarkEnd w:id="46"/>
      <w:r>
        <w:rPr>
          <w:rFonts w:hint="eastAsia" w:ascii="宋体" w:hAnsi="宋体" w:eastAsia="宋体" w:cs="宋体"/>
          <w:bCs w:val="0"/>
          <w:color w:val="000000"/>
          <w:sz w:val="21"/>
          <w:szCs w:val="21"/>
          <w:highlight w:val="none"/>
        </w:rPr>
        <w:t xml:space="preserve">投标文件的语言及度量衡单位</w:t>
      </w:r>
      <w:r>
        <w:rPr>
          <w:rFonts w:hint="eastAsia" w:ascii="宋体" w:hAnsi="宋体" w:eastAsia="宋体" w:cs="宋体"/>
          <w:bCs w:val="0"/>
          <w:color w:val="000000"/>
          <w:sz w:val="21"/>
          <w:szCs w:val="21"/>
          <w:highlight w:val="none"/>
        </w:rPr>
      </w:r>
      <w:r/>
    </w:p>
    <w:p>
      <w:pPr>
        <w:pStyle w:val="871"/>
        <w:ind w:firstLine="420"/>
        <w:spacing w:line="360" w:lineRule="auto"/>
        <w:rPr>
          <w:rFonts w:hint="eastAsia" w:ascii="宋体" w:hAnsi="宋体" w:cs="宋体"/>
          <w:bCs/>
          <w:color w:val="000000"/>
          <w:szCs w:val="21"/>
          <w:highlight w:val="none"/>
        </w:rPr>
      </w:pPr>
      <w:r/>
      <w:bookmarkStart w:id="47" w:name="_Toc513029215"/>
      <w:r/>
      <w:bookmarkStart w:id="48" w:name="_Toc20823287"/>
      <w:r/>
      <w:bookmarkStart w:id="49" w:name="_Toc462564074"/>
      <w:r/>
      <w:bookmarkStart w:id="50" w:name="_Toc16938531"/>
      <w:r>
        <w:rPr>
          <w:rFonts w:hint="eastAsia" w:ascii="宋体" w:hAnsi="宋体" w:cs="宋体"/>
          <w:bCs/>
          <w:color w:val="000000"/>
          <w:szCs w:val="21"/>
          <w:highlight w:val="none"/>
        </w:rPr>
        <w:t xml:space="preserve">8.1供应商提交的投标文件以及供应商与代理机构就有关投标的所有来往通知、函件和文件均应使用</w:t>
      </w:r>
      <w:r>
        <w:rPr>
          <w:rFonts w:hint="eastAsia" w:ascii="宋体" w:hAnsi="宋体" w:cs="宋体"/>
          <w:b/>
          <w:color w:val="000000"/>
          <w:szCs w:val="21"/>
          <w:highlight w:val="none"/>
        </w:rPr>
        <w:t xml:space="preserve">简体中文</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8.2</w:t>
      </w:r>
      <w:r>
        <w:rPr>
          <w:rFonts w:hint="eastAsia" w:ascii="宋体" w:hAnsi="宋体" w:cs="宋体"/>
          <w:color w:val="000000"/>
          <w:szCs w:val="21"/>
          <w:highlight w:val="none"/>
        </w:rPr>
        <w:t xml:space="preserve"> 除技术性能另有规定外，投标文件所使用的度量衡单位，均须采用国家法定计量单位。</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bCs w:val="0"/>
          <w:color w:val="000000"/>
          <w:sz w:val="21"/>
          <w:szCs w:val="21"/>
          <w:highlight w:val="none"/>
        </w:rPr>
      </w:pPr>
      <w:r/>
      <w:bookmarkEnd w:id="47"/>
      <w:r/>
      <w:bookmarkEnd w:id="48"/>
      <w:r/>
      <w:bookmarkEnd w:id="49"/>
      <w:r/>
      <w:bookmarkEnd w:id="50"/>
      <w:r/>
      <w:bookmarkStart w:id="51" w:name="_Toc49090511"/>
      <w:r/>
      <w:bookmarkStart w:id="52" w:name="_Toc14577360"/>
      <w:r>
        <w:rPr>
          <w:rFonts w:hint="eastAsia" w:ascii="宋体" w:hAnsi="宋体" w:eastAsia="宋体" w:cs="宋体"/>
          <w:bCs w:val="0"/>
          <w:color w:val="000000"/>
          <w:sz w:val="21"/>
          <w:szCs w:val="21"/>
          <w:highlight w:val="none"/>
        </w:rPr>
        <w:t xml:space="preserve">9.投标文件构成</w:t>
      </w:r>
      <w:r>
        <w:rPr>
          <w:rFonts w:hint="eastAsia" w:ascii="宋体" w:hAnsi="宋体" w:eastAsia="宋体" w:cs="宋体"/>
          <w:bCs w:val="0"/>
          <w:color w:val="000000"/>
          <w:sz w:val="21"/>
          <w:szCs w:val="21"/>
          <w:highlight w:val="none"/>
        </w:rPr>
      </w:r>
      <w:r/>
    </w:p>
    <w:p>
      <w:pPr>
        <w:pStyle w:val="875"/>
        <w:ind w:firstLine="420"/>
        <w:keepLines w:val="0"/>
        <w:keepNext w:val="0"/>
        <w:spacing w:before="0" w:after="0" w:line="360" w:lineRule="auto"/>
        <w:rPr>
          <w:rFonts w:hint="eastAsia" w:ascii="宋体" w:hAnsi="宋体" w:eastAsia="宋体" w:cs="宋体"/>
          <w:b w:val="0"/>
          <w:bCs w:val="0"/>
          <w:color w:val="000000"/>
          <w:sz w:val="21"/>
          <w:szCs w:val="21"/>
          <w:highlight w:val="none"/>
        </w:rPr>
      </w:pPr>
      <w:r/>
      <w:bookmarkStart w:id="53" w:name="_Toc14577357"/>
      <w:r/>
      <w:bookmarkStart w:id="54" w:name="_Toc513029219"/>
      <w:r/>
      <w:bookmarkStart w:id="55" w:name="_Toc14577354"/>
      <w:r/>
      <w:bookmarkStart w:id="56" w:name="_Toc513029216"/>
      <w:r/>
      <w:bookmarkStart w:id="57" w:name="_Toc49090507"/>
      <w:r/>
      <w:bookmarkStart w:id="58" w:name="_Toc49090509"/>
      <w:r>
        <w:rPr>
          <w:rFonts w:hint="eastAsia" w:ascii="宋体" w:hAnsi="宋体" w:eastAsia="宋体" w:cs="宋体"/>
          <w:b w:val="0"/>
          <w:bCs w:val="0"/>
          <w:color w:val="000000"/>
          <w:sz w:val="21"/>
          <w:szCs w:val="21"/>
          <w:highlight w:val="none"/>
        </w:rPr>
        <w:t xml:space="preserve">9.1 供应商编写的投标文件应包括供应商编写的投标文件应包括基本目录、资格审查内容、符合性审查内容、价格扣除证明文件等部分；</w:t>
      </w:r>
      <w:r>
        <w:rPr>
          <w:rFonts w:hint="eastAsia" w:ascii="宋体" w:hAnsi="宋体" w:eastAsia="宋体" w:cs="宋体"/>
          <w:b w:val="0"/>
          <w:bCs w:val="0"/>
          <w:color w:val="000000"/>
          <w:sz w:val="21"/>
          <w:szCs w:val="21"/>
          <w:highlight w:val="none"/>
        </w:rPr>
      </w:r>
      <w:r/>
    </w:p>
    <w:p>
      <w:pPr>
        <w:pStyle w:val="875"/>
        <w:ind w:firstLine="420"/>
        <w:keepLines w:val="0"/>
        <w:keepNext w:val="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9.2 如标书制作工具中格式和内容与“江苏政府采购网”发布的招标文件不一致，请以“江苏政府采购网”发布的招标文件为准。</w:t>
      </w:r>
      <w:r>
        <w:rPr>
          <w:rFonts w:hint="eastAsia" w:ascii="宋体" w:hAnsi="宋体" w:eastAsia="宋体" w:cs="宋体"/>
          <w:b w:val="0"/>
          <w:bCs w:val="0"/>
          <w:color w:val="000000"/>
          <w:sz w:val="21"/>
          <w:szCs w:val="21"/>
          <w:highlight w:val="none"/>
        </w:rPr>
      </w:r>
      <w:r/>
    </w:p>
    <w:p>
      <w:pPr>
        <w:pStyle w:val="875"/>
        <w:ind w:firstLine="422"/>
        <w:keepLines w:val="0"/>
        <w:keepNext w:val="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10.</w:t>
      </w:r>
      <w:bookmarkEnd w:id="53"/>
      <w:r/>
      <w:bookmarkEnd w:id="54"/>
      <w:r/>
      <w:bookmarkEnd w:id="58"/>
      <w:r>
        <w:rPr>
          <w:rFonts w:hint="eastAsia" w:ascii="宋体" w:hAnsi="宋体" w:eastAsia="宋体" w:cs="宋体"/>
          <w:bCs w:val="0"/>
          <w:color w:val="000000"/>
          <w:sz w:val="21"/>
          <w:szCs w:val="21"/>
          <w:highlight w:val="none"/>
        </w:rPr>
        <w:t xml:space="preserve">证明供应商及投标标的符合招标文件规定的文件</w:t>
      </w:r>
      <w:r>
        <w:rPr>
          <w:rFonts w:hint="eastAsia" w:ascii="宋体" w:hAnsi="宋体" w:eastAsia="宋体" w:cs="宋体"/>
          <w:b w:val="0"/>
          <w:bCs w:val="0"/>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10.1供应商应按照招标文件要求提交证明文件，证明其投标标的符合招标文件规定。</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10.2招标文件对证明文件无明确形式要求的，证明文件可以以文字资料、图纸和数据等形式提交。</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bCs w:val="0"/>
          <w:color w:val="000000"/>
          <w:sz w:val="21"/>
          <w:szCs w:val="21"/>
          <w:highlight w:val="none"/>
        </w:rPr>
      </w:pPr>
      <w:r/>
      <w:bookmarkEnd w:id="55"/>
      <w:r/>
      <w:bookmarkEnd w:id="56"/>
      <w:r/>
      <w:bookmarkEnd w:id="57"/>
      <w:r/>
      <w:bookmarkStart w:id="59" w:name="_Toc14577355"/>
      <w:r/>
      <w:bookmarkStart w:id="60" w:name="_Toc49090508"/>
      <w:r>
        <w:rPr>
          <w:rFonts w:hint="eastAsia" w:ascii="宋体" w:hAnsi="宋体" w:eastAsia="宋体" w:cs="宋体"/>
          <w:bCs w:val="0"/>
          <w:color w:val="000000"/>
          <w:sz w:val="21"/>
          <w:szCs w:val="21"/>
          <w:highlight w:val="none"/>
        </w:rPr>
        <w:t xml:space="preserve">11.投标分项报价</w:t>
      </w:r>
      <w:bookmarkEnd w:id="59"/>
      <w:r>
        <w:rPr>
          <w:rFonts w:hint="eastAsia" w:ascii="宋体" w:hAnsi="宋体" w:eastAsia="宋体" w:cs="宋体"/>
          <w:bCs w:val="0"/>
          <w:color w:val="000000"/>
          <w:sz w:val="21"/>
          <w:szCs w:val="21"/>
          <w:highlight w:val="none"/>
        </w:rPr>
        <w:t xml:space="preserve">表</w:t>
      </w:r>
      <w:bookmarkEnd w:id="60"/>
      <w:r>
        <w:rPr>
          <w:rFonts w:hint="eastAsia" w:ascii="宋体" w:hAnsi="宋体" w:eastAsia="宋体" w:cs="宋体"/>
          <w:bCs w:val="0"/>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11.1供应商按照招标文件规定格式填报投标分项报价表</w:t>
      </w:r>
      <w:bookmarkStart w:id="61" w:name="_Hlt26670399"/>
      <w:r/>
      <w:bookmarkEnd w:id="61"/>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11.2投标货币。投标文件中的单价和总价无特殊规定的采用人民币报价，以万元为单位标注。招标文件中另有规定的按规定执行。</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color w:val="000000"/>
          <w:sz w:val="21"/>
          <w:szCs w:val="21"/>
          <w:highlight w:val="none"/>
        </w:rPr>
      </w:pPr>
      <w:r/>
      <w:bookmarkStart w:id="62" w:name="_Toc14577359"/>
      <w:r/>
      <w:bookmarkStart w:id="63" w:name="_Toc49090510"/>
      <w:r>
        <w:rPr>
          <w:rFonts w:hint="eastAsia" w:ascii="宋体" w:hAnsi="宋体" w:eastAsia="宋体" w:cs="宋体"/>
          <w:color w:val="000000"/>
          <w:sz w:val="21"/>
          <w:szCs w:val="21"/>
          <w:highlight w:val="none"/>
        </w:rPr>
        <w:t xml:space="preserve">12.技术要求响应及偏离表、商务要求响应及偏离表</w:t>
      </w:r>
      <w:r>
        <w:rPr>
          <w:rFonts w:hint="eastAsia" w:ascii="宋体" w:hAnsi="宋体" w:eastAsia="宋体" w:cs="宋体"/>
          <w:color w:val="000000"/>
          <w:sz w:val="21"/>
          <w:szCs w:val="21"/>
          <w:highlight w:val="none"/>
        </w:rPr>
      </w:r>
      <w:r/>
    </w:p>
    <w:p>
      <w:pPr>
        <w:pStyle w:val="87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12.1供应商需对招标文件中的技术要求与商务要求逐项作出响应或偏离，并说明原因。</w:t>
      </w:r>
      <w:r>
        <w:rPr>
          <w:rFonts w:hint="eastAsia" w:ascii="宋体" w:hAnsi="宋体" w:cs="宋体"/>
          <w:color w:val="000000"/>
          <w:szCs w:val="21"/>
          <w:highlight w:val="none"/>
          <w:lang w:val="zh-CN"/>
        </w:rPr>
      </w:r>
      <w:r/>
    </w:p>
    <w:p>
      <w:pPr>
        <w:pStyle w:val="87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12.2供应商需按照招标文件要求，在投标文件中提供与技术要求和商务要求相关的证明材料。</w:t>
      </w:r>
      <w:r>
        <w:rPr>
          <w:rFonts w:hint="eastAsia" w:ascii="宋体" w:hAnsi="宋体" w:cs="宋体"/>
          <w:color w:val="000000"/>
          <w:szCs w:val="21"/>
          <w:highlight w:val="none"/>
          <w:lang w:val="zh-CN"/>
        </w:rPr>
      </w:r>
      <w:r/>
    </w:p>
    <w:p>
      <w:pPr>
        <w:pStyle w:val="875"/>
        <w:ind w:firstLine="422"/>
        <w:keepLines w:val="0"/>
        <w:keepNext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13.服务承诺、培训计划、人员安排及其他（如有）</w:t>
      </w:r>
      <w:r>
        <w:rPr>
          <w:rFonts w:hint="eastAsia" w:ascii="宋体" w:hAnsi="宋体" w:eastAsia="宋体" w:cs="宋体"/>
          <w:color w:val="000000"/>
          <w:sz w:val="21"/>
          <w:szCs w:val="21"/>
          <w:highlight w:val="none"/>
        </w:rPr>
      </w:r>
      <w:r/>
    </w:p>
    <w:p>
      <w:pPr>
        <w:pStyle w:val="87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13.1供应商需根据招标文件要求提供有关售后服务的管理制度，售后服务机构的分布情况，售后服务人员的数量、素质、技术水平及售后服务的反应能力等。</w:t>
      </w:r>
      <w:r>
        <w:rPr>
          <w:rFonts w:hint="eastAsia" w:ascii="宋体" w:hAnsi="宋体" w:cs="宋体"/>
          <w:color w:val="000000"/>
          <w:szCs w:val="21"/>
          <w:highlight w:val="none"/>
          <w:lang w:val="zh-CN"/>
        </w:rPr>
      </w:r>
      <w:r/>
    </w:p>
    <w:p>
      <w:pPr>
        <w:pStyle w:val="87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13.2供应商需根据招标文件要求提供培训计划。</w:t>
      </w:r>
      <w:r>
        <w:rPr>
          <w:rFonts w:hint="eastAsia" w:ascii="宋体" w:hAnsi="宋体" w:cs="宋体"/>
          <w:color w:val="000000"/>
          <w:szCs w:val="21"/>
          <w:highlight w:val="none"/>
          <w:lang w:val="zh-CN"/>
        </w:rPr>
      </w:r>
      <w:r/>
    </w:p>
    <w:p>
      <w:pPr>
        <w:pStyle w:val="87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13.3供应商需根据招标文件要求提供所投标的的主要组成部分、功能设计、实现思路及关键技术等。</w:t>
      </w:r>
      <w:r>
        <w:rPr>
          <w:rFonts w:hint="eastAsia" w:ascii="宋体" w:hAnsi="宋体" w:cs="宋体"/>
          <w:color w:val="000000"/>
          <w:szCs w:val="21"/>
          <w:highlight w:val="none"/>
          <w:lang w:val="zh-CN"/>
        </w:rPr>
      </w:r>
      <w:r/>
    </w:p>
    <w:p>
      <w:pPr>
        <w:pStyle w:val="875"/>
        <w:ind w:firstLine="422"/>
        <w:keepLines w:val="0"/>
        <w:keepNext w:val="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14.投标函和开标一览表</w:t>
      </w:r>
      <w:r>
        <w:rPr>
          <w:rFonts w:hint="eastAsia" w:ascii="宋体" w:hAnsi="宋体" w:eastAsia="宋体" w:cs="宋体"/>
          <w:b w:val="0"/>
          <w:bCs w:val="0"/>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14.1</w:t>
      </w:r>
      <w:r>
        <w:rPr>
          <w:rFonts w:hint="eastAsia" w:ascii="宋体" w:hAnsi="宋体" w:cs="宋体"/>
          <w:color w:val="000000"/>
          <w:szCs w:val="21"/>
          <w:highlight w:val="none"/>
        </w:rPr>
        <w:t xml:space="preserve"> 供应商应按照招标文件中提供的格式完整、正确填写投标函、开标一览表。</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14.2</w:t>
      </w:r>
      <w:r>
        <w:rPr>
          <w:rFonts w:hint="eastAsia" w:ascii="宋体" w:hAnsi="宋体" w:cs="宋体"/>
          <w:color w:val="000000"/>
          <w:szCs w:val="21"/>
          <w:highlight w:val="none"/>
        </w:rPr>
        <w:t xml:space="preserve"> 对于采用货币报价的项目，开标一览表中的投标汇总总价应与投标分项报价表中的投标汇总总价一致，如不一致，不作为无效投标处理，但评标时按开标一览表中价格为准。</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b w:val="0"/>
          <w:bCs w:val="0"/>
          <w:color w:val="000000"/>
          <w:sz w:val="21"/>
          <w:szCs w:val="21"/>
          <w:highlight w:val="none"/>
        </w:rPr>
      </w:pPr>
      <w:r/>
      <w:bookmarkEnd w:id="62"/>
      <w:r/>
      <w:bookmarkEnd w:id="63"/>
      <w:r>
        <w:rPr>
          <w:rFonts w:hint="eastAsia" w:ascii="宋体" w:hAnsi="宋体" w:eastAsia="宋体" w:cs="宋体"/>
          <w:bCs w:val="0"/>
          <w:color w:val="000000"/>
          <w:sz w:val="21"/>
          <w:szCs w:val="21"/>
          <w:highlight w:val="none"/>
        </w:rPr>
        <w:t xml:space="preserve">15.投标有效期</w:t>
      </w:r>
      <w:r>
        <w:rPr>
          <w:rFonts w:hint="eastAsia" w:ascii="宋体" w:hAnsi="宋体" w:eastAsia="宋体" w:cs="宋体"/>
          <w:b w:val="0"/>
          <w:bCs w:val="0"/>
          <w:color w:val="000000"/>
          <w:sz w:val="21"/>
          <w:szCs w:val="21"/>
          <w:highlight w:val="none"/>
        </w:rPr>
      </w:r>
      <w:r/>
    </w:p>
    <w:p>
      <w:pPr>
        <w:pStyle w:val="871"/>
        <w:ind w:firstLine="42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15.1</w:t>
      </w:r>
      <w:r>
        <w:rPr>
          <w:rFonts w:hint="eastAsia" w:ascii="宋体" w:hAnsi="宋体" w:cs="宋体"/>
          <w:bCs/>
          <w:color w:val="000000"/>
          <w:szCs w:val="21"/>
          <w:highlight w:val="none"/>
        </w:rPr>
        <w:t xml:space="preserve"> 投标有效期为代理机构规定的开标之日起</w:t>
      </w:r>
      <w:r>
        <w:rPr>
          <w:rFonts w:hint="eastAsia" w:ascii="宋体" w:hAnsi="宋体" w:cs="宋体"/>
          <w:b/>
          <w:color w:val="000000"/>
          <w:szCs w:val="21"/>
          <w:highlight w:val="none"/>
          <w:u w:val="single"/>
        </w:rPr>
        <w:t xml:space="preserve">六十（60）天</w:t>
      </w:r>
      <w:r>
        <w:rPr>
          <w:rFonts w:hint="eastAsia" w:ascii="宋体" w:hAnsi="宋体" w:cs="宋体"/>
          <w:bCs/>
          <w:color w:val="000000"/>
          <w:szCs w:val="21"/>
          <w:highlight w:val="none"/>
        </w:rPr>
        <w:t xml:space="preserve">。投标有效期比规定短的将被视为非响应性投标而予以拒绝。</w:t>
      </w:r>
      <w:r>
        <w:rPr>
          <w:rFonts w:hint="eastAsia" w:ascii="宋体" w:hAnsi="宋体" w:cs="宋体"/>
          <w:bCs/>
          <w:color w:val="000000"/>
          <w:szCs w:val="21"/>
          <w:highlight w:val="none"/>
        </w:rPr>
      </w:r>
      <w:r/>
    </w:p>
    <w:p>
      <w:pPr>
        <w:pStyle w:val="875"/>
        <w:ind w:firstLine="422"/>
        <w:keepLines w:val="0"/>
        <w:keepNext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16.投标有效期的延长</w:t>
      </w:r>
      <w:r>
        <w:rPr>
          <w:rFonts w:hint="eastAsia" w:ascii="宋体" w:hAnsi="宋体" w:eastAsia="宋体" w:cs="宋体"/>
          <w:color w:val="000000"/>
          <w:sz w:val="21"/>
          <w:szCs w:val="21"/>
          <w:highlight w:val="none"/>
        </w:rPr>
      </w:r>
      <w:r/>
    </w:p>
    <w:p>
      <w:pPr>
        <w:pStyle w:val="871"/>
        <w:ind w:firstLine="42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16.1</w:t>
      </w:r>
      <w:r>
        <w:rPr>
          <w:rFonts w:hint="eastAsia" w:ascii="宋体" w:hAnsi="宋体" w:cs="宋体"/>
          <w:bCs/>
          <w:color w:val="000000"/>
          <w:szCs w:val="21"/>
          <w:highlight w:val="none"/>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同意延长投标有效期的供应商既不能要求也不允许修改其投标文件。受投标有效期约束的所有权利与义务均延长至新的有效期。</w:t>
      </w:r>
      <w:r>
        <w:rPr>
          <w:rFonts w:hint="eastAsia" w:ascii="宋体" w:hAnsi="宋体" w:cs="宋体"/>
          <w:bCs/>
          <w:color w:val="000000"/>
          <w:szCs w:val="21"/>
          <w:highlight w:val="none"/>
        </w:rPr>
      </w:r>
      <w:r/>
    </w:p>
    <w:p>
      <w:pPr>
        <w:pStyle w:val="875"/>
        <w:ind w:firstLine="422"/>
        <w:keepLines w:val="0"/>
        <w:keepNext w:val="0"/>
        <w:spacing w:before="0" w:after="0" w:line="360" w:lineRule="auto"/>
        <w:rPr>
          <w:rFonts w:hint="eastAsia" w:ascii="宋体" w:hAnsi="宋体" w:eastAsia="宋体" w:cs="宋体"/>
          <w:b w:val="0"/>
          <w:bCs w:val="0"/>
          <w:color w:val="000000"/>
          <w:sz w:val="21"/>
          <w:szCs w:val="21"/>
          <w:highlight w:val="none"/>
        </w:rPr>
      </w:pPr>
      <w:r/>
      <w:bookmarkEnd w:id="51"/>
      <w:r/>
      <w:bookmarkEnd w:id="52"/>
      <w:r/>
      <w:bookmarkStart w:id="64" w:name="_Toc14577361"/>
      <w:r/>
      <w:bookmarkStart w:id="65" w:name="_Toc49090512"/>
      <w:r/>
      <w:bookmarkStart w:id="66" w:name="_Toc16938543"/>
      <w:r/>
      <w:bookmarkStart w:id="67" w:name="_Toc513029227"/>
      <w:r/>
      <w:bookmarkStart w:id="68" w:name="_Toc20823299"/>
      <w:r>
        <w:rPr>
          <w:rFonts w:hint="eastAsia" w:ascii="宋体" w:hAnsi="宋体" w:eastAsia="宋体" w:cs="宋体"/>
          <w:bCs w:val="0"/>
          <w:color w:val="000000"/>
          <w:sz w:val="21"/>
          <w:szCs w:val="21"/>
          <w:highlight w:val="none"/>
        </w:rPr>
        <w:t xml:space="preserve">17.</w:t>
      </w:r>
      <w:bookmarkEnd w:id="64"/>
      <w:r/>
      <w:bookmarkEnd w:id="65"/>
      <w:r>
        <w:rPr>
          <w:rFonts w:hint="eastAsia" w:ascii="宋体" w:hAnsi="宋体" w:eastAsia="宋体" w:cs="宋体"/>
          <w:bCs w:val="0"/>
          <w:color w:val="000000"/>
          <w:sz w:val="21"/>
          <w:szCs w:val="21"/>
          <w:highlight w:val="none"/>
        </w:rPr>
        <w:t xml:space="preserve">电子投标文件的递交</w:t>
      </w:r>
      <w:r>
        <w:rPr>
          <w:rFonts w:hint="eastAsia" w:ascii="宋体" w:hAnsi="宋体" w:eastAsia="宋体" w:cs="宋体"/>
          <w:b w:val="0"/>
          <w:bCs w:val="0"/>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 供应商应当按照《操作手册》规定，在投标截止时间前制作并上传电子投标文件。</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b w:val="0"/>
          <w:bCs w:val="0"/>
          <w:color w:val="000000"/>
          <w:sz w:val="21"/>
          <w:szCs w:val="21"/>
          <w:highlight w:val="none"/>
        </w:rPr>
      </w:pPr>
      <w:r/>
      <w:bookmarkStart w:id="69" w:name="_Toc462564084"/>
      <w:r/>
      <w:bookmarkStart w:id="70" w:name="_Toc513029225"/>
      <w:r/>
      <w:bookmarkStart w:id="71" w:name="_Toc20823297"/>
      <w:r/>
      <w:bookmarkStart w:id="72" w:name="_Toc16938541"/>
      <w:r>
        <w:rPr>
          <w:rFonts w:hint="eastAsia" w:ascii="宋体" w:hAnsi="宋体" w:eastAsia="宋体" w:cs="宋体"/>
          <w:bCs w:val="0"/>
          <w:color w:val="000000"/>
          <w:sz w:val="21"/>
          <w:szCs w:val="21"/>
          <w:highlight w:val="none"/>
        </w:rPr>
        <w:t xml:space="preserve">18.</w:t>
      </w:r>
      <w:bookmarkEnd w:id="69"/>
      <w:r/>
      <w:bookmarkEnd w:id="70"/>
      <w:r/>
      <w:bookmarkEnd w:id="71"/>
      <w:r/>
      <w:bookmarkEnd w:id="72"/>
      <w:r>
        <w:rPr>
          <w:rFonts w:hint="eastAsia" w:ascii="宋体" w:hAnsi="宋体" w:eastAsia="宋体" w:cs="宋体"/>
          <w:bCs w:val="0"/>
          <w:color w:val="000000"/>
          <w:sz w:val="21"/>
          <w:szCs w:val="21"/>
          <w:highlight w:val="none"/>
        </w:rPr>
        <w:t xml:space="preserve">投标截止时间</w:t>
      </w:r>
      <w:r>
        <w:rPr>
          <w:rFonts w:hint="eastAsia" w:ascii="宋体" w:hAnsi="宋体" w:eastAsia="宋体" w:cs="宋体"/>
          <w:b w:val="0"/>
          <w:bCs w:val="0"/>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bookmarkStart w:id="73" w:name="_Toc513029226"/>
      <w:r/>
      <w:bookmarkStart w:id="74" w:name="_Toc16938542"/>
      <w:r/>
      <w:bookmarkStart w:id="75" w:name="_Toc20823298"/>
      <w:r>
        <w:rPr>
          <w:rFonts w:hint="eastAsia" w:ascii="宋体" w:hAnsi="宋体" w:cs="宋体"/>
          <w:color w:val="000000"/>
          <w:szCs w:val="21"/>
          <w:highlight w:val="none"/>
        </w:rPr>
        <w:t xml:space="preserve">18.1供应商上传电子投标文件的时间不得迟于招标公告中规定的投标截止时间。</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供应商应充分考虑到网络环境、网络带宽等风险因素，如因供应商自身原因造成的电子投标文件上传不成功的按照本招标文件第二章第26.1.2条规定做无效投标处理。</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18.2代理机构可以按照规定，通过修改招标文件酌情延长投标截止日期，在此情况下，供应商的所有权利和义务以及供应商受制的截止日期均应以延长后新的截止日期为准。</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color w:val="000000"/>
          <w:sz w:val="21"/>
          <w:szCs w:val="21"/>
          <w:highlight w:val="none"/>
        </w:rPr>
      </w:pPr>
      <w:r/>
      <w:bookmarkEnd w:id="73"/>
      <w:r/>
      <w:bookmarkEnd w:id="74"/>
      <w:r/>
      <w:bookmarkEnd w:id="75"/>
      <w:r>
        <w:rPr>
          <w:rFonts w:hint="eastAsia" w:ascii="宋体" w:hAnsi="宋体" w:eastAsia="宋体" w:cs="宋体"/>
          <w:color w:val="000000"/>
          <w:sz w:val="21"/>
          <w:szCs w:val="21"/>
          <w:highlight w:val="none"/>
        </w:rPr>
        <w:t xml:space="preserve">19.投标文件的拒收</w:t>
      </w:r>
      <w:r>
        <w:rPr>
          <w:rFonts w:hint="eastAsia" w:ascii="宋体" w:hAnsi="宋体" w:eastAsia="宋体" w:cs="宋体"/>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19.1代理机构拒绝接收在其规定的投标截止时间后上传的任何投标文件。</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color w:val="000000"/>
          <w:sz w:val="21"/>
          <w:szCs w:val="21"/>
          <w:highlight w:val="none"/>
        </w:rPr>
      </w:pPr>
      <w:r/>
      <w:bookmarkEnd w:id="66"/>
      <w:r/>
      <w:bookmarkEnd w:id="67"/>
      <w:r/>
      <w:bookmarkEnd w:id="68"/>
      <w:r/>
      <w:bookmarkStart w:id="76" w:name="_Toc16938544"/>
      <w:r/>
      <w:bookmarkStart w:id="77" w:name="_Toc513029228"/>
      <w:r/>
      <w:bookmarkStart w:id="78" w:name="_Toc20823300"/>
      <w:r/>
      <w:bookmarkStart w:id="79" w:name="_Toc16938549"/>
      <w:r/>
      <w:bookmarkStart w:id="80" w:name="_Toc20823305"/>
      <w:r/>
      <w:bookmarkStart w:id="81" w:name="_Toc513029233"/>
      <w:r>
        <w:rPr>
          <w:rFonts w:hint="eastAsia" w:ascii="宋体" w:hAnsi="宋体" w:eastAsia="宋体" w:cs="宋体"/>
          <w:color w:val="000000"/>
          <w:sz w:val="21"/>
          <w:szCs w:val="21"/>
          <w:highlight w:val="none"/>
        </w:rPr>
        <w:t xml:space="preserve">20.投标文件的撤回和修改</w:t>
      </w:r>
      <w:bookmarkEnd w:id="76"/>
      <w:r/>
      <w:bookmarkEnd w:id="77"/>
      <w:r/>
      <w:bookmarkEnd w:id="78"/>
      <w:r>
        <w:rPr>
          <w:rFonts w:hint="eastAsia" w:ascii="宋体" w:hAnsi="宋体" w:eastAsia="宋体" w:cs="宋体"/>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bookmarkStart w:id="82" w:name="_Toc16938546"/>
      <w:r/>
      <w:bookmarkStart w:id="83" w:name="_Toc513029230"/>
      <w:r/>
      <w:bookmarkStart w:id="84" w:name="_Toc20823302"/>
      <w:r>
        <w:rPr>
          <w:rFonts w:hint="eastAsia" w:ascii="宋体" w:hAnsi="宋体" w:cs="宋体"/>
          <w:color w:val="000000"/>
          <w:szCs w:val="21"/>
          <w:highlight w:val="none"/>
        </w:rPr>
        <w:t xml:space="preserve">20.1投标文件的撤回</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20.1.1电子投标文件的撤回</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供应商可在投标截止时间前，撤回其电子投标文件，具体操作方法见《操作手册》。</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20.1.2供应商撤回电子投标文件，则认为其不再参与本项目投标活动。</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20.2投标文件的修改</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20.2.1供应商可在投标截止时间前，对其电子投标文件进行修改，具体操作方法见《操作手册》。</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20.2.2在投标截止时间之后，供应商不得对其电子投标文件作任何修改。</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20.3在投标截止时间至招标文件中规定的投标有效期满之间的这段时间内，供应商不得撤回其投标。</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22.开标</w:t>
      </w:r>
      <w:bookmarkEnd w:id="82"/>
      <w:r/>
      <w:bookmarkEnd w:id="83"/>
      <w:r/>
      <w:bookmarkEnd w:id="84"/>
      <w:r>
        <w:rPr>
          <w:rFonts w:hint="eastAsia" w:ascii="宋体" w:hAnsi="宋体" w:eastAsia="宋体" w:cs="宋体"/>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bookmarkStart w:id="85" w:name="_Toc513029231"/>
      <w:r/>
      <w:bookmarkStart w:id="86" w:name="_Toc20823303"/>
      <w:r/>
      <w:bookmarkStart w:id="87" w:name="_Toc16938547"/>
      <w:r>
        <w:rPr>
          <w:rFonts w:hint="eastAsia" w:ascii="宋体" w:hAnsi="宋体" w:cs="宋体"/>
          <w:color w:val="000000"/>
          <w:szCs w:val="21"/>
          <w:highlight w:val="none"/>
        </w:rPr>
        <w:t xml:space="preserve">21.1代理机构将在招标公告中规定的时间和地点组织公开开标。供应商应当按照《操作手册》规定，参加开标活动和在苏采云系统规定的时间内对投标文件进行解密。</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21.2开标仪式由代理机构组织。苏采云系统将自动对项目进行开标，并展示各供应商名称和投标价格。</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21.3供应商在开标过程中涉及到的投标文件解密、开标结果确认等工作，应按照《操作手册》规定执行。</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21.4供应商如果对开标过程和开标记录有疑义，应当根据《操作手册》规定提出，如苏采云系统中《开标一览表》宣布后5分钟内未提出的，视同认可开标结果。</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22.评标委员会</w:t>
      </w:r>
      <w:r>
        <w:rPr>
          <w:rFonts w:hint="eastAsia" w:ascii="宋体" w:hAnsi="宋体" w:eastAsia="宋体" w:cs="宋体"/>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22.1开标后，代理机构将立即组织评标委员会（以下简称评委会）进行评标。</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22.2评委会由采购人代表和有关技术、经济等方面的专家组成，且人员构成符合政府采购有关规定。</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22.3评委会独立工作，负责评审所有投标文件并确定中标候选人。</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color w:val="000000"/>
          <w:sz w:val="21"/>
          <w:szCs w:val="21"/>
          <w:highlight w:val="none"/>
        </w:rPr>
      </w:pPr>
      <w:r/>
      <w:bookmarkEnd w:id="85"/>
      <w:r/>
      <w:bookmarkEnd w:id="86"/>
      <w:r/>
      <w:bookmarkEnd w:id="87"/>
      <w:r>
        <w:rPr>
          <w:rFonts w:hint="eastAsia" w:ascii="宋体" w:hAnsi="宋体" w:eastAsia="宋体" w:cs="宋体"/>
          <w:color w:val="000000"/>
          <w:sz w:val="21"/>
          <w:szCs w:val="21"/>
          <w:highlight w:val="none"/>
        </w:rPr>
        <w:t xml:space="preserve">23.评标过程的保密与公正</w:t>
      </w:r>
      <w:r>
        <w:rPr>
          <w:rFonts w:hint="eastAsia" w:ascii="宋体" w:hAnsi="宋体" w:eastAsia="宋体" w:cs="宋体"/>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bookmarkStart w:id="88" w:name="_Toc513029232"/>
      <w:r/>
      <w:bookmarkStart w:id="89" w:name="_Toc20823304"/>
      <w:r/>
      <w:bookmarkStart w:id="90" w:name="_Toc16938548"/>
      <w:r>
        <w:rPr>
          <w:rFonts w:hint="eastAsia" w:ascii="宋体" w:hAnsi="宋体" w:cs="宋体"/>
          <w:color w:val="000000"/>
          <w:szCs w:val="21"/>
          <w:highlight w:val="none"/>
        </w:rPr>
        <w:t xml:space="preserve">23.1凡是与审查、澄清、评价和比较投标的有关资料以及授标建议等，采购人、评委、代理机构均不得向供应商或与评标无关的其他人员透露。</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23.2在评标过程中，供应商不得以任何行为影响评标过程，否则其投标文件将被作为无效投标文件。</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23.3代理机构和评委会不向未中标的供应商解释未中标原因，也不公布评标过程中的相关细节。</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23.4采用综合评分法的项目，未中标的供应商可于中标结果公告期限届满之日起通过苏采云系统查看自己的评审得分及排序情况。</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24.投标的澄清</w:t>
      </w:r>
      <w:bookmarkEnd w:id="88"/>
      <w:r/>
      <w:bookmarkEnd w:id="89"/>
      <w:r/>
      <w:bookmarkEnd w:id="90"/>
      <w:r>
        <w:rPr>
          <w:rFonts w:hint="eastAsia" w:ascii="宋体" w:hAnsi="宋体" w:eastAsia="宋体" w:cs="宋体"/>
          <w:b w:val="0"/>
          <w:bCs w:val="0"/>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24.1评标期间，评委会对投标文件中含义不明确、同类问题表述不一致或者有明显文字和计算错误的内容，有权要求供应商作出必要的澄清、说明或者补正。</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供应商的澄清、说明或者补正不得超出投标文件的范围或者改变投标文件的实质性内容。</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评委会并非对每个供应商都做澄清要求。</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24.3 接到评委会澄清、说明和补正要求的供应商如未按规定作出澄清、说明和补正，其风险由供应商自行承担。</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25.对投标文件的初审</w:t>
      </w:r>
      <w:r>
        <w:rPr>
          <w:rFonts w:hint="eastAsia" w:ascii="宋体" w:hAnsi="宋体" w:eastAsia="宋体" w:cs="宋体"/>
          <w:b w:val="0"/>
          <w:bCs w:val="0"/>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bookmarkEnd w:id="79"/>
      <w:r/>
      <w:bookmarkEnd w:id="80"/>
      <w:r/>
      <w:bookmarkEnd w:id="81"/>
      <w:r/>
      <w:bookmarkStart w:id="91" w:name="_Toc16938550"/>
      <w:r/>
      <w:bookmarkStart w:id="92" w:name="_Toc513029234"/>
      <w:r/>
      <w:bookmarkStart w:id="93" w:name="_Toc20823306"/>
      <w:r>
        <w:rPr>
          <w:rFonts w:hint="eastAsia" w:ascii="宋体" w:hAnsi="宋体" w:cs="宋体"/>
          <w:color w:val="000000"/>
          <w:szCs w:val="21"/>
          <w:highlight w:val="none"/>
        </w:rPr>
        <w:t xml:space="preserve">25.1投标文件初审分为资格审查和符合性审查。</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25.1.1资格审查：依据法律法规和招标文件的规定，由采购人对投标文件中的资格证明文件进行审查。资格审查的结论，采购人以书面形式向评委会进行反馈。</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采购人在进行资格性审查的同时，将在“信用中国”网站（www.creditchina.gov.cn）和“中国政府采购网”（www.ccgp.gov.cn）查询供应商的信用记录，以确定供应商是否具备投标资格，查询结果留存并归档。</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25.1.3未通过资格审查或符合性审查的供应商，代理机构将在苏采云系统中告知未通过资格审查或符合性审查的原因，评审结束后，代理机构将不再告知未通过资格审查或符合性审查的原因。</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评委会决定投标文件的响应性只根据投标文件本身的内容，而不寻求外部的证据。</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25.3如果投标文件实质上没有响应招标文件的要求，评委会将予以拒绝，供应商不得通过修改或撤销不符合要求的偏离或保留而使其投标成为实质性响应的投标。</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25.4评委会将对确定为实质性响应的投标进行进一步审核，是否有计算上或累加上的算术错误，修正错误的原则如下：</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（1）投标文件中开标一览表内容与投标文件中相应内容不一致的，以开标一览表为准。</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（2）大写金额和小写金额不一致的，以大写金额为准。</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（3）单价金额小数点或者百分比有明显错位的，以开标一览表的总价为准，并修改单价。</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（4）总价金额与按单价汇总金额不一致的，以单价金额计算结果为准。</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同时出现两种以上错误的，按照前款规定的顺序修正。</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25.5评委会将按上述修正错误的方法调整投标文件中的投标报价，并通过苏采云系统告知供应商，调整后的价格应对供应商具有约束力。如果供应商不接受修正后的价格，则其投标将被拒绝。</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25.6采用最低评标价法的采购项目，提供相同品牌产品的不同供应商参加同一合同项下投标的，以其中通过资格审查、符合性审查且报价最低的参加评标；报价相同的，由评委会按照招标文件规定的方式（招标文件未规定的通过随机抽取的方式）确定一个参加评标的供应商，其他投标无效。</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委会根据招标文件规定的方式（招标文件未规定的采取随机抽取的方式）确定一个中标候选人，其他同品牌供应商不作为中标候选人。</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非单一产品采购项目，招标文件中将载明其中的核心产品。多家供应商提供的核心产品品牌相同的，按前两款规定处理。</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25.7供应商在开、评标全过程中应保持通信畅通，及时登录苏采云系统查阅、答复相关信息，并安排专人与代理机构及评委会联系。</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25.8 异常低价投标审查</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政府采购评审中出现下列情形之一的，评审委员会应当启动异常低价投标（响应）审查程序：</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25.8.1投标（响应）报价低于全部通过符合性审查供应商投标（响应）报价平均值50%的，即投标（响应）报价&lt;全部通过符合性审查供应商投标（响应）报价平均值×50%； </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25.8.2投标（响应）报价低于通过符合性审查的次低报价供应商投标（响应）报价50%的，即投标（响应）报价&lt;通过符合性审查的次低报价供应商投标（响应）报价×50%； </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25.8.3投标（响应）报价低于采购项目最高限价45%的，即投标（响应）报价&lt;采购项目最高限价×45%； </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25.8.4评审委员会基于专业判断，认为供应商报价过低，有可能影响产品质量或者不能诚信履约的其他情形。 </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25.8.5评审委员会启动异常低价投标（响应）审查后，属于前述第1</w:t>
      </w:r>
      <w:r>
        <w:rPr>
          <w:rFonts w:hint="eastAsia" w:ascii="宋体" w:hAnsi="宋体" w:cs="宋体"/>
          <w:color w:val="000000"/>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25.8.6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26.</w:t>
      </w:r>
      <w:bookmarkEnd w:id="91"/>
      <w:r/>
      <w:bookmarkEnd w:id="92"/>
      <w:r/>
      <w:bookmarkEnd w:id="93"/>
      <w:r>
        <w:rPr>
          <w:rFonts w:hint="eastAsia" w:ascii="宋体" w:hAnsi="宋体" w:eastAsia="宋体" w:cs="宋体"/>
          <w:bCs w:val="0"/>
          <w:color w:val="000000"/>
          <w:sz w:val="21"/>
          <w:szCs w:val="21"/>
          <w:highlight w:val="none"/>
        </w:rPr>
        <w:t xml:space="preserve">无效投标条款和废标条款</w:t>
      </w:r>
      <w:r>
        <w:rPr>
          <w:rFonts w:hint="eastAsia" w:ascii="宋体" w:hAnsi="宋体" w:eastAsia="宋体" w:cs="宋体"/>
          <w:b w:val="0"/>
          <w:bCs w:val="0"/>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bookmarkStart w:id="94" w:name="_Toc20823307"/>
      <w:r/>
      <w:bookmarkStart w:id="95" w:name="_Toc513029235"/>
      <w:r/>
      <w:bookmarkStart w:id="96" w:name="_Toc16938551"/>
      <w:r>
        <w:rPr>
          <w:rFonts w:hint="eastAsia" w:ascii="宋体" w:hAnsi="宋体" w:cs="宋体"/>
          <w:color w:val="000000"/>
          <w:szCs w:val="21"/>
          <w:highlight w:val="none"/>
        </w:rPr>
        <w:t xml:space="preserve">26.1无效投标条款</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26.1.1供应商在苏采云系统规定的时间内未成功解密电子投标文件的。</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26.1.2供应商未按照招标文件要求上传电子投标文件的。</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26.1.3供应商同一采购包提交两个（含两个）以上不同的投标报价的。</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26.1.4供应商不具备招标文件中规定资格要求的。</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26.1.5供应商的报价超过了采购预算或最高限价的。</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26.1.6未通过符合性审查的。</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26.1.7不符合招标文件中规定的实质性要求的（本招标文件中</w:t>
      </w:r>
      <w:r>
        <w:rPr>
          <w:rFonts w:hint="eastAsia" w:ascii="宋体" w:hAnsi="宋体" w:cs="宋体"/>
          <w:i/>
          <w:iCs/>
          <w:color w:val="000000"/>
          <w:szCs w:val="21"/>
          <w:highlight w:val="none"/>
          <w:u w:val="single"/>
        </w:rPr>
        <w:t xml:space="preserve">斜体且有下划线部分</w:t>
      </w:r>
      <w:r>
        <w:rPr>
          <w:rFonts w:hint="eastAsia" w:ascii="宋体" w:hAnsi="宋体" w:cs="宋体"/>
          <w:color w:val="000000"/>
          <w:szCs w:val="21"/>
          <w:highlight w:val="none"/>
        </w:rPr>
        <w:t xml:space="preserve">为实质性要求）</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26.1.8 供应商被 “信用中国”网站（www.creditchina.gov.cn）列入失信被执行人或重大税收违法案件当事人名单或政府采购严重失信行为记录名单，被“中国政府采购网”（www.ccgp.gov.cn）列入政府采购严重失信行为记录名单，或查询“信用中国”网站后发现供应商存在其他不符合《中华人民共和国政府采购法》第二十二条规定条件的信用记录。</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26.1.9投标文件含有采购人不能接受的附加条件的。</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26.1.10评标委员会按照本招标文件规定对供应商进行异常低价投标审查后，认为供应商不能证明其报价合理性的。</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26.1.11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26.1.12 投标文件未按照招标文件要求加盖CA电子公章的。</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26.1.13供应商所投标产品不符合招标文件中所列国家强制性标准的。</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26.1.14其他法律法规及本招标文件规定的属于无效投标的情形。</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bookmarkEnd w:id="94"/>
      <w:r/>
      <w:bookmarkEnd w:id="95"/>
      <w:r/>
      <w:bookmarkEnd w:id="96"/>
      <w:r/>
      <w:bookmarkStart w:id="97" w:name="_Toc513029238"/>
      <w:r/>
      <w:bookmarkStart w:id="98" w:name="_Toc16938554"/>
      <w:r/>
      <w:bookmarkStart w:id="99" w:name="_Toc20823310"/>
      <w:r>
        <w:rPr>
          <w:rFonts w:hint="eastAsia" w:ascii="宋体" w:hAnsi="宋体" w:cs="宋体"/>
          <w:bCs/>
          <w:color w:val="000000"/>
          <w:szCs w:val="21"/>
          <w:highlight w:val="none"/>
        </w:rPr>
        <w:t xml:space="preserve">26.2废标条款</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26.2.1符合专业条件的供应商或者对招标文件作出实质响应的供应商不足三家的。</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26.2.2出现影响采购公正的违法、违规行为的。</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26.2.3因重大变故，采购任务取消的。</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26.2.4评委会认定招标文件存在歧义、重大缺陷导致评审工作无法进行。</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26.2.5因苏采云系统故障原因造成开标不成功的。</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26.3投标截止时间结束后参加投标的供应商不足三家的处理</w:t>
      </w:r>
      <w:r>
        <w:rPr>
          <w:rFonts w:hint="eastAsia" w:ascii="宋体" w:hAnsi="宋体" w:cs="宋体"/>
          <w:bCs/>
          <w:color w:val="000000"/>
          <w:szCs w:val="21"/>
          <w:highlight w:val="none"/>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26.3.1如出现投标截止时间结束后参加投标的供应商或者在评标期间对招标文件作出实质响应的供应商不足三家情况，按政府采购相关规定执行。</w:t>
      </w:r>
      <w:r>
        <w:rPr>
          <w:rFonts w:hint="eastAsia" w:ascii="宋体" w:hAnsi="宋体" w:cs="宋体"/>
          <w:bCs/>
          <w:color w:val="000000"/>
          <w:szCs w:val="21"/>
          <w:highlight w:val="none"/>
        </w:rPr>
      </w:r>
      <w:r/>
    </w:p>
    <w:p>
      <w:pPr>
        <w:pStyle w:val="875"/>
        <w:ind w:firstLine="422"/>
        <w:keepLines w:val="0"/>
        <w:keepNext w:val="0"/>
        <w:spacing w:before="0" w:after="0" w:line="360" w:lineRule="auto"/>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rPr>
        <w:t xml:space="preserve">27.</w:t>
      </w:r>
      <w:bookmarkEnd w:id="97"/>
      <w:r>
        <w:rPr>
          <w:rFonts w:hint="eastAsia" w:ascii="宋体" w:hAnsi="宋体" w:eastAsia="宋体" w:cs="宋体"/>
          <w:color w:val="000000"/>
          <w:sz w:val="21"/>
          <w:szCs w:val="21"/>
          <w:highlight w:val="none"/>
        </w:rPr>
        <w:t xml:space="preserve">确定</w:t>
      </w:r>
      <w:bookmarkEnd w:id="98"/>
      <w:r/>
      <w:bookmarkEnd w:id="99"/>
      <w:r>
        <w:rPr>
          <w:rFonts w:hint="eastAsia" w:ascii="宋体" w:hAnsi="宋体" w:eastAsia="宋体" w:cs="宋体"/>
          <w:color w:val="000000"/>
          <w:sz w:val="21"/>
          <w:szCs w:val="21"/>
          <w:highlight w:val="none"/>
        </w:rPr>
        <w:t xml:space="preserve">中标单位</w:t>
      </w:r>
      <w:r>
        <w:rPr>
          <w:rFonts w:hint="eastAsia" w:ascii="宋体" w:hAnsi="宋体" w:eastAsia="宋体" w:cs="宋体"/>
          <w:b w:val="0"/>
          <w:color w:val="000000"/>
          <w:sz w:val="21"/>
          <w:szCs w:val="21"/>
          <w:highlight w:val="none"/>
        </w:rPr>
      </w:r>
      <w:r/>
    </w:p>
    <w:p>
      <w:pPr>
        <w:pStyle w:val="8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27.1评委会根据本招标文件规定评标方法与评标标准向采购人推荐出3名中标候选人。供应商的最后报价如相同，则现场随机摇号确定成交候选人排序。</w:t>
      </w:r>
      <w:r>
        <w:rPr>
          <w:rFonts w:hint="eastAsia" w:ascii="宋体" w:hAnsi="宋体" w:cs="宋体"/>
          <w:bCs/>
          <w:color w:val="000000"/>
          <w:szCs w:val="21"/>
          <w:highlight w:val="none"/>
        </w:rPr>
      </w:r>
      <w:r/>
    </w:p>
    <w:p>
      <w:pPr>
        <w:pStyle w:val="8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 采购人应根据评委会推荐的第一中标候选人确定中标人。</w:t>
      </w:r>
      <w:r>
        <w:rPr>
          <w:rFonts w:hint="eastAsia" w:ascii="宋体" w:hAnsi="宋体" w:cs="宋体"/>
          <w:bCs/>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27.3</w:t>
      </w:r>
      <w:r>
        <w:rPr>
          <w:rFonts w:hint="eastAsia" w:ascii="宋体" w:hAnsi="宋体" w:cs="宋体"/>
          <w:color w:val="000000"/>
          <w:szCs w:val="21"/>
          <w:highlight w:val="none"/>
        </w:rPr>
        <w:t xml:space="preserve">代理机构将在“江苏政府采购网”发布中标公告，公告期限为1个工作日。</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27.4若有充分证据证明，中标人出现下列情况之一的，一经查实，将被取消中标资格：</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27.4.1提供虚假材料谋取中标的；</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27.4.2向采购人、代理机构行贿或者提供其他不正当利益的；</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27.4.3恶意竞争，投标总报价明显低于其自身合理成本且又无法提供证明的；</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27.4.4属于本文件规定的无效条件，但在评标过程中又未被评委会发现的；</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27.4.5与采购人或者其他供应商串通投标的；</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27.4.6采取不正当手段诋毁、排挤其他供应商的；</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27.4.7不符合法律法规的规定的。</w:t>
      </w:r>
      <w:bookmarkStart w:id="100" w:name="_Toc200451960"/>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27.5. 有下列情形之一的，视为供应商串通投标，投标无效：</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27.5.1不同供应商的投标文件由同一单位或者个人编制。</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经查实，不同供应商的电子投标文件出自同一台电脑的；不同供应商的标书制作工具客户端标识码存在一致的；不同供应商从同一互联网协议地址上传投标文件的。</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27.5.2不同供应商委托同一单位或者个人办理投标事宜。</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27.5.3 不同供应商的投标文件载明的项目管理成员或者联系人员为同一人。</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27.5.4不同供应商的投标文件异常一致或者投标报价呈规律性差异。</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28.质疑处理</w:t>
      </w:r>
      <w:bookmarkEnd w:id="100"/>
      <w:r>
        <w:rPr>
          <w:rFonts w:hint="eastAsia" w:ascii="宋体" w:hAnsi="宋体" w:eastAsia="宋体" w:cs="宋体"/>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28.1提出质疑的供应商应当是参与所质疑项目采购活动的供应商。潜在供应商依法获取其可质疑的招标文件的，可以对招标文件提出质疑。</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对项目需求部分的质疑，潜在供应商应向采购人提出，由采购人负责答复。</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28.2供应商认为招标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28.2.1对可以质疑的招标文件提出质疑的，为收到招标文件之日或者招标文件公告期限届满之日；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28.2.2对采购过程提出质疑的，为各采购程序环节结束之日；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28.2.3对中标或者成交结果提出质疑的，为中标或者成交结果公告期限届满之日。</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28.3供应商应当在法定质疑期内一次性提出针对同一采购程序环节的质疑。供应商如在法定期限内对同一采购程序环节提出多次质疑的，代理机构、采购人将只对供应商第一次质疑作出答复。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28.5采购人及代理机构只接收以纸质原件形式送达的质疑，同时需与采购代理机构经办人确认是否收到《质疑函》，如供应商未按上述要求去做，将自行承担所产生的风险。（采购人及代理机构不接受无快递运单号的快递）质疑接收人及联系方式详见招标文件第一章。</w:t>
      </w:r>
      <w:r>
        <w:rPr>
          <w:rFonts w:hint="eastAsia" w:ascii="宋体" w:hAnsi="宋体" w:cs="宋体"/>
          <w:color w:val="000000"/>
          <w:szCs w:val="21"/>
          <w:highlight w:val="none"/>
        </w:rPr>
      </w:r>
      <w:r/>
    </w:p>
    <w:p>
      <w:pPr>
        <w:pStyle w:val="871"/>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28.6收到质疑申请后，将对质疑的形式和内容进行审查，如质疑内容、格式不符合规定，将告知质疑人进行补正。</w:t>
      </w:r>
      <w:r>
        <w:rPr>
          <w:rFonts w:hint="eastAsia" w:ascii="宋体" w:hAnsi="宋体" w:cs="宋体"/>
          <w:color w:val="000000"/>
          <w:szCs w:val="21"/>
          <w:highlight w:val="none"/>
        </w:rPr>
      </w:r>
      <w:r/>
    </w:p>
    <w:p>
      <w:pPr>
        <w:pStyle w:val="871"/>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28.7质疑人应当在法定质疑期限内进行补正并重新提交质疑函。</w:t>
      </w:r>
      <w:r>
        <w:rPr>
          <w:rFonts w:hint="eastAsia" w:ascii="宋体" w:hAnsi="宋体" w:cs="宋体"/>
          <w:color w:val="000000"/>
          <w:szCs w:val="21"/>
          <w:highlight w:val="none"/>
        </w:rPr>
      </w:r>
      <w:r/>
    </w:p>
    <w:p>
      <w:pPr>
        <w:pStyle w:val="871"/>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28.8 以下情形的质疑不予受理</w:t>
      </w:r>
      <w:r>
        <w:rPr>
          <w:rFonts w:hint="eastAsia" w:ascii="宋体" w:hAnsi="宋体" w:cs="宋体"/>
          <w:color w:val="000000"/>
          <w:szCs w:val="21"/>
          <w:highlight w:val="none"/>
        </w:rPr>
      </w:r>
      <w:r/>
    </w:p>
    <w:p>
      <w:pPr>
        <w:pStyle w:val="871"/>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28.8.1 内容不符合《政府采购质疑和投诉办法》第十二条规定的质疑。</w:t>
      </w:r>
      <w:r>
        <w:rPr>
          <w:rFonts w:hint="eastAsia" w:ascii="宋体" w:hAnsi="宋体" w:cs="宋体"/>
          <w:color w:val="000000"/>
          <w:szCs w:val="21"/>
          <w:highlight w:val="none"/>
        </w:rPr>
      </w:r>
      <w:r/>
    </w:p>
    <w:p>
      <w:pPr>
        <w:pStyle w:val="871"/>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28.8.2 超出政府采购法定期限的质疑。</w:t>
      </w:r>
      <w:r>
        <w:rPr>
          <w:rFonts w:hint="eastAsia" w:ascii="宋体" w:hAnsi="宋体" w:cs="宋体"/>
          <w:color w:val="000000"/>
          <w:szCs w:val="21"/>
          <w:highlight w:val="none"/>
        </w:rPr>
      </w:r>
      <w:r/>
    </w:p>
    <w:p>
      <w:pPr>
        <w:pStyle w:val="871"/>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28.8.3 以传真、电子邮件等方式递交的非原件形式的质疑。</w:t>
      </w:r>
      <w:r>
        <w:rPr>
          <w:rFonts w:hint="eastAsia" w:ascii="宋体" w:hAnsi="宋体" w:cs="宋体"/>
          <w:color w:val="000000"/>
          <w:szCs w:val="21"/>
          <w:highlight w:val="none"/>
        </w:rPr>
      </w:r>
      <w:r/>
    </w:p>
    <w:p>
      <w:pPr>
        <w:pStyle w:val="871"/>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28.8.4 未参加投标活动的供应商或在投标活动中自身权益未受到损害的供应商所提出的质疑。</w:t>
      </w:r>
      <w:r>
        <w:rPr>
          <w:rFonts w:hint="eastAsia" w:ascii="宋体" w:hAnsi="宋体" w:cs="宋体"/>
          <w:color w:val="000000"/>
          <w:szCs w:val="21"/>
          <w:highlight w:val="none"/>
        </w:rPr>
      </w:r>
      <w:r/>
    </w:p>
    <w:p>
      <w:pPr>
        <w:pStyle w:val="871"/>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28.8.5供应商组成联合体参加投标，联合体中任何一方或多方未按要求签字、盖章、加盖公章的质疑。</w:t>
      </w:r>
      <w:r>
        <w:rPr>
          <w:rFonts w:hint="eastAsia" w:ascii="宋体" w:hAnsi="宋体" w:cs="宋体"/>
          <w:color w:val="000000"/>
          <w:szCs w:val="21"/>
          <w:highlight w:val="none"/>
        </w:rPr>
      </w:r>
      <w:r/>
    </w:p>
    <w:p>
      <w:pPr>
        <w:pStyle w:val="871"/>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s="宋体"/>
          <w:color w:val="000000"/>
          <w:szCs w:val="21"/>
          <w:highlight w:val="none"/>
        </w:rPr>
      </w:r>
      <w:r/>
    </w:p>
    <w:p>
      <w:pPr>
        <w:pStyle w:val="871"/>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rPr>
        <w:t xml:space="preserve">29.中标通知书</w:t>
      </w:r>
      <w:r>
        <w:rPr>
          <w:rFonts w:hint="eastAsia" w:ascii="宋体" w:hAnsi="宋体" w:eastAsia="宋体" w:cs="宋体"/>
          <w:b w:val="0"/>
          <w:color w:val="000000"/>
          <w:sz w:val="21"/>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29.l</w:t>
      </w: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中标结果确定后，代理机构将向中标人发出中标通知书。</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 中标人收到中标通知书后，应签字确认中标通知书已收到。若无回复，则公告后视同中标人已经知悉并同意接受。</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color w:val="000000"/>
          <w:szCs w:val="21"/>
          <w:highlight w:val="none"/>
        </w:rPr>
      </w:r>
      <w:r/>
    </w:p>
    <w:p>
      <w:pPr>
        <w:pStyle w:val="875"/>
        <w:ind w:firstLine="422"/>
        <w:keepLines w:val="0"/>
        <w:keepNext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b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rPr>
          <w:rFonts w:hint="eastAsia" w:ascii="宋体" w:hAnsi="宋体" w:eastAsia="宋体" w:cs="宋体"/>
          <w:color w:val="000000"/>
          <w:sz w:val="21"/>
          <w:szCs w:val="21"/>
          <w:highlight w:val="none"/>
        </w:rPr>
      </w:r>
      <w:r/>
    </w:p>
    <w:p>
      <w:pPr>
        <w:pStyle w:val="871"/>
        <w:ind w:firstLine="525"/>
        <w:spacing w:line="360" w:lineRule="auto"/>
        <w:rPr>
          <w:rFonts w:ascii="宋体" w:hAnsi="宋体"/>
          <w:color w:val="000000"/>
          <w:szCs w:val="21"/>
          <w:highlight w:val="none"/>
        </w:rPr>
      </w:pPr>
      <w:r>
        <w:rPr>
          <w:rFonts w:hint="eastAsia" w:ascii="宋体" w:hAnsi="宋体"/>
          <w:bCs/>
          <w:color w:val="000000"/>
          <w:szCs w:val="21"/>
          <w:highlight w:val="none"/>
        </w:rPr>
        <w:t xml:space="preserve">30</w:t>
      </w:r>
      <w:r>
        <w:rPr>
          <w:rFonts w:hint="eastAsia" w:ascii="宋体" w:hAnsi="宋体"/>
          <w:color w:val="000000"/>
          <w:szCs w:val="21"/>
          <w:highlight w:val="none"/>
        </w:rPr>
        <w:t xml:space="preserve">.l中标供应商应按中标通知书规定的时间、地点,按照招标文件确定的事项与采购人签订政府采购合同，且不得迟于中标通知书发出之日起三十日，否则视为放弃，由此给采购人造成损失的，中标供应商还应承担赔偿责任。</w:t>
      </w:r>
      <w:r>
        <w:rPr>
          <w:rFonts w:ascii="宋体" w:hAnsi="宋体"/>
          <w:color w:val="000000"/>
          <w:szCs w:val="21"/>
          <w:highlight w:val="none"/>
        </w:rPr>
      </w:r>
      <w:r/>
    </w:p>
    <w:p>
      <w:pPr>
        <w:pStyle w:val="871"/>
        <w:ind w:firstLine="525"/>
        <w:spacing w:line="360" w:lineRule="auto"/>
        <w:rPr>
          <w:rFonts w:ascii="宋体" w:hAnsi="宋体"/>
          <w:color w:val="000000"/>
          <w:szCs w:val="21"/>
          <w:highlight w:val="none"/>
        </w:rPr>
      </w:pPr>
      <w:r>
        <w:rPr>
          <w:rFonts w:hint="eastAsia" w:ascii="宋体" w:hAnsi="宋体"/>
          <w:color w:val="000000"/>
          <w:szCs w:val="21"/>
          <w:highlight w:val="none"/>
        </w:rPr>
        <w:t xml:space="preserve">30.2</w:t>
      </w:r>
      <w:r>
        <w:rPr>
          <w:rFonts w:hint="eastAsia" w:ascii="宋体" w:hAnsi="宋体"/>
          <w:b/>
          <w:color w:val="000000"/>
          <w:szCs w:val="21"/>
          <w:highlight w:val="none"/>
        </w:rPr>
        <w:t xml:space="preserve"> </w:t>
      </w:r>
      <w:r>
        <w:rPr>
          <w:rFonts w:hint="eastAsia" w:ascii="宋体" w:hAnsi="宋体"/>
          <w:color w:val="000000"/>
          <w:szCs w:val="21"/>
          <w:highlight w:val="none"/>
        </w:rPr>
        <w:t xml:space="preserve">招标文件、中标供应商的投标文件及招标过程中有关澄清、承诺文件均应作为合同附件。</w:t>
      </w:r>
      <w:r>
        <w:rPr>
          <w:rFonts w:ascii="宋体" w:hAnsi="宋体"/>
          <w:color w:val="000000"/>
          <w:szCs w:val="21"/>
          <w:highlight w:val="none"/>
        </w:rPr>
      </w:r>
      <w:r/>
    </w:p>
    <w:p>
      <w:pPr>
        <w:pStyle w:val="871"/>
        <w:ind w:firstLine="525"/>
        <w:spacing w:line="360" w:lineRule="auto"/>
        <w:rPr>
          <w:rFonts w:ascii="宋体" w:hAnsi="宋体"/>
          <w:color w:val="000000"/>
          <w:szCs w:val="21"/>
          <w:highlight w:val="none"/>
        </w:rPr>
      </w:pPr>
      <w:r>
        <w:rPr>
          <w:rFonts w:hint="eastAsia" w:ascii="宋体" w:hAnsi="宋体"/>
          <w:color w:val="000000"/>
          <w:szCs w:val="21"/>
          <w:highlight w:val="none"/>
        </w:rPr>
        <w:t xml:space="preserve">30.3 签订合同后，</w:t>
      </w:r>
      <w:r>
        <w:rPr>
          <w:rFonts w:hint="eastAsia" w:ascii="宋体" w:hAnsi="宋体"/>
          <w:i/>
          <w:color w:val="000000"/>
          <w:szCs w:val="21"/>
          <w:highlight w:val="none"/>
          <w:u w:val="single"/>
        </w:rPr>
        <w:t xml:space="preserve">中标供应商不得将服务进行转包</w:t>
      </w:r>
      <w:r>
        <w:rPr>
          <w:rFonts w:hint="eastAsia" w:ascii="宋体" w:hAnsi="宋体"/>
          <w:color w:val="000000"/>
          <w:szCs w:val="21"/>
          <w:highlight w:val="none"/>
        </w:rPr>
        <w:t xml:space="preserve">。未经采购人同意，中标供应商也不得采用分包的形式履行合同，否则采购人有权终止合同。转包或分包造成采购人损失或致使合同履行中发生违约现象的，中标供应商应承担赔偿责任。</w:t>
      </w:r>
      <w:r>
        <w:rPr>
          <w:rFonts w:ascii="宋体" w:hAnsi="宋体"/>
          <w:color w:val="000000"/>
          <w:szCs w:val="21"/>
          <w:highlight w:val="none"/>
        </w:rPr>
      </w:r>
      <w:r/>
    </w:p>
    <w:p>
      <w:pPr>
        <w:pStyle w:val="871"/>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30.4如中标候选人在规定时间不与学校签订合同、主动放弃中标资格或无正当理由终止合同履行的，将列入学校不良行为记录名单，我校有权在学校相关网址公开供应商不良行为黑名单信息，并保留在一至三年内禁止其参加学校采购活动的权利。</w:t>
      </w:r>
      <w:r>
        <w:rPr>
          <w:rFonts w:hint="eastAsia" w:ascii="宋体" w:hAnsi="宋体"/>
          <w:color w:val="000000"/>
          <w:szCs w:val="21"/>
          <w:highlight w:val="none"/>
        </w:rPr>
      </w:r>
      <w:r/>
    </w:p>
    <w:p>
      <w:pPr>
        <w:pStyle w:val="871"/>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30.5采购人不得向中标人提出任何不合理的要求作为签订合同的条件，不得与中标人私下订立背离合同实质性内容的协议。所签订的合同不得对招标文件确定事项和中标人投标文件作实质性修改。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color w:val="000000"/>
          <w:szCs w:val="21"/>
          <w:highlight w:val="none"/>
        </w:rPr>
      </w:r>
      <w:r/>
    </w:p>
    <w:p>
      <w:pPr>
        <w:pStyle w:val="871"/>
        <w:ind w:firstLine="420"/>
        <w:spacing w:line="360" w:lineRule="auto"/>
        <w:rPr>
          <w:rFonts w:hint="eastAsia" w:ascii="宋体" w:hAnsi="宋体" w:cs="宋体"/>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101" w:name="_Toc55204179"/>
      <w:r/>
      <w:bookmarkStart w:id="102" w:name="_Toc11127"/>
      <w:r/>
      <w:bookmarkStart w:id="103" w:name="_Toc28155"/>
      <w:r>
        <w:rPr>
          <w:rFonts w:hint="eastAsia" w:ascii="宋体" w:hAnsi="宋体" w:cs="宋体"/>
          <w:color w:val="000000"/>
          <w:szCs w:val="21"/>
          <w:highlight w:val="none"/>
        </w:rPr>
      </w:r>
      <w:r/>
    </w:p>
    <w:p>
      <w:pPr>
        <w:pStyle w:val="871"/>
        <w:jc w:val="center"/>
        <w:rPr>
          <w:rFonts w:hint="eastAsia"/>
          <w:b/>
          <w:bCs/>
          <w:color w:val="000000"/>
          <w:sz w:val="36"/>
          <w:szCs w:val="36"/>
          <w:highlight w:val="none"/>
        </w:rPr>
      </w:pPr>
      <w:r>
        <w:rPr>
          <w:rFonts w:hint="eastAsia"/>
          <w:b/>
          <w:bCs/>
          <w:color w:val="000000"/>
          <w:sz w:val="36"/>
          <w:szCs w:val="36"/>
          <w:highlight w:val="none"/>
        </w:rPr>
        <w:t xml:space="preserve">第三章 </w:t>
      </w:r>
      <w:bookmarkEnd w:id="101"/>
      <w:r/>
      <w:bookmarkEnd w:id="102"/>
      <w:r/>
      <w:bookmarkEnd w:id="103"/>
      <w:r>
        <w:rPr>
          <w:rFonts w:hint="eastAsia"/>
          <w:b/>
          <w:bCs/>
          <w:color w:val="000000"/>
          <w:sz w:val="36"/>
          <w:szCs w:val="36"/>
          <w:highlight w:val="none"/>
        </w:rPr>
        <w:t xml:space="preserve">合同条款及格式</w:t>
      </w:r>
      <w:r>
        <w:rPr>
          <w:rFonts w:hint="eastAsia"/>
          <w:b/>
          <w:bCs/>
          <w:color w:val="000000"/>
          <w:sz w:val="36"/>
          <w:szCs w:val="36"/>
          <w:highlight w:val="none"/>
        </w:rPr>
      </w:r>
      <w:r/>
    </w:p>
    <w:p>
      <w:pPr>
        <w:pStyle w:val="902"/>
        <w:spacing w:line="360" w:lineRule="auto"/>
        <w:rPr>
          <w:rFonts w:hint="eastAsia" w:hAnsi="宋体" w:cs="宋体"/>
          <w:color w:val="000000"/>
          <w:sz w:val="21"/>
          <w:highlight w:val="none"/>
        </w:rPr>
      </w:pPr>
      <w:r/>
      <w:bookmarkStart w:id="104" w:name="_Toc12251"/>
      <w:r/>
      <w:bookmarkStart w:id="105" w:name="_Toc4787"/>
      <w:r>
        <w:rPr>
          <w:rFonts w:hint="eastAsia" w:hAnsi="宋体" w:cs="宋体"/>
          <w:color w:val="000000"/>
          <w:sz w:val="21"/>
          <w:highlight w:val="none"/>
        </w:rPr>
      </w:r>
      <w:r/>
    </w:p>
    <w:p>
      <w:pPr>
        <w:pStyle w:val="902"/>
        <w:spacing w:line="360" w:lineRule="auto"/>
        <w:rPr>
          <w:rFonts w:hint="eastAsia" w:hAnsi="宋体" w:cs="宋体"/>
          <w:color w:val="000000"/>
          <w:sz w:val="21"/>
          <w:highlight w:val="none"/>
        </w:rPr>
      </w:pPr>
      <w:r>
        <w:rPr>
          <w:rFonts w:hint="eastAsia" w:hAnsi="宋体" w:cs="宋体"/>
          <w:color w:val="000000"/>
          <w:sz w:val="21"/>
          <w:highlight w:val="none"/>
        </w:rPr>
        <w:t xml:space="preserve">以下为中标后签订本项目合同的通用条款，中标人不得提出实质性的修改，关于专用条款将由采购人与中标人结合本项目具体情况协商后签订。</w:t>
      </w:r>
      <w:r>
        <w:rPr>
          <w:rFonts w:hint="eastAsia" w:hAnsi="宋体" w:cs="宋体"/>
          <w:color w:val="000000"/>
          <w:sz w:val="21"/>
          <w:highlight w:val="none"/>
        </w:rPr>
      </w:r>
      <w:r/>
    </w:p>
    <w:p>
      <w:pPr>
        <w:pStyle w:val="902"/>
        <w:ind w:firstLine="422"/>
        <w:jc w:val="center"/>
        <w:spacing w:line="360" w:lineRule="auto"/>
        <w:rPr>
          <w:rFonts w:hint="eastAsia" w:hAnsi="宋体" w:cs="宋体"/>
          <w:b/>
          <w:bCs/>
          <w:color w:val="000000"/>
          <w:sz w:val="21"/>
          <w:highlight w:val="none"/>
        </w:rPr>
      </w:pPr>
      <w:r>
        <w:rPr>
          <w:rFonts w:hint="eastAsia" w:hAnsi="宋体" w:cs="宋体"/>
          <w:b/>
          <w:bCs/>
          <w:color w:val="000000"/>
          <w:sz w:val="21"/>
          <w:highlight w:val="none"/>
        </w:rPr>
        <w:t xml:space="preserve">政府采购合同（服务）</w:t>
      </w:r>
      <w:r>
        <w:rPr>
          <w:rFonts w:hint="eastAsia" w:hAnsi="宋体" w:cs="宋体"/>
          <w:b/>
          <w:bCs/>
          <w:color w:val="000000"/>
          <w:sz w:val="21"/>
          <w:highlight w:val="none"/>
        </w:rPr>
      </w:r>
      <w:r/>
    </w:p>
    <w:p>
      <w:pPr>
        <w:pStyle w:val="87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扬州大学2026年学生宿舍租住服务</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1"/>
        <w:ind w:firstLine="420"/>
        <w:spacing w:line="44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87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合同编号：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71"/>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甲方：（买方）</w:t>
      </w:r>
      <w:r>
        <w:rPr>
          <w:rFonts w:hint="eastAsia" w:ascii="宋体" w:hAnsi="宋体" w:cs="宋体"/>
          <w:color w:val="000000"/>
          <w:szCs w:val="21"/>
          <w:highlight w:val="none"/>
          <w:u w:val="single"/>
        </w:rPr>
        <w:t xml:space="preserve">扬州大学                       </w:t>
      </w:r>
      <w:r>
        <w:rPr>
          <w:rFonts w:ascii="宋体" w:hAnsi="宋体" w:cs="宋体"/>
          <w:color w:val="000000"/>
          <w:szCs w:val="21"/>
          <w:highlight w:val="none"/>
        </w:rPr>
      </w:r>
      <w:r/>
    </w:p>
    <w:p>
      <w:pPr>
        <w:pStyle w:val="871"/>
        <w:ind w:firstLine="420"/>
        <w:spacing w:line="44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乙方：（卖方）</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87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甲、乙双方根据</w:t>
      </w:r>
      <w:r>
        <w:rPr>
          <w:rFonts w:hint="eastAsia" w:ascii="宋体" w:hAnsi="宋体" w:cs="宋体"/>
          <w:color w:val="000000"/>
          <w:szCs w:val="21"/>
          <w:highlight w:val="none"/>
          <w:u w:val="single"/>
        </w:rPr>
        <w:t xml:space="preserve">扬州大学2026年学生宿舍租住服务</w:t>
      </w:r>
      <w:r>
        <w:rPr>
          <w:rFonts w:hint="eastAsia" w:ascii="宋体" w:hAnsi="宋体" w:cs="宋体"/>
          <w:color w:val="000000"/>
          <w:szCs w:val="21"/>
          <w:highlight w:val="none"/>
        </w:rPr>
        <w:t xml:space="preserve">公开招标的结果，签署本合同。</w:t>
      </w:r>
      <w:r>
        <w:rPr>
          <w:rFonts w:hint="eastAsia" w:ascii="宋体" w:hAnsi="宋体" w:cs="宋体"/>
          <w:color w:val="000000"/>
          <w:szCs w:val="21"/>
          <w:highlight w:val="none"/>
        </w:rPr>
      </w:r>
      <w:r/>
    </w:p>
    <w:p>
      <w:pPr>
        <w:pStyle w:val="871"/>
        <w:jc w:val="left"/>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一、合同内容</w:t>
      </w:r>
      <w:r>
        <w:rPr>
          <w:rFonts w:hint="eastAsia" w:ascii="宋体" w:hAnsi="宋体" w:cs="宋体"/>
          <w:b/>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1.乙方负责完成甲方的服务需求，详见乙方的投标响应文件。</w:t>
      </w:r>
      <w:r>
        <w:rPr>
          <w:rFonts w:hint="eastAsia" w:ascii="宋体" w:hAnsi="宋体" w:cs="宋体"/>
          <w:color w:val="000000"/>
          <w:szCs w:val="21"/>
          <w:highlight w:val="none"/>
        </w:rPr>
      </w:r>
      <w:r/>
    </w:p>
    <w:p>
      <w:pPr>
        <w:pStyle w:val="871"/>
        <w:ind w:firstLine="42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2.下列文件为本合同不可分割部分，与本合同具有同等法律效力：</w:t>
      </w:r>
      <w:r>
        <w:rPr>
          <w:rFonts w:hint="eastAsia" w:ascii="宋体" w:hAnsi="宋体" w:cs="宋体"/>
          <w:color w:val="000000"/>
          <w:szCs w:val="21"/>
          <w:highlight w:val="none"/>
        </w:rPr>
      </w:r>
      <w:r/>
    </w:p>
    <w:p>
      <w:pPr>
        <w:pStyle w:val="87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（1）中标通知书；</w:t>
      </w:r>
      <w:r>
        <w:rPr>
          <w:rFonts w:hint="eastAsia" w:ascii="宋体" w:hAnsi="宋体" w:cs="宋体"/>
          <w:color w:val="000000"/>
          <w:szCs w:val="21"/>
          <w:highlight w:val="none"/>
        </w:rPr>
      </w:r>
      <w:r/>
    </w:p>
    <w:p>
      <w:pPr>
        <w:pStyle w:val="87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（2）采购文件及其他补充文件；</w:t>
      </w:r>
      <w:r>
        <w:rPr>
          <w:rFonts w:hint="eastAsia" w:ascii="宋体" w:hAnsi="宋体" w:cs="宋体"/>
          <w:color w:val="000000"/>
          <w:szCs w:val="21"/>
          <w:highlight w:val="none"/>
        </w:rPr>
      </w:r>
      <w:r/>
    </w:p>
    <w:p>
      <w:pPr>
        <w:pStyle w:val="87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（3）乙方中标的投标响应文件；</w:t>
      </w:r>
      <w:r>
        <w:rPr>
          <w:rFonts w:hint="eastAsia" w:ascii="宋体" w:hAnsi="宋体" w:cs="宋体"/>
          <w:color w:val="000000"/>
          <w:szCs w:val="21"/>
          <w:highlight w:val="none"/>
        </w:rPr>
      </w:r>
      <w:r/>
    </w:p>
    <w:p>
      <w:pPr>
        <w:pStyle w:val="871"/>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（4）乙方在采购过程中所作的其它承诺、声明、澄清等。</w:t>
      </w:r>
      <w:r>
        <w:rPr>
          <w:rFonts w:hint="eastAsia" w:ascii="宋体" w:hAnsi="宋体" w:cs="宋体"/>
          <w:color w:val="000000"/>
          <w:szCs w:val="21"/>
          <w:highlight w:val="none"/>
        </w:rPr>
      </w:r>
      <w:r/>
    </w:p>
    <w:p>
      <w:pPr>
        <w:pStyle w:val="871"/>
        <w:jc w:val="left"/>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二、价格与支付</w:t>
      </w:r>
      <w:r>
        <w:rPr>
          <w:rFonts w:hint="eastAsia" w:ascii="宋体" w:hAnsi="宋体" w:cs="宋体"/>
          <w:b/>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1.年租金：大写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元</w:t>
      </w:r>
      <w:r>
        <w:rPr>
          <w:rFonts w:hint="eastAsia" w:ascii="宋体" w:hAnsi="宋体" w:cs="宋体"/>
          <w:color w:val="000000"/>
          <w:szCs w:val="21"/>
          <w:highlight w:val="none"/>
        </w:rPr>
        <w:t xml:space="preserve">）包括且不限于房屋租赁费、装修及设施配套费、配套物品折旧费和维修费、运营服务费、雇员费用、利润、税金以及合同实施过程中应预见和不可预见费用等。采购人不承担由于供应商漏报、少报所带来的全部风险和责任。除非因特殊原因并经甲乙双方协商同意，乙方不得再要求追加任何费用。</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2.付款方式：乙方按期交付并通过验收后，甲方于</w:t>
      </w:r>
      <w:r>
        <w:rPr>
          <w:rFonts w:hint="eastAsia" w:ascii="宋体" w:hAnsi="宋体" w:cs="宋体"/>
          <w:color w:val="000000"/>
          <w:szCs w:val="21"/>
          <w:highlight w:val="none"/>
          <w:u w:val="single"/>
        </w:rPr>
        <w:t xml:space="preserve">2026年8月31日</w:t>
      </w:r>
      <w:r>
        <w:rPr>
          <w:rFonts w:hint="eastAsia" w:ascii="宋体" w:hAnsi="宋体" w:cs="宋体"/>
          <w:color w:val="000000"/>
          <w:szCs w:val="21"/>
          <w:highlight w:val="none"/>
        </w:rPr>
        <w:t xml:space="preserve">前支付年租金的50%，剩余50%待服务质量考核合格后，于</w:t>
      </w:r>
      <w:r>
        <w:rPr>
          <w:rFonts w:hint="eastAsia" w:ascii="宋体" w:hAnsi="宋体" w:cs="宋体"/>
          <w:color w:val="000000"/>
          <w:szCs w:val="21"/>
          <w:highlight w:val="none"/>
          <w:u w:val="single"/>
        </w:rPr>
        <w:t xml:space="preserve">2027年3月31日</w:t>
      </w:r>
      <w:r>
        <w:rPr>
          <w:rFonts w:hint="eastAsia" w:ascii="宋体" w:hAnsi="宋体" w:cs="宋体"/>
          <w:color w:val="000000"/>
          <w:szCs w:val="21"/>
          <w:highlight w:val="none"/>
        </w:rPr>
        <w:t xml:space="preserve">前支付。续签合同付款以此类推。</w:t>
      </w:r>
      <w:r>
        <w:rPr>
          <w:rFonts w:hint="eastAsia" w:ascii="宋体" w:hAnsi="宋体" w:cs="宋体"/>
          <w:color w:val="000000"/>
          <w:szCs w:val="21"/>
          <w:highlight w:val="none"/>
        </w:rPr>
      </w:r>
      <w:r/>
    </w:p>
    <w:p>
      <w:pPr>
        <w:pStyle w:val="871"/>
        <w:ind w:firstLine="50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3.支付方式：银行转账。</w:t>
      </w:r>
      <w:r>
        <w:rPr>
          <w:rFonts w:hint="eastAsia" w:ascii="宋体" w:hAnsi="宋体" w:cs="宋体"/>
          <w:color w:val="000000"/>
          <w:szCs w:val="21"/>
          <w:highlight w:val="none"/>
        </w:rPr>
      </w:r>
      <w:r/>
    </w:p>
    <w:p>
      <w:pPr>
        <w:pStyle w:val="871"/>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三、服务期限</w:t>
      </w:r>
      <w:r>
        <w:rPr>
          <w:rFonts w:hint="eastAsia" w:ascii="宋体" w:hAnsi="宋体" w:cs="宋体"/>
          <w:b/>
          <w:bCs/>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服务期限：从</w:t>
      </w:r>
      <w:r>
        <w:rPr>
          <w:rFonts w:hint="eastAsia" w:ascii="宋体" w:hAnsi="宋体" w:cs="宋体"/>
          <w:color w:val="000000"/>
          <w:szCs w:val="21"/>
          <w:highlight w:val="none"/>
          <w:u w:val="single"/>
        </w:rPr>
        <w:t xml:space="preserve">2026年8月1日至2027年7月31日</w:t>
      </w:r>
      <w:r>
        <w:rPr>
          <w:rFonts w:hint="eastAsia" w:ascii="宋体" w:hAnsi="宋体" w:cs="宋体"/>
          <w:color w:val="000000"/>
          <w:szCs w:val="21"/>
          <w:highlight w:val="none"/>
        </w:rPr>
        <w:t xml:space="preserve">止，合同到期在服务质量考核合格的情况下可签订下一年度合同（本项目合同续签不超过两次）。</w:t>
      </w:r>
      <w:r>
        <w:rPr>
          <w:rFonts w:hint="eastAsia" w:ascii="宋体" w:hAnsi="宋体" w:cs="宋体"/>
          <w:color w:val="000000"/>
          <w:szCs w:val="21"/>
          <w:highlight w:val="none"/>
        </w:rPr>
      </w:r>
      <w:r/>
    </w:p>
    <w:p>
      <w:pPr>
        <w:pStyle w:val="871"/>
        <w:jc w:val="left"/>
        <w:spacing w:line="440" w:lineRule="exact"/>
        <w:rPr>
          <w:rFonts w:hint="eastAsia" w:ascii="宋体" w:hAnsi="宋体" w:cs="宋体"/>
          <w:b/>
          <w:bCs/>
          <w:color w:val="000000"/>
          <w:szCs w:val="21"/>
          <w:highlight w:val="none"/>
          <w:u w:val="single"/>
        </w:rPr>
      </w:pPr>
      <w:r>
        <w:rPr>
          <w:rFonts w:hint="eastAsia" w:ascii="宋体" w:hAnsi="宋体" w:cs="宋体"/>
          <w:b/>
          <w:color w:val="000000"/>
          <w:szCs w:val="21"/>
          <w:highlight w:val="none"/>
        </w:rPr>
        <w:t xml:space="preserve">四、</w:t>
      </w:r>
      <w:r>
        <w:rPr>
          <w:rFonts w:hint="eastAsia" w:ascii="宋体" w:hAnsi="宋体" w:cs="宋体"/>
          <w:b/>
          <w:bCs/>
          <w:color w:val="000000"/>
          <w:szCs w:val="21"/>
          <w:highlight w:val="none"/>
        </w:rPr>
        <w:t xml:space="preserve">服务地点：</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u w:val="single"/>
        </w:rPr>
      </w:r>
      <w:r/>
    </w:p>
    <w:p>
      <w:pPr>
        <w:pStyle w:val="871"/>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五、产权担保</w:t>
      </w:r>
      <w:r>
        <w:rPr>
          <w:rFonts w:hint="eastAsia" w:ascii="宋体" w:hAnsi="宋体" w:cs="宋体"/>
          <w:b/>
          <w:bCs/>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乙方承诺拥有所交付的服务或产品的所有权或合法经营权，且无任何抵押、查封等产权瑕疵，不存在任何导致合同目的不能实现的情况。</w:t>
      </w:r>
      <w:r>
        <w:rPr>
          <w:rFonts w:hint="eastAsia" w:ascii="宋体" w:hAnsi="宋体" w:cs="宋体"/>
          <w:color w:val="000000"/>
          <w:szCs w:val="21"/>
          <w:highlight w:val="none"/>
        </w:rPr>
      </w:r>
      <w:r/>
    </w:p>
    <w:p>
      <w:pPr>
        <w:pStyle w:val="871"/>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六、履约保证金</w:t>
      </w:r>
      <w:r>
        <w:rPr>
          <w:rFonts w:hint="eastAsia" w:ascii="宋体" w:hAnsi="宋体" w:cs="宋体"/>
          <w:b/>
          <w:bCs/>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履约保证金收取：无</w:t>
      </w:r>
      <w:r>
        <w:rPr>
          <w:rFonts w:hint="eastAsia" w:ascii="宋体" w:hAnsi="宋体" w:cs="宋体"/>
          <w:color w:val="000000"/>
          <w:szCs w:val="21"/>
          <w:highlight w:val="none"/>
        </w:rPr>
      </w:r>
      <w:r/>
    </w:p>
    <w:p>
      <w:pPr>
        <w:pStyle w:val="871"/>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七、验收与服务质量考核</w:t>
      </w:r>
      <w:r>
        <w:rPr>
          <w:rFonts w:hint="eastAsia" w:ascii="宋体" w:hAnsi="宋体" w:cs="宋体"/>
          <w:b/>
          <w:bCs/>
          <w:color w:val="000000"/>
          <w:szCs w:val="21"/>
          <w:highlight w:val="none"/>
        </w:rPr>
      </w:r>
      <w:r/>
    </w:p>
    <w:p>
      <w:pPr>
        <w:pStyle w:val="871"/>
        <w:ind w:firstLine="422"/>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1.验收：甲方在乙方交付时，对房屋、家具及附属配套设施设备进行验收。</w:t>
      </w:r>
      <w:r>
        <w:rPr>
          <w:rFonts w:hint="eastAsia" w:ascii="宋体" w:hAnsi="宋体" w:cs="宋体"/>
          <w:b/>
          <w:bCs/>
          <w:color w:val="000000"/>
          <w:szCs w:val="21"/>
          <w:highlight w:val="none"/>
        </w:rPr>
      </w:r>
      <w:r/>
    </w:p>
    <w:p>
      <w:pPr>
        <w:pStyle w:val="871"/>
        <w:ind w:firstLine="422"/>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2.服务质量考核：合同期内，甲方对乙方提供的服务及履行本合同情况实施2次服务质量考核，于</w:t>
      </w:r>
      <w:r>
        <w:rPr>
          <w:rFonts w:ascii="宋体" w:hAnsi="宋体" w:cs="宋体"/>
          <w:b/>
          <w:bCs/>
          <w:color w:val="000000"/>
          <w:szCs w:val="21"/>
          <w:highlight w:val="none"/>
          <w:u w:val="single"/>
        </w:rPr>
        <w:t xml:space="preserve"> 2027  </w:t>
      </w:r>
      <w:r>
        <w:rPr>
          <w:rFonts w:hint="eastAsia" w:ascii="宋体" w:hAnsi="宋体" w:cs="宋体"/>
          <w:b/>
          <w:bCs/>
          <w:color w:val="000000"/>
          <w:szCs w:val="21"/>
          <w:highlight w:val="none"/>
        </w:rPr>
        <w:t xml:space="preserve">年</w:t>
      </w:r>
      <w:r>
        <w:rPr>
          <w:rFonts w:ascii="宋体" w:hAnsi="宋体" w:cs="宋体"/>
          <w:b/>
          <w:bCs/>
          <w:color w:val="000000"/>
          <w:szCs w:val="21"/>
          <w:highlight w:val="none"/>
          <w:u w:val="single"/>
        </w:rPr>
        <w:t xml:space="preserve">  1  </w:t>
      </w:r>
      <w:r>
        <w:rPr>
          <w:rFonts w:hint="eastAsia" w:ascii="宋体" w:hAnsi="宋体" w:cs="宋体"/>
          <w:b/>
          <w:bCs/>
          <w:color w:val="000000"/>
          <w:szCs w:val="21"/>
          <w:highlight w:val="none"/>
        </w:rPr>
        <w:t xml:space="preserve">月进行剩余50%租金付款考核，</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2027</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rPr>
        <w:t xml:space="preserve"> 年 </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6</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rPr>
        <w:t xml:space="preserve"> 月进行合同续签考核。考核满分为100分，考核得分80分以上为合格。</w:t>
      </w:r>
      <w:r>
        <w:rPr>
          <w:rFonts w:hint="eastAsia" w:ascii="宋体" w:hAnsi="宋体" w:cs="宋体"/>
          <w:b/>
          <w:bCs/>
          <w:color w:val="000000"/>
          <w:szCs w:val="21"/>
          <w:highlight w:val="none"/>
        </w:rPr>
      </w:r>
      <w:r/>
    </w:p>
    <w:p>
      <w:pPr>
        <w:pStyle w:val="871"/>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八、甲方权利和义务</w:t>
      </w:r>
      <w:r>
        <w:rPr>
          <w:rFonts w:hint="eastAsia" w:ascii="宋体" w:hAnsi="宋体" w:cs="宋体"/>
          <w:b/>
          <w:bCs/>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1.甲方有权根据甲方服务管理要求及乙方的相关承诺，对乙方提供的服务及履行本合同情况实行验收考核。</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2.甲方按照学校相关管理要求，配备一定数量的辅导员以及宿管、保洁等工作人员入住，负责入住学生的学生管理、宿舍管理、安全教育等工作。</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3.为便于乙方管理，甲方须按实提供入住学生名单。</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4.租住期间，学生有关维修报修或其他需要协调的事项，统一由甲方宿管人员负责与乙方对接。</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未经乙方书面同意：甲方不得将所住房屋、床位全部或部分转租给他人；不得安排人员在卫生间、阳台和地下车库居住；不得携带任何有毒有害物质、易燃易爆易腐蚀等危险物品进入公寓；不得在房屋内放置货物；不得改动房屋内的电线、管道及设施位置；不得将保险柜等重型机器设备、大件设备等物品搬进房屋；不得在承租房屋的地面放置超过设计载荷的物品。</w:t>
      </w:r>
      <w:r>
        <w:rPr>
          <w:rFonts w:hint="eastAsia" w:ascii="宋体" w:hAnsi="宋体" w:cs="宋体"/>
          <w:color w:val="000000"/>
          <w:szCs w:val="21"/>
          <w:highlight w:val="none"/>
        </w:rPr>
      </w:r>
      <w:r/>
    </w:p>
    <w:p>
      <w:pPr>
        <w:pStyle w:val="871"/>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九、乙方权利和义务</w:t>
      </w:r>
      <w:r>
        <w:rPr>
          <w:rFonts w:hint="eastAsia" w:ascii="宋体" w:hAnsi="宋体" w:cs="宋体"/>
          <w:b/>
          <w:bCs/>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乙方应根据国家标准、行业标准和规范要求及标书规定的服务质量标准和有关要求提供服务，包括：消防维保、电梯维保、水电供应、公共清洁（含下水道日常疏通维护）、提供饮水机（确保持续有热水供应）、公区维修、网络服务、前台登记、维修服务、安全登记、消防服务等。</w:t>
      </w:r>
      <w:r>
        <w:rPr>
          <w:rFonts w:hint="eastAsia" w:ascii="宋体" w:hAnsi="宋体" w:cs="宋体"/>
          <w:color w:val="000000"/>
          <w:szCs w:val="21"/>
          <w:highlight w:val="none"/>
        </w:rPr>
      </w:r>
      <w:r/>
    </w:p>
    <w:p>
      <w:pPr>
        <w:pStyle w:val="87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2.乙方须在2026年7月31日之前与甲方办理房屋交付手续，将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交付给甲</w:t>
      </w:r>
      <w:r>
        <w:rPr>
          <w:rFonts w:hint="eastAsia" w:ascii="宋体" w:hAnsi="宋体" w:cs="宋体"/>
          <w:color w:val="000000"/>
          <w:szCs w:val="21"/>
          <w:highlight w:val="none"/>
        </w:rPr>
        <w:t xml:space="preserve">方。交付前须对房屋进行全面检查、维修、保洁并作必要的出新，确保房屋整体墙面、地面、窗帘干净整洁无破损、空调滤网清洁，室内家具及生活岛设施设备配备完整、完好并能正常使用，确保24小时提供热水洗浴，晾晒空间满足学生需求，车辆停放区域符合消防安全规定，网络现场测速达到项目需求，监控录像保存时间符合项目需求。未按时交付或因乙方交付的房屋及设施设备存在质量、安全等方面的问题，以及租用期间不承担约定的维修义务，致使甲方无法正常使用，或对甲方及其他人员造成人身或者财产损害的，应当依法承担法律责任，并按规定支付相关赔偿金。</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乙方负责将其提供的各类生活服务的收费标准以及维修服务的响应时间承诺等进行上墙公布，合同期内相关收费标准不得上涨；负责洗涤设备等每周定期保洁消毒，电吹风每周进行安全检测与维护；确保监控设施完好，如因监控损坏导致入住学生衣物丢失，负责赔偿学生损失。</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4.租赁期间，乙方不得有对租赁物的抵押、质押、冻结、查封等行为。如造成对甲方租赁权损害的，乙方承担全部违约责任，并赔偿甲方的全部损失（包含但不限于甲方另寻其他房源所产生的相关费用）。</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5.甲方为加强学生安全管理或满足学生实际需求等方面开展相关活动时,在提前沟通的前提下,乙方有义务为甲方提供必要的支持。新学期开学报到期间，乙方须做好安保配备并确保公共区域交通顺畅。</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6.乙方应做好详细的管理台账，建立管理档案，接受并配合甲方及行业主管部门的检查。</w:t>
      </w:r>
      <w:r>
        <w:rPr>
          <w:rFonts w:hint="eastAsia" w:ascii="宋体" w:hAnsi="宋体" w:cs="宋体"/>
          <w:color w:val="000000"/>
          <w:szCs w:val="21"/>
          <w:highlight w:val="none"/>
        </w:rPr>
      </w:r>
      <w:r/>
    </w:p>
    <w:p>
      <w:pPr>
        <w:pStyle w:val="871"/>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十、服务管理基本要求</w:t>
      </w:r>
      <w:r>
        <w:rPr>
          <w:rFonts w:hint="eastAsia" w:ascii="宋体" w:hAnsi="宋体" w:cs="宋体"/>
          <w:b/>
          <w:bCs/>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1.为确保服务质量，乙方安排管理人员进行监督管理。</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2.服务过程中，乙方必须落实安全责任，以避免对人身和财产的损害。如因乙方原因而造成人身伤害或财产损失的，由乙方承担。</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3.具体要求须符合采购需求及投标响应。</w:t>
      </w:r>
      <w:r>
        <w:rPr>
          <w:rFonts w:hint="eastAsia" w:ascii="宋体" w:hAnsi="宋体" w:cs="宋体"/>
          <w:color w:val="000000"/>
          <w:szCs w:val="21"/>
          <w:highlight w:val="none"/>
        </w:rPr>
      </w:r>
      <w:r/>
    </w:p>
    <w:p>
      <w:pPr>
        <w:pStyle w:val="87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十一、转包或分包</w:t>
      </w:r>
      <w:r>
        <w:rPr>
          <w:rFonts w:hint="eastAsia" w:ascii="宋体" w:hAnsi="宋体" w:cs="宋体"/>
          <w:b/>
          <w:bCs/>
          <w:color w:val="000000"/>
          <w:szCs w:val="21"/>
          <w:highlight w:val="none"/>
        </w:rPr>
      </w:r>
      <w:r/>
    </w:p>
    <w:p>
      <w:pPr>
        <w:pStyle w:val="87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1.本合同范围的服务或产品，应由乙方直接供应，不得转让他人供应；</w:t>
      </w:r>
      <w:r>
        <w:rPr>
          <w:rFonts w:hint="eastAsia" w:ascii="宋体" w:hAnsi="宋体" w:cs="宋体"/>
          <w:color w:val="000000"/>
          <w:szCs w:val="21"/>
          <w:highlight w:val="none"/>
        </w:rPr>
      </w:r>
      <w:r/>
    </w:p>
    <w:p>
      <w:pPr>
        <w:pStyle w:val="87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2.除非得到甲方的书面同意，乙方不得将部分项目分包给他人供应。</w:t>
      </w:r>
      <w:r>
        <w:rPr>
          <w:rFonts w:hint="eastAsia" w:ascii="宋体" w:hAnsi="宋体" w:cs="宋体"/>
          <w:color w:val="000000"/>
          <w:szCs w:val="21"/>
          <w:highlight w:val="none"/>
        </w:rPr>
      </w:r>
      <w:r/>
    </w:p>
    <w:p>
      <w:pPr>
        <w:pStyle w:val="87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3.如有转让或未经甲方同意的分包行为，甲方有权给予终止合同。</w:t>
      </w:r>
      <w:r>
        <w:rPr>
          <w:rFonts w:hint="eastAsia" w:ascii="宋体" w:hAnsi="宋体" w:cs="宋体"/>
          <w:color w:val="000000"/>
          <w:szCs w:val="21"/>
          <w:highlight w:val="none"/>
        </w:rPr>
      </w:r>
      <w:r/>
    </w:p>
    <w:p>
      <w:pPr>
        <w:pStyle w:val="87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乙方在规定时间不与甲方签订合同、主动放弃中标资格或无正当理由终止合同履行的，将列入不良行为记录名单，我校有权在学校相关网址公开供应商不良行为黑名单信息，并保留在一至三年内禁止其参加学校采购活动的权利。</w:t>
      </w:r>
      <w:r>
        <w:rPr>
          <w:rFonts w:hint="eastAsia" w:ascii="宋体" w:hAnsi="宋体" w:cs="宋体"/>
          <w:color w:val="000000"/>
          <w:szCs w:val="21"/>
          <w:highlight w:val="none"/>
        </w:rPr>
      </w:r>
      <w:r/>
    </w:p>
    <w:p>
      <w:pPr>
        <w:pStyle w:val="871"/>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十二、不可抗力</w:t>
      </w:r>
      <w:r>
        <w:rPr>
          <w:rFonts w:hint="eastAsia" w:ascii="宋体" w:hAnsi="宋体" w:cs="宋体"/>
          <w:b/>
          <w:bCs/>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1.因不可抗力不能履行合同的，根据不可抗力的影响，部分或者全部免除责任。但合同一方迟延履行后发生严重后果的，不能免除责任。</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2.合同一方因不可抗力不能履行合同的，应当及时通知对方，以减轻可能给对方造成的损失，并应当在合理期限内提供证明。</w:t>
      </w:r>
      <w:r>
        <w:rPr>
          <w:rFonts w:hint="eastAsia" w:ascii="宋体" w:hAnsi="宋体" w:cs="宋体"/>
          <w:color w:val="000000"/>
          <w:szCs w:val="21"/>
          <w:highlight w:val="none"/>
        </w:rPr>
      </w:r>
      <w:r/>
    </w:p>
    <w:p>
      <w:pPr>
        <w:pStyle w:val="871"/>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十三、违约责任</w:t>
      </w:r>
      <w:r>
        <w:rPr>
          <w:rFonts w:hint="eastAsia" w:ascii="宋体" w:hAnsi="宋体" w:cs="宋体"/>
          <w:b/>
          <w:bCs/>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除不可抗力及非甲乙方原因的情况外，如乙方未能在约定的时间交付该处房屋的，需承担甲方短时安排学生入住其他房源的费用，并向甲方支付3个月租金的违约金，同时须及时排除妨碍继续履行协议。因乙方原因导致甲方无法继续使用该房屋的，乙方应提前半年通知甲方，并提供同类型合格新房源满足甲方使用，并保持租金不变。如乙方无法为甲方提供合格房源的，甲方有权要求乙方退还已缴纳的租金（本年已缴纳租金/本年已缴纳租金应服务天数*实际未能入住天数），并承担甲方由此造成的损失。</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若由于甲方的原因导致解除本合同的，甲方除必须向乙方支付其实际使用该承租房屋期间根据本合同应付的一切款项外，甲方预缴的租金、费用等，乙方有权不予返还，并有权要求甲方支付相当于该房屋解除合同前3个月租金的违约金。</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3.本合同中所述“损失”，包括但不限于实际损失、预期利益以及为维权所产生的律师费、保全费等一切直接和间接损失。</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4.如因甲方原因逾期支付本合同项下的应付款项，乙方有权要求甲方按本合同签订时1年期贷款市场报价利率支付利息，利息自应付未付金额的次日起算至实际支付日止。</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免责条款：房屋因不可抗力的原因、纪检监察和巡视审计明确要求整改、政府及有关部门拆迁或明令拆除或收回，造成本合同无法继续履行的，合同双方互免违约责任，本合同自行解除，双方需协助做好房屋及其附属物品腾退、附属设备设施清点等后续返还交接工作。</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6.如甲方欠付款项的，乙方有权直接扣留甲方在承租房屋内的设施和物品并进行处置，以作抵偿，乙方保留进一步向甲方追索合理赔偿及法律责任的权利。</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7.如乙方在服务期内不按招标文件和投标文件约定提供相应服务，将列入甲方不良行为记录名单，甲方保留在一至三年内禁止乙方参加甲方采购活动的权利。</w:t>
      </w:r>
      <w:r>
        <w:rPr>
          <w:rFonts w:hint="eastAsia" w:ascii="宋体" w:hAnsi="宋体" w:cs="宋体"/>
          <w:color w:val="000000"/>
          <w:szCs w:val="21"/>
          <w:highlight w:val="none"/>
        </w:rPr>
      </w:r>
      <w:r/>
    </w:p>
    <w:p>
      <w:pPr>
        <w:pStyle w:val="871"/>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十四、合同的变更及合同的解除</w:t>
      </w:r>
      <w:r>
        <w:rPr>
          <w:rFonts w:hint="eastAsia" w:ascii="宋体" w:hAnsi="宋体" w:cs="宋体"/>
          <w:b/>
          <w:bCs/>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1.因有特殊原因，经双方协商一致，均同意变更合同的，合同方可变更。要求变更的一方应主动提出，变更必须以书面方式进行。</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2.本合同约定合同期限届满且不再续签的，乙方对房屋进行交验，结算甲方所有应付账款后，甲方按期迁离房屋。</w:t>
      </w:r>
      <w:r>
        <w:rPr>
          <w:rFonts w:hint="eastAsia" w:ascii="宋体" w:hAnsi="宋体" w:cs="宋体"/>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租赁期限届满不再续签或合同解除后七日内，甲方腾空房屋内的自有动产、清扫干净、搬迁完毕。逾期的，乙方有权对该房屋做清空处理并有权处理该房屋内甲方物品；甲方归还房屋时按乙方交付时卫生标准予以归还，如房屋肮脏、有异味的，甲方需承担清洁费，清洁费根据现场情况评估后计收。</w:t>
      </w:r>
      <w:r>
        <w:rPr>
          <w:rFonts w:hint="eastAsia" w:ascii="宋体" w:hAnsi="宋体" w:cs="宋体"/>
          <w:color w:val="000000"/>
          <w:szCs w:val="21"/>
          <w:highlight w:val="none"/>
        </w:rPr>
      </w:r>
      <w:r/>
    </w:p>
    <w:p>
      <w:pPr>
        <w:pStyle w:val="871"/>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十五、争议解决</w:t>
      </w:r>
      <w:r>
        <w:rPr>
          <w:rFonts w:hint="eastAsia" w:ascii="宋体" w:hAnsi="宋体" w:cs="宋体"/>
          <w:b/>
          <w:bCs/>
          <w:color w:val="000000"/>
          <w:szCs w:val="21"/>
          <w:highlight w:val="none"/>
        </w:rPr>
      </w:r>
      <w:r/>
    </w:p>
    <w:p>
      <w:pPr>
        <w:pStyle w:val="87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甲乙双方因合同发生争议，签约双方应友好协商解决。协商不成，任何一方可以向甲方所在地人民法院起诉。</w:t>
      </w:r>
      <w:r>
        <w:rPr>
          <w:rFonts w:hint="eastAsia" w:ascii="宋体" w:hAnsi="宋体" w:cs="宋体"/>
          <w:color w:val="000000"/>
          <w:szCs w:val="21"/>
          <w:highlight w:val="none"/>
        </w:rPr>
      </w:r>
      <w:r/>
    </w:p>
    <w:p>
      <w:pPr>
        <w:pStyle w:val="871"/>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十六、合同生效及其它</w:t>
      </w:r>
      <w:r>
        <w:rPr>
          <w:rFonts w:hint="eastAsia" w:ascii="宋体" w:hAnsi="宋体" w:cs="宋体"/>
          <w:b/>
          <w:bCs/>
          <w:color w:val="000000"/>
          <w:szCs w:val="21"/>
          <w:highlight w:val="none"/>
        </w:rPr>
      </w:r>
      <w:r/>
    </w:p>
    <w:p>
      <w:pPr>
        <w:pStyle w:val="87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1.合同经双方法定代表人或授权代表签字并加盖单位公章后生效。</w:t>
      </w:r>
      <w:r>
        <w:rPr>
          <w:rFonts w:hint="eastAsia" w:ascii="宋体" w:hAnsi="宋体" w:cs="宋体"/>
          <w:color w:val="000000"/>
          <w:szCs w:val="21"/>
          <w:highlight w:val="none"/>
        </w:rPr>
      </w:r>
      <w:r/>
    </w:p>
    <w:p>
      <w:pPr>
        <w:pStyle w:val="87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2.本合同未尽事宜，遵照</w:t>
      </w:r>
      <w:r>
        <w:rPr>
          <w:rFonts w:hint="eastAsia" w:ascii="宋体" w:hAnsi="宋体" w:cs="宋体"/>
          <w:color w:val="000000"/>
          <w:szCs w:val="21"/>
          <w:highlight w:val="none"/>
          <w:lang w:eastAsia="zh-CN"/>
        </w:rPr>
        <w:t xml:space="preserve">《中华人民共和国民法典》</w:t>
      </w:r>
      <w:r>
        <w:rPr>
          <w:rFonts w:hint="eastAsia" w:ascii="宋体" w:hAnsi="宋体" w:cs="宋体"/>
          <w:color w:val="000000"/>
          <w:szCs w:val="21"/>
          <w:highlight w:val="none"/>
        </w:rPr>
        <w:t xml:space="preserve">有关条文执行。</w:t>
      </w:r>
      <w:r>
        <w:rPr>
          <w:rFonts w:hint="eastAsia" w:ascii="宋体" w:hAnsi="宋体" w:cs="宋体"/>
          <w:color w:val="000000"/>
          <w:szCs w:val="21"/>
          <w:highlight w:val="none"/>
        </w:rPr>
      </w:r>
      <w:r/>
    </w:p>
    <w:p>
      <w:pPr>
        <w:pStyle w:val="87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3.本合同正本一式陆份，具有同等法律效力，甲方、乙方各执叁份。  </w:t>
      </w:r>
      <w:r>
        <w:rPr>
          <w:rFonts w:hint="eastAsia" w:ascii="宋体" w:hAnsi="宋体" w:cs="宋体"/>
          <w:color w:val="000000"/>
          <w:szCs w:val="21"/>
          <w:highlight w:val="none"/>
        </w:rPr>
      </w:r>
      <w:r/>
    </w:p>
    <w:p>
      <w:pPr>
        <w:pStyle w:val="871"/>
        <w:spacing w:line="30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甲方：扬州大学</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 </w:t>
            </w:r>
            <w:r>
              <w:rPr>
                <w:rFonts w:hint="eastAsia" w:ascii="宋体" w:hAnsi="宋体"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地址：扬州市大学南路88号</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w:t>
            </w:r>
            <w:r>
              <w:rPr>
                <w:rFonts w:hint="eastAsia" w:ascii="宋体" w:hAnsi="宋体"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法定代表人或授权代表（签字）：</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法定代表人或授权代表（签字）：</w:t>
            </w:r>
            <w:r>
              <w:rPr>
                <w:rFonts w:hint="eastAsia" w:ascii="宋体" w:hAnsi="宋体"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  </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tc>
      </w:tr>
    </w:tbl>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2"/>
        <w:jc w:val="center"/>
        <w:rPr>
          <w:rFonts w:hint="eastAsia"/>
          <w:color w:val="000000"/>
          <w:highlight w:val="none"/>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End w:id="104"/>
      <w:r/>
      <w:bookmarkEnd w:id="105"/>
      <w:r/>
      <w:bookmarkStart w:id="106" w:name="_Toc55204181"/>
      <w:r/>
      <w:bookmarkStart w:id="107" w:name="_Toc17544"/>
      <w:r/>
      <w:bookmarkStart w:id="108" w:name="_Toc2548"/>
      <w:r>
        <w:rPr>
          <w:rFonts w:hint="eastAsia"/>
          <w:color w:val="000000"/>
          <w:highlight w:val="none"/>
        </w:rPr>
      </w:r>
      <w:r/>
    </w:p>
    <w:p>
      <w:pPr>
        <w:pStyle w:val="872"/>
        <w:jc w:val="center"/>
        <w:spacing w:after="0"/>
        <w:rPr>
          <w:rFonts w:hint="eastAsia"/>
          <w:color w:val="000000"/>
          <w:highlight w:val="none"/>
        </w:rPr>
      </w:pPr>
      <w:r>
        <w:rPr>
          <w:rFonts w:hint="eastAsia"/>
          <w:color w:val="000000"/>
          <w:sz w:val="36"/>
          <w:szCs w:val="36"/>
          <w:highlight w:val="none"/>
        </w:rPr>
        <w:t xml:space="preserve">第四章 项目需求</w:t>
      </w:r>
      <w:r>
        <w:rPr>
          <w:rFonts w:hint="eastAsia"/>
          <w:color w:val="000000"/>
          <w:highlight w:val="none"/>
        </w:rPr>
      </w:r>
      <w:r/>
    </w:p>
    <w:p>
      <w:pPr>
        <w:pStyle w:val="871"/>
        <w:spacing w:line="360" w:lineRule="auto"/>
        <w:tabs>
          <w:tab w:val="left" w:pos="0" w:leader="none"/>
        </w:tabs>
        <w:rPr>
          <w:rFonts w:hint="eastAsia" w:ascii="宋体" w:hAnsi="宋体"/>
          <w:b/>
          <w:bCs/>
          <w:iCs/>
          <w:color w:val="000000"/>
          <w:szCs w:val="21"/>
          <w:highlight w:val="none"/>
        </w:rPr>
      </w:pPr>
      <w:r>
        <w:rPr>
          <w:rFonts w:hint="eastAsia" w:ascii="宋体" w:hAnsi="宋体"/>
          <w:color w:val="000000"/>
          <w:highlight w:val="none"/>
        </w:rPr>
        <w:t xml:space="preserve">项目属性：服务类项目</w:t>
      </w:r>
      <w:r>
        <w:rPr>
          <w:rFonts w:hint="eastAsia" w:ascii="宋体" w:hAnsi="宋体"/>
          <w:b/>
          <w:bCs/>
          <w:iCs/>
          <w:color w:val="000000"/>
          <w:szCs w:val="21"/>
          <w:highlight w:val="none"/>
        </w:rPr>
      </w:r>
      <w:r/>
    </w:p>
    <w:p>
      <w:pPr>
        <w:pStyle w:val="871"/>
        <w:spacing w:line="360" w:lineRule="auto"/>
        <w:tabs>
          <w:tab w:val="left" w:pos="0" w:leader="none"/>
        </w:tabs>
        <w:rPr>
          <w:rFonts w:hint="eastAsia" w:ascii="宋体" w:hAnsi="宋体" w:cs="宋体"/>
          <w:b/>
          <w:bCs/>
          <w:color w:val="000000"/>
          <w:szCs w:val="21"/>
          <w:highlight w:val="none"/>
          <w:lang w:val="zh-CN"/>
        </w:rPr>
      </w:pPr>
      <w:r>
        <w:rPr>
          <w:rFonts w:hint="eastAsia" w:ascii="宋体" w:hAnsi="宋体"/>
          <w:b/>
          <w:bCs/>
          <w:iCs/>
          <w:color w:val="000000"/>
          <w:szCs w:val="21"/>
          <w:highlight w:val="none"/>
        </w:rPr>
        <w:t xml:space="preserve">采购标的对应的中小企业划分标准所属行业一览表：</w:t>
      </w:r>
      <w:r>
        <w:rPr>
          <w:rFonts w:hint="eastAsia" w:ascii="宋体" w:hAnsi="宋体" w:cs="宋体"/>
          <w:b/>
          <w:bCs/>
          <w:color w:val="000000"/>
          <w:szCs w:val="21"/>
          <w:highlight w:val="none"/>
          <w:lang w:val="zh-CN"/>
        </w:rPr>
      </w:r>
      <w:r/>
    </w:p>
    <w:tbl>
      <w:tblPr>
        <w:tblW w:w="93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4304"/>
        <w:gridCol w:w="4126"/>
      </w:tblGrid>
      <w:tr>
        <w:trPr>
          <w:cantSplit/>
          <w:trHeight w:val="571"/>
        </w:trPr>
        <w:tc>
          <w:tcPr>
            <w:tcW w:w="888" w:type="dxa"/>
            <w:vAlign w:val="bottom"/>
            <w:textDirection w:val="lrTb"/>
            <w:noWrap w:val="false"/>
          </w:tcPr>
          <w:p>
            <w:pPr>
              <w:pStyle w:val="871"/>
              <w:jc w:val="center"/>
              <w:spacing w:line="360" w:lineRule="auto"/>
              <w:rPr>
                <w:rFonts w:hint="eastAsia" w:ascii="宋体" w:hAnsi="宋体"/>
                <w:b/>
                <w:bCs/>
                <w:iCs/>
                <w:color w:val="000000"/>
                <w:szCs w:val="21"/>
                <w:highlight w:val="none"/>
              </w:rPr>
            </w:pPr>
            <w:r>
              <w:rPr>
                <w:rFonts w:hint="eastAsia" w:ascii="宋体" w:hAnsi="宋体"/>
                <w:b/>
                <w:bCs/>
                <w:iCs/>
                <w:color w:val="000000"/>
                <w:szCs w:val="21"/>
                <w:highlight w:val="none"/>
              </w:rPr>
              <w:t xml:space="preserve">序号</w:t>
            </w:r>
            <w:r>
              <w:rPr>
                <w:rFonts w:hint="eastAsia" w:ascii="宋体" w:hAnsi="宋体"/>
                <w:b/>
                <w:bCs/>
                <w:iCs/>
                <w:color w:val="000000"/>
                <w:szCs w:val="21"/>
                <w:highlight w:val="none"/>
              </w:rPr>
            </w:r>
            <w:r/>
          </w:p>
        </w:tc>
        <w:tc>
          <w:tcPr>
            <w:tcW w:w="4304" w:type="dxa"/>
            <w:vAlign w:val="bottom"/>
            <w:textDirection w:val="lrTb"/>
            <w:noWrap w:val="false"/>
          </w:tcPr>
          <w:p>
            <w:pPr>
              <w:pStyle w:val="871"/>
              <w:ind w:firstLine="1265"/>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采购标的</w:t>
            </w:r>
            <w:r>
              <w:rPr>
                <w:rFonts w:hint="eastAsia" w:ascii="宋体" w:hAnsi="宋体"/>
                <w:b/>
                <w:bCs/>
                <w:color w:val="000000"/>
                <w:szCs w:val="21"/>
                <w:highlight w:val="none"/>
              </w:rPr>
            </w:r>
            <w:r/>
          </w:p>
        </w:tc>
        <w:tc>
          <w:tcPr>
            <w:tcW w:w="4126" w:type="dxa"/>
            <w:vAlign w:val="bottom"/>
            <w:textDirection w:val="lrTb"/>
            <w:noWrap w:val="false"/>
          </w:tcPr>
          <w:p>
            <w:pPr>
              <w:pStyle w:val="871"/>
              <w:ind w:firstLine="42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对应中小企业划分标准所属行业</w:t>
            </w:r>
            <w:r>
              <w:rPr>
                <w:rFonts w:hint="eastAsia" w:ascii="宋体" w:hAnsi="宋体"/>
                <w:b/>
                <w:bCs/>
                <w:color w:val="000000"/>
                <w:szCs w:val="21"/>
                <w:highlight w:val="none"/>
              </w:rPr>
            </w:r>
            <w:r/>
          </w:p>
        </w:tc>
      </w:tr>
      <w:tr>
        <w:trPr>
          <w:cantSplit/>
          <w:trHeight w:val="495"/>
        </w:trPr>
        <w:tc>
          <w:tcPr>
            <w:tcW w:w="888" w:type="dxa"/>
            <w:vAlign w:val="bottom"/>
            <w:textDirection w:val="lrTb"/>
            <w:noWrap w:val="false"/>
          </w:tcPr>
          <w:p>
            <w:pPr>
              <w:pStyle w:val="871"/>
              <w:jc w:val="center"/>
              <w:spacing w:line="360" w:lineRule="auto"/>
              <w:rPr>
                <w:rFonts w:hint="eastAsia" w:ascii="宋体" w:hAnsi="宋体"/>
                <w:bCs/>
                <w:iCs/>
                <w:color w:val="000000"/>
                <w:szCs w:val="21"/>
                <w:highlight w:val="none"/>
              </w:rPr>
            </w:pPr>
            <w:r>
              <w:rPr>
                <w:rFonts w:hint="eastAsia" w:ascii="宋体" w:hAnsi="宋体"/>
                <w:bCs/>
                <w:iCs/>
                <w:color w:val="000000"/>
                <w:szCs w:val="21"/>
                <w:highlight w:val="none"/>
              </w:rPr>
              <w:t xml:space="preserve">1</w:t>
            </w:r>
            <w:r>
              <w:rPr>
                <w:rFonts w:hint="eastAsia" w:ascii="宋体" w:hAnsi="宋体"/>
                <w:bCs/>
                <w:iCs/>
                <w:color w:val="000000"/>
                <w:szCs w:val="21"/>
                <w:highlight w:val="none"/>
              </w:rPr>
            </w:r>
            <w:r/>
          </w:p>
        </w:tc>
        <w:tc>
          <w:tcPr>
            <w:tcW w:w="4304" w:type="dxa"/>
            <w:vAlign w:val="bottom"/>
            <w:textDirection w:val="lrTb"/>
            <w:noWrap w:val="false"/>
          </w:tcPr>
          <w:p>
            <w:pPr>
              <w:pStyle w:val="871"/>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扬州大学2026年学生宿舍租住服务</w:t>
            </w:r>
            <w:r>
              <w:rPr>
                <w:rFonts w:hint="eastAsia" w:ascii="宋体" w:hAnsi="宋体" w:cs="宋体"/>
                <w:color w:val="000000"/>
                <w:szCs w:val="21"/>
                <w:highlight w:val="none"/>
              </w:rPr>
            </w:r>
            <w:r/>
          </w:p>
        </w:tc>
        <w:tc>
          <w:tcPr>
            <w:tcW w:w="4126" w:type="dxa"/>
            <w:vAlign w:val="bottom"/>
            <w:textDirection w:val="lrTb"/>
            <w:noWrap w:val="false"/>
          </w:tcPr>
          <w:p>
            <w:pPr>
              <w:pStyle w:val="871"/>
              <w:ind w:firstLine="48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住宿业</w:t>
            </w:r>
            <w:r>
              <w:rPr>
                <w:rFonts w:hint="eastAsia" w:ascii="宋体" w:hAnsi="宋体" w:cs="宋体"/>
                <w:color w:val="000000"/>
                <w:szCs w:val="21"/>
                <w:highlight w:val="none"/>
              </w:rPr>
            </w:r>
            <w:r/>
          </w:p>
        </w:tc>
      </w:tr>
    </w:tbl>
    <w:p>
      <w:pPr>
        <w:pStyle w:val="897"/>
        <w:ind w:left="0"/>
        <w:spacing w:after="0" w:line="360" w:lineRule="auto"/>
        <w:rPr>
          <w:rFonts w:hint="eastAsia" w:ascii="宋体" w:hAnsi="宋体"/>
          <w:b/>
          <w:bCs/>
          <w:color w:val="000000"/>
          <w:highlight w:val="none"/>
        </w:rPr>
      </w:pPr>
      <w:r>
        <w:rPr>
          <w:rFonts w:hint="eastAsia" w:ascii="宋体" w:hAnsi="宋体"/>
          <w:b/>
          <w:bCs/>
          <w:color w:val="000000"/>
          <w:highlight w:val="none"/>
        </w:rPr>
        <w:t xml:space="preserve">注：本章内容里及招标文件中斜体且有下划线部分为实质性要求和条件，投标文件不满足的，视为无效投标处理。请各供应商制作投标文件时实质性响应。</w:t>
      </w:r>
      <w:r>
        <w:rPr>
          <w:rFonts w:hint="eastAsia" w:ascii="宋体" w:hAnsi="宋体"/>
          <w:b/>
          <w:bCs/>
          <w:color w:val="000000"/>
          <w:highlight w:val="none"/>
        </w:rPr>
      </w:r>
      <w:r/>
    </w:p>
    <w:p>
      <w:pPr>
        <w:pStyle w:val="87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一、项目背景</w:t>
      </w:r>
      <w:r>
        <w:rPr>
          <w:rFonts w:hint="eastAsia" w:ascii="宋体" w:hAnsi="宋体" w:cs="宋体"/>
          <w:b/>
          <w:bCs/>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由于学校在校生连续增长，校内宿舍资源已不能满足需求，需要租赁校外学生宿舍供学生居住。</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1.项目名称：扬州大学2026年学生宿舍租住服务</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2.采购内容：提供三人间标准宿舍床位700张左右，并可以实施区域封闭管理的独栋楼宇租赁服务。</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3.服务要求：根据采购内容完成全部服务内容。</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4.采购总预算：630万元.</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5.最高限价：三年555万元，185万元/年，</w:t>
      </w:r>
      <w:r>
        <w:rPr>
          <w:rFonts w:hint="eastAsia" w:ascii="宋体" w:hAnsi="宋体"/>
          <w:color w:val="000000"/>
          <w:spacing w:val="-8"/>
          <w:szCs w:val="21"/>
          <w:highlight w:val="none"/>
        </w:rPr>
        <w:t xml:space="preserve">报价超过最高限价的为无效报价，按照无效响应处理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二、商务要求</w:t>
      </w:r>
      <w:r>
        <w:rPr>
          <w:rFonts w:hint="eastAsia" w:ascii="宋体" w:hAnsi="宋体" w:cs="宋体"/>
          <w:color w:val="000000"/>
          <w:szCs w:val="21"/>
          <w:highlight w:val="none"/>
        </w:rPr>
      </w:r>
      <w:r/>
    </w:p>
    <w:p>
      <w:pPr>
        <w:pStyle w:val="871"/>
        <w:ind w:firstLine="420"/>
        <w:spacing w:line="360" w:lineRule="auto"/>
        <w:rPr>
          <w:rFonts w:hint="eastAsia" w:ascii="宋体" w:hAnsi="宋体" w:cs="宋体"/>
          <w:b/>
          <w:bCs/>
          <w:i/>
          <w:iCs/>
          <w:color w:val="000000"/>
          <w:szCs w:val="21"/>
          <w:highlight w:val="none"/>
          <w:u w:val="single"/>
        </w:rPr>
      </w:pPr>
      <w:r>
        <w:rPr>
          <w:rFonts w:hint="eastAsia" w:ascii="宋体" w:hAnsi="宋体" w:cs="宋体"/>
          <w:color w:val="000000"/>
          <w:szCs w:val="21"/>
          <w:highlight w:val="none"/>
        </w:rPr>
        <w:t xml:space="preserve">1.</w:t>
      </w:r>
      <w:r>
        <w:rPr>
          <w:rFonts w:hint="eastAsia" w:ascii="宋体" w:hAnsi="宋体" w:cs="宋体"/>
          <w:i/>
          <w:iCs/>
          <w:color w:val="000000"/>
          <w:szCs w:val="21"/>
          <w:highlight w:val="none"/>
          <w:u w:val="single"/>
        </w:rPr>
        <w:t xml:space="preserve">租赁期限：2026年8月1日至2029年7月31日，本项目合同首签壹年，在服务质量考核合格的情况下，校方与供应商可签订下一年合同，续签不超过两次。</w:t>
      </w:r>
      <w:r>
        <w:rPr>
          <w:rFonts w:hint="eastAsia" w:ascii="宋体" w:hAnsi="宋体" w:cs="宋体"/>
          <w:b/>
          <w:bCs/>
          <w:i/>
          <w:iCs/>
          <w:color w:val="000000"/>
          <w:szCs w:val="21"/>
          <w:highlight w:val="none"/>
          <w:u w:val="single"/>
        </w:rPr>
        <w:t xml:space="preserve">须提供投标标的物房产证明或长期经营证明材料原件扫描上传。</w:t>
      </w:r>
      <w:r>
        <w:rPr>
          <w:rFonts w:hint="eastAsia" w:ascii="宋体" w:hAnsi="宋体" w:cs="宋体"/>
          <w:b/>
          <w:bCs/>
          <w:i/>
          <w:iCs/>
          <w:color w:val="000000"/>
          <w:szCs w:val="21"/>
          <w:highlight w:val="none"/>
          <w:u w:val="single"/>
        </w:rPr>
      </w:r>
      <w:r/>
    </w:p>
    <w:p>
      <w:pPr>
        <w:pStyle w:val="87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2.付款方式及时间</w:t>
      </w:r>
      <w:r>
        <w:rPr>
          <w:rFonts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（1）支付方式：银行转账支付。在乙方按期交付房屋并经甲方验收合格后，甲方于2026年8月底前支付年租金的50%，剩余50%待服务质量考核通过后，于次年3月底前支付。续签合同付款以此类推。</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（2）支付时间：对于满足合同约定支付条件的，采购人原则上应当自收到发票后10个工作日内将资金支付到合同约定的供应商账户。</w:t>
      </w:r>
      <w:r>
        <w:rPr>
          <w:rFonts w:hint="eastAsia" w:ascii="宋体" w:hAnsi="宋体" w:cs="宋体"/>
          <w:color w:val="000000"/>
          <w:szCs w:val="21"/>
          <w:highlight w:val="none"/>
        </w:rPr>
      </w:r>
      <w:r/>
    </w:p>
    <w:p>
      <w:pPr>
        <w:pStyle w:val="9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）如遇特殊情况，双方协商解决。</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3.其他相关费用</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3.1水费：</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Pr>
      <w:r>
        <w:rPr>
          <w:rFonts w:hint="eastAsia" w:ascii="宋体" w:hAnsi="宋体" w:cs="宋体"/>
          <w:color w:val="000000"/>
          <w:sz w:val="24"/>
          <w:szCs w:val="24"/>
          <w:highlight w:val="none"/>
        </w:rPr>
        <w:t xml:space="preserve">▲</w:t>
      </w:r>
      <w:r>
        <w:rPr>
          <w:rFonts w:hint="eastAsia" w:ascii="宋体" w:hAnsi="宋体" w:cs="宋体"/>
          <w:color w:val="000000"/>
          <w:szCs w:val="21"/>
          <w:highlight w:val="none"/>
        </w:rPr>
        <w:t xml:space="preserve">（1）所有房间内的冷水安装独立水表单独计费，标准按居民用水价格收费，由采购人根据供应商提供的正规发票进行转账付款，支付方式同租金。其他公用部位用水不收费。</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（2）学生使用淋浴热水产生的费用，由供应商向学生收取(热水的价格不得超过30元/吨)。</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（3）楼宇内每层提供的饮水机，供学生免费饮用。</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3.2.电费：房间内产生的电费，由供应商向学生收取，标准按居民用电价格收费。其他公用部位用电不收费。</w:t>
      </w:r>
      <w:r>
        <w:rPr>
          <w:rFonts w:hint="eastAsia" w:ascii="宋体" w:hAnsi="宋体" w:cs="宋体"/>
          <w:color w:val="000000"/>
          <w:szCs w:val="21"/>
          <w:highlight w:val="none"/>
        </w:rPr>
      </w:r>
      <w:r/>
    </w:p>
    <w:p>
      <w:pPr>
        <w:pStyle w:val="87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3.3.生活岛设施服务费：由学生个人按需承担，供应商须在投标文件中注明相关收费标准。</w:t>
      </w:r>
      <w:r>
        <w:rPr>
          <w:rFonts w:ascii="宋体" w:hAnsi="宋体" w:cs="宋体"/>
          <w:color w:val="000000"/>
          <w:szCs w:val="21"/>
          <w:highlight w:val="none"/>
        </w:rPr>
      </w:r>
      <w:r/>
    </w:p>
    <w:p>
      <w:pPr>
        <w:pStyle w:val="871"/>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三、技术要求</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1.房型要求：可以提供三人间标准宿舍床位700张左右，并可以实施区域封闭管理的独栋楼宇。</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2.设施设备要求：</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Pr>
      <w:r>
        <w:rPr>
          <w:rFonts w:hint="eastAsia" w:ascii="宋体" w:hAnsi="宋体" w:cs="宋体"/>
          <w:color w:val="000000"/>
          <w:sz w:val="24"/>
          <w:szCs w:val="24"/>
          <w:highlight w:val="none"/>
        </w:rPr>
        <w:t xml:space="preserve">▲</w:t>
      </w:r>
      <w:r>
        <w:rPr>
          <w:rFonts w:hint="eastAsia" w:ascii="宋体" w:hAnsi="宋体" w:cs="宋体"/>
          <w:color w:val="000000"/>
          <w:szCs w:val="21"/>
          <w:highlight w:val="none"/>
        </w:rPr>
        <w:t xml:space="preserve">（1）房屋建筑结构和设备设施符合建筑、消防、治安、卫生、环保、安全居住等规范要求，具备相应合格证、资格证、许可证等必要手续；</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宿舍按精装修标准：地面铺设瓷砖；墙身环保涂料刷白；符合居住的通风及采光要求；房间内配置独立的洗手间，室内家具及附属设施具备提包入住条件（包括但不限于床、衣橱、桌椅、抽水马桶、毛巾架、灯具等）；</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（3）配备独立空调、24小时提供淋浴热水（独立热水器或中央供热水）及喷淋花洒； </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（4）配电要求：能满足日常居住包括照明、空调、电脑及充电用电等需求，每个床位至少配备一个插座；</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（5）配置有生活岛（每层楼均需设置，配备洗衣机、吹风机、冷热饮水机等）、晾晒区域、电动车充电停放等专用区域；</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（6）每个房间提供不低于500M互联网出口带宽且不限定运营商；</w:t>
      </w:r>
      <w:r>
        <w:rPr>
          <w:rFonts w:hint="eastAsia" w:ascii="宋体" w:hAnsi="宋体" w:cs="宋体"/>
          <w:color w:val="000000"/>
          <w:szCs w:val="21"/>
          <w:highlight w:val="none"/>
        </w:rPr>
      </w:r>
      <w:r/>
    </w:p>
    <w:p>
      <w:pPr>
        <w:pStyle w:val="871"/>
        <w:ind w:firstLine="420"/>
        <w:spacing w:line="360" w:lineRule="auto"/>
        <w:rPr>
          <w:rFonts w:hint="eastAsia" w:ascii="宋体" w:hAnsi="宋体" w:eastAsia="宋体" w:cs="宋体"/>
          <w:color w:val="000000"/>
          <w:szCs w:val="21"/>
          <w:highlight w:val="none"/>
        </w:rPr>
      </w:pPr>
      <w:r/>
      <w:bookmarkStart w:id="109" w:name="OLE_LINK51"/>
      <w:r/>
      <w:bookmarkStart w:id="110" w:name="OLE_LINK52"/>
      <w:r>
        <w:rPr>
          <w:rFonts w:hint="eastAsia" w:ascii="宋体" w:hAnsi="宋体" w:eastAsia="宋体" w:cs="宋体"/>
          <w:color w:val="000000"/>
          <w:szCs w:val="21"/>
          <w:highlight w:val="none"/>
        </w:rPr>
        <w:t xml:space="preserve">（7）供应商须允许采购人根据自身使用需求添置或改造少量设施设备，采购人负责在退租前恢复原状。</w:t>
      </w:r>
      <w:r>
        <w:rPr>
          <w:rFonts w:hint="eastAsia" w:ascii="宋体" w:hAnsi="宋体" w:eastAsia="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bookmarkEnd w:id="109"/>
      <w:r/>
      <w:bookmarkEnd w:id="110"/>
      <w:r>
        <w:rPr>
          <w:rFonts w:hint="eastAsia" w:ascii="宋体" w:hAnsi="宋体" w:cs="宋体"/>
          <w:color w:val="000000"/>
          <w:szCs w:val="21"/>
          <w:highlight w:val="none"/>
        </w:rPr>
        <w:t xml:space="preserve">3.地理位置要求：扬州市区范围内，距离扬州大学扬子津校区文津楼（教学楼）相对较近。</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4.物业管理要求：</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Pr>
      <w:r>
        <w:rPr>
          <w:rFonts w:hint="eastAsia" w:ascii="宋体" w:hAnsi="宋体" w:cs="宋体"/>
          <w:color w:val="000000"/>
          <w:sz w:val="24"/>
          <w:szCs w:val="24"/>
          <w:highlight w:val="none"/>
        </w:rPr>
        <w:t xml:space="preserve">▲</w:t>
      </w:r>
      <w:r>
        <w:rPr>
          <w:rFonts w:hint="eastAsia" w:ascii="宋体" w:hAnsi="宋体" w:cs="宋体"/>
          <w:color w:val="000000"/>
          <w:szCs w:val="21"/>
          <w:highlight w:val="none"/>
        </w:rPr>
        <w:t xml:space="preserve">（1）租用宿舍区相对独立分隔区域，房间集中管理，供应商须配备专业管理团队（含管理员、安保、保洁及维修等），提供24小时物业管理服务；</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Pr>
      <w:r>
        <w:rPr>
          <w:rFonts w:hint="eastAsia" w:ascii="宋体" w:hAnsi="宋体" w:cs="宋体"/>
          <w:color w:val="000000"/>
          <w:sz w:val="24"/>
          <w:szCs w:val="24"/>
          <w:highlight w:val="none"/>
        </w:rPr>
        <w:t xml:space="preserve">▲</w:t>
      </w:r>
      <w:r>
        <w:rPr>
          <w:rFonts w:hint="eastAsia" w:ascii="宋体" w:hAnsi="宋体" w:cs="宋体"/>
          <w:color w:val="000000"/>
          <w:szCs w:val="21"/>
          <w:highlight w:val="none"/>
        </w:rPr>
        <w:t xml:space="preserve">（2）安全维护：供应商应保证房屋的建筑结构和设备设施符合建筑、消防、治安、卫生、环保、安全等规范要求。负责房屋水电等线路及消防设施、器材的日常检查、管理和维护，确保正常使用。</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（3）日常维修：凡房屋交付时的既有设备设施因质量问题发生损坏的，由供应商负责维修；因采购人使用不当造成的维修费用由采购人承担,供应商须在投标文件中注明维修服务收费价目表及维修响应时间等；</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Pr>
      <w:r>
        <w:rPr>
          <w:rFonts w:hint="eastAsia" w:ascii="宋体" w:hAnsi="宋体" w:cs="宋体"/>
          <w:color w:val="000000"/>
          <w:sz w:val="24"/>
          <w:szCs w:val="24"/>
          <w:highlight w:val="none"/>
        </w:rPr>
        <w:t xml:space="preserve">▲</w:t>
      </w:r>
      <w:r>
        <w:rPr>
          <w:rFonts w:hint="eastAsia" w:ascii="宋体" w:hAnsi="宋体" w:cs="宋体"/>
          <w:color w:val="000000"/>
          <w:szCs w:val="21"/>
          <w:highlight w:val="none"/>
        </w:rPr>
        <w:t xml:space="preserve">（4）楼宇周边主干道及楼内走道须设有监控设施，监控录像保存时间不低于30天；</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（5）设有专用前台、保安值班室及消控室。</w:t>
      </w:r>
      <w:r>
        <w:rPr>
          <w:rFonts w:hint="eastAsia" w:ascii="宋体" w:hAnsi="宋体" w:cs="宋体"/>
          <w:color w:val="000000"/>
          <w:szCs w:val="21"/>
          <w:highlight w:val="none"/>
        </w:rPr>
      </w:r>
      <w:r/>
    </w:p>
    <w:p>
      <w:pPr>
        <w:pStyle w:val="1113"/>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五、实施方案</w:t>
      </w:r>
      <w:r>
        <w:rPr>
          <w:rFonts w:ascii="宋体" w:hAnsi="宋体" w:cs="宋体"/>
          <w:b/>
          <w:bCs/>
          <w:color w:val="000000"/>
          <w:szCs w:val="21"/>
          <w:highlight w:val="none"/>
        </w:rPr>
      </w:r>
      <w:r/>
    </w:p>
    <w:p>
      <w:pPr>
        <w:pStyle w:val="871"/>
        <w:ind w:firstLine="422"/>
        <w:spacing w:line="360" w:lineRule="auto"/>
        <w:rPr>
          <w:rFonts w:hint="eastAsia" w:ascii="宋体" w:hAnsi="宋体" w:cs="宋体"/>
          <w:color w:val="000000"/>
          <w:highlight w:val="none"/>
        </w:rPr>
      </w:pPr>
      <w:r>
        <w:rPr>
          <w:rFonts w:hint="eastAsia" w:ascii="宋体" w:hAnsi="宋体" w:cs="宋体"/>
          <w:b/>
          <w:bCs/>
          <w:color w:val="000000"/>
          <w:highlight w:val="none"/>
        </w:rPr>
        <w:t xml:space="preserve">1. 总体运营方案设想与分析</w:t>
      </w:r>
      <w:r>
        <w:rPr>
          <w:rFonts w:hint="eastAsia" w:ascii="宋体" w:hAnsi="宋体" w:cs="宋体"/>
          <w:color w:val="000000"/>
          <w:highlight w:val="none"/>
        </w:rPr>
      </w:r>
      <w:r/>
    </w:p>
    <w:p>
      <w:pPr>
        <w:pStyle w:val="87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需求背景分析：投标人需对本项目的宿舍规模、学生群体特征（如作息规律、安全需求等）及当前管理痛点进行深入调研与分析，提供具有高度针对性的运营设想。</w:t>
      </w:r>
      <w:r>
        <w:rPr>
          <w:rFonts w:hint="eastAsia" w:ascii="宋体" w:hAnsi="宋体" w:cs="宋体"/>
          <w:color w:val="000000"/>
          <w:highlight w:val="none"/>
        </w:rPr>
      </w:r>
      <w:r/>
    </w:p>
    <w:p>
      <w:pPr>
        <w:pStyle w:val="87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管理目标设定：需明确具体的服务目标，包括但不限于宿舍完好率、零修急修及时率、卫生保洁达标率、学生满意度等量化指标，并阐述达成这些指标的科学路径。</w:t>
      </w:r>
      <w:r>
        <w:rPr>
          <w:rFonts w:hint="eastAsia" w:ascii="宋体" w:hAnsi="宋体" w:cs="宋体"/>
          <w:color w:val="000000"/>
          <w:highlight w:val="none"/>
        </w:rPr>
      </w:r>
      <w:r/>
    </w:p>
    <w:p>
      <w:pPr>
        <w:pStyle w:val="87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运营架构设计：提供详细的整体运作流程，包括内部管理机制、服务及信息反馈流程，确保管理无死角、服务有闭环。</w:t>
      </w:r>
      <w:r>
        <w:rPr>
          <w:rFonts w:hint="eastAsia" w:ascii="宋体" w:hAnsi="宋体" w:cs="宋体"/>
          <w:color w:val="000000"/>
          <w:highlight w:val="none"/>
        </w:rPr>
      </w:r>
      <w:r/>
    </w:p>
    <w:p>
      <w:pPr>
        <w:pStyle w:val="871"/>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2. 人员配备及培训方案</w:t>
      </w:r>
      <w:r>
        <w:rPr>
          <w:rFonts w:hint="eastAsia" w:ascii="宋体" w:hAnsi="宋体" w:cs="宋体"/>
          <w:b/>
          <w:bCs/>
          <w:color w:val="000000"/>
          <w:highlight w:val="none"/>
        </w:rPr>
      </w:r>
      <w:r/>
    </w:p>
    <w:p>
      <w:pPr>
        <w:pStyle w:val="87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人员配置要求：拟投入本项目的服务团队需分工明确、架构合理。必须明确项目经理、宿管专员、安保人员、保洁及维修人员的具体编制数量。核心管理人员需具备丰富的相关资历经验，并提供相关证书及过往业绩证明。</w:t>
      </w:r>
      <w:r>
        <w:rPr>
          <w:rFonts w:hint="eastAsia" w:ascii="宋体" w:hAnsi="宋体" w:cs="宋体"/>
          <w:color w:val="000000"/>
          <w:highlight w:val="none"/>
        </w:rPr>
      </w:r>
      <w:r/>
    </w:p>
    <w:p>
      <w:pPr>
        <w:pStyle w:val="87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培训体系建设：需提供科学、详细的培训计划。内容应涵盖入职培训、岗位技能实操、礼仪规范、安全意识教育等，并明确培训的频次、考核方式及目标，确保全员持证上岗或考核合格后上岗。</w:t>
      </w:r>
      <w:r>
        <w:rPr>
          <w:rFonts w:hint="eastAsia" w:ascii="宋体" w:hAnsi="宋体" w:cs="宋体"/>
          <w:color w:val="000000"/>
          <w:highlight w:val="none"/>
        </w:rPr>
      </w:r>
      <w:r/>
    </w:p>
    <w:p>
      <w:pPr>
        <w:pStyle w:val="871"/>
        <w:ind w:firstLine="422"/>
        <w:spacing w:line="360" w:lineRule="auto"/>
        <w:rPr>
          <w:rFonts w:hint="eastAsia" w:ascii="宋体" w:hAnsi="宋体" w:cs="宋体"/>
          <w:color w:val="000000"/>
          <w:highlight w:val="none"/>
        </w:rPr>
      </w:pPr>
      <w:r>
        <w:rPr>
          <w:rFonts w:hint="eastAsia" w:ascii="宋体" w:hAnsi="宋体" w:cs="宋体"/>
          <w:b/>
          <w:bCs/>
          <w:color w:val="000000"/>
          <w:highlight w:val="none"/>
        </w:rPr>
        <w:t xml:space="preserve">3. 设施设备管理方案及配套措施</w:t>
      </w:r>
      <w:r>
        <w:rPr>
          <w:rFonts w:hint="eastAsia" w:ascii="宋体" w:hAnsi="宋体" w:cs="宋体"/>
          <w:color w:val="000000"/>
          <w:highlight w:val="none"/>
        </w:rPr>
      </w:r>
      <w:r/>
    </w:p>
    <w:p>
      <w:pPr>
        <w:pStyle w:val="87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现场勘查与图示：投标人需提供针对本项目的设施设备管理方案，必须附带相关的平面布置图、现场勘查照片等证明材料，以证实方案的可行性与针对性。</w:t>
      </w:r>
      <w:r>
        <w:rPr>
          <w:rFonts w:hint="eastAsia" w:ascii="宋体" w:hAnsi="宋体" w:cs="宋体"/>
          <w:color w:val="000000"/>
          <w:highlight w:val="none"/>
        </w:rPr>
      </w:r>
      <w:r/>
    </w:p>
    <w:p>
      <w:pPr>
        <w:pStyle w:val="87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日常运维管理：建立完善的设施设备巡视制度（如每日上下午各一次），涵盖公共排污管道、照明系统、门窗床铺、配电设施等。需明确维修响应时效（如急修2小时内到场，一般维修24小时内完成）。</w:t>
      </w:r>
      <w:r>
        <w:rPr>
          <w:rFonts w:hint="eastAsia" w:ascii="宋体" w:hAnsi="宋体" w:cs="宋体"/>
          <w:color w:val="000000"/>
          <w:highlight w:val="none"/>
        </w:rPr>
      </w:r>
      <w:r/>
    </w:p>
    <w:p>
      <w:pPr>
        <w:pStyle w:val="87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台账与档案管理：建立“一房一档”的设备维护台账，确保设施设备的完好率，并承担因维护不善导致的财物损坏责任。</w:t>
      </w:r>
      <w:r>
        <w:rPr>
          <w:rFonts w:hint="eastAsia" w:ascii="宋体" w:hAnsi="宋体" w:cs="宋体"/>
          <w:color w:val="000000"/>
          <w:highlight w:val="none"/>
        </w:rPr>
      </w:r>
      <w:r/>
    </w:p>
    <w:p>
      <w:pPr>
        <w:pStyle w:val="871"/>
        <w:ind w:firstLine="422"/>
        <w:spacing w:line="360" w:lineRule="auto"/>
        <w:rPr>
          <w:rFonts w:hint="eastAsia" w:ascii="宋体" w:hAnsi="宋体" w:cs="宋体"/>
          <w:color w:val="000000"/>
          <w:highlight w:val="none"/>
        </w:rPr>
      </w:pPr>
      <w:r>
        <w:rPr>
          <w:rFonts w:hint="eastAsia" w:ascii="宋体" w:hAnsi="宋体" w:cs="宋体"/>
          <w:b/>
          <w:bCs/>
          <w:color w:val="000000"/>
          <w:highlight w:val="none"/>
        </w:rPr>
        <w:t xml:space="preserve">4. 应急预案保障措施</w:t>
      </w:r>
      <w:r>
        <w:rPr>
          <w:rFonts w:hint="eastAsia" w:ascii="宋体" w:hAnsi="宋体" w:cs="宋体"/>
          <w:color w:val="000000"/>
          <w:highlight w:val="none"/>
        </w:rPr>
      </w:r>
      <w:r/>
    </w:p>
    <w:p>
      <w:pPr>
        <w:pStyle w:val="87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突发事件处置：方案需包含服务期间可能发生的各类突发或重大事件的处置预案，包括但不限于消防火灾、停水停电、治安事件、自然灾害、公共卫生事件及设备重大故障等。</w:t>
      </w:r>
      <w:r>
        <w:rPr>
          <w:rFonts w:hint="eastAsia" w:ascii="宋体" w:hAnsi="宋体" w:cs="宋体"/>
          <w:color w:val="000000"/>
          <w:highlight w:val="none"/>
        </w:rPr>
      </w:r>
      <w:r/>
    </w:p>
    <w:p>
      <w:pPr>
        <w:pStyle w:val="87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响应机制：明确应急组织架构，提供应急小组通讯录及指挥流程图。需承诺具体的响应时间，确保在突发情况下能迅速调动资源，保障学生生命财产安全。</w:t>
      </w:r>
      <w:r>
        <w:rPr>
          <w:rFonts w:hint="eastAsia" w:ascii="宋体" w:hAnsi="宋体" w:cs="宋体"/>
          <w:color w:val="000000"/>
          <w:highlight w:val="none"/>
        </w:rPr>
      </w:r>
      <w:r/>
    </w:p>
    <w:p>
      <w:pPr>
        <w:pStyle w:val="871"/>
        <w:ind w:firstLine="422"/>
        <w:spacing w:line="360" w:lineRule="auto"/>
        <w:rPr>
          <w:rFonts w:hint="eastAsia" w:ascii="宋体" w:hAnsi="宋体" w:cs="宋体"/>
          <w:color w:val="000000"/>
          <w:highlight w:val="none"/>
        </w:rPr>
      </w:pPr>
      <w:r>
        <w:rPr>
          <w:rFonts w:hint="eastAsia" w:ascii="宋体" w:hAnsi="宋体" w:cs="宋体"/>
          <w:b/>
          <w:bCs/>
          <w:color w:val="000000"/>
          <w:highlight w:val="none"/>
        </w:rPr>
        <w:t xml:space="preserve">5. 针对本项目特点的保障措施</w:t>
      </w:r>
      <w:r>
        <w:rPr>
          <w:rFonts w:hint="eastAsia" w:ascii="宋体" w:hAnsi="宋体" w:cs="宋体"/>
          <w:color w:val="000000"/>
          <w:highlight w:val="none"/>
        </w:rPr>
      </w:r>
      <w:r/>
    </w:p>
    <w:p>
      <w:pPr>
        <w:pStyle w:val="87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特色化管理：结合学生宿舍人员密集、作息规律性强等特点，制定专属保障措施。例如：</w:t>
      </w:r>
      <w:r>
        <w:rPr>
          <w:rFonts w:hint="eastAsia" w:ascii="宋体" w:hAnsi="宋体" w:eastAsia="宋体" w:cs="宋体"/>
          <w:color w:val="000000"/>
          <w:highlight w:val="none"/>
        </w:rPr>
        <w:t xml:space="preserve">针对研究生科研学习作息特点</w:t>
      </w:r>
      <w:r>
        <w:rPr>
          <w:rFonts w:hint="eastAsia" w:ascii="宋体" w:hAnsi="宋体" w:eastAsia="宋体" w:cs="宋体"/>
          <w:color w:val="000000"/>
          <w:highlight w:val="none"/>
          <w:lang w:val="en-US" w:eastAsia="zh-CN"/>
        </w:rPr>
        <w:t xml:space="preserve">提供</w:t>
      </w:r>
      <w:r>
        <w:rPr>
          <w:rFonts w:hint="eastAsia" w:ascii="宋体" w:hAnsi="宋体" w:eastAsia="宋体" w:cs="宋体"/>
          <w:color w:val="000000"/>
          <w:highlight w:val="none"/>
        </w:rPr>
        <w:t xml:space="preserve">柔性晚归管理</w:t>
      </w:r>
      <w:r>
        <w:rPr>
          <w:rFonts w:hint="eastAsia" w:ascii="宋体" w:hAnsi="宋体" w:eastAsia="宋体" w:cs="宋体"/>
          <w:color w:val="000000"/>
          <w:highlight w:val="none"/>
          <w:lang w:val="en-US" w:eastAsia="zh-CN"/>
        </w:rPr>
        <w:t xml:space="preserve">的保障措施</w:t>
      </w:r>
      <w:r>
        <w:rPr>
          <w:rFonts w:hint="eastAsia" w:ascii="宋体" w:hAnsi="宋体" w:cs="宋体"/>
          <w:color w:val="000000"/>
          <w:highlight w:val="none"/>
        </w:rPr>
        <w:t xml:space="preserve">、针对寒暑假及开学季的专项服务方案等。</w:t>
      </w:r>
      <w:r>
        <w:rPr>
          <w:rFonts w:hint="eastAsia" w:ascii="宋体" w:hAnsi="宋体" w:cs="宋体"/>
          <w:color w:val="000000"/>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highlight w:val="none"/>
        </w:rPr>
        <w:t xml:space="preserve">增值与便民服务：提供人性化的无偿便民服务（如配备应急医药箱、共享雨伞、针线包等），并制定促进学生社区文化建设的活动实施方案，提升学生的居住归属感。</w:t>
      </w:r>
      <w:r>
        <w:rPr>
          <w:rFonts w:hint="eastAsia" w:ascii="宋体" w:hAnsi="宋体" w:cs="宋体"/>
          <w:color w:val="000000"/>
          <w:szCs w:val="21"/>
          <w:highlight w:val="none"/>
        </w:rPr>
      </w:r>
      <w:r/>
    </w:p>
    <w:p>
      <w:pPr>
        <w:pStyle w:val="1113"/>
        <w:ind w:firstLine="48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附：服务质量考核评分表</w:t>
      </w:r>
      <w:r>
        <w:rPr>
          <w:rFonts w:hint="eastAsia" w:ascii="宋体" w:hAnsi="宋体" w:cs="宋体"/>
          <w:b/>
          <w:bCs/>
          <w:color w:val="000000"/>
          <w:szCs w:val="21"/>
          <w:highlight w:val="none"/>
        </w:rPr>
      </w:r>
      <w:r/>
    </w:p>
    <w:tbl>
      <w:tblPr>
        <w:tblW w:w="5000" w:type="pct"/>
        <w:tblInd w:w="-216" w:type="dxa"/>
        <w:tblLayout w:type="autofit"/>
        <w:tblCellMar>
          <w:left w:w="108" w:type="dxa"/>
          <w:top w:w="0" w:type="dxa"/>
          <w:right w:w="108" w:type="dxa"/>
          <w:bottom w:w="0" w:type="dxa"/>
        </w:tblCellMar>
        <w:tblLook w:val="04A0" w:firstRow="1" w:lastRow="0" w:firstColumn="1" w:lastColumn="0" w:noHBand="0" w:noVBand="1"/>
      </w:tblPr>
      <w:tblGrid>
        <w:gridCol w:w="2246"/>
        <w:gridCol w:w="4621"/>
        <w:gridCol w:w="822"/>
        <w:gridCol w:w="833"/>
      </w:tblGrid>
      <w:tr>
        <w:trPr>
          <w:trHeight w:val="1487"/>
        </w:trPr>
        <w:tc>
          <w:tcPr>
            <w:gridSpan w:val="4"/>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871"/>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扬州大学2026年学生宿舍租住服务服务质量考核评分表</w:t>
            </w:r>
            <w:r>
              <w:rPr>
                <w:rFonts w:hint="eastAsia" w:ascii="宋体" w:hAnsi="宋体" w:cs="宋体"/>
                <w:b/>
                <w:bCs/>
                <w:color w:val="000000"/>
                <w:szCs w:val="21"/>
                <w:highlight w:val="none"/>
                <w:lang w:bidi="ar"/>
              </w:rPr>
            </w:r>
            <w:r/>
          </w:p>
          <w:p>
            <w:pPr>
              <w:pStyle w:val="871"/>
              <w:jc w:val="left"/>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     公寓名称：</w:t>
            </w:r>
            <w:r>
              <w:rPr>
                <w:rFonts w:hint="eastAsia" w:ascii="宋体" w:hAnsi="宋体" w:cs="宋体"/>
                <w:b/>
                <w:bCs/>
                <w:color w:val="000000"/>
                <w:szCs w:val="21"/>
                <w:highlight w:val="none"/>
                <w:lang w:bidi="ar"/>
              </w:rPr>
            </w:r>
            <w:r/>
          </w:p>
          <w:p>
            <w:pPr>
              <w:pStyle w:val="871"/>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     考核日期：</w:t>
            </w:r>
            <w:r>
              <w:rPr>
                <w:rFonts w:hint="eastAsia" w:ascii="宋体" w:hAnsi="宋体" w:cs="宋体"/>
                <w:b/>
                <w:bCs/>
                <w:color w:val="000000"/>
                <w:szCs w:val="21"/>
                <w:highlight w:val="none"/>
              </w:rPr>
            </w:r>
            <w:r/>
          </w:p>
          <w:p>
            <w:pPr>
              <w:pStyle w:val="871"/>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     考核人员：</w:t>
            </w:r>
            <w:r>
              <w:rPr>
                <w:rFonts w:hint="eastAsia" w:ascii="宋体" w:hAnsi="宋体" w:cs="宋体"/>
                <w:b/>
                <w:bCs/>
                <w:color w:val="000000"/>
                <w:szCs w:val="21"/>
                <w:highlight w:val="none"/>
              </w:rPr>
            </w:r>
            <w:r/>
          </w:p>
          <w:p>
            <w:pPr>
              <w:pStyle w:val="871"/>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     总   分 ：100分</w:t>
            </w:r>
            <w:r>
              <w:rPr>
                <w:rFonts w:hint="eastAsia" w:ascii="宋体" w:hAnsi="宋体" w:cs="宋体"/>
                <w:b/>
                <w:bCs/>
                <w:color w:val="000000"/>
                <w:szCs w:val="21"/>
                <w:highlight w:val="none"/>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871"/>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一、安全管理（25分）</w:t>
            </w:r>
            <w:r>
              <w:rPr>
                <w:rFonts w:hint="eastAsia" w:ascii="宋体" w:hAnsi="宋体" w:cs="宋体"/>
                <w:b/>
                <w:bCs/>
                <w:color w:val="000000"/>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考核项目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评分标准（扣分制）</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分值</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得分</w:t>
            </w:r>
            <w:r>
              <w:rPr>
                <w:rFonts w:hint="eastAsia" w:ascii="宋体" w:hAnsi="宋体" w:cs="宋体"/>
                <w:b/>
                <w:bCs/>
                <w:color w:val="000000"/>
                <w:szCs w:val="21"/>
                <w:highlight w:val="none"/>
              </w:rPr>
            </w:r>
            <w:r/>
          </w:p>
        </w:tc>
      </w:tr>
      <w:tr>
        <w:trPr>
          <w:trHeight w:val="1560"/>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消防安全</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71"/>
              <w:jc w:val="left"/>
              <w:widowControl/>
              <w:rPr>
                <w:rFonts w:hint="eastAsia" w:ascii="宋体" w:hAnsi="宋体" w:cs="宋体"/>
                <w:color w:val="000000"/>
                <w:szCs w:val="21"/>
                <w:highlight w:val="none"/>
              </w:rPr>
            </w:pPr>
            <w:r>
              <w:rPr>
                <w:rStyle w:val="1115"/>
                <w:rFonts w:hint="eastAsia" w:ascii="宋体" w:hAnsi="宋体" w:cs="宋体"/>
                <w:color w:val="000000"/>
                <w:szCs w:val="21"/>
                <w:highlight w:val="none"/>
                <w:lang w:bidi="ar"/>
              </w:rPr>
              <w:t xml:space="preserve">灭火器、消防栓及烟感报警器等消防设施100%有效</w:t>
            </w:r>
            <w:r>
              <w:rPr>
                <w:rStyle w:val="1034"/>
                <w:color w:val="000000"/>
                <w:highlight w:val="none"/>
                <w:lang w:bidi="ar"/>
              </w:rPr>
              <w:t xml:space="preserve">（6分）</w:t>
            </w:r>
            <w:r>
              <w:rPr>
                <w:rStyle w:val="1115"/>
                <w:rFonts w:hint="eastAsia" w:ascii="宋体" w:hAnsi="宋体" w:cs="宋体"/>
                <w:color w:val="000000"/>
                <w:szCs w:val="21"/>
                <w:highlight w:val="none"/>
                <w:lang w:bidi="ar"/>
              </w:rPr>
              <w:t xml:space="preserve">；</w:t>
            </w:r>
            <w:r>
              <w:rPr>
                <w:rStyle w:val="1115"/>
                <w:rFonts w:hint="eastAsia" w:ascii="宋体" w:hAnsi="宋体" w:cs="宋体"/>
                <w:color w:val="000000"/>
                <w:szCs w:val="21"/>
                <w:highlight w:val="none"/>
                <w:lang w:bidi="ar"/>
              </w:rPr>
              <w:br w:type="textWrapping" w:clear="all"/>
            </w:r>
            <w:r>
              <w:rPr>
                <w:rStyle w:val="1115"/>
                <w:rFonts w:hint="eastAsia" w:ascii="宋体" w:hAnsi="宋体" w:cs="宋体"/>
                <w:color w:val="000000"/>
                <w:szCs w:val="21"/>
                <w:highlight w:val="none"/>
                <w:lang w:bidi="ar"/>
              </w:rPr>
              <w:t xml:space="preserve">楼宇四周消防通道畅通（3分）；</w:t>
            </w:r>
            <w:r>
              <w:rPr>
                <w:rStyle w:val="1115"/>
                <w:rFonts w:hint="eastAsia" w:ascii="宋体" w:hAnsi="宋体" w:cs="宋体"/>
                <w:color w:val="000000"/>
                <w:szCs w:val="21"/>
                <w:highlight w:val="none"/>
                <w:lang w:bidi="ar"/>
              </w:rPr>
              <w:br w:type="textWrapping" w:clear="all"/>
            </w:r>
            <w:r>
              <w:rPr>
                <w:rStyle w:val="1034"/>
                <w:color w:val="000000"/>
                <w:highlight w:val="none"/>
                <w:lang w:bidi="ar"/>
              </w:rPr>
              <w:t xml:space="preserve">有学生宿舍用电的限荷措施，且能有效运行（3分）；</w:t>
            </w:r>
            <w:r>
              <w:rPr>
                <w:rStyle w:val="1115"/>
                <w:rFonts w:hint="eastAsia" w:ascii="宋体" w:hAnsi="宋体" w:cs="宋体"/>
                <w:color w:val="000000"/>
                <w:szCs w:val="21"/>
                <w:highlight w:val="none"/>
                <w:lang w:bidi="ar"/>
              </w:rPr>
              <w:br w:type="textWrapping" w:clear="all"/>
            </w:r>
            <w:r>
              <w:rPr>
                <w:rStyle w:val="1115"/>
                <w:rFonts w:hint="eastAsia" w:ascii="宋体" w:hAnsi="宋体" w:cs="宋体"/>
                <w:color w:val="000000"/>
                <w:szCs w:val="21"/>
                <w:highlight w:val="none"/>
                <w:lang w:bidi="ar"/>
              </w:rPr>
              <w:t xml:space="preserve">紧急逃生通道标识张贴醒目且完好</w:t>
            </w:r>
            <w:r>
              <w:rPr>
                <w:rStyle w:val="1034"/>
                <w:color w:val="000000"/>
                <w:highlight w:val="none"/>
                <w:lang w:bidi="ar"/>
              </w:rPr>
              <w:t xml:space="preserve">（3分）</w:t>
            </w:r>
            <w:r>
              <w:rPr>
                <w:rStyle w:val="1115"/>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71"/>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41"/>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大门门卫安全</w:t>
            </w:r>
            <w:r>
              <w:rPr>
                <w:rFonts w:hint="eastAsia" w:ascii="宋体" w:hAnsi="宋体" w:cs="宋体"/>
                <w:b/>
                <w:bCs/>
                <w:color w:val="000000"/>
                <w:szCs w:val="21"/>
                <w:highlight w:val="none"/>
                <w:lang w:bidi="ar"/>
              </w:rPr>
              <w:br w:type="textWrapping" w:clear="all"/>
            </w:r>
            <w:r>
              <w:rPr>
                <w:rFonts w:hint="eastAsia" w:ascii="宋体" w:hAnsi="宋体" w:cs="宋体"/>
                <w:b/>
                <w:bCs/>
                <w:color w:val="000000"/>
                <w:szCs w:val="21"/>
                <w:highlight w:val="none"/>
                <w:lang w:bidi="ar"/>
              </w:rPr>
              <w:t xml:space="preserve">管理服务</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7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门卫服务热情、态度友好（2分）；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能及时制止无关人员进入公寓区（3分）。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71"/>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6"/>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公共区域监控</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7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楼宇周边主干道及楼内走道监控设施完好可用，监控录像保存时间不低于30天。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71"/>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gridSpan w:val="4"/>
            <w:tcBorders>
              <w:top w:val="single" w:color="000000" w:sz="4" w:space="0"/>
              <w:left w:val="none" w:color="000000" w:sz="4" w:space="0"/>
              <w:bottom w:val="single" w:color="000000" w:sz="4" w:space="0"/>
              <w:right w:val="none" w:color="000000" w:sz="4" w:space="0"/>
            </w:tcBorders>
            <w:tcW w:w="8522" w:type="dxa"/>
            <w:vAlign w:val="center"/>
            <w:textDirection w:val="lrTb"/>
            <w:noWrap/>
          </w:tcPr>
          <w:p>
            <w:pPr>
              <w:pStyle w:val="871"/>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二、环境卫生与服务质量（25分）</w:t>
            </w:r>
            <w:r>
              <w:rPr>
                <w:rFonts w:hint="eastAsia" w:ascii="宋体" w:hAnsi="宋体" w:cs="宋体"/>
                <w:b/>
                <w:bCs/>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楼宇周边环境</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7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公寓周边无垃圾堆积（3分）；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绿化带整洁（3分）。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71"/>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洗衣房卫生</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7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洗衣机内部清洁、定期消毒（6分）；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设备消毒记录完整（4分）。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71"/>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39"/>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虫害防治</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7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每学期专业消杀老鼠、蟑螂等≥2次（5分） 。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71"/>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39"/>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信息公开</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7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维修、停水等通知提前12小时发布（4分）。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71"/>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79"/>
        </w:trPr>
        <w:tc>
          <w:tcPr>
            <w:gridSpan w:val="4"/>
            <w:tcBorders>
              <w:top w:val="none" w:color="000000" w:sz="4" w:space="0"/>
              <w:left w:val="none" w:color="000000" w:sz="4" w:space="0"/>
              <w:bottom w:val="none" w:color="000000" w:sz="4" w:space="0"/>
              <w:right w:val="none" w:color="000000" w:sz="4" w:space="0"/>
            </w:tcBorders>
            <w:tcW w:w="8522" w:type="dxa"/>
            <w:vAlign w:val="center"/>
            <w:textDirection w:val="lrTb"/>
            <w:noWrap/>
          </w:tcPr>
          <w:p>
            <w:pPr>
              <w:pStyle w:val="871"/>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三、设施维护与报修（50分）</w:t>
            </w:r>
            <w:r>
              <w:rPr>
                <w:rFonts w:hint="eastAsia" w:ascii="宋体" w:hAnsi="宋体" w:cs="宋体"/>
                <w:b/>
                <w:bCs/>
                <w:color w:val="000000"/>
                <w:szCs w:val="21"/>
                <w:highlight w:val="none"/>
              </w:rPr>
            </w:r>
            <w:r/>
          </w:p>
        </w:tc>
      </w:tr>
      <w:tr>
        <w:trPr>
          <w:trHeight w:val="1279"/>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报修响应</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71"/>
              <w:jc w:val="left"/>
              <w:widowControl/>
              <w:rPr>
                <w:rFonts w:hint="eastAsia" w:ascii="宋体" w:hAnsi="宋体" w:cs="宋体"/>
                <w:color w:val="000000"/>
                <w:szCs w:val="21"/>
                <w:highlight w:val="none"/>
              </w:rPr>
            </w:pPr>
            <w:r>
              <w:rPr>
                <w:rStyle w:val="939"/>
                <w:color w:val="000000"/>
                <w:sz w:val="21"/>
                <w:szCs w:val="21"/>
                <w:highlight w:val="none"/>
                <w:lang w:bidi="ar"/>
              </w:rPr>
              <w:t xml:space="preserve">报修渠道畅通（2分）；                                                                     门锁维修及时处理（2分）；</w:t>
            </w:r>
            <w:r>
              <w:rPr>
                <w:rStyle w:val="939"/>
                <w:color w:val="000000"/>
                <w:sz w:val="21"/>
                <w:szCs w:val="21"/>
                <w:highlight w:val="none"/>
                <w:lang w:bidi="ar"/>
              </w:rPr>
              <w:br w:type="textWrapping" w:clear="all"/>
            </w:r>
            <w:r>
              <w:rPr>
                <w:rStyle w:val="1034"/>
                <w:color w:val="000000"/>
                <w:highlight w:val="none"/>
                <w:lang w:bidi="ar"/>
              </w:rPr>
              <w:t xml:space="preserve">普通报修24小时内解决（2分）；</w:t>
            </w:r>
            <w:r>
              <w:rPr>
                <w:rStyle w:val="939"/>
                <w:color w:val="000000"/>
                <w:sz w:val="21"/>
                <w:szCs w:val="21"/>
                <w:highlight w:val="none"/>
                <w:lang w:bidi="ar"/>
              </w:rPr>
              <w:br w:type="textWrapping" w:clear="all"/>
            </w:r>
            <w:r>
              <w:rPr>
                <w:rStyle w:val="939"/>
                <w:color w:val="000000"/>
                <w:sz w:val="21"/>
                <w:szCs w:val="21"/>
                <w:highlight w:val="none"/>
                <w:lang w:bidi="ar"/>
              </w:rPr>
              <w:t xml:space="preserve">紧急报修1小时内解决（2分）。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71"/>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28"/>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维修质量</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7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各类设施维修完好率100%（10分）；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维修后现场干净整洁（5分）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71"/>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782"/>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电梯维护与管理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71"/>
              <w:jc w:val="left"/>
              <w:widowControl/>
              <w:rPr>
                <w:rFonts w:hint="eastAsia" w:ascii="宋体" w:hAnsi="宋体" w:cs="宋体"/>
                <w:color w:val="000000"/>
                <w:szCs w:val="21"/>
                <w:highlight w:val="none"/>
              </w:rPr>
            </w:pPr>
            <w:r>
              <w:rPr>
                <w:rStyle w:val="1115"/>
                <w:rFonts w:hint="eastAsia" w:ascii="宋体" w:hAnsi="宋体" w:cs="宋体"/>
                <w:color w:val="000000"/>
                <w:szCs w:val="21"/>
                <w:highlight w:val="none"/>
                <w:lang w:bidi="ar"/>
              </w:rPr>
              <w:t xml:space="preserve">电梯轿厢内应急报警装置完好（</w:t>
            </w:r>
            <w:r>
              <w:rPr>
                <w:rStyle w:val="1034"/>
                <w:color w:val="000000"/>
                <w:highlight w:val="none"/>
                <w:lang w:bidi="ar"/>
              </w:rPr>
              <w:t xml:space="preserve">3分</w:t>
            </w:r>
            <w:r>
              <w:rPr>
                <w:rStyle w:val="1115"/>
                <w:rFonts w:hint="eastAsia" w:ascii="宋体" w:hAnsi="宋体" w:cs="宋体"/>
                <w:color w:val="000000"/>
                <w:szCs w:val="21"/>
                <w:highlight w:val="none"/>
                <w:lang w:bidi="ar"/>
              </w:rPr>
              <w:t xml:space="preserve">）；</w:t>
            </w:r>
            <w:r>
              <w:rPr>
                <w:rStyle w:val="1115"/>
                <w:rFonts w:hint="eastAsia" w:ascii="宋体" w:hAnsi="宋体" w:cs="宋体"/>
                <w:color w:val="000000"/>
                <w:szCs w:val="21"/>
                <w:highlight w:val="none"/>
                <w:lang w:bidi="ar"/>
              </w:rPr>
              <w:br w:type="textWrapping" w:clear="all"/>
            </w:r>
            <w:r>
              <w:rPr>
                <w:rStyle w:val="1115"/>
                <w:rFonts w:hint="eastAsia" w:ascii="宋体" w:hAnsi="宋体" w:cs="宋体"/>
                <w:color w:val="000000"/>
                <w:szCs w:val="21"/>
                <w:highlight w:val="none"/>
                <w:lang w:bidi="ar"/>
              </w:rPr>
              <w:t xml:space="preserve">照明、风扇故障报修，24小时内维修及时</w:t>
            </w:r>
            <w:r>
              <w:rPr>
                <w:rStyle w:val="1034"/>
                <w:color w:val="000000"/>
                <w:highlight w:val="none"/>
                <w:lang w:bidi="ar"/>
              </w:rPr>
              <w:t xml:space="preserve">（3分/处</w:t>
            </w:r>
            <w:r>
              <w:rPr>
                <w:rStyle w:val="1115"/>
                <w:rFonts w:hint="eastAsia" w:ascii="宋体" w:hAnsi="宋体" w:cs="宋体"/>
                <w:color w:val="000000"/>
                <w:szCs w:val="21"/>
                <w:highlight w:val="none"/>
                <w:lang w:bidi="ar"/>
              </w:rPr>
              <w:t xml:space="preserve">）；</w:t>
            </w:r>
            <w:r>
              <w:rPr>
                <w:rStyle w:val="1115"/>
                <w:rFonts w:hint="eastAsia" w:ascii="宋体" w:hAnsi="宋体" w:cs="宋体"/>
                <w:color w:val="000000"/>
                <w:szCs w:val="21"/>
                <w:highlight w:val="none"/>
                <w:lang w:bidi="ar"/>
              </w:rPr>
              <w:br w:type="textWrapping" w:clear="all"/>
            </w:r>
            <w:r>
              <w:rPr>
                <w:rStyle w:val="1115"/>
                <w:rFonts w:hint="eastAsia" w:ascii="宋体" w:hAnsi="宋体" w:cs="宋体"/>
                <w:color w:val="000000"/>
                <w:szCs w:val="21"/>
                <w:highlight w:val="none"/>
                <w:lang w:bidi="ar"/>
              </w:rPr>
              <w:t xml:space="preserve">运行异响、抖动及时处理（2分/处）；</w:t>
            </w:r>
            <w:r>
              <w:rPr>
                <w:rStyle w:val="1115"/>
                <w:rFonts w:hint="eastAsia" w:ascii="宋体" w:hAnsi="宋体" w:cs="宋体"/>
                <w:color w:val="000000"/>
                <w:szCs w:val="21"/>
                <w:highlight w:val="none"/>
                <w:lang w:bidi="ar"/>
              </w:rPr>
              <w:br w:type="textWrapping" w:clear="all"/>
            </w:r>
            <w:r>
              <w:rPr>
                <w:rStyle w:val="1115"/>
                <w:rFonts w:hint="eastAsia" w:ascii="宋体" w:hAnsi="宋体" w:cs="宋体"/>
                <w:color w:val="000000"/>
                <w:szCs w:val="21"/>
                <w:highlight w:val="none"/>
                <w:lang w:bidi="ar"/>
              </w:rPr>
              <w:t xml:space="preserve">张贴有效年检合格标志（2分）；</w:t>
            </w:r>
            <w:r>
              <w:rPr>
                <w:rStyle w:val="1115"/>
                <w:rFonts w:hint="eastAsia" w:ascii="宋体" w:hAnsi="宋体" w:cs="宋体"/>
                <w:color w:val="000000"/>
                <w:szCs w:val="21"/>
                <w:highlight w:val="none"/>
                <w:lang w:bidi="ar"/>
              </w:rPr>
              <w:br w:type="textWrapping" w:clear="all"/>
            </w:r>
            <w:r>
              <w:rPr>
                <w:rStyle w:val="1115"/>
                <w:rFonts w:hint="eastAsia" w:ascii="宋体" w:hAnsi="宋体" w:cs="宋体"/>
                <w:color w:val="000000"/>
                <w:szCs w:val="21"/>
                <w:highlight w:val="none"/>
                <w:lang w:bidi="ar"/>
              </w:rPr>
              <w:t xml:space="preserve">按照季度维保</w:t>
            </w:r>
            <w:r>
              <w:rPr>
                <w:rStyle w:val="1034"/>
                <w:color w:val="000000"/>
                <w:highlight w:val="none"/>
                <w:lang w:bidi="ar"/>
              </w:rPr>
              <w:t xml:space="preserve">（3分）</w:t>
            </w:r>
            <w:r>
              <w:rPr>
                <w:rStyle w:val="1115"/>
                <w:rFonts w:hint="eastAsia" w:ascii="宋体" w:hAnsi="宋体" w:cs="宋体"/>
                <w:color w:val="000000"/>
                <w:szCs w:val="21"/>
                <w:highlight w:val="none"/>
                <w:lang w:bidi="ar"/>
              </w:rPr>
              <w:t xml:space="preserve">；</w:t>
            </w:r>
            <w:r>
              <w:rPr>
                <w:rStyle w:val="1115"/>
                <w:rFonts w:hint="eastAsia" w:ascii="宋体" w:hAnsi="宋体" w:cs="宋体"/>
                <w:color w:val="000000"/>
                <w:szCs w:val="21"/>
                <w:highlight w:val="none"/>
                <w:lang w:bidi="ar"/>
              </w:rPr>
              <w:br w:type="textWrapping" w:clear="all"/>
            </w:r>
            <w:r>
              <w:rPr>
                <w:rStyle w:val="1115"/>
                <w:rFonts w:hint="eastAsia" w:ascii="宋体" w:hAnsi="宋体" w:cs="宋体"/>
                <w:color w:val="000000"/>
                <w:szCs w:val="21"/>
                <w:highlight w:val="none"/>
                <w:lang w:bidi="ar"/>
              </w:rPr>
              <w:t xml:space="preserve">维保记录真实、完整（2分）。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71"/>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9"/>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晾晒区设施维护</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7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晾晒区设施完好（4分）；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晾晒区监控可看、可追溯（4分）。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71"/>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71"/>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热水系统</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71"/>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水温稳定（45℃±3℃）（2分）；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故障停供＜8小时/学期（2分）。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71"/>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29"/>
        <w:ind w:firstLine="0"/>
        <w:spacing w:line="360" w:lineRule="auto"/>
        <w:rPr>
          <w:rFonts w:hint="eastAsia" w:ascii="宋体" w:hAnsi="宋体" w:cs="宋体"/>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Cs w:val="21"/>
          <w:highlight w:val="none"/>
        </w:rPr>
      </w:r>
      <w:r/>
    </w:p>
    <w:p>
      <w:pPr>
        <w:pStyle w:val="872"/>
        <w:jc w:val="center"/>
        <w:spacing w:after="0"/>
        <w:rPr>
          <w:rFonts w:hint="eastAsia" w:ascii="宋体" w:hAnsi="宋体" w:cs="宋体"/>
          <w:color w:val="000000"/>
          <w:highlight w:val="none"/>
        </w:rPr>
      </w:pPr>
      <w:r>
        <w:rPr>
          <w:rFonts w:hint="eastAsia"/>
          <w:color w:val="000000"/>
          <w:sz w:val="36"/>
          <w:szCs w:val="36"/>
          <w:highlight w:val="none"/>
        </w:rPr>
        <w:t xml:space="preserve">第五章 </w:t>
      </w:r>
      <w:bookmarkEnd w:id="106"/>
      <w:r/>
      <w:bookmarkEnd w:id="107"/>
      <w:r>
        <w:rPr>
          <w:rFonts w:hint="eastAsia"/>
          <w:color w:val="000000"/>
          <w:sz w:val="36"/>
          <w:szCs w:val="36"/>
          <w:highlight w:val="none"/>
        </w:rPr>
        <w:t xml:space="preserve">评标方法及评标标准</w:t>
      </w:r>
      <w:bookmarkEnd w:id="108"/>
      <w:r>
        <w:rPr>
          <w:rFonts w:hint="eastAsia" w:ascii="宋体" w:hAnsi="宋体" w:cs="宋体"/>
          <w:color w:val="000000"/>
          <w:highlight w:val="none"/>
        </w:rPr>
      </w:r>
      <w:r/>
    </w:p>
    <w:p>
      <w:pPr>
        <w:pStyle w:val="871"/>
        <w:ind w:firstLine="422"/>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一、评标方法</w:t>
      </w:r>
      <w:r>
        <w:rPr>
          <w:rFonts w:hint="eastAsia" w:ascii="宋体" w:hAnsi="宋体" w:cs="宋体"/>
          <w:b/>
          <w:bCs/>
          <w:color w:val="000000"/>
          <w:highlight w:val="none"/>
        </w:rPr>
      </w:r>
      <w:r/>
    </w:p>
    <w:p>
      <w:pPr>
        <w:pStyle w:val="1075"/>
        <w:ind w:firstLine="420"/>
        <w:rPr>
          <w:rFonts w:ascii="宋体" w:hAnsi="宋体"/>
          <w:color w:val="000000"/>
          <w:sz w:val="21"/>
          <w:szCs w:val="21"/>
          <w:highlight w:val="none"/>
        </w:rPr>
      </w:pPr>
      <w:r/>
      <w:bookmarkStart w:id="111" w:name="_Toc449017024"/>
      <w:r/>
      <w:bookmarkStart w:id="112" w:name="_Toc449016388"/>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本项目选取3名中标候选人。</w:t>
      </w:r>
      <w:r>
        <w:rPr>
          <w:rFonts w:ascii="宋体" w:hAnsi="宋体"/>
          <w:color w:val="000000"/>
          <w:sz w:val="21"/>
          <w:szCs w:val="21"/>
          <w:highlight w:val="none"/>
        </w:rPr>
      </w:r>
      <w:r/>
    </w:p>
    <w:p>
      <w:pPr>
        <w:pStyle w:val="871"/>
        <w:ind w:firstLine="422"/>
        <w:jc w:val="left"/>
        <w:spacing w:line="360" w:lineRule="auto"/>
        <w:rPr>
          <w:rFonts w:hint="eastAsia" w:ascii="宋体" w:hAnsi="宋体"/>
          <w:b/>
          <w:color w:val="000000"/>
          <w:szCs w:val="21"/>
          <w:highlight w:val="none"/>
        </w:rPr>
      </w:pPr>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bookmarkEnd w:id="111"/>
      <w:r/>
      <w:bookmarkEnd w:id="112"/>
      <w:r>
        <w:rPr>
          <w:rFonts w:hint="eastAsia" w:ascii="宋体" w:hAnsi="宋体"/>
          <w:b/>
          <w:color w:val="000000"/>
          <w:szCs w:val="21"/>
          <w:highlight w:val="none"/>
        </w:rPr>
      </w:r>
      <w:r/>
    </w:p>
    <w:p>
      <w:pPr>
        <w:pStyle w:val="871"/>
        <w:ind w:firstLine="420"/>
        <w:spacing w:line="312" w:lineRule="auto"/>
        <w:rPr>
          <w:rFonts w:ascii="宋体" w:hAnsi="宋体"/>
          <w:color w:val="000000"/>
          <w:highlight w:val="none"/>
        </w:rPr>
      </w:pPr>
      <w:r>
        <w:rPr>
          <w:rFonts w:ascii="宋体" w:hAnsi="宋体"/>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提供的服务进行价格扣除，具体如下：</w:t>
      </w:r>
      <w:r>
        <w:rPr>
          <w:rFonts w:ascii="宋体" w:hAnsi="宋体"/>
          <w:color w:val="000000"/>
          <w:highlight w:val="none"/>
        </w:rPr>
      </w:r>
      <w:r/>
    </w:p>
    <w:p>
      <w:pPr>
        <w:pStyle w:val="871"/>
        <w:ind w:firstLine="420"/>
        <w:spacing w:line="312" w:lineRule="auto"/>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小微型企业价格扣除</w:t>
      </w:r>
      <w:r>
        <w:rPr>
          <w:rFonts w:ascii="宋体" w:hAnsi="宋体"/>
          <w:color w:val="000000"/>
          <w:highlight w:val="none"/>
        </w:rPr>
      </w:r>
      <w:r/>
    </w:p>
    <w:p>
      <w:pPr>
        <w:pStyle w:val="871"/>
        <w:ind w:firstLine="420"/>
        <w:spacing w:line="312" w:lineRule="auto"/>
        <w:rPr>
          <w:rFonts w:ascii="宋体" w:hAnsi="宋体"/>
          <w:color w:val="000000"/>
          <w:highlight w:val="none"/>
        </w:rPr>
      </w:pPr>
      <w:r>
        <w:rPr>
          <w:rFonts w:ascii="宋体" w:hAnsi="宋体"/>
          <w:color w:val="000000"/>
          <w:highlight w:val="none"/>
        </w:rPr>
        <w:t xml:space="preserve">（1）本项目对小型和微型企业</w:t>
      </w:r>
      <w:r>
        <w:rPr>
          <w:rFonts w:hint="eastAsia" w:ascii="宋体" w:hAnsi="宋体"/>
          <w:color w:val="000000"/>
          <w:highlight w:val="none"/>
        </w:rPr>
        <w:t xml:space="preserve">产品</w:t>
      </w:r>
      <w:r>
        <w:rPr>
          <w:rFonts w:ascii="宋体" w:hAnsi="宋体"/>
          <w:color w:val="000000"/>
          <w:highlight w:val="none"/>
        </w:rPr>
        <w:t xml:space="preserve">给予</w:t>
      </w:r>
      <w:r>
        <w:rPr>
          <w:rFonts w:hint="eastAsia" w:ascii="宋体" w:hAnsi="宋体"/>
          <w:color w:val="000000"/>
          <w:highlight w:val="none"/>
        </w:rPr>
        <w:t xml:space="preserve">10</w:t>
      </w:r>
      <w:r>
        <w:rPr>
          <w:rFonts w:ascii="宋体" w:hAnsi="宋体"/>
          <w:color w:val="000000"/>
          <w:highlight w:val="none"/>
        </w:rPr>
        <w:t xml:space="preserve">%的扣除价格，用扣除后的价格参与评审。</w:t>
      </w:r>
      <w:r>
        <w:rPr>
          <w:rFonts w:ascii="宋体" w:hAnsi="宋体"/>
          <w:color w:val="000000"/>
          <w:highlight w:val="none"/>
        </w:rPr>
      </w:r>
      <w:r/>
    </w:p>
    <w:p>
      <w:pPr>
        <w:pStyle w:val="871"/>
        <w:ind w:firstLine="420"/>
        <w:spacing w:line="312" w:lineRule="auto"/>
        <w:rPr>
          <w:rFonts w:ascii="宋体" w:hAnsi="宋体"/>
          <w:color w:val="000000"/>
          <w:highlight w:val="none"/>
        </w:rPr>
      </w:pPr>
      <w:r>
        <w:rPr>
          <w:rFonts w:ascii="宋体" w:hAnsi="宋体"/>
          <w:color w:val="000000"/>
          <w:highlight w:val="none"/>
        </w:rPr>
        <w:t xml:space="preserve">（2）供应商需按照</w:t>
      </w:r>
      <w:r>
        <w:rPr>
          <w:rFonts w:hint="eastAsia" w:ascii="宋体" w:hAnsi="宋体"/>
          <w:color w:val="000000"/>
          <w:highlight w:val="none"/>
        </w:rPr>
        <w:t xml:space="preserve">采购</w:t>
      </w:r>
      <w:r>
        <w:rPr>
          <w:rFonts w:ascii="宋体" w:hAnsi="宋体"/>
          <w:color w:val="000000"/>
          <w:highlight w:val="none"/>
        </w:rPr>
        <w:t xml:space="preserve">文件的要求提供相应的《</w:t>
      </w:r>
      <w:r>
        <w:rPr>
          <w:rFonts w:hint="eastAsia" w:ascii="宋体" w:hAnsi="宋体"/>
          <w:color w:val="000000"/>
          <w:highlight w:val="none"/>
        </w:rPr>
        <w:t xml:space="preserve">中小</w:t>
      </w:r>
      <w:r>
        <w:rPr>
          <w:rFonts w:ascii="宋体" w:hAnsi="宋体"/>
          <w:color w:val="000000"/>
          <w:highlight w:val="none"/>
        </w:rPr>
        <w:t xml:space="preserve">企业声明函》</w:t>
      </w:r>
      <w:r>
        <w:rPr>
          <w:rFonts w:hint="eastAsia" w:ascii="宋体" w:hAnsi="宋体" w:cs="宋体"/>
          <w:color w:val="000000"/>
          <w:highlight w:val="none"/>
        </w:rPr>
        <w:t xml:space="preserve">，不符合要求或未提供的，响应文件无效</w:t>
      </w:r>
      <w:r>
        <w:rPr>
          <w:rFonts w:hint="eastAsia" w:ascii="宋体" w:hAnsi="宋体"/>
          <w:color w:val="000000"/>
          <w:highlight w:val="none"/>
        </w:rPr>
        <w:t xml:space="preserve">。</w:t>
      </w:r>
      <w:r>
        <w:rPr>
          <w:rFonts w:ascii="宋体" w:hAnsi="宋体"/>
          <w:color w:val="000000"/>
          <w:highlight w:val="none"/>
        </w:rPr>
      </w:r>
      <w:r/>
    </w:p>
    <w:p>
      <w:pPr>
        <w:pStyle w:val="871"/>
        <w:ind w:firstLine="420"/>
        <w:spacing w:line="312" w:lineRule="auto"/>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t xml:space="preserve">残疾人福利单位价格扣除</w:t>
      </w:r>
      <w:r>
        <w:rPr>
          <w:rFonts w:ascii="宋体" w:hAnsi="宋体"/>
          <w:color w:val="000000"/>
          <w:highlight w:val="none"/>
        </w:rPr>
      </w:r>
      <w:r/>
    </w:p>
    <w:p>
      <w:pPr>
        <w:pStyle w:val="871"/>
        <w:ind w:firstLine="420"/>
        <w:spacing w:line="312" w:lineRule="auto"/>
        <w:rPr>
          <w:rFonts w:ascii="宋体" w:hAnsi="宋体"/>
          <w:color w:val="000000"/>
          <w:highlight w:val="none"/>
        </w:rPr>
      </w:pPr>
      <w:r>
        <w:rPr>
          <w:rFonts w:ascii="宋体" w:hAnsi="宋体"/>
          <w:color w:val="000000"/>
          <w:highlight w:val="none"/>
        </w:rPr>
        <w:t xml:space="preserve">（1）本项目对残疾人福利性单位视同小型、微型企业，给予</w:t>
      </w:r>
      <w:r>
        <w:rPr>
          <w:rFonts w:hint="eastAsia" w:ascii="宋体" w:hAnsi="宋体"/>
          <w:color w:val="000000"/>
          <w:highlight w:val="none"/>
        </w:rPr>
        <w:t xml:space="preserve">10</w:t>
      </w:r>
      <w:r>
        <w:rPr>
          <w:rFonts w:ascii="宋体" w:hAnsi="宋体"/>
          <w:color w:val="000000"/>
          <w:highlight w:val="none"/>
        </w:rPr>
        <w:t xml:space="preserve">%的价格扣除，用扣除后的价格参与评审。</w:t>
      </w:r>
      <w:r>
        <w:rPr>
          <w:rFonts w:ascii="宋体" w:hAnsi="宋体"/>
          <w:color w:val="000000"/>
          <w:highlight w:val="none"/>
        </w:rPr>
      </w:r>
      <w:r/>
    </w:p>
    <w:p>
      <w:pPr>
        <w:pStyle w:val="871"/>
        <w:ind w:firstLine="420"/>
        <w:spacing w:line="312" w:lineRule="auto"/>
        <w:rPr>
          <w:rFonts w:ascii="宋体" w:hAnsi="宋体"/>
          <w:color w:val="000000"/>
          <w:highlight w:val="none"/>
        </w:rPr>
      </w:pPr>
      <w:r>
        <w:rPr>
          <w:rFonts w:ascii="宋体" w:hAnsi="宋体"/>
          <w:color w:val="000000"/>
          <w:highlight w:val="none"/>
        </w:rPr>
        <w:t xml:space="preserve">（2）残疾人福利单位需按照采购文件的要求提供《残疾人福利性单位声明函》。</w:t>
      </w:r>
      <w:r>
        <w:rPr>
          <w:rFonts w:ascii="宋体" w:hAnsi="宋体"/>
          <w:color w:val="000000"/>
          <w:highlight w:val="none"/>
        </w:rPr>
      </w:r>
      <w:r/>
    </w:p>
    <w:p>
      <w:pPr>
        <w:pStyle w:val="871"/>
        <w:ind w:firstLine="420"/>
        <w:spacing w:line="312" w:lineRule="auto"/>
        <w:rPr>
          <w:rFonts w:ascii="宋体" w:hAnsi="宋体"/>
          <w:color w:val="000000"/>
          <w:highlight w:val="none"/>
        </w:rPr>
      </w:pPr>
      <w:r>
        <w:rPr>
          <w:rFonts w:ascii="宋体" w:hAnsi="宋体"/>
          <w:color w:val="000000"/>
          <w:highlight w:val="none"/>
        </w:rPr>
        <w:t xml:space="preserve">（3）残疾人福利单位标准请参照《关于促进残疾人就业政府采购政策的通知》（财库〔2017〕141号）。</w:t>
      </w:r>
      <w:r>
        <w:rPr>
          <w:rFonts w:ascii="宋体" w:hAnsi="宋体"/>
          <w:color w:val="000000"/>
          <w:highlight w:val="none"/>
        </w:rPr>
      </w:r>
      <w:r/>
    </w:p>
    <w:p>
      <w:pPr>
        <w:pStyle w:val="871"/>
        <w:ind w:firstLine="420"/>
        <w:spacing w:line="312"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t xml:space="preserve">监狱和戒毒企业价格扣除</w:t>
      </w:r>
      <w:r>
        <w:rPr>
          <w:rFonts w:ascii="宋体" w:hAnsi="宋体"/>
          <w:color w:val="000000"/>
          <w:highlight w:val="none"/>
        </w:rPr>
      </w:r>
      <w:r/>
    </w:p>
    <w:p>
      <w:pPr>
        <w:pStyle w:val="871"/>
        <w:ind w:firstLine="420"/>
        <w:spacing w:line="312" w:lineRule="auto"/>
        <w:rPr>
          <w:rFonts w:ascii="宋体" w:hAnsi="宋体"/>
          <w:color w:val="000000"/>
          <w:highlight w:val="none"/>
        </w:rPr>
      </w:pPr>
      <w:r>
        <w:rPr>
          <w:rFonts w:ascii="宋体" w:hAnsi="宋体"/>
          <w:color w:val="000000"/>
          <w:highlight w:val="none"/>
        </w:rPr>
        <w:t xml:space="preserve">（1）本项目对监狱和戒毒企业（简称监狱企业）视同小型、微型企业，给予</w:t>
      </w:r>
      <w:r>
        <w:rPr>
          <w:rFonts w:hint="eastAsia" w:ascii="宋体" w:hAnsi="宋体"/>
          <w:color w:val="000000"/>
          <w:highlight w:val="none"/>
        </w:rPr>
        <w:t xml:space="preserve">10</w:t>
      </w:r>
      <w:r>
        <w:rPr>
          <w:rFonts w:ascii="宋体" w:hAnsi="宋体"/>
          <w:color w:val="000000"/>
          <w:highlight w:val="none"/>
        </w:rPr>
        <w:t xml:space="preserve">%的价格扣除，用扣除后的价格参与评审。</w:t>
      </w:r>
      <w:r>
        <w:rPr>
          <w:rFonts w:ascii="宋体" w:hAnsi="宋体"/>
          <w:color w:val="000000"/>
          <w:highlight w:val="none"/>
        </w:rPr>
      </w:r>
      <w:r/>
    </w:p>
    <w:p>
      <w:pPr>
        <w:pStyle w:val="871"/>
        <w:ind w:firstLine="420"/>
        <w:spacing w:line="312" w:lineRule="auto"/>
        <w:rPr>
          <w:rFonts w:ascii="宋体" w:hAnsi="宋体"/>
          <w:color w:val="000000"/>
          <w:highlight w:val="none"/>
        </w:rPr>
      </w:pPr>
      <w:r>
        <w:rPr>
          <w:rFonts w:ascii="宋体" w:hAnsi="宋体"/>
          <w:color w:val="000000"/>
          <w:highlight w:val="none"/>
        </w:rPr>
        <w:t xml:space="preserve">（2）监狱企业参加政府采购活动时，需提供由省级以上监狱管理局、戒毒管理局(含新疆生产建设兵团)出具的属于监狱企业的证明文件。供应商如不提供上述证明文件，</w:t>
      </w:r>
      <w:r>
        <w:rPr>
          <w:rFonts w:hint="eastAsia" w:ascii="宋体" w:hAnsi="宋体" w:cs="宋体"/>
          <w:color w:val="000000"/>
          <w:highlight w:val="none"/>
        </w:rPr>
        <w:t xml:space="preserve">响应文件无效</w:t>
      </w:r>
      <w:r>
        <w:rPr>
          <w:rFonts w:ascii="宋体" w:hAnsi="宋体"/>
          <w:color w:val="000000"/>
          <w:highlight w:val="none"/>
        </w:rPr>
        <w:t xml:space="preserve">。</w:t>
      </w:r>
      <w:r>
        <w:rPr>
          <w:rFonts w:ascii="宋体" w:hAnsi="宋体"/>
          <w:color w:val="000000"/>
          <w:highlight w:val="none"/>
        </w:rPr>
      </w:r>
      <w:r/>
    </w:p>
    <w:p>
      <w:pPr>
        <w:pStyle w:val="871"/>
        <w:ind w:firstLine="420"/>
        <w:spacing w:line="312" w:lineRule="auto"/>
        <w:rPr>
          <w:rFonts w:ascii="宋体" w:hAnsi="宋体"/>
          <w:color w:val="000000"/>
          <w:highlight w:val="none"/>
        </w:rPr>
      </w:pPr>
      <w:r>
        <w:rPr>
          <w:rFonts w:ascii="宋体" w:hAnsi="宋体"/>
          <w:color w:val="000000"/>
          <w:highlight w:val="none"/>
        </w:rPr>
        <w:t xml:space="preserve">（3）监狱企业标准请参照《关于政府采购支持监狱企业发展有关问题的通知》（财库[2014]68号）。</w:t>
      </w:r>
      <w:r>
        <w:rPr>
          <w:rFonts w:ascii="宋体" w:hAnsi="宋体"/>
          <w:color w:val="000000"/>
          <w:highlight w:val="none"/>
        </w:rPr>
      </w:r>
      <w:r/>
    </w:p>
    <w:p>
      <w:pPr>
        <w:pStyle w:val="871"/>
        <w:ind w:firstLine="420"/>
        <w:spacing w:line="312" w:lineRule="auto"/>
        <w:rPr>
          <w:rFonts w:ascii="宋体" w:hAnsi="宋体"/>
          <w:color w:val="000000"/>
          <w:highlight w:val="none"/>
        </w:rPr>
      </w:pPr>
      <w:r>
        <w:rPr>
          <w:rFonts w:ascii="宋体" w:hAnsi="宋体"/>
          <w:color w:val="000000"/>
          <w:highlight w:val="none"/>
        </w:rPr>
        <w:t xml:space="preserve">4、残疾人福利单位、监狱企业属于小型、微型企业的，不重复享受政策。</w:t>
      </w:r>
      <w:r>
        <w:rPr>
          <w:rFonts w:ascii="宋体" w:hAnsi="宋体"/>
          <w:color w:val="000000"/>
          <w:highlight w:val="none"/>
        </w:rPr>
      </w:r>
      <w:r/>
    </w:p>
    <w:p>
      <w:pPr>
        <w:pStyle w:val="871"/>
        <w:ind w:firstLine="405"/>
        <w:spacing w:line="360" w:lineRule="auto"/>
        <w:rPr>
          <w:color w:val="000000"/>
          <w:szCs w:val="21"/>
          <w:highlight w:val="none"/>
        </w:rPr>
      </w:pPr>
      <w:r>
        <w:rPr>
          <w:rFonts w:hint="eastAsia" w:ascii="宋体" w:hAnsi="宋体"/>
          <w:color w:val="000000"/>
          <w:highlight w:val="none"/>
        </w:rPr>
        <w:t xml:space="preserve">5、如本项目同意联合体投标或同意分包履行合同的,</w:t>
      </w:r>
      <w:r>
        <w:rPr>
          <w:color w:val="000000"/>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color w:val="000000"/>
          <w:szCs w:val="21"/>
          <w:highlight w:val="none"/>
        </w:rPr>
        <w:t xml:space="preserve">3</w:t>
      </w:r>
      <w:r>
        <w:rPr>
          <w:color w:val="000000"/>
          <w:szCs w:val="21"/>
          <w:highlight w:val="none"/>
        </w:rPr>
        <w:t xml:space="preserve">%的价格扣除，用扣除后的价格参与评审。</w:t>
      </w:r>
      <w:r>
        <w:rPr>
          <w:color w:val="000000"/>
          <w:szCs w:val="21"/>
          <w:highlight w:val="none"/>
        </w:rPr>
      </w:r>
      <w:r/>
    </w:p>
    <w:p>
      <w:pPr>
        <w:pStyle w:val="871"/>
        <w:ind w:firstLine="405"/>
        <w:spacing w:line="360" w:lineRule="auto"/>
        <w:rPr>
          <w:rFonts w:hint="eastAsia" w:ascii="宋体" w:hAnsi="宋体"/>
          <w:color w:val="000000"/>
          <w:highlight w:val="none"/>
        </w:rPr>
      </w:pPr>
      <w:r>
        <w:rPr>
          <w:rFonts w:hint="eastAsia" w:ascii="宋体" w:hAnsi="宋体"/>
          <w:color w:val="000000"/>
          <w:highlight w:val="none"/>
        </w:rPr>
        <w:t xml:space="preserve">6、联合体各方均为小型、微型企业（残疾人福利单位、监狱企业）的，联合体享受</w:t>
      </w:r>
      <w:r>
        <w:rPr>
          <w:rFonts w:hint="eastAsia" w:ascii="宋体" w:hAnsi="宋体"/>
          <w:color w:val="000000"/>
          <w:highlight w:val="none"/>
        </w:rPr>
        <w:t xml:space="preserve">10%价格扣除，用扣除后的价格参与评审。</w:t>
      </w:r>
      <w:r>
        <w:rPr>
          <w:rFonts w:hint="eastAsia" w:ascii="宋体" w:hAnsi="宋体"/>
          <w:color w:val="000000"/>
          <w:highlight w:val="none"/>
        </w:rPr>
      </w:r>
      <w:r/>
    </w:p>
    <w:p>
      <w:pPr>
        <w:pStyle w:val="871"/>
        <w:ind w:firstLine="420"/>
        <w:jc w:val="left"/>
        <w:pageBreakBefore w:val="0"/>
        <w:spacing w:line="360" w:lineRule="auto"/>
        <w:rPr>
          <w:rFonts w:hint="eastAsia"/>
          <w:color w:val="000000"/>
        </w:rPr>
      </w:pPr>
      <w:r>
        <w:rPr>
          <w:rFonts w:hint="eastAsia" w:ascii="Times New Roman" w:hAnsi="Times New Roman" w:eastAsia="宋体"/>
          <w:color w:val="000000"/>
          <w:szCs w:val="21"/>
          <w:highlight w:val="none"/>
        </w:rPr>
        <w:t xml:space="preserve">7、大中型企业向小型、微型企业分包的，分包意向协议约定小型、微型企业合同份额占到合同总金额</w:t>
      </w:r>
      <w:r>
        <w:rPr>
          <w:rFonts w:hint="eastAsia" w:ascii="Times New Roman" w:hAnsi="Times New Roman"/>
          <w:color w:val="000000"/>
          <w:szCs w:val="21"/>
          <w:highlight w:val="none"/>
          <w:lang w:val="en-US" w:eastAsia="zh-CN"/>
        </w:rPr>
        <w:t xml:space="preserve">3</w:t>
      </w:r>
      <w:r>
        <w:rPr>
          <w:rFonts w:hint="eastAsia" w:ascii="Times New Roman" w:hAnsi="Times New Roman" w:eastAsia="宋体"/>
          <w:color w:val="000000"/>
          <w:szCs w:val="21"/>
          <w:highlight w:val="none"/>
        </w:rPr>
        <w:t xml:space="preserve">0%以上的，给予</w:t>
      </w:r>
      <w:r>
        <w:rPr>
          <w:rFonts w:hint="eastAsia" w:ascii="Times New Roman" w:hAnsi="Times New Roman"/>
          <w:color w:val="000000"/>
          <w:szCs w:val="21"/>
          <w:highlight w:val="none"/>
          <w:lang w:val="en-US" w:eastAsia="zh-CN"/>
        </w:rPr>
        <w:t xml:space="preserve">4</w:t>
      </w:r>
      <w:r>
        <w:rPr>
          <w:rFonts w:hint="eastAsia" w:ascii="Times New Roman" w:hAnsi="Times New Roman" w:eastAsia="宋体"/>
          <w:color w:val="000000"/>
          <w:szCs w:val="21"/>
          <w:highlight w:val="none"/>
        </w:rPr>
        <w:t xml:space="preserve">%的价格扣除，用扣除后的价格参与评审。</w:t>
      </w:r>
      <w:r>
        <w:rPr>
          <w:rFonts w:hint="eastAsia"/>
          <w:color w:val="000000"/>
        </w:rPr>
      </w:r>
      <w:r/>
    </w:p>
    <w:p>
      <w:pPr>
        <w:pStyle w:val="871"/>
        <w:ind w:firstLine="420"/>
        <w:jc w:val="left"/>
        <w:pageBreakBefore w:val="0"/>
        <w:spacing w:line="360" w:lineRule="auto"/>
        <w:rPr>
          <w:rFonts w:ascii="Times New Roman" w:hAnsi="Times New Roman" w:eastAsia="宋体"/>
          <w:color w:val="5f497a"/>
          <w:szCs w:val="21"/>
          <w:highlight w:val="none"/>
        </w:rPr>
      </w:pPr>
      <w:r>
        <w:rPr>
          <w:rFonts w:hint="eastAsia" w:ascii="Times New Roman" w:hAnsi="Times New Roman" w:eastAsia="宋体"/>
          <w:color w:val="5f497a"/>
          <w:szCs w:val="21"/>
          <w:highlight w:val="none"/>
        </w:rPr>
        <w:t xml:space="preserve">8、采购本国产品的支持政策</w:t>
      </w:r>
      <w:r>
        <w:rPr>
          <w:rFonts w:ascii="Times New Roman" w:hAnsi="Times New Roman" w:eastAsia="宋体"/>
          <w:color w:val="5f497a"/>
          <w:szCs w:val="21"/>
          <w:highlight w:val="none"/>
        </w:rPr>
      </w:r>
      <w:r/>
    </w:p>
    <w:p>
      <w:pPr>
        <w:pStyle w:val="871"/>
        <w:ind w:firstLine="420"/>
        <w:jc w:val="left"/>
        <w:pageBreakBefore w:val="0"/>
        <w:spacing w:line="360" w:lineRule="auto"/>
        <w:rPr>
          <w:rFonts w:ascii="Times New Roman" w:hAnsi="Times New Roman" w:eastAsia="宋体"/>
          <w:color w:val="5f497a"/>
          <w:szCs w:val="21"/>
          <w:highlight w:val="none"/>
        </w:rPr>
      </w:pPr>
      <w:r>
        <w:rPr>
          <w:rFonts w:hint="eastAsia" w:ascii="Times New Roman" w:hAnsi="Times New Roman" w:eastAsia="宋体"/>
          <w:color w:val="5f497a"/>
          <w:szCs w:val="21"/>
          <w:highlight w:val="none"/>
        </w:rPr>
        <w:t xml:space="preserve">8.1本项目政府采购活动中既有本国产品又有非本国产品参与竞争的，依法对本国产品给予价格评审优惠，对本国产品的报价给予20%的价格扣除，用扣除后的价格参与评审。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olor w:val="5f497a"/>
          <w:szCs w:val="21"/>
          <w:highlight w:val="none"/>
        </w:rPr>
      </w:r>
      <w:r/>
    </w:p>
    <w:p>
      <w:pPr>
        <w:pStyle w:val="871"/>
        <w:ind w:firstLine="420"/>
        <w:jc w:val="left"/>
        <w:pageBreakBefore w:val="0"/>
        <w:spacing w:line="360" w:lineRule="auto"/>
        <w:rPr>
          <w:rFonts w:ascii="Times New Roman" w:hAnsi="Times New Roman" w:eastAsia="宋体"/>
          <w:color w:val="5f497a"/>
          <w:szCs w:val="21"/>
          <w:highlight w:val="none"/>
        </w:rPr>
      </w:pPr>
      <w:r>
        <w:rPr>
          <w:rFonts w:hint="eastAsia" w:ascii="Times New Roman" w:hAnsi="Times New Roman" w:eastAsia="宋体"/>
          <w:color w:val="5f497a"/>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olor w:val="5f497a"/>
          <w:szCs w:val="21"/>
          <w:highlight w:val="none"/>
        </w:rPr>
      </w:r>
      <w:r/>
    </w:p>
    <w:p>
      <w:pPr>
        <w:pStyle w:val="871"/>
        <w:ind w:firstLine="420"/>
        <w:jc w:val="left"/>
        <w:pageBreakBefore w:val="0"/>
        <w:spacing w:line="360" w:lineRule="auto"/>
        <w:rPr>
          <w:rFonts w:ascii="Times New Roman" w:hAnsi="Times New Roman" w:eastAsia="宋体"/>
          <w:color w:val="5f497a"/>
          <w:szCs w:val="21"/>
          <w:highlight w:val="none"/>
        </w:rPr>
      </w:pPr>
      <w:r>
        <w:rPr>
          <w:rFonts w:hint="eastAsia" w:ascii="Times New Roman" w:hAnsi="Times New Roman" w:eastAsia="宋体"/>
          <w:color w:val="5f497a"/>
          <w:szCs w:val="21"/>
          <w:highlight w:val="none"/>
        </w:rPr>
        <w:t xml:space="preserve">8.3供应商需按照招标文件的要求提供《关于符合本国产品标准的声明函》（以下简称《声明函》），如不提供将不享受本国产品价格评审优惠。</w:t>
      </w:r>
      <w:r>
        <w:rPr>
          <w:rFonts w:ascii="Times New Roman" w:hAnsi="Times New Roman" w:eastAsia="宋体"/>
          <w:color w:val="5f497a"/>
          <w:szCs w:val="21"/>
          <w:highlight w:val="none"/>
        </w:rPr>
      </w:r>
      <w:r/>
    </w:p>
    <w:p>
      <w:pPr>
        <w:pStyle w:val="871"/>
        <w:ind w:firstLine="420"/>
        <w:jc w:val="left"/>
        <w:pageBreakBefore w:val="0"/>
        <w:spacing w:line="360" w:lineRule="auto"/>
        <w:rPr>
          <w:rFonts w:ascii="Times New Roman" w:hAnsi="Times New Roman" w:eastAsia="宋体"/>
          <w:color w:val="5f497a"/>
          <w:szCs w:val="21"/>
          <w:highlight w:val="none"/>
        </w:rPr>
      </w:pPr>
      <w:r>
        <w:rPr>
          <w:rFonts w:hint="eastAsia" w:ascii="Times New Roman" w:hAnsi="Times New Roman" w:eastAsia="宋体"/>
          <w:color w:val="5f497a"/>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olor w:val="5f497a"/>
          <w:szCs w:val="21"/>
          <w:highlight w:val="none"/>
        </w:rPr>
      </w:r>
      <w:r/>
    </w:p>
    <w:p>
      <w:pPr>
        <w:pStyle w:val="871"/>
        <w:ind w:firstLine="420"/>
        <w:jc w:val="left"/>
        <w:pageBreakBefore w:val="0"/>
        <w:spacing w:line="360" w:lineRule="auto"/>
        <w:rPr>
          <w:rFonts w:ascii="Times New Roman" w:hAnsi="Times New Roman" w:eastAsia="宋体"/>
          <w:color w:val="5f497a"/>
          <w:szCs w:val="21"/>
          <w:highlight w:val="none"/>
        </w:rPr>
      </w:pPr>
      <w:r>
        <w:rPr>
          <w:rFonts w:hint="eastAsia" w:ascii="Times New Roman" w:hAnsi="Times New Roman" w:eastAsia="宋体"/>
          <w:color w:val="5f497a"/>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olor w:val="5f497a"/>
          <w:szCs w:val="21"/>
          <w:highlight w:val="none"/>
        </w:rPr>
      </w:r>
      <w:r/>
    </w:p>
    <w:p>
      <w:pPr>
        <w:pStyle w:val="897"/>
        <w:rPr>
          <w:rFonts w:hint="eastAsia"/>
        </w:rPr>
      </w:pPr>
      <w:r>
        <w:rPr>
          <w:rFonts w:hint="eastAsia"/>
        </w:rPr>
      </w:r>
      <w:r/>
    </w:p>
    <w:p>
      <w:pPr>
        <w:pStyle w:val="871"/>
        <w:ind w:firstLine="422"/>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三、评标标准</w:t>
      </w:r>
      <w:r>
        <w:rPr>
          <w:rFonts w:hint="eastAsia" w:ascii="宋体" w:hAnsi="宋体" w:cs="宋体"/>
          <w:b/>
          <w:bCs/>
          <w:color w:val="000000"/>
          <w:highlight w:val="none"/>
        </w:rPr>
      </w:r>
      <w:r/>
    </w:p>
    <w:tbl>
      <w:tblPr>
        <w:tblpPr w:horzAnchor="page" w:tblpX="2028" w:vertAnchor="text" w:tblpY="75" w:leftFromText="180" w:topFromText="0" w:rightFromText="180" w:bottomFromText="0"/>
        <w:tblW w:w="90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7709"/>
      </w:tblGrid>
      <w:tr>
        <w:trPr>
          <w:trHeight w:val="448"/>
        </w:trPr>
        <w:tc>
          <w:tcPr>
            <w:tcW w:w="1301" w:type="dxa"/>
            <w:vAlign w:val="center"/>
            <w:textDirection w:val="lrTb"/>
            <w:noWrap w:val="false"/>
          </w:tcPr>
          <w:p>
            <w:pPr>
              <w:pStyle w:val="871"/>
              <w:jc w:val="center"/>
              <w:rPr>
                <w:rFonts w:hint="eastAsia" w:ascii="宋体" w:hAnsi="宋体" w:cs="宋体"/>
                <w:b/>
                <w:color w:val="000000"/>
                <w:szCs w:val="21"/>
                <w:highlight w:val="none"/>
              </w:rPr>
              <w:framePr w:vAnchor="text" w:hAnchor="page" w:x="2028" w:y="75"/>
            </w:pPr>
            <w:r>
              <w:rPr>
                <w:rFonts w:hint="eastAsia" w:ascii="宋体" w:hAnsi="宋体" w:cs="宋体"/>
                <w:b/>
                <w:color w:val="000000"/>
                <w:szCs w:val="21"/>
                <w:highlight w:val="none"/>
              </w:rPr>
              <w:t xml:space="preserve">项目</w:t>
            </w:r>
            <w:r>
              <w:rPr>
                <w:rFonts w:hint="eastAsia" w:ascii="宋体" w:hAnsi="宋体" w:cs="宋体"/>
                <w:b/>
                <w:color w:val="000000"/>
                <w:szCs w:val="21"/>
                <w:highlight w:val="none"/>
              </w:rPr>
            </w:r>
            <w:r/>
          </w:p>
        </w:tc>
        <w:tc>
          <w:tcPr>
            <w:tcW w:w="7709" w:type="dxa"/>
            <w:vAlign w:val="center"/>
            <w:textDirection w:val="lrTb"/>
            <w:noWrap w:val="false"/>
          </w:tcPr>
          <w:p>
            <w:pPr>
              <w:pStyle w:val="871"/>
              <w:jc w:val="center"/>
              <w:rPr>
                <w:rFonts w:hint="eastAsia" w:ascii="宋体" w:hAnsi="宋体" w:cs="宋体"/>
                <w:b/>
                <w:color w:val="000000"/>
                <w:szCs w:val="21"/>
                <w:highlight w:val="none"/>
              </w:rPr>
              <w:framePr w:vAnchor="text" w:hAnchor="page" w:x="2028" w:y="75"/>
            </w:pPr>
            <w:r>
              <w:rPr>
                <w:rFonts w:hint="eastAsia" w:ascii="宋体" w:hAnsi="宋体" w:cs="宋体"/>
                <w:b/>
                <w:color w:val="000000"/>
                <w:szCs w:val="21"/>
                <w:highlight w:val="none"/>
              </w:rPr>
              <w:t xml:space="preserve">评分标准</w:t>
            </w:r>
            <w:r>
              <w:rPr>
                <w:rFonts w:hint="eastAsia" w:ascii="宋体" w:hAnsi="宋体" w:cs="宋体"/>
                <w:b/>
                <w:color w:val="000000"/>
                <w:szCs w:val="21"/>
                <w:highlight w:val="none"/>
              </w:rPr>
            </w:r>
            <w:r/>
          </w:p>
        </w:tc>
      </w:tr>
      <w:tr>
        <w:trPr>
          <w:trHeight w:val="720"/>
        </w:trPr>
        <w:tc>
          <w:tcPr>
            <w:tcW w:w="1301" w:type="dxa"/>
            <w:vAlign w:val="center"/>
            <w:textDirection w:val="lrTb"/>
            <w:noWrap w:val="false"/>
          </w:tcPr>
          <w:p>
            <w:pPr>
              <w:pStyle w:val="871"/>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报价</w:t>
            </w:r>
            <w:r>
              <w:rPr>
                <w:rFonts w:hint="eastAsia" w:ascii="宋体" w:hAnsi="宋体" w:cs="宋体"/>
                <w:color w:val="000000"/>
                <w:szCs w:val="21"/>
                <w:highlight w:val="none"/>
              </w:rPr>
            </w:r>
            <w:r/>
          </w:p>
          <w:p>
            <w:pPr>
              <w:pStyle w:val="871"/>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（10分）</w:t>
            </w:r>
            <w:r>
              <w:rPr>
                <w:rFonts w:hint="eastAsia" w:ascii="宋体" w:hAnsi="宋体" w:cs="宋体"/>
                <w:color w:val="000000"/>
                <w:szCs w:val="21"/>
                <w:highlight w:val="none"/>
              </w:rPr>
            </w:r>
            <w:r/>
          </w:p>
        </w:tc>
        <w:tc>
          <w:tcPr>
            <w:tcW w:w="7709" w:type="dxa"/>
            <w:vAlign w:val="center"/>
            <w:textDirection w:val="lrTb"/>
            <w:noWrap w:val="false"/>
          </w:tcPr>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以满足招标文件要求且投标价格最低的投标报价为评标基准价，得满分10分，其他投标报价得分=(评标基准价/投标报价)×10×100% （四舍五入，保留两位有效小数）</w:t>
            </w:r>
            <w:r>
              <w:rPr>
                <w:rFonts w:hint="eastAsia" w:ascii="宋体" w:hAnsi="宋体" w:cs="宋体"/>
                <w:color w:val="000000"/>
                <w:szCs w:val="21"/>
                <w:highlight w:val="none"/>
              </w:rPr>
            </w:r>
            <w:r/>
          </w:p>
        </w:tc>
      </w:tr>
      <w:tr>
        <w:trPr>
          <w:trHeight w:val="720"/>
        </w:trPr>
        <w:tc>
          <w:tcPr>
            <w:tcW w:w="1301" w:type="dxa"/>
            <w:vAlign w:val="center"/>
            <w:textDirection w:val="lrTb"/>
            <w:noWrap w:val="false"/>
          </w:tcPr>
          <w:p>
            <w:pPr>
              <w:pStyle w:val="871"/>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采购需求响应情况</w:t>
            </w:r>
            <w:r>
              <w:rPr>
                <w:rFonts w:hint="eastAsia" w:ascii="宋体" w:hAnsi="宋体" w:cs="宋体"/>
                <w:color w:val="000000"/>
                <w:szCs w:val="21"/>
                <w:highlight w:val="none"/>
              </w:rPr>
            </w:r>
            <w:r/>
          </w:p>
          <w:p>
            <w:pPr>
              <w:pStyle w:val="871"/>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（10分）</w:t>
            </w:r>
            <w:r>
              <w:rPr>
                <w:rFonts w:hint="eastAsia" w:ascii="宋体" w:hAnsi="宋体" w:cs="宋体"/>
                <w:color w:val="000000"/>
                <w:szCs w:val="21"/>
                <w:highlight w:val="none"/>
              </w:rPr>
            </w:r>
            <w:r/>
          </w:p>
        </w:tc>
        <w:tc>
          <w:tcPr>
            <w:tcW w:w="7709" w:type="dxa"/>
            <w:vAlign w:val="center"/>
            <w:textDirection w:val="lrTb"/>
            <w:noWrap w:val="false"/>
          </w:tcPr>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根据供应商对采购需求“三、技术要求”中标记“▲”号的条款响应情况进行评审：完全满足或优于招标文件得 10 分；每负偏离一项扣 2 分，未标记项，每负偏离一项扣1 分，扣完为止。</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【注：参数指标以供应商在《技术要求响应及偏离表》中的响应情况填写内容为准，并提供相关证明材料或承诺文件，未填写的或参数不满足或未提供相关文件的都视为负偏离。】</w:t>
            </w:r>
            <w:r>
              <w:rPr>
                <w:rFonts w:hint="eastAsia" w:ascii="宋体" w:hAnsi="宋体" w:cs="宋体"/>
                <w:color w:val="000000"/>
                <w:szCs w:val="21"/>
                <w:highlight w:val="none"/>
              </w:rPr>
            </w:r>
            <w:r/>
          </w:p>
        </w:tc>
      </w:tr>
      <w:tr>
        <w:trPr>
          <w:trHeight w:val="270"/>
        </w:trPr>
        <w:tc>
          <w:tcPr>
            <w:tcW w:w="1301" w:type="dxa"/>
            <w:vAlign w:val="center"/>
            <w:textDirection w:val="lrTb"/>
            <w:noWrap w:val="false"/>
          </w:tcPr>
          <w:p>
            <w:pPr>
              <w:pStyle w:val="871"/>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组织实施</w:t>
            </w:r>
            <w:r>
              <w:rPr>
                <w:rFonts w:hint="eastAsia" w:ascii="宋体" w:hAnsi="宋体" w:cs="宋体"/>
                <w:color w:val="000000"/>
                <w:szCs w:val="21"/>
                <w:highlight w:val="none"/>
              </w:rPr>
            </w:r>
            <w:r/>
          </w:p>
          <w:p>
            <w:pPr>
              <w:pStyle w:val="871"/>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w:t>
            </w:r>
            <w:r>
              <w:rPr>
                <w:rFonts w:hint="eastAsia" w:ascii="宋体" w:hAnsi="宋体" w:cs="宋体"/>
                <w:color w:val="000000"/>
                <w:szCs w:val="21"/>
                <w:highlight w:val="none"/>
              </w:rPr>
            </w:r>
            <w:r/>
          </w:p>
          <w:p>
            <w:pPr>
              <w:pStyle w:val="871"/>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（40分）</w:t>
            </w:r>
            <w:r>
              <w:rPr>
                <w:rFonts w:hint="eastAsia" w:ascii="宋体" w:hAnsi="宋体" w:cs="宋体"/>
                <w:color w:val="000000"/>
                <w:szCs w:val="21"/>
                <w:highlight w:val="none"/>
              </w:rPr>
            </w:r>
            <w:r/>
          </w:p>
        </w:tc>
        <w:tc>
          <w:tcPr>
            <w:tcW w:w="7709" w:type="dxa"/>
            <w:vAlign w:val="center"/>
            <w:textDirection w:val="lrTb"/>
            <w:noWrap w:val="false"/>
          </w:tcPr>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1、总体运营方案设想与分析。</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分析科学、严密、合理，描述详细且具有针对性的得8分；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 w:val="22"/>
                <w:highlight w:val="none"/>
              </w:rPr>
              <w:t xml:space="preserve">分析较科学合理、描述较完整，针对性较强的，得5分；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分析基本合理、描述一般、不存在实施难度的得3分；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分析具有不合理项、描述略欠缺、存在一定的实施难度的得1分；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2、人员配备及培训方案，拟投入项目的服务实施人员配置合理、分工明确、具备丰富的相关资历经验。</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方案科学、严密、合理，描述详细且具有针对性的得8分；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w:t>
            </w:r>
            <w:r>
              <w:rPr>
                <w:rFonts w:hint="eastAsia" w:ascii="宋体" w:hAnsi="宋体" w:cs="宋体"/>
                <w:color w:val="000000"/>
                <w:sz w:val="22"/>
                <w:highlight w:val="none"/>
              </w:rPr>
              <w:t xml:space="preserve">较科学合理、描述较完整，针对性较强的，得5分；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方案基本合理、描述一般、不存在实施难度的得3分；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方案具有不合理项、描述略欠缺、存在一定的实施难度的得1分；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3、设施设备管理方案及配套措施，需提供相关平面图、现场照片等证明设施配套进行打分。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方案科学、严密、合理，描述详细且具有针对性的得8分；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w:t>
            </w:r>
            <w:r>
              <w:rPr>
                <w:rFonts w:hint="eastAsia" w:ascii="宋体" w:hAnsi="宋体" w:cs="宋体"/>
                <w:color w:val="000000"/>
                <w:sz w:val="22"/>
                <w:highlight w:val="none"/>
              </w:rPr>
              <w:t xml:space="preserve">较科学合理、描述较完整，针对性较强的，得5分；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方案基本合理、描述一般、不存在实施难度的得3分；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方案具有不合理项、描述略欠缺、存在一定的实施难度的得1分；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未提供不得分。　　</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4、应急预案保障措施，包含但不限于服务期间突发或重大事件的处置、响应情况及相关问题解决方案或措施。</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措施科学、严密、合理，描述详细且具有针对性的得8分；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 w:val="22"/>
                <w:highlight w:val="none"/>
              </w:rPr>
              <w:t xml:space="preserve">措施较科学合理、描述较完整，针对性较强的，得5分；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措施基本合理、描述一般、不存在实施难度的得3分；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措施具有不合理项、描述略欠缺、存在一定的实施难度的得1分；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rPr>
            </w:r>
            <w:r/>
          </w:p>
          <w:p>
            <w:pPr>
              <w:pStyle w:val="871"/>
              <w:numPr>
                <w:ilvl w:val="0"/>
                <w:numId w:val="3"/>
              </w:numP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针对本项目特点制定保障措施：</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措施科学、严密、合理，描述详细且具有针对性的得8分；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 w:val="22"/>
                <w:highlight w:val="none"/>
              </w:rPr>
              <w:t xml:space="preserve">措施较科学合理、描述较完整，针对性较强的，得5分；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措施基本合理、描述一般、不存在实施难度的得3分；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措施具有不合理项、描述略欠缺、存在一定的实施难度的得1分；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rPr>
            </w:r>
            <w:r/>
          </w:p>
        </w:tc>
      </w:tr>
      <w:tr>
        <w:trPr>
          <w:trHeight w:val="1599"/>
        </w:trPr>
        <w:tc>
          <w:tcPr>
            <w:tcW w:w="1301" w:type="dxa"/>
            <w:vAlign w:val="center"/>
            <w:textDirection w:val="lrTb"/>
            <w:noWrap w:val="false"/>
          </w:tcPr>
          <w:p>
            <w:pPr>
              <w:pStyle w:val="871"/>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地理位置（15分）</w:t>
            </w:r>
            <w:r>
              <w:rPr>
                <w:rFonts w:hint="eastAsia" w:ascii="宋体" w:hAnsi="宋体" w:cs="宋体"/>
                <w:color w:val="000000"/>
                <w:szCs w:val="21"/>
                <w:highlight w:val="none"/>
              </w:rPr>
            </w:r>
            <w:r/>
          </w:p>
        </w:tc>
        <w:tc>
          <w:tcPr>
            <w:tcW w:w="7709" w:type="dxa"/>
            <w:vAlign w:val="center"/>
            <w:textDirection w:val="lrTb"/>
            <w:noWrap w:val="false"/>
          </w:tcPr>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根据供应商提供的标的物区域优劣，进行对比： 投标标的物以扬州大学扬子津校区文津楼为中心：</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直线距离2公里以内，得15 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直线距离4公里以内，得10分；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直线距离8公里以内，得5分；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直线距离超过10公里，得0分；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需提供投标标的物至扬州大学扬子津校区文津楼的地图查询的距离截图为准。</w:t>
            </w:r>
            <w:r>
              <w:rPr>
                <w:rFonts w:hint="eastAsia" w:ascii="宋体" w:hAnsi="宋体" w:cs="宋体"/>
                <w:color w:val="000000"/>
                <w:szCs w:val="21"/>
                <w:highlight w:val="none"/>
              </w:rPr>
            </w:r>
            <w:r/>
          </w:p>
        </w:tc>
      </w:tr>
      <w:tr>
        <w:trPr>
          <w:trHeight w:val="1599"/>
        </w:trPr>
        <w:tc>
          <w:tcPr>
            <w:tcW w:w="1301" w:type="dxa"/>
            <w:vAlign w:val="center"/>
            <w:textDirection w:val="lrTb"/>
            <w:noWrap w:val="false"/>
          </w:tcPr>
          <w:p>
            <w:pPr>
              <w:pStyle w:val="871"/>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交通便利</w:t>
            </w:r>
            <w:r>
              <w:rPr>
                <w:rFonts w:hint="eastAsia" w:ascii="宋体" w:hAnsi="宋体" w:cs="宋体"/>
                <w:color w:val="000000"/>
                <w:szCs w:val="21"/>
                <w:highlight w:val="none"/>
              </w:rPr>
            </w:r>
            <w:r/>
          </w:p>
          <w:p>
            <w:pPr>
              <w:pStyle w:val="871"/>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（7分）</w:t>
            </w:r>
            <w:r>
              <w:rPr>
                <w:rFonts w:hint="eastAsia" w:ascii="宋体" w:hAnsi="宋体" w:cs="宋体"/>
                <w:color w:val="000000"/>
                <w:szCs w:val="21"/>
                <w:highlight w:val="none"/>
              </w:rPr>
            </w:r>
            <w:r/>
          </w:p>
        </w:tc>
        <w:tc>
          <w:tcPr>
            <w:tcW w:w="7709" w:type="dxa"/>
            <w:vAlign w:val="center"/>
            <w:textDirection w:val="lrTb"/>
            <w:noWrap w:val="false"/>
          </w:tcPr>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对投标标的物周边道路情况进行对比：</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交通快捷方便的，自行车骑行</w:t>
            </w: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分钟以内可达得7分；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交通较为方便的，自行车骑行1</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分钟以内或者公交10分钟车程可直达得4分；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自行车骑行</w:t>
            </w:r>
            <w:r>
              <w:rPr>
                <w:rFonts w:ascii="宋体" w:hAnsi="宋体" w:cs="宋体"/>
                <w:color w:val="000000"/>
                <w:szCs w:val="21"/>
                <w:highlight w:val="none"/>
              </w:rPr>
              <w:t xml:space="preserve">20</w:t>
            </w:r>
            <w:r>
              <w:rPr>
                <w:rFonts w:hint="eastAsia" w:ascii="宋体" w:hAnsi="宋体" w:cs="宋体"/>
                <w:color w:val="000000"/>
                <w:szCs w:val="21"/>
                <w:highlight w:val="none"/>
              </w:rPr>
              <w:t xml:space="preserve">分钟以内或者公交1</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分钟车程可达得1分。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自行车骑行</w:t>
            </w:r>
            <w:r>
              <w:rPr>
                <w:rFonts w:ascii="宋体" w:hAnsi="宋体" w:cs="宋体"/>
                <w:color w:val="000000"/>
                <w:szCs w:val="21"/>
                <w:highlight w:val="none"/>
              </w:rPr>
              <w:t xml:space="preserve">20</w:t>
            </w:r>
            <w:r>
              <w:rPr>
                <w:rFonts w:hint="eastAsia" w:ascii="宋体" w:hAnsi="宋体" w:cs="宋体"/>
                <w:color w:val="000000"/>
                <w:szCs w:val="21"/>
                <w:highlight w:val="none"/>
              </w:rPr>
              <w:t xml:space="preserve">分钟以上或者公交1</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分钟以上车程不得分。 </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需提供投标标的物至扬州大学扬子津校区文津楼的地图查询的导航截图为准。</w:t>
            </w:r>
            <w:r>
              <w:rPr>
                <w:rFonts w:hint="eastAsia" w:ascii="宋体" w:hAnsi="宋体" w:cs="宋体"/>
                <w:color w:val="000000"/>
                <w:szCs w:val="21"/>
                <w:highlight w:val="none"/>
              </w:rPr>
            </w:r>
            <w:r/>
          </w:p>
        </w:tc>
      </w:tr>
      <w:tr>
        <w:trPr>
          <w:trHeight w:val="1599"/>
        </w:trPr>
        <w:tc>
          <w:tcPr>
            <w:tcW w:w="1301" w:type="dxa"/>
            <w:vAlign w:val="center"/>
            <w:textDirection w:val="lrTb"/>
            <w:noWrap w:val="false"/>
          </w:tcPr>
          <w:p>
            <w:pPr>
              <w:pStyle w:val="871"/>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人员配置</w:t>
            </w:r>
            <w:r>
              <w:rPr>
                <w:rFonts w:hint="eastAsia" w:ascii="宋体" w:hAnsi="宋体" w:cs="宋体"/>
                <w:color w:val="000000"/>
                <w:szCs w:val="21"/>
                <w:highlight w:val="none"/>
              </w:rPr>
            </w:r>
            <w:r/>
          </w:p>
          <w:p>
            <w:pPr>
              <w:pStyle w:val="871"/>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（8分）</w:t>
            </w:r>
            <w:r>
              <w:rPr>
                <w:rFonts w:hint="eastAsia" w:ascii="宋体" w:hAnsi="宋体" w:cs="宋体"/>
                <w:color w:val="000000"/>
                <w:szCs w:val="21"/>
                <w:highlight w:val="none"/>
              </w:rPr>
            </w:r>
            <w:r/>
          </w:p>
        </w:tc>
        <w:tc>
          <w:tcPr>
            <w:tcW w:w="7709" w:type="dxa"/>
            <w:vAlign w:val="center"/>
            <w:textDirection w:val="lrTb"/>
            <w:noWrap w:val="false"/>
          </w:tcPr>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、拟派入人员至少满足1名项目负责人，1名财务人员，4名公寓管家，1名维修，门岗保安3名，消控员3名，保洁6名的得基本分5分，否则少一人扣1分，扣完为止（</w:t>
            </w:r>
            <w:r>
              <w:rPr>
                <w:rFonts w:hint="eastAsia" w:ascii="宋体" w:hAnsi="宋体" w:cs="宋体"/>
                <w:b/>
                <w:bCs/>
                <w:color w:val="000000"/>
                <w:szCs w:val="21"/>
                <w:highlight w:val="none"/>
              </w:rPr>
              <w:t xml:space="preserve">须提供拟投入人员数量承诺书原件扫描上传，未按要求提供的不得分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、拟投入消控员具备有效的消防设施操作员证书的，有1人得1分，满分3分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framePr w:vAnchor="text" w:hAnchor="page" w:x="2028" w:y="75"/>
            </w:pPr>
            <w:r>
              <w:rPr>
                <w:rFonts w:hint="eastAsia" w:ascii="宋体" w:hAnsi="宋体" w:cs="宋体"/>
                <w:b/>
                <w:color w:val="000000"/>
                <w:szCs w:val="21"/>
                <w:highlight w:val="none"/>
              </w:rPr>
              <w:t xml:space="preserve">（须提供相关证书原件扫描上传，</w:t>
            </w:r>
            <w:r>
              <w:rPr>
                <w:rFonts w:hint="eastAsia" w:ascii="宋体" w:hAnsi="宋体" w:cs="宋体"/>
                <w:b/>
                <w:bCs/>
                <w:color w:val="000000"/>
                <w:szCs w:val="21"/>
                <w:highlight w:val="none"/>
              </w:rPr>
              <w:t xml:space="preserve">未按要求提供的不得分</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tc>
      </w:tr>
      <w:tr>
        <w:trPr>
          <w:trHeight w:val="852"/>
        </w:trPr>
        <w:tc>
          <w:tcPr>
            <w:tcW w:w="1301" w:type="dxa"/>
            <w:vAlign w:val="center"/>
            <w:textDirection w:val="lrTb"/>
            <w:noWrap w:val="false"/>
          </w:tcPr>
          <w:p>
            <w:pPr>
              <w:pStyle w:val="871"/>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企业业绩</w:t>
            </w:r>
            <w:r>
              <w:rPr>
                <w:rFonts w:hint="eastAsia" w:ascii="宋体" w:hAnsi="宋体" w:cs="宋体"/>
                <w:color w:val="000000"/>
                <w:szCs w:val="21"/>
                <w:highlight w:val="none"/>
              </w:rPr>
            </w:r>
            <w:r/>
          </w:p>
          <w:p>
            <w:pPr>
              <w:pStyle w:val="871"/>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（10分）</w:t>
            </w:r>
            <w:r>
              <w:rPr>
                <w:rFonts w:hint="eastAsia" w:ascii="宋体" w:hAnsi="宋体" w:cs="宋体"/>
                <w:color w:val="000000"/>
                <w:szCs w:val="21"/>
                <w:highlight w:val="none"/>
              </w:rPr>
            </w:r>
            <w:r/>
          </w:p>
        </w:tc>
        <w:tc>
          <w:tcPr>
            <w:tcW w:w="7709" w:type="dxa"/>
            <w:vAlign w:val="center"/>
            <w:textDirection w:val="lrTb"/>
            <w:noWrap w:val="false"/>
          </w:tcPr>
          <w:p>
            <w:pPr>
              <w:pStyle w:val="871"/>
              <w:rPr>
                <w:rFonts w:hint="eastAsia" w:ascii="宋体" w:hAnsi="宋体" w:cs="宋体"/>
                <w:b/>
                <w:color w:val="000000"/>
                <w:szCs w:val="21"/>
                <w:highlight w:val="none"/>
              </w:rPr>
              <w:framePr w:vAnchor="text" w:hAnchor="page" w:x="2028" w:y="75"/>
            </w:pPr>
            <w:r>
              <w:rPr>
                <w:rFonts w:hint="eastAsia" w:ascii="宋体" w:hAnsi="宋体" w:cs="宋体"/>
                <w:bCs/>
                <w:color w:val="000000"/>
                <w:szCs w:val="21"/>
                <w:highlight w:val="none"/>
              </w:rPr>
              <w:t xml:space="preserve">供应商2021年1月1日至今，具有与本项目相匹配的类似业绩，每有1个得2分，满分10分</w:t>
            </w:r>
            <w:r>
              <w:rPr>
                <w:rFonts w:hint="eastAsia" w:ascii="宋体" w:hAnsi="宋体" w:cs="宋体"/>
                <w:b/>
                <w:color w:val="000000"/>
                <w:szCs w:val="21"/>
                <w:highlight w:val="none"/>
              </w:rPr>
              <w:t xml:space="preserve">（同一项目不同年度不累计得分，提供中标通知书或合同原件扫描上传）。</w:t>
            </w:r>
            <w:r>
              <w:rPr>
                <w:rFonts w:hint="eastAsia" w:ascii="宋体" w:hAnsi="宋体" w:cs="宋体"/>
                <w:b/>
                <w:color w:val="000000"/>
                <w:szCs w:val="21"/>
                <w:highlight w:val="none"/>
              </w:rPr>
            </w:r>
            <w:r/>
          </w:p>
        </w:tc>
      </w:tr>
    </w:tbl>
    <w:p>
      <w:pPr>
        <w:pStyle w:val="871"/>
        <w:ind w:firstLine="420"/>
        <w:jc w:val="left"/>
        <w:spacing w:before="120" w:after="120"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2"/>
        <w:jc w:val="center"/>
        <w:rPr>
          <w:rFonts w:hint="eastAsia"/>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113" w:name="_Toc15941"/>
      <w:r/>
      <w:bookmarkStart w:id="114" w:name="_Toc6153"/>
      <w:r>
        <w:rPr>
          <w:rFonts w:hint="eastAsia"/>
          <w:color w:val="000000"/>
          <w:highlight w:val="none"/>
        </w:rPr>
      </w:r>
      <w:r/>
    </w:p>
    <w:p>
      <w:pPr>
        <w:pStyle w:val="872"/>
        <w:jc w:val="center"/>
        <w:rPr>
          <w:rFonts w:hint="eastAsia"/>
          <w:color w:val="000000"/>
          <w:highlight w:val="none"/>
        </w:rPr>
      </w:pPr>
      <w:r>
        <w:rPr>
          <w:rFonts w:hint="eastAsia"/>
          <w:color w:val="000000"/>
          <w:highlight w:val="none"/>
        </w:rPr>
      </w:r>
      <w:r/>
    </w:p>
    <w:p>
      <w:pPr>
        <w:pStyle w:val="872"/>
        <w:jc w:val="center"/>
        <w:rPr>
          <w:rFonts w:hint="eastAsia"/>
          <w:color w:val="000000"/>
          <w:highlight w:val="none"/>
        </w:rPr>
      </w:pPr>
      <w:r>
        <w:rPr>
          <w:rFonts w:hint="eastAsia"/>
          <w:color w:val="000000"/>
          <w:highlight w:val="none"/>
        </w:rPr>
        <w:t xml:space="preserve">第六章 投标文件格式</w:t>
      </w:r>
      <w:bookmarkEnd w:id="113"/>
      <w:r/>
      <w:bookmarkEnd w:id="114"/>
      <w:r>
        <w:rPr>
          <w:rFonts w:hint="eastAsia"/>
          <w:color w:val="000000"/>
          <w:highlight w:val="none"/>
        </w:rPr>
      </w:r>
      <w:r/>
    </w:p>
    <w:p>
      <w:pPr>
        <w:pStyle w:val="871"/>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1"/>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1"/>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投  标  文  件</w:t>
      </w:r>
      <w:r>
        <w:rPr>
          <w:rFonts w:hint="eastAsia" w:ascii="宋体" w:hAnsi="宋体" w:cs="宋体"/>
          <w:b/>
          <w:color w:val="000000"/>
          <w:sz w:val="36"/>
          <w:szCs w:val="36"/>
          <w:highlight w:val="none"/>
        </w:rPr>
      </w:r>
      <w:r/>
    </w:p>
    <w:p>
      <w:pPr>
        <w:pStyle w:val="871"/>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1"/>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1"/>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1"/>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1"/>
        <w:ind w:firstLine="1084"/>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项 目 名 称：</w:t>
      </w:r>
      <w:r>
        <w:rPr>
          <w:rFonts w:hint="eastAsia" w:ascii="宋体" w:hAnsi="宋体" w:cs="宋体"/>
          <w:b/>
          <w:color w:val="000000"/>
          <w:sz w:val="36"/>
          <w:szCs w:val="36"/>
          <w:highlight w:val="none"/>
          <w:u w:val="single"/>
        </w:rPr>
        <w:t xml:space="preserve">                       </w:t>
      </w:r>
      <w:r>
        <w:rPr>
          <w:rFonts w:hint="eastAsia" w:ascii="宋体" w:hAnsi="宋体" w:cs="宋体"/>
          <w:b/>
          <w:color w:val="000000"/>
          <w:sz w:val="36"/>
          <w:szCs w:val="36"/>
          <w:highlight w:val="none"/>
        </w:rPr>
      </w:r>
      <w:r/>
    </w:p>
    <w:p>
      <w:pPr>
        <w:pStyle w:val="871"/>
        <w:ind w:firstLine="1084"/>
        <w:spacing w:line="360" w:lineRule="auto"/>
        <w:rPr>
          <w:rFonts w:hint="eastAsia" w:ascii="宋体" w:hAnsi="宋体" w:cs="宋体"/>
          <w:b/>
          <w:color w:val="000000"/>
          <w:sz w:val="36"/>
          <w:szCs w:val="36"/>
          <w:highlight w:val="none"/>
          <w:u w:val="single"/>
        </w:rPr>
      </w:pPr>
      <w:r>
        <w:rPr>
          <w:rFonts w:hint="eastAsia" w:ascii="宋体" w:hAnsi="宋体" w:cs="宋体"/>
          <w:b/>
          <w:color w:val="000000"/>
          <w:sz w:val="36"/>
          <w:szCs w:val="36"/>
          <w:highlight w:val="none"/>
        </w:rPr>
        <w:t xml:space="preserve">项 目 编 号：</w:t>
      </w:r>
      <w:r>
        <w:rPr>
          <w:rFonts w:hint="eastAsia" w:ascii="宋体" w:hAnsi="宋体" w:cs="宋体"/>
          <w:b/>
          <w:color w:val="000000"/>
          <w:sz w:val="36"/>
          <w:szCs w:val="36"/>
          <w:highlight w:val="none"/>
          <w:u w:val="single"/>
        </w:rPr>
        <w:t xml:space="preserve">                       </w:t>
      </w:r>
      <w:r>
        <w:rPr>
          <w:rFonts w:hint="eastAsia" w:ascii="宋体" w:hAnsi="宋体" w:cs="宋体"/>
          <w:b/>
          <w:color w:val="000000"/>
          <w:sz w:val="36"/>
          <w:szCs w:val="36"/>
          <w:highlight w:val="none"/>
          <w:u w:val="single"/>
        </w:rPr>
      </w:r>
      <w:r/>
    </w:p>
    <w:p>
      <w:pPr>
        <w:pStyle w:val="871"/>
        <w:ind w:firstLine="1084"/>
        <w:spacing w:line="360" w:lineRule="auto"/>
        <w:rPr>
          <w:rFonts w:hint="eastAsia" w:ascii="宋体" w:hAnsi="宋体" w:cs="宋体"/>
          <w:b/>
          <w:color w:val="000000"/>
          <w:sz w:val="36"/>
          <w:szCs w:val="36"/>
          <w:highlight w:val="none"/>
          <w:u w:val="single"/>
        </w:rPr>
      </w:pPr>
      <w:r>
        <w:rPr>
          <w:rFonts w:hint="eastAsia" w:ascii="宋体" w:hAnsi="宋体" w:cs="宋体"/>
          <w:b/>
          <w:color w:val="000000"/>
          <w:sz w:val="36"/>
          <w:szCs w:val="36"/>
          <w:highlight w:val="none"/>
        </w:rPr>
        <w:t xml:space="preserve">供应商名称 ：</w:t>
      </w:r>
      <w:r>
        <w:rPr>
          <w:rFonts w:hint="eastAsia" w:ascii="宋体" w:hAnsi="宋体" w:cs="宋体"/>
          <w:b/>
          <w:color w:val="000000"/>
          <w:sz w:val="36"/>
          <w:szCs w:val="36"/>
          <w:highlight w:val="none"/>
          <w:u w:val="single"/>
        </w:rPr>
        <w:t xml:space="preserve">（加盖CA电子公章）    </w:t>
      </w:r>
      <w:r>
        <w:rPr>
          <w:rFonts w:hint="eastAsia" w:ascii="宋体" w:hAnsi="宋体" w:cs="宋体"/>
          <w:b/>
          <w:color w:val="000000"/>
          <w:sz w:val="36"/>
          <w:szCs w:val="36"/>
          <w:highlight w:val="none"/>
          <w:u w:val="single"/>
        </w:rPr>
      </w:r>
      <w:r/>
    </w:p>
    <w:p>
      <w:pPr>
        <w:pStyle w:val="871"/>
        <w:spacing w:line="360" w:lineRule="auto"/>
        <w:rPr>
          <w:rFonts w:hint="eastAsia" w:ascii="宋体" w:hAnsi="宋体" w:cs="宋体"/>
          <w:b/>
          <w:color w:val="000000"/>
          <w:sz w:val="36"/>
          <w:szCs w:val="36"/>
          <w:highlight w:val="none"/>
          <w:u w:val="single"/>
        </w:rPr>
      </w:pPr>
      <w:r>
        <w:rPr>
          <w:rFonts w:hint="eastAsia" w:ascii="宋体" w:hAnsi="宋体" w:cs="宋体"/>
          <w:b/>
          <w:color w:val="000000"/>
          <w:sz w:val="36"/>
          <w:szCs w:val="36"/>
          <w:highlight w:val="none"/>
        </w:rPr>
        <w:t xml:space="preserve">      日      期 ：</w:t>
      </w:r>
      <w:r>
        <w:rPr>
          <w:rFonts w:hint="eastAsia" w:ascii="宋体" w:hAnsi="宋体" w:cs="宋体"/>
          <w:b/>
          <w:color w:val="000000"/>
          <w:sz w:val="36"/>
          <w:szCs w:val="36"/>
          <w:highlight w:val="none"/>
          <w:u w:val="single"/>
        </w:rPr>
        <w:t xml:space="preserve">                       </w:t>
      </w:r>
      <w:r>
        <w:rPr>
          <w:rFonts w:hint="eastAsia" w:ascii="宋体" w:hAnsi="宋体" w:cs="宋体"/>
          <w:b/>
          <w:color w:val="000000"/>
          <w:sz w:val="36"/>
          <w:szCs w:val="36"/>
          <w:highlight w:val="none"/>
          <w:u w:val="single"/>
        </w:rPr>
      </w:r>
      <w:r/>
    </w:p>
    <w:p>
      <w:pPr>
        <w:pStyle w:val="871"/>
        <w:spacing w:line="360" w:lineRule="auto"/>
        <w:rPr>
          <w:rFonts w:hint="eastAsia" w:ascii="宋体" w:hAnsi="宋体" w:cs="宋体"/>
          <w:color w:val="000000"/>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36"/>
          <w:szCs w:val="36"/>
          <w:highlight w:val="none"/>
        </w:rPr>
      </w:r>
      <w:r/>
    </w:p>
    <w:p>
      <w:pPr>
        <w:pStyle w:val="871"/>
        <w:jc w:val="center"/>
        <w:spacing w:line="360" w:lineRule="auto"/>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投标文件的组成</w:t>
      </w:r>
      <w:r>
        <w:rPr>
          <w:rFonts w:hint="eastAsia" w:ascii="宋体" w:hAnsi="宋体" w:cs="宋体"/>
          <w:b/>
          <w:bCs/>
          <w:color w:val="000000"/>
          <w:szCs w:val="21"/>
          <w:highlight w:val="none"/>
        </w:rPr>
      </w:r>
      <w:r/>
    </w:p>
    <w:p>
      <w:pPr>
        <w:pStyle w:val="87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一、基本目录</w:t>
      </w:r>
      <w:r>
        <w:rPr>
          <w:rFonts w:hint="eastAsia" w:ascii="宋体" w:hAnsi="宋体" w:cs="宋体"/>
          <w:color w:val="000000"/>
          <w:szCs w:val="21"/>
          <w:highlight w:val="none"/>
        </w:rPr>
      </w:r>
      <w:r/>
    </w:p>
    <w:p>
      <w:pPr>
        <w:pStyle w:val="871"/>
        <w:ind w:left="478" w:hanging="5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1.开标一览表（格式见附件1）</w:t>
      </w:r>
      <w:r>
        <w:rPr>
          <w:rFonts w:hint="eastAsia" w:ascii="宋体" w:hAnsi="宋体" w:cs="宋体"/>
          <w:color w:val="000000"/>
          <w:szCs w:val="21"/>
          <w:highlight w:val="none"/>
        </w:rPr>
      </w:r>
      <w:r/>
    </w:p>
    <w:p>
      <w:pPr>
        <w:pStyle w:val="871"/>
        <w:ind w:left="478" w:hanging="5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2.投标分项报价表（格式见附件2）</w:t>
      </w:r>
      <w:r>
        <w:rPr>
          <w:rFonts w:hint="eastAsia" w:ascii="宋体" w:hAnsi="宋体" w:cs="宋体"/>
          <w:color w:val="000000"/>
          <w:szCs w:val="21"/>
          <w:highlight w:val="none"/>
        </w:rPr>
      </w:r>
      <w:r/>
    </w:p>
    <w:p>
      <w:pPr>
        <w:pStyle w:val="871"/>
        <w:ind w:left="478" w:hanging="5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3.技术要求响应及偏离表（格式见附件3）</w:t>
      </w:r>
      <w:r>
        <w:rPr>
          <w:rFonts w:hint="eastAsia" w:ascii="宋体" w:hAnsi="宋体" w:cs="宋体"/>
          <w:color w:val="000000"/>
          <w:szCs w:val="21"/>
          <w:highlight w:val="none"/>
        </w:rPr>
      </w:r>
      <w:r/>
    </w:p>
    <w:p>
      <w:pPr>
        <w:pStyle w:val="871"/>
        <w:ind w:left="478" w:hanging="5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4.商务要求响应及偏离表（格式见附件4）</w:t>
      </w:r>
      <w:r>
        <w:rPr>
          <w:rFonts w:hint="eastAsia" w:ascii="宋体" w:hAnsi="宋体" w:cs="宋体"/>
          <w:color w:val="000000"/>
          <w:szCs w:val="21"/>
          <w:highlight w:val="none"/>
        </w:rPr>
      </w:r>
      <w:r/>
    </w:p>
    <w:p>
      <w:pPr>
        <w:pStyle w:val="871"/>
        <w:ind w:left="478" w:hanging="58"/>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5.实质性</w:t>
      </w:r>
      <w:r>
        <w:rPr>
          <w:rFonts w:hint="eastAsia" w:ascii="宋体" w:hAnsi="宋体" w:eastAsia="宋体" w:cs="宋体"/>
          <w:sz w:val="21"/>
          <w:szCs w:val="21"/>
        </w:rPr>
        <w:t xml:space="preserve">响应及偏离表（格式见附件</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71"/>
        <w:ind w:left="478" w:hanging="58"/>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.法人授权书（格式见附件</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left="478" w:hanging="58"/>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.投标函（格式见附件</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left="478" w:hanging="5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.其他</w:t>
      </w:r>
      <w:r>
        <w:rPr>
          <w:rFonts w:hint="eastAsia" w:ascii="宋体" w:hAnsi="宋体" w:cs="宋体"/>
          <w:color w:val="000000"/>
          <w:szCs w:val="21"/>
          <w:highlight w:val="none"/>
        </w:rPr>
      </w:r>
      <w:r/>
    </w:p>
    <w:p>
      <w:pPr>
        <w:pStyle w:val="871"/>
        <w:ind w:left="478" w:hanging="5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符合性审查对照表（格式见附件</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left="478" w:hanging="5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主要标的信息（中标后将公示）（格式见附件</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二、资格审查内容</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1.法人或者其他组织的营业执照等证明文件，自然人的身份证明（原件扫描上传）</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2. 上一年度的财务状况报告（成立不满一年无需提供）（</w:t>
      </w:r>
      <w:r>
        <w:rPr>
          <w:rFonts w:hint="eastAsia" w:ascii="宋体" w:hAnsi="宋体" w:cs="宋体"/>
          <w:color w:val="000000"/>
          <w:szCs w:val="21"/>
          <w:highlight w:val="none"/>
          <w:lang w:bidi="ar"/>
        </w:rPr>
        <w:t xml:space="preserve">原件扫描上传）</w:t>
      </w:r>
      <w:r>
        <w:rPr>
          <w:rFonts w:hint="eastAsia" w:ascii="宋体" w:hAnsi="宋体" w:cs="宋体"/>
          <w:color w:val="000000"/>
          <w:szCs w:val="21"/>
          <w:highlight w:val="none"/>
          <w:lang w:bidi="ar"/>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3.依法缴纳税收和社会保障资金的相关材料（</w:t>
      </w:r>
      <w:r>
        <w:rPr>
          <w:rFonts w:hint="eastAsia" w:ascii="宋体" w:hAnsi="宋体" w:cs="宋体"/>
          <w:color w:val="000000"/>
          <w:szCs w:val="21"/>
          <w:highlight w:val="none"/>
          <w:lang w:bidi="ar"/>
        </w:rPr>
        <w:t xml:space="preserve">原件扫描上传</w:t>
      </w:r>
      <w:r>
        <w:rPr>
          <w:rFonts w:hint="eastAsia" w:ascii="宋体" w:hAnsi="宋体" w:cs="宋体"/>
          <w:color w:val="000000"/>
          <w:szCs w:val="21"/>
          <w:highlight w:val="none"/>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4.具备履行合同所必需的设备和专业技术能力的书面声明（</w:t>
      </w:r>
      <w:r>
        <w:rPr>
          <w:rFonts w:hint="eastAsia" w:ascii="宋体" w:hAnsi="宋体" w:cs="宋体"/>
          <w:color w:val="000000"/>
          <w:szCs w:val="21"/>
          <w:highlight w:val="none"/>
          <w:lang w:bidi="ar"/>
        </w:rPr>
        <w:t xml:space="preserve">原件扫描上传</w:t>
      </w:r>
      <w:r>
        <w:rPr>
          <w:rFonts w:hint="eastAsia" w:ascii="宋体" w:hAnsi="宋体" w:cs="宋体"/>
          <w:color w:val="000000"/>
          <w:szCs w:val="21"/>
          <w:highlight w:val="none"/>
        </w:rPr>
        <w:t xml:space="preserve">）（格式见附件</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5.参加政府采购活动前3年内在经营活动中没有重大违法记录的书面声明（</w:t>
      </w:r>
      <w:r>
        <w:rPr>
          <w:rFonts w:hint="eastAsia" w:ascii="宋体" w:hAnsi="宋体" w:cs="宋体"/>
          <w:color w:val="000000"/>
          <w:szCs w:val="21"/>
          <w:highlight w:val="none"/>
          <w:lang w:bidi="ar"/>
        </w:rPr>
        <w:t xml:space="preserve">原件扫描上传）</w:t>
      </w:r>
      <w:r>
        <w:rPr>
          <w:rFonts w:hint="eastAsia" w:ascii="宋体" w:hAnsi="宋体" w:cs="宋体"/>
          <w:color w:val="000000"/>
          <w:szCs w:val="21"/>
          <w:highlight w:val="none"/>
        </w:rPr>
        <w:t xml:space="preserve">（格式见附件</w:t>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6.供应商信用承诺书（</w:t>
      </w:r>
      <w:r>
        <w:rPr>
          <w:rFonts w:hint="eastAsia" w:ascii="宋体" w:hAnsi="宋体" w:cs="宋体"/>
          <w:color w:val="000000"/>
          <w:szCs w:val="21"/>
          <w:highlight w:val="none"/>
          <w:lang w:bidi="ar"/>
        </w:rPr>
        <w:t xml:space="preserve">原件扫描上传）</w:t>
      </w:r>
      <w:r>
        <w:rPr>
          <w:rFonts w:hint="eastAsia" w:ascii="宋体" w:hAnsi="宋体" w:cs="宋体"/>
          <w:color w:val="000000"/>
          <w:szCs w:val="21"/>
          <w:highlight w:val="none"/>
        </w:rPr>
        <w:t xml:space="preserve">（格式见附件1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三、价格扣除证明文件</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1.中小企业声明函（格式见附件</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2.残疾人福利性单位声明函（格式见附件1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spacing w:line="36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附件1 </w:t>
      </w:r>
      <w:r>
        <w:rPr>
          <w:rFonts w:hint="eastAsia" w:ascii="宋体" w:hAnsi="宋体" w:cs="宋体"/>
          <w:b/>
          <w:color w:val="000000"/>
          <w:szCs w:val="21"/>
          <w:highlight w:val="none"/>
        </w:rPr>
      </w:r>
      <w:r/>
    </w:p>
    <w:p>
      <w:pPr>
        <w:pStyle w:val="871"/>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开标一览表</w:t>
      </w:r>
      <w:r>
        <w:rPr>
          <w:rFonts w:hint="eastAsia" w:ascii="宋体" w:hAnsi="宋体" w:cs="宋体"/>
          <w:color w:val="000000"/>
          <w:szCs w:val="21"/>
          <w:highlight w:val="none"/>
        </w:rPr>
      </w:r>
      <w:r/>
    </w:p>
    <w:p>
      <w:pPr>
        <w:pStyle w:val="871"/>
        <w:ind w:firstLine="48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供应商名称（加盖CA电子签章）：</w:t>
      </w:r>
      <w:r>
        <w:rPr>
          <w:rFonts w:hint="eastAsia" w:ascii="宋体" w:hAnsi="宋体" w:cs="宋体"/>
          <w:color w:val="000000"/>
          <w:szCs w:val="21"/>
          <w:highlight w:val="none"/>
        </w:rPr>
      </w:r>
      <w:r/>
    </w:p>
    <w:p>
      <w:pPr>
        <w:pStyle w:val="871"/>
        <w:ind w:firstLine="48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71"/>
        <w:ind w:firstLine="48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r>
      <w:tr>
        <w:trPr>
          <w:cantSplit/>
          <w:trHeight w:val="612"/>
        </w:trPr>
        <w:tc>
          <w:tcPr>
            <w:gridSpan w:val="2"/>
            <w:tcW w:w="8886" w:type="dxa"/>
            <w:vAlign w:val="center"/>
            <w:textDirection w:val="lrTb"/>
            <w:noWrap w:val="false"/>
          </w:tcPr>
          <w:p>
            <w:pPr>
              <w:pStyle w:val="87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大写：</w:t>
            </w:r>
            <w:r>
              <w:rPr>
                <w:rFonts w:hint="eastAsia" w:ascii="宋体" w:hAnsi="宋体" w:cs="宋体"/>
                <w:color w:val="000000"/>
                <w:szCs w:val="21"/>
                <w:highlight w:val="none"/>
              </w:rPr>
            </w:r>
            <w:r/>
          </w:p>
          <w:p>
            <w:pPr>
              <w:pStyle w:val="87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小写：                             （人民币：元）</w:t>
            </w:r>
            <w:r>
              <w:rPr>
                <w:rFonts w:hint="eastAsia" w:ascii="宋体" w:hAnsi="宋体" w:cs="宋体"/>
                <w:color w:val="000000"/>
                <w:szCs w:val="21"/>
                <w:highlight w:val="none"/>
              </w:rPr>
            </w:r>
            <w:r/>
          </w:p>
        </w:tc>
      </w:tr>
      <w:tr>
        <w:trPr>
          <w:cantSplit/>
          <w:trHeight w:val="612"/>
        </w:trPr>
        <w:tc>
          <w:tcPr>
            <w:tcW w:w="2481" w:type="dxa"/>
            <w:vAlign w:val="center"/>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是否为小微企业</w:t>
            </w:r>
            <w:r>
              <w:rPr>
                <w:rFonts w:hint="eastAsia" w:ascii="宋体" w:hAnsi="宋体" w:cs="宋体"/>
                <w:color w:val="000000"/>
                <w:szCs w:val="21"/>
                <w:highlight w:val="none"/>
              </w:rPr>
            </w:r>
            <w:r/>
          </w:p>
        </w:tc>
        <w:tc>
          <w:tcPr>
            <w:tcW w:w="6405" w:type="dxa"/>
            <w:vAlign w:val="center"/>
            <w:textDirection w:val="lrTb"/>
            <w:noWrap w:val="false"/>
          </w:tcPr>
          <w:p>
            <w:pPr>
              <w:pStyle w:val="87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71"/>
        <w:jc w:val="center"/>
        <w:spacing w:line="36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附件2</w:t>
      </w:r>
      <w:r>
        <w:rPr>
          <w:rFonts w:hint="eastAsia" w:ascii="宋体" w:hAnsi="宋体" w:cs="宋体"/>
          <w:b/>
          <w:color w:val="000000"/>
          <w:szCs w:val="21"/>
          <w:highlight w:val="none"/>
        </w:rPr>
      </w:r>
      <w:r/>
    </w:p>
    <w:p>
      <w:pPr>
        <w:pStyle w:val="871"/>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投标分项报价表</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1"/>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871"/>
        <w:ind w:firstLine="48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供应商名称（加盖CA电子签章）：</w:t>
      </w:r>
      <w:r>
        <w:rPr>
          <w:rFonts w:hint="eastAsia" w:ascii="宋体" w:hAnsi="宋体" w:cs="宋体"/>
          <w:color w:val="000000"/>
          <w:szCs w:val="21"/>
          <w:highlight w:val="none"/>
        </w:rPr>
      </w:r>
      <w:r/>
    </w:p>
    <w:p>
      <w:pPr>
        <w:pStyle w:val="871"/>
        <w:ind w:firstLine="48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71"/>
        <w:ind w:firstLine="420"/>
        <w:spacing w:line="360" w:lineRule="auto"/>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1815"/>
        <w:gridCol w:w="1984"/>
        <w:gridCol w:w="848"/>
        <w:gridCol w:w="1417"/>
        <w:gridCol w:w="1425"/>
      </w:tblGrid>
      <w:tr>
        <w:trPr>
          <w:trHeight w:val="528"/>
        </w:trPr>
        <w:tc>
          <w:tcPr>
            <w:tcW w:w="1030" w:type="dxa"/>
            <w:vAlign w:val="center"/>
            <w:textDirection w:val="lrTb"/>
            <w:noWrap w:val="false"/>
          </w:tcPr>
          <w:p>
            <w:pPr>
              <w:pStyle w:val="871"/>
              <w:jc w:val="center"/>
              <w:widowControl/>
              <w:rPr>
                <w:rFonts w:hint="eastAsia" w:ascii="宋体" w:hAnsi="宋体"/>
                <w:b/>
                <w:color w:val="000000"/>
                <w:sz w:val="24"/>
                <w:szCs w:val="24"/>
                <w:highlight w:val="none"/>
              </w:rPr>
            </w:pPr>
            <w:r>
              <w:rPr>
                <w:rFonts w:hint="eastAsia" w:ascii="宋体" w:hAnsi="宋体" w:cs="宋体"/>
                <w:color w:val="000000"/>
                <w:szCs w:val="21"/>
                <w:highlight w:val="none"/>
              </w:rPr>
              <w:t xml:space="preserve">序号</w:t>
            </w:r>
            <w:r>
              <w:rPr>
                <w:rFonts w:hint="eastAsia" w:ascii="宋体" w:hAnsi="宋体"/>
                <w:b/>
                <w:color w:val="000000"/>
                <w:sz w:val="24"/>
                <w:szCs w:val="24"/>
                <w:highlight w:val="none"/>
              </w:rPr>
            </w:r>
            <w:r/>
          </w:p>
        </w:tc>
        <w:tc>
          <w:tcPr>
            <w:tcW w:w="1812" w:type="dxa"/>
            <w:vAlign w:val="center"/>
            <w:textDirection w:val="lrTb"/>
            <w:noWrap w:val="false"/>
          </w:tcPr>
          <w:p>
            <w:pPr>
              <w:pStyle w:val="871"/>
              <w:jc w:val="center"/>
              <w:widowControl/>
              <w:rPr>
                <w:rFonts w:hint="eastAsia" w:ascii="宋体" w:hAnsi="宋体"/>
                <w:b/>
                <w:color w:val="000000"/>
                <w:sz w:val="24"/>
                <w:szCs w:val="24"/>
                <w:highlight w:val="none"/>
              </w:rPr>
            </w:pPr>
            <w:r>
              <w:rPr>
                <w:rFonts w:hint="eastAsia" w:ascii="宋体" w:hAnsi="宋体" w:cs="宋体"/>
                <w:color w:val="000000"/>
                <w:szCs w:val="21"/>
                <w:highlight w:val="none"/>
              </w:rPr>
              <w:t xml:space="preserve">项目名称</w:t>
            </w:r>
            <w:r>
              <w:rPr>
                <w:rFonts w:hint="eastAsia" w:ascii="宋体" w:hAnsi="宋体"/>
                <w:b/>
                <w:color w:val="000000"/>
                <w:sz w:val="24"/>
                <w:szCs w:val="24"/>
                <w:highlight w:val="none"/>
              </w:rPr>
            </w:r>
            <w:r/>
          </w:p>
        </w:tc>
        <w:tc>
          <w:tcPr>
            <w:tcW w:w="1984" w:type="dxa"/>
            <w:vAlign w:val="center"/>
            <w:textDirection w:val="lrTb"/>
            <w:noWrap w:val="false"/>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单价（万元）</w:t>
            </w:r>
            <w:r>
              <w:rPr>
                <w:rFonts w:hint="eastAsia" w:ascii="宋体" w:hAnsi="宋体" w:cs="宋体"/>
                <w:color w:val="000000"/>
                <w:szCs w:val="21"/>
                <w:highlight w:val="none"/>
              </w:rPr>
            </w:r>
            <w:r/>
          </w:p>
        </w:tc>
        <w:tc>
          <w:tcPr>
            <w:tcW w:w="848" w:type="dxa"/>
            <w:vAlign w:val="center"/>
            <w:textDirection w:val="lrTb"/>
            <w:noWrap w:val="false"/>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数量（年）</w:t>
            </w:r>
            <w:r>
              <w:rPr>
                <w:rFonts w:hint="eastAsia" w:ascii="宋体" w:hAnsi="宋体" w:cs="宋体"/>
                <w:color w:val="000000"/>
                <w:szCs w:val="21"/>
                <w:highlight w:val="none"/>
              </w:rPr>
            </w:r>
            <w:r/>
          </w:p>
        </w:tc>
        <w:tc>
          <w:tcPr>
            <w:tcW w:w="1417" w:type="dxa"/>
            <w:vAlign w:val="center"/>
            <w:textDirection w:val="lrTb"/>
            <w:noWrap w:val="false"/>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总价（万元）</w:t>
            </w:r>
            <w:r>
              <w:rPr>
                <w:rFonts w:hint="eastAsia" w:ascii="宋体" w:hAnsi="宋体" w:cs="宋体"/>
                <w:color w:val="000000"/>
                <w:szCs w:val="21"/>
                <w:highlight w:val="none"/>
              </w:rPr>
            </w:r>
            <w:r/>
          </w:p>
        </w:tc>
        <w:tc>
          <w:tcPr>
            <w:tcW w:w="1420" w:type="dxa"/>
            <w:vAlign w:val="center"/>
            <w:textDirection w:val="lrTb"/>
            <w:noWrap w:val="false"/>
          </w:tcPr>
          <w:p>
            <w:pPr>
              <w:pStyle w:val="87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767"/>
        </w:trPr>
        <w:tc>
          <w:tcPr>
            <w:tcW w:w="1030" w:type="dxa"/>
            <w:vAlign w:val="center"/>
            <w:textDirection w:val="lrTb"/>
            <w:noWrap w:val="false"/>
          </w:tcPr>
          <w:p>
            <w:pPr>
              <w:pStyle w:val="883"/>
              <w:jc w:val="center"/>
              <w:rPr>
                <w:bCs/>
                <w:color w:val="000000"/>
                <w:sz w:val="24"/>
                <w:szCs w:val="24"/>
                <w:highlight w:val="none"/>
              </w:rPr>
            </w:pPr>
            <w:r>
              <w:rPr>
                <w:rFonts w:hint="eastAsia"/>
                <w:bCs/>
                <w:color w:val="000000"/>
                <w:sz w:val="24"/>
                <w:szCs w:val="24"/>
                <w:highlight w:val="none"/>
              </w:rPr>
              <w:t xml:space="preserve">1</w:t>
            </w:r>
            <w:r>
              <w:rPr>
                <w:bCs/>
                <w:color w:val="000000"/>
                <w:sz w:val="24"/>
                <w:szCs w:val="24"/>
                <w:highlight w:val="none"/>
              </w:rPr>
            </w:r>
            <w:r/>
          </w:p>
        </w:tc>
        <w:tc>
          <w:tcPr>
            <w:tcW w:w="1812" w:type="dxa"/>
            <w:vAlign w:val="center"/>
            <w:textDirection w:val="lrTb"/>
            <w:noWrap w:val="false"/>
          </w:tcPr>
          <w:p>
            <w:pPr>
              <w:pStyle w:val="883"/>
              <w:ind w:firstLine="0"/>
              <w:rPr>
                <w:rFonts w:hint="eastAsia"/>
                <w:b/>
                <w:color w:val="000000"/>
                <w:sz w:val="24"/>
                <w:szCs w:val="24"/>
                <w:highlight w:val="none"/>
              </w:rPr>
            </w:pPr>
            <w:r>
              <w:rPr>
                <w:rFonts w:hint="eastAsia" w:ascii="宋体" w:hAnsi="宋体" w:cs="宋体"/>
                <w:color w:val="000000"/>
                <w:szCs w:val="21"/>
                <w:highlight w:val="none"/>
              </w:rPr>
              <w:t xml:space="preserve">扬州大学2026年学生宿舍租住服务</w:t>
            </w:r>
            <w:r/>
          </w:p>
        </w:tc>
        <w:tc>
          <w:tcPr>
            <w:tcW w:w="1984" w:type="dxa"/>
            <w:vAlign w:val="center"/>
            <w:textDirection w:val="lrTb"/>
            <w:noWrap w:val="false"/>
          </w:tcPr>
          <w:p>
            <w:pPr>
              <w:pStyle w:val="883"/>
              <w:jc w:val="center"/>
              <w:rPr>
                <w:rFonts w:hint="eastAsia"/>
                <w:bCs/>
                <w:color w:val="000000"/>
                <w:sz w:val="24"/>
                <w:szCs w:val="24"/>
                <w:highlight w:val="none"/>
              </w:rPr>
            </w:pPr>
            <w:r>
              <w:rPr>
                <w:rFonts w:hint="eastAsia"/>
                <w:bCs/>
                <w:color w:val="000000"/>
                <w:sz w:val="24"/>
                <w:szCs w:val="24"/>
                <w:highlight w:val="none"/>
              </w:rPr>
            </w:r>
            <w:r/>
          </w:p>
        </w:tc>
        <w:tc>
          <w:tcPr>
            <w:tcW w:w="848" w:type="dxa"/>
            <w:vAlign w:val="center"/>
            <w:textDirection w:val="lrTb"/>
            <w:noWrap w:val="false"/>
          </w:tcPr>
          <w:p>
            <w:pPr>
              <w:pStyle w:val="883"/>
              <w:ind w:firstLine="240"/>
              <w:rPr>
                <w:bCs/>
                <w:color w:val="000000"/>
                <w:sz w:val="24"/>
                <w:szCs w:val="24"/>
                <w:highlight w:val="none"/>
              </w:rPr>
            </w:pPr>
            <w:r>
              <w:rPr>
                <w:rFonts w:hint="eastAsia" w:ascii="宋体" w:hAnsi="宋体" w:cs="宋体"/>
                <w:bCs/>
                <w:color w:val="000000"/>
                <w:sz w:val="24"/>
                <w:szCs w:val="24"/>
                <w:highlight w:val="none"/>
              </w:rPr>
              <w:t xml:space="preserve">3</w:t>
            </w:r>
            <w:r>
              <w:rPr>
                <w:bCs/>
                <w:color w:val="000000"/>
                <w:sz w:val="24"/>
                <w:szCs w:val="24"/>
                <w:highlight w:val="none"/>
              </w:rPr>
            </w:r>
            <w:r/>
          </w:p>
        </w:tc>
        <w:tc>
          <w:tcPr>
            <w:tcW w:w="1417" w:type="dxa"/>
            <w:vAlign w:val="center"/>
            <w:textDirection w:val="lrTb"/>
            <w:noWrap w:val="false"/>
          </w:tcPr>
          <w:p>
            <w:pPr>
              <w:pStyle w:val="883"/>
              <w:jc w:val="center"/>
              <w:rPr>
                <w:rFonts w:hint="eastAsia"/>
                <w:bCs/>
                <w:color w:val="000000"/>
                <w:sz w:val="24"/>
                <w:szCs w:val="24"/>
                <w:highlight w:val="none"/>
              </w:rPr>
            </w:pPr>
            <w:r>
              <w:rPr>
                <w:rFonts w:hint="eastAsia"/>
                <w:bCs/>
                <w:color w:val="000000"/>
                <w:sz w:val="24"/>
                <w:szCs w:val="24"/>
                <w:highlight w:val="none"/>
              </w:rPr>
            </w:r>
            <w:r/>
          </w:p>
        </w:tc>
        <w:tc>
          <w:tcPr>
            <w:tcW w:w="1420" w:type="dxa"/>
            <w:vAlign w:val="center"/>
            <w:textDirection w:val="lrTb"/>
            <w:noWrap w:val="false"/>
          </w:tcPr>
          <w:p>
            <w:pPr>
              <w:pStyle w:val="883"/>
              <w:jc w:val="center"/>
              <w:rPr>
                <w:rFonts w:hint="eastAsia"/>
                <w:bCs/>
                <w:color w:val="000000"/>
                <w:sz w:val="24"/>
                <w:szCs w:val="24"/>
                <w:highlight w:val="none"/>
              </w:rPr>
            </w:pPr>
            <w:r>
              <w:rPr>
                <w:rFonts w:hint="eastAsia"/>
                <w:bCs/>
                <w:color w:val="000000"/>
                <w:sz w:val="24"/>
                <w:szCs w:val="24"/>
                <w:highlight w:val="none"/>
              </w:rPr>
            </w:r>
            <w:r/>
          </w:p>
        </w:tc>
      </w:tr>
      <w:tr>
        <w:trPr>
          <w:trHeight w:val="1107"/>
        </w:trPr>
        <w:tc>
          <w:tcPr>
            <w:gridSpan w:val="2"/>
            <w:tcW w:w="2845" w:type="dxa"/>
            <w:vAlign w:val="center"/>
            <w:textDirection w:val="lrTb"/>
            <w:noWrap w:val="false"/>
          </w:tcPr>
          <w:p>
            <w:pPr>
              <w:pStyle w:val="883"/>
              <w:ind w:firstLine="482"/>
              <w:jc w:val="center"/>
              <w:rPr>
                <w:rFonts w:hint="eastAsia"/>
                <w:b/>
                <w:color w:val="000000"/>
                <w:sz w:val="24"/>
                <w:szCs w:val="24"/>
                <w:highlight w:val="none"/>
              </w:rPr>
            </w:pPr>
            <w:r>
              <w:rPr>
                <w:rFonts w:hint="eastAsia"/>
                <w:b/>
                <w:color w:val="000000"/>
                <w:sz w:val="24"/>
                <w:szCs w:val="24"/>
                <w:highlight w:val="none"/>
              </w:rPr>
              <w:t xml:space="preserve">合计</w:t>
            </w:r>
            <w:r>
              <w:rPr>
                <w:rFonts w:hint="eastAsia"/>
                <w:b/>
                <w:color w:val="000000"/>
                <w:sz w:val="24"/>
                <w:szCs w:val="24"/>
                <w:highlight w:val="none"/>
              </w:rPr>
            </w:r>
            <w:r/>
          </w:p>
        </w:tc>
        <w:tc>
          <w:tcPr>
            <w:gridSpan w:val="4"/>
            <w:tcW w:w="5674" w:type="dxa"/>
            <w:vAlign w:val="center"/>
            <w:textDirection w:val="lrTb"/>
            <w:noWrap w:val="false"/>
          </w:tcPr>
          <w:p>
            <w:pPr>
              <w:pStyle w:val="883"/>
              <w:jc w:val="center"/>
              <w:rPr>
                <w:rFonts w:hint="eastAsia"/>
                <w:bCs/>
                <w:color w:val="000000"/>
                <w:sz w:val="24"/>
                <w:szCs w:val="24"/>
                <w:highlight w:val="none"/>
              </w:rPr>
            </w:pPr>
            <w:r>
              <w:rPr>
                <w:rFonts w:hint="eastAsia"/>
                <w:bCs/>
                <w:color w:val="000000"/>
                <w:sz w:val="24"/>
                <w:szCs w:val="24"/>
                <w:highlight w:val="none"/>
              </w:rPr>
            </w:r>
            <w:r/>
          </w:p>
        </w:tc>
      </w:tr>
    </w:tbl>
    <w:p>
      <w:pPr>
        <w:pStyle w:val="902"/>
        <w:spacing w:line="360" w:lineRule="auto"/>
        <w:rPr>
          <w:rFonts w:hint="eastAsia" w:hAnsi="宋体" w:cs="宋体"/>
          <w:b/>
          <w:bCs/>
          <w:color w:val="000000"/>
          <w:sz w:val="21"/>
          <w:highlight w:val="none"/>
        </w:rPr>
      </w:pPr>
      <w:r>
        <w:rPr>
          <w:rFonts w:hint="eastAsia" w:hAnsi="宋体" w:cs="宋体"/>
          <w:b/>
          <w:bCs/>
          <w:color w:val="000000"/>
          <w:sz w:val="21"/>
          <w:highlight w:val="none"/>
        </w:rPr>
      </w:r>
      <w:r/>
    </w:p>
    <w:p>
      <w:pPr>
        <w:pStyle w:val="902"/>
        <w:spacing w:line="360" w:lineRule="auto"/>
        <w:rPr>
          <w:rFonts w:hint="eastAsia" w:hAnsi="宋体" w:cs="宋体"/>
          <w:b/>
          <w:bCs/>
          <w:color w:val="000000"/>
          <w:sz w:val="21"/>
          <w:highlight w:val="none"/>
        </w:rPr>
      </w:pPr>
      <w:r>
        <w:rPr>
          <w:rFonts w:hint="eastAsia" w:hAnsi="宋体" w:cs="宋体"/>
          <w:b/>
          <w:bCs/>
          <w:color w:val="000000"/>
          <w:sz w:val="21"/>
          <w:highlight w:val="none"/>
        </w:rPr>
      </w:r>
      <w:r/>
    </w:p>
    <w:p>
      <w:pPr>
        <w:pStyle w:val="883"/>
        <w:ind w:firstLine="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附件3 </w:t>
      </w:r>
      <w:r>
        <w:rPr>
          <w:rFonts w:hint="eastAsia" w:ascii="宋体" w:hAnsi="宋体" w:cs="宋体"/>
          <w:b/>
          <w:color w:val="000000"/>
          <w:szCs w:val="21"/>
          <w:highlight w:val="none"/>
        </w:rPr>
      </w:r>
      <w:r/>
    </w:p>
    <w:p>
      <w:pPr>
        <w:pStyle w:val="871"/>
        <w:jc w:val="center"/>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技术要求响应及偏离表</w:t>
      </w:r>
      <w:r>
        <w:rPr>
          <w:rFonts w:hint="eastAsia" w:ascii="宋体" w:hAnsi="宋体" w:cs="宋体"/>
          <w:b/>
          <w:bCs/>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供应商名称（加盖CA电子签章）：</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                                </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技术要求</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投标响应情况</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超出、符合或偏离</w:t>
            </w:r>
            <w:r>
              <w:rPr>
                <w:rFonts w:hint="eastAsia" w:ascii="宋体" w:hAnsi="宋体" w:cs="宋体"/>
                <w:color w:val="000000"/>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附件3-1  证明材料1，证明材料2，……</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1.供应商需对技术要求（未加斜体下划线的非实质性要求）逐条做出明确响应。</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2.如果招标文件要求提供证明材料，供应商需将证明材料列于该表之下。</w:t>
      </w:r>
      <w:r>
        <w:rPr>
          <w:rFonts w:hint="eastAsia" w:ascii="宋体" w:hAnsi="宋体" w:cs="宋体"/>
          <w:color w:val="000000"/>
          <w:szCs w:val="21"/>
          <w:highlight w:val="none"/>
        </w:rPr>
      </w:r>
      <w:r/>
    </w:p>
    <w:p>
      <w:pPr>
        <w:pStyle w:val="871"/>
        <w:jc w:val="center"/>
        <w:spacing w:line="360" w:lineRule="auto"/>
        <w:rPr>
          <w:rFonts w:hint="eastAsia" w:ascii="宋体" w:hAnsi="宋体" w:cs="宋体"/>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附件4</w:t>
      </w:r>
      <w:r>
        <w:rPr>
          <w:rFonts w:hint="eastAsia" w:ascii="宋体" w:hAnsi="宋体" w:cs="宋体"/>
          <w:b/>
          <w:color w:val="000000"/>
          <w:szCs w:val="21"/>
          <w:highlight w:val="none"/>
        </w:rPr>
      </w:r>
      <w:r/>
    </w:p>
    <w:p>
      <w:pPr>
        <w:pStyle w:val="871"/>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商务要求响应及偏离表</w:t>
      </w: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供应商名称（加盖CA电子签章）：</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                                </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商务要求</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投标响应情况</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超出、符合或偏离</w:t>
            </w:r>
            <w:r>
              <w:rPr>
                <w:rFonts w:hint="eastAsia" w:ascii="宋体" w:hAnsi="宋体" w:cs="宋体"/>
                <w:color w:val="000000"/>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附件4-1  证明材料1，证明材料2，……</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1.供应商需对商务要求（未加斜体下划线的非实质性要求）逐条做出明确响应。</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2.如果招标文件要求提供证明材料，供应商需将证明材料列于该表之下。</w:t>
      </w:r>
      <w:r>
        <w:rPr>
          <w:rFonts w:hint="eastAsia" w:ascii="宋体" w:hAnsi="宋体" w:cs="宋体"/>
          <w:color w:val="000000"/>
          <w:szCs w:val="21"/>
          <w:highlight w:val="none"/>
        </w:rPr>
      </w:r>
      <w:r/>
    </w:p>
    <w:p>
      <w:pPr>
        <w:pStyle w:val="871"/>
        <w:jc w:val="center"/>
        <w:spacing w:line="360" w:lineRule="auto"/>
        <w:rPr>
          <w:rFonts w:hint="eastAsia" w:ascii="宋体" w:hAnsi="宋体" w:cs="宋体"/>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附件5</w:t>
      </w:r>
      <w:r>
        <w:rPr>
          <w:rFonts w:hint="eastAsia" w:ascii="宋体" w:hAnsi="宋体" w:cs="宋体"/>
          <w:b/>
          <w:color w:val="000000"/>
          <w:szCs w:val="21"/>
          <w:highlight w:val="none"/>
        </w:rPr>
      </w:r>
      <w:r/>
    </w:p>
    <w:p>
      <w:pPr>
        <w:pStyle w:val="87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实质性要求响应及偏离表</w:t>
      </w:r>
      <w:r>
        <w:rPr>
          <w:rFonts w:hint="eastAsia" w:ascii="宋体" w:hAnsi="宋体" w:eastAsia="宋体" w:cs="宋体"/>
          <w:b/>
          <w:sz w:val="21"/>
          <w:szCs w:val="21"/>
        </w:rPr>
      </w:r>
      <w:r/>
    </w:p>
    <w:p>
      <w:pPr>
        <w:pStyle w:val="87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供应商名称（加盖CA电子签章）：</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tbl>
      <w:tblPr>
        <w:tblW w:w="89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959"/>
        <w:gridCol w:w="2967"/>
        <w:gridCol w:w="1526"/>
      </w:tblGrid>
      <w:tr>
        <w:trPr>
          <w:cantSplit/>
        </w:trPr>
        <w:tc>
          <w:tcPr>
            <w:tcW w:w="545" w:type="dxa"/>
            <w:vAlign w:val="center"/>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959" w:type="dxa"/>
            <w:vAlign w:val="center"/>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第四章</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需求中的实质性要求</w:t>
            </w:r>
            <w:r>
              <w:rPr>
                <w:rFonts w:hint="eastAsia" w:ascii="宋体" w:hAnsi="宋体" w:eastAsia="宋体" w:cs="宋体"/>
                <w:color w:val="000000"/>
                <w:sz w:val="24"/>
                <w:szCs w:val="24"/>
              </w:rPr>
            </w:r>
            <w:r/>
          </w:p>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b/>
                <w:bCs/>
                <w:i/>
                <w:color w:val="000000"/>
                <w:sz w:val="24"/>
                <w:szCs w:val="21"/>
                <w:u w:val="single"/>
              </w:rPr>
              <w:t xml:space="preserve">斜体且有下划线部分</w:t>
            </w:r>
            <w:r>
              <w:rPr>
                <w:rFonts w:hint="eastAsia" w:ascii="宋体" w:hAnsi="宋体" w:eastAsia="宋体" w:cs="宋体"/>
                <w:b/>
                <w:bCs/>
                <w:i/>
                <w:iCs/>
                <w:color w:val="000000"/>
                <w:sz w:val="24"/>
                <w:szCs w:val="21"/>
                <w:u w:val="single"/>
              </w:rPr>
              <w:t xml:space="preserve">条款）</w:t>
            </w:r>
            <w:r>
              <w:rPr>
                <w:rFonts w:hint="eastAsia" w:ascii="宋体" w:hAnsi="宋体" w:eastAsia="宋体" w:cs="宋体"/>
                <w:color w:val="000000"/>
                <w:sz w:val="24"/>
                <w:szCs w:val="24"/>
              </w:rPr>
            </w:r>
            <w:r/>
          </w:p>
        </w:tc>
        <w:tc>
          <w:tcPr>
            <w:tcW w:w="2967" w:type="dxa"/>
            <w:vAlign w:val="center"/>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响应情况</w:t>
            </w:r>
            <w:r>
              <w:rPr>
                <w:rFonts w:hint="eastAsia" w:ascii="宋体" w:hAnsi="宋体" w:eastAsia="宋体" w:cs="宋体"/>
                <w:color w:val="000000"/>
                <w:sz w:val="24"/>
                <w:szCs w:val="24"/>
              </w:rPr>
            </w:r>
            <w:r/>
          </w:p>
        </w:tc>
        <w:tc>
          <w:tcPr>
            <w:tcW w:w="1526" w:type="dxa"/>
            <w:vAlign w:val="center"/>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959"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67"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6"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959"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67"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6"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59"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967"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6"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59"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67"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6"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59"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67"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6"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59"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67"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6"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59"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67"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6" w:type="dxa"/>
            <w:vAlign w:val="top"/>
            <w:textDirection w:val="lrTb"/>
            <w:noWrap w:val="false"/>
          </w:tcPr>
          <w:p>
            <w:pPr>
              <w:pStyle w:val="87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附件</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-1  证明材料1，证明材料2，……</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1.供应商需对需求中的实质性要求（斜体且有下划线部分条款）逐条做出明确响应。</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2.如果招标文件要求提供证明材料，供应商需将证明材料列于该表之下。</w:t>
      </w:r>
      <w:r>
        <w:rPr>
          <w:rFonts w:hint="eastAsia" w:ascii="宋体" w:hAnsi="宋体" w:cs="宋体"/>
          <w:color w:val="000000"/>
          <w:szCs w:val="21"/>
          <w:highlight w:val="none"/>
        </w:rPr>
      </w:r>
      <w:r/>
    </w:p>
    <w:p>
      <w:pPr>
        <w:pStyle w:val="871"/>
        <w:jc w:val="center"/>
        <w:spacing w:line="360" w:lineRule="auto"/>
        <w:rPr>
          <w:rFonts w:hint="eastAsia" w:ascii="宋体" w:hAnsi="宋体" w:cs="宋体"/>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rPr>
      </w:r>
      <w:r/>
    </w:p>
    <w:p>
      <w:pPr>
        <w:pStyle w:val="871"/>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6</w:t>
      </w:r>
      <w:r>
        <w:rPr>
          <w:rFonts w:hint="eastAsia" w:ascii="宋体" w:hAnsi="宋体" w:eastAsia="宋体" w:cs="宋体"/>
          <w:b/>
          <w:color w:val="000000"/>
          <w:szCs w:val="21"/>
          <w:highlight w:val="none"/>
          <w:lang w:eastAsia="zh-CN"/>
        </w:rPr>
      </w:r>
      <w:r/>
    </w:p>
    <w:p>
      <w:pPr>
        <w:pStyle w:val="871"/>
        <w:jc w:val="both"/>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center"/>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法人授权书</w:t>
      </w:r>
      <w:r>
        <w:rPr>
          <w:rFonts w:hint="eastAsia" w:ascii="宋体" w:hAnsi="宋体" w:cs="宋体"/>
          <w:color w:val="000000"/>
          <w:szCs w:val="21"/>
          <w:highlight w:val="none"/>
        </w:rPr>
      </w:r>
      <w:r/>
    </w:p>
    <w:p>
      <w:pPr>
        <w:pStyle w:val="1023"/>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23"/>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本授权书声明：________________（供应商名称）授权________________（被授权人的姓名）为我方就</w:t>
      </w:r>
      <w:r>
        <w:rPr>
          <w:rFonts w:hint="eastAsia" w:ascii="宋体" w:hAnsi="宋体" w:cs="宋体"/>
          <w:color w:val="000000"/>
          <w:sz w:val="21"/>
          <w:szCs w:val="21"/>
          <w:highlight w:val="none"/>
          <w:u w:val="single"/>
        </w:rPr>
        <w:t xml:space="preserve">          号              </w:t>
      </w:r>
      <w:r>
        <w:rPr>
          <w:rFonts w:hint="eastAsia" w:ascii="宋体" w:hAnsi="宋体" w:cs="宋体"/>
          <w:color w:val="000000"/>
          <w:sz w:val="21"/>
          <w:szCs w:val="21"/>
          <w:highlight w:val="none"/>
        </w:rPr>
        <w:t xml:space="preserve">项目（采购包号：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）采购活动的合法代理人，以本公司名义全权处理一切与该项目采购有关的事务。</w:t>
      </w:r>
      <w:r>
        <w:rPr>
          <w:rFonts w:hint="eastAsia" w:ascii="宋体" w:hAnsi="宋体" w:cs="宋体"/>
          <w:color w:val="000000"/>
          <w:sz w:val="21"/>
          <w:szCs w:val="21"/>
          <w:highlight w:val="none"/>
        </w:rPr>
      </w:r>
      <w:r/>
    </w:p>
    <w:p>
      <w:pPr>
        <w:pStyle w:val="1023"/>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本授权书于______年____月____日起生效，特此声明。</w:t>
      </w:r>
      <w:r>
        <w:rPr>
          <w:rFonts w:hint="eastAsia" w:ascii="宋体" w:hAnsi="宋体" w:cs="宋体"/>
          <w:color w:val="000000"/>
          <w:sz w:val="21"/>
          <w:szCs w:val="21"/>
          <w:highlight w:val="none"/>
        </w:rPr>
      </w:r>
      <w:r/>
    </w:p>
    <w:p>
      <w:pPr>
        <w:pStyle w:val="1023"/>
        <w:ind w:firstLine="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871"/>
        <w:ind w:firstLine="367"/>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被授权人身份证号码：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71"/>
        <w:ind w:firstLine="367"/>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被授权人联系电话：（手机）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71"/>
        <w:ind w:firstLine="367"/>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被授权人电子邮箱：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71"/>
        <w:ind w:firstLine="367"/>
        <w:spacing w:line="360" w:lineRule="auto"/>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授权单位名称：</w:t>
      </w:r>
      <w:r>
        <w:rPr>
          <w:rFonts w:hint="eastAsia" w:ascii="宋体" w:hAnsi="宋体" w:cs="宋体"/>
          <w:color w:val="000000"/>
          <w:szCs w:val="21"/>
          <w:highlight w:val="none"/>
          <w:u w:val="single"/>
        </w:rPr>
        <w:t xml:space="preserve">（加盖CA电子公章）              </w:t>
      </w:r>
      <w:r>
        <w:rPr>
          <w:rFonts w:hint="eastAsia" w:ascii="宋体" w:hAnsi="宋体" w:cs="宋体"/>
          <w:color w:val="000000"/>
          <w:szCs w:val="21"/>
          <w:highlight w:val="none"/>
        </w:rPr>
      </w:r>
      <w:r/>
    </w:p>
    <w:p>
      <w:pPr>
        <w:pStyle w:val="871"/>
        <w:ind w:firstLine="367"/>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71"/>
        <w:ind w:firstLine="367"/>
        <w:spacing w:line="360" w:lineRule="auto"/>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7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7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71"/>
        <w:spacing w:line="360" w:lineRule="auto"/>
        <w:rPr>
          <w:rFonts w:hint="eastAsia" w:ascii="宋体" w:hAnsi="宋体" w:cs="宋体"/>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7</w:t>
      </w: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871"/>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投标函</w:t>
      </w:r>
      <w:r>
        <w:rPr>
          <w:rFonts w:hint="eastAsia" w:ascii="宋体" w:hAnsi="宋体" w:cs="宋体"/>
          <w:b/>
          <w:color w:val="000000"/>
          <w:szCs w:val="21"/>
          <w:highlight w:val="none"/>
        </w:rPr>
      </w:r>
      <w:r/>
    </w:p>
    <w:p>
      <w:pPr>
        <w:pStyle w:val="1075"/>
        <w:ind w:firstLine="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致：江苏万达工程造价事务所有限公司</w:t>
      </w:r>
      <w:r>
        <w:rPr>
          <w:rFonts w:hint="eastAsia" w:ascii="宋体" w:hAnsi="宋体" w:cs="宋体"/>
          <w:color w:val="000000"/>
          <w:sz w:val="21"/>
          <w:szCs w:val="21"/>
          <w:highlight w:val="none"/>
        </w:rPr>
      </w:r>
      <w:r/>
    </w:p>
    <w:p>
      <w:pPr>
        <w:pStyle w:val="1075"/>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u w:val="single"/>
        </w:rPr>
        <w:t xml:space="preserve">            号           </w:t>
      </w:r>
      <w:r>
        <w:rPr>
          <w:rFonts w:hint="eastAsia" w:ascii="宋体" w:hAnsi="宋体" w:cs="宋体"/>
          <w:color w:val="000000"/>
          <w:sz w:val="21"/>
          <w:szCs w:val="21"/>
          <w:highlight w:val="none"/>
        </w:rPr>
        <w:t xml:space="preserve">项目（采购包号：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）招标文件，正式授权下述签字人______________（姓名）代表我方______________（供应商的名称），全权处理本次项目投标的有关事宜。</w:t>
      </w:r>
      <w:r>
        <w:rPr>
          <w:rFonts w:hint="eastAsia" w:ascii="宋体" w:hAnsi="宋体" w:cs="宋体"/>
          <w:color w:val="000000"/>
          <w:sz w:val="21"/>
          <w:szCs w:val="21"/>
          <w:highlight w:val="none"/>
        </w:rPr>
      </w:r>
      <w:r/>
    </w:p>
    <w:p>
      <w:pPr>
        <w:pStyle w:val="1075"/>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rPr>
          <w:rFonts w:hint="eastAsia" w:ascii="宋体" w:hAnsi="宋体" w:cs="宋体"/>
          <w:color w:val="000000"/>
          <w:sz w:val="21"/>
          <w:szCs w:val="21"/>
          <w:highlight w:val="none"/>
        </w:rPr>
      </w:r>
      <w:r/>
    </w:p>
    <w:p>
      <w:pPr>
        <w:pStyle w:val="1075"/>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1.按招标文件规定的各项要求，向买方提供所需货物与服务。</w:t>
      </w:r>
      <w:r>
        <w:rPr>
          <w:rFonts w:hint="eastAsia" w:ascii="宋体" w:hAnsi="宋体" w:cs="宋体"/>
          <w:color w:val="000000"/>
          <w:sz w:val="21"/>
          <w:szCs w:val="21"/>
          <w:highlight w:val="none"/>
        </w:rPr>
      </w:r>
      <w:r/>
    </w:p>
    <w:p>
      <w:pPr>
        <w:pStyle w:val="1075"/>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2.我们已详细审核全部招标文件及其有效补充文件，我们知道必须放弃提出含糊不清或误解问题的权利。</w:t>
      </w:r>
      <w:r>
        <w:rPr>
          <w:rFonts w:hint="eastAsia" w:ascii="宋体" w:hAnsi="宋体" w:cs="宋体"/>
          <w:color w:val="000000"/>
          <w:sz w:val="21"/>
          <w:szCs w:val="21"/>
          <w:highlight w:val="none"/>
        </w:rPr>
      </w:r>
      <w:r/>
    </w:p>
    <w:p>
      <w:pPr>
        <w:pStyle w:val="1075"/>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3.我们同意从规定的开标日期起遵循本投标文件，并在规定的投标有效期期满之前均具有约束力。</w:t>
      </w:r>
      <w:r>
        <w:rPr>
          <w:rFonts w:hint="eastAsia" w:ascii="宋体" w:hAnsi="宋体" w:cs="宋体"/>
          <w:color w:val="000000"/>
          <w:sz w:val="21"/>
          <w:szCs w:val="21"/>
          <w:highlight w:val="none"/>
        </w:rPr>
      </w:r>
      <w:r/>
    </w:p>
    <w:p>
      <w:pPr>
        <w:pStyle w:val="1075"/>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4.如果在开标后规定的投标有效期内撤回投标或中标后拒绝签订合同，我们可被贵方追责。</w:t>
      </w:r>
      <w:r>
        <w:rPr>
          <w:rFonts w:hint="eastAsia" w:ascii="宋体" w:hAnsi="宋体" w:cs="宋体"/>
          <w:color w:val="000000"/>
          <w:sz w:val="21"/>
          <w:szCs w:val="21"/>
          <w:highlight w:val="none"/>
        </w:rPr>
      </w:r>
      <w:r/>
    </w:p>
    <w:p>
      <w:pPr>
        <w:pStyle w:val="1075"/>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1"/>
          <w:szCs w:val="21"/>
          <w:highlight w:val="none"/>
        </w:rPr>
      </w:r>
      <w:r/>
    </w:p>
    <w:p>
      <w:pPr>
        <w:pStyle w:val="1075"/>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6.一旦我方中标，我方将根据招标文件的规定，严格履行合同的责任和义务，并保证在招标文件规定的时间内完成项目，交付买方验收、使用。</w:t>
      </w:r>
      <w:r>
        <w:rPr>
          <w:rFonts w:hint="eastAsia" w:ascii="宋体" w:hAnsi="宋体" w:cs="宋体"/>
          <w:color w:val="000000"/>
          <w:sz w:val="21"/>
          <w:szCs w:val="21"/>
          <w:highlight w:val="none"/>
        </w:rPr>
      </w:r>
      <w:r/>
    </w:p>
    <w:p>
      <w:pPr>
        <w:pStyle w:val="1075"/>
        <w:ind w:left="425" w:firstLine="105"/>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7.与本投标有关的正式通讯地址为：</w:t>
      </w:r>
      <w:r>
        <w:rPr>
          <w:rFonts w:hint="eastAsia" w:ascii="宋体" w:hAnsi="宋体" w:cs="宋体"/>
          <w:color w:val="000000"/>
          <w:sz w:val="21"/>
          <w:szCs w:val="21"/>
          <w:highlight w:val="none"/>
        </w:rPr>
      </w:r>
      <w:r/>
    </w:p>
    <w:p>
      <w:pPr>
        <w:pStyle w:val="1075"/>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rPr>
      </w:r>
      <w:r/>
    </w:p>
    <w:p>
      <w:pPr>
        <w:pStyle w:val="1075"/>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编：</w:t>
      </w:r>
      <w:r>
        <w:rPr>
          <w:rFonts w:hint="eastAsia" w:ascii="宋体" w:hAnsi="宋体" w:cs="宋体"/>
          <w:color w:val="000000"/>
          <w:sz w:val="21"/>
          <w:szCs w:val="21"/>
          <w:highlight w:val="none"/>
        </w:rPr>
      </w:r>
      <w:r/>
    </w:p>
    <w:p>
      <w:pPr>
        <w:pStyle w:val="1075"/>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 </w:t>
      </w:r>
      <w:r>
        <w:rPr>
          <w:rFonts w:hint="eastAsia" w:ascii="宋体" w:hAnsi="宋体" w:cs="宋体"/>
          <w:color w:val="000000"/>
          <w:sz w:val="21"/>
          <w:szCs w:val="21"/>
          <w:highlight w:val="none"/>
        </w:rPr>
      </w:r>
      <w:r/>
    </w:p>
    <w:p>
      <w:pPr>
        <w:pStyle w:val="1075"/>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 </w:t>
      </w:r>
      <w:r>
        <w:rPr>
          <w:rFonts w:hint="eastAsia" w:ascii="宋体" w:hAnsi="宋体" w:cs="宋体"/>
          <w:color w:val="000000"/>
          <w:sz w:val="21"/>
          <w:szCs w:val="21"/>
          <w:highlight w:val="none"/>
        </w:rPr>
      </w:r>
      <w:r/>
    </w:p>
    <w:p>
      <w:pPr>
        <w:pStyle w:val="1075"/>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供应商开户行：</w:t>
      </w:r>
      <w:r>
        <w:rPr>
          <w:rFonts w:hint="eastAsia" w:ascii="宋体" w:hAnsi="宋体" w:cs="宋体"/>
          <w:color w:val="000000"/>
          <w:sz w:val="21"/>
          <w:szCs w:val="21"/>
          <w:highlight w:val="none"/>
        </w:rPr>
      </w:r>
      <w:r/>
    </w:p>
    <w:p>
      <w:pPr>
        <w:pStyle w:val="1075"/>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户： </w:t>
      </w:r>
      <w:r>
        <w:rPr>
          <w:rFonts w:hint="eastAsia" w:ascii="宋体" w:hAnsi="宋体" w:cs="宋体"/>
          <w:color w:val="000000"/>
          <w:sz w:val="21"/>
          <w:szCs w:val="21"/>
          <w:highlight w:val="none"/>
        </w:rPr>
      </w:r>
      <w:r/>
    </w:p>
    <w:p>
      <w:pPr>
        <w:pStyle w:val="1075"/>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行 号：</w:t>
      </w:r>
      <w:r>
        <w:rPr>
          <w:rFonts w:hint="eastAsia" w:ascii="宋体" w:hAnsi="宋体" w:cs="宋体"/>
          <w:color w:val="000000"/>
          <w:sz w:val="21"/>
          <w:szCs w:val="21"/>
          <w:highlight w:val="none"/>
        </w:rPr>
      </w:r>
      <w:r/>
    </w:p>
    <w:p>
      <w:pPr>
        <w:pStyle w:val="1075"/>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期：____年____月____日</w:t>
      </w:r>
      <w:r>
        <w:rPr>
          <w:rFonts w:hint="eastAsia" w:ascii="宋体" w:hAnsi="宋体" w:cs="宋体"/>
          <w:color w:val="000000"/>
          <w:sz w:val="21"/>
          <w:szCs w:val="21"/>
          <w:highlight w:val="none"/>
        </w:rPr>
      </w:r>
      <w:r/>
    </w:p>
    <w:p>
      <w:pPr>
        <w:pStyle w:val="871"/>
        <w:spacing w:line="360" w:lineRule="auto"/>
        <w:rPr>
          <w:rFonts w:hint="eastAsia" w:ascii="宋体" w:hAnsi="宋体" w:cs="宋体"/>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8</w:t>
      </w: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871"/>
        <w:jc w:val="center"/>
        <w:spacing w:before="312" w:after="312"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符合性检查响应对照表</w:t>
      </w:r>
      <w:r>
        <w:rPr>
          <w:rFonts w:hint="eastAsia" w:ascii="宋体" w:hAnsi="宋体" w:cs="宋体"/>
          <w:b/>
          <w:bCs/>
          <w:color w:val="000000"/>
          <w:sz w:val="32"/>
          <w:szCs w:val="32"/>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p>
      <w:pPr>
        <w:pStyle w:val="871"/>
        <w:jc w:val="right"/>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jc w:val="right"/>
        <w:rPr>
          <w:rFonts w:hint="eastAsia" w:ascii="宋体" w:hAnsi="宋体" w:cs="宋体"/>
          <w:color w:val="000000"/>
          <w:szCs w:val="21"/>
          <w:highlight w:val="none"/>
        </w:rPr>
      </w:pPr>
      <w:r>
        <w:rPr>
          <w:rFonts w:hint="eastAsia" w:ascii="宋体" w:hAnsi="宋体" w:cs="宋体"/>
          <w:color w:val="000000"/>
          <w:szCs w:val="21"/>
          <w:highlight w:val="none"/>
        </w:rPr>
      </w:r>
      <w:r/>
    </w:p>
    <w:tbl>
      <w:tblPr>
        <w:tblW w:w="8896" w:type="dxa"/>
        <w:jc w:val="center"/>
        <w:tblInd w:w="-108" w:type="dxa"/>
        <w:tblLayout w:type="autofit"/>
        <w:tblCellMar>
          <w:left w:w="108" w:type="dxa"/>
          <w:top w:w="15" w:type="dxa"/>
          <w:right w:w="108" w:type="dxa"/>
          <w:bottom w:w="0" w:type="dxa"/>
        </w:tblCellMar>
        <w:tblLook w:val="04A0" w:firstRow="1" w:lastRow="0" w:firstColumn="1" w:lastColumn="0" w:noHBand="0" w:noVBand="1"/>
      </w:tblPr>
      <w:tblGrid>
        <w:gridCol w:w="786"/>
        <w:gridCol w:w="1918"/>
        <w:gridCol w:w="4987"/>
        <w:gridCol w:w="1205"/>
      </w:tblGrid>
      <w:tr>
        <w:trPr>
          <w:trHeight w:val="971"/>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审查因素（采购文件及法律法规规定的无效投标情形）</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审查内容</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71"/>
              <w:jc w:val="center"/>
              <w:spacing w:line="360" w:lineRule="auto"/>
              <w:rPr>
                <w:rFonts w:cs="宋体"/>
                <w:b/>
                <w:color w:val="000000"/>
                <w:szCs w:val="21"/>
                <w:highlight w:val="none"/>
              </w:rPr>
            </w:pPr>
            <w:r>
              <w:rPr>
                <w:rFonts w:hint="eastAsia" w:cs="宋体"/>
                <w:b/>
                <w:color w:val="000000"/>
                <w:szCs w:val="21"/>
                <w:highlight w:val="none"/>
              </w:rPr>
              <w:t xml:space="preserve">是否响应</w:t>
            </w:r>
            <w:r>
              <w:rPr>
                <w:rFonts w:cs="宋体"/>
                <w:b/>
                <w:color w:val="000000"/>
                <w:szCs w:val="21"/>
                <w:highlight w:val="none"/>
              </w:rPr>
            </w:r>
            <w:r/>
          </w:p>
          <w:p>
            <w:pPr>
              <w:pStyle w:val="871"/>
              <w:jc w:val="center"/>
              <w:spacing w:line="360" w:lineRule="auto"/>
              <w:rPr>
                <w:rFonts w:hint="eastAsia" w:ascii="仿宋" w:hAnsi="仿宋" w:eastAsia="仿宋" w:cs="仿宋"/>
                <w:b/>
                <w:color w:val="000000"/>
                <w:sz w:val="28"/>
                <w:szCs w:val="28"/>
                <w:highlight w:val="none"/>
              </w:rPr>
            </w:pPr>
            <w:r>
              <w:rPr>
                <w:rFonts w:hint="eastAsia" w:cs="宋体"/>
                <w:b/>
                <w:color w:val="000000"/>
                <w:szCs w:val="21"/>
                <w:highlight w:val="none"/>
              </w:rPr>
              <w:t xml:space="preserve">（填是或者否）</w:t>
            </w:r>
            <w:r>
              <w:rPr>
                <w:rFonts w:hint="eastAsia" w:ascii="仿宋" w:hAnsi="仿宋" w:eastAsia="仿宋" w:cs="仿宋"/>
                <w:b/>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投标报价</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7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投标报价未超过采购文件中规定的项目/采购包预算金额或者最高限价；</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7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报价唯一性</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7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响应文件未出现可选择性或可调整的报价(采购文件另有规定的除外)；</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7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378"/>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签署、盖章</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7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按照采购文件要求签署、盖章的;</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7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72"/>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实质性条款响应</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7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响应文件满足采购文件中实质性条款要求的;</w:t>
            </w:r>
            <w:r>
              <w:rPr>
                <w:rFonts w:hint="eastAsia" w:ascii="宋体" w:hAnsi="宋体" w:cs="宋体"/>
                <w:bCs/>
                <w:color w:val="000000"/>
                <w:szCs w:val="21"/>
                <w:highlight w:val="none"/>
              </w:rPr>
              <w:tab/>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7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实质性格式</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7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标记为“实质性格式”的文件均按采购文件要求提供（如投标报价表、中小企业声明函等应为“实质性格式”）;</w:t>
            </w:r>
            <w:r>
              <w:rPr>
                <w:rFonts w:hint="eastAsia" w:ascii="宋体" w:hAnsi="宋体" w:cs="宋体"/>
                <w:bCs/>
                <w:color w:val="000000"/>
                <w:szCs w:val="21"/>
                <w:highlight w:val="none"/>
              </w:rPr>
              <w:tab/>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7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报价合理性</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7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报价合理，或投标供应商的报价明显低于其他通过符合性审查投标供应商的报价，有可能影响产品质量或者不能诚信履约的，能够应评标委员会要求在规定时间内证明报价合理性；</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7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7</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公平竞争</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7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投标供应商遵循公平竞争的原则，不存在恶意串通，妨碍其他公平竞争人的竞争行为，不存在损害采购人或者其他投标供应商的合法权益情形的;</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7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8</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串通投标</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7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不存在视为投串通投标的情形: （一）不同投标供应商的投标响应文件由同一单位或者个人编制；（二）不同投标供应商委托同一单位或者个人办理投标事宜；（三）不同投标供应商的投标响应文件载明的项目管理成员或者联系人员为同一人；（四）不同投标供应商的投标响应文件异常一致或者投标报价呈规律性差异；（五）不同投标供应商的投标响应文件相互混装；</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7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9</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附加条件</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7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投标响应文件未含有采购人不能接受的附加条件</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ab/>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7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10</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7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其他无效情形</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7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供应商、响应文件不存在不符合法律、法规和采购文件规定的其他无效情形。</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7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9</w:t>
      </w: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871"/>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center"/>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主要标的信息（中标后将公示）</w:t>
      </w:r>
      <w:r>
        <w:rPr>
          <w:rFonts w:hint="eastAsia" w:ascii="宋体" w:hAnsi="宋体" w:cs="宋体"/>
          <w:color w:val="000000"/>
          <w:szCs w:val="21"/>
          <w:highlight w:val="none"/>
        </w:rPr>
      </w:r>
      <w:r/>
    </w:p>
    <w:p>
      <w:pPr>
        <w:pStyle w:val="871"/>
        <w:spacing w:after="312"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tbl>
      <w:tblPr>
        <w:tblW w:w="84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9"/>
      </w:tblGrid>
      <w:tr>
        <w:trPr/>
        <w:tc>
          <w:tcPr>
            <w:tcW w:w="8469" w:type="dxa"/>
            <w:vAlign w:val="top"/>
            <w:textDirection w:val="lrTb"/>
            <w:noWrap w:val="false"/>
          </w:tcPr>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服务类</w:t>
            </w:r>
            <w:r>
              <w:rPr>
                <w:rFonts w:hint="eastAsia" w:ascii="宋体" w:hAnsi="宋体" w:cs="宋体"/>
                <w:color w:val="000000"/>
                <w:szCs w:val="21"/>
                <w:highlight w:val="none"/>
              </w:rPr>
            </w:r>
            <w:r/>
          </w:p>
        </w:tc>
      </w:tr>
      <w:tr>
        <w:trPr>
          <w:trHeight w:val="3810"/>
        </w:trPr>
        <w:tc>
          <w:tcPr>
            <w:tcW w:w="8469" w:type="dxa"/>
            <w:vAlign w:val="top"/>
            <w:textDirection w:val="lrTb"/>
            <w:noWrap w:val="false"/>
          </w:tcPr>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服务范围：</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服务要求：</w:t>
            </w:r>
            <w:r>
              <w:rPr>
                <w:rFonts w:hint="eastAsia" w:ascii="宋体" w:hAnsi="宋体" w:cs="宋体"/>
                <w:color w:val="000000"/>
                <w:szCs w:val="21"/>
                <w:highlight w:val="none"/>
                <w:u w:val="single"/>
              </w:rPr>
            </w:r>
            <w:r/>
          </w:p>
          <w:p>
            <w:pPr>
              <w:pStyle w:val="871"/>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服务时间：</w:t>
            </w:r>
            <w:r>
              <w:rPr>
                <w:rFonts w:hint="eastAsia" w:ascii="宋体" w:hAnsi="宋体" w:cs="宋体"/>
                <w:color w:val="000000"/>
                <w:szCs w:val="21"/>
                <w:highlight w:val="none"/>
                <w:u w:val="singl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服务标准：</w:t>
            </w:r>
            <w:r>
              <w:rPr>
                <w:rFonts w:hint="eastAsia" w:ascii="宋体" w:hAnsi="宋体" w:cs="宋体"/>
                <w:color w:val="000000"/>
                <w:szCs w:val="21"/>
                <w:highlight w:val="none"/>
              </w:rPr>
            </w:r>
            <w:r/>
          </w:p>
        </w:tc>
      </w:tr>
    </w:tbl>
    <w:p>
      <w:pPr>
        <w:pStyle w:val="87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7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71"/>
        <w:jc w:val="center"/>
        <w:spacing w:line="360" w:lineRule="auto"/>
        <w:rPr>
          <w:rFonts w:hint="eastAsia" w:ascii="宋体" w:hAnsi="宋体" w:cs="宋体"/>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rPr>
      </w:r>
      <w:r/>
    </w:p>
    <w:p>
      <w:pPr>
        <w:pStyle w:val="871"/>
        <w:spacing w:line="360" w:lineRule="auto"/>
        <w:rPr>
          <w:rFonts w:ascii="宋体" w:hAnsi="宋体" w:eastAsia="宋体" w:cs="宋体"/>
          <w:b/>
          <w:color w:val="000000"/>
          <w:szCs w:val="21"/>
          <w:highlight w:val="none"/>
          <w:lang w:val="en-US" w:eastAsia="zh-CN"/>
        </w:rPr>
      </w:pPr>
      <w:r>
        <w:rPr>
          <w:rFonts w:hint="eastAsia"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lang w:val="en-US" w:eastAsia="zh-CN"/>
        </w:rPr>
        <w:t xml:space="preserve">0</w:t>
      </w:r>
      <w:r>
        <w:rPr>
          <w:rFonts w:ascii="宋体" w:hAnsi="宋体" w:eastAsia="宋体" w:cs="宋体"/>
          <w:b/>
          <w:color w:val="000000"/>
          <w:szCs w:val="21"/>
          <w:highlight w:val="none"/>
          <w:lang w:val="en-US" w:eastAsia="zh-CN"/>
        </w:rPr>
      </w:r>
      <w:r/>
    </w:p>
    <w:p>
      <w:pPr>
        <w:pStyle w:val="871"/>
        <w:ind w:firstLine="1205"/>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具备履行合同所必需的设备和专业技术能力的书面声明</w:t>
      </w:r>
      <w:r>
        <w:rPr>
          <w:rFonts w:hint="eastAsia" w:ascii="宋体" w:hAnsi="宋体" w:cs="宋体"/>
          <w:color w:val="000000"/>
          <w:szCs w:val="21"/>
          <w:highlight w:val="none"/>
        </w:rPr>
      </w:r>
      <w:r/>
    </w:p>
    <w:p>
      <w:pPr>
        <w:pStyle w:val="871"/>
        <w:ind w:firstLine="492"/>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color w:val="000000"/>
          <w:szCs w:val="21"/>
          <w:highlight w:val="none"/>
        </w:rPr>
      </w:r>
      <w:r/>
    </w:p>
    <w:p>
      <w:pPr>
        <w:pStyle w:val="871"/>
        <w:ind w:firstLine="492"/>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主要设备有：</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firstLine="492"/>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主要专业技术能力有：</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供应商名称（加盖CA电子公章）：</w:t>
      </w:r>
      <w:r>
        <w:rPr>
          <w:rFonts w:hint="eastAsia" w:ascii="宋体" w:hAnsi="宋体" w:cs="宋体"/>
          <w:bCs/>
          <w:color w:val="000000"/>
          <w:szCs w:val="21"/>
          <w:highlight w:val="none"/>
        </w:rPr>
      </w:r>
      <w:r/>
    </w:p>
    <w:p>
      <w:pPr>
        <w:pStyle w:val="87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Cs/>
          <w:color w:val="000000"/>
          <w:szCs w:val="21"/>
          <w:highlight w:val="none"/>
        </w:rPr>
      </w:r>
      <w:r/>
    </w:p>
    <w:p>
      <w:pPr>
        <w:pStyle w:val="871"/>
        <w:spacing w:line="360" w:lineRule="auto"/>
        <w:rPr>
          <w:rFonts w:hint="eastAsia" w:ascii="宋体" w:hAnsi="宋体" w:cs="宋体"/>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Cs w:val="21"/>
          <w:highlight w:val="none"/>
        </w:rPr>
      </w:r>
      <w:r/>
    </w:p>
    <w:p>
      <w:pPr>
        <w:pStyle w:val="871"/>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附件1</w:t>
      </w:r>
      <w:r>
        <w:rPr>
          <w:rFonts w:hint="eastAsia" w:ascii="宋体" w:hAnsi="宋体" w:cs="宋体"/>
          <w:b/>
          <w:color w:val="000000"/>
          <w:szCs w:val="21"/>
          <w:highlight w:val="none"/>
          <w:lang w:val="en-US" w:eastAsia="zh-CN"/>
        </w:rPr>
        <w:t xml:space="preserve">1</w:t>
      </w:r>
      <w:r>
        <w:rPr>
          <w:rFonts w:hint="eastAsia" w:ascii="宋体" w:hAnsi="宋体" w:eastAsia="宋体" w:cs="宋体"/>
          <w:b/>
          <w:color w:val="000000"/>
          <w:szCs w:val="21"/>
          <w:highlight w:val="none"/>
          <w:lang w:eastAsia="zh-CN"/>
        </w:rPr>
      </w:r>
      <w:r/>
    </w:p>
    <w:p>
      <w:pPr>
        <w:pStyle w:val="871"/>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参加本次政府采购活动前 3 年内在经营活动中没有重大违法记录的书面声明</w:t>
      </w:r>
      <w:r>
        <w:rPr>
          <w:rFonts w:hint="eastAsia" w:ascii="宋体" w:hAnsi="宋体" w:cs="宋体"/>
          <w:b/>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声  明</w:t>
      </w:r>
      <w:r>
        <w:rPr>
          <w:rFonts w:hint="eastAsia" w:ascii="宋体" w:hAnsi="宋体" w:cs="宋体"/>
          <w:b/>
          <w:bCs/>
          <w:color w:val="000000"/>
          <w:szCs w:val="21"/>
          <w:highlight w:val="none"/>
        </w:rPr>
      </w:r>
      <w:r/>
    </w:p>
    <w:p>
      <w:pPr>
        <w:pStyle w:val="871"/>
        <w:spacing w:line="360" w:lineRule="auto"/>
        <w:rPr>
          <w:rFonts w:hint="eastAsia" w:ascii="宋体" w:hAnsi="宋体" w:cs="宋体"/>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bCs/>
          <w:color w:val="000000"/>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szCs w:val="21"/>
          <w:highlight w:val="none"/>
        </w:rPr>
      </w:r>
      <w:r/>
    </w:p>
    <w:p>
      <w:pPr>
        <w:pStyle w:val="87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871"/>
        <w:ind w:firstLine="4838"/>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供应商名称（加盖CA电子公章）：</w:t>
      </w:r>
      <w:r>
        <w:rPr>
          <w:rFonts w:hint="eastAsia" w:ascii="宋体" w:hAnsi="宋体" w:cs="宋体"/>
          <w:bCs/>
          <w:color w:val="000000"/>
          <w:szCs w:val="21"/>
          <w:highlight w:val="none"/>
        </w:rPr>
      </w:r>
      <w:r/>
    </w:p>
    <w:p>
      <w:pPr>
        <w:pStyle w:val="871"/>
        <w:ind w:firstLine="4838"/>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Cs/>
          <w:color w:val="000000"/>
          <w:szCs w:val="21"/>
          <w:highlight w:val="none"/>
        </w:rPr>
      </w:r>
      <w:r/>
    </w:p>
    <w:p>
      <w:pPr>
        <w:pStyle w:val="871"/>
        <w:ind w:firstLine="4857"/>
        <w:spacing w:line="360" w:lineRule="auto"/>
        <w:rPr>
          <w:rFonts w:hint="eastAsia" w:ascii="宋体" w:hAnsi="宋体" w:cs="宋体"/>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Cs w:val="21"/>
          <w:highlight w:val="none"/>
        </w:rPr>
      </w:r>
      <w:r/>
    </w:p>
    <w:p>
      <w:pPr>
        <w:pStyle w:val="871"/>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附件1</w:t>
      </w:r>
      <w:r>
        <w:rPr>
          <w:rFonts w:hint="eastAsia" w:ascii="宋体" w:hAnsi="宋体" w:cs="宋体"/>
          <w:b/>
          <w:color w:val="000000"/>
          <w:szCs w:val="21"/>
          <w:highlight w:val="none"/>
          <w:lang w:val="en-US" w:eastAsia="zh-CN"/>
        </w:rPr>
        <w:t xml:space="preserve">2</w:t>
      </w:r>
      <w:r>
        <w:rPr>
          <w:rFonts w:hint="eastAsia" w:ascii="宋体" w:hAnsi="宋体" w:eastAsia="宋体" w:cs="宋体"/>
          <w:b/>
          <w:color w:val="000000"/>
          <w:szCs w:val="21"/>
          <w:highlight w:val="none"/>
          <w:lang w:eastAsia="zh-CN"/>
        </w:rPr>
      </w:r>
      <w:r/>
    </w:p>
    <w:p>
      <w:pPr>
        <w:pStyle w:val="87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供应商信用承诺书</w:t>
      </w:r>
      <w:r>
        <w:rPr>
          <w:rFonts w:hint="eastAsia" w:ascii="宋体" w:hAnsi="宋体" w:cs="宋体"/>
          <w:b/>
          <w:bCs/>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承诺主体名称：</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统一社会信用代码：</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一、对提供给注册登记部门、行业管理部门、司法部门、行业组织以及在采购活动中提交的所有资料的合法性、真实性、准确性和有效性负责；</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四、自觉接受行政管理部门、行业组织、社会公众、新闻舆论的监督；</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六、质疑和投诉坚持依法依规、诚实信用原则，在全国范围12个月内没有三次以上查无实据的采购投诉；</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七、严格遵守信用信息公示相关规定，向社会公示信用信息；</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十、本承诺书自签订之日起生效。</w:t>
      </w:r>
      <w:r>
        <w:rPr>
          <w:rFonts w:hint="eastAsia" w:ascii="宋体" w:hAnsi="宋体" w:cs="宋体"/>
          <w:color w:val="000000"/>
          <w:szCs w:val="21"/>
          <w:highlight w:val="none"/>
        </w:rPr>
      </w:r>
      <w:r/>
    </w:p>
    <w:p>
      <w:pPr>
        <w:pStyle w:val="871"/>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承诺单位（加盖CA电子公章）：</w:t>
      </w:r>
      <w:r>
        <w:rPr>
          <w:rFonts w:hint="eastAsia" w:ascii="宋体" w:hAnsi="宋体" w:cs="宋体"/>
          <w:color w:val="000000"/>
          <w:szCs w:val="21"/>
          <w:highlight w:val="none"/>
        </w:rPr>
      </w:r>
      <w:r/>
    </w:p>
    <w:p>
      <w:pPr>
        <w:pStyle w:val="87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rPr>
          <w:rFonts w:hint="eastAsia" w:ascii="宋体" w:hAnsi="宋体" w:cs="宋体"/>
          <w:color w:val="000000"/>
          <w:szCs w:val="21"/>
          <w:highlight w:val="none"/>
        </w:rPr>
      </w:r>
      <w:r/>
    </w:p>
    <w:p>
      <w:pPr>
        <w:pStyle w:val="871"/>
        <w:ind w:left="2951" w:hanging="2951"/>
        <w:jc w:val="center"/>
        <w:spacing w:line="360" w:lineRule="auto"/>
        <w:rPr>
          <w:rFonts w:hint="eastAsia" w:ascii="宋体" w:hAnsi="宋体" w:cs="宋体"/>
          <w:b/>
          <w:bCs/>
          <w:color w:val="000000"/>
          <w:szCs w:val="21"/>
          <w:highlight w:val="none"/>
        </w:rPr>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rPr>
      </w:r>
      <w:r/>
    </w:p>
    <w:p>
      <w:pPr>
        <w:pStyle w:val="871"/>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附件1</w:t>
      </w:r>
      <w:r>
        <w:rPr>
          <w:rFonts w:hint="eastAsia" w:ascii="宋体" w:hAnsi="宋体" w:cs="宋体"/>
          <w:b/>
          <w:color w:val="000000"/>
          <w:szCs w:val="21"/>
          <w:highlight w:val="none"/>
          <w:lang w:val="en-US" w:eastAsia="zh-CN"/>
        </w:rPr>
        <w:t xml:space="preserve">3</w:t>
      </w:r>
      <w:r>
        <w:rPr>
          <w:rFonts w:hint="eastAsia" w:ascii="宋体" w:hAnsi="宋体" w:eastAsia="宋体" w:cs="宋体"/>
          <w:b/>
          <w:color w:val="000000"/>
          <w:szCs w:val="21"/>
          <w:highlight w:val="none"/>
          <w:lang w:eastAsia="zh-CN"/>
        </w:rPr>
      </w:r>
      <w:r/>
    </w:p>
    <w:p>
      <w:pPr>
        <w:pStyle w:val="87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中小企业声明函（服务类项目）</w:t>
      </w:r>
      <w:r>
        <w:rPr>
          <w:rFonts w:hint="eastAsia" w:ascii="宋体" w:hAnsi="宋体" w:cs="宋体"/>
          <w:b/>
          <w:bCs/>
          <w:color w:val="000000"/>
          <w:szCs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b/>
          <w:bCs/>
          <w:color w:val="000000"/>
          <w:szCs w:val="21"/>
          <w:highlight w:val="none"/>
          <w:u w:val="single"/>
        </w:rPr>
        <w:t xml:space="preserve">（住宿业）（不得对行业类别修改）</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lang w:eastAsia="en-US"/>
        </w:rPr>
        <w:fldChar w:fldCharType="begin"/>
      </w:r>
      <w:r>
        <w:rPr>
          <w:rFonts w:hint="eastAsia" w:ascii="宋体" w:hAnsi="宋体" w:cs="宋体"/>
          <w:color w:val="000000"/>
          <w:spacing w:val="-1"/>
          <w:szCs w:val="21"/>
          <w:highlight w:val="none"/>
          <w:vertAlign w:val="superscript"/>
        </w:rPr>
        <w:instrText xml:space="preserve"> HYPERLINK \l "br1" </w:instrText>
      </w:r>
      <w:r>
        <w:rPr>
          <w:rFonts w:hint="eastAsia" w:ascii="宋体" w:hAnsi="宋体" w:cs="宋体"/>
          <w:color w:val="000000"/>
          <w:szCs w:val="21"/>
          <w:highlight w:val="none"/>
          <w:lang w:eastAsia="en-US"/>
        </w:rPr>
        <w:fldChar w:fldCharType="separate"/>
      </w:r>
      <w:r>
        <w:rPr>
          <w:rFonts w:hint="eastAsia" w:ascii="宋体" w:hAnsi="宋体" w:cs="宋体"/>
          <w:color w:val="000000"/>
          <w:spacing w:val="-1"/>
          <w:szCs w:val="21"/>
          <w:highlight w:val="none"/>
          <w:vertAlign w:val="superscript"/>
        </w:rPr>
        <w:t xml:space="preserve">1</w:t>
      </w:r>
      <w:r>
        <w:rPr>
          <w:rFonts w:hint="eastAsia" w:ascii="宋体" w:hAnsi="宋体" w:cs="宋体"/>
          <w:color w:val="000000"/>
          <w:szCs w:val="21"/>
          <w:highlight w:val="none"/>
          <w:lang w:eastAsia="en-US"/>
        </w:rPr>
        <w:fldChar w:fldCharType="end"/>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u w:val="single"/>
        </w:rPr>
      </w:r>
      <w:r/>
    </w:p>
    <w:p>
      <w:pPr>
        <w:pStyle w:val="871"/>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w:t>
      </w:r>
      <w:r>
        <w:rPr>
          <w:rFonts w:hint="eastAsia" w:ascii="宋体" w:hAnsi="宋体" w:cs="宋体"/>
          <w:color w:val="000000"/>
          <w:szCs w:val="21"/>
          <w:highlight w:val="none"/>
        </w:rPr>
        <w:t xml:space="preserve"> ，属于</w:t>
      </w:r>
      <w:r>
        <w:rPr>
          <w:rFonts w:hint="eastAsia" w:ascii="宋体" w:hAnsi="宋体" w:cs="宋体"/>
          <w:b/>
          <w:bCs/>
          <w:color w:val="000000"/>
          <w:szCs w:val="21"/>
          <w:highlight w:val="none"/>
          <w:u w:val="single"/>
        </w:rPr>
        <w:t xml:space="preserve">（住宿业）（不得对行业类别修改）</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u w:val="singl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1.从业人员（不仅指在职职工）、营业收入、资产总额填报上一年度数据，无上一年度数据的新成立企业可不填报。</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2.《中小企业声明函》不符合要求或未提供的，作如下处理：①如本项目专门面向中小企业采购，则投标（响应）文件无效；②如本项目不专门面向中小企业采购，则价格将不作相应扣除。</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3.企业声明函请完整填写，中标（成交）后将公示。</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5.中小企业不得属于大企业的分支机构，不得存在控股股东为大企业的情形，不得存在与大企业的负责人为同一人的情形。</w:t>
      </w:r>
      <w:r>
        <w:rPr>
          <w:rFonts w:hint="eastAsia" w:ascii="宋体" w:hAnsi="宋体" w:cs="宋体"/>
          <w:color w:val="000000"/>
          <w:szCs w:val="21"/>
          <w:highlight w:val="none"/>
        </w:rPr>
      </w:r>
      <w:r/>
    </w:p>
    <w:p>
      <w:pPr>
        <w:pStyle w:val="87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Cs/>
          <w:color w:val="000000"/>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color w:val="000000"/>
          <w:szCs w:val="21"/>
          <w:highlight w:val="none"/>
        </w:rPr>
      </w:r>
      <w:r/>
    </w:p>
    <w:p>
      <w:pPr>
        <w:pStyle w:val="871"/>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企业名称（加盖CA电子公章）：</w:t>
      </w:r>
      <w:r>
        <w:rPr>
          <w:rFonts w:hint="eastAsia" w:ascii="宋体" w:hAnsi="宋体" w:cs="宋体"/>
          <w:color w:val="000000"/>
          <w:szCs w:val="21"/>
          <w:highlight w:val="none"/>
        </w:rPr>
      </w:r>
      <w:r/>
    </w:p>
    <w:p>
      <w:pPr>
        <w:pStyle w:val="871"/>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日期：</w:t>
      </w:r>
      <w:r>
        <w:rPr>
          <w:rFonts w:hint="eastAsia" w:ascii="宋体" w:hAnsi="宋体" w:cs="宋体"/>
          <w:color w:val="000000"/>
          <w:szCs w:val="21"/>
          <w:highlight w:val="none"/>
        </w:rPr>
      </w:r>
      <w:r/>
    </w:p>
    <w:p>
      <w:pPr>
        <w:pStyle w:val="8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jc w:val="center"/>
        <w:spacing w:line="360" w:lineRule="auto"/>
        <w:rPr>
          <w:rFonts w:hint="eastAsia" w:ascii="宋体" w:hAnsi="宋体" w:cs="宋体"/>
          <w:b/>
          <w:bCs/>
          <w:color w:val="000000"/>
          <w:szCs w:val="21"/>
          <w:highlight w:val="none"/>
        </w:rPr>
      </w:pPr>
      <w:r/>
      <w:bookmarkStart w:id="115" w:name="_Toc150519795"/>
      <w:r>
        <w:rPr>
          <w:rFonts w:hint="eastAsia" w:ascii="宋体" w:hAnsi="宋体" w:cs="宋体"/>
          <w:b/>
          <w:bCs/>
          <w:color w:val="000000"/>
          <w:szCs w:val="21"/>
          <w:highlight w:val="none"/>
        </w:rPr>
        <w:t xml:space="preserve">中小微企业划型标准</w:t>
      </w:r>
      <w:bookmarkEnd w:id="115"/>
      <w:r>
        <w:rPr>
          <w:rFonts w:hint="eastAsia" w:ascii="宋体" w:hAnsi="宋体" w:cs="宋体"/>
          <w:b/>
          <w:bCs/>
          <w:color w:val="000000"/>
          <w:szCs w:val="21"/>
          <w:highlight w:val="none"/>
        </w:rPr>
      </w:r>
      <w:r/>
    </w:p>
    <w:p>
      <w:pPr>
        <w:pStyle w:val="871"/>
        <w:jc w:val="left"/>
        <w:spacing w:before="300" w:after="452"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中小微企业划型标准如下：</w:t>
      </w:r>
      <w:r>
        <w:rPr>
          <w:rFonts w:hint="eastAsia" w:ascii="宋体" w:hAnsi="宋体" w:cs="宋体"/>
          <w:color w:val="000000"/>
          <w:szCs w:val="21"/>
          <w:highlight w:val="none"/>
        </w:rPr>
      </w:r>
      <w:r/>
    </w:p>
    <w:tbl>
      <w:tblPr>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行业名称</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指标名称</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计量单位</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中型</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小型</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微型</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农、林、牧、渔</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500≤Y&lt;20000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50≤Y&lt;500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Y&lt;50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工业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300≤X&lt;1000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20≤X&lt;300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X&lt;20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71"/>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2000≤Y&lt;40000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300≤Y&lt;2000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Y&lt;300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建筑业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6000≤Y&lt;80000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300≤Y&lt;6000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Y&lt;300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71"/>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资产总额（Z）</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5000≤Z&lt;80000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300≤Z&lt;5000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Z&lt;300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批发业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20≤X&lt;200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5≤X&lt;20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X&lt;5</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71"/>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5000≤Y&lt;40000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1000≤Y&lt;5000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零售业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50≤X&lt;300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10≤X&lt;50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71"/>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500≤Y&lt;20000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100≤Y&lt;500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交通运输业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300≤X&lt;1000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20≤X&lt;300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X&lt;20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71"/>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3000≤Y&lt;30000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200≤Y&lt;3000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Y&lt;200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仓储业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100≤X&lt;200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20≤X&lt;100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X&lt;20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71"/>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1000≤Y&lt;30000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100≤Y&lt;1000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邮政业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300≤X&lt;1000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20≤X&lt;300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X&lt;20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71"/>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2000≤Y&lt;30000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100≤Y&lt;2000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住宿业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100≤X&lt;300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10≤X&lt;100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71"/>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2000≤Y&lt;10000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100≤Y&lt;2000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餐饮业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100≤X&lt;300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10≤X&lt;100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71"/>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2000≤Y&lt;10000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100≤Y&lt;2000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信息传输业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100≤X&lt;2000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10≤X&lt;100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71"/>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1000≤Y&lt;100000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100≤Y&lt;1000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1"/>
              <w:ind w:firstLine="420"/>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软件和信息技术服务业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100≤X&lt;300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10≤X&lt;100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71"/>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1000≤Y&lt;10000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50≤Y&lt;1000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Y&lt;50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房地产开发经营</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1000≤Y&lt;200000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100≤X&lt;1000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71"/>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资产总额（Z）</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5000≤Z&lt;10000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2000≤Y&lt;5000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Y&lt;2000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物业管理</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300≤X&lt;1000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100≤X&lt;300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71"/>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1000≤Y&lt;5000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500≤Y&lt;1000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Y&lt;500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租赁和商务服务业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100≤X&lt;300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10≤X&lt;100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71"/>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资产总额（Z）</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8000≤Z&lt;120000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100≤Z&lt;8000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其他未列明行业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71"/>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100≤X&lt;300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71"/>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10≤X&lt;100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71"/>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w:t>
            </w:r>
            <w:r>
              <w:rPr>
                <w:rFonts w:hint="eastAsia" w:ascii="宋体" w:hAnsi="宋体" w:cs="宋体"/>
                <w:color w:val="000000"/>
                <w:szCs w:val="21"/>
                <w:highlight w:val="none"/>
              </w:rPr>
            </w:r>
            <w:r/>
          </w:p>
        </w:tc>
      </w:tr>
    </w:tbl>
    <w:p>
      <w:pPr>
        <w:pStyle w:val="871"/>
        <w:jc w:val="left"/>
        <w:spacing w:before="300" w:after="452"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附件1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87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残疾人福利性单位声明函</w:t>
      </w:r>
      <w:r>
        <w:rPr>
          <w:rFonts w:hint="eastAsia" w:ascii="宋体" w:hAnsi="宋体" w:cs="宋体"/>
          <w:b/>
          <w:bCs/>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项目（采购包号：**）项目采购活动提供本单位制造的产品或服务（由本单位承担工程/提供服务）。或者提供其他残疾人福利性单位制造的产品或服务（不包括使用非残疾人福利性单位注册商标的产品或服务）。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本单位在本次政府采购活动中提供的残疾人福利单位产品报价合计为人民币（大写）圆整（￥：）。</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非专门面向中小企业采购的项目，供应商如不提供此声明函，价格将不做相应扣除。</w:t>
      </w:r>
      <w:r>
        <w:rPr>
          <w:rFonts w:hint="eastAsia" w:ascii="宋体" w:hAnsi="宋体" w:cs="宋体"/>
          <w:color w:val="000000"/>
          <w:szCs w:val="21"/>
          <w:highlight w:val="none"/>
        </w:rPr>
      </w:r>
      <w:r/>
    </w:p>
    <w:p>
      <w:pPr>
        <w:pStyle w:val="871"/>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3.中标/成交供应商为残疾人福利性单位的，此声明函将随中标/成交结果同时公告，接受社会监督。</w:t>
      </w:r>
      <w:r>
        <w:rPr>
          <w:rFonts w:hint="eastAsia" w:ascii="宋体" w:hAnsi="宋体" w:cs="宋体"/>
          <w:color w:val="000000"/>
          <w:szCs w:val="21"/>
          <w:highlight w:val="none"/>
        </w:rPr>
      </w:r>
      <w:r/>
    </w:p>
    <w:p>
      <w:pPr>
        <w:pStyle w:val="871"/>
        <w:ind w:firstLine="62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871"/>
        <w:ind w:right="1560" w:firstLine="624"/>
        <w:jc w:val="center"/>
        <w:spacing w:line="360" w:lineRule="auto"/>
        <w:tabs>
          <w:tab w:val="left" w:pos="4860" w:leader="none"/>
        </w:tabs>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             </w:t>
      </w:r>
      <w:r>
        <w:rPr>
          <w:rFonts w:hint="eastAsia" w:ascii="宋体" w:hAnsi="宋体" w:cs="宋体"/>
          <w:color w:val="000000"/>
          <w:szCs w:val="21"/>
          <w:highlight w:val="none"/>
        </w:rPr>
        <w:t xml:space="preserve">  供应商名称（加盖CA电子签章）：</w:t>
      </w:r>
      <w:r>
        <w:rPr>
          <w:rFonts w:hint="eastAsia" w:ascii="宋体" w:hAnsi="宋体" w:cs="宋体"/>
          <w:color w:val="000000"/>
          <w:szCs w:val="21"/>
          <w:highlight w:val="none"/>
        </w:rPr>
      </w:r>
      <w:r/>
    </w:p>
    <w:p>
      <w:pPr>
        <w:pStyle w:val="871"/>
        <w:ind w:right="1560" w:firstLine="2940"/>
        <w:spacing w:line="360" w:lineRule="auto"/>
        <w:tabs>
          <w:tab w:val="left" w:pos="4860" w:leader="none"/>
        </w:tabs>
        <w:rPr>
          <w:rFonts w:hint="eastAsia" w:ascii="宋体" w:hAnsi="宋体" w:cs="宋体"/>
          <w:color w:val="000000"/>
          <w:szCs w:val="21"/>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rPr>
      </w:r>
      <w:r/>
    </w:p>
    <w:p>
      <w:pPr>
        <w:pStyle w:val="87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附件1</w:t>
      </w:r>
      <w:r>
        <w:rPr>
          <w:rFonts w:hint="eastAsia" w:ascii="宋体" w:hAnsi="宋体" w:cs="宋体"/>
          <w:b/>
          <w:color w:val="000000"/>
          <w:szCs w:val="21"/>
          <w:highlight w:val="none"/>
          <w:lang w:val="en-US" w:eastAsia="zh-CN"/>
        </w:rPr>
        <w:t xml:space="preserve">5</w:t>
      </w: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871"/>
        <w:jc w:val="center"/>
        <w:pageBreakBefore w:val="0"/>
        <w:spacing w:line="360" w:lineRule="auto"/>
        <w:rPr>
          <w:rFonts w:ascii="Times New Roman" w:hAnsi="Times New Roman" w:eastAsia="宋体"/>
          <w:b/>
          <w:bCs/>
          <w:color w:val="000000"/>
          <w:sz w:val="24"/>
          <w:szCs w:val="24"/>
          <w:highlight w:val="none"/>
        </w:rPr>
      </w:pPr>
      <w:r>
        <w:rPr>
          <w:rFonts w:hint="eastAsia" w:ascii="Times New Roman" w:hAnsi="Times New Roman" w:eastAsia="宋体"/>
          <w:b/>
          <w:bCs/>
          <w:color w:val="000000"/>
          <w:sz w:val="24"/>
          <w:szCs w:val="24"/>
          <w:highlight w:val="none"/>
        </w:rPr>
        <w:t xml:space="preserve">关于符合本国产品标准的声明函</w:t>
      </w:r>
      <w:r>
        <w:rPr>
          <w:rFonts w:ascii="Times New Roman" w:hAnsi="Times New Roman" w:eastAsia="宋体"/>
          <w:b/>
          <w:bCs/>
          <w:color w:val="000000"/>
          <w:sz w:val="24"/>
          <w:szCs w:val="24"/>
          <w:highlight w:val="none"/>
        </w:rPr>
      </w:r>
      <w:r/>
    </w:p>
    <w:p>
      <w:pPr>
        <w:pStyle w:val="924"/>
        <w:ind w:firstLine="420"/>
        <w:pageBreakBefore w:val="0"/>
        <w:spacing w:line="360" w:lineRule="auto"/>
        <w:rPr>
          <w:rFonts w:ascii="Times New Roman" w:hAnsi="Times New Roman" w:eastAsia="宋体" w:cs="方正魏碑_GBK"/>
          <w:color w:val="000000"/>
          <w:highlight w:val="none"/>
        </w:rPr>
      </w:pPr>
      <w:r>
        <w:rPr>
          <w:rFonts w:ascii="Times New Roman" w:hAnsi="Times New Roman" w:eastAsia="宋体" w:cs="方正魏碑_GBK"/>
          <w:color w:val="000000"/>
          <w:highlight w:val="none"/>
        </w:rPr>
      </w:r>
      <w:r/>
    </w:p>
    <w:p>
      <w:pPr>
        <w:pStyle w:val="924"/>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rPr>
      </w:r>
      <w:r/>
    </w:p>
    <w:p>
      <w:pPr>
        <w:pStyle w:val="924"/>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1.</w:t>
      </w:r>
      <w:r>
        <w:rPr>
          <w:rStyle w:val="935"/>
          <w:rFonts w:hint="eastAsia" w:ascii="宋体" w:hAnsi="宋体" w:eastAsia="宋体" w:cs="宋体"/>
          <w:i w:val="0"/>
          <w:color w:val="000000"/>
          <w:u w:val="single"/>
          <w:shd w:val="clear" w:color="auto" w:fill="ffffff"/>
        </w:rPr>
        <w:t xml:space="preserve">（产品名称1）</w:t>
      </w:r>
      <w:r>
        <w:rPr>
          <w:rStyle w:val="935"/>
          <w:rFonts w:hint="eastAsia" w:ascii="宋体" w:hAnsi="宋体" w:eastAsia="宋体" w:cs="宋体"/>
          <w:i w:val="0"/>
          <w:color w:val="000000"/>
          <w:shd w:val="clear" w:color="auto" w:fill="ffffff"/>
          <w:vertAlign w:val="superscript"/>
        </w:rPr>
        <w:t xml:space="preserve">1</w:t>
      </w:r>
      <w:r>
        <w:rPr>
          <w:rFonts w:hint="eastAsia" w:ascii="宋体" w:hAnsi="宋体" w:eastAsia="宋体" w:cs="宋体"/>
          <w:color w:val="000000"/>
          <w:shd w:val="clear" w:color="auto" w:fill="ffffff"/>
        </w:rPr>
        <w:t xml:space="preserve">，生产厂为</w:t>
      </w:r>
      <w:r>
        <w:rPr>
          <w:rStyle w:val="935"/>
          <w:rFonts w:hint="eastAsia" w:ascii="宋体" w:hAnsi="宋体" w:eastAsia="宋体" w:cs="宋体"/>
          <w:i w:val="0"/>
          <w:color w:val="000000"/>
          <w:u w:val="single"/>
          <w:shd w:val="clear" w:color="auto" w:fill="ffffff"/>
        </w:rPr>
        <w:t xml:space="preserve">（厂名）</w:t>
      </w:r>
      <w:r>
        <w:rPr>
          <w:rStyle w:val="935"/>
          <w:rFonts w:hint="eastAsia" w:ascii="宋体" w:hAnsi="宋体" w:eastAsia="宋体" w:cs="宋体"/>
          <w:i w:val="0"/>
          <w:color w:val="000000"/>
          <w:shd w:val="clear" w:color="auto" w:fill="ffffff"/>
          <w:vertAlign w:val="superscript"/>
        </w:rPr>
        <w:t xml:space="preserve">2</w:t>
      </w:r>
      <w:r>
        <w:rPr>
          <w:rFonts w:hint="eastAsia" w:ascii="宋体" w:hAnsi="宋体" w:eastAsia="宋体" w:cs="宋体"/>
          <w:color w:val="000000"/>
          <w:shd w:val="clear" w:color="auto" w:fill="ffffff"/>
        </w:rPr>
        <w:t xml:space="preserve">，厂址为</w:t>
      </w:r>
      <w:r>
        <w:rPr>
          <w:rStyle w:val="935"/>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Fonts w:hint="eastAsia" w:ascii="宋体" w:hAnsi="宋体" w:eastAsia="宋体" w:cs="宋体"/>
          <w:color w:val="000000"/>
          <w:u w:val="single"/>
          <w:shd w:val="clear" w:color="auto" w:fill="ffffff"/>
        </w:rPr>
        <w:t xml:space="preserve"> </w:t>
      </w:r>
      <w:r>
        <w:rPr>
          <w:rStyle w:val="935"/>
          <w:rFonts w:hint="eastAsia" w:ascii="宋体" w:hAnsi="宋体" w:eastAsia="宋体" w:cs="宋体"/>
          <w:i w:val="0"/>
          <w:color w:val="000000"/>
          <w:u w:val="single"/>
          <w:shd w:val="clear" w:color="auto" w:fill="ffffff"/>
        </w:rPr>
        <w:t xml:space="preserve">（产品名称1） </w:t>
      </w:r>
      <w:r>
        <w:rPr>
          <w:rFonts w:hint="eastAsia" w:ascii="宋体" w:hAnsi="宋体" w:eastAsia="宋体" w:cs="宋体"/>
          <w:color w:val="000000"/>
          <w:shd w:val="clear" w:color="auto" w:fill="ffffff"/>
        </w:rPr>
        <w:t xml:space="preserve">的中国境内生产的组件成本占比≥</w:t>
      </w:r>
      <w:r>
        <w:rPr>
          <w:rStyle w:val="935"/>
          <w:rFonts w:hint="eastAsia" w:ascii="宋体" w:hAnsi="宋体" w:eastAsia="宋体" w:cs="宋体"/>
          <w:i w:val="0"/>
          <w:color w:val="000000"/>
          <w:u w:val="single"/>
          <w:shd w:val="clear" w:color="auto" w:fill="ffffff"/>
        </w:rPr>
        <w:t xml:space="preserve">（规定比例）</w:t>
      </w:r>
      <w:r>
        <w:rPr>
          <w:rStyle w:val="935"/>
          <w:rFonts w:hint="eastAsia" w:ascii="宋体" w:hAnsi="宋体" w:eastAsia="宋体" w:cs="宋体"/>
          <w:i w:val="0"/>
          <w:color w:val="000000"/>
          <w:shd w:val="clear" w:color="auto" w:fill="ffffff"/>
          <w:vertAlign w:val="superscript"/>
        </w:rPr>
        <w:t xml:space="preserve">3</w:t>
      </w:r>
      <w:r>
        <w:rPr>
          <w:rFonts w:hint="eastAsia" w:ascii="宋体" w:hAnsi="宋体" w:eastAsia="宋体" w:cs="宋体"/>
          <w:color w:val="000000"/>
          <w:shd w:val="clear" w:color="auto" w:fill="ffffff"/>
        </w:rPr>
        <w:t xml:space="preserve">。</w:t>
      </w:r>
      <w:r>
        <w:rPr>
          <w:rStyle w:val="935"/>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935"/>
          <w:rFonts w:hint="eastAsia" w:ascii="宋体" w:hAnsi="宋体" w:eastAsia="宋体" w:cs="宋体"/>
          <w:i w:val="0"/>
          <w:color w:val="000000"/>
          <w:u w:val="single"/>
          <w:shd w:val="clear" w:color="auto" w:fill="ffffff"/>
        </w:rPr>
        <w:t xml:space="preserve">（关键组件）</w:t>
      </w:r>
      <w:r>
        <w:rPr>
          <w:rStyle w:val="935"/>
          <w:rFonts w:hint="eastAsia" w:ascii="宋体" w:hAnsi="宋体" w:eastAsia="宋体" w:cs="宋体"/>
          <w:i w:val="0"/>
          <w:color w:val="000000"/>
          <w:shd w:val="clear" w:color="auto" w:fill="ffffff"/>
          <w:vertAlign w:val="superscript"/>
        </w:rPr>
        <w:t xml:space="preserve">4</w:t>
      </w:r>
      <w:r>
        <w:rPr>
          <w:rFonts w:hint="eastAsia" w:ascii="宋体" w:hAnsi="宋体" w:eastAsia="宋体" w:cs="宋体"/>
          <w:color w:val="000000"/>
          <w:shd w:val="clear" w:color="auto" w:fill="ffffff"/>
        </w:rPr>
        <w:t xml:space="preserve">在中国境内生产。</w:t>
      </w:r>
      <w:r>
        <w:rPr>
          <w:rStyle w:val="935"/>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935"/>
          <w:rFonts w:hint="eastAsia" w:ascii="宋体" w:hAnsi="宋体" w:eastAsia="宋体" w:cs="宋体"/>
          <w:i w:val="0"/>
          <w:color w:val="000000"/>
          <w:u w:val="single"/>
          <w:shd w:val="clear" w:color="auto" w:fill="ffffff"/>
        </w:rPr>
        <w:t xml:space="preserve">（关键工序）</w:t>
      </w:r>
      <w:r>
        <w:rPr>
          <w:rStyle w:val="935"/>
          <w:rFonts w:hint="eastAsia" w:ascii="宋体" w:hAnsi="宋体" w:eastAsia="宋体" w:cs="宋体"/>
          <w:i w:val="0"/>
          <w:color w:val="000000"/>
          <w:shd w:val="clear" w:color="auto" w:fill="ffffff"/>
          <w:vertAlign w:val="superscript"/>
        </w:rPr>
        <w:t xml:space="preserve">5</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924"/>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2.</w:t>
      </w:r>
      <w:r>
        <w:rPr>
          <w:rStyle w:val="935"/>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，生产厂为</w:t>
      </w:r>
      <w:r>
        <w:rPr>
          <w:rStyle w:val="935"/>
          <w:rFonts w:hint="eastAsia" w:ascii="宋体" w:hAnsi="宋体" w:eastAsia="宋体" w:cs="宋体"/>
          <w:i w:val="0"/>
          <w:color w:val="000000"/>
          <w:u w:val="single"/>
          <w:shd w:val="clear" w:color="auto" w:fill="ffffff"/>
        </w:rPr>
        <w:t xml:space="preserve">（厂名）</w:t>
      </w:r>
      <w:r>
        <w:rPr>
          <w:rFonts w:hint="eastAsia" w:ascii="宋体" w:hAnsi="宋体" w:eastAsia="宋体" w:cs="宋体"/>
          <w:color w:val="000000"/>
          <w:shd w:val="clear" w:color="auto" w:fill="ffffff"/>
        </w:rPr>
        <w:t xml:space="preserve">，厂址为</w:t>
      </w:r>
      <w:r>
        <w:rPr>
          <w:rStyle w:val="935"/>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Style w:val="935"/>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的中国境内生产的组件成本占比≥</w:t>
      </w:r>
      <w:r>
        <w:rPr>
          <w:rStyle w:val="935"/>
          <w:rFonts w:hint="eastAsia" w:ascii="宋体" w:hAnsi="宋体" w:eastAsia="宋体" w:cs="宋体"/>
          <w:i w:val="0"/>
          <w:color w:val="000000"/>
          <w:u w:val="single"/>
          <w:shd w:val="clear" w:color="auto" w:fill="ffffff"/>
        </w:rPr>
        <w:t xml:space="preserve">（规定比例）</w:t>
      </w:r>
      <w:r>
        <w:rPr>
          <w:rFonts w:hint="eastAsia" w:ascii="宋体" w:hAnsi="宋体" w:eastAsia="宋体" w:cs="宋体"/>
          <w:color w:val="000000"/>
          <w:shd w:val="clear" w:color="auto" w:fill="ffffff"/>
        </w:rPr>
        <w:t xml:space="preserve">。</w:t>
      </w:r>
      <w:r>
        <w:rPr>
          <w:rStyle w:val="935"/>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935"/>
          <w:rFonts w:hint="eastAsia" w:ascii="宋体" w:hAnsi="宋体" w:eastAsia="宋体" w:cs="宋体"/>
          <w:i w:val="0"/>
          <w:color w:val="000000"/>
          <w:u w:val="single"/>
          <w:shd w:val="clear" w:color="auto" w:fill="ffffff"/>
        </w:rPr>
        <w:t xml:space="preserve">（关键组件）</w:t>
      </w:r>
      <w:r>
        <w:rPr>
          <w:rFonts w:hint="eastAsia" w:ascii="宋体" w:hAnsi="宋体" w:eastAsia="宋体" w:cs="宋体"/>
          <w:color w:val="000000"/>
          <w:shd w:val="clear" w:color="auto" w:fill="ffffff"/>
        </w:rPr>
        <w:t xml:space="preserve">在中国境内生产。</w:t>
      </w:r>
      <w:r>
        <w:rPr>
          <w:rStyle w:val="935"/>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935"/>
          <w:rFonts w:hint="eastAsia" w:ascii="宋体" w:hAnsi="宋体" w:eastAsia="宋体" w:cs="宋体"/>
          <w:i w:val="0"/>
          <w:color w:val="000000"/>
          <w:u w:val="single"/>
          <w:shd w:val="clear" w:color="auto" w:fill="ffffff"/>
        </w:rPr>
        <w:t xml:space="preserve">（关键工序）</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924"/>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w:t>
      </w:r>
      <w:r>
        <w:rPr>
          <w:rFonts w:hint="eastAsia" w:ascii="宋体" w:hAnsi="宋体" w:eastAsia="宋体" w:cs="宋体"/>
          <w:color w:val="000000"/>
        </w:rPr>
      </w:r>
      <w:r/>
    </w:p>
    <w:p>
      <w:pPr>
        <w:pStyle w:val="924"/>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本公司（单位）对上述声明内容的真实性负责。如有虚假，愿承担相应法律责任。</w:t>
      </w:r>
      <w:r>
        <w:rPr>
          <w:rFonts w:hint="eastAsia" w:ascii="宋体" w:hAnsi="宋体" w:eastAsia="宋体" w:cs="宋体"/>
          <w:color w:val="000000"/>
        </w:rPr>
      </w:r>
      <w:r/>
    </w:p>
    <w:p>
      <w:pPr>
        <w:pStyle w:val="924"/>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24"/>
        <w:ind w:right="480" w:firstLine="37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公司（单位）名称（盖章）：　        </w:t>
      </w:r>
      <w:r>
        <w:rPr>
          <w:rFonts w:hint="eastAsia" w:ascii="宋体" w:hAnsi="宋体" w:eastAsia="宋体" w:cs="宋体"/>
          <w:color w:val="000000"/>
        </w:rPr>
      </w:r>
      <w:r/>
    </w:p>
    <w:p>
      <w:pPr>
        <w:pStyle w:val="924"/>
        <w:jc w:val="center"/>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                                日期：　   年　  月　  日         </w:t>
      </w:r>
      <w:r>
        <w:rPr>
          <w:rFonts w:hint="eastAsia" w:ascii="宋体" w:hAnsi="宋体" w:eastAsia="宋体" w:cs="宋体"/>
          <w:color w:val="000000"/>
        </w:rPr>
      </w:r>
      <w:r/>
    </w:p>
    <w:p>
      <w:pPr>
        <w:pStyle w:val="924"/>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__________________</w:t>
      </w:r>
      <w:r>
        <w:rPr>
          <w:rFonts w:hint="eastAsia" w:ascii="宋体" w:hAnsi="宋体" w:eastAsia="宋体" w:cs="宋体"/>
          <w:color w:val="000000"/>
        </w:rPr>
      </w:r>
      <w:r/>
    </w:p>
    <w:p>
      <w:pPr>
        <w:pStyle w:val="924"/>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1.产品如有型号，请在“产品名称”栏一并填写。</w:t>
      </w:r>
      <w:r>
        <w:rPr>
          <w:rFonts w:hint="eastAsia" w:ascii="宋体" w:hAnsi="宋体" w:eastAsia="宋体" w:cs="宋体"/>
          <w:color w:val="000000"/>
          <w:sz w:val="22"/>
        </w:rPr>
      </w:r>
      <w:r/>
    </w:p>
    <w:p>
      <w:pPr>
        <w:pStyle w:val="924"/>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2.生产厂名与厂址应与生产厂营业执照载明的相关信息保持一致。</w:t>
      </w:r>
      <w:r>
        <w:rPr>
          <w:rFonts w:hint="eastAsia" w:ascii="宋体" w:hAnsi="宋体" w:eastAsia="宋体" w:cs="宋体"/>
          <w:color w:val="000000"/>
          <w:sz w:val="22"/>
        </w:rPr>
      </w:r>
      <w:r/>
    </w:p>
    <w:p>
      <w:pPr>
        <w:pStyle w:val="924"/>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rPr>
      </w:r>
      <w:r/>
    </w:p>
    <w:p>
      <w:pPr>
        <w:pStyle w:val="924"/>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4.该产品的关键组件要求实施前，“关键组件”栏可不填，下同。</w:t>
      </w:r>
      <w:r>
        <w:rPr>
          <w:rFonts w:hint="eastAsia" w:ascii="宋体" w:hAnsi="宋体" w:eastAsia="宋体" w:cs="宋体"/>
          <w:color w:val="000000"/>
          <w:sz w:val="22"/>
        </w:rPr>
      </w:r>
      <w:r/>
    </w:p>
    <w:p>
      <w:pPr>
        <w:pStyle w:val="924"/>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5.该产品的关键工序要求实施前，“关键工序”栏可不填，下同。</w:t>
      </w:r>
      <w:r>
        <w:rPr>
          <w:rFonts w:hint="eastAsia" w:ascii="宋体" w:hAnsi="宋体" w:eastAsia="宋体" w:cs="宋体"/>
          <w:color w:val="000000"/>
          <w:sz w:val="22"/>
          <w:shd w:val="clear" w:color="auto" w:fill="ffffff"/>
        </w:rPr>
      </w:r>
      <w:r/>
    </w:p>
    <w:p>
      <w:pPr>
        <w:pStyle w:val="924"/>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6.用斜线划除的地方无需填写。</w:t>
      </w:r>
      <w:r>
        <w:rPr>
          <w:rFonts w:hint="eastAsia" w:ascii="宋体" w:hAnsi="宋体" w:eastAsia="宋体" w:cs="宋体"/>
          <w:color w:val="000000"/>
          <w:sz w:val="22"/>
          <w:shd w:val="clear" w:color="auto" w:fill="ffffff"/>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方正魏碑_GBK">
    <w:panose1 w:val="020B0503020202020204"/>
  </w:font>
  <w:font w:name="MingLiU">
    <w:panose1 w:val="02020500000000000000"/>
  </w:font>
  <w:font w:name="Noto Sans CJK JP Regular">
    <w:panose1 w:val="020B0503020202020204"/>
  </w:font>
  <w:font w:name="Courier New">
    <w:panose1 w:val="02070309020205020404"/>
  </w:font>
  <w:font w:name="儷宋 Pro">
    <w:panose1 w:val="020B0503020202020204"/>
  </w:font>
  <w:font w:name="仿宋">
    <w:panose1 w:val="02010609060101010101"/>
  </w:font>
  <w:font w:name="等线">
    <w:panose1 w:val="02010600030101010101"/>
  </w:font>
  <w:font w:name="楷体_GB2312">
    <w:panose1 w:val="02010609060101010101"/>
  </w:font>
  <w:font w:name="幼圆">
    <w:panose1 w:val="02010509060101010101"/>
  </w:font>
  <w:font w:name="黑体">
    <w:panose1 w:val="02010609060101010101"/>
  </w:font>
  <w:font w:name="Verdan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7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7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w:t>
                          </w:r>
                          <w:r/>
                        </w:p>
                        <w:p>
                          <w:pPr>
                            <w:pStyle w:val="87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w:t>
                    </w:r>
                    <w:r/>
                  </w:p>
                  <w:p>
                    <w:pPr>
                      <w:pStyle w:val="87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tabs>
                              <w:tab w:val="clear" w:pos="4153" w:leader="none"/>
                              <w:tab w:val="clear" w:pos="8306" w:leader="none"/>
                            </w:tabs>
                            <w:rPr>
                              <w:rStyle w:val="934"/>
                            </w:rPr>
                          </w:pPr>
                          <w:r>
                            <w:rPr>
                              <w:rStyle w:val="934"/>
                            </w:rPr>
                            <w:t xml:space="preserve">第 </w:t>
                          </w:r>
                          <w:r>
                            <w:rPr>
                              <w:rStyle w:val="934"/>
                            </w:rPr>
                            <w:fldChar w:fldCharType="begin"/>
                          </w:r>
                          <w:r>
                            <w:rPr>
                              <w:rStyle w:val="934"/>
                            </w:rPr>
                            <w:instrText xml:space="preserve"> PAGE  \* MERGEFORMAT </w:instrText>
                          </w:r>
                          <w:r>
                            <w:rPr>
                              <w:rStyle w:val="934"/>
                            </w:rPr>
                            <w:fldChar w:fldCharType="separate"/>
                          </w:r>
                          <w:r>
                            <w:rPr>
                              <w:rStyle w:val="934"/>
                            </w:rPr>
                            <w:t xml:space="preserve">17</w:t>
                          </w:r>
                          <w:r>
                            <w:rPr>
                              <w:rStyle w:val="934"/>
                            </w:rPr>
                            <w:fldChar w:fldCharType="end"/>
                          </w:r>
                          <w:r>
                            <w:rPr>
                              <w:rStyle w:val="934"/>
                            </w:rPr>
                            <w:t xml:space="preserve"> 页</w:t>
                          </w:r>
                          <w:r>
                            <w:rPr>
                              <w:rStyle w:val="934"/>
                            </w:rPr>
                          </w:r>
                          <w:r/>
                        </w:p>
                        <w:p>
                          <w:pPr>
                            <w:pStyle w:val="87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tabs>
                        <w:tab w:val="clear" w:pos="4153" w:leader="none"/>
                        <w:tab w:val="clear" w:pos="8306" w:leader="none"/>
                      </w:tabs>
                      <w:rPr>
                        <w:rStyle w:val="934"/>
                      </w:rPr>
                    </w:pPr>
                    <w:r>
                      <w:rPr>
                        <w:rStyle w:val="934"/>
                      </w:rPr>
                      <w:t xml:space="preserve">第 </w:t>
                    </w:r>
                    <w:r>
                      <w:rPr>
                        <w:rStyle w:val="934"/>
                      </w:rPr>
                      <w:fldChar w:fldCharType="begin"/>
                    </w:r>
                    <w:r>
                      <w:rPr>
                        <w:rStyle w:val="934"/>
                      </w:rPr>
                      <w:instrText xml:space="preserve"> PAGE  \* MERGEFORMAT </w:instrText>
                    </w:r>
                    <w:r>
                      <w:rPr>
                        <w:rStyle w:val="934"/>
                      </w:rPr>
                      <w:fldChar w:fldCharType="separate"/>
                    </w:r>
                    <w:r>
                      <w:rPr>
                        <w:rStyle w:val="934"/>
                      </w:rPr>
                      <w:t xml:space="preserve">17</w:t>
                    </w:r>
                    <w:r>
                      <w:rPr>
                        <w:rStyle w:val="934"/>
                      </w:rPr>
                      <w:fldChar w:fldCharType="end"/>
                    </w:r>
                    <w:r>
                      <w:rPr>
                        <w:rStyle w:val="934"/>
                      </w:rPr>
                      <w:t xml:space="preserve"> 页</w:t>
                    </w:r>
                    <w:r>
                      <w:rPr>
                        <w:rStyle w:val="934"/>
                      </w:rPr>
                    </w:r>
                    <w:r/>
                  </w:p>
                  <w:p>
                    <w:pPr>
                      <w:pStyle w:val="8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11"/>
      <w:jc w:val="both"/>
      <w:tabs>
        <w:tab w:val="center" w:pos="4153" w:leader="none"/>
        <w:tab w:val="right" w:pos="8306" w:leader="none"/>
      </w:tabs>
      <w:rPr>
        <w:rFonts w:hint="eastAsia" w:ascii="宋体" w:hAnsi="宋体" w:cs="宋体"/>
      </w:rPr>
    </w:pPr>
    <w:r>
      <w:rPr>
        <w:rFonts w:hint="eastAsia" w:ascii="宋体" w:hAnsi="宋体" w:cs="宋体"/>
        <w:shd w:val="clear" w:color="auto" w:fill="ffffff"/>
        <w:lang w:eastAsia="zh-CN"/>
      </w:rPr>
      <w:t xml:space="preserve">JSZC-320000-JSWD-G2026-0021</w:t>
    </w:r>
    <w:r>
      <w:rPr>
        <w:rFonts w:hint="eastAsia" w:ascii="宋体" w:hAnsi="宋体" w:cs="宋体"/>
      </w:rPr>
      <w:t xml:space="preserve">                                   江苏万达工程造价事务所有限公司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36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11"/>
      <w:ind w:firstLine="180"/>
      <w:jc w:val="both"/>
      <w:tabs>
        <w:tab w:val="center" w:pos="4153" w:leader="none"/>
        <w:tab w:val="right" w:pos="8306" w:leader="none"/>
      </w:tabs>
      <w:rPr>
        <w:rFonts w:hint="eastAsia"/>
      </w:rPr>
    </w:pPr>
    <w:r>
      <w:rPr>
        <w:rFonts w:hint="eastAsia" w:ascii="宋体" w:hAnsi="宋体" w:cs="宋体"/>
        <w:shd w:val="clear" w:color="auto" w:fill="ffffff"/>
      </w:rPr>
      <w:t xml:space="preserve">JSZC-320000-JSWD-G2025-0118</w:t>
    </w:r>
    <w:r>
      <w:rPr>
        <w:rFonts w:hint="eastAsia" w:ascii="宋体" w:hAnsi="宋体" w:cs="宋体"/>
      </w:rPr>
      <w:t xml:space="preserve">                              江苏万达工程造价事务所有限公司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tabs>
        <w:tab w:val="center" w:pos="4153" w:leader="none"/>
        <w:tab w:val="right" w:pos="8306" w:leader="none"/>
      </w:tabs>
      <w:rPr>
        <w:rFonts w:hint="eastAsia"/>
      </w:rPr>
    </w:pPr>
    <w:r>
      <w:rPr>
        <w:rFonts w:hint="eastAsia" w:ascii="宋体" w:hAnsi="宋体" w:cs="宋体"/>
        <w:shd w:val="clear" w:color="auto" w:fill="ffffff"/>
        <w:lang w:eastAsia="zh-CN"/>
      </w:rPr>
      <w:t xml:space="preserve">JSZC-320000-JSWD-G2026-0021</w:t>
    </w:r>
    <w:r>
      <w:rPr>
        <w:rFonts w:hint="eastAsia" w:ascii="宋体" w:hAnsi="宋体" w:cs="宋体"/>
      </w:rPr>
      <w:t xml:space="preserve">                                 江苏万达工程造价事务所有限公司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8"/>
      <w:isLgl w:val="false"/>
      <w:suff w:val="tab"/>
      <w:lvlText w:val="%1"/>
      <w:lvlJc w:val="left"/>
      <w:pPr>
        <w:pStyle w:val="871"/>
        <w:ind w:left="0" w:firstLine="0"/>
      </w:pPr>
      <w:rPr>
        <w:rFonts w:hint="eastAsia"/>
      </w:rPr>
    </w:lvl>
    <w:lvl w:ilvl="1">
      <w:start w:val="1"/>
      <w:numFmt w:val="decimal"/>
      <w:pStyle w:val="996"/>
      <w:isLgl w:val="false"/>
      <w:suff w:val="tab"/>
      <w:lvlText w:val="_x0002_.%2"/>
      <w:lvlJc w:val="left"/>
      <w:pPr>
        <w:pStyle w:val="871"/>
        <w:ind w:left="0" w:firstLine="284"/>
      </w:pPr>
    </w:lvl>
    <w:lvl w:ilvl="2">
      <w:start w:val="1"/>
      <w:numFmt w:val="decimal"/>
      <w:pStyle w:val="1052"/>
      <w:isLgl w:val="false"/>
      <w:suff w:val="tab"/>
      <w:lvlText w:val="%1.%2.%3"/>
      <w:lvlJc w:val="left"/>
      <w:pPr>
        <w:pStyle w:val="871"/>
        <w:ind w:left="0" w:firstLine="567"/>
      </w:pPr>
      <w:rPr>
        <w:rFonts w:hint="eastAsia"/>
      </w:rPr>
    </w:lvl>
    <w:lvl w:ilvl="3">
      <w:start w:val="1"/>
      <w:numFmt w:val="decimal"/>
      <w:isLgl w:val="false"/>
      <w:suff w:val="tab"/>
      <w:lvlText w:val="%1.%2.%3.%4"/>
      <w:lvlJc w:val="left"/>
      <w:pPr>
        <w:pStyle w:val="871"/>
        <w:ind w:left="1984" w:hanging="708"/>
      </w:pPr>
      <w:rPr>
        <w:rFonts w:hint="eastAsia"/>
      </w:rPr>
    </w:lvl>
    <w:lvl w:ilvl="4">
      <w:start w:val="1"/>
      <w:numFmt w:val="decimal"/>
      <w:isLgl w:val="false"/>
      <w:suff w:val="tab"/>
      <w:lvlText w:val="%1.%2.%3.%4.%5"/>
      <w:lvlJc w:val="left"/>
      <w:pPr>
        <w:pStyle w:val="871"/>
        <w:ind w:left="2551" w:hanging="850"/>
      </w:pPr>
      <w:rPr>
        <w:rFonts w:hint="eastAsia"/>
      </w:rPr>
    </w:lvl>
    <w:lvl w:ilvl="5">
      <w:start w:val="1"/>
      <w:numFmt w:val="decimal"/>
      <w:isLgl w:val="false"/>
      <w:suff w:val="tab"/>
      <w:lvlText w:val="%1.%2.%3.%4.%5.%6"/>
      <w:lvlJc w:val="left"/>
      <w:pPr>
        <w:pStyle w:val="871"/>
        <w:ind w:left="3260" w:hanging="1134"/>
      </w:pPr>
      <w:rPr>
        <w:rFonts w:hint="eastAsia"/>
      </w:rPr>
    </w:lvl>
    <w:lvl w:ilvl="6">
      <w:start w:val="1"/>
      <w:numFmt w:val="decimal"/>
      <w:isLgl w:val="false"/>
      <w:suff w:val="tab"/>
      <w:lvlText w:val="%1.%2.%3.%4.%5.%6.%7"/>
      <w:lvlJc w:val="left"/>
      <w:pPr>
        <w:pStyle w:val="871"/>
        <w:ind w:left="3827" w:hanging="1276"/>
      </w:pPr>
      <w:rPr>
        <w:rFonts w:hint="eastAsia"/>
      </w:rPr>
    </w:lvl>
    <w:lvl w:ilvl="7">
      <w:start w:val="1"/>
      <w:numFmt w:val="decimal"/>
      <w:isLgl w:val="false"/>
      <w:suff w:val="tab"/>
      <w:lvlText w:val="%1.%2.%3.%4.%5.%6.%7.%8"/>
      <w:lvlJc w:val="left"/>
      <w:pPr>
        <w:pStyle w:val="871"/>
        <w:ind w:left="4394" w:hanging="1418"/>
      </w:pPr>
      <w:rPr>
        <w:rFonts w:hint="eastAsia"/>
      </w:rPr>
    </w:lvl>
    <w:lvl w:ilvl="8">
      <w:start w:val="1"/>
      <w:numFmt w:val="decimal"/>
      <w:isLgl w:val="false"/>
      <w:suff w:val="tab"/>
      <w:lvlText w:val="%1.%2.%3.%4.%5.%6.%7.%8.%9"/>
      <w:lvlJc w:val="left"/>
      <w:pPr>
        <w:pStyle w:val="871"/>
        <w:ind w:left="5102" w:hanging="1700"/>
      </w:pPr>
      <w:rPr>
        <w:rFonts w:hint="eastAsia"/>
      </w:rPr>
    </w:lvl>
  </w:abstractNum>
  <w:abstractNum w:abstractNumId="1">
    <w:multiLevelType w:val="hybridMultilevel"/>
    <w:lvl w:ilvl="0">
      <w:start w:val="5"/>
      <w:numFmt w:val="decimal"/>
      <w:isLgl w:val="false"/>
      <w:suff w:val="nothing"/>
      <w:lvlText w:val="%1、"/>
      <w:lvlJc w:val="left"/>
      <w:pPr>
        <w:pStyle w:val="871"/>
      </w:p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2">
    <w:multiLevelType w:val="hybridMultilevel"/>
    <w:lvl w:ilvl="0">
      <w:start w:val="1"/>
      <w:numFmt w:val="bullet"/>
      <w:pStyle w:val="898"/>
      <w:isLgl w:val="false"/>
      <w:suff w:val="tab"/>
      <w:lvlText w:val=""/>
      <w:lvlJc w:val="left"/>
      <w:pPr>
        <w:pStyle w:val="87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name w:val="Heading 1"/>
    <w:basedOn w:val="871"/>
    <w:next w:val="871"/>
    <w:link w:val="1030"/>
    <w:uiPriority w:val="9"/>
    <w:qFormat/>
    <w:pPr>
      <w:keepLines/>
      <w:keepNext/>
      <w:spacing w:before="480" w:after="200"/>
      <w:outlineLvl w:val="0"/>
    </w:pPr>
    <w:rPr>
      <w:rFonts w:ascii="Arial" w:hAnsi="Arial" w:eastAsia="Arial" w:cs="Arial"/>
      <w:sz w:val="40"/>
      <w:szCs w:val="40"/>
    </w:rPr>
  </w:style>
  <w:style w:type="paragraph" w:styleId="806">
    <w:name w:val="Heading 2"/>
    <w:basedOn w:val="871"/>
    <w:next w:val="871"/>
    <w:link w:val="1011"/>
    <w:uiPriority w:val="9"/>
    <w:unhideWhenUsed/>
    <w:qFormat/>
    <w:pPr>
      <w:keepLines/>
      <w:keepNext/>
      <w:spacing w:before="360" w:after="200"/>
      <w:outlineLvl w:val="1"/>
    </w:pPr>
    <w:rPr>
      <w:rFonts w:ascii="Arial" w:hAnsi="Arial" w:eastAsia="Arial" w:cs="Arial"/>
      <w:sz w:val="34"/>
    </w:rPr>
  </w:style>
  <w:style w:type="paragraph" w:styleId="807">
    <w:name w:val="Heading 3"/>
    <w:basedOn w:val="871"/>
    <w:next w:val="871"/>
    <w:link w:val="995"/>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71"/>
    <w:next w:val="871"/>
    <w:link w:val="809"/>
    <w:uiPriority w:val="9"/>
    <w:unhideWhenUsed/>
    <w:qFormat/>
    <w:pPr>
      <w:keepLines/>
      <w:keepNext/>
      <w:spacing w:before="320" w:after="200"/>
      <w:outlineLvl w:val="3"/>
    </w:pPr>
    <w:rPr>
      <w:rFonts w:ascii="Arial" w:hAnsi="Arial" w:eastAsia="Arial" w:cs="Arial"/>
      <w:b/>
      <w:bCs/>
      <w:sz w:val="26"/>
      <w:szCs w:val="26"/>
    </w:rPr>
  </w:style>
  <w:style w:type="character" w:styleId="809">
    <w:name w:val="Heading 4 Char"/>
    <w:link w:val="808"/>
    <w:uiPriority w:val="9"/>
    <w:rPr>
      <w:rFonts w:ascii="Arial" w:hAnsi="Arial" w:eastAsia="Arial" w:cs="Arial"/>
      <w:b/>
      <w:bCs/>
      <w:sz w:val="26"/>
      <w:szCs w:val="26"/>
    </w:rPr>
  </w:style>
  <w:style w:type="paragraph" w:styleId="810">
    <w:name w:val="Heading 5"/>
    <w:basedOn w:val="871"/>
    <w:next w:val="871"/>
    <w:link w:val="811"/>
    <w:uiPriority w:val="9"/>
    <w:unhideWhenUsed/>
    <w:qFormat/>
    <w:pPr>
      <w:keepLines/>
      <w:keepNext/>
      <w:spacing w:before="320" w:after="200"/>
      <w:outlineLvl w:val="4"/>
    </w:pPr>
    <w:rPr>
      <w:rFonts w:ascii="Arial" w:hAnsi="Arial" w:eastAsia="Arial" w:cs="Arial"/>
      <w:b/>
      <w:bCs/>
      <w:sz w:val="24"/>
      <w:szCs w:val="24"/>
    </w:rPr>
  </w:style>
  <w:style w:type="character" w:styleId="811">
    <w:name w:val="Heading 5 Char"/>
    <w:link w:val="810"/>
    <w:uiPriority w:val="9"/>
    <w:rPr>
      <w:rFonts w:ascii="Arial" w:hAnsi="Arial" w:eastAsia="Arial" w:cs="Arial"/>
      <w:b/>
      <w:bCs/>
      <w:sz w:val="24"/>
      <w:szCs w:val="24"/>
    </w:rPr>
  </w:style>
  <w:style w:type="paragraph" w:styleId="812">
    <w:name w:val="Heading 6"/>
    <w:basedOn w:val="871"/>
    <w:next w:val="871"/>
    <w:link w:val="813"/>
    <w:uiPriority w:val="9"/>
    <w:unhideWhenUsed/>
    <w:qFormat/>
    <w:pPr>
      <w:keepLines/>
      <w:keepNext/>
      <w:spacing w:before="320" w:after="200"/>
      <w:outlineLvl w:val="5"/>
    </w:pPr>
    <w:rPr>
      <w:rFonts w:ascii="Arial" w:hAnsi="Arial" w:eastAsia="Arial" w:cs="Arial"/>
      <w:b/>
      <w:bCs/>
      <w:sz w:val="22"/>
      <w:szCs w:val="22"/>
    </w:rPr>
  </w:style>
  <w:style w:type="character" w:styleId="813">
    <w:name w:val="Heading 6 Char"/>
    <w:link w:val="812"/>
    <w:uiPriority w:val="9"/>
    <w:rPr>
      <w:rFonts w:ascii="Arial" w:hAnsi="Arial" w:eastAsia="Arial" w:cs="Arial"/>
      <w:b/>
      <w:bCs/>
      <w:sz w:val="22"/>
      <w:szCs w:val="22"/>
    </w:rPr>
  </w:style>
  <w:style w:type="paragraph" w:styleId="814">
    <w:name w:val="Heading 7"/>
    <w:basedOn w:val="871"/>
    <w:next w:val="871"/>
    <w:link w:val="815"/>
    <w:uiPriority w:val="9"/>
    <w:unhideWhenUsed/>
    <w:qFormat/>
    <w:pPr>
      <w:keepLines/>
      <w:keepNext/>
      <w:spacing w:before="320" w:after="200"/>
      <w:outlineLvl w:val="6"/>
    </w:pPr>
    <w:rPr>
      <w:rFonts w:ascii="Arial" w:hAnsi="Arial" w:eastAsia="Arial" w:cs="Arial"/>
      <w:b/>
      <w:bCs/>
      <w:i/>
      <w:iCs/>
      <w:sz w:val="22"/>
      <w:szCs w:val="22"/>
    </w:rPr>
  </w:style>
  <w:style w:type="character" w:styleId="815">
    <w:name w:val="Heading 7 Char"/>
    <w:link w:val="814"/>
    <w:uiPriority w:val="9"/>
    <w:rPr>
      <w:rFonts w:ascii="Arial" w:hAnsi="Arial" w:eastAsia="Arial" w:cs="Arial"/>
      <w:b/>
      <w:bCs/>
      <w:i/>
      <w:iCs/>
      <w:sz w:val="22"/>
      <w:szCs w:val="22"/>
    </w:rPr>
  </w:style>
  <w:style w:type="paragraph" w:styleId="816">
    <w:name w:val="Heading 8"/>
    <w:basedOn w:val="871"/>
    <w:next w:val="871"/>
    <w:link w:val="817"/>
    <w:uiPriority w:val="9"/>
    <w:unhideWhenUsed/>
    <w:qFormat/>
    <w:pPr>
      <w:keepLines/>
      <w:keepNext/>
      <w:spacing w:before="320" w:after="200"/>
      <w:outlineLvl w:val="7"/>
    </w:pPr>
    <w:rPr>
      <w:rFonts w:ascii="Arial" w:hAnsi="Arial" w:eastAsia="Arial" w:cs="Arial"/>
      <w:i/>
      <w:iCs/>
      <w:sz w:val="22"/>
      <w:szCs w:val="22"/>
    </w:rPr>
  </w:style>
  <w:style w:type="character" w:styleId="817">
    <w:name w:val="Heading 8 Char"/>
    <w:link w:val="816"/>
    <w:uiPriority w:val="9"/>
    <w:rPr>
      <w:rFonts w:ascii="Arial" w:hAnsi="Arial" w:eastAsia="Arial" w:cs="Arial"/>
      <w:i/>
      <w:iCs/>
      <w:sz w:val="22"/>
      <w:szCs w:val="22"/>
    </w:rPr>
  </w:style>
  <w:style w:type="paragraph" w:styleId="818">
    <w:name w:val="Heading 9"/>
    <w:basedOn w:val="871"/>
    <w:next w:val="871"/>
    <w:link w:val="819"/>
    <w:uiPriority w:val="9"/>
    <w:unhideWhenUsed/>
    <w:qFormat/>
    <w:pPr>
      <w:keepLines/>
      <w:keepNext/>
      <w:spacing w:before="320" w:after="200"/>
      <w:outlineLvl w:val="8"/>
    </w:pPr>
    <w:rPr>
      <w:rFonts w:ascii="Arial" w:hAnsi="Arial" w:eastAsia="Arial" w:cs="Arial"/>
      <w:i/>
      <w:iCs/>
      <w:sz w:val="21"/>
      <w:szCs w:val="21"/>
    </w:rPr>
  </w:style>
  <w:style w:type="character" w:styleId="819">
    <w:name w:val="Heading 9 Char"/>
    <w:link w:val="818"/>
    <w:uiPriority w:val="9"/>
    <w:rPr>
      <w:rFonts w:ascii="Arial" w:hAnsi="Arial" w:eastAsia="Arial" w:cs="Arial"/>
      <w:i/>
      <w:iCs/>
      <w:sz w:val="21"/>
      <w:szCs w:val="21"/>
    </w:rPr>
  </w:style>
  <w:style w:type="paragraph" w:styleId="820">
    <w:name w:val="List Paragraph"/>
    <w:basedOn w:val="871"/>
    <w:uiPriority w:val="34"/>
    <w:qFormat/>
    <w:pPr>
      <w:contextualSpacing/>
      <w:ind w:left="720"/>
    </w:pPr>
  </w:style>
  <w:style w:type="paragraph" w:styleId="821">
    <w:name w:val="No Spacing"/>
    <w:uiPriority w:val="1"/>
    <w:qFormat/>
    <w:pPr>
      <w:spacing w:before="0" w:after="0" w:line="240" w:lineRule="auto"/>
    </w:pPr>
  </w:style>
  <w:style w:type="paragraph" w:styleId="822">
    <w:name w:val="Title"/>
    <w:basedOn w:val="871"/>
    <w:next w:val="871"/>
    <w:link w:val="823"/>
    <w:uiPriority w:val="10"/>
    <w:qFormat/>
    <w:pPr>
      <w:contextualSpacing/>
      <w:spacing w:before="300" w:after="200"/>
    </w:pPr>
    <w:rPr>
      <w:sz w:val="48"/>
      <w:szCs w:val="48"/>
    </w:rPr>
  </w:style>
  <w:style w:type="character" w:styleId="823">
    <w:name w:val="Title Char"/>
    <w:link w:val="822"/>
    <w:uiPriority w:val="10"/>
    <w:rPr>
      <w:sz w:val="48"/>
      <w:szCs w:val="48"/>
    </w:rPr>
  </w:style>
  <w:style w:type="paragraph" w:styleId="824">
    <w:name w:val="Subtitle"/>
    <w:basedOn w:val="871"/>
    <w:next w:val="871"/>
    <w:link w:val="825"/>
    <w:uiPriority w:val="11"/>
    <w:qFormat/>
    <w:pPr>
      <w:spacing w:before="200" w:after="200"/>
    </w:pPr>
    <w:rPr>
      <w:sz w:val="24"/>
      <w:szCs w:val="24"/>
    </w:rPr>
  </w:style>
  <w:style w:type="character" w:styleId="825">
    <w:name w:val="Subtitle Char"/>
    <w:link w:val="824"/>
    <w:uiPriority w:val="11"/>
    <w:rPr>
      <w:sz w:val="24"/>
      <w:szCs w:val="24"/>
    </w:rPr>
  </w:style>
  <w:style w:type="paragraph" w:styleId="826">
    <w:name w:val="Quote"/>
    <w:basedOn w:val="871"/>
    <w:next w:val="871"/>
    <w:link w:val="827"/>
    <w:uiPriority w:val="29"/>
    <w:qFormat/>
    <w:pPr>
      <w:ind w:left="720" w:right="720"/>
    </w:pPr>
    <w:rPr>
      <w:i/>
    </w:rPr>
  </w:style>
  <w:style w:type="character" w:styleId="827">
    <w:name w:val="Quote Char"/>
    <w:link w:val="826"/>
    <w:uiPriority w:val="29"/>
    <w:rPr>
      <w:i/>
    </w:rPr>
  </w:style>
  <w:style w:type="paragraph" w:styleId="828">
    <w:name w:val="Intense Quote"/>
    <w:basedOn w:val="871"/>
    <w:next w:val="871"/>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link w:val="828"/>
    <w:uiPriority w:val="30"/>
    <w:rPr>
      <w:i/>
    </w:rPr>
  </w:style>
  <w:style w:type="paragraph" w:styleId="830">
    <w:name w:val="Header"/>
    <w:basedOn w:val="871"/>
    <w:link w:val="1015"/>
    <w:uiPriority w:val="99"/>
    <w:unhideWhenUsed/>
    <w:pPr>
      <w:spacing w:after="0" w:line="240" w:lineRule="auto"/>
      <w:tabs>
        <w:tab w:val="center" w:pos="7143" w:leader="none"/>
        <w:tab w:val="right" w:pos="14287" w:leader="none"/>
      </w:tabs>
    </w:pPr>
  </w:style>
  <w:style w:type="paragraph" w:styleId="831">
    <w:name w:val="Footer"/>
    <w:basedOn w:val="871"/>
    <w:link w:val="1091"/>
    <w:uiPriority w:val="99"/>
    <w:unhideWhenUsed/>
    <w:pPr>
      <w:spacing w:after="0" w:line="240" w:lineRule="auto"/>
      <w:tabs>
        <w:tab w:val="center" w:pos="7143" w:leader="none"/>
        <w:tab w:val="right" w:pos="14287" w:leader="none"/>
      </w:tabs>
    </w:pPr>
  </w:style>
  <w:style w:type="paragraph" w:styleId="832">
    <w:name w:val="Caption"/>
    <w:basedOn w:val="871"/>
    <w:next w:val="871"/>
    <w:uiPriority w:val="35"/>
    <w:semiHidden/>
    <w:unhideWhenUsed/>
    <w:qFormat/>
    <w:pPr>
      <w:spacing w:line="276" w:lineRule="auto"/>
    </w:pPr>
    <w:rPr>
      <w:b/>
      <w:bCs/>
      <w:color w:val="4f81bd" w:themeColor="accent1"/>
      <w:sz w:val="18"/>
      <w:szCs w:val="18"/>
    </w:rPr>
  </w:style>
  <w:style w:type="table" w:styleId="8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Calibri" w:hAnsi="Calibri"/>
      <w:sz w:val="21"/>
      <w:szCs w:val="22"/>
      <w:lang w:val="en-US" w:eastAsia="zh-CN" w:bidi="ar-SA"/>
    </w:rPr>
  </w:style>
  <w:style w:type="paragraph" w:styleId="872">
    <w:name w:val="标题 1"/>
    <w:basedOn w:val="871"/>
    <w:next w:val="871"/>
    <w:link w:val="871"/>
    <w:uiPriority w:val="9"/>
    <w:qFormat/>
    <w:pPr>
      <w:keepLines/>
      <w:keepNext/>
      <w:spacing w:before="340" w:after="330" w:line="578" w:lineRule="auto"/>
      <w:outlineLvl w:val="0"/>
    </w:pPr>
    <w:rPr>
      <w:b/>
      <w:bCs/>
      <w:sz w:val="44"/>
      <w:szCs w:val="44"/>
    </w:rPr>
  </w:style>
  <w:style w:type="paragraph" w:styleId="873">
    <w:name w:val="标题 2"/>
    <w:basedOn w:val="871"/>
    <w:next w:val="871"/>
    <w:link w:val="871"/>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71"/>
    <w:link w:val="871"/>
    <w:qFormat/>
    <w:pPr>
      <w:keepLines/>
      <w:keepNext/>
      <w:spacing w:before="260" w:after="260" w:line="416" w:lineRule="auto"/>
      <w:outlineLvl w:val="2"/>
    </w:pPr>
    <w:rPr>
      <w:b/>
      <w:bCs/>
      <w:sz w:val="32"/>
      <w:szCs w:val="32"/>
    </w:rPr>
  </w:style>
  <w:style w:type="paragraph" w:styleId="875">
    <w:name w:val="标题 4"/>
    <w:basedOn w:val="871"/>
    <w:next w:val="871"/>
    <w:link w:val="884"/>
    <w:uiPriority w:val="9"/>
    <w:qFormat/>
    <w:pPr>
      <w:keepLines/>
      <w:keepNext/>
      <w:spacing w:before="320" w:after="200"/>
      <w:outlineLvl w:val="3"/>
    </w:pPr>
    <w:rPr>
      <w:rFonts w:ascii="Arial" w:hAnsi="Arial" w:eastAsia="Arial" w:cs="Arial"/>
      <w:b/>
      <w:bCs/>
      <w:sz w:val="26"/>
      <w:szCs w:val="26"/>
    </w:rPr>
  </w:style>
  <w:style w:type="paragraph" w:styleId="876">
    <w:name w:val="标题 5"/>
    <w:basedOn w:val="871"/>
    <w:next w:val="871"/>
    <w:link w:val="885"/>
    <w:uiPriority w:val="9"/>
    <w:qFormat/>
    <w:pPr>
      <w:keepLines/>
      <w:keepNext/>
      <w:spacing w:before="320" w:after="200"/>
      <w:outlineLvl w:val="4"/>
    </w:pPr>
    <w:rPr>
      <w:rFonts w:ascii="Arial" w:hAnsi="Arial" w:eastAsia="Arial" w:cs="Arial"/>
      <w:b/>
      <w:bCs/>
      <w:sz w:val="24"/>
      <w:szCs w:val="24"/>
    </w:rPr>
  </w:style>
  <w:style w:type="paragraph" w:styleId="877">
    <w:name w:val="标题 6"/>
    <w:basedOn w:val="871"/>
    <w:next w:val="871"/>
    <w:link w:val="886"/>
    <w:uiPriority w:val="9"/>
    <w:qFormat/>
    <w:pPr>
      <w:keepLines/>
      <w:keepNext/>
      <w:spacing w:before="320" w:after="200"/>
      <w:outlineLvl w:val="5"/>
    </w:pPr>
    <w:rPr>
      <w:rFonts w:ascii="Arial" w:hAnsi="Arial" w:eastAsia="Arial" w:cs="Arial"/>
      <w:b/>
      <w:bCs/>
      <w:sz w:val="22"/>
    </w:rPr>
  </w:style>
  <w:style w:type="paragraph" w:styleId="878">
    <w:name w:val="标题 7"/>
    <w:basedOn w:val="871"/>
    <w:next w:val="871"/>
    <w:link w:val="887"/>
    <w:uiPriority w:val="9"/>
    <w:qFormat/>
    <w:pPr>
      <w:keepLines/>
      <w:keepNext/>
      <w:spacing w:before="320" w:after="200"/>
      <w:outlineLvl w:val="6"/>
    </w:pPr>
    <w:rPr>
      <w:rFonts w:ascii="Arial" w:hAnsi="Arial" w:eastAsia="Arial" w:cs="Arial"/>
      <w:b/>
      <w:bCs/>
      <w:i/>
      <w:iCs/>
      <w:sz w:val="22"/>
    </w:rPr>
  </w:style>
  <w:style w:type="paragraph" w:styleId="879">
    <w:name w:val="标题 8"/>
    <w:basedOn w:val="871"/>
    <w:next w:val="871"/>
    <w:link w:val="888"/>
    <w:uiPriority w:val="9"/>
    <w:qFormat/>
    <w:pPr>
      <w:keepLines/>
      <w:keepNext/>
      <w:spacing w:before="320" w:after="200"/>
      <w:outlineLvl w:val="7"/>
    </w:pPr>
    <w:rPr>
      <w:rFonts w:ascii="Arial" w:hAnsi="Arial" w:eastAsia="Arial" w:cs="Arial"/>
      <w:i/>
      <w:iCs/>
      <w:sz w:val="22"/>
    </w:rPr>
  </w:style>
  <w:style w:type="paragraph" w:styleId="880">
    <w:name w:val="标题 9"/>
    <w:basedOn w:val="871"/>
    <w:next w:val="871"/>
    <w:link w:val="889"/>
    <w:uiPriority w:val="9"/>
    <w:qFormat/>
    <w:pPr>
      <w:keepLines/>
      <w:keepNext/>
      <w:spacing w:before="320" w:after="200"/>
      <w:outlineLvl w:val="8"/>
    </w:pPr>
    <w:rPr>
      <w:rFonts w:ascii="Arial" w:hAnsi="Arial" w:eastAsia="Arial" w:cs="Arial"/>
      <w:i/>
      <w:iCs/>
      <w:szCs w:val="21"/>
    </w:rPr>
  </w:style>
  <w:style w:type="character" w:styleId="881">
    <w:name w:val="默认段落字体"/>
    <w:next w:val="881"/>
    <w:link w:val="871"/>
    <w:uiPriority w:val="1"/>
    <w:unhideWhenUsed/>
    <w:qFormat/>
  </w:style>
  <w:style w:type="table" w:styleId="882">
    <w:name w:val="普通表格"/>
    <w:next w:val="882"/>
    <w:link w:val="871"/>
    <w:uiPriority w:val="99"/>
    <w:unhideWhenUsed/>
    <w:qFormat/>
    <w:tblPr/>
  </w:style>
  <w:style w:type="paragraph" w:styleId="883">
    <w:name w:val="正文（缩进）"/>
    <w:basedOn w:val="871"/>
    <w:next w:val="883"/>
    <w:link w:val="871"/>
    <w:qFormat/>
    <w:pPr>
      <w:ind w:firstLine="480"/>
    </w:pPr>
  </w:style>
  <w:style w:type="character" w:styleId="884">
    <w:name w:val="标题 4 字符"/>
    <w:next w:val="884"/>
    <w:link w:val="875"/>
    <w:uiPriority w:val="9"/>
    <w:qFormat/>
    <w:rPr>
      <w:rFonts w:ascii="Arial" w:hAnsi="Arial" w:eastAsia="Arial" w:cs="Arial"/>
      <w:b/>
      <w:bCs/>
      <w:sz w:val="26"/>
      <w:szCs w:val="26"/>
    </w:rPr>
  </w:style>
  <w:style w:type="character" w:styleId="885">
    <w:name w:val="标题 5 字符"/>
    <w:next w:val="885"/>
    <w:link w:val="876"/>
    <w:uiPriority w:val="9"/>
    <w:qFormat/>
    <w:rPr>
      <w:rFonts w:ascii="Arial" w:hAnsi="Arial" w:eastAsia="Arial" w:cs="Arial"/>
      <w:b/>
      <w:bCs/>
      <w:sz w:val="24"/>
      <w:szCs w:val="24"/>
    </w:rPr>
  </w:style>
  <w:style w:type="character" w:styleId="886">
    <w:name w:val="标题 6 字符"/>
    <w:next w:val="886"/>
    <w:link w:val="877"/>
    <w:uiPriority w:val="9"/>
    <w:qFormat/>
    <w:rPr>
      <w:rFonts w:ascii="Arial" w:hAnsi="Arial" w:eastAsia="Arial" w:cs="Arial"/>
      <w:b/>
      <w:bCs/>
      <w:sz w:val="22"/>
      <w:szCs w:val="22"/>
    </w:rPr>
  </w:style>
  <w:style w:type="character" w:styleId="887">
    <w:name w:val="标题 7 字符"/>
    <w:next w:val="887"/>
    <w:link w:val="878"/>
    <w:uiPriority w:val="9"/>
    <w:qFormat/>
    <w:rPr>
      <w:rFonts w:ascii="Arial" w:hAnsi="Arial" w:eastAsia="Arial" w:cs="Arial"/>
      <w:b/>
      <w:bCs/>
      <w:i/>
      <w:iCs/>
      <w:sz w:val="22"/>
      <w:szCs w:val="22"/>
    </w:rPr>
  </w:style>
  <w:style w:type="character" w:styleId="888">
    <w:name w:val="标题 8 字符"/>
    <w:next w:val="888"/>
    <w:link w:val="879"/>
    <w:uiPriority w:val="9"/>
    <w:qFormat/>
    <w:rPr>
      <w:rFonts w:ascii="Arial" w:hAnsi="Arial" w:eastAsia="Arial" w:cs="Arial"/>
      <w:i/>
      <w:iCs/>
      <w:sz w:val="22"/>
      <w:szCs w:val="22"/>
    </w:rPr>
  </w:style>
  <w:style w:type="character" w:styleId="889">
    <w:name w:val="标题 9 字符"/>
    <w:next w:val="889"/>
    <w:link w:val="880"/>
    <w:uiPriority w:val="9"/>
    <w:qFormat/>
    <w:rPr>
      <w:rFonts w:ascii="Arial" w:hAnsi="Arial" w:eastAsia="Arial" w:cs="Arial"/>
      <w:i/>
      <w:iCs/>
      <w:sz w:val="21"/>
      <w:szCs w:val="21"/>
    </w:rPr>
  </w:style>
  <w:style w:type="paragraph" w:styleId="890">
    <w:name w:val="目录 7"/>
    <w:basedOn w:val="871"/>
    <w:next w:val="871"/>
    <w:link w:val="871"/>
    <w:uiPriority w:val="39"/>
    <w:unhideWhenUsed/>
    <w:qFormat/>
    <w:pPr>
      <w:ind w:left="1701"/>
      <w:spacing w:after="57"/>
    </w:pPr>
  </w:style>
  <w:style w:type="paragraph" w:styleId="891">
    <w:name w:val="引文目录"/>
    <w:basedOn w:val="871"/>
    <w:next w:val="871"/>
    <w:link w:val="871"/>
    <w:qFormat/>
    <w:pPr>
      <w:ind w:left="420" w:firstLine="200"/>
      <w:spacing w:line="360" w:lineRule="auto"/>
    </w:pPr>
    <w:rPr>
      <w:rFonts w:ascii="Times New Roman" w:hAnsi="Times New Roman"/>
      <w:sz w:val="24"/>
      <w:szCs w:val="24"/>
    </w:rPr>
  </w:style>
  <w:style w:type="paragraph" w:styleId="892">
    <w:name w:val="正文缩进"/>
    <w:basedOn w:val="871"/>
    <w:next w:val="892"/>
    <w:link w:val="871"/>
    <w:unhideWhenUsed/>
    <w:qFormat/>
    <w:pPr>
      <w:ind w:firstLine="420"/>
    </w:pPr>
  </w:style>
  <w:style w:type="paragraph" w:styleId="893">
    <w:name w:val="题注"/>
    <w:basedOn w:val="871"/>
    <w:next w:val="871"/>
    <w:link w:val="871"/>
    <w:uiPriority w:val="35"/>
    <w:qFormat/>
    <w:pPr>
      <w:spacing w:line="276" w:lineRule="auto"/>
    </w:pPr>
    <w:rPr>
      <w:b/>
      <w:bCs/>
      <w:color w:val="5b9bd5"/>
      <w:sz w:val="18"/>
      <w:szCs w:val="18"/>
    </w:rPr>
  </w:style>
  <w:style w:type="paragraph" w:styleId="894">
    <w:name w:val="批注文字"/>
    <w:basedOn w:val="871"/>
    <w:next w:val="894"/>
    <w:link w:val="895"/>
    <w:qFormat/>
    <w:pPr>
      <w:jc w:val="left"/>
    </w:pPr>
  </w:style>
  <w:style w:type="character" w:styleId="895">
    <w:name w:val="批注文字 字符"/>
    <w:next w:val="895"/>
    <w:link w:val="894"/>
    <w:qFormat/>
    <w:rPr>
      <w:rFonts w:ascii="Calibri" w:hAnsi="Calibri"/>
      <w:sz w:val="21"/>
      <w:szCs w:val="22"/>
    </w:rPr>
  </w:style>
  <w:style w:type="paragraph" w:styleId="896">
    <w:name w:val="正文文本"/>
    <w:basedOn w:val="871"/>
    <w:next w:val="896"/>
    <w:link w:val="871"/>
    <w:qFormat/>
    <w:rPr>
      <w:rFonts w:ascii="楷体_GB2312" w:hAnsi="Arial" w:eastAsia="楷体_GB2312"/>
      <w:sz w:val="28"/>
      <w:szCs w:val="28"/>
    </w:rPr>
  </w:style>
  <w:style w:type="paragraph" w:styleId="897">
    <w:name w:val="正文文本缩进"/>
    <w:basedOn w:val="871"/>
    <w:next w:val="897"/>
    <w:link w:val="871"/>
    <w:qFormat/>
    <w:pPr>
      <w:ind w:left="420"/>
      <w:spacing w:after="120"/>
    </w:pPr>
    <w:rPr>
      <w:rFonts w:ascii="等线" w:hAnsi="等线" w:eastAsia="等线"/>
    </w:rPr>
  </w:style>
  <w:style w:type="paragraph" w:styleId="898">
    <w:name w:val="列表项目符号 2"/>
    <w:basedOn w:val="871"/>
    <w:next w:val="898"/>
    <w:link w:val="871"/>
    <w:uiPriority w:val="99"/>
    <w:unhideWhenUsed/>
    <w:pPr>
      <w:numPr>
        <w:ilvl w:val="0"/>
        <w:numId w:val="1"/>
      </w:numPr>
      <w:tabs>
        <w:tab w:val="left" w:pos="780" w:leader="none"/>
      </w:tabs>
    </w:pPr>
  </w:style>
  <w:style w:type="paragraph" w:styleId="899">
    <w:name w:val="索引 4"/>
    <w:basedOn w:val="871"/>
    <w:next w:val="871"/>
    <w:link w:val="871"/>
    <w:uiPriority w:val="99"/>
    <w:qFormat/>
    <w:pPr>
      <w:ind w:left="600"/>
    </w:pPr>
    <w:rPr>
      <w:rFonts w:ascii="Verdana" w:hAnsi="Verdana"/>
      <w:szCs w:val="20"/>
    </w:rPr>
  </w:style>
  <w:style w:type="paragraph" w:styleId="900">
    <w:name w:val="目录 5"/>
    <w:basedOn w:val="871"/>
    <w:next w:val="871"/>
    <w:link w:val="871"/>
    <w:uiPriority w:val="39"/>
    <w:unhideWhenUsed/>
    <w:qFormat/>
    <w:pPr>
      <w:ind w:left="1134"/>
      <w:spacing w:after="57"/>
    </w:pPr>
  </w:style>
  <w:style w:type="paragraph" w:styleId="901">
    <w:name w:val="目录 3"/>
    <w:basedOn w:val="871"/>
    <w:next w:val="871"/>
    <w:link w:val="871"/>
    <w:uiPriority w:val="39"/>
    <w:unhideWhenUsed/>
    <w:qFormat/>
    <w:pPr>
      <w:ind w:left="567"/>
      <w:spacing w:after="57"/>
    </w:pPr>
  </w:style>
  <w:style w:type="paragraph" w:styleId="902">
    <w:name w:val="纯文本"/>
    <w:basedOn w:val="871"/>
    <w:next w:val="902"/>
    <w:link w:val="871"/>
    <w:uiPriority w:val="99"/>
    <w:qFormat/>
    <w:rPr>
      <w:rFonts w:ascii="宋体" w:hAnsi="Courier New"/>
      <w:sz w:val="20"/>
      <w:szCs w:val="21"/>
    </w:rPr>
  </w:style>
  <w:style w:type="paragraph" w:styleId="903">
    <w:name w:val="目录 8"/>
    <w:basedOn w:val="871"/>
    <w:next w:val="871"/>
    <w:link w:val="871"/>
    <w:uiPriority w:val="39"/>
    <w:unhideWhenUsed/>
    <w:qFormat/>
    <w:pPr>
      <w:ind w:left="1984"/>
      <w:spacing w:after="57"/>
    </w:pPr>
  </w:style>
  <w:style w:type="paragraph" w:styleId="904">
    <w:name w:val="正文文本缩进 2"/>
    <w:basedOn w:val="871"/>
    <w:next w:val="904"/>
    <w:link w:val="871"/>
    <w:uiPriority w:val="99"/>
    <w:unhideWhenUsed/>
    <w:qFormat/>
    <w:pPr>
      <w:ind w:firstLine="510"/>
      <w:spacing w:line="520" w:lineRule="exact"/>
    </w:pPr>
    <w:rPr>
      <w:rFonts w:ascii="儷宋 Pro" w:eastAsia="儷宋 Pro"/>
      <w:sz w:val="28"/>
      <w:szCs w:val="20"/>
    </w:rPr>
  </w:style>
  <w:style w:type="paragraph" w:styleId="905">
    <w:name w:val="尾注文本"/>
    <w:basedOn w:val="871"/>
    <w:next w:val="905"/>
    <w:link w:val="906"/>
    <w:uiPriority w:val="99"/>
    <w:unhideWhenUsed/>
    <w:qFormat/>
    <w:rPr>
      <w:sz w:val="20"/>
    </w:rPr>
  </w:style>
  <w:style w:type="character" w:styleId="906">
    <w:name w:val="尾注文本 字符"/>
    <w:next w:val="906"/>
    <w:link w:val="905"/>
    <w:uiPriority w:val="99"/>
    <w:qFormat/>
    <w:rPr>
      <w:sz w:val="20"/>
    </w:rPr>
  </w:style>
  <w:style w:type="paragraph" w:styleId="907">
    <w:name w:val="批注框文本"/>
    <w:basedOn w:val="871"/>
    <w:next w:val="907"/>
    <w:link w:val="908"/>
    <w:qFormat/>
    <w:rPr>
      <w:sz w:val="18"/>
      <w:szCs w:val="18"/>
    </w:rPr>
  </w:style>
  <w:style w:type="character" w:styleId="908">
    <w:name w:val="批注框文本 字符"/>
    <w:next w:val="908"/>
    <w:link w:val="907"/>
    <w:qFormat/>
    <w:rPr>
      <w:sz w:val="18"/>
      <w:szCs w:val="18"/>
    </w:rPr>
  </w:style>
  <w:style w:type="paragraph" w:styleId="909">
    <w:name w:val="页脚"/>
    <w:basedOn w:val="871"/>
    <w:next w:val="909"/>
    <w:link w:val="871"/>
    <w:uiPriority w:val="99"/>
    <w:unhideWhenUsed/>
    <w:qFormat/>
    <w:pPr>
      <w:jc w:val="left"/>
      <w:tabs>
        <w:tab w:val="center" w:pos="4153" w:leader="none"/>
        <w:tab w:val="right" w:pos="8306" w:leader="none"/>
      </w:tabs>
    </w:pPr>
    <w:rPr>
      <w:sz w:val="18"/>
      <w:szCs w:val="18"/>
    </w:rPr>
  </w:style>
  <w:style w:type="paragraph" w:styleId="910">
    <w:name w:val="寄信人地址"/>
    <w:basedOn w:val="871"/>
    <w:next w:val="910"/>
    <w:link w:val="871"/>
    <w:uiPriority w:val="99"/>
    <w:unhideWhenUsed/>
    <w:qFormat/>
    <w:rPr>
      <w:rFonts w:ascii="Arial" w:hAnsi="Arial"/>
    </w:rPr>
  </w:style>
  <w:style w:type="paragraph" w:styleId="911">
    <w:name w:val="页眉"/>
    <w:basedOn w:val="871"/>
    <w:next w:val="911"/>
    <w:link w:val="87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12">
    <w:name w:val="目录 1"/>
    <w:basedOn w:val="871"/>
    <w:next w:val="871"/>
    <w:link w:val="871"/>
    <w:uiPriority w:val="39"/>
    <w:unhideWhenUsed/>
    <w:qFormat/>
  </w:style>
  <w:style w:type="paragraph" w:styleId="913">
    <w:name w:val="目录 4"/>
    <w:basedOn w:val="871"/>
    <w:next w:val="871"/>
    <w:link w:val="871"/>
    <w:uiPriority w:val="39"/>
    <w:unhideWhenUsed/>
    <w:qFormat/>
    <w:pPr>
      <w:ind w:left="850"/>
      <w:spacing w:after="57"/>
    </w:pPr>
  </w:style>
  <w:style w:type="paragraph" w:styleId="914">
    <w:name w:val="副标题"/>
    <w:basedOn w:val="871"/>
    <w:next w:val="871"/>
    <w:link w:val="915"/>
    <w:uiPriority w:val="11"/>
    <w:qFormat/>
    <w:pPr>
      <w:spacing w:before="200" w:after="200"/>
    </w:pPr>
    <w:rPr>
      <w:sz w:val="24"/>
      <w:szCs w:val="24"/>
    </w:rPr>
  </w:style>
  <w:style w:type="character" w:styleId="915">
    <w:name w:val="副标题 字符"/>
    <w:next w:val="915"/>
    <w:link w:val="914"/>
    <w:uiPriority w:val="11"/>
    <w:qFormat/>
    <w:rPr>
      <w:sz w:val="24"/>
      <w:szCs w:val="24"/>
    </w:rPr>
  </w:style>
  <w:style w:type="paragraph" w:styleId="916">
    <w:name w:val="脚注文本"/>
    <w:basedOn w:val="871"/>
    <w:next w:val="916"/>
    <w:link w:val="917"/>
    <w:uiPriority w:val="99"/>
    <w:unhideWhenUsed/>
    <w:qFormat/>
    <w:pPr>
      <w:spacing w:after="40"/>
    </w:pPr>
    <w:rPr>
      <w:sz w:val="18"/>
    </w:rPr>
  </w:style>
  <w:style w:type="character" w:styleId="917">
    <w:name w:val="脚注文本 字符"/>
    <w:next w:val="917"/>
    <w:link w:val="916"/>
    <w:uiPriority w:val="99"/>
    <w:qFormat/>
    <w:rPr>
      <w:sz w:val="18"/>
    </w:rPr>
  </w:style>
  <w:style w:type="paragraph" w:styleId="918">
    <w:name w:val="目录 6"/>
    <w:basedOn w:val="871"/>
    <w:next w:val="871"/>
    <w:link w:val="871"/>
    <w:uiPriority w:val="39"/>
    <w:unhideWhenUsed/>
    <w:qFormat/>
    <w:pPr>
      <w:ind w:left="1417"/>
      <w:spacing w:after="57"/>
    </w:pPr>
  </w:style>
  <w:style w:type="paragraph" w:styleId="919">
    <w:name w:val="图表目录"/>
    <w:basedOn w:val="871"/>
    <w:next w:val="871"/>
    <w:link w:val="871"/>
    <w:uiPriority w:val="99"/>
    <w:unhideWhenUsed/>
    <w:qFormat/>
  </w:style>
  <w:style w:type="paragraph" w:styleId="920">
    <w:name w:val="目录 2"/>
    <w:basedOn w:val="871"/>
    <w:next w:val="871"/>
    <w:link w:val="871"/>
    <w:uiPriority w:val="39"/>
    <w:unhideWhenUsed/>
    <w:qFormat/>
    <w:pPr>
      <w:ind w:left="283"/>
      <w:spacing w:after="57"/>
    </w:pPr>
  </w:style>
  <w:style w:type="paragraph" w:styleId="921">
    <w:name w:val="目录 9"/>
    <w:basedOn w:val="871"/>
    <w:next w:val="871"/>
    <w:link w:val="871"/>
    <w:uiPriority w:val="39"/>
    <w:unhideWhenUsed/>
    <w:qFormat/>
    <w:pPr>
      <w:ind w:left="2268"/>
      <w:spacing w:after="57"/>
    </w:pPr>
  </w:style>
  <w:style w:type="paragraph" w:styleId="922">
    <w:name w:val="正文文本 2"/>
    <w:basedOn w:val="871"/>
    <w:next w:val="922"/>
    <w:link w:val="871"/>
    <w:qFormat/>
    <w:pPr>
      <w:spacing w:after="120" w:line="480" w:lineRule="auto"/>
    </w:pPr>
  </w:style>
  <w:style w:type="paragraph" w:styleId="923">
    <w:name w:val="信息标题"/>
    <w:basedOn w:val="871"/>
    <w:next w:val="923"/>
    <w:link w:val="87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24">
    <w:name w:val="普通(网站)"/>
    <w:basedOn w:val="871"/>
    <w:next w:val="924"/>
    <w:link w:val="871"/>
    <w:qFormat/>
    <w:rPr>
      <w:rFonts w:ascii="Times New Roman" w:hAnsi="Times New Roman"/>
      <w:sz w:val="24"/>
    </w:rPr>
  </w:style>
  <w:style w:type="paragraph" w:styleId="925">
    <w:name w:val="标题"/>
    <w:basedOn w:val="871"/>
    <w:next w:val="871"/>
    <w:link w:val="926"/>
    <w:uiPriority w:val="10"/>
    <w:qFormat/>
    <w:pPr>
      <w:contextualSpacing/>
      <w:spacing w:before="300" w:after="200"/>
    </w:pPr>
    <w:rPr>
      <w:sz w:val="48"/>
      <w:szCs w:val="48"/>
    </w:rPr>
  </w:style>
  <w:style w:type="character" w:styleId="926">
    <w:name w:val="标题 字符"/>
    <w:next w:val="926"/>
    <w:link w:val="925"/>
    <w:uiPriority w:val="10"/>
    <w:qFormat/>
    <w:rPr>
      <w:sz w:val="48"/>
      <w:szCs w:val="48"/>
    </w:rPr>
  </w:style>
  <w:style w:type="paragraph" w:styleId="927">
    <w:name w:val="批注主题"/>
    <w:basedOn w:val="894"/>
    <w:next w:val="894"/>
    <w:link w:val="928"/>
    <w:qFormat/>
    <w:rPr>
      <w:b/>
      <w:bCs/>
    </w:rPr>
  </w:style>
  <w:style w:type="character" w:styleId="928">
    <w:name w:val="批注主题 字符"/>
    <w:next w:val="928"/>
    <w:link w:val="927"/>
    <w:qFormat/>
    <w:rPr>
      <w:rFonts w:ascii="Calibri" w:hAnsi="Calibri"/>
      <w:b/>
      <w:bCs/>
      <w:sz w:val="21"/>
      <w:szCs w:val="22"/>
    </w:rPr>
  </w:style>
  <w:style w:type="paragraph" w:styleId="929">
    <w:name w:val="正文首行缩进"/>
    <w:basedOn w:val="896"/>
    <w:next w:val="929"/>
    <w:link w:val="871"/>
    <w:qFormat/>
    <w:pPr>
      <w:ind w:firstLine="420"/>
      <w:spacing w:after="120"/>
    </w:pPr>
    <w:rPr>
      <w:rFonts w:ascii="Times New Roman" w:eastAsia="宋体"/>
      <w:sz w:val="21"/>
    </w:rPr>
  </w:style>
  <w:style w:type="paragraph" w:styleId="930">
    <w:name w:val="正文首行缩进 2"/>
    <w:basedOn w:val="871"/>
    <w:next w:val="930"/>
    <w:link w:val="871"/>
    <w:qFormat/>
    <w:pPr>
      <w:ind w:firstLine="420"/>
      <w:spacing w:before="100" w:beforeAutospacing="1"/>
    </w:pPr>
    <w:rPr>
      <w:rFonts w:ascii="Times New Roman" w:hAnsi="Times New Roman" w:eastAsia="宋体"/>
      <w:sz w:val="20"/>
      <w:szCs w:val="21"/>
    </w:rPr>
  </w:style>
  <w:style w:type="table" w:styleId="931">
    <w:name w:val="网格型"/>
    <w:basedOn w:val="882"/>
    <w:next w:val="931"/>
    <w:link w:val="871"/>
    <w:qFormat/>
    <w:pPr>
      <w:jc w:val="both"/>
      <w:widowControl w:val="off"/>
    </w:pPr>
    <w:tblPr/>
  </w:style>
  <w:style w:type="character" w:styleId="932">
    <w:name w:val="要点"/>
    <w:next w:val="932"/>
    <w:link w:val="871"/>
    <w:qFormat/>
    <w:rPr>
      <w:b/>
    </w:rPr>
  </w:style>
  <w:style w:type="character" w:styleId="933">
    <w:name w:val="尾注引用"/>
    <w:next w:val="933"/>
    <w:link w:val="871"/>
    <w:uiPriority w:val="99"/>
    <w:unhideWhenUsed/>
    <w:qFormat/>
    <w:rPr>
      <w:vertAlign w:val="superscript"/>
    </w:rPr>
  </w:style>
  <w:style w:type="character" w:styleId="934">
    <w:name w:val="页码"/>
    <w:next w:val="934"/>
    <w:link w:val="871"/>
    <w:qFormat/>
  </w:style>
  <w:style w:type="character" w:styleId="935">
    <w:name w:val="强调"/>
    <w:next w:val="935"/>
    <w:link w:val="871"/>
    <w:qFormat/>
    <w:rPr>
      <w:i/>
    </w:rPr>
  </w:style>
  <w:style w:type="character" w:styleId="936">
    <w:name w:val="超链接"/>
    <w:next w:val="936"/>
    <w:link w:val="871"/>
    <w:qFormat/>
    <w:rPr>
      <w:color w:val="0000ff"/>
      <w:u w:val="single"/>
    </w:rPr>
  </w:style>
  <w:style w:type="character" w:styleId="937">
    <w:name w:val="批注引用"/>
    <w:next w:val="937"/>
    <w:link w:val="871"/>
    <w:qFormat/>
    <w:rPr>
      <w:sz w:val="21"/>
      <w:szCs w:val="21"/>
    </w:rPr>
  </w:style>
  <w:style w:type="character" w:styleId="938">
    <w:name w:val="脚注引用"/>
    <w:next w:val="938"/>
    <w:link w:val="871"/>
    <w:uiPriority w:val="99"/>
    <w:unhideWhenUsed/>
    <w:qFormat/>
    <w:rPr>
      <w:vertAlign w:val="superscript"/>
    </w:rPr>
  </w:style>
  <w:style w:type="character" w:styleId="939">
    <w:name w:val="font81"/>
    <w:next w:val="939"/>
    <w:link w:val="871"/>
    <w:qFormat/>
    <w:rPr>
      <w:rFonts w:hint="eastAsia" w:ascii="宋体" w:hAnsi="宋体" w:eastAsia="宋体" w:cs="宋体"/>
      <w:color w:val="000000"/>
      <w:sz w:val="20"/>
      <w:szCs w:val="20"/>
      <w:u w:val="none"/>
    </w:rPr>
  </w:style>
  <w:style w:type="paragraph" w:styleId="940">
    <w:name w:val="Default"/>
    <w:next w:val="871"/>
    <w:link w:val="871"/>
    <w:qFormat/>
    <w:pPr>
      <w:widowControl w:val="off"/>
    </w:pPr>
    <w:rPr>
      <w:rFonts w:ascii="宋体" w:cs="宋体"/>
      <w:color w:val="000000"/>
      <w:sz w:val="24"/>
      <w:szCs w:val="24"/>
      <w:lang w:val="en-US" w:eastAsia="zh-CN" w:bidi="ar-SA"/>
    </w:rPr>
  </w:style>
  <w:style w:type="paragraph" w:styleId="941">
    <w:name w:val="Char Char Char Char Char Char Char Char Char"/>
    <w:basedOn w:val="871"/>
    <w:next w:val="942"/>
    <w:link w:val="871"/>
    <w:qFormat/>
    <w:pPr>
      <w:ind w:left="360" w:firstLine="5784"/>
      <w:jc w:val="both"/>
      <w:spacing w:before="0" w:after="0" w:line="240" w:lineRule="auto"/>
      <w:widowControl w:val="off"/>
    </w:pPr>
  </w:style>
  <w:style w:type="paragraph" w:styleId="942">
    <w:name w:val="正文文本 21"/>
    <w:basedOn w:val="871"/>
    <w:next w:val="943"/>
    <w:link w:val="871"/>
    <w:qFormat/>
    <w:pPr>
      <w:ind w:left="720" w:firstLine="5680"/>
      <w:jc w:val="both"/>
      <w:spacing w:before="0" w:after="0" w:line="240" w:lineRule="auto"/>
      <w:widowControl/>
    </w:pPr>
  </w:style>
  <w:style w:type="paragraph" w:styleId="943">
    <w:name w:val="默认段落字体 Para Char Char Char Char Char Char Char"/>
    <w:basedOn w:val="871"/>
    <w:next w:val="944"/>
    <w:link w:val="871"/>
    <w:uiPriority w:val="1723"/>
    <w:qFormat/>
    <w:pPr>
      <w:ind w:firstLine="200"/>
    </w:pPr>
    <w:rPr>
      <w:rFonts w:cs="Arial"/>
    </w:rPr>
  </w:style>
  <w:style w:type="paragraph" w:styleId="944">
    <w:name w:val="样式 首行缩进:  2 字符"/>
    <w:basedOn w:val="871"/>
    <w:next w:val="945"/>
    <w:link w:val="871"/>
    <w:qFormat/>
    <w:pPr>
      <w:ind w:left="480" w:firstLine="5856"/>
      <w:jc w:val="both"/>
      <w:spacing w:before="0" w:after="0" w:line="360" w:lineRule="auto"/>
      <w:widowControl w:val="off"/>
    </w:pPr>
  </w:style>
  <w:style w:type="paragraph" w:styleId="945">
    <w:name w:val="样式 段后: 0.25 行"/>
    <w:basedOn w:val="871"/>
    <w:next w:val="946"/>
    <w:link w:val="871"/>
    <w:qFormat/>
    <w:pPr>
      <w:ind w:left="420" w:firstLine="5796"/>
      <w:spacing w:before="0" w:after="0" w:line="300" w:lineRule="auto"/>
      <w:widowControl/>
    </w:pPr>
  </w:style>
  <w:style w:type="paragraph" w:styleId="946">
    <w:name w:val="正文 New New New New New New New New New New New New New New"/>
    <w:next w:val="947"/>
    <w:link w:val="871"/>
    <w:qFormat/>
    <w:pPr>
      <w:ind w:firstLine="2048"/>
      <w:jc w:val="both"/>
      <w:widowControl w:val="off"/>
    </w:pPr>
    <w:rPr>
      <w:rFonts w:ascii="Calibri" w:hAnsi="Calibri"/>
      <w:lang w:val="en-US" w:eastAsia="zh-CN" w:bidi="ar-SA"/>
    </w:rPr>
  </w:style>
  <w:style w:type="paragraph" w:styleId="947">
    <w:name w:val="目录 91"/>
    <w:basedOn w:val="871"/>
    <w:next w:val="871"/>
    <w:link w:val="871"/>
    <w:uiPriority w:val="39"/>
    <w:unhideWhenUsed/>
    <w:qFormat/>
    <w:pPr>
      <w:ind w:left="2268" w:right="0" w:firstLine="0"/>
      <w:spacing w:after="57"/>
    </w:pPr>
  </w:style>
  <w:style w:type="paragraph" w:styleId="948">
    <w:name w:val="正文1"/>
    <w:basedOn w:val="871"/>
    <w:next w:val="949"/>
    <w:link w:val="871"/>
    <w:qFormat/>
    <w:pPr>
      <w:jc w:val="left"/>
      <w:spacing w:line="360" w:lineRule="atLeast"/>
    </w:pPr>
    <w:rPr>
      <w:rFonts w:ascii="宋体" w:hAnsi="Calibri" w:eastAsia="宋体" w:cs="Times New Roman"/>
      <w:sz w:val="24"/>
      <w:szCs w:val="20"/>
    </w:rPr>
  </w:style>
  <w:style w:type="paragraph" w:styleId="949">
    <w:name w:val="正文文本1"/>
    <w:basedOn w:val="948"/>
    <w:next w:val="950"/>
    <w:link w:val="871"/>
    <w:qFormat/>
    <w:pPr>
      <w:spacing w:after="120"/>
    </w:pPr>
    <w:rPr>
      <w:lang w:eastAsia="en-US"/>
    </w:rPr>
  </w:style>
  <w:style w:type="paragraph" w:styleId="950">
    <w:name w:val="目录 21"/>
    <w:basedOn w:val="871"/>
    <w:next w:val="871"/>
    <w:link w:val="871"/>
    <w:uiPriority w:val="39"/>
    <w:qFormat/>
    <w:pPr>
      <w:ind w:left="210"/>
      <w:jc w:val="left"/>
    </w:pPr>
    <w:rPr>
      <w:smallCaps/>
      <w:szCs w:val="24"/>
    </w:rPr>
  </w:style>
  <w:style w:type="paragraph" w:styleId="951">
    <w:name w:val="列出段落"/>
    <w:basedOn w:val="871"/>
    <w:next w:val="951"/>
    <w:link w:val="871"/>
    <w:qFormat/>
    <w:pPr>
      <w:ind w:firstLine="420"/>
    </w:pPr>
  </w:style>
  <w:style w:type="table" w:styleId="952">
    <w:name w:val="Bordered - Accent 2"/>
    <w:basedOn w:val="882"/>
    <w:next w:val="952"/>
    <w:link w:val="871"/>
    <w:uiPriority w:val="99"/>
    <w:qFormat/>
    <w:tblPr/>
  </w:style>
  <w:style w:type="table" w:styleId="953">
    <w:name w:val="Grid Table 1 Light - Accent 3"/>
    <w:basedOn w:val="882"/>
    <w:next w:val="953"/>
    <w:link w:val="871"/>
    <w:uiPriority w:val="99"/>
    <w:qFormat/>
    <w:tblPr/>
  </w:style>
  <w:style w:type="paragraph" w:styleId="954">
    <w:name w:val="修订1"/>
    <w:next w:val="954"/>
    <w:link w:val="871"/>
    <w:uiPriority w:val="99"/>
    <w:semiHidden/>
    <w:qFormat/>
    <w:rPr>
      <w:rFonts w:ascii="Calibri" w:hAnsi="Calibri"/>
      <w:sz w:val="21"/>
      <w:szCs w:val="22"/>
      <w:lang w:val="en-US" w:eastAsia="zh-CN" w:bidi="ar-SA"/>
    </w:rPr>
  </w:style>
  <w:style w:type="table" w:styleId="955">
    <w:name w:val="Bordered - Accent 1"/>
    <w:basedOn w:val="882"/>
    <w:next w:val="955"/>
    <w:link w:val="871"/>
    <w:uiPriority w:val="99"/>
    <w:qFormat/>
    <w:tblPr/>
  </w:style>
  <w:style w:type="paragraph" w:styleId="956">
    <w:name w:val="Table Paragraph"/>
    <w:basedOn w:val="871"/>
    <w:next w:val="956"/>
    <w:link w:val="871"/>
    <w:uiPriority w:val="1"/>
    <w:qFormat/>
    <w:rPr>
      <w:rFonts w:ascii="Noto Sans CJK JP Regular" w:hAnsi="Noto Sans CJK JP Regular" w:eastAsia="Noto Sans CJK JP Regular" w:cs="Noto Sans CJK JP Regular"/>
    </w:rPr>
  </w:style>
  <w:style w:type="paragraph" w:styleId="957">
    <w:name w:val="章标题"/>
    <w:next w:val="871"/>
    <w:link w:val="87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58">
    <w:name w:val="引用"/>
    <w:basedOn w:val="871"/>
    <w:next w:val="871"/>
    <w:link w:val="959"/>
    <w:uiPriority w:val="29"/>
    <w:qFormat/>
    <w:pPr>
      <w:ind w:left="720" w:right="720"/>
    </w:pPr>
    <w:rPr>
      <w:i/>
    </w:rPr>
  </w:style>
  <w:style w:type="character" w:styleId="959">
    <w:name w:val="引用 字符"/>
    <w:next w:val="959"/>
    <w:link w:val="958"/>
    <w:uiPriority w:val="29"/>
    <w:qFormat/>
    <w:rPr>
      <w:i/>
    </w:rPr>
  </w:style>
  <w:style w:type="table" w:styleId="960">
    <w:name w:val="Bordered &amp; Lined - Accent"/>
    <w:basedOn w:val="882"/>
    <w:next w:val="960"/>
    <w:link w:val="871"/>
    <w:uiPriority w:val="99"/>
    <w:qFormat/>
    <w:rPr>
      <w:color w:val="404040"/>
    </w:rPr>
    <w:tblPr/>
  </w:style>
  <w:style w:type="table" w:styleId="961">
    <w:name w:val="无格式表格 51"/>
    <w:basedOn w:val="882"/>
    <w:next w:val="961"/>
    <w:link w:val="871"/>
    <w:uiPriority w:val="99"/>
    <w:qFormat/>
    <w:tblPr/>
  </w:style>
  <w:style w:type="table" w:styleId="962">
    <w:name w:val="Table Grid Light"/>
    <w:basedOn w:val="882"/>
    <w:next w:val="962"/>
    <w:link w:val="871"/>
    <w:uiPriority w:val="59"/>
    <w:qFormat/>
    <w:tblPr/>
  </w:style>
  <w:style w:type="table" w:styleId="963">
    <w:name w:val="Bordered &amp; Lined - Accent 3"/>
    <w:basedOn w:val="882"/>
    <w:next w:val="963"/>
    <w:link w:val="871"/>
    <w:uiPriority w:val="99"/>
    <w:qFormat/>
    <w:rPr>
      <w:color w:val="404040"/>
    </w:rPr>
    <w:tblPr/>
  </w:style>
  <w:style w:type="table" w:styleId="964">
    <w:name w:val="Grid Table 5 Dark- Accent 4"/>
    <w:basedOn w:val="882"/>
    <w:next w:val="964"/>
    <w:link w:val="871"/>
    <w:uiPriority w:val="99"/>
    <w:qFormat/>
    <w:tblPr/>
  </w:style>
  <w:style w:type="table" w:styleId="965">
    <w:name w:val="Grid Table 6 Colorful - Accent 4"/>
    <w:basedOn w:val="882"/>
    <w:next w:val="965"/>
    <w:link w:val="871"/>
    <w:uiPriority w:val="99"/>
    <w:qFormat/>
    <w:tblPr/>
  </w:style>
  <w:style w:type="table" w:styleId="966">
    <w:name w:val="Grid Table 6 Colorful - Accent 6"/>
    <w:basedOn w:val="882"/>
    <w:next w:val="966"/>
    <w:link w:val="871"/>
    <w:uiPriority w:val="99"/>
    <w:qFormat/>
    <w:tblPr/>
  </w:style>
  <w:style w:type="table" w:styleId="967">
    <w:name w:val="Grid Table 1 Light - Accent 6"/>
    <w:basedOn w:val="882"/>
    <w:next w:val="967"/>
    <w:link w:val="871"/>
    <w:uiPriority w:val="99"/>
    <w:qFormat/>
    <w:tblPr/>
  </w:style>
  <w:style w:type="table" w:styleId="968">
    <w:name w:val="Grid Table 7 Colorful - Accent 3"/>
    <w:basedOn w:val="882"/>
    <w:next w:val="968"/>
    <w:link w:val="871"/>
    <w:uiPriority w:val="99"/>
    <w:qFormat/>
    <w:tblPr/>
  </w:style>
  <w:style w:type="table" w:styleId="969">
    <w:name w:val="清单表 31"/>
    <w:basedOn w:val="882"/>
    <w:next w:val="969"/>
    <w:link w:val="871"/>
    <w:uiPriority w:val="99"/>
    <w:qFormat/>
    <w:tblPr/>
  </w:style>
  <w:style w:type="paragraph" w:styleId="970">
    <w:name w:val="一级条标题"/>
    <w:basedOn w:val="957"/>
    <w:next w:val="971"/>
    <w:link w:val="87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1">
    <w:name w:val="段"/>
    <w:basedOn w:val="948"/>
    <w:next w:val="871"/>
    <w:link w:val="871"/>
    <w:qFormat/>
    <w:pPr>
      <w:ind w:firstLine="200"/>
      <w:widowControl/>
    </w:pPr>
    <w:rPr>
      <w:sz w:val="20"/>
    </w:rPr>
  </w:style>
  <w:style w:type="table" w:styleId="972">
    <w:name w:val="Grid Table 7 Colorful - Accent 2"/>
    <w:basedOn w:val="882"/>
    <w:next w:val="972"/>
    <w:link w:val="871"/>
    <w:uiPriority w:val="99"/>
    <w:qFormat/>
    <w:tblPr/>
  </w:style>
  <w:style w:type="table" w:styleId="973">
    <w:name w:val="Grid Table 4 - Accent 1"/>
    <w:basedOn w:val="882"/>
    <w:next w:val="973"/>
    <w:link w:val="871"/>
    <w:uiPriority w:val="59"/>
    <w:qFormat/>
    <w:tblPr/>
  </w:style>
  <w:style w:type="table" w:styleId="974">
    <w:name w:val="List Table 4 - Accent 4"/>
    <w:basedOn w:val="882"/>
    <w:next w:val="974"/>
    <w:link w:val="871"/>
    <w:uiPriority w:val="99"/>
    <w:qFormat/>
    <w:tblPr/>
  </w:style>
  <w:style w:type="table" w:styleId="975">
    <w:name w:val="Lined - Accent 3"/>
    <w:basedOn w:val="882"/>
    <w:next w:val="975"/>
    <w:link w:val="871"/>
    <w:uiPriority w:val="99"/>
    <w:qFormat/>
    <w:rPr>
      <w:color w:val="404040"/>
    </w:rPr>
    <w:tblPr/>
  </w:style>
  <w:style w:type="table" w:styleId="976">
    <w:name w:val="List Table 5 Dark - Accent 4"/>
    <w:basedOn w:val="882"/>
    <w:next w:val="976"/>
    <w:link w:val="871"/>
    <w:uiPriority w:val="99"/>
    <w:qFormat/>
    <w:tblPr/>
  </w:style>
  <w:style w:type="table" w:styleId="977">
    <w:name w:val="网格表 6 彩色1"/>
    <w:basedOn w:val="882"/>
    <w:next w:val="977"/>
    <w:link w:val="871"/>
    <w:uiPriority w:val="99"/>
    <w:qFormat/>
    <w:tblPr/>
  </w:style>
  <w:style w:type="table" w:styleId="978">
    <w:name w:val="Lined - Accent 5"/>
    <w:basedOn w:val="882"/>
    <w:next w:val="978"/>
    <w:link w:val="871"/>
    <w:uiPriority w:val="99"/>
    <w:qFormat/>
    <w:rPr>
      <w:color w:val="404040"/>
    </w:rPr>
    <w:tblPr/>
  </w:style>
  <w:style w:type="table" w:styleId="979">
    <w:name w:val="List Table 2 - Accent 1"/>
    <w:basedOn w:val="882"/>
    <w:next w:val="979"/>
    <w:link w:val="871"/>
    <w:uiPriority w:val="99"/>
    <w:qFormat/>
    <w:tblPr/>
  </w:style>
  <w:style w:type="table" w:styleId="980">
    <w:name w:val="List Table 2 - Accent 3"/>
    <w:basedOn w:val="882"/>
    <w:next w:val="980"/>
    <w:link w:val="871"/>
    <w:uiPriority w:val="99"/>
    <w:qFormat/>
    <w:tblPr/>
  </w:style>
  <w:style w:type="table" w:styleId="981">
    <w:name w:val="List Table 6 Colorful - Accent 4"/>
    <w:basedOn w:val="882"/>
    <w:next w:val="981"/>
    <w:link w:val="871"/>
    <w:uiPriority w:val="99"/>
    <w:qFormat/>
    <w:tblPr/>
  </w:style>
  <w:style w:type="paragraph" w:styleId="982">
    <w:name w:val="无间隔"/>
    <w:next w:val="982"/>
    <w:link w:val="871"/>
    <w:uiPriority w:val="1"/>
    <w:qFormat/>
    <w:rPr>
      <w:sz w:val="21"/>
      <w:szCs w:val="22"/>
      <w:lang w:val="en-US" w:eastAsia="zh-CN" w:bidi="ar-SA"/>
    </w:rPr>
  </w:style>
  <w:style w:type="character" w:styleId="983">
    <w:name w:val="明显引用 字符"/>
    <w:next w:val="983"/>
    <w:link w:val="984"/>
    <w:uiPriority w:val="30"/>
    <w:qFormat/>
    <w:rPr>
      <w:i/>
    </w:rPr>
  </w:style>
  <w:style w:type="paragraph" w:styleId="984">
    <w:name w:val="明显引用"/>
    <w:basedOn w:val="871"/>
    <w:next w:val="871"/>
    <w:link w:val="9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85">
    <w:name w:val="Grid Table 7 Colorful - Accent 4"/>
    <w:basedOn w:val="882"/>
    <w:next w:val="985"/>
    <w:link w:val="871"/>
    <w:uiPriority w:val="99"/>
    <w:qFormat/>
    <w:tblPr/>
  </w:style>
  <w:style w:type="table" w:styleId="986">
    <w:name w:val="List Table 3 - Accent 4"/>
    <w:basedOn w:val="882"/>
    <w:next w:val="986"/>
    <w:link w:val="871"/>
    <w:uiPriority w:val="99"/>
    <w:qFormat/>
    <w:tblPr/>
  </w:style>
  <w:style w:type="table" w:styleId="987">
    <w:name w:val="List Table 6 Colorful - Accent 3"/>
    <w:basedOn w:val="882"/>
    <w:next w:val="987"/>
    <w:link w:val="871"/>
    <w:uiPriority w:val="99"/>
    <w:qFormat/>
    <w:tblPr/>
  </w:style>
  <w:style w:type="table" w:styleId="988">
    <w:name w:val="List Table 2 - Accent 5"/>
    <w:basedOn w:val="882"/>
    <w:next w:val="988"/>
    <w:link w:val="871"/>
    <w:uiPriority w:val="99"/>
    <w:qFormat/>
    <w:tblPr/>
  </w:style>
  <w:style w:type="table" w:styleId="989">
    <w:name w:val="List Table 1 Light - Accent 3"/>
    <w:basedOn w:val="882"/>
    <w:next w:val="989"/>
    <w:link w:val="871"/>
    <w:uiPriority w:val="99"/>
    <w:qFormat/>
    <w:tblPr/>
  </w:style>
  <w:style w:type="table" w:styleId="990">
    <w:name w:val="Bordered"/>
    <w:basedOn w:val="882"/>
    <w:next w:val="990"/>
    <w:link w:val="871"/>
    <w:uiPriority w:val="99"/>
    <w:qFormat/>
    <w:tblPr/>
  </w:style>
  <w:style w:type="table" w:styleId="991">
    <w:name w:val="List Table 1 Light - Accent 2"/>
    <w:basedOn w:val="882"/>
    <w:next w:val="991"/>
    <w:link w:val="871"/>
    <w:uiPriority w:val="99"/>
    <w:qFormat/>
    <w:tblPr/>
  </w:style>
  <w:style w:type="table" w:styleId="992">
    <w:name w:val="Bordered - Accent 4"/>
    <w:basedOn w:val="882"/>
    <w:next w:val="992"/>
    <w:link w:val="871"/>
    <w:uiPriority w:val="99"/>
    <w:qFormat/>
    <w:tblPr/>
  </w:style>
  <w:style w:type="table" w:styleId="993">
    <w:name w:val="网格表 21"/>
    <w:basedOn w:val="882"/>
    <w:next w:val="993"/>
    <w:link w:val="871"/>
    <w:uiPriority w:val="99"/>
    <w:qFormat/>
    <w:tblPr/>
  </w:style>
  <w:style w:type="table" w:styleId="994">
    <w:name w:val="Bordered &amp; Lined - Accent 5"/>
    <w:basedOn w:val="882"/>
    <w:next w:val="994"/>
    <w:link w:val="871"/>
    <w:uiPriority w:val="99"/>
    <w:qFormat/>
    <w:rPr>
      <w:color w:val="404040"/>
    </w:rPr>
    <w:tblPr/>
  </w:style>
  <w:style w:type="character" w:styleId="995">
    <w:name w:val="Heading 3 Char"/>
    <w:next w:val="995"/>
    <w:link w:val="871"/>
    <w:uiPriority w:val="9"/>
    <w:qFormat/>
    <w:rPr>
      <w:rFonts w:ascii="Arial" w:hAnsi="Arial" w:eastAsia="Arial" w:cs="Arial"/>
      <w:sz w:val="30"/>
      <w:szCs w:val="30"/>
    </w:rPr>
  </w:style>
  <w:style w:type="paragraph" w:styleId="996">
    <w:name w:val="02"/>
    <w:next w:val="996"/>
    <w:link w:val="871"/>
    <w:qFormat/>
    <w:pPr>
      <w:numPr>
        <w:ilvl w:val="1"/>
        <w:numId w:val="2"/>
      </w:numPr>
      <w:spacing w:line="360" w:lineRule="auto"/>
      <w:outlineLvl w:val="1"/>
    </w:pPr>
    <w:rPr>
      <w:rFonts w:ascii="Calibri" w:hAnsi="Calibri"/>
      <w:b/>
      <w:sz w:val="28"/>
      <w:szCs w:val="22"/>
      <w:lang w:val="en-US" w:eastAsia="zh-CN" w:bidi="ar-SA"/>
    </w:rPr>
  </w:style>
  <w:style w:type="table" w:styleId="997">
    <w:name w:val="List Table 5 Dark - Accent 5"/>
    <w:basedOn w:val="882"/>
    <w:next w:val="997"/>
    <w:link w:val="871"/>
    <w:uiPriority w:val="99"/>
    <w:qFormat/>
    <w:tblPr/>
  </w:style>
  <w:style w:type="table" w:styleId="998">
    <w:name w:val="Grid Table 6 Colorful - Accent 1"/>
    <w:basedOn w:val="882"/>
    <w:next w:val="998"/>
    <w:link w:val="871"/>
    <w:uiPriority w:val="99"/>
    <w:qFormat/>
    <w:tblPr/>
  </w:style>
  <w:style w:type="table" w:styleId="999">
    <w:name w:val="List Table 5 Dark - Accent 6"/>
    <w:basedOn w:val="882"/>
    <w:next w:val="999"/>
    <w:link w:val="871"/>
    <w:uiPriority w:val="99"/>
    <w:qFormat/>
    <w:tblPr/>
  </w:style>
  <w:style w:type="table" w:styleId="1000">
    <w:name w:val="Grid Table 3 - Accent 1"/>
    <w:basedOn w:val="882"/>
    <w:next w:val="1000"/>
    <w:link w:val="871"/>
    <w:uiPriority w:val="99"/>
    <w:qFormat/>
    <w:tblPr/>
  </w:style>
  <w:style w:type="table" w:styleId="1001">
    <w:name w:val="Grid Table 3 - Accent 6"/>
    <w:basedOn w:val="882"/>
    <w:next w:val="1001"/>
    <w:link w:val="871"/>
    <w:uiPriority w:val="99"/>
    <w:qFormat/>
    <w:tblPr/>
  </w:style>
  <w:style w:type="table" w:styleId="1002">
    <w:name w:val="Grid Table 3 - Accent 4"/>
    <w:basedOn w:val="882"/>
    <w:next w:val="1002"/>
    <w:link w:val="871"/>
    <w:uiPriority w:val="99"/>
    <w:qFormat/>
    <w:tblPr/>
  </w:style>
  <w:style w:type="table" w:styleId="1003">
    <w:name w:val="List Table 3 - Accent 2"/>
    <w:basedOn w:val="882"/>
    <w:next w:val="1003"/>
    <w:link w:val="871"/>
    <w:uiPriority w:val="99"/>
    <w:qFormat/>
    <w:tblPr/>
  </w:style>
  <w:style w:type="table" w:styleId="1004">
    <w:name w:val="Grid Table 3 - Accent 5"/>
    <w:basedOn w:val="882"/>
    <w:next w:val="1004"/>
    <w:link w:val="871"/>
    <w:uiPriority w:val="99"/>
    <w:qFormat/>
    <w:tblPr/>
  </w:style>
  <w:style w:type="table" w:styleId="1005">
    <w:name w:val="List Table 1 Light - Accent 1"/>
    <w:basedOn w:val="882"/>
    <w:next w:val="1005"/>
    <w:link w:val="871"/>
    <w:uiPriority w:val="99"/>
    <w:qFormat/>
    <w:tblPr/>
  </w:style>
  <w:style w:type="table" w:styleId="1006">
    <w:name w:val="Grid Table 5 Dark- Accent 1"/>
    <w:basedOn w:val="882"/>
    <w:next w:val="1006"/>
    <w:link w:val="871"/>
    <w:uiPriority w:val="99"/>
    <w:qFormat/>
    <w:tblPr/>
  </w:style>
  <w:style w:type="table" w:styleId="1007">
    <w:name w:val="List Table 2 - Accent 2"/>
    <w:basedOn w:val="882"/>
    <w:next w:val="1007"/>
    <w:link w:val="871"/>
    <w:uiPriority w:val="99"/>
    <w:qFormat/>
    <w:tblPr/>
  </w:style>
  <w:style w:type="paragraph" w:styleId="1008">
    <w:name w:val="Revision"/>
    <w:next w:val="1008"/>
    <w:link w:val="871"/>
    <w:uiPriority w:val="99"/>
    <w:unhideWhenUsed/>
    <w:qFormat/>
    <w:rPr>
      <w:rFonts w:ascii="Calibri" w:hAnsi="Calibri"/>
      <w:sz w:val="21"/>
      <w:szCs w:val="22"/>
      <w:lang w:val="en-US" w:eastAsia="zh-CN" w:bidi="ar-SA"/>
    </w:rPr>
  </w:style>
  <w:style w:type="table" w:styleId="1009">
    <w:name w:val="清单表 6 彩色1"/>
    <w:basedOn w:val="882"/>
    <w:next w:val="1009"/>
    <w:link w:val="871"/>
    <w:uiPriority w:val="99"/>
    <w:qFormat/>
    <w:tblPr/>
  </w:style>
  <w:style w:type="table" w:styleId="1010">
    <w:name w:val="List Table 3 - Accent 5"/>
    <w:basedOn w:val="882"/>
    <w:next w:val="1010"/>
    <w:link w:val="871"/>
    <w:uiPriority w:val="99"/>
    <w:qFormat/>
    <w:tblPr/>
  </w:style>
  <w:style w:type="character" w:styleId="1011">
    <w:name w:val="Heading 2 Char"/>
    <w:next w:val="1011"/>
    <w:link w:val="871"/>
    <w:uiPriority w:val="9"/>
    <w:qFormat/>
    <w:rPr>
      <w:rFonts w:ascii="Arial" w:hAnsi="Arial" w:eastAsia="Arial" w:cs="Arial"/>
      <w:sz w:val="34"/>
    </w:rPr>
  </w:style>
  <w:style w:type="table" w:styleId="1012">
    <w:name w:val="List Table 4 - Accent 1"/>
    <w:basedOn w:val="882"/>
    <w:next w:val="1012"/>
    <w:link w:val="871"/>
    <w:uiPriority w:val="99"/>
    <w:qFormat/>
    <w:tblPr/>
  </w:style>
  <w:style w:type="table" w:styleId="1013">
    <w:name w:val="List Table 4 - Accent 6"/>
    <w:basedOn w:val="882"/>
    <w:next w:val="1013"/>
    <w:link w:val="871"/>
    <w:uiPriority w:val="99"/>
    <w:qFormat/>
    <w:tblPr/>
  </w:style>
  <w:style w:type="table" w:styleId="1014">
    <w:name w:val="Grid Table 6 Colorful - Accent 2"/>
    <w:basedOn w:val="882"/>
    <w:next w:val="1014"/>
    <w:link w:val="871"/>
    <w:uiPriority w:val="99"/>
    <w:qFormat/>
    <w:tblPr/>
  </w:style>
  <w:style w:type="character" w:styleId="1015">
    <w:name w:val="Header Char"/>
    <w:next w:val="1015"/>
    <w:link w:val="871"/>
    <w:uiPriority w:val="99"/>
    <w:qFormat/>
  </w:style>
  <w:style w:type="table" w:styleId="1016">
    <w:name w:val="List Table 6 Colorful - Accent 1"/>
    <w:basedOn w:val="882"/>
    <w:next w:val="1016"/>
    <w:link w:val="871"/>
    <w:uiPriority w:val="99"/>
    <w:qFormat/>
    <w:tblPr/>
  </w:style>
  <w:style w:type="table" w:styleId="1017">
    <w:name w:val="Grid Table 6 Colorful - Accent 3"/>
    <w:basedOn w:val="882"/>
    <w:next w:val="1017"/>
    <w:link w:val="871"/>
    <w:uiPriority w:val="99"/>
    <w:qFormat/>
    <w:tblPr/>
  </w:style>
  <w:style w:type="table" w:styleId="1018">
    <w:name w:val="List Table 3 - Accent 6"/>
    <w:basedOn w:val="882"/>
    <w:next w:val="1018"/>
    <w:link w:val="871"/>
    <w:uiPriority w:val="99"/>
    <w:qFormat/>
    <w:tblPr/>
  </w:style>
  <w:style w:type="character" w:styleId="1019">
    <w:name w:val="Footer Char"/>
    <w:next w:val="1019"/>
    <w:link w:val="871"/>
    <w:uiPriority w:val="99"/>
    <w:qFormat/>
  </w:style>
  <w:style w:type="table" w:styleId="1020">
    <w:name w:val="List Table 2 - Accent 4"/>
    <w:basedOn w:val="882"/>
    <w:next w:val="1020"/>
    <w:link w:val="871"/>
    <w:uiPriority w:val="99"/>
    <w:qFormat/>
    <w:tblPr/>
  </w:style>
  <w:style w:type="table" w:styleId="1021">
    <w:name w:val="List Table 4 - Accent 3"/>
    <w:basedOn w:val="882"/>
    <w:next w:val="1021"/>
    <w:link w:val="871"/>
    <w:uiPriority w:val="99"/>
    <w:qFormat/>
    <w:tblPr/>
  </w:style>
  <w:style w:type="table" w:styleId="1022">
    <w:name w:val="Grid Table 2 - Accent 1"/>
    <w:basedOn w:val="882"/>
    <w:next w:val="1022"/>
    <w:link w:val="871"/>
    <w:uiPriority w:val="99"/>
    <w:qFormat/>
    <w:tblPr/>
  </w:style>
  <w:style w:type="paragraph" w:styleId="1023">
    <w:name w:val="Char"/>
    <w:basedOn w:val="871"/>
    <w:next w:val="1023"/>
    <w:link w:val="871"/>
    <w:qFormat/>
    <w:pPr>
      <w:ind w:firstLine="200"/>
      <w:tabs>
        <w:tab w:val="left" w:pos="360" w:leader="none"/>
      </w:tabs>
    </w:pPr>
    <w:rPr>
      <w:rFonts w:ascii="Times New Roman" w:hAnsi="Times New Roman"/>
      <w:sz w:val="28"/>
      <w:szCs w:val="30"/>
    </w:rPr>
  </w:style>
  <w:style w:type="paragraph" w:styleId="1024">
    <w:name w:val="GP正文(首行缩进)"/>
    <w:basedOn w:val="871"/>
    <w:next w:val="1024"/>
    <w:link w:val="871"/>
    <w:qFormat/>
    <w:pPr>
      <w:ind w:firstLine="480"/>
      <w:jc w:val="left"/>
    </w:pPr>
    <w:rPr>
      <w:rFonts w:ascii="Times New Roman" w:hAnsi="宋体"/>
      <w:sz w:val="24"/>
      <w:szCs w:val="24"/>
    </w:rPr>
  </w:style>
  <w:style w:type="table" w:styleId="1025">
    <w:name w:val="List Table 7 Colorful - Accent 5"/>
    <w:basedOn w:val="882"/>
    <w:next w:val="1025"/>
    <w:link w:val="871"/>
    <w:uiPriority w:val="99"/>
    <w:qFormat/>
    <w:tblPr/>
  </w:style>
  <w:style w:type="table" w:styleId="1026">
    <w:name w:val="Bordered &amp; Lined - Accent 2"/>
    <w:basedOn w:val="882"/>
    <w:next w:val="1026"/>
    <w:link w:val="871"/>
    <w:uiPriority w:val="99"/>
    <w:qFormat/>
    <w:rPr>
      <w:color w:val="404040"/>
    </w:rPr>
    <w:tblPr/>
  </w:style>
  <w:style w:type="table" w:styleId="1027">
    <w:name w:val="清单表 41"/>
    <w:basedOn w:val="882"/>
    <w:next w:val="1027"/>
    <w:link w:val="871"/>
    <w:uiPriority w:val="99"/>
    <w:qFormat/>
    <w:tblPr/>
  </w:style>
  <w:style w:type="table" w:styleId="1028">
    <w:name w:val="Grid Table 2 - Accent 4"/>
    <w:basedOn w:val="882"/>
    <w:next w:val="1028"/>
    <w:link w:val="871"/>
    <w:uiPriority w:val="99"/>
    <w:qFormat/>
    <w:tblPr/>
  </w:style>
  <w:style w:type="table" w:styleId="1029">
    <w:name w:val="List Table 7 Colorful - Accent 2"/>
    <w:basedOn w:val="882"/>
    <w:next w:val="1029"/>
    <w:link w:val="871"/>
    <w:uiPriority w:val="99"/>
    <w:qFormat/>
    <w:tblPr/>
  </w:style>
  <w:style w:type="character" w:styleId="1030">
    <w:name w:val="Heading 1 Char"/>
    <w:next w:val="1030"/>
    <w:link w:val="871"/>
    <w:uiPriority w:val="9"/>
    <w:qFormat/>
    <w:rPr>
      <w:rFonts w:ascii="Arial" w:hAnsi="Arial" w:eastAsia="Arial" w:cs="Arial"/>
      <w:sz w:val="40"/>
      <w:szCs w:val="40"/>
    </w:rPr>
  </w:style>
  <w:style w:type="table" w:styleId="1031">
    <w:name w:val="Grid Table 1 Light - Accent 5"/>
    <w:basedOn w:val="882"/>
    <w:next w:val="1031"/>
    <w:link w:val="871"/>
    <w:uiPriority w:val="99"/>
    <w:qFormat/>
    <w:tblPr/>
  </w:style>
  <w:style w:type="table" w:styleId="1032">
    <w:name w:val="List Table 6 Colorful - Accent 5"/>
    <w:basedOn w:val="882"/>
    <w:next w:val="1032"/>
    <w:link w:val="871"/>
    <w:uiPriority w:val="99"/>
    <w:qFormat/>
    <w:tblPr/>
  </w:style>
  <w:style w:type="table" w:styleId="1033">
    <w:name w:val="Lined - Accent 4"/>
    <w:basedOn w:val="882"/>
    <w:next w:val="1033"/>
    <w:link w:val="871"/>
    <w:uiPriority w:val="99"/>
    <w:qFormat/>
    <w:rPr>
      <w:color w:val="404040"/>
    </w:rPr>
    <w:tblPr/>
  </w:style>
  <w:style w:type="character" w:styleId="1034">
    <w:name w:val="font71"/>
    <w:next w:val="1034"/>
    <w:link w:val="871"/>
    <w:qFormat/>
    <w:rPr>
      <w:rFonts w:hint="eastAsia" w:ascii="宋体" w:hAnsi="宋体" w:eastAsia="宋体" w:cs="宋体"/>
      <w:color w:val="ff0000"/>
      <w:sz w:val="21"/>
      <w:szCs w:val="21"/>
      <w:u w:val="none"/>
    </w:rPr>
  </w:style>
  <w:style w:type="table" w:styleId="1035">
    <w:name w:val="List Table 4 - Accent 5"/>
    <w:basedOn w:val="882"/>
    <w:next w:val="1035"/>
    <w:link w:val="871"/>
    <w:uiPriority w:val="99"/>
    <w:qFormat/>
    <w:tblPr/>
  </w:style>
  <w:style w:type="table" w:styleId="1036">
    <w:name w:val="Grid Table 5 Dark - Accent 5"/>
    <w:basedOn w:val="882"/>
    <w:next w:val="1036"/>
    <w:link w:val="871"/>
    <w:uiPriority w:val="99"/>
    <w:qFormat/>
    <w:tblPr/>
  </w:style>
  <w:style w:type="table" w:styleId="1037">
    <w:name w:val="Grid Table 3 - Accent 2"/>
    <w:basedOn w:val="882"/>
    <w:next w:val="1037"/>
    <w:link w:val="871"/>
    <w:uiPriority w:val="99"/>
    <w:qFormat/>
    <w:tblPr/>
  </w:style>
  <w:style w:type="table" w:styleId="1038">
    <w:name w:val="清单表 21"/>
    <w:basedOn w:val="882"/>
    <w:next w:val="1038"/>
    <w:link w:val="871"/>
    <w:uiPriority w:val="99"/>
    <w:qFormat/>
    <w:tblPr/>
  </w:style>
  <w:style w:type="table" w:styleId="1039">
    <w:name w:val="Bordered - Accent 5"/>
    <w:basedOn w:val="882"/>
    <w:next w:val="1039"/>
    <w:link w:val="871"/>
    <w:uiPriority w:val="99"/>
    <w:qFormat/>
    <w:tblPr/>
  </w:style>
  <w:style w:type="table" w:styleId="1040">
    <w:name w:val="List Table 2 - Accent 6"/>
    <w:basedOn w:val="882"/>
    <w:next w:val="1040"/>
    <w:link w:val="871"/>
    <w:uiPriority w:val="99"/>
    <w:qFormat/>
    <w:tblPr/>
  </w:style>
  <w:style w:type="table" w:styleId="1041">
    <w:name w:val="清单表 5 深色1"/>
    <w:basedOn w:val="882"/>
    <w:next w:val="1041"/>
    <w:link w:val="871"/>
    <w:uiPriority w:val="99"/>
    <w:qFormat/>
    <w:tblPr/>
  </w:style>
  <w:style w:type="paragraph" w:styleId="1042">
    <w:name w:val="列出段落2"/>
    <w:basedOn w:val="871"/>
    <w:next w:val="1042"/>
    <w:link w:val="871"/>
    <w:uiPriority w:val="34"/>
    <w:qFormat/>
    <w:pPr>
      <w:ind w:firstLine="420"/>
    </w:pPr>
    <w:rPr>
      <w:rFonts w:ascii="宋体"/>
      <w:color w:val="404040"/>
    </w:rPr>
  </w:style>
  <w:style w:type="table" w:styleId="1043">
    <w:name w:val="Grid Table 1 Light - Accent 2"/>
    <w:basedOn w:val="882"/>
    <w:next w:val="1043"/>
    <w:link w:val="871"/>
    <w:uiPriority w:val="99"/>
    <w:qFormat/>
    <w:tblPr/>
  </w:style>
  <w:style w:type="table" w:styleId="1044">
    <w:name w:val="Grid Table 6 Colorful - Accent 5"/>
    <w:basedOn w:val="882"/>
    <w:next w:val="1044"/>
    <w:link w:val="871"/>
    <w:uiPriority w:val="99"/>
    <w:qFormat/>
    <w:tblPr/>
  </w:style>
  <w:style w:type="table" w:styleId="1045">
    <w:name w:val="List Table 6 Colorful - Accent 6"/>
    <w:basedOn w:val="882"/>
    <w:next w:val="1045"/>
    <w:link w:val="871"/>
    <w:uiPriority w:val="99"/>
    <w:qFormat/>
    <w:tblPr/>
  </w:style>
  <w:style w:type="table" w:styleId="1046">
    <w:name w:val="网格表 1 浅色1"/>
    <w:basedOn w:val="882"/>
    <w:next w:val="1046"/>
    <w:link w:val="871"/>
    <w:uiPriority w:val="99"/>
    <w:qFormat/>
    <w:tblPr/>
  </w:style>
  <w:style w:type="table" w:styleId="1047">
    <w:name w:val="无格式表格 11"/>
    <w:basedOn w:val="882"/>
    <w:next w:val="1047"/>
    <w:link w:val="871"/>
    <w:uiPriority w:val="59"/>
    <w:qFormat/>
    <w:tblPr/>
  </w:style>
  <w:style w:type="paragraph" w:styleId="1048">
    <w:name w:val="01"/>
    <w:basedOn w:val="871"/>
    <w:next w:val="1048"/>
    <w:link w:val="871"/>
    <w:qFormat/>
    <w:pPr>
      <w:numPr>
        <w:ilvl w:val="0"/>
        <w:numId w:val="2"/>
      </w:numPr>
      <w:jc w:val="left"/>
      <w:spacing w:line="360" w:lineRule="auto"/>
      <w:outlineLvl w:val="0"/>
    </w:pPr>
    <w:rPr>
      <w:rFonts w:ascii="宋体" w:hAnsi="宋体"/>
      <w:b/>
      <w:sz w:val="32"/>
      <w:szCs w:val="28"/>
    </w:rPr>
  </w:style>
  <w:style w:type="table" w:styleId="1049">
    <w:name w:val="Grid Table 7 Colorful - Accent 6"/>
    <w:basedOn w:val="882"/>
    <w:next w:val="1049"/>
    <w:link w:val="871"/>
    <w:uiPriority w:val="99"/>
    <w:qFormat/>
    <w:tblPr/>
  </w:style>
  <w:style w:type="table" w:styleId="1050">
    <w:name w:val="List Table 7 Colorful - Accent 3"/>
    <w:basedOn w:val="882"/>
    <w:next w:val="1050"/>
    <w:link w:val="871"/>
    <w:uiPriority w:val="99"/>
    <w:qFormat/>
    <w:tblPr/>
  </w:style>
  <w:style w:type="table" w:styleId="1051">
    <w:name w:val="List Table 3 - Accent 1"/>
    <w:basedOn w:val="882"/>
    <w:next w:val="1051"/>
    <w:link w:val="871"/>
    <w:uiPriority w:val="99"/>
    <w:qFormat/>
    <w:tblPr/>
  </w:style>
  <w:style w:type="paragraph" w:styleId="1052">
    <w:name w:val="03"/>
    <w:next w:val="1052"/>
    <w:link w:val="871"/>
    <w:qFormat/>
    <w:pPr>
      <w:numPr>
        <w:ilvl w:val="2"/>
        <w:numId w:val="2"/>
      </w:numPr>
      <w:spacing w:line="360" w:lineRule="auto"/>
      <w:outlineLvl w:val="2"/>
    </w:pPr>
    <w:rPr>
      <w:rFonts w:ascii="Calibri" w:hAnsi="Calibri"/>
      <w:b/>
      <w:sz w:val="28"/>
      <w:szCs w:val="22"/>
      <w:lang w:val="en-US" w:eastAsia="zh-CN" w:bidi="ar-SA"/>
    </w:rPr>
  </w:style>
  <w:style w:type="table" w:styleId="1053">
    <w:name w:val="List Table 3 - Accent 3"/>
    <w:basedOn w:val="882"/>
    <w:next w:val="1053"/>
    <w:link w:val="871"/>
    <w:uiPriority w:val="99"/>
    <w:qFormat/>
    <w:tblPr/>
  </w:style>
  <w:style w:type="table" w:styleId="1054">
    <w:name w:val="Grid Table 1 Light - Accent 4"/>
    <w:basedOn w:val="882"/>
    <w:next w:val="1054"/>
    <w:link w:val="871"/>
    <w:uiPriority w:val="99"/>
    <w:qFormat/>
    <w:tblPr/>
  </w:style>
  <w:style w:type="table" w:styleId="1055">
    <w:name w:val="Grid Table 5 Dark - Accent 6"/>
    <w:basedOn w:val="882"/>
    <w:next w:val="1055"/>
    <w:link w:val="871"/>
    <w:uiPriority w:val="99"/>
    <w:qFormat/>
    <w:tblPr/>
  </w:style>
  <w:style w:type="table" w:styleId="1056">
    <w:name w:val="List Table 5 Dark - Accent 1"/>
    <w:basedOn w:val="882"/>
    <w:next w:val="1056"/>
    <w:link w:val="871"/>
    <w:uiPriority w:val="99"/>
    <w:qFormat/>
    <w:tblPr/>
  </w:style>
  <w:style w:type="table" w:styleId="1057">
    <w:name w:val="清单表 1 浅色1"/>
    <w:basedOn w:val="882"/>
    <w:next w:val="1057"/>
    <w:link w:val="871"/>
    <w:uiPriority w:val="99"/>
    <w:qFormat/>
    <w:tblPr/>
  </w:style>
  <w:style w:type="character" w:styleId="1058">
    <w:name w:val="font41"/>
    <w:next w:val="1058"/>
    <w:link w:val="871"/>
    <w:qFormat/>
    <w:rPr>
      <w:rFonts w:hint="eastAsia" w:ascii="宋体" w:hAnsi="宋体" w:eastAsia="宋体" w:cs="宋体"/>
      <w:color w:val="000000"/>
      <w:sz w:val="21"/>
      <w:szCs w:val="21"/>
      <w:u w:val="none"/>
    </w:rPr>
  </w:style>
  <w:style w:type="table" w:styleId="1059">
    <w:name w:val="Grid Table 1 Light - Accent 1"/>
    <w:basedOn w:val="882"/>
    <w:next w:val="1059"/>
    <w:link w:val="871"/>
    <w:uiPriority w:val="99"/>
    <w:qFormat/>
    <w:tblPr/>
  </w:style>
  <w:style w:type="table" w:styleId="1060">
    <w:name w:val="List Table 6 Colorful - Accent 2"/>
    <w:basedOn w:val="882"/>
    <w:next w:val="1060"/>
    <w:link w:val="871"/>
    <w:uiPriority w:val="99"/>
    <w:qFormat/>
    <w:tblPr/>
  </w:style>
  <w:style w:type="table" w:styleId="1061">
    <w:name w:val="Grid Table 7 Colorful - Accent 5"/>
    <w:basedOn w:val="882"/>
    <w:next w:val="1061"/>
    <w:link w:val="871"/>
    <w:uiPriority w:val="99"/>
    <w:qFormat/>
    <w:tblPr/>
  </w:style>
  <w:style w:type="table" w:styleId="1062">
    <w:name w:val="Grid Table 4 - Accent 6"/>
    <w:basedOn w:val="882"/>
    <w:next w:val="1062"/>
    <w:link w:val="871"/>
    <w:uiPriority w:val="59"/>
    <w:qFormat/>
    <w:tblPr/>
  </w:style>
  <w:style w:type="table" w:styleId="1063">
    <w:name w:val="Lined - Accent 1"/>
    <w:basedOn w:val="882"/>
    <w:next w:val="1063"/>
    <w:link w:val="871"/>
    <w:uiPriority w:val="99"/>
    <w:qFormat/>
    <w:rPr>
      <w:color w:val="404040"/>
    </w:rPr>
    <w:tblPr/>
  </w:style>
  <w:style w:type="table" w:styleId="1064">
    <w:name w:val="List Table 7 Colorful - Accent 4"/>
    <w:basedOn w:val="882"/>
    <w:next w:val="1064"/>
    <w:link w:val="871"/>
    <w:uiPriority w:val="99"/>
    <w:qFormat/>
    <w:tblPr/>
  </w:style>
  <w:style w:type="table" w:styleId="1065">
    <w:name w:val="List Table 5 Dark - Accent 3"/>
    <w:basedOn w:val="882"/>
    <w:next w:val="1065"/>
    <w:link w:val="871"/>
    <w:uiPriority w:val="99"/>
    <w:qFormat/>
    <w:tblPr/>
  </w:style>
  <w:style w:type="paragraph" w:styleId="1066">
    <w:name w:val="朱-正文"/>
    <w:basedOn w:val="871"/>
    <w:next w:val="1066"/>
    <w:link w:val="871"/>
    <w:qFormat/>
    <w:pPr>
      <w:ind w:firstLine="200"/>
    </w:pPr>
    <w:rPr>
      <w:rFonts w:ascii="Times New Roman"/>
      <w:color w:val="000000"/>
      <w:szCs w:val="24"/>
      <w:lang w:val="en-GB"/>
    </w:rPr>
  </w:style>
  <w:style w:type="table" w:styleId="1067">
    <w:name w:val="Grid Table 7 Colorful - Accent 1"/>
    <w:basedOn w:val="882"/>
    <w:next w:val="1067"/>
    <w:link w:val="871"/>
    <w:uiPriority w:val="99"/>
    <w:qFormat/>
    <w:tblPr/>
  </w:style>
  <w:style w:type="table" w:styleId="1068">
    <w:name w:val="Grid Table 2 - Accent 5"/>
    <w:basedOn w:val="882"/>
    <w:next w:val="1068"/>
    <w:link w:val="871"/>
    <w:uiPriority w:val="99"/>
    <w:qFormat/>
    <w:tblPr/>
  </w:style>
  <w:style w:type="table" w:styleId="1069">
    <w:name w:val="List Table 1 Light - Accent 6"/>
    <w:basedOn w:val="882"/>
    <w:next w:val="1069"/>
    <w:link w:val="871"/>
    <w:uiPriority w:val="99"/>
    <w:qFormat/>
    <w:tblPr/>
  </w:style>
  <w:style w:type="table" w:styleId="1070">
    <w:name w:val="Bordered &amp; Lined - Accent 4"/>
    <w:basedOn w:val="882"/>
    <w:next w:val="1070"/>
    <w:link w:val="871"/>
    <w:uiPriority w:val="99"/>
    <w:qFormat/>
    <w:rPr>
      <w:color w:val="404040"/>
    </w:rPr>
    <w:tblPr/>
  </w:style>
  <w:style w:type="table" w:styleId="1071">
    <w:name w:val="List Table 1 Light - Accent 5"/>
    <w:basedOn w:val="882"/>
    <w:next w:val="1071"/>
    <w:link w:val="871"/>
    <w:uiPriority w:val="99"/>
    <w:qFormat/>
    <w:tblPr/>
  </w:style>
  <w:style w:type="table" w:styleId="1072">
    <w:name w:val="Grid Table 4 - Accent 3"/>
    <w:basedOn w:val="882"/>
    <w:next w:val="1072"/>
    <w:link w:val="871"/>
    <w:uiPriority w:val="59"/>
    <w:qFormat/>
    <w:tblPr/>
  </w:style>
  <w:style w:type="table" w:styleId="1073">
    <w:name w:val="Grid Table 4 - Accent 4"/>
    <w:basedOn w:val="882"/>
    <w:next w:val="1073"/>
    <w:link w:val="871"/>
    <w:uiPriority w:val="59"/>
    <w:qFormat/>
    <w:tblPr/>
  </w:style>
  <w:style w:type="table" w:styleId="1074">
    <w:name w:val="Grid Table 5 Dark - Accent 3"/>
    <w:basedOn w:val="882"/>
    <w:next w:val="1074"/>
    <w:link w:val="871"/>
    <w:uiPriority w:val="99"/>
    <w:qFormat/>
    <w:tblPr/>
  </w:style>
  <w:style w:type="paragraph" w:styleId="1075">
    <w:name w:val="普通正文"/>
    <w:basedOn w:val="871"/>
    <w:next w:val="1075"/>
    <w:link w:val="871"/>
    <w:qFormat/>
    <w:pPr>
      <w:ind w:firstLine="480"/>
      <w:jc w:val="left"/>
      <w:spacing w:before="120" w:after="120" w:line="360" w:lineRule="auto"/>
    </w:pPr>
    <w:rPr>
      <w:rFonts w:ascii="Arial" w:hAnsi="Arial"/>
      <w:sz w:val="24"/>
      <w:szCs w:val="24"/>
    </w:rPr>
  </w:style>
  <w:style w:type="table" w:styleId="1076">
    <w:name w:val="Grid Table 5 Dark - Accent 2"/>
    <w:basedOn w:val="882"/>
    <w:next w:val="1076"/>
    <w:link w:val="871"/>
    <w:uiPriority w:val="99"/>
    <w:qFormat/>
    <w:tblPr/>
  </w:style>
  <w:style w:type="table" w:styleId="1077">
    <w:name w:val="Grid Table 2 - Accent 6"/>
    <w:basedOn w:val="882"/>
    <w:next w:val="1077"/>
    <w:link w:val="871"/>
    <w:uiPriority w:val="99"/>
    <w:qFormat/>
    <w:tblPr/>
  </w:style>
  <w:style w:type="table" w:styleId="1078">
    <w:name w:val="无格式表格 41"/>
    <w:basedOn w:val="882"/>
    <w:next w:val="1078"/>
    <w:link w:val="871"/>
    <w:uiPriority w:val="99"/>
    <w:qFormat/>
    <w:tblPr/>
  </w:style>
  <w:style w:type="table" w:styleId="1079">
    <w:name w:val="Lined - Accent"/>
    <w:basedOn w:val="882"/>
    <w:next w:val="1079"/>
    <w:link w:val="871"/>
    <w:uiPriority w:val="99"/>
    <w:qFormat/>
    <w:rPr>
      <w:color w:val="404040"/>
    </w:rPr>
    <w:tblPr/>
  </w:style>
  <w:style w:type="table" w:styleId="1080">
    <w:name w:val="Bordered &amp; Lined - Accent 1"/>
    <w:basedOn w:val="882"/>
    <w:next w:val="1080"/>
    <w:link w:val="871"/>
    <w:uiPriority w:val="99"/>
    <w:qFormat/>
    <w:rPr>
      <w:color w:val="404040"/>
    </w:rPr>
    <w:tblPr/>
  </w:style>
  <w:style w:type="table" w:styleId="1081">
    <w:name w:val="Grid Table 2 - Accent 2"/>
    <w:basedOn w:val="882"/>
    <w:next w:val="1081"/>
    <w:link w:val="871"/>
    <w:uiPriority w:val="99"/>
    <w:qFormat/>
    <w:tblPr/>
  </w:style>
  <w:style w:type="table" w:styleId="1082">
    <w:name w:val="Bordered - Accent 3"/>
    <w:basedOn w:val="882"/>
    <w:next w:val="1082"/>
    <w:link w:val="871"/>
    <w:uiPriority w:val="99"/>
    <w:qFormat/>
    <w:tblPr/>
  </w:style>
  <w:style w:type="table" w:styleId="1083">
    <w:name w:val="Lined - Accent 2"/>
    <w:basedOn w:val="882"/>
    <w:next w:val="1083"/>
    <w:link w:val="871"/>
    <w:uiPriority w:val="99"/>
    <w:qFormat/>
    <w:rPr>
      <w:color w:val="404040"/>
    </w:rPr>
    <w:tblPr/>
  </w:style>
  <w:style w:type="table" w:styleId="1084">
    <w:name w:val="无格式表格 21"/>
    <w:basedOn w:val="882"/>
    <w:next w:val="1084"/>
    <w:link w:val="871"/>
    <w:uiPriority w:val="59"/>
    <w:qFormat/>
    <w:tblPr/>
  </w:style>
  <w:style w:type="table" w:styleId="1085">
    <w:name w:val="网格表 5 深色1"/>
    <w:basedOn w:val="882"/>
    <w:next w:val="1085"/>
    <w:link w:val="871"/>
    <w:uiPriority w:val="99"/>
    <w:qFormat/>
    <w:tblPr/>
  </w:style>
  <w:style w:type="table" w:styleId="1086">
    <w:name w:val="Grid Table 4 - Accent 2"/>
    <w:basedOn w:val="882"/>
    <w:next w:val="1086"/>
    <w:link w:val="871"/>
    <w:uiPriority w:val="59"/>
    <w:qFormat/>
    <w:tblPr/>
  </w:style>
  <w:style w:type="table" w:styleId="1087">
    <w:name w:val="Bordered &amp; Lined - Accent 6"/>
    <w:basedOn w:val="882"/>
    <w:next w:val="1087"/>
    <w:link w:val="871"/>
    <w:uiPriority w:val="99"/>
    <w:qFormat/>
    <w:rPr>
      <w:color w:val="404040"/>
    </w:rPr>
    <w:tblPr/>
  </w:style>
  <w:style w:type="table" w:styleId="1088">
    <w:name w:val="List Table 7 Colorful - Accent 1"/>
    <w:basedOn w:val="882"/>
    <w:next w:val="1088"/>
    <w:link w:val="871"/>
    <w:uiPriority w:val="99"/>
    <w:qFormat/>
    <w:tblPr/>
  </w:style>
  <w:style w:type="table" w:styleId="1089">
    <w:name w:val="List Table 1 Light - Accent 4"/>
    <w:basedOn w:val="882"/>
    <w:next w:val="1089"/>
    <w:link w:val="871"/>
    <w:uiPriority w:val="99"/>
    <w:qFormat/>
    <w:tblPr/>
  </w:style>
  <w:style w:type="table" w:styleId="1090">
    <w:name w:val="网格表 31"/>
    <w:basedOn w:val="882"/>
    <w:next w:val="1090"/>
    <w:link w:val="871"/>
    <w:uiPriority w:val="99"/>
    <w:qFormat/>
    <w:tblPr/>
  </w:style>
  <w:style w:type="character" w:styleId="1091">
    <w:name w:val="Caption Char"/>
    <w:next w:val="1091"/>
    <w:link w:val="871"/>
    <w:uiPriority w:val="99"/>
    <w:qFormat/>
  </w:style>
  <w:style w:type="table" w:styleId="1092">
    <w:name w:val="网格表 7 彩色1"/>
    <w:basedOn w:val="882"/>
    <w:next w:val="1092"/>
    <w:link w:val="871"/>
    <w:uiPriority w:val="99"/>
    <w:qFormat/>
    <w:tblPr/>
  </w:style>
  <w:style w:type="table" w:styleId="1093">
    <w:name w:val="Grid Table 4 - Accent 5"/>
    <w:basedOn w:val="882"/>
    <w:next w:val="1093"/>
    <w:link w:val="871"/>
    <w:uiPriority w:val="59"/>
    <w:qFormat/>
    <w:tblPr/>
  </w:style>
  <w:style w:type="table" w:styleId="1094">
    <w:name w:val="List Table 7 Colorful - Accent 6"/>
    <w:basedOn w:val="882"/>
    <w:next w:val="1094"/>
    <w:link w:val="871"/>
    <w:uiPriority w:val="99"/>
    <w:qFormat/>
    <w:tblPr/>
  </w:style>
  <w:style w:type="table" w:styleId="1095">
    <w:name w:val="Grid Table 3 - Accent 3"/>
    <w:basedOn w:val="882"/>
    <w:next w:val="1095"/>
    <w:link w:val="871"/>
    <w:uiPriority w:val="99"/>
    <w:qFormat/>
    <w:tblPr/>
  </w:style>
  <w:style w:type="table" w:styleId="1096">
    <w:name w:val="List Table 4 - Accent 2"/>
    <w:basedOn w:val="882"/>
    <w:next w:val="1096"/>
    <w:link w:val="871"/>
    <w:uiPriority w:val="99"/>
    <w:qFormat/>
    <w:tblPr/>
  </w:style>
  <w:style w:type="table" w:styleId="1097">
    <w:name w:val="清单表 7 彩色1"/>
    <w:basedOn w:val="882"/>
    <w:next w:val="1097"/>
    <w:link w:val="871"/>
    <w:uiPriority w:val="99"/>
    <w:qFormat/>
    <w:tblPr/>
  </w:style>
  <w:style w:type="table" w:styleId="1098">
    <w:name w:val="List Table 5 Dark - Accent 2"/>
    <w:basedOn w:val="882"/>
    <w:next w:val="1098"/>
    <w:link w:val="871"/>
    <w:uiPriority w:val="99"/>
    <w:qFormat/>
    <w:tblPr/>
  </w:style>
  <w:style w:type="table" w:styleId="1099">
    <w:name w:val="Grid Table 2 - Accent 3"/>
    <w:basedOn w:val="882"/>
    <w:next w:val="1099"/>
    <w:link w:val="871"/>
    <w:uiPriority w:val="99"/>
    <w:qFormat/>
    <w:tblPr/>
  </w:style>
  <w:style w:type="table" w:styleId="1100">
    <w:name w:val="Bordered - Accent 6"/>
    <w:basedOn w:val="882"/>
    <w:next w:val="1100"/>
    <w:link w:val="871"/>
    <w:uiPriority w:val="99"/>
    <w:qFormat/>
    <w:tblPr/>
  </w:style>
  <w:style w:type="paragraph" w:styleId="1101">
    <w:name w:val="正文（1）"/>
    <w:basedOn w:val="871"/>
    <w:next w:val="1101"/>
    <w:link w:val="871"/>
    <w:qFormat/>
    <w:pPr>
      <w:ind w:firstLine="200"/>
    </w:pPr>
    <w:rPr>
      <w:szCs w:val="24"/>
    </w:rPr>
  </w:style>
  <w:style w:type="paragraph" w:styleId="1102">
    <w:name w:val="TOC 标题1"/>
    <w:next w:val="1102"/>
    <w:link w:val="871"/>
    <w:uiPriority w:val="39"/>
    <w:unhideWhenUsed/>
    <w:qFormat/>
    <w:rPr>
      <w:sz w:val="21"/>
      <w:szCs w:val="22"/>
      <w:lang w:val="en-US" w:eastAsia="zh-CN" w:bidi="ar-SA"/>
    </w:rPr>
  </w:style>
  <w:style w:type="table" w:styleId="1103">
    <w:name w:val="Lined - Accent 6"/>
    <w:basedOn w:val="882"/>
    <w:next w:val="1103"/>
    <w:link w:val="871"/>
    <w:uiPriority w:val="99"/>
    <w:qFormat/>
    <w:rPr>
      <w:color w:val="404040"/>
    </w:rPr>
    <w:tblPr/>
  </w:style>
  <w:style w:type="table" w:styleId="1104">
    <w:name w:val="无格式表格 31"/>
    <w:basedOn w:val="882"/>
    <w:next w:val="1104"/>
    <w:link w:val="871"/>
    <w:uiPriority w:val="99"/>
    <w:qFormat/>
    <w:tblPr/>
  </w:style>
  <w:style w:type="table" w:styleId="1105">
    <w:name w:val="网格表 41"/>
    <w:basedOn w:val="882"/>
    <w:next w:val="1105"/>
    <w:link w:val="871"/>
    <w:uiPriority w:val="59"/>
    <w:qFormat/>
    <w:tblPr/>
  </w:style>
  <w:style w:type="paragraph" w:styleId="1106">
    <w:name w:val="正文文本 (2)"/>
    <w:basedOn w:val="871"/>
    <w:next w:val="1106"/>
    <w:link w:val="871"/>
    <w:qFormat/>
    <w:pPr>
      <w:ind w:firstLine="37"/>
      <w:jc w:val="both"/>
      <w:spacing w:before="60" w:line="317" w:lineRule="exact"/>
      <w:shd w:val="clear" w:color="auto" w:fill="ffffff"/>
    </w:pPr>
    <w:rPr>
      <w:rFonts w:ascii="MingLiU" w:hAnsi="MingLiU" w:eastAsia="MingLiU" w:cs="MingLiU"/>
      <w:sz w:val="18"/>
      <w:szCs w:val="18"/>
    </w:rPr>
  </w:style>
  <w:style w:type="paragraph" w:styleId="1107">
    <w:name w:val="信息标题1"/>
    <w:basedOn w:val="871"/>
    <w:next w:val="1107"/>
    <w:link w:val="871"/>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108">
    <w:name w:val="纯文本1"/>
    <w:basedOn w:val="871"/>
    <w:next w:val="1108"/>
    <w:link w:val="871"/>
    <w:uiPriority w:val="99"/>
    <w:qFormat/>
    <w:rPr>
      <w:rFonts w:ascii="宋体" w:hAnsi="Courier New"/>
      <w:sz w:val="20"/>
      <w:szCs w:val="21"/>
    </w:rPr>
  </w:style>
  <w:style w:type="paragraph" w:styleId="1109">
    <w:name w:val="纯文本11"/>
    <w:basedOn w:val="871"/>
    <w:next w:val="1109"/>
    <w:link w:val="871"/>
    <w:qFormat/>
    <w:rPr>
      <w:rFonts w:ascii="宋体" w:hAnsi="Courier New"/>
      <w:sz w:val="20"/>
      <w:szCs w:val="21"/>
    </w:rPr>
  </w:style>
  <w:style w:type="paragraph" w:styleId="1110">
    <w:name w:val="Table Text"/>
    <w:basedOn w:val="871"/>
    <w:next w:val="1110"/>
    <w:link w:val="871"/>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11">
    <w:name w:val="标题 31"/>
    <w:basedOn w:val="871"/>
    <w:next w:val="948"/>
    <w:link w:val="871"/>
    <w:uiPriority w:val="9"/>
    <w:qFormat/>
    <w:pPr>
      <w:keepLines/>
      <w:keepNext/>
      <w:spacing w:before="260" w:after="260" w:line="416" w:lineRule="auto"/>
      <w:outlineLvl w:val="2"/>
    </w:pPr>
    <w:rPr>
      <w:rFonts w:ascii="Calibri" w:hAnsi="Calibri"/>
      <w:b/>
      <w:bCs/>
      <w:sz w:val="32"/>
      <w:szCs w:val="32"/>
    </w:rPr>
  </w:style>
  <w:style w:type="paragraph" w:styleId="1112">
    <w:name w:val="正文_0_0"/>
    <w:next w:val="1112"/>
    <w:link w:val="871"/>
    <w:qFormat/>
    <w:pPr>
      <w:jc w:val="both"/>
      <w:widowControl w:val="off"/>
    </w:pPr>
    <w:rPr>
      <w:sz w:val="21"/>
      <w:szCs w:val="22"/>
      <w:lang w:val="en-US" w:eastAsia="zh-CN" w:bidi="ar-SA"/>
    </w:rPr>
  </w:style>
  <w:style w:type="paragraph" w:styleId="1113">
    <w:name w:val="正文缩进1"/>
    <w:basedOn w:val="871"/>
    <w:next w:val="871"/>
    <w:link w:val="871"/>
    <w:qFormat/>
    <w:pPr>
      <w:ind w:firstLine="420"/>
    </w:pPr>
    <w:rPr>
      <w:rFonts w:ascii="Times New Roman" w:hAnsi="Times New Roman" w:eastAsia="宋体" w:cs="Times New Roman"/>
    </w:rPr>
  </w:style>
  <w:style w:type="paragraph" w:styleId="1114">
    <w:name w:val="标题 41"/>
    <w:basedOn w:val="871"/>
    <w:next w:val="871"/>
    <w:link w:val="871"/>
    <w:qFormat/>
    <w:pPr>
      <w:spacing w:before="280" w:after="290" w:line="377" w:lineRule="auto"/>
      <w:outlineLvl w:val="3"/>
    </w:pPr>
    <w:rPr>
      <w:rFonts w:ascii="Arial" w:hAnsi="Arial" w:eastAsia="黑体" w:cs="Times New Roman"/>
      <w:b/>
      <w:bCs/>
      <w:sz w:val="28"/>
      <w:szCs w:val="28"/>
    </w:rPr>
  </w:style>
  <w:style w:type="character" w:styleId="1115">
    <w:name w:val="font31"/>
    <w:next w:val="1115"/>
    <w:link w:val="871"/>
    <w:qFormat/>
    <w:rPr>
      <w:rFonts w:ascii="Calibri" w:hAnsi="Calibri"/>
      <w:sz w:val="21"/>
      <w:szCs w:val="22"/>
      <w:lang w:val="en-US" w:eastAsia="zh-CN" w:bidi="ar-SA"/>
    </w:rPr>
  </w:style>
  <w:style w:type="character" w:styleId="1116" w:default="1">
    <w:name w:val="Default Paragraph Font"/>
    <w:uiPriority w:val="1"/>
    <w:semiHidden/>
    <w:unhideWhenUsed/>
  </w:style>
  <w:style w:type="numbering" w:styleId="1117" w:default="1">
    <w:name w:val="No List"/>
    <w:uiPriority w:val="99"/>
    <w:semiHidden/>
    <w:unhideWhenUsed/>
  </w:style>
  <w:style w:type="table" w:styleId="11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胡祖云</cp:lastModifiedBy>
  <cp:revision>5</cp:revision>
  <dcterms:created xsi:type="dcterms:W3CDTF">2026-06-10T09:41:00Z</dcterms:created>
  <dcterms:modified xsi:type="dcterms:W3CDTF">2026-06-12T02:58:49Z</dcterms:modified>
</cp:coreProperties>
</file>