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jc w:val="center"/>
        <w:rPr>
          <w:rFonts w:hint="default" w:ascii="黑体" w:hAnsi="华文中宋" w:eastAsia="黑体"/>
          <w:bCs/>
          <w:color w:val="auto"/>
          <w:spacing w:val="20"/>
          <w:sz w:val="84"/>
          <w:szCs w:val="84"/>
          <w:highlight w:val="none"/>
          <w:lang w:val="en-US" w:eastAsia="zh-CN"/>
        </w:rPr>
      </w:pPr>
      <w:r>
        <w:rPr>
          <w:rFonts w:hint="eastAsia" w:ascii="黑体" w:hAnsi="华文中宋" w:eastAsia="黑体"/>
          <w:bCs/>
          <w:color w:val="auto"/>
          <w:spacing w:val="20"/>
          <w:sz w:val="84"/>
          <w:szCs w:val="84"/>
          <w:highlight w:val="none"/>
          <w:lang w:val="en-US" w:eastAsia="zh-CN"/>
        </w:rPr>
        <w:t xml:space="preserve"> </w:t>
      </w:r>
      <w:r/>
    </w:p>
    <w:p>
      <w:pPr>
        <w:pStyle w:val="1024"/>
        <w:ind w:firstLine="0"/>
        <w:jc w:val="center"/>
        <w:rPr>
          <w:rFonts w:hint="default" w:ascii="黑体" w:hAnsi="华文中宋" w:eastAsia="黑体"/>
          <w:bCs/>
          <w:color w:val="auto"/>
          <w:spacing w:val="20"/>
          <w:sz w:val="84"/>
          <w:szCs w:val="84"/>
          <w:highlight w:val="none"/>
          <w:lang w:val="en-US" w:eastAsia="zh-CN"/>
        </w:rPr>
      </w:pPr>
      <w:r>
        <w:rPr>
          <w:rFonts w:hint="eastAsia" w:ascii="黑体" w:hAnsi="华文中宋" w:eastAsia="黑体"/>
          <w:bCs/>
          <w:color w:val="auto"/>
          <w:spacing w:val="20"/>
          <w:sz w:val="84"/>
          <w:szCs w:val="84"/>
          <w:highlight w:val="none"/>
          <w:lang w:val="en-US" w:eastAsia="zh-CN"/>
        </w:rPr>
        <w:t xml:space="preserve">无锡市政府采购</w:t>
      </w:r>
      <w:r/>
    </w:p>
    <w:p>
      <w:pPr>
        <w:pStyle w:val="1024"/>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24"/>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24"/>
        <w:ind w:firstLine="0"/>
        <w:jc w:val="center"/>
        <w:keepLines w:val="0"/>
        <w:keepNext w:val="0"/>
        <w:pageBreakBefore w:val="0"/>
        <w:spacing w:line="360" w:lineRule="auto"/>
        <w:widowControl w:val="off"/>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JSZC-320200-BCYZ-G2026-0001</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2026年度老年托养科护理外包服务</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无锡市老龄工作发展促进中心</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百昌远智工程管理（无锡）有限公司</w:t>
      </w:r>
      <w:r/>
    </w:p>
    <w:p>
      <w:pPr>
        <w:pStyle w:val="1024"/>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1024"/>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1024"/>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1024"/>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无锡市老龄工作发展促进中心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百昌远智工程管理（无锡）有限公司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2026年度老年托养科护理外包服务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JSZC-320200-BCYZ-G2026-0001</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2026年度老年托养科护理外包服务</w:t>
      </w:r>
      <w:r>
        <w:rPr>
          <w:rFonts w:hint="eastAsia" w:ascii="宋体" w:hAnsi="宋体"/>
          <w:color w:val="auto"/>
          <w:sz w:val="24"/>
          <w:szCs w:val="24"/>
          <w:highlight w:val="none"/>
        </w:rPr>
        <w:t xml:space="preserve">的潜在投标人如有投标意向须在本招标文件有效获取期内通过登录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月20</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42"/>
        <w:ind w:firstLine="452"/>
        <w:keepLines w:val="0"/>
        <w:keepNext w:val="0"/>
        <w:spacing w:before="0" w:after="0" w:line="500" w:lineRule="exact"/>
        <w:rPr>
          <w:color w:val="auto"/>
          <w:sz w:val="30"/>
          <w:szCs w:val="30"/>
          <w:highlight w:val="none"/>
        </w:rPr>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1.项目编号：JSZC-320200-BCYZ-G2026-0001</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2026年度老年托养科护理外包服务</w:t>
      </w: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项目预算金额：</w:t>
      </w:r>
      <w:r>
        <w:rPr>
          <w:rFonts w:hint="eastAsia" w:ascii="宋体" w:hAnsi="宋体"/>
          <w:color w:val="auto"/>
          <w:sz w:val="24"/>
          <w:szCs w:val="24"/>
          <w:highlight w:val="none"/>
          <w:lang w:val="en-US" w:eastAsia="zh-CN"/>
        </w:rPr>
        <w:t xml:space="preserve">113.4</w:t>
      </w:r>
      <w:r>
        <w:rPr>
          <w:rFonts w:hint="eastAsia" w:ascii="宋体" w:hAnsi="宋体"/>
          <w:color w:val="auto"/>
          <w:sz w:val="24"/>
          <w:szCs w:val="24"/>
          <w:highlight w:val="none"/>
        </w:rPr>
        <w:t xml:space="preserve">万元</w:t>
      </w:r>
      <w:r/>
    </w:p>
    <w:p>
      <w:pPr>
        <w:numPr>
          <w:ilvl w:val="0"/>
          <w:numId w:val="5"/>
        </w:numPr>
        <w:ind w:left="0"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113.4万</w:t>
      </w:r>
      <w:r>
        <w:rPr>
          <w:rFonts w:hint="eastAsia" w:ascii="宋体" w:hAnsi="宋体"/>
          <w:color w:val="auto"/>
          <w:sz w:val="24"/>
          <w:szCs w:val="24"/>
          <w:highlight w:val="none"/>
        </w:rPr>
        <w:t xml:space="preserve">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6.采购需求：对无锡市老龄工作发展促进中心老年托养科服务对象提供生活照料服务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7.合同履行期限：</w:t>
      </w:r>
      <w:r>
        <w:rPr>
          <w:rFonts w:hint="eastAsia" w:ascii="宋体" w:hAnsi="宋体"/>
          <w:color w:val="auto"/>
          <w:sz w:val="24"/>
          <w:szCs w:val="24"/>
          <w:highlight w:val="none"/>
          <w:lang w:val="en-US" w:eastAsia="zh-CN"/>
        </w:rPr>
        <w:t xml:space="preserve">1年</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942"/>
        <w:ind w:firstLine="452"/>
        <w:keepLines w:val="0"/>
        <w:keepNext w:val="0"/>
        <w:spacing w:before="0" w:after="0" w:line="500" w:lineRule="exact"/>
        <w:rPr>
          <w:color w:val="auto"/>
          <w:sz w:val="30"/>
          <w:szCs w:val="30"/>
          <w:highlight w:val="none"/>
        </w:rPr>
      </w:pPr>
      <w:r/>
      <w:bookmarkStart w:id="12" w:name="_Toc28359080"/>
      <w:r/>
      <w:bookmarkStart w:id="13" w:name="_Toc35393622"/>
      <w:r/>
      <w:bookmarkStart w:id="14" w:name="_Toc28359003"/>
      <w:r/>
      <w:bookmarkStart w:id="15" w:name="_Toc35393791"/>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35393792"/>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查询，无被列入失信被执行人、</w:t>
      </w:r>
      <w:r>
        <w:rPr>
          <w:rFonts w:hint="eastAsia" w:ascii="宋体" w:hAnsi="宋体"/>
          <w:color w:val="auto"/>
          <w:sz w:val="24"/>
          <w:szCs w:val="24"/>
          <w:highlight w:val="none"/>
          <w:lang w:eastAsia="zh-CN"/>
        </w:rPr>
        <w:t xml:space="preserve">重大税收违法失信主体名单</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val="en-US" w:eastAsia="zh-CN"/>
        </w:rPr>
        <w:t xml:space="preserve">无</w:t>
      </w:r>
      <w:r>
        <w:rPr>
          <w:rFonts w:hint="eastAsia" w:ascii="宋体" w:hAnsi="宋体" w:cs="宋体"/>
          <w:color w:val="auto"/>
          <w:sz w:val="28"/>
          <w:szCs w:val="28"/>
          <w:highlight w:val="none"/>
          <w:lang w:eastAsia="zh-CN"/>
        </w:rPr>
        <w:t xml:space="preserve">。</w:t>
      </w:r>
      <w:r/>
    </w:p>
    <w:p>
      <w:pPr>
        <w:pStyle w:val="94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14"/>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4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月20</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42"/>
        <w:ind w:firstLine="452"/>
        <w:keepLines w:val="0"/>
        <w:keepNext w:val="0"/>
        <w:spacing w:before="0" w:after="0" w:line="500" w:lineRule="exact"/>
        <w:rPr>
          <w:color w:val="auto"/>
          <w:sz w:val="30"/>
          <w:szCs w:val="30"/>
          <w:highlight w:val="none"/>
        </w:rPr>
      </w:pPr>
      <w:r/>
      <w:bookmarkStart w:id="27" w:name="_Toc35393625"/>
      <w:r/>
      <w:bookmarkStart w:id="28" w:name="_Toc28359084"/>
      <w:r/>
      <w:bookmarkStart w:id="29" w:name="_Toc28359007"/>
      <w:r/>
      <w:bookmarkStart w:id="30" w:name="_Toc35393794"/>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4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pStyle w:val="942"/>
        <w:ind w:firstLine="452"/>
        <w:keepLines w:val="0"/>
        <w:keepNext w:val="0"/>
        <w:spacing w:before="0" w:after="0" w:line="500" w:lineRule="exact"/>
        <w:rPr>
          <w:rFonts w:hint="eastAsia" w:ascii="宋体" w:hAnsi="宋体" w:eastAsia="宋体" w:cs="宋体"/>
          <w:b w:val="0"/>
          <w:bCs w:val="0"/>
          <w:color w:val="auto"/>
          <w:sz w:val="24"/>
          <w:szCs w:val="24"/>
          <w:highlight w:val="none"/>
          <w:lang w:val="en-US" w:eastAsia="zh-CN" w:bidi="ar-SA"/>
        </w:rPr>
      </w:pPr>
      <w:r/>
      <w:bookmarkStart w:id="35" w:name="_Toc35393627"/>
      <w:r/>
      <w:bookmarkStart w:id="36" w:name="_Toc38985269"/>
      <w:r/>
      <w:bookmarkStart w:id="37" w:name="_Toc28359008"/>
      <w:r/>
      <w:bookmarkStart w:id="38" w:name="_Toc28359085"/>
      <w:r/>
      <w:bookmarkStart w:id="39" w:name="_Toc35393796"/>
      <w:r>
        <w:rPr>
          <w:rFonts w:hint="eastAsia" w:ascii="宋体" w:hAnsi="宋体" w:eastAsia="宋体" w:cs="宋体"/>
          <w:b w:val="0"/>
          <w:bCs w:val="0"/>
          <w:color w:val="auto"/>
          <w:sz w:val="24"/>
          <w:szCs w:val="24"/>
          <w:highlight w:val="none"/>
          <w:lang w:val="en-US" w:eastAsia="zh-CN" w:bidi="ar-SA"/>
        </w:rPr>
        <w:t xml:space="preserve">无</w:t>
      </w:r>
      <w:r/>
    </w:p>
    <w:p>
      <w:pPr>
        <w:pStyle w:val="94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无锡市老龄工作发展促进中心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无锡市新吴区长江北路 98 号</w:t>
      </w:r>
      <w:r>
        <w:rPr>
          <w:rFonts w:hint="eastAsia" w:ascii="宋体" w:hAnsi="宋体" w:cs="宋体"/>
          <w:color w:val="auto"/>
          <w:sz w:val="24"/>
          <w:szCs w:val="24"/>
          <w:highlight w:val="none"/>
        </w:rPr>
        <w:t xml:space="preserve">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百昌远智工程管理（无锡）有限公司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无锡市梁溪区优谷商务园39-522</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highlight w:val="none"/>
          <w:lang w:eastAsia="zh-CN"/>
        </w:rPr>
        <w:t xml:space="preserve">蒋平</w:t>
      </w:r>
      <w:r>
        <w:rPr>
          <w:rFonts w:hint="eastAsia" w:ascii="宋体" w:hAnsi="宋体" w:cs="宋体"/>
          <w:color w:val="auto"/>
          <w:sz w:val="24"/>
          <w:szCs w:val="24"/>
          <w:highlight w:val="none"/>
        </w:rPr>
        <w:t xml:space="preserve">；电话：</w:t>
      </w:r>
      <w:r>
        <w:rPr>
          <w:rFonts w:hint="eastAsia" w:ascii="宋体" w:hAnsi="宋体" w:cs="宋体"/>
          <w:color w:val="auto"/>
          <w:sz w:val="24"/>
          <w:highlight w:val="none"/>
        </w:rPr>
        <w:t xml:space="preserve">13812294330</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eastAsia="宋体" w:cs="宋体"/>
          <w:b w:val="0"/>
          <w:bCs w:val="0"/>
          <w:color w:val="auto"/>
          <w:sz w:val="24"/>
          <w:szCs w:val="24"/>
          <w:highlight w:val="none"/>
          <w:shd w:val="clear" w:color="auto" w:fill="ffffff"/>
          <w:lang w:val="en-US" w:eastAsia="zh-CN"/>
        </w:rPr>
        <w:t xml:space="preserve">陆洋</w:t>
      </w:r>
      <w:r>
        <w:rPr>
          <w:rFonts w:hint="eastAsia" w:ascii="宋体" w:hAnsi="宋体" w:cs="宋体"/>
          <w:color w:val="auto"/>
          <w:sz w:val="24"/>
          <w:szCs w:val="24"/>
          <w:highlight w:val="none"/>
        </w:rPr>
        <w:t xml:space="preserve">；电话：</w:t>
      </w:r>
      <w:r>
        <w:rPr>
          <w:rFonts w:hint="eastAsia" w:ascii="宋体" w:hAnsi="宋体" w:eastAsia="宋体" w:cs="宋体"/>
          <w:b w:val="0"/>
          <w:bCs w:val="0"/>
          <w:color w:val="auto"/>
          <w:sz w:val="24"/>
          <w:szCs w:val="24"/>
          <w:highlight w:val="none"/>
          <w:shd w:val="clear" w:color="auto" w:fill="ffffff"/>
          <w:lang w:val="en-US" w:eastAsia="zh-CN"/>
        </w:rPr>
        <w:t xml:space="preserve">18001519725</w:t>
      </w:r>
      <w:r/>
    </w:p>
    <w:p>
      <w:pPr>
        <w:ind w:firstLine="480"/>
        <w:spacing w:line="500" w:lineRule="exact"/>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cs="宋体"/>
          <w:color w:val="auto"/>
          <w:sz w:val="24"/>
          <w:szCs w:val="24"/>
          <w:highlight w:val="none"/>
          <w:lang w:val="en-US" w:eastAsia="zh-CN"/>
        </w:rPr>
        <w:t xml:space="preserve">代理机构</w:t>
      </w:r>
      <w:r>
        <w:rPr>
          <w:rFonts w:hint="eastAsia" w:ascii="宋体" w:hAnsi="宋体" w:cs="宋体"/>
          <w:color w:val="auto"/>
          <w:sz w:val="24"/>
          <w:szCs w:val="24"/>
          <w:highlight w:val="none"/>
        </w:rPr>
        <w:t xml:space="preserve">项目联系人：</w:t>
      </w:r>
      <w:r>
        <w:rPr>
          <w:rFonts w:hint="eastAsia" w:ascii="宋体" w:hAnsi="宋体" w:eastAsia="宋体" w:cs="宋体"/>
          <w:b w:val="0"/>
          <w:bCs w:val="0"/>
          <w:color w:val="auto"/>
          <w:sz w:val="24"/>
          <w:szCs w:val="24"/>
          <w:highlight w:val="none"/>
          <w:shd w:val="clear" w:color="auto" w:fill="ffffff"/>
          <w:lang w:val="en-US" w:eastAsia="zh-CN"/>
        </w:rPr>
        <w:t xml:space="preserve">陆洋</w:t>
      </w:r>
      <w:r>
        <w:rPr>
          <w:rFonts w:hint="eastAsia" w:ascii="宋体" w:hAnsi="宋体" w:cs="宋体"/>
          <w:color w:val="auto"/>
          <w:sz w:val="24"/>
          <w:szCs w:val="24"/>
          <w:highlight w:val="none"/>
        </w:rPr>
        <w:t xml:space="preserve">；电话：</w:t>
      </w:r>
      <w:r>
        <w:rPr>
          <w:rFonts w:hint="eastAsia" w:ascii="宋体" w:hAnsi="宋体" w:eastAsia="宋体" w:cs="宋体"/>
          <w:b w:val="0"/>
          <w:bCs w:val="0"/>
          <w:color w:val="auto"/>
          <w:sz w:val="24"/>
          <w:szCs w:val="24"/>
          <w:highlight w:val="none"/>
          <w:shd w:val="clear" w:color="auto" w:fill="ffffff"/>
          <w:lang w:val="en-US" w:eastAsia="zh-CN"/>
        </w:rPr>
        <w:t xml:space="preserve">18001519725</w:t>
      </w:r>
      <w:r>
        <w:rPr>
          <w:rFonts w:hint="eastAsia" w:ascii="宋体" w:hAnsi="宋体" w:cs="宋体"/>
          <w:color w:val="auto"/>
          <w:sz w:val="24"/>
          <w:szCs w:val="24"/>
          <w:highlight w:val="none"/>
          <w:lang w:val="en-US" w:eastAsia="zh-CN"/>
        </w:rPr>
        <w:t xml:space="preserve">，邮箱：</w:t>
      </w:r>
      <w:r>
        <w:rPr>
          <w:rFonts w:hint="eastAsia" w:ascii="宋体" w:hAnsi="宋体" w:eastAsia="宋体" w:cs="宋体"/>
          <w:b w:val="0"/>
          <w:bCs w:val="0"/>
          <w:color w:val="auto"/>
          <w:sz w:val="24"/>
          <w:szCs w:val="24"/>
          <w:highlight w:val="none"/>
          <w:shd w:val="clear" w:color="auto" w:fill="ffffff"/>
          <w:lang w:val="en-US" w:eastAsia="zh-CN"/>
        </w:rPr>
        <w:t xml:space="preserve">168735025@qq.com </w:t>
      </w:r>
      <w:r/>
    </w:p>
    <w:p>
      <w:pPr>
        <w:pStyle w:val="94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hint="eastAsia" w:ascii="宋体" w:hAnsi="宋体"/>
          <w:color w:val="auto"/>
          <w:sz w:val="24"/>
          <w:szCs w:val="24"/>
          <w:highlight w:val="none"/>
          <w:lang w:eastAsia="zh-CN"/>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42"/>
        <w:ind w:firstLine="452"/>
        <w:keepLines w:val="0"/>
        <w:keepNext w:val="0"/>
        <w:spacing w:before="0" w:after="0" w:line="500" w:lineRule="exact"/>
        <w:rPr>
          <w:rFonts w:hint="eastAsia"/>
          <w:color w:val="auto"/>
          <w:sz w:val="30"/>
          <w:szCs w:val="30"/>
          <w:highlight w:val="none"/>
        </w:rPr>
      </w:pPr>
      <w:r/>
      <w:bookmarkStart w:id="47" w:name="_Toc20823275"/>
      <w:r/>
      <w:bookmarkStart w:id="48" w:name="_Toc16938519"/>
      <w:r/>
      <w:bookmarkStart w:id="49" w:name="_Toc120614214"/>
      <w:r/>
      <w:bookmarkStart w:id="50" w:name="_Toc513029203"/>
      <w:r>
        <w:rPr>
          <w:rFonts w:hint="eastAsia"/>
          <w:color w:val="auto"/>
          <w:sz w:val="30"/>
          <w:szCs w:val="30"/>
          <w:highlight w:val="none"/>
        </w:rPr>
        <w:t xml:space="preserve">一、总则</w:t>
      </w:r>
      <w:bookmarkEnd w:id="47"/>
      <w:r/>
      <w:bookmarkEnd w:id="48"/>
      <w:r/>
      <w:bookmarkEnd w:id="49"/>
      <w:r/>
      <w:bookmarkEnd w:id="50"/>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55" w:name="_Toc513029205"/>
      <w:r/>
      <w:bookmarkStart w:id="56" w:name="_Toc16938521"/>
      <w:r/>
      <w:bookmarkStart w:id="57" w:name="_Toc20823277"/>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58" w:name="_Toc20823278"/>
      <w:r/>
      <w:bookmarkStart w:id="59" w:name="_Toc16938522"/>
      <w:r/>
      <w:bookmarkStart w:id="60" w:name="_Toc513029206"/>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61" w:name="_Toc462564067"/>
      <w:r/>
      <w:bookmarkStart w:id="62" w:name="_Toc20823279"/>
      <w:r/>
      <w:bookmarkStart w:id="63" w:name="_Toc513029207"/>
      <w:r/>
      <w:bookmarkStart w:id="64" w:name="_Toc16938523"/>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百昌远智工程管理（无锡）有限公司</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4.2本次招标标书工本费、招标文件均免费。</w:t>
      </w:r>
      <w:r/>
    </w:p>
    <w:p>
      <w:pPr>
        <w:ind w:firstLine="480"/>
        <w:spacing w:line="500" w:lineRule="exact"/>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4.3因本项目代理费未纳入本年度预算，本次代理</w:t>
      </w:r>
      <w:r>
        <w:rPr>
          <w:rFonts w:hint="eastAsia" w:ascii="宋体" w:hAnsi="宋体"/>
          <w:b/>
          <w:bCs/>
          <w:color w:val="auto"/>
          <w:sz w:val="24"/>
          <w:highlight w:val="white"/>
        </w:rPr>
        <w:t xml:space="preserve">费</w:t>
      </w:r>
      <w:r>
        <w:rPr>
          <w:rFonts w:hint="eastAsia" w:ascii="宋体" w:hAnsi="宋体"/>
          <w:b/>
          <w:bCs/>
          <w:color w:val="auto"/>
          <w:sz w:val="24"/>
          <w:highlight w:val="white"/>
          <w:lang w:val="en-US" w:eastAsia="zh-CN"/>
        </w:rPr>
        <w:t xml:space="preserve">由中标供应商</w:t>
      </w:r>
      <w:r>
        <w:rPr>
          <w:rFonts w:hint="eastAsia" w:ascii="宋体" w:hAnsi="宋体" w:eastAsia="宋体" w:cs="Times New Roman"/>
          <w:b/>
          <w:bCs/>
          <w:color w:val="auto"/>
          <w:sz w:val="24"/>
          <w:highlight w:val="white"/>
          <w:lang w:val="en-US" w:eastAsia="zh-CN"/>
        </w:rPr>
        <w:t xml:space="preserve">支付，</w:t>
      </w:r>
      <w:r>
        <w:rPr>
          <w:rFonts w:hint="eastAsia" w:ascii="宋体" w:hAnsi="宋体" w:cs="Times New Roman"/>
          <w:b/>
          <w:bCs/>
          <w:color w:val="auto"/>
          <w:sz w:val="24"/>
          <w:highlight w:val="white"/>
          <w:lang w:val="en-US" w:eastAsia="zh-CN"/>
        </w:rPr>
        <w:t xml:space="preserve">以</w:t>
      </w:r>
      <w:r>
        <w:rPr>
          <w:rFonts w:hint="eastAsia" w:ascii="宋体" w:hAnsi="宋体" w:eastAsia="宋体" w:cs="Times New Roman"/>
          <w:b/>
          <w:bCs/>
          <w:color w:val="auto"/>
          <w:sz w:val="24"/>
          <w:highlight w:val="white"/>
        </w:rPr>
        <w:t xml:space="preserve">中标金额为计费基础，按差额定率累进法计算</w:t>
      </w:r>
      <w:r>
        <w:rPr>
          <w:rFonts w:hint="eastAsia" w:ascii="宋体" w:hAnsi="宋体" w:cs="Times New Roman"/>
          <w:b/>
          <w:bCs/>
          <w:color w:val="auto"/>
          <w:sz w:val="24"/>
          <w:highlight w:val="white"/>
          <w:lang w:val="en-US" w:eastAsia="zh-CN"/>
        </w:rPr>
        <w:t xml:space="preserve">后的55%计取</w:t>
      </w:r>
      <w:r>
        <w:rPr>
          <w:rFonts w:hint="eastAsia" w:ascii="宋体" w:hAnsi="宋体" w:eastAsia="宋体" w:cs="Times New Roman"/>
          <w:b/>
          <w:bCs/>
          <w:color w:val="auto"/>
          <w:sz w:val="24"/>
          <w:highlight w:val="white"/>
        </w:rPr>
        <w:t xml:space="preserve">，100万以下部分费率为1.5%</w:t>
      </w:r>
      <w:r>
        <w:rPr>
          <w:rFonts w:hint="eastAsia" w:ascii="宋体" w:hAnsi="宋体" w:cs="Times New Roman"/>
          <w:b/>
          <w:bCs/>
          <w:color w:val="auto"/>
          <w:sz w:val="24"/>
          <w:highlight w:val="white"/>
          <w:lang w:eastAsia="zh-CN"/>
        </w:rPr>
        <w:t xml:space="preserve">，100万-500万</w:t>
      </w:r>
      <w:r>
        <w:rPr>
          <w:rFonts w:hint="eastAsia" w:ascii="宋体" w:hAnsi="宋体" w:eastAsia="宋体" w:cs="Times New Roman"/>
          <w:b/>
          <w:bCs/>
          <w:color w:val="auto"/>
          <w:sz w:val="24"/>
          <w:highlight w:val="white"/>
        </w:rPr>
        <w:t xml:space="preserve">部分费率为</w:t>
      </w:r>
      <w:r>
        <w:rPr>
          <w:rFonts w:hint="eastAsia" w:ascii="宋体" w:hAnsi="宋体" w:cs="Times New Roman"/>
          <w:b/>
          <w:bCs/>
          <w:color w:val="auto"/>
          <w:sz w:val="24"/>
          <w:highlight w:val="white"/>
          <w:lang w:val="en-US" w:eastAsia="zh-CN"/>
        </w:rPr>
        <w:t xml:space="preserve">0.8</w:t>
      </w:r>
      <w:r>
        <w:rPr>
          <w:rFonts w:hint="eastAsia" w:ascii="宋体" w:hAnsi="宋体" w:eastAsia="宋体" w:cs="Times New Roman"/>
          <w:b/>
          <w:bCs/>
          <w:color w:val="auto"/>
          <w:sz w:val="24"/>
          <w:highlight w:val="white"/>
        </w:rPr>
        <w:t xml:space="preserve">%</w:t>
      </w:r>
      <w:r>
        <w:rPr>
          <w:rFonts w:hint="eastAsia" w:ascii="宋体" w:hAnsi="宋体" w:cs="Times New Roman"/>
          <w:b/>
          <w:bCs/>
          <w:color w:val="auto"/>
          <w:sz w:val="24"/>
          <w:highlight w:val="white"/>
          <w:lang w:eastAsia="zh-CN"/>
        </w:rPr>
        <w:t xml:space="preserve">，供应商报价应包含代理费</w:t>
      </w:r>
      <w:r>
        <w:rPr>
          <w:rFonts w:hint="eastAsia" w:ascii="宋体" w:hAnsi="宋体" w:cs="Times New Roman"/>
          <w:b/>
          <w:bCs/>
          <w:color w:val="auto"/>
          <w:sz w:val="24"/>
          <w:highlight w:val="white"/>
          <w:lang w:val="en-US" w:eastAsia="zh-CN"/>
        </w:rPr>
        <w:t xml:space="preserve">。</w:t>
      </w:r>
      <w:r>
        <w:rPr>
          <w:highlight w:val="white"/>
        </w:rPr>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42"/>
        <w:ind w:firstLine="452"/>
        <w:keepLines w:val="0"/>
        <w:keepNext w:val="0"/>
        <w:spacing w:before="0" w:after="0" w:line="500" w:lineRule="exact"/>
        <w:rPr>
          <w:rFonts w:hint="eastAsia"/>
          <w:color w:val="auto"/>
          <w:sz w:val="30"/>
          <w:szCs w:val="30"/>
          <w:highlight w:val="none"/>
        </w:rPr>
      </w:pPr>
      <w:r/>
      <w:bookmarkStart w:id="65" w:name="_Toc16938525"/>
      <w:r/>
      <w:bookmarkStart w:id="66" w:name="_Toc120614215"/>
      <w:r/>
      <w:bookmarkStart w:id="67" w:name="_Toc513029209"/>
      <w:r/>
      <w:bookmarkStart w:id="68" w:name="_Toc20823281"/>
      <w:r>
        <w:rPr>
          <w:rFonts w:hint="eastAsia"/>
          <w:color w:val="auto"/>
          <w:sz w:val="30"/>
          <w:szCs w:val="30"/>
          <w:highlight w:val="none"/>
        </w:rPr>
        <w:t xml:space="preserve">二、招标文件</w:t>
      </w:r>
      <w:bookmarkEnd w:id="65"/>
      <w:r/>
      <w:bookmarkEnd w:id="66"/>
      <w:r/>
      <w:bookmarkEnd w:id="67"/>
      <w:r/>
      <w:bookmarkEnd w:id="68"/>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72" w:name="_Toc462564070"/>
      <w:r/>
      <w:bookmarkStart w:id="73" w:name="_Toc16938527"/>
      <w:r/>
      <w:bookmarkStart w:id="74" w:name="_Toc20823283"/>
      <w:r/>
      <w:bookmarkStart w:id="75" w:name="_Toc513029211"/>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i/>
          <w:color w:val="auto"/>
          <w:sz w:val="24"/>
          <w:highlight w:val="none"/>
        </w:rPr>
      </w:pPr>
      <w:r>
        <w:rPr>
          <w:rFonts w:hint="eastAsia" w:ascii="宋体" w:hAnsi="宋体"/>
          <w:bCs/>
          <w:color w:val="auto"/>
          <w:sz w:val="24"/>
          <w:highlight w:val="none"/>
        </w:rPr>
        <w:t xml:space="preserve">7.1</w:t>
      </w:r>
      <w:r>
        <w:rPr>
          <w:rFonts w:ascii="宋体" w:hAnsi="宋体"/>
          <w:bCs/>
          <w:i/>
          <w:color w:val="auto"/>
          <w:sz w:val="24"/>
          <w:highlight w:val="none"/>
        </w:rPr>
        <w:t xml:space="preserve"> </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根据采购人要求将于以下</w:t>
      </w:r>
      <w:r>
        <w:rPr>
          <w:rFonts w:hint="eastAsia" w:ascii="宋体" w:hAnsi="宋体"/>
          <w:bCs/>
          <w:color w:val="auto"/>
          <w:sz w:val="24"/>
          <w:highlight w:val="none"/>
          <w:lang w:val="en-US" w:eastAsia="zh-CN"/>
        </w:rPr>
        <w:t xml:space="preserve">答疑</w:t>
      </w:r>
      <w:r>
        <w:rPr>
          <w:rFonts w:hint="eastAsia" w:ascii="宋体" w:hAnsi="宋体"/>
          <w:bCs/>
          <w:color w:val="auto"/>
          <w:sz w:val="24"/>
          <w:highlight w:val="none"/>
        </w:rPr>
        <w:t xml:space="preserve">时间</w:t>
      </w:r>
      <w:r>
        <w:rPr>
          <w:rFonts w:hint="eastAsia" w:ascii="宋体" w:hAnsi="宋体"/>
          <w:bCs/>
          <w:color w:val="auto"/>
          <w:sz w:val="24"/>
          <w:highlight w:val="none"/>
          <w:lang w:val="en-US" w:eastAsia="zh-CN"/>
        </w:rPr>
        <w:t xml:space="preserve">前进行</w:t>
      </w:r>
      <w:r>
        <w:rPr>
          <w:rFonts w:hint="eastAsia" w:ascii="宋体" w:hAnsi="宋体"/>
          <w:bCs/>
          <w:color w:val="auto"/>
          <w:sz w:val="24"/>
          <w:highlight w:val="none"/>
        </w:rPr>
        <w:t xml:space="preserve">答疑。投标人如有需要对招标文件要求澄清的问题，请于</w:t>
      </w:r>
      <w:r>
        <w:rPr>
          <w:rFonts w:hint="eastAsia" w:ascii="宋体" w:hAnsi="宋体"/>
          <w:bCs/>
          <w:color w:val="auto"/>
          <w:sz w:val="24"/>
          <w:highlight w:val="none"/>
          <w:lang w:val="en-US" w:eastAsia="zh-CN"/>
        </w:rPr>
        <w:t xml:space="preserve">以下提疑时间</w:t>
      </w:r>
      <w:r>
        <w:rPr>
          <w:rFonts w:hint="eastAsia" w:ascii="宋体" w:hAnsi="宋体"/>
          <w:bCs/>
          <w:color w:val="auto"/>
          <w:sz w:val="24"/>
          <w:highlight w:val="none"/>
        </w:rPr>
        <w:t xml:space="preserve">前</w:t>
      </w:r>
      <w:r>
        <w:rPr>
          <w:rFonts w:hint="eastAsia" w:ascii="宋体" w:hAnsi="宋体"/>
          <w:color w:val="auto"/>
          <w:sz w:val="24"/>
          <w:highlight w:val="none"/>
        </w:rPr>
        <w:t xml:space="preserve">按招标公告</w:t>
      </w:r>
      <w:r>
        <w:rPr>
          <w:rFonts w:hint="eastAsia" w:ascii="宋体" w:hAnsi="宋体"/>
          <w:bCs/>
          <w:color w:val="auto"/>
          <w:sz w:val="24"/>
          <w:highlight w:val="none"/>
        </w:rPr>
        <w:t xml:space="preserve">或招标文件中</w:t>
      </w:r>
      <w:r>
        <w:rPr>
          <w:rFonts w:hint="eastAsia" w:ascii="宋体" w:hAnsi="宋体"/>
          <w:color w:val="auto"/>
          <w:sz w:val="24"/>
          <w:highlight w:val="none"/>
        </w:rPr>
        <w:t xml:space="preserve">的联系方式以书面形式通知</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提疑时间：2026年7月3日10:00</w:t>
      </w:r>
      <w:r/>
    </w:p>
    <w:p>
      <w:pPr>
        <w:ind w:firstLine="480"/>
        <w:spacing w:line="500" w:lineRule="exact"/>
        <w:rPr>
          <w:rFonts w:hint="default"/>
          <w:color w:val="auto"/>
          <w:highlight w:val="none"/>
          <w:lang w:val="en-US" w:eastAsia="zh-CN"/>
        </w:rPr>
      </w:pPr>
      <w:r>
        <w:rPr>
          <w:rFonts w:hint="eastAsia" w:ascii="宋体" w:hAnsi="宋体"/>
          <w:bCs/>
          <w:color w:val="auto"/>
          <w:sz w:val="24"/>
          <w:szCs w:val="24"/>
          <w:highlight w:val="none"/>
          <w:lang w:val="en-US" w:eastAsia="zh-CN"/>
        </w:rPr>
        <w:t xml:space="preserve">答疑时间：2026年7月3日17:00</w:t>
      </w:r>
      <w:r/>
    </w:p>
    <w:p>
      <w:pPr>
        <w:ind w:firstLine="480"/>
        <w:spacing w:line="5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答疑会时间：</w:t>
      </w:r>
      <w:r>
        <w:rPr>
          <w:rFonts w:hint="eastAsia" w:ascii="宋体" w:hAnsi="宋体"/>
          <w:bCs/>
          <w:color w:val="auto"/>
          <w:sz w:val="24"/>
          <w:szCs w:val="24"/>
          <w:highlight w:val="none"/>
          <w:lang w:val="en-US" w:eastAsia="zh-CN"/>
        </w:rPr>
        <w:t xml:space="preserve">不组织现场答疑</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答疑会地点：</w:t>
      </w:r>
      <w:r>
        <w:rPr>
          <w:rFonts w:hint="eastAsia" w:ascii="宋体" w:hAnsi="宋体"/>
          <w:bCs/>
          <w:color w:val="auto"/>
          <w:sz w:val="24"/>
          <w:szCs w:val="24"/>
          <w:highlight w:val="none"/>
          <w:lang w:val="en-US" w:eastAsia="zh-CN"/>
        </w:rPr>
        <w:t xml:space="preserve">/</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76" w:name="_Toc462564071"/>
      <w:r/>
      <w:bookmarkStart w:id="77" w:name="_Toc20823284"/>
      <w:r/>
      <w:bookmarkStart w:id="78" w:name="_Toc513029212"/>
      <w:r/>
      <w:bookmarkStart w:id="79" w:name="_Toc16938528"/>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42"/>
        <w:ind w:firstLine="452"/>
        <w:keepLines w:val="0"/>
        <w:keepNext w:val="0"/>
        <w:spacing w:before="0" w:after="0" w:line="500" w:lineRule="exact"/>
        <w:rPr>
          <w:rFonts w:hint="eastAsia"/>
          <w:color w:val="auto"/>
          <w:sz w:val="30"/>
          <w:szCs w:val="30"/>
          <w:highlight w:val="none"/>
        </w:rPr>
      </w:pPr>
      <w:r/>
      <w:bookmarkStart w:id="80" w:name="_Toc513029213"/>
      <w:r/>
      <w:bookmarkStart w:id="81" w:name="_Toc120614216"/>
      <w:r/>
      <w:bookmarkStart w:id="82" w:name="_Toc16938529"/>
      <w:r/>
      <w:bookmarkStart w:id="83" w:name="_Toc20823285"/>
      <w:r/>
      <w:bookmarkStart w:id="84" w:name="_Toc462564072"/>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85" w:name="_Toc462564073"/>
      <w:r/>
      <w:bookmarkStart w:id="86" w:name="_Toc16938530"/>
      <w:r/>
      <w:bookmarkStart w:id="87" w:name="_Toc513029214"/>
      <w:r/>
      <w:bookmarkStart w:id="88" w:name="_Toc20823286"/>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89" w:name="_Toc20823287"/>
      <w:r/>
      <w:bookmarkStart w:id="90" w:name="_Toc462564074"/>
      <w:r/>
      <w:bookmarkStart w:id="91" w:name="_Toc16938531"/>
      <w:r/>
      <w:bookmarkStart w:id="92" w:name="_Toc513029215"/>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49090507"/>
      <w:r/>
      <w:bookmarkStart w:id="100" w:name="_Toc513029216"/>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w:t>
      </w:r>
      <w:r>
        <w:rPr>
          <w:rFonts w:hint="eastAsia" w:ascii="宋体" w:hAnsi="宋体"/>
          <w:bCs/>
          <w:color w:val="auto"/>
          <w:sz w:val="24"/>
          <w:highlight w:val="none"/>
          <w:lang w:eastAsia="zh-CN"/>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08" w:name="_Hlt26954846"/>
      <w:r/>
      <w:bookmarkEnd w:id="108"/>
      <w:r/>
      <w:bookmarkStart w:id="109" w:name="_Hlt26954844"/>
      <w:r/>
      <w:bookmarkEnd w:id="109"/>
      <w:r/>
      <w:bookmarkStart w:id="110" w:name="_Hlt26670403"/>
      <w:r/>
      <w:bookmarkEnd w:id="110"/>
      <w:r/>
      <w:bookmarkStart w:id="111" w:name="_Hlt26670482"/>
      <w:r/>
      <w:bookmarkEnd w:id="111"/>
      <w:r/>
      <w:bookmarkStart w:id="112" w:name="_Hlt26954731"/>
      <w:r/>
      <w:bookmarkEnd w:id="112"/>
      <w:r/>
      <w:bookmarkStart w:id="113" w:name="_Hlt26670425"/>
      <w:r/>
      <w:bookmarkEnd w:id="113"/>
      <w:r/>
      <w:bookmarkStart w:id="114" w:name="_Hlt26954848"/>
      <w:r/>
      <w:bookmarkEnd w:id="114"/>
      <w:r/>
      <w:bookmarkStart w:id="115" w:name="_Hlt26670486"/>
      <w:r/>
      <w:bookmarkEnd w:id="115"/>
      <w:r/>
      <w:bookmarkStart w:id="116" w:name="_Hlt26668983"/>
      <w:r/>
      <w:bookmarkEnd w:id="116"/>
      <w:r/>
      <w:bookmarkStart w:id="117" w:name="_Hlt26954842"/>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42"/>
        <w:ind w:firstLine="452"/>
        <w:keepLines w:val="0"/>
        <w:keepNext w:val="0"/>
        <w:spacing w:before="0" w:after="0" w:line="500" w:lineRule="exact"/>
        <w:rPr>
          <w:rFonts w:hint="eastAsia"/>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color w:val="auto"/>
          <w:sz w:val="30"/>
          <w:szCs w:val="30"/>
          <w:highlight w:val="none"/>
        </w:rPr>
        <w:t xml:space="preserve">四、投标文件的递交</w:t>
      </w:r>
      <w:bookmarkEnd w:id="125"/>
      <w:r/>
      <w:bookmarkEnd w:id="126"/>
      <w:r/>
      <w:bookmarkEnd w:id="127"/>
      <w:r/>
      <w:bookmarkEnd w:id="128"/>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29" w:name="_Toc462564084"/>
      <w:r/>
      <w:bookmarkStart w:id="130" w:name="_Toc16938541"/>
      <w:r/>
      <w:bookmarkStart w:id="131" w:name="_Toc20823297"/>
      <w:r/>
      <w:bookmarkStart w:id="132" w:name="_Toc513029225"/>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9"/>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拒绝接收在其规定的投标截止时间后上传的任何投标文件。</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42"/>
        <w:ind w:firstLine="452"/>
        <w:keepLines w:val="0"/>
        <w:keepNext w:val="0"/>
        <w:spacing w:before="0" w:after="0" w:line="500" w:lineRule="exact"/>
        <w:rPr>
          <w:rFonts w:hint="eastAsia"/>
          <w:color w:val="auto"/>
          <w:sz w:val="30"/>
          <w:szCs w:val="30"/>
          <w:highlight w:val="none"/>
        </w:rPr>
      </w:pPr>
      <w:r/>
      <w:bookmarkStart w:id="142" w:name="_Toc120614218"/>
      <w:r/>
      <w:bookmarkStart w:id="143" w:name="_Toc513029229"/>
      <w:r/>
      <w:bookmarkStart w:id="144" w:name="_Toc16938545"/>
      <w:r/>
      <w:bookmarkStart w:id="145" w:name="_Toc20823301"/>
      <w:r>
        <w:rPr>
          <w:rFonts w:hint="eastAsia"/>
          <w:color w:val="auto"/>
          <w:sz w:val="30"/>
          <w:szCs w:val="30"/>
          <w:highlight w:val="none"/>
        </w:rPr>
        <w:t xml:space="preserve">五、开标与评标</w:t>
      </w:r>
      <w:bookmarkEnd w:id="142"/>
      <w:r/>
      <w:bookmarkEnd w:id="143"/>
      <w:r/>
      <w:bookmarkEnd w:id="144"/>
      <w:r/>
      <w:bookmarkEnd w:id="145"/>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46" w:name="_Toc513029230"/>
      <w:r/>
      <w:bookmarkStart w:id="147" w:name="_Toc20823302"/>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lang w:eastAsia="zh-CN"/>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52" w:name="_Toc20823304"/>
      <w:r/>
      <w:bookmarkStart w:id="153" w:name="_Toc16938548"/>
      <w:r/>
      <w:bookmarkStart w:id="154" w:name="_Toc513029232"/>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澄清、说明和补正，其风险由投标人自行承担。</w:t>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55" w:name="_Toc20823305"/>
      <w:r/>
      <w:bookmarkStart w:id="156" w:name="_Toc16938549"/>
      <w:r/>
      <w:bookmarkStart w:id="157" w:name="_Toc513029233"/>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w:t>
      </w:r>
      <w:r>
        <w:rPr>
          <w:rFonts w:hint="eastAsia" w:ascii="宋体" w:hAnsi="宋体"/>
          <w:bCs/>
          <w:color w:val="auto"/>
          <w:sz w:val="24"/>
          <w:highlight w:val="none"/>
          <w:lang w:val="en-US" w:eastAsia="zh-CN"/>
        </w:rPr>
        <w:t xml:space="preserve">或采购代理</w:t>
      </w:r>
      <w:r>
        <w:rPr>
          <w:rFonts w:hint="eastAsia" w:ascii="宋体" w:hAnsi="宋体"/>
          <w:bCs/>
          <w:color w:val="auto"/>
          <w:sz w:val="24"/>
          <w:highlight w:val="none"/>
        </w:rPr>
        <w:t xml:space="preserve">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cs="宋体"/>
          <w:color w:val="auto"/>
          <w:sz w:val="24"/>
          <w:szCs w:val="24"/>
          <w:highlight w:val="none"/>
          <w:lang w:eastAsia="zh-CN"/>
        </w:rPr>
        <w:t xml:space="preserve">重大税收违法失信主体名单</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513029234"/>
      <w:r/>
      <w:bookmarkStart w:id="159" w:name="_Toc16938550"/>
      <w:r/>
      <w:bookmarkStart w:id="160" w:name="_Toc20823306"/>
      <w:r>
        <w:rPr>
          <w:rFonts w:hint="eastAsia" w:ascii="宋体" w:hAnsi="宋体"/>
          <w:color w:val="auto"/>
          <w:sz w:val="24"/>
          <w:highlight w:val="none"/>
        </w:rPr>
        <w:t xml:space="preserve">25.6投标人在开、评标全过程中应</w:t>
      </w:r>
      <w:r>
        <w:rPr>
          <w:rFonts w:hint="eastAsia" w:ascii="宋体" w:hAnsi="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w:t>
      </w:r>
      <w:r>
        <w:rPr>
          <w:rFonts w:hint="eastAsia" w:ascii="宋体" w:hAnsi="宋体"/>
          <w:color w:val="auto"/>
          <w:sz w:val="24"/>
          <w:szCs w:val="24"/>
          <w:highlight w:val="none"/>
          <w:lang w:eastAsia="zh-CN"/>
        </w:rPr>
        <w:t xml:space="preserve">重大税收违法失信主体名单</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26.1.21除单一来源采购项目外，为采购项目提供整体设计、规范编制或者项目管理、监理、检测等服务的</w:t>
      </w:r>
      <w:r>
        <w:rPr>
          <w:rFonts w:hint="eastAsia" w:ascii="宋体" w:hAnsi="宋体"/>
          <w:bCs/>
          <w:color w:val="auto"/>
          <w:sz w:val="24"/>
          <w:szCs w:val="24"/>
          <w:highlight w:val="none"/>
        </w:rPr>
        <w:t xml:space="preserve">。</w:t>
      </w:r>
      <w:r/>
    </w:p>
    <w:p>
      <w:pPr>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26.1.22评标委员会按照财库[2026]2号</w:t>
      </w:r>
      <w:r>
        <w:rPr>
          <w:rFonts w:hint="eastAsia" w:ascii="宋体" w:hAnsi="宋体"/>
          <w:bCs/>
          <w:color w:val="auto"/>
          <w:sz w:val="24"/>
          <w:szCs w:val="24"/>
          <w:highlight w:val="none"/>
          <w:lang w:val="en-US" w:eastAsia="zh-CN"/>
        </w:rPr>
        <w:t xml:space="preserve">文</w:t>
      </w:r>
      <w:r>
        <w:rPr>
          <w:rFonts w:hint="eastAsia" w:ascii="宋体" w:hAnsi="宋体"/>
          <w:bCs/>
          <w:color w:val="auto"/>
          <w:sz w:val="24"/>
          <w:szCs w:val="24"/>
          <w:highlight w:val="none"/>
        </w:rPr>
        <w:t xml:space="preserve">规定对投标人进行异常低价投标（响应）审查后，认为投标人不能证明其报价合理性的</w:t>
      </w:r>
      <w:r>
        <w:rPr>
          <w:rFonts w:hint="eastAsia" w:ascii="宋体" w:hAnsi="宋体"/>
          <w:bCs/>
          <w:color w:val="auto"/>
          <w:sz w:val="24"/>
          <w:highlight w:val="none"/>
        </w:rPr>
        <w:t xml:space="preserve">。</w:t>
      </w:r>
      <w:r/>
    </w:p>
    <w:p>
      <w:pPr>
        <w:ind w:firstLine="480"/>
        <w:spacing w:line="500" w:lineRule="exact"/>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26.1.23投标文件内容不全或不符合招标文件中规定的其他实质性要求和条件的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ascii="宋体" w:hAnsi="宋体"/>
          <w:bCs/>
          <w:color w:val="auto"/>
          <w:sz w:val="24"/>
        </w:rPr>
      </w:pPr>
      <w:r>
        <w:rPr>
          <w:rFonts w:hint="eastAsia" w:ascii="宋体" w:hAnsi="宋体"/>
          <w:bCs/>
          <w:color w:val="auto"/>
          <w:sz w:val="24"/>
          <w:highlight w:val="none"/>
        </w:rPr>
        <w:t xml:space="preserve">26.1.25其他法律法规及本招标文件规定的属无效投标的情形</w:t>
      </w:r>
      <w:r>
        <w:rPr>
          <w:rFonts w:hint="eastAsia" w:ascii="宋体" w:hAnsi="宋体"/>
          <w:bCs/>
          <w:color w:val="auto"/>
          <w:sz w:val="24"/>
        </w:rPr>
        <w:t xml:space="preserve">。</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w:t>
      </w:r>
      <w:r>
        <w:rPr>
          <w:rFonts w:hint="eastAsia" w:ascii="宋体" w:hAnsi="宋体"/>
          <w:bCs/>
          <w:color w:val="auto"/>
          <w:sz w:val="24"/>
          <w:highlight w:val="none"/>
          <w:lang w:eastAsia="zh-CN"/>
        </w:rPr>
        <w:t xml:space="preserve">做</w:t>
      </w:r>
      <w:r>
        <w:rPr>
          <w:rFonts w:hint="eastAsia" w:ascii="宋体" w:hAnsi="宋体"/>
          <w:bCs/>
          <w:color w:val="auto"/>
          <w:sz w:val="24"/>
          <w:highlight w:val="none"/>
        </w:rPr>
        <w:t xml:space="preserve">实质响应的供应商不足三家的。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42"/>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42"/>
        <w:ind w:firstLine="452"/>
        <w:keepLines w:val="0"/>
        <w:keepNext w:val="0"/>
        <w:spacing w:before="0" w:after="0" w:line="500" w:lineRule="exact"/>
        <w:rPr>
          <w:rFonts w:hint="eastAsia"/>
          <w:color w:val="auto"/>
          <w:sz w:val="30"/>
          <w:szCs w:val="30"/>
          <w:highlight w:val="none"/>
        </w:rPr>
      </w:pPr>
      <w:r/>
      <w:bookmarkStart w:id="169" w:name="_Toc513029236"/>
      <w:r/>
      <w:bookmarkStart w:id="170" w:name="_Toc120614220"/>
      <w:r/>
      <w:bookmarkStart w:id="171" w:name="_Toc16938552"/>
      <w:r/>
      <w:bookmarkStart w:id="172" w:name="_Toc20823308"/>
      <w:r>
        <w:rPr>
          <w:rFonts w:hint="eastAsia"/>
          <w:color w:val="auto"/>
          <w:sz w:val="30"/>
          <w:szCs w:val="30"/>
          <w:highlight w:val="none"/>
        </w:rPr>
        <w:t xml:space="preserve">七、授予合同</w:t>
      </w:r>
      <w:bookmarkEnd w:id="169"/>
      <w:r/>
      <w:bookmarkEnd w:id="170"/>
      <w:r/>
      <w:bookmarkEnd w:id="171"/>
      <w:r/>
      <w:bookmarkEnd w:id="172"/>
      <w:r/>
      <w:r/>
    </w:p>
    <w:p>
      <w:pPr>
        <w:pStyle w:val="943"/>
        <w:ind w:firstLine="422"/>
        <w:keepLines w:val="0"/>
        <w:keepNext w:val="0"/>
        <w:spacing w:before="0" w:after="0" w:line="500" w:lineRule="exact"/>
        <w:rPr>
          <w:rFonts w:hint="eastAsia"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w:t>
      </w:r>
      <w:r>
        <w:rPr>
          <w:rFonts w:hint="eastAsia" w:ascii="宋体" w:hAnsi="宋体"/>
          <w:bCs/>
          <w:color w:val="auto"/>
          <w:sz w:val="24"/>
          <w:szCs w:val="24"/>
          <w:highlight w:val="none"/>
          <w:lang w:val="en-US" w:eastAsia="zh-CN"/>
        </w:rPr>
        <w:t xml:space="preserve">十五</w:t>
      </w:r>
      <w:r>
        <w:rPr>
          <w:rFonts w:hint="eastAsia" w:ascii="宋体" w:hAnsi="宋体"/>
          <w:bCs/>
          <w:color w:val="auto"/>
          <w:sz w:val="24"/>
          <w:szCs w:val="24"/>
          <w:highlight w:val="none"/>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43"/>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941"/>
        <w:ind w:firstLine="720"/>
        <w:jc w:val="center"/>
        <w:spacing w:line="500" w:lineRule="exact"/>
        <w:rPr>
          <w:rFonts w:ascii="黑体" w:eastAsia="黑体"/>
          <w:bCs/>
          <w:color w:val="auto"/>
          <w:sz w:val="36"/>
          <w:szCs w:val="36"/>
          <w:highlight w:val="none"/>
          <w:lang w:eastAsia="zh-CN"/>
        </w:rPr>
      </w:pPr>
      <w:r/>
      <w:bookmarkStart w:id="176" w:name="_Toc16938558"/>
      <w:r/>
      <w:bookmarkStart w:id="177" w:name="_Toc479757207"/>
      <w:r/>
      <w:bookmarkStart w:id="178" w:name="_Toc513029242"/>
      <w:r/>
      <w:bookmarkStart w:id="179" w:name="_Toc20823314"/>
      <w:r/>
      <w:bookmarkStart w:id="180" w:name="_Toc120614221"/>
      <w:r>
        <w:rPr>
          <w:rFonts w:ascii="宋体" w:hAnsi="宋体"/>
          <w:bCs/>
          <w:color w:val="auto"/>
          <w:sz w:val="24"/>
          <w:highlight w:val="none"/>
          <w:shd w:val="clear" w:color="ffffff" w:fill="d9d9d9"/>
        </w:rPr>
        <w:br w:type="page" w:clear="all"/>
      </w:r>
      <w:bookmarkEnd w:id="176"/>
      <w:r/>
      <w:bookmarkEnd w:id="177"/>
      <w:r/>
      <w:bookmarkEnd w:id="178"/>
      <w:r/>
      <w:bookmarkEnd w:id="179"/>
      <w:r/>
      <w:bookmarkEnd w:id="180"/>
      <w:r/>
      <w:bookmarkStart w:id="181" w:name="_Toc513029243"/>
      <w:r/>
      <w:bookmarkStart w:id="182" w:name="_Toc16938559"/>
      <w:r/>
      <w:bookmarkStart w:id="183" w:name="_Toc20823315"/>
      <w:r>
        <w:rPr>
          <w:rFonts w:hint="eastAsia" w:ascii="黑体" w:eastAsia="黑体"/>
          <w:bCs/>
          <w:color w:val="auto"/>
          <w:sz w:val="36"/>
          <w:szCs w:val="36"/>
          <w:highlight w:val="none"/>
          <w:lang w:eastAsia="zh-CN"/>
        </w:rPr>
        <w:t xml:space="preserve">第三章  合同文本</w:t>
      </w:r>
      <w:bookmarkEnd w:id="181"/>
      <w:r/>
      <w:bookmarkEnd w:id="182"/>
      <w:r/>
      <w:bookmarkEnd w:id="183"/>
      <w:r/>
      <w:r/>
    </w:p>
    <w:p>
      <w:pPr>
        <w:ind w:firstLine="0"/>
        <w:jc w:val="both"/>
        <w:spacing w:line="336" w:lineRule="auto"/>
        <w:rPr>
          <w:rFonts w:hint="eastAsia" w:ascii="宋体" w:hAnsi="宋体" w:eastAsia="宋体" w:cs="Times New Roman"/>
          <w:bCs/>
          <w:color w:val="auto"/>
          <w:sz w:val="24"/>
          <w:szCs w:val="22"/>
          <w:highlight w:val="none"/>
          <w:u w:val="single"/>
        </w:rPr>
      </w:pPr>
      <w:r/>
      <w:bookmarkStart w:id="184" w:name="_Hlt16619350"/>
      <w:r/>
      <w:bookmarkStart w:id="185" w:name="_Toc20823346"/>
      <w:r/>
      <w:bookmarkStart w:id="186" w:name="_Toc16938590"/>
      <w:r/>
      <w:bookmarkStart w:id="187" w:name="_Toc120614244"/>
      <w:r/>
      <w:bookmarkStart w:id="188" w:name="_Toc462564139"/>
      <w:r/>
      <w:bookmarkStart w:id="189" w:name="_Toc479757211"/>
      <w:r>
        <w:rPr>
          <w:rFonts w:hint="eastAsia" w:ascii="宋体" w:hAnsi="宋体" w:eastAsia="宋体" w:cs="Times New Roman"/>
          <w:bCs/>
          <w:color w:val="auto"/>
          <w:sz w:val="24"/>
          <w:szCs w:val="22"/>
          <w:highlight w:val="none"/>
        </w:rPr>
        <w:t xml:space="preserve">甲方（采购人）：</w:t>
      </w:r>
      <w:r>
        <w:rPr>
          <w:rFonts w:hint="eastAsia" w:ascii="宋体" w:hAnsi="宋体" w:eastAsia="宋体" w:cs="Times New Roman"/>
          <w:bCs/>
          <w:color w:val="auto"/>
          <w:sz w:val="24"/>
          <w:szCs w:val="22"/>
          <w:highlight w:val="none"/>
          <w:u w:val="single"/>
        </w:rPr>
        <w:t xml:space="preserve">                                                             </w:t>
      </w:r>
      <w:r/>
    </w:p>
    <w:p>
      <w:pPr>
        <w:ind w:firstLine="0"/>
        <w:jc w:val="both"/>
        <w:spacing w:line="336" w:lineRule="auto"/>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乙方（中标方）：</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一、政府采购编号：</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二、采购内容：</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三、中标总金额：（大写）</w:t>
      </w:r>
      <w:r>
        <w:rPr>
          <w:rFonts w:hint="eastAsia" w:ascii="宋体" w:hAnsi="宋体" w:eastAsia="宋体" w:cs="Times New Roman"/>
          <w:bCs/>
          <w:color w:val="auto"/>
          <w:sz w:val="24"/>
          <w:szCs w:val="22"/>
          <w:highlight w:val="none"/>
          <w:u w:val="single"/>
        </w:rPr>
        <w:t xml:space="preserve">                                            </w:t>
      </w:r>
      <w:r/>
    </w:p>
    <w:p>
      <w:pPr>
        <w:ind w:firstLine="2445"/>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（小写）</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四、服务要求：</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ascii="Calibri" w:hAnsi="Calibri" w:eastAsia="宋体" w:cs="Times New Roman"/>
          <w:bCs w:val="0"/>
          <w:color w:val="auto"/>
          <w:sz w:val="21"/>
          <w:szCs w:val="22"/>
          <w:highlight w:val="none"/>
        </w:rPr>
      </w:pPr>
      <w:r>
        <w:rPr>
          <w:rFonts w:hint="eastAsia" w:ascii="宋体" w:hAnsi="宋体" w:eastAsia="宋体" w:cs="Times New Roman"/>
          <w:bCs/>
          <w:color w:val="auto"/>
          <w:sz w:val="24"/>
          <w:szCs w:val="22"/>
          <w:highlight w:val="none"/>
        </w:rPr>
        <w:t xml:space="preserve">五、本合同服务期限：</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六、服务地点和方式：</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七、支付步骤和办法：</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八、违约责任：</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九、</w:t>
      </w:r>
      <w:r>
        <w:rPr>
          <w:rFonts w:ascii="宋体" w:hAnsi="宋体" w:eastAsia="宋体" w:cs="Times New Roman"/>
          <w:bCs w:val="0"/>
          <w:color w:val="auto"/>
          <w:sz w:val="24"/>
          <w:szCs w:val="22"/>
          <w:highlight w:val="none"/>
        </w:rPr>
        <w:t xml:space="preserve">解决争议的方</w:t>
      </w:r>
      <w:r>
        <w:rPr>
          <w:rFonts w:hint="eastAsia" w:ascii="宋体" w:hAnsi="宋体" w:eastAsia="宋体" w:cs="Times New Roman"/>
          <w:bCs w:val="0"/>
          <w:color w:val="auto"/>
          <w:sz w:val="24"/>
          <w:szCs w:val="22"/>
          <w:highlight w:val="none"/>
        </w:rPr>
        <w:t xml:space="preserve">式：</w:t>
      </w:r>
      <w:r>
        <w:rPr>
          <w:rFonts w:hint="eastAsia" w:ascii="宋体" w:hAnsi="宋体" w:eastAsia="宋体" w:cs="Times New Roman"/>
          <w:bCs w:val="0"/>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十、其他事项：</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十一、合同不可分割部分：</w:t>
      </w:r>
      <w:r/>
    </w:p>
    <w:p>
      <w:pPr>
        <w:ind w:firstLine="480"/>
        <w:jc w:val="both"/>
        <w:spacing w:line="336" w:lineRule="auto"/>
        <w:tabs>
          <w:tab w:val="left" w:pos="210" w:leader="none"/>
          <w:tab w:val="left" w:pos="42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招标文件、投标文件、合同条款及中标通知书，乙方在投标、评标过程中所作其它有关承诺、声明、书面澄清等均为合同不可分割的部分，与主合同具有同等法律效力。</w:t>
      </w:r>
      <w:r/>
    </w:p>
    <w:p>
      <w:pPr>
        <w:ind w:firstLine="523"/>
        <w:jc w:val="both"/>
        <w:spacing w:line="336" w:lineRule="auto"/>
        <w:tabs>
          <w:tab w:val="left" w:pos="210" w:leader="none"/>
          <w:tab w:val="left" w:pos="84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十二、合同备案：</w:t>
      </w:r>
      <w:r/>
    </w:p>
    <w:p>
      <w:pPr>
        <w:ind w:firstLine="480"/>
        <w:jc w:val="both"/>
        <w:spacing w:line="336" w:lineRule="auto"/>
        <w:tabs>
          <w:tab w:val="left" w:pos="210" w:leader="none"/>
          <w:tab w:val="left" w:pos="735"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合同一式伍份，甲乙双方各执二份，招标代理一份。</w:t>
      </w:r>
      <w:r/>
    </w:p>
    <w:p>
      <w:pPr>
        <w:ind w:firstLine="523"/>
        <w:jc w:val="both"/>
        <w:spacing w:line="336" w:lineRule="auto"/>
        <w:tabs>
          <w:tab w:val="left" w:pos="210" w:leader="none"/>
          <w:tab w:val="left" w:pos="84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十三、合同生效：</w:t>
      </w:r>
      <w:r/>
    </w:p>
    <w:p>
      <w:pPr>
        <w:ind w:firstLine="480"/>
        <w:jc w:val="both"/>
        <w:spacing w:line="336" w:lineRule="auto"/>
        <w:tabs>
          <w:tab w:val="left" w:pos="210" w:leader="none"/>
          <w:tab w:val="left" w:pos="84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本合同由甲乙双方签字、盖章后生效，并经</w:t>
      </w:r>
      <w:r>
        <w:rPr>
          <w:rFonts w:hint="eastAsia" w:ascii="宋体" w:hAnsi="宋体" w:eastAsia="宋体" w:cs="宋体"/>
          <w:bCs/>
          <w:color w:val="auto"/>
          <w:sz w:val="24"/>
          <w:szCs w:val="24"/>
          <w:highlight w:val="none"/>
        </w:rPr>
        <w:t xml:space="preserve">复诚项目管理咨询（无锡）有限公司</w:t>
      </w:r>
      <w:r>
        <w:rPr>
          <w:rFonts w:hint="eastAsia" w:ascii="宋体" w:hAnsi="宋体" w:eastAsia="宋体" w:cs="Times New Roman"/>
          <w:bCs/>
          <w:color w:val="auto"/>
          <w:sz w:val="24"/>
          <w:szCs w:val="22"/>
          <w:highlight w:val="none"/>
        </w:rPr>
        <w:t xml:space="preserve">见证。</w:t>
      </w:r>
      <w:r/>
    </w:p>
    <w:p>
      <w:pPr>
        <w:ind w:firstLine="0"/>
        <w:jc w:val="both"/>
        <w:spacing w:line="336" w:lineRule="auto"/>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甲方（采购人）：</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（盖章）  </w:t>
      </w:r>
      <w:r>
        <w:rPr>
          <w:rFonts w:ascii="宋体" w:hAnsi="宋体" w:eastAsia="宋体" w:cs="Times New Roman"/>
          <w:bCs/>
          <w:color w:val="auto"/>
          <w:sz w:val="24"/>
          <w:szCs w:val="22"/>
          <w:highlight w:val="none"/>
        </w:rPr>
        <w:t xml:space="preserve"> </w:t>
      </w:r>
      <w:r>
        <w:rPr>
          <w:rFonts w:hint="eastAsia" w:ascii="宋体" w:hAnsi="宋体" w:eastAsia="宋体" w:cs="Times New Roman"/>
          <w:bCs/>
          <w:color w:val="auto"/>
          <w:sz w:val="24"/>
          <w:szCs w:val="22"/>
          <w:highlight w:val="none"/>
        </w:rPr>
        <w:t xml:space="preserve">乙方（中标方）：</w:t>
      </w:r>
      <w:r>
        <w:rPr>
          <w:rFonts w:hint="eastAsia" w:ascii="宋体" w:hAnsi="宋体" w:eastAsia="宋体" w:cs="Times New Roman"/>
          <w:bCs/>
          <w:color w:val="auto"/>
          <w:sz w:val="24"/>
          <w:szCs w:val="22"/>
          <w:highlight w:val="none"/>
          <w:u w:val="single"/>
        </w:rPr>
        <w:t xml:space="preserve">   </w:t>
      </w:r>
      <w:r>
        <w:rPr>
          <w:rFonts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（盖章）</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法定（授权）代表人：</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    法定（授权）代表人：</w:t>
      </w:r>
      <w:r>
        <w:rPr>
          <w:rFonts w:hint="eastAsia" w:ascii="宋体" w:hAnsi="宋体" w:eastAsia="宋体" w:cs="Times New Roman"/>
          <w:bCs/>
          <w:color w:val="auto"/>
          <w:sz w:val="24"/>
          <w:szCs w:val="22"/>
          <w:highlight w:val="none"/>
          <w:u w:val="single"/>
        </w:rPr>
        <w:t xml:space="preserve">             </w:t>
      </w:r>
      <w:r/>
    </w:p>
    <w:p>
      <w:pPr>
        <w:ind w:firstLine="0"/>
        <w:jc w:val="both"/>
        <w:keepLines w:val="0"/>
        <w:keepNext w:val="0"/>
        <w:pageBreakBefore w:val="0"/>
        <w:spacing w:line="360" w:lineRule="auto"/>
        <w:widowControl w:val="off"/>
        <w:rPr>
          <w:rFonts w:hint="eastAsia" w:ascii="仿宋_GB2312" w:hAnsi="宋体" w:eastAsia="仿宋_GB2312" w:cs="宋体"/>
          <w:bCs/>
          <w:color w:val="auto"/>
          <w:sz w:val="28"/>
          <w:szCs w:val="20"/>
          <w:highlight w:val="none"/>
          <w:lang w:val="en-US" w:eastAsia="zh-CN" w:bidi="ar-SA"/>
        </w:rPr>
      </w:pP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年</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月</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日     </w:t>
      </w:r>
      <w:r>
        <w:rPr>
          <w:rFonts w:hint="eastAsia" w:ascii="宋体" w:hAnsi="宋体" w:eastAsia="宋体" w:cs="Times New Roman"/>
          <w:bCs/>
          <w:color w:val="auto"/>
          <w:sz w:val="24"/>
          <w:szCs w:val="22"/>
          <w:highlight w:val="none"/>
          <w:lang w:val="en-US" w:eastAsia="zh-CN"/>
        </w:rPr>
        <w:t xml:space="preserve">    </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年</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月</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日</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lang w:val="en-US" w:eastAsia="zh-CN"/>
        </w:rPr>
        <w:t xml:space="preserve">  </w:t>
      </w:r>
      <w:r>
        <w:rPr>
          <w:rFonts w:hint="eastAsia" w:ascii="宋体" w:hAnsi="宋体" w:eastAsia="宋体" w:cs="Times New Roman"/>
          <w:bCs/>
          <w:color w:val="auto"/>
          <w:sz w:val="24"/>
          <w:szCs w:val="22"/>
          <w:highlight w:val="none"/>
        </w:rPr>
        <w:t xml:space="preserve"> </w:t>
      </w:r>
      <w:r>
        <w:rPr>
          <w:rFonts w:hint="eastAsia" w:ascii="宋体" w:hAnsi="宋体" w:eastAsia="宋体" w:cs="Times New Roman"/>
          <w:bCs/>
          <w:color w:val="auto"/>
          <w:sz w:val="24"/>
          <w:szCs w:val="22"/>
          <w:highlight w:val="none"/>
          <w:lang w:val="en-US" w:eastAsia="zh-CN"/>
        </w:rPr>
        <w:t xml:space="preserve">                                 </w:t>
      </w:r>
      <w:r>
        <w:rPr>
          <w:rFonts w:hint="eastAsia" w:ascii="宋体" w:hAnsi="宋体" w:eastAsia="宋体" w:cs="Times New Roman"/>
          <w:bCs/>
          <w:color w:val="auto"/>
          <w:sz w:val="24"/>
          <w:szCs w:val="22"/>
          <w:highlight w:val="none"/>
        </w:rPr>
        <w:t xml:space="preserve">乙方户名：</w:t>
      </w:r>
      <w:r>
        <w:rPr>
          <w:rFonts w:hint="eastAsia" w:ascii="宋体" w:hAnsi="宋体" w:eastAsia="宋体" w:cs="Times New Roman"/>
          <w:bCs/>
          <w:color w:val="auto"/>
          <w:sz w:val="24"/>
          <w:szCs w:val="22"/>
          <w:highlight w:val="none"/>
          <w:u w:val="single"/>
        </w:rPr>
        <w:t xml:space="preserve">                       </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见证方：</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（盖章）    乙方开户银行：</w:t>
      </w:r>
      <w:r>
        <w:rPr>
          <w:rFonts w:hint="eastAsia" w:ascii="宋体" w:hAnsi="宋体" w:eastAsia="宋体" w:cs="Times New Roman"/>
          <w:bCs/>
          <w:color w:val="auto"/>
          <w:sz w:val="24"/>
          <w:szCs w:val="22"/>
          <w:highlight w:val="none"/>
          <w:u w:val="single"/>
        </w:rPr>
        <w:t xml:space="preserve">                   </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年</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月</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日         乙方账号：</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u w:val="single"/>
        </w:rPr>
        <w:br w:type="page" w:clear="all"/>
      </w:r>
      <w:r/>
    </w:p>
    <w:p>
      <w:pPr>
        <w:ind w:firstLine="480"/>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合同条款（格式）</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项目招标文件和该项目的中标通知书及乙方投标文件，甲乙双方就此次项目及相关问题，同意按下列条款规定执行。</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（一）合同内容</w:t>
      </w:r>
      <w:r>
        <w:rPr>
          <w:rFonts w:hint="eastAsia" w:ascii="宋体" w:hAnsi="宋体" w:eastAsia="宋体" w:cs="宋体"/>
          <w:bCs/>
          <w:color w:val="auto"/>
          <w:sz w:val="24"/>
          <w:szCs w:val="24"/>
          <w:highlight w:val="none"/>
        </w:rPr>
        <w:t xml:space="preserve">：乙方向甲方提供</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（二）价格及支付：</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原则上</w:t>
      </w:r>
      <w:r>
        <w:rPr>
          <w:rFonts w:hint="eastAsia" w:ascii="宋体" w:hAnsi="宋体" w:eastAsia="宋体" w:cs="宋体"/>
          <w:bCs/>
          <w:color w:val="auto"/>
          <w:sz w:val="24"/>
          <w:szCs w:val="24"/>
          <w:highlight w:val="none"/>
          <w:u w:val="single"/>
        </w:rPr>
        <w:t xml:space="preserve">服务费月结，1年分12次付清，每月考核服务质量后确定当月支付款，甲方在</w:t>
      </w:r>
      <w:r>
        <w:rPr>
          <w:rFonts w:hint="eastAsia" w:ascii="宋体" w:hAnsi="宋体" w:cs="宋体"/>
          <w:bCs/>
          <w:color w:val="auto"/>
          <w:sz w:val="24"/>
          <w:szCs w:val="24"/>
          <w:highlight w:val="none"/>
          <w:u w:val="single"/>
          <w:lang w:val="en-US" w:eastAsia="zh-CN"/>
        </w:rPr>
        <w:t xml:space="preserve">收到财政拨款资金后通知乙方开具发票，并在收到</w:t>
      </w:r>
      <w:r>
        <w:rPr>
          <w:rFonts w:hint="eastAsia" w:ascii="宋体" w:hAnsi="宋体" w:eastAsia="宋体" w:cs="宋体"/>
          <w:bCs/>
          <w:color w:val="auto"/>
          <w:sz w:val="24"/>
          <w:szCs w:val="24"/>
          <w:highlight w:val="none"/>
          <w:u w:val="single"/>
        </w:rPr>
        <w:t xml:space="preserve">发票后15个工作日内完成支付。</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（三）服务承诺</w:t>
      </w:r>
      <w:r/>
    </w:p>
    <w:p>
      <w:pPr>
        <w:ind w:firstLine="480"/>
        <w:jc w:val="left"/>
        <w:spacing w:line="360" w:lineRule="auto"/>
        <w:tabs>
          <w:tab w:val="left" w:pos="735" w:leader="none"/>
          <w:tab w:val="left" w:pos="1275" w:leader="none"/>
          <w:tab w:val="left" w:pos="159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乙方应严格按照招标文件的有关规定和乙方投标文件中的护理服务承诺提供服务。甲方如有服务对象休养场所等变更，乙方应无条件配合并履行合同条款。</w:t>
      </w:r>
      <w:r/>
    </w:p>
    <w:p>
      <w:pPr>
        <w:ind w:firstLine="482"/>
        <w:jc w:val="left"/>
        <w:spacing w:line="360" w:lineRule="auto"/>
        <w:tabs>
          <w:tab w:val="left" w:pos="735" w:leader="none"/>
          <w:tab w:val="left" w:pos="1275" w:leader="none"/>
          <w:tab w:val="left" w:pos="159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（四）违约责任：</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.如甲方未按合同规定向乙方支付款项的，每逾期1天甲方向乙方偿付欠款总额的3‰滞纳金，但累计滞纳金总额不超过欠款总额的5%。</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.中标后项目负责人不得同时兼任其他项目，或未经甲方同意随意更换项目经理的，则视为乙方违约，应承担合同价1%违约金给甲方。</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.承诺投入本项目的所有工作人员在中标后在合同期内，替换比例不得超过25%，否则扣除合同价款的1%违约金。</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.承诺本项目护理人员经过行政主管部门认可的相应机构培训并通过的合格率，在签订合同半年后进行考核统计，每低于承诺合格率10%，扣合同价款的1%违约金。</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在履行合同的过程中，如果乙方遇到妨碍提供服务的情况时，应及时以书面形式将拖延的事实、可能拖延的时间和原因通知甲方。甲方在收到乙方通知后，应尽快对情况进行核实，并确定是否酌情延长完成时间以及是否收取误期赔偿费或在对乙方违约而采取的任何补救措施不受影响的情况下，向乙方发出书面通知书，提出终止部分或全部合同。延期应通过修改合同的方式由双方认可并重新签署。</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若因乙方原因造成最终项目未能达到合同约定指标或服务过程中发生明显失误等情况，甲方将不再支付合同余款；若因乙方原因造成发生重大事故，甲方将不再支付合同余款并有权向乙方双倍索回已支付的合同金额。</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rPr>
        <w:t xml:space="preserve">.上述的“不可抗力”系指那些乙方不可预见、不可避免、无法控制的事件，但不包括乙方的违约或疏忽，这些事件包括但不限于：战争、洪水、台风、地震及其他双方商定的事件。</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不可抗力事件影响消除后，双方可通过友好协商在合理的时间内达成进一步履行合同的协议。</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rPr>
        <w:t xml:space="preserve">.如果乙方在本合同履行完毕之前破产或无清偿能力，甲方可在任何时候以书面形式通知乙方，提出终止合同而不给乙方补偿。该终止合同将不损害或影响甲方已经采取或将要采取的任何行动或补救措施的权力。本合同下甲方已支付合同价、所有权已经转移的资产不得作为破产财产。</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（五）履约保证金</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本项目无需缴纳履约保证金。</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（六）合同变更</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2.因任何一方原因（包括双方当事人自身原因以及政策变动、规划调整等外部原因）导致变更的，应向对方支付合同价10％的违约金；因变更合同造成的经济损失超过违约金的，还应给予赔偿。</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（七）合同中止、终止</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1.双方当事人不得擅自中止或者终止合同。</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2.合同继续履行将损害国家利益和社会公共利益的，双方当事人应当中止或者终止合同。有过错的一方应当承担赔偿责任，双方当事人都有过错的，各自承担相应的责任。</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（1）甲方内部工作安排、计划调整等自身原因；</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（2）中央、省、市、区级政策变动，以及规划、计划调整等外部原因；</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（3）其他甲方原因。</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本合同对合同变更、中止或终止合同有其他特殊约定的，按该特殊约定执行。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（八）不可抗力</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1.如果任何一方遭遇法律规定的不可抗力，致使合同履行受阻时，履行合同的期限应予延长，延长的期限应相当于不可抗力所影响的时间。</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2.因不可抗力致使不能实现合同目的的，当事人可以解除合同。</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3.因不可抗力致使合同有变更必要的，双方当事人应在15天内以书面形式变更合同。</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4.受不可抗力影响的一方在不可抗力发生后，应以书面形式通知对方当事人，并在7天内，将有关部门出具的证明文件送达对方当事人。</w:t>
      </w:r>
      <w:r/>
    </w:p>
    <w:p>
      <w:pPr>
        <w:ind w:firstLine="482"/>
        <w:jc w:val="left"/>
        <w:spacing w:line="360" w:lineRule="auto"/>
        <w:tabs>
          <w:tab w:val="left" w:pos="105" w:leader="none"/>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（九）合同生效及其它：</w:t>
      </w:r>
      <w:r/>
    </w:p>
    <w:p>
      <w:pPr>
        <w:ind w:firstLine="480"/>
        <w:jc w:val="left"/>
        <w:spacing w:line="360" w:lineRule="auto"/>
        <w:tabs>
          <w:tab w:val="left" w:pos="105"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1.合同经甲乙双方代表签字、盖章后生效并经复诚项目管理咨询（无锡）有限公司见证。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rPr>
        <w:t xml:space="preserve">方式处理：</w:t>
      </w:r>
      <w:r/>
    </w:p>
    <w:p>
      <w:pPr>
        <w:ind w:firstLine="480"/>
        <w:jc w:val="left"/>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（1）向无锡仲裁委员会申请仲裁。</w:t>
      </w:r>
      <w:r/>
    </w:p>
    <w:p>
      <w:pPr>
        <w:ind w:firstLine="480"/>
        <w:jc w:val="left"/>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（2）向甲方所在地法院提起诉讼。</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4.合同中未有约定的按照有关的法律法规以及国家行业标准或技术文件规定予以解决。</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5.甲乙双方确认：对本合同条款及后果均已知悉，一致确认不存在欺诈、胁迫、乘人之危、重大误解、显失公平等任何可能导致合同无效或被撤销的情形。</w:t>
      </w:r>
      <w:r/>
    </w:p>
    <w:p>
      <w:pPr>
        <w:ind w:firstLine="482"/>
        <w:jc w:val="left"/>
        <w:spacing w:line="360" w:lineRule="auto"/>
        <w:tabs>
          <w:tab w:val="left" w:pos="0" w:leader="none"/>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（十）本项目招标文件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第四章 采购需求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作为本合同的内容之一，乙方应按要求履行。</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（十一）本合同履行期满后，若新的护理服务单位未到位，则本合同顺延至新的服务单位进场并办理好移交手续。顺延期间价格、服务内容、考核标准等均不变。</w:t>
      </w:r>
      <w:r/>
    </w:p>
    <w:p>
      <w:pPr>
        <w:ind w:firstLine="48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8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8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bookmarkEnd w:id="184"/>
      <w:r/>
      <w:bookmarkEnd w:id="185"/>
      <w:r/>
      <w:bookmarkEnd w:id="186"/>
      <w:r/>
      <w:bookmarkEnd w:id="187"/>
      <w:r/>
      <w:r/>
    </w:p>
    <w:p>
      <w:pPr>
        <w:ind w:firstLine="480"/>
        <w:jc w:val="center"/>
        <w:spacing w:line="288" w:lineRule="auto"/>
        <w:rPr>
          <w:rFonts w:hint="eastAsia" w:hAnsi="宋体"/>
          <w:color w:val="auto"/>
          <w:sz w:val="36"/>
          <w:szCs w:val="36"/>
          <w:highlight w:val="none"/>
        </w:rPr>
      </w:pPr>
      <w:r/>
      <w:bookmarkStart w:id="190" w:name="_Toc26554093"/>
      <w:r/>
      <w:bookmarkStart w:id="191" w:name="_Toc49090575"/>
      <w:r>
        <w:rPr>
          <w:rFonts w:hint="eastAsia" w:ascii="黑体" w:eastAsia="黑体"/>
          <w:bCs/>
          <w:color w:val="auto"/>
          <w:sz w:val="36"/>
          <w:szCs w:val="36"/>
          <w:highlight w:val="none"/>
        </w:rPr>
        <w:t xml:space="preserve">第四章 采购需求</w:t>
      </w:r>
      <w:r/>
    </w:p>
    <w:p>
      <w:pPr>
        <w:ind w:firstLine="3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本项目属性：服务类项目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w:t>
      </w:r>
      <w:r>
        <w:rPr>
          <w:rFonts w:hint="eastAsia" w:ascii="宋体" w:hAnsi="宋体"/>
          <w:color w:val="auto"/>
          <w:sz w:val="24"/>
          <w:szCs w:val="24"/>
          <w:highlight w:val="none"/>
        </w:rPr>
        <w:t xml:space="preserve">属行业：</w:t>
      </w:r>
      <w:r>
        <w:rPr>
          <w:rFonts w:hint="eastAsia" w:ascii="宋体" w:hAnsi="宋体" w:cs="宋体"/>
          <w:bCs/>
          <w:color w:val="auto"/>
          <w:sz w:val="24"/>
          <w:highlight w:val="none"/>
        </w:rPr>
        <w:t xml:space="preserve">其他未列明行业</w:t>
      </w:r>
      <w:r/>
    </w:p>
    <w:p>
      <w:pPr>
        <w:numPr>
          <w:ilvl w:val="0"/>
          <w:numId w:val="7"/>
        </w:numPr>
        <w:ind w:left="481" w:firstLine="0"/>
        <w:jc w:val="both"/>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2"/>
        <w:jc w:val="left"/>
        <w:spacing w:line="360"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一、采购标需实现的功能或者目标，以及为落实政府采购政策需满足的要求：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1、为无锡市老龄工作发展促进中心老年托养科服务对象提供生活照料服务。</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二、采购标的需执行的国家相关标准、行业标准：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《养老机构基本规范》（GB/T 29353-2012）</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《养老机构服务质量基本规范》（GB/T 35796-2017）</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《养老机构服务安全基本规范》（GB 38600-2019）</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《老年人能力评估规范》（GB/T 42195-2022）</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《养老机构生活照料服务规范》（MZ/T 171-2021）</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《养老机构预防压疮服务规范》（MZ/T 132-2019）</w:t>
      </w:r>
      <w:r/>
    </w:p>
    <w:p>
      <w:pPr>
        <w:ind w:firstLine="480"/>
        <w:rPr>
          <w:rFonts w:hint="eastAsia" w:ascii="Times New Roman" w:hAnsi="宋体" w:eastAsia="宋体" w:cs="宋体"/>
          <w:color w:val="auto"/>
          <w:szCs w:val="24"/>
          <w:highlight w:val="none"/>
        </w:rPr>
      </w:pPr>
      <w:r>
        <w:rPr>
          <w:rFonts w:hint="eastAsia" w:ascii="宋体" w:hAnsi="宋体" w:eastAsia="宋体" w:cs="宋体"/>
          <w:color w:val="auto"/>
          <w:sz w:val="24"/>
          <w:szCs w:val="24"/>
          <w:highlight w:val="none"/>
        </w:rPr>
        <w:t xml:space="preserve">《养老护理员国家职业标准》（2019版）</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三、采购标的需满足的质量、安全、技术规格、物理特性等要求：</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（一）质量要求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1、护理措施执行率100%；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2、护理合格率≥90%；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3、Ⅰ度褥疮发生率低于5%，Ⅱ褥疮发生率为0（发生严重低蛋白血症、全身高度浮肿、癌症晚期、恶液质等患者除外），并尽可能提供防护措施；</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4、护理记录合格率≥95%；</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5、消毒隔离率100%；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6、区域环境卫生合格率≥95%；</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7、服务对象及家属对护理服务满意率≥90%；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8、护理安全率100%。</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（二）安全要求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1、评估老人不安全因素，制定意外事故的预防方案，落实各项安全保护措施。</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2、对易发生坠床、座椅意外的老人，应正确使用床栏、座椅加保护带等保护器具。</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3、对入院老人中发现患有传染病的老人要迅速采取隔离特殊保护措施。</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4、每周至少组织一次安全大检查。对不良事件的安全分析要在72小时内完成，并将情况传达到每位员工。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5、中标方员工在合同期间所发生的福利费、工伤、生病住院、意外伤（亡）害等费用均由中标方承担。</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6、中标方必须对员工进行护理安全和消防安全的培训、教育，并制定安全管理制度，建立安全台账，确保服务过程中的安全质量问题。</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四、采购标的的数量、采购项目交付或者实施的时间和地点：</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1、采购标的数量：目前</w:t>
      </w:r>
      <w:r>
        <w:rPr>
          <w:rFonts w:hint="eastAsia" w:ascii="宋体" w:hAnsi="宋体" w:eastAsia="宋体" w:cs="宋体"/>
          <w:color w:val="auto"/>
          <w:sz w:val="24"/>
          <w:szCs w:val="24"/>
        </w:rPr>
        <w:t xml:space="preserve">无锡市老年人托养中心目前开放2个楼层（1个半护理区12名休养对象，1个全护理区37名休养对象）。入托对象为失能、半失能老人，护理级别为半护理和全护理。按行业标准配备服务工作人员,共计1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护理员1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人，半护理区3人，全护理区1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人，其中1人需取得社工证书，配合部门社工开展文娱等活动。原则上女性年龄不得超过58周岁、男性年龄不超过63周岁（护理经验丰富者可适当放宽年龄限制），持有养老护理员职业技能等级证书或相应的上岗培训证明,班组长具有较丰富的养老服务专业知识，能较好的承担本区域的管理服务工作。全护理区护理人员按照休养对象与护理人员3:1的比例配置，向上取整，并根据实际入住的休养对象人数有序动态调整。</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现场管理人员1人，年龄在55周岁以内，大专及以上学历，有爱心，热爱社会福利事业，熟悉国家相关法律法规政策，掌握行业基本知识和专业技能，具有丰富的管理经验和良好的组织、协调及沟通能力。</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护士2人，</w:t>
      </w:r>
      <w:r>
        <w:rPr>
          <w:rFonts w:hint="eastAsia" w:ascii="宋体" w:hAnsi="宋体" w:eastAsia="宋体" w:cs="宋体"/>
          <w:color w:val="auto"/>
          <w:sz w:val="24"/>
          <w:szCs w:val="24"/>
          <w:shd w:val="clear" w:color="auto" w:fill="ffffff"/>
        </w:rPr>
        <w:t xml:space="preserve">年龄要求45周岁以内，中专及以上学历，责任心强，持有专业资格证书和执业资格证书，有养老护理经验者优先。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以上人员须经招标方审核同意后方可录用上岗。招标方根据后期实际工作需要，在限定服务工作人员总人数内，不同工作岗位之间人数可以作适当调整。招标服务工作人员人数为实际到岗人数，如遇服务工作人员长期请休假时，需安排人员接替工作。</w:t>
      </w:r>
      <w:r/>
    </w:p>
    <w:p>
      <w:pPr>
        <w:ind w:firstLine="480"/>
        <w:jc w:val="left"/>
        <w:spacing w:line="360" w:lineRule="auto"/>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2、实施地点：无锡市新吴区锡兴路199—3 </w:t>
      </w:r>
      <w:r/>
    </w:p>
    <w:p>
      <w:pPr>
        <w:ind w:firstLine="482"/>
        <w:jc w:val="left"/>
        <w:spacing w:line="360" w:lineRule="auto"/>
        <w:widowControl/>
        <w:rPr>
          <w:rFonts w:hint="default" w:ascii="宋体" w:hAnsi="宋体" w:eastAsia="宋体" w:cs="宋体"/>
          <w:color w:val="auto"/>
          <w:sz w:val="24"/>
          <w:szCs w:val="24"/>
        </w:rPr>
      </w:pPr>
      <w:r>
        <w:rPr>
          <w:rFonts w:hint="eastAsia" w:ascii="宋体" w:hAnsi="宋体" w:eastAsia="宋体" w:cs="宋体"/>
          <w:b/>
          <w:color w:val="auto"/>
          <w:sz w:val="24"/>
          <w:szCs w:val="24"/>
        </w:rPr>
        <w:t xml:space="preserve">五、采购标的需满足的服务标准、期限、效率等要求：</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（一）服务标准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1、介助（半护理）老人护理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（1）室内物品摆放整齐有序。桌面、柜内外、门窗、地面及墙壁清洁等无积灰。室内应无蝇、无蚊、无鼠、无蟑螂、无臭虫。保持室内空气清新无异味。</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（2）保持老人服装干净得体，并定期换洗，春、秋、冬季每周一次，夏季经常换洗，并妥善协助保管好老人的衣物。</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（3）早晨协助老人漱口、洗脸、洗手。晚上协助老人洗脸、洗手、洗脚、洗会阴部。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（4）协助老人整理床铺、翻晒被褥。</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（5）每10天换洗一次被罩、床单、枕巾（必要时随时换洗）、保持床铺清洁。</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（6）协助老人洗澡每周至少一次。夏季气候炎热时，协助老人每周两次洗澡，并为老人每日擦席。</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（7）协助老人洗头、理发、剃须、修剪指（趾）甲。</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（8）毛巾、洗漱盆应每周清洗，便器每周消毒1次。</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（9）在老人有需求时，搀扶行走不便的老人上厕所排便，防止摔伤。</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（10）做好老人居室和公共场所的消毒工作。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（11）服务人员24小时值班，实行程序化个案护理，视情况调整护理方案。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（12）每2小时巡视老人房间，按时做好记录。夜间老人房间有声响，应立即前往查看。</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（13）有新入住老人，护理员、组长、管理老师必须到场检查、相互介绍、填写老人交接单。请假老人返院及时通知护士。</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2、介护（全护理）老人护理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（1）室内物品摆放整齐有序。桌面、柜内外、门窗、地面及墙壁等清洁无积灰。室内应无蝇、无蚊、无鼠、无蟑螂、无臭虫。保持室内空气新鲜无异味。</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（2）保持老人服装干净得体，并定期换洗，春、秋、冬季每周一次，夏季经常换洗。衣服污染随时更换，妥善保管好老人的衣物，并做好标记。</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（3）早晨为老人刷牙、漱口、洗脸、洗手。晚上为老人洗脸、洗手、洗脚、洗会阴部。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（4）整理床铺、翻晒被褥。</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（5）每周换洗一次被罩、床单、枕巾（必要时随时换洗）、保持床铺清洁。</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（6）为老人洗澡或擦身每天至少一次。夏季气候炎热，为老人每日擦席。</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（7）定期为老人洗头、理发、剃须、修剪指（趾）甲。</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（8）为老人起床穿衣、睡前脱衣。</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（9）送饭到居室、喂水喂饭。</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（10）做好两便护理，诱导、帮助老人排便。</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（11）视情况安排老人到户外活动。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（12）毛巾、洗漱盆应每周清洗，便器每周消毒两次，做好老人居室和公共场所的消毒工作。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（13）为不能翻身的老人2小时翻身一次，保持尿布干燥，预防压疮发生。特殊情况1小时翻身一次,准确无误记录翻身卡。夜间老人房间有声响，应立即前往查看。</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（14）使用约束带的老人半小时巡视一次，按时做好巡检、点检记录。</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（15）服务人员24小时值班服务，实行程序化个案护理，视情况调整护理方案。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（16）有新入住老人，护理员、组长、管理老师必须到场检查、相互介绍、填写老人交接单。请假老人返院及时通知护士迎接、检查老人。</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3、精神心理护理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（1）建立老人与老人、老人与工作人员相互交流的氛围，工作人员经常与老人谈心，掌握每个老人的情绪变化，及时做好疏导工作，保持老人较好的心理状态。</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（2）根据老人的身体健康状况、兴趣爱好、文化素养，组织能起床活动的老人开展健身、康复等活动。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4、护理员技术护理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（1）配合医护人员完成老人的服药工作，注意老人服药安全，保证老人服药下肚。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（2）严密观察老人异常情况及病情变化，及时汇报医护人员，配合医护人员处理。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（3）及时、准确、真实地书写交班报告及各类记录单。</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5、护士医疗护理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（1）日常医疗：负责打针、发药、换药、吸氧、鼻饲、换尿袋、测量体温与血压等基础护理操作，严格执行医嘱，落实各项治疗措施，确保每位老人的治疗及时、准确。</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（2）消毒安全：全面负责各区域的清洁消毒工作，规范处理医疗废弃物，实施感染防控措施，维护机构内环境卫生与医疗安全。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（3）文书评估：规范书写护理记录，建立并完善老人健康档案，定期开展健康评估，及时与家属沟通老人状况并完成相关签字确认。</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（4）巡查沟通：定时巡视各楼层，密切观察老人身体与精神状态变化，发现异常立即联系医生并通知家属，确保病情得到及时干预。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（5）轮值待命：实行24小时白夜班轮岗制度，夜间安排1名护士在岗值守，全面应对各类突发医疗情况，保障夜间照护安全。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6、管理要求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（1）加强制度建设，建立适合实际工作需要的人事管理、服务质量管理、安全管理、物资管理等方面的规章制度。</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（2）建立与老人、家属及时沟通的信息渠道，发现问题及时整改。</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（3）各类记录、报表应真实、准确、及时、符合要求。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全面落实管理人员与工作人员岗位责任制，加强对老人日常生活照料、安全保护、文化娱乐、心理康复等工作的组织管理，建立健康良好的生活秩序。如有突发事件，及时上报护士长以上管理人员，书面报告24小时内完成。</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（5）加强重点时段的监管。管理人员参与夜间值班查岗，并参与护理员交班和危重老人床头交接班，保证护理安全。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（6）建立护理区交接班制度，管理人员、护理班长每天参加中心组织的晨会。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（7）每月召开有双方管理人员参加的考核会议，总结上月工作，提出整改意见，明确下月重点工作。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（8）建立护理员培训制度，护理员必须参加公司的岗前、岗中培训并合格。落实九防预防措施，掌握应急处置措施。</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（9）工作人员熟悉工作区域中消防器材位置，并能合理正确使用。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（10）采取日常检查、定期检查、不定期抽查、专项检查等方式加强服务质量监管，查找问题，分析原因，及时制定整改措施，不断改进服务质量。</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7、物资使用保管要求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（1）建立、健全物资使用保管制度。</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（2）固定资产、被服等物资应登记建账，定期清查，做到账物相符。</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（3）物资使用保管责任到人，按规定要求使用。如出现遗失或人为损坏的，查明原因后，按赔偿制度赔偿。</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（4）做好相关设施设备的日常维护工作，一旦出现问题，及时报修，保持各项设施设备的正常使用。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（5）勤俭节约、爱惜资源，注意节电、节水。</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（6）加强门禁卡的管理。对请假一周以上的护理员、离职人员，管理人员应于当天将门禁卡收回集中保管。</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8、中标方应有风险管理措施和应急预案，认真做好各类事故的预防工作，确保安全无事故。</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（二）服务期限及付款方式：</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1、自合同签订生效之日起，服务期限为</w:t>
      </w:r>
      <w:r>
        <w:rPr>
          <w:rFonts w:hint="default" w:ascii="宋体" w:hAnsi="宋体" w:eastAsia="宋体" w:cs="宋体"/>
          <w:color w:val="auto"/>
          <w:sz w:val="24"/>
          <w:szCs w:val="24"/>
        </w:rPr>
        <w:t xml:space="preserve">1</w:t>
      </w:r>
      <w:r>
        <w:rPr>
          <w:rFonts w:hint="eastAsia" w:ascii="宋体" w:hAnsi="宋体" w:eastAsia="宋体" w:cs="宋体"/>
          <w:color w:val="auto"/>
          <w:sz w:val="24"/>
          <w:szCs w:val="24"/>
        </w:rPr>
        <w:t xml:space="preserve">年。合同期满，如有需要，中标方应根据招标方的要求延续提供服务，费用标准按原合同规定执行。</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原则上</w:t>
      </w:r>
      <w:r>
        <w:rPr>
          <w:rFonts w:hint="eastAsia" w:ascii="宋体" w:hAnsi="宋体" w:eastAsia="宋体" w:cs="宋体"/>
          <w:color w:val="auto"/>
          <w:sz w:val="24"/>
          <w:szCs w:val="24"/>
        </w:rPr>
        <w:t xml:space="preserve">服务费月结，1年分12次付清，每月考核服务质量后确定当月支付款，甲方在收到</w:t>
      </w:r>
      <w:r>
        <w:rPr>
          <w:rFonts w:hint="eastAsia" w:ascii="宋体" w:hAnsi="宋体" w:cs="宋体"/>
          <w:color w:val="auto"/>
          <w:sz w:val="24"/>
          <w:szCs w:val="24"/>
          <w:lang w:val="en-US" w:eastAsia="zh-CN"/>
        </w:rPr>
        <w:t xml:space="preserve">财政拨款资金后通知乙方开具发票，并在收到</w:t>
      </w:r>
      <w:r>
        <w:rPr>
          <w:rFonts w:hint="eastAsia" w:ascii="宋体" w:hAnsi="宋体" w:eastAsia="宋体" w:cs="宋体"/>
          <w:color w:val="auto"/>
          <w:sz w:val="24"/>
          <w:szCs w:val="24"/>
        </w:rPr>
        <w:t xml:space="preserve">发票后15个工作日内完成支付。</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（三）招标方提供的经营条件</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1、招标方提供服务场地和休息场所。中标方管理人员、护理人员的住宿、交通由中标方自行解决，招标方为中标方当班员工提供搭伙便利，费用自理；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2、招标方提供中标方办公室一间、员工更衣室，更衣柜若干。</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六、采购标的验收标准：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中标方应制订具体的质量保证措施和相关的服务承诺。中标方所有的工作应按服务流程实施，自觉接受招标方或第三方（职能部门）的随时检查。如出现服务质量未达标情况，招标方有权要求其整改。</w:t>
      </w:r>
      <w:r/>
    </w:p>
    <w:p>
      <w:pPr>
        <w:ind w:firstLine="480"/>
        <w:jc w:val="both"/>
        <w:spacing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招标方考核小组根据《无锡市社会福利中心服务外包管理考核办法》对中标方进行工作质量考核。</w:t>
      </w:r>
      <w:r/>
    </w:p>
    <w:p>
      <w:pPr>
        <w:ind w:firstLine="482"/>
        <w:spacing w:line="360" w:lineRule="auto"/>
        <w:rPr>
          <w:rFonts w:hint="default" w:ascii="宋体" w:hAnsi="宋体" w:eastAsia="宋体" w:cs="宋体"/>
          <w:color w:val="auto"/>
          <w:sz w:val="24"/>
          <w:szCs w:val="24"/>
        </w:rPr>
      </w:pPr>
      <w:r>
        <w:rPr>
          <w:rFonts w:hint="eastAsia" w:ascii="宋体" w:hAnsi="宋体" w:eastAsia="宋体" w:cs="宋体"/>
          <w:b/>
          <w:color w:val="auto"/>
          <w:sz w:val="24"/>
          <w:szCs w:val="24"/>
        </w:rPr>
        <w:t xml:space="preserve">七、采购标的的其他技术、服务等要求</w:t>
      </w:r>
      <w:r>
        <w:rPr>
          <w:rFonts w:hint="eastAsia" w:ascii="宋体" w:hAnsi="宋体" w:eastAsia="宋体" w:cs="宋体"/>
          <w:color w:val="auto"/>
          <w:sz w:val="24"/>
          <w:szCs w:val="24"/>
        </w:rPr>
        <w:t xml:space="preserve">：</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（一）工作时间及人员要求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（1）全年无休、二十四小时服务（18时至次日早晨6时护理人员的比例可适当减少）。工作人员轮休由中标方自行安排，但每个人的作息排班应在相应工作区域公示。</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（2）配备的所有人员均需佩证并持证上岗，且根据不同岗位统一着装。</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（3）所有人员要求身体健康，思想素质好、爱岗敬业，不虐待老人，不吃老人食品，不接受或不向老人及其其亲属索要红包或物品，无不良行为记录。</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（4）各岗位人员仪容仪表规范统一、端庄大方，护理员工作照在工作区域上墙。</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中标方必须在合同签订前提供所有上岗人员的有效职称证、上岗证等原件供招标方审核，如果中标方不能提供，则招标方有权废除中标方的中标资格。所有人员必须专职为无锡市老年人托养中心服务，不得外出兼职。中标后重要岗位人员如需更换，应及时告知招标方，经同意认可后方可更换，并建立工作人员花名册、档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（6）为提高护理服务水平，所有护理人员需进行各类业务培训。除中标方对服务人员的培训外，需接受招标方对护理人员的集中培训、抽查、考核。</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（7）中标方必须承诺进驻招标方员工年龄女性不得超过58周岁、男性不超过63周岁（护理经验丰富者可适当放宽年龄限制）。</w:t>
      </w:r>
      <w:r/>
    </w:p>
    <w:p>
      <w:pPr>
        <w:ind w:firstLine="480"/>
        <w:spacing w:line="360" w:lineRule="auto"/>
        <w:rPr>
          <w:rFonts w:hint="default" w:ascii="宋体" w:hAnsi="宋体" w:eastAsia="宋体" w:cs="宋体"/>
          <w:b/>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b/>
          <w:color w:val="auto"/>
          <w:sz w:val="24"/>
          <w:szCs w:val="24"/>
        </w:rPr>
        <w:t xml:space="preserve">意外情况处理：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以下意外由中标方承担责任：</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1、由于护理员工作不到位而引起的服务对象走失、跌倒、坠床、烫伤、噎食、压疮、食品药品误服、他伤和自伤、火灾等意外，以及其他由于护理人员工作不到位而引起服务对象伤害及可能引发的不良后果。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2、若发生其他事故，中标方应按人道主义精神给予应急帮助，事后分清责任，由责任方承担。</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（三）项目总报价说明：</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1、本次报价总额中已包含人工工资、加班费、社保费、服装费、工具和耗材、管理费、税金及其他所有费用。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2、投标人须实地踏看并仔细核算各项费用。若投标人未考虑周全或对标书的误解而造成漏项等少计费用将被视为已包括在其他项目中计取，而不再增加。</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3、报价应当符合国家法律法规和行业的有关规定。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4、人员工资须符合国家、省、市的相关规定，符合无锡市最低工资标准且必须缴纳社会保险费。</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5、中标单位应按规定，与所有聘用人员依法签订劳动合同。</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6、中标单位的报价总额即为本服务项目的最终价。服务期间如遇国家政策性调价，市场材料等价格发生变化，本服务项目均不予调整。新增减服务范围按实调整。</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投标人报价时应充分考虑服务期内所有可能影响到报价的因素（包括最低工资标准和社保基数的政策性调整），如发生漏、缺、少项，都将被认为是中标人的报价让利行为，损失由其自负。</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（四）其他约定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1、合同期内如甲方运营模式发生重大变动或出现其它法律事由影响合同正常履行的，甲方提前一个月通知乙方后合同解除，乙方放弃向甲方主张违约责任或损害赔偿。</w:t>
      </w:r>
      <w:r/>
    </w:p>
    <w:p>
      <w:pPr>
        <w:ind w:firstLine="480"/>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 xml:space="preserve">2</w:t>
      </w:r>
      <w:r>
        <w:rPr>
          <w:rFonts w:hint="eastAsia" w:ascii="宋体" w:hAnsi="宋体" w:eastAsia="宋体" w:cs="宋体"/>
          <w:color w:val="auto"/>
          <w:sz w:val="24"/>
          <w:szCs w:val="24"/>
        </w:rPr>
        <w:t xml:space="preserve">、护理员若发生劳动仲裁及劳动纠纷的一切事宜，一律由中标方处理并承担相应法律责任。</w:t>
      </w:r>
      <w:r/>
    </w:p>
    <w:p>
      <w:pPr>
        <w:ind w:firstLine="480"/>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 xml:space="preserve">3</w:t>
      </w:r>
      <w:r>
        <w:rPr>
          <w:rFonts w:hint="eastAsia" w:ascii="宋体" w:hAnsi="宋体" w:eastAsia="宋体" w:cs="宋体"/>
          <w:color w:val="auto"/>
          <w:sz w:val="24"/>
          <w:szCs w:val="24"/>
        </w:rPr>
        <w:t xml:space="preserve">、中标方应严格遵守招标方的各项规定和管理要求，保证不泄漏在服务管理中获得的托养老人信息、单位经营信息；未经招标方同意，中标方不得利用与招标方有关的音像资料、数据进行对外宣传。</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4、中标方安排项目工作人员应考虑并尊重甲方合理要求，入职前与甲方协商一致。</w:t>
      </w:r>
      <w:r/>
    </w:p>
    <w:p>
      <w:pPr>
        <w:rPr>
          <w:rFonts w:hint="eastAsia" w:ascii="宋体" w:hAnsi="宋体"/>
          <w:b/>
          <w:color w:val="auto"/>
          <w:sz w:val="30"/>
          <w:szCs w:val="30"/>
        </w:rPr>
      </w:pPr>
      <w:r>
        <w:rPr>
          <w:rFonts w:hint="eastAsia" w:ascii="宋体" w:hAnsi="宋体"/>
          <w:b/>
          <w:color w:val="auto"/>
          <w:sz w:val="30"/>
          <w:szCs w:val="30"/>
        </w:rPr>
        <w:br w:type="page" w:clear="all"/>
      </w:r>
      <w:r/>
    </w:p>
    <w:p>
      <w:pPr>
        <w:keepLines w:val="0"/>
        <w:keepNext w:val="0"/>
        <w:pageBreakBefore w:val="0"/>
        <w:spacing w:before="136" w:beforeAutospacing="0" w:line="360" w:lineRule="auto"/>
        <w:widowControl w:val="off"/>
        <w:rPr>
          <w:rFonts w:ascii="宋体" w:hAnsi="宋体"/>
          <w:b/>
          <w:color w:val="auto"/>
          <w:sz w:val="30"/>
          <w:szCs w:val="30"/>
        </w:rPr>
      </w:pPr>
      <w:r>
        <w:rPr>
          <w:rFonts w:hint="eastAsia" w:ascii="宋体" w:hAnsi="宋体"/>
          <w:b/>
          <w:color w:val="auto"/>
          <w:sz w:val="30"/>
          <w:szCs w:val="30"/>
        </w:rPr>
        <w:t xml:space="preserve">第二部分  有关说明</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lang w:val="en-US" w:eastAsia="zh-CN" w:bidi="ar-SA"/>
        </w:rPr>
        <w:t xml:space="preserve">1</w:t>
      </w:r>
      <w:r>
        <w:rPr>
          <w:rFonts w:hint="default" w:ascii="宋体" w:hAnsi="Times New Roman" w:eastAsia="宋体" w:cs="Times New Roman"/>
          <w:bCs/>
          <w:color w:val="auto"/>
          <w:sz w:val="24"/>
          <w:szCs w:val="24"/>
          <w:lang w:val="en-US" w:eastAsia="zh-CN" w:bidi="ar-SA"/>
        </w:rPr>
        <w:t xml:space="preserve">.</w:t>
      </w:r>
      <w:r>
        <w:rPr>
          <w:rFonts w:hint="eastAsia" w:ascii="宋体" w:hAnsi="宋体"/>
          <w:bCs/>
          <w:color w:val="auto"/>
          <w:sz w:val="24"/>
          <w:szCs w:val="24"/>
        </w:rPr>
        <w:t xml:space="preserve">投标人必须在满足招标文件要求的基础上进行报价，如有技术偏离请于投标偏离表中说明。</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cs="Times New Roman"/>
          <w:bCs/>
          <w:color w:val="auto"/>
          <w:sz w:val="24"/>
          <w:szCs w:val="24"/>
          <w:lang w:val="en-US" w:eastAsia="zh-CN" w:bidi="ar-SA"/>
        </w:rPr>
        <w:t xml:space="preserve">2</w:t>
      </w:r>
      <w:r>
        <w:rPr>
          <w:rFonts w:hint="default" w:ascii="宋体" w:hAnsi="Times New Roman" w:eastAsia="宋体" w:cs="Times New Roman"/>
          <w:bCs/>
          <w:color w:val="auto"/>
          <w:sz w:val="24"/>
          <w:szCs w:val="24"/>
          <w:lang w:val="en-US" w:eastAsia="zh-CN" w:bidi="ar-SA"/>
        </w:rPr>
        <w:t xml:space="preserve">.</w:t>
      </w:r>
      <w:r>
        <w:rPr>
          <w:rFonts w:hint="eastAsia" w:ascii="宋体" w:hAnsi="宋体" w:cs="宋体"/>
          <w:color w:val="auto"/>
          <w:sz w:val="24"/>
          <w:highlight w:val="none"/>
        </w:rPr>
        <w:t xml:space="preserve">合同履行期限</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lang w:val="en-US" w:eastAsia="zh-CN"/>
        </w:rPr>
        <w:t xml:space="preserve">1年</w:t>
      </w:r>
      <w:r>
        <w:rPr>
          <w:rFonts w:hint="eastAsia" w:ascii="宋体" w:hAnsi="宋体" w:cs="宋体"/>
          <w:color w:val="auto"/>
          <w:sz w:val="24"/>
          <w:highlight w:val="none"/>
        </w:rPr>
        <w:t xml:space="preserve">；</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auto"/>
          <w:sz w:val="24"/>
          <w:szCs w:val="24"/>
        </w:rPr>
      </w:pPr>
      <w:r>
        <w:rPr>
          <w:rFonts w:hint="eastAsia" w:ascii="宋体" w:cs="Times New Roman"/>
          <w:bCs/>
          <w:color w:val="auto"/>
          <w:sz w:val="24"/>
          <w:szCs w:val="24"/>
          <w:lang w:val="en-US" w:eastAsia="zh-CN" w:bidi="ar-SA"/>
        </w:rPr>
        <w:t xml:space="preserve">3</w:t>
      </w:r>
      <w:r>
        <w:rPr>
          <w:rFonts w:hint="default" w:ascii="宋体" w:hAnsi="Times New Roman" w:eastAsia="宋体" w:cs="Times New Roman"/>
          <w:bCs/>
          <w:color w:val="auto"/>
          <w:sz w:val="24"/>
          <w:szCs w:val="24"/>
          <w:lang w:val="en-US" w:eastAsia="zh-CN" w:bidi="ar-SA"/>
        </w:rPr>
        <w:t xml:space="preserve">.</w:t>
      </w:r>
      <w:r>
        <w:rPr>
          <w:rFonts w:hint="eastAsia" w:ascii="宋体" w:hAnsi="宋体"/>
          <w:bCs/>
          <w:color w:val="auto"/>
          <w:sz w:val="24"/>
          <w:szCs w:val="24"/>
        </w:rPr>
        <w:t xml:space="preserve">本项目合同履行地点：</w:t>
      </w:r>
      <w:r>
        <w:rPr>
          <w:rFonts w:hint="eastAsia" w:ascii="宋体" w:hAnsi="宋体" w:cs="宋体"/>
          <w:color w:val="auto"/>
          <w:sz w:val="24"/>
        </w:rPr>
        <w:t xml:space="preserve">采购人指定地点</w:t>
      </w:r>
      <w:r>
        <w:rPr>
          <w:rFonts w:hint="eastAsia" w:ascii="宋体" w:hAnsi="宋体"/>
          <w:bCs/>
          <w:color w:val="auto"/>
          <w:sz w:val="24"/>
          <w:szCs w:val="24"/>
        </w:rPr>
        <w:t xml:space="preserve">。</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rPr>
      </w:pPr>
      <w:r>
        <w:rPr>
          <w:rFonts w:hint="eastAsia" w:ascii="宋体" w:cs="Times New Roman"/>
          <w:bCs/>
          <w:color w:val="auto"/>
          <w:sz w:val="24"/>
          <w:szCs w:val="24"/>
          <w:lang w:val="en-US" w:eastAsia="zh-CN" w:bidi="ar-SA"/>
        </w:rPr>
        <w:t xml:space="preserve">4</w:t>
      </w:r>
      <w:r>
        <w:rPr>
          <w:rFonts w:hint="eastAsia" w:ascii="宋体" w:hAnsi="Times New Roman" w:eastAsia="宋体" w:cs="Times New Roman"/>
          <w:bCs/>
          <w:color w:val="auto"/>
          <w:sz w:val="24"/>
          <w:szCs w:val="24"/>
          <w:lang w:val="en-US" w:eastAsia="zh-CN" w:bidi="ar-SA"/>
        </w:rPr>
        <w:t xml:space="preserve">.</w:t>
      </w:r>
      <w:r>
        <w:rPr>
          <w:rFonts w:hint="eastAsia" w:ascii="宋体" w:hAnsi="宋体"/>
          <w:bCs/>
          <w:color w:val="auto"/>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cs="Times New Roman"/>
          <w:bCs/>
          <w:color w:val="auto"/>
          <w:sz w:val="24"/>
          <w:szCs w:val="24"/>
          <w:lang w:val="en-US" w:eastAsia="zh-CN" w:bidi="ar-SA"/>
        </w:rPr>
        <w:t xml:space="preserve">5</w:t>
      </w:r>
      <w:r>
        <w:rPr>
          <w:rFonts w:hint="eastAsia" w:ascii="宋体" w:hAnsi="Times New Roman" w:eastAsia="宋体" w:cs="Times New Roman"/>
          <w:bCs/>
          <w:color w:val="auto"/>
          <w:sz w:val="24"/>
          <w:szCs w:val="24"/>
          <w:lang w:val="en-US" w:eastAsia="zh-CN" w:bidi="ar-SA"/>
        </w:rPr>
        <w:t xml:space="preserve">.</w:t>
      </w: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rPr>
      </w:pPr>
      <w:r>
        <w:rPr>
          <w:rFonts w:hint="eastAsia" w:ascii="宋体" w:cs="Times New Roman"/>
          <w:bCs/>
          <w:color w:val="auto"/>
          <w:sz w:val="24"/>
          <w:szCs w:val="24"/>
          <w:lang w:val="en-US" w:eastAsia="zh-CN" w:bidi="ar-SA"/>
        </w:rPr>
        <w:t xml:space="preserve">6</w:t>
      </w:r>
      <w:r>
        <w:rPr>
          <w:rFonts w:hint="eastAsia" w:ascii="宋体" w:hAnsi="Times New Roman" w:eastAsia="宋体" w:cs="Times New Roman"/>
          <w:bCs/>
          <w:color w:val="auto"/>
          <w:sz w:val="24"/>
          <w:szCs w:val="24"/>
          <w:lang w:val="en-US" w:eastAsia="zh-CN" w:bidi="ar-SA"/>
        </w:rPr>
        <w:t xml:space="preserve">.</w:t>
      </w:r>
      <w:r>
        <w:rPr>
          <w:rFonts w:hint="eastAsia" w:ascii="宋体" w:hAnsi="宋体"/>
          <w:bCs/>
          <w:color w:val="auto"/>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rPr>
      </w:pPr>
      <w:r>
        <w:rPr>
          <w:rFonts w:hint="eastAsia" w:ascii="宋体" w:cs="Times New Roman"/>
          <w:bCs/>
          <w:color w:val="auto"/>
          <w:sz w:val="24"/>
          <w:szCs w:val="24"/>
          <w:lang w:val="en-US" w:eastAsia="zh-CN" w:bidi="ar-SA"/>
        </w:rPr>
        <w:t xml:space="preserve">7</w:t>
      </w:r>
      <w:r>
        <w:rPr>
          <w:rFonts w:hint="eastAsia" w:ascii="宋体" w:hAnsi="Times New Roman" w:eastAsia="宋体" w:cs="Times New Roman"/>
          <w:bCs/>
          <w:color w:val="auto"/>
          <w:sz w:val="24"/>
          <w:szCs w:val="24"/>
          <w:lang w:val="en-US" w:eastAsia="zh-CN" w:bidi="ar-SA"/>
        </w:rPr>
        <w:t xml:space="preserve">.</w:t>
      </w:r>
      <w:r>
        <w:rPr>
          <w:rFonts w:hint="eastAsia" w:ascii="宋体"/>
          <w:bCs/>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color w:val="auto"/>
          <w:sz w:val="24"/>
        </w:rPr>
      </w:pPr>
      <w:r>
        <w:rPr>
          <w:rFonts w:hint="eastAsia" w:ascii="宋体" w:hAnsi="宋体" w:cs="Times New Roman"/>
          <w:bCs/>
          <w:color w:val="auto"/>
          <w:sz w:val="24"/>
          <w:szCs w:val="21"/>
          <w:lang w:val="en-US" w:eastAsia="zh-CN" w:bidi="ar-SA"/>
        </w:rPr>
        <w:t xml:space="preserve">8</w:t>
      </w:r>
      <w:r>
        <w:rPr>
          <w:rFonts w:hint="default" w:ascii="宋体" w:hAnsi="宋体" w:eastAsia="宋体" w:cs="Times New Roman"/>
          <w:bCs/>
          <w:color w:val="auto"/>
          <w:sz w:val="24"/>
          <w:szCs w:val="21"/>
          <w:lang w:val="en-US" w:eastAsia="zh-CN" w:bidi="ar-SA"/>
        </w:rPr>
        <w:t xml:space="preserve">.</w:t>
      </w:r>
      <w:r>
        <w:rPr>
          <w:rFonts w:hint="eastAsia" w:ascii="宋体" w:hAnsi="宋体"/>
          <w:bCs/>
          <w:color w:val="auto"/>
          <w:sz w:val="24"/>
        </w:rPr>
        <w:t xml:space="preserve">开标后，投标人须自行准备设备（包括但不限于笔记本电脑、无线网络）登录</w:t>
      </w:r>
      <w:r>
        <w:rPr>
          <w:rFonts w:hint="eastAsia" w:ascii="宋体" w:hAnsi="宋体"/>
          <w:bCs/>
          <w:color w:val="auto"/>
          <w:sz w:val="24"/>
          <w:szCs w:val="24"/>
        </w:rPr>
        <w:t xml:space="preserve">“苏采云”系统</w:t>
      </w:r>
      <w:r>
        <w:rPr>
          <w:rFonts w:hint="eastAsia" w:ascii="宋体" w:hAnsi="宋体"/>
          <w:bCs/>
          <w:color w:val="auto"/>
          <w:sz w:val="24"/>
        </w:rPr>
        <w:t xml:space="preserve">，按招标文件规定时间解密后，在评标过程中保持在线，等待评标委员会的询标和评标结果，中途不得离开。如未按要求应答，由此所产生的损失及风险由投标人自行承担。</w:t>
      </w:r>
      <w:r/>
    </w:p>
    <w:p>
      <w:pPr>
        <w:pStyle w:val="758"/>
        <w:ind w:left="0" w:firstLine="480"/>
        <w:keepLines w:val="0"/>
        <w:keepNext w:val="0"/>
        <w:pageBreakBefore w:val="0"/>
        <w:spacing w:line="360" w:lineRule="auto"/>
        <w:widowControl w:val="off"/>
        <w:rPr>
          <w:rFonts w:hint="eastAsia" w:cs="宋体"/>
          <w:bCs/>
          <w:color w:val="auto"/>
          <w:sz w:val="24"/>
          <w:szCs w:val="24"/>
          <w:lang w:val="en-US" w:eastAsia="zh-CN"/>
        </w:rPr>
        <w:sectPr>
          <w:footnotePr/>
          <w:endnotePr/>
          <w:type w:val="nextPage"/>
          <w:pgSz w:w="11906" w:h="16838" w:orient="portrait"/>
          <w:pgMar w:top="1440" w:right="1440" w:bottom="1440" w:left="1417" w:header="0" w:footer="816" w:gutter="0"/>
          <w:cols w:num="1" w:sep="0" w:space="0" w:equalWidth="1"/>
          <w:docGrid w:linePitch="360"/>
        </w:sectPr>
      </w:pPr>
      <w:r>
        <w:rPr>
          <w:rFonts w:hint="eastAsia" w:cs="宋体"/>
          <w:bCs/>
          <w:color w:val="auto"/>
          <w:sz w:val="24"/>
          <w:szCs w:val="24"/>
          <w:lang w:val="en-US" w:eastAsia="zh-CN"/>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pStyle w:val="789"/>
        <w:numPr>
          <w:ilvl w:val="0"/>
          <w:numId w:val="8"/>
        </w:numPr>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落实政府采购政策的价格调整</w:t>
      </w:r>
      <w:r/>
    </w:p>
    <w:p>
      <w:pPr>
        <w:ind w:left="525"/>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w:t>
      </w:r>
      <w:r>
        <w:rPr>
          <w:rFonts w:hint="eastAsia" w:ascii="宋体"/>
          <w:bCs/>
          <w:color w:val="auto"/>
          <w:sz w:val="24"/>
          <w:szCs w:val="24"/>
          <w:highlight w:val="none"/>
          <w:lang w:eastAsia="zh-CN"/>
        </w:rPr>
        <w:t xml:space="preserve">〔2014〕68号</w:t>
      </w:r>
      <w:r>
        <w:rPr>
          <w:rFonts w:hint="eastAsia" w:ascii="宋体"/>
          <w:bCs/>
          <w:color w:val="auto"/>
          <w:sz w:val="24"/>
          <w:szCs w:val="24"/>
          <w:highlight w:val="none"/>
        </w:rPr>
        <w:t xml:space="preserve">）的规定提供由省级以上监狱管理局、戒毒管理局</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含新疆生产建设兵团</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出具的属于监狱企业的证明文件扫描件。</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二、本项目中如有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520" w:lineRule="exact"/>
        <w:tabs>
          <w:tab w:val="left" w:pos="525" w:leader="none"/>
          <w:tab w:val="left" w:pos="630" w:leader="none"/>
          <w:tab w:val="left" w:pos="735" w:leader="none"/>
          <w:tab w:val="left" w:pos="945" w:leader="none"/>
          <w:tab w:val="left" w:pos="1080" w:leader="none"/>
        </w:tabs>
        <w:rPr>
          <w:color w:val="auto"/>
          <w:sz w:val="24"/>
          <w:szCs w:val="24"/>
          <w:highlight w:val="none"/>
        </w:rPr>
      </w:pPr>
      <w:r>
        <w:rPr>
          <w:rFonts w:hint="eastAsia" w:ascii="宋体"/>
          <w:bCs/>
          <w:color w:val="auto"/>
          <w:sz w:val="24"/>
          <w:szCs w:val="24"/>
          <w:highlight w:val="none"/>
        </w:rPr>
        <w:t xml:space="preserve">四、</w:t>
      </w:r>
      <w:r>
        <w:rPr>
          <w:rFonts w:hint="eastAsia"/>
          <w:color w:val="auto"/>
          <w:sz w:val="24"/>
          <w:szCs w:val="24"/>
          <w:highlight w:val="none"/>
        </w:rPr>
        <w:t xml:space="preserve">本项目中如有</w:t>
      </w:r>
      <w:r>
        <w:rPr>
          <w:rFonts w:hint="eastAsia" w:eastAsia="宋体"/>
          <w:color w:val="auto"/>
          <w:sz w:val="24"/>
          <w:szCs w:val="24"/>
          <w:highlight w:val="none"/>
          <w:lang w:eastAsia="zh-CN"/>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color w:val="auto"/>
          <w:sz w:val="24"/>
          <w:szCs w:val="24"/>
          <w:highlight w:val="none"/>
        </w:rPr>
        <w:t xml:space="preserve">五、</w:t>
      </w:r>
      <w:r>
        <w:rPr>
          <w:rFonts w:hint="eastAsia" w:ascii="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color w:val="auto"/>
          <w:sz w:val="24"/>
          <w:szCs w:val="24"/>
          <w:highlight w:val="none"/>
        </w:rPr>
      </w:pPr>
      <w:r>
        <w:rPr>
          <w:rFonts w:hint="eastAsia" w:ascii="宋体"/>
          <w:bCs/>
          <w:color w:val="auto"/>
          <w:sz w:val="24"/>
          <w:szCs w:val="24"/>
          <w:highlight w:val="none"/>
        </w:rPr>
        <w:t xml:space="preserve">六、履约担保，是指由专业担保机构为中标、成交供应商支付履约保证金的义务向采购人提供的保函担保。专业担保机构根据中标、成交供应商的中标（成交）通知书为凭据，进行资信审查后出具保函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为深入贯彻落实《国务院办公厅关于印发〈政府采购领域“整顿市场秩序、建设法规体系、促进产业发展”三年行动方案（2024－2026 年）〉的通知》（国办发〔2024〕33 号）精神，提升政府采购便利度，持续优化政府采购营商环境，进一步全面推广政府采购电子履约保函：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电子履约保函与履约保证金、纸质保函具有同等法律效力，是我市优化政府采购营商环境的重要措施。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供应商可通过江苏政府采购网下载“政府采购电子履约保 函 （ 保 险 ） 操 作 手 册 ”</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具 体 地 址 为 ：http://www.ccgp-jiangsu.gov.cn/jiangsu/zlxz/。</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七、</w:t>
      </w: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八、采购人应当严格按照政府采购法有关规定，在中标、成交通知书发出之日起</w:t>
      </w:r>
      <w:r>
        <w:rPr>
          <w:rFonts w:hint="eastAsia" w:ascii="宋体"/>
          <w:bCs/>
          <w:color w:val="auto"/>
          <w:sz w:val="24"/>
          <w:szCs w:val="24"/>
          <w:highlight w:val="none"/>
          <w:lang w:val="en-US" w:eastAsia="zh-CN"/>
        </w:rPr>
        <w:t xml:space="preserve">15</w:t>
      </w:r>
      <w:r>
        <w:rPr>
          <w:rFonts w:hint="eastAsia" w:ascii="宋体"/>
          <w:bCs/>
          <w:color w:val="auto"/>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2"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024"/>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1024"/>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1024"/>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024"/>
        <w:spacing w:before="0" w:after="0" w:line="500" w:lineRule="exact"/>
        <w:rPr>
          <w:rFonts w:hint="eastAsia" w:cs="Arial"/>
          <w:color w:val="auto"/>
          <w:highlight w:val="none"/>
        </w:rPr>
        <w:pBdr>
          <w:top w:val="none" w:color="000000" w:sz="0" w:space="0"/>
          <w:left w:val="none" w:color="000000" w:sz="0" w:space="0"/>
          <w:bottom w:val="none" w:color="000000" w:sz="0" w:space="0"/>
          <w:right w:val="none" w:color="000000" w:sz="0" w:space="0"/>
        </w:pBdr>
      </w:pPr>
      <w:r>
        <w:rPr>
          <w:rFonts w:hint="eastAsia" w:cs="Arial"/>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24"/>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第二部分  评标标准</w:t>
      </w:r>
      <w:r/>
    </w:p>
    <w:p>
      <w:pPr>
        <w:pStyle w:val="1024"/>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024"/>
        <w:numPr>
          <w:ilvl w:val="0"/>
          <w:numId w:val="9"/>
        </w:numPr>
        <w:ind w:firstLine="360"/>
        <w:keepLines w:val="0"/>
        <w:keepNext w:val="0"/>
        <w:pageBreakBefore w:val="0"/>
        <w:spacing w:before="0" w:after="0" w:line="360" w:lineRule="auto"/>
        <w:widowControl w:val="off"/>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评分标准</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供应商评价（20分）</w:t>
      </w:r>
      <w:r>
        <w:rPr>
          <w:rFonts w:hint="eastAsia" w:ascii="宋体" w:hAnsi="宋体"/>
          <w:b/>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（1）业绩要求（</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contextualSpacing/>
        <w:ind w:firstLine="720"/>
        <w:jc w:val="both"/>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投标供应商自202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年1月1日以来</w:t>
      </w:r>
      <w:r>
        <w:rPr>
          <w:rFonts w:hint="eastAsia" w:ascii="宋体" w:hAnsi="宋体" w:cs="宋体"/>
          <w:bCs/>
          <w:color w:val="auto"/>
          <w:sz w:val="24"/>
          <w:szCs w:val="24"/>
          <w:highlight w:val="none"/>
          <w:lang w:val="en-US" w:eastAsia="zh-CN"/>
        </w:rPr>
        <w:t xml:space="preserve">具有</w:t>
      </w:r>
      <w:r>
        <w:rPr>
          <w:rFonts w:hint="eastAsia" w:ascii="宋体" w:hAnsi="宋体" w:cs="宋体"/>
          <w:bCs/>
          <w:color w:val="auto"/>
          <w:sz w:val="24"/>
          <w:szCs w:val="24"/>
          <w:highlight w:val="none"/>
          <w:lang w:eastAsia="zh-CN"/>
        </w:rPr>
        <w:t xml:space="preserve">特困人员供养或残疾人托养或养老机构运营或同类型弱势群体专业照护服务项目的</w:t>
      </w:r>
      <w:r>
        <w:rPr>
          <w:rFonts w:hint="eastAsia" w:ascii="宋体" w:hAnsi="宋体" w:cs="宋体"/>
          <w:bCs/>
          <w:color w:val="auto"/>
          <w:sz w:val="24"/>
          <w:szCs w:val="24"/>
          <w:highlight w:val="none"/>
          <w:lang w:val="en-US" w:eastAsia="zh-CN"/>
        </w:rPr>
        <w:t xml:space="preserve">业绩</w:t>
      </w:r>
      <w:r>
        <w:rPr>
          <w:rFonts w:hint="eastAsia" w:ascii="宋体" w:hAnsi="宋体" w:cs="宋体"/>
          <w:bCs/>
          <w:color w:val="auto"/>
          <w:sz w:val="24"/>
          <w:szCs w:val="24"/>
          <w:highlight w:val="none"/>
          <w:lang w:eastAsia="zh-CN"/>
        </w:rPr>
        <w:t xml:space="preserve">，有1个得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分，本项最高得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分。</w:t>
      </w:r>
      <w:r/>
    </w:p>
    <w:p>
      <w:pPr>
        <w:contextualSpacing/>
        <w:ind w:firstLine="720"/>
        <w:jc w:val="both"/>
        <w:spacing w:line="360" w:lineRule="auto"/>
        <w:widowControl w:val="off"/>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cs="宋体"/>
          <w:b/>
          <w:bCs/>
          <w:color w:val="auto"/>
          <w:sz w:val="24"/>
          <w:szCs w:val="24"/>
          <w:highlight w:val="none"/>
          <w:lang w:eastAsia="zh-CN"/>
        </w:rPr>
        <w:t xml:space="preserve">注：投标文件中须提供合同扫描件、资金往来凭证、验收证明扫描件并加盖公章</w:t>
      </w:r>
      <w:r>
        <w:rPr>
          <w:rFonts w:hint="eastAsia" w:ascii="宋体" w:hAnsi="宋体" w:eastAsia="宋体" w:cs="Arial"/>
          <w:b/>
          <w:bCs/>
          <w:color w:val="auto"/>
          <w:sz w:val="24"/>
          <w:szCs w:val="24"/>
          <w:highlight w:val="none"/>
          <w:lang w:val="en-US" w:eastAsia="zh-CN" w:bidi="ar-SA"/>
        </w:rPr>
        <w:t xml:space="preserve">上传至</w:t>
      </w:r>
      <w:r>
        <w:rPr>
          <w:rFonts w:hint="eastAsia" w:ascii="宋体" w:hAnsi="宋体" w:cs="Arial"/>
          <w:b/>
          <w:bCs/>
          <w:color w:val="auto"/>
          <w:sz w:val="24"/>
          <w:szCs w:val="24"/>
          <w:highlight w:val="none"/>
          <w:lang w:val="en-US" w:eastAsia="zh-CN" w:bidi="ar-SA"/>
        </w:rPr>
        <w:t xml:space="preserve">系统</w:t>
      </w:r>
      <w:r>
        <w:rPr>
          <w:rFonts w:hint="eastAsia" w:ascii="宋体" w:hAnsi="宋体" w:cs="宋体"/>
          <w:b/>
          <w:bCs/>
          <w:color w:val="auto"/>
          <w:sz w:val="24"/>
          <w:szCs w:val="24"/>
          <w:highlight w:val="none"/>
          <w:lang w:eastAsia="zh-CN"/>
        </w:rPr>
        <w:t xml:space="preserve">，时间以合同协议书签订日期为准，其中在一个服务期内同一个单位分年度多次签订的合同仅计入一个合同，</w:t>
      </w:r>
      <w:r>
        <w:rPr>
          <w:rFonts w:ascii="宋体" w:hAnsi="宋体" w:eastAsia="宋体" w:cs="Arial"/>
          <w:b/>
          <w:bCs/>
          <w:color w:val="auto"/>
          <w:sz w:val="24"/>
          <w:szCs w:val="24"/>
          <w:highlight w:val="none"/>
          <w:lang w:val="en-US" w:eastAsia="zh-CN" w:bidi="ar-SA"/>
        </w:rPr>
        <w:t xml:space="preserve">不提供</w:t>
      </w:r>
      <w:r>
        <w:rPr>
          <w:rFonts w:hint="eastAsia" w:ascii="宋体" w:hAnsi="宋体" w:eastAsia="宋体" w:cs="Arial"/>
          <w:b/>
          <w:bCs/>
          <w:color w:val="auto"/>
          <w:sz w:val="24"/>
          <w:szCs w:val="24"/>
          <w:highlight w:val="none"/>
          <w:lang w:val="en-US" w:eastAsia="zh-CN" w:bidi="ar-SA"/>
        </w:rPr>
        <w:t xml:space="preserve">或提供不全</w:t>
      </w:r>
      <w:r>
        <w:rPr>
          <w:rFonts w:ascii="宋体" w:hAnsi="宋体" w:eastAsia="宋体" w:cs="Arial"/>
          <w:b/>
          <w:bCs/>
          <w:color w:val="auto"/>
          <w:sz w:val="24"/>
          <w:szCs w:val="24"/>
          <w:highlight w:val="none"/>
          <w:lang w:val="en-US" w:eastAsia="zh-CN" w:bidi="ar-SA"/>
        </w:rPr>
        <w:t xml:space="preserve">不得分</w:t>
      </w:r>
      <w:r>
        <w:rPr>
          <w:rFonts w:hint="eastAsia" w:ascii="宋体" w:hAnsi="宋体" w:cs="Times New Roman"/>
          <w:b/>
          <w:bCs/>
          <w:color w:val="auto"/>
          <w:sz w:val="24"/>
          <w:szCs w:val="24"/>
          <w:highlight w:val="none"/>
          <w:lang w:eastAsia="zh-CN"/>
        </w:rPr>
        <w:t xml:space="preserve">。</w:t>
      </w:r>
      <w:r>
        <w:rPr>
          <w:rFonts w:ascii="宋体" w:hAnsi="宋体" w:eastAsia="宋体" w:cs="Arial"/>
          <w:bCs/>
          <w:color w:val="auto"/>
          <w:sz w:val="24"/>
          <w:szCs w:val="24"/>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cs="宋体"/>
          <w:bCs/>
          <w:color w:val="auto"/>
          <w:sz w:val="24"/>
          <w:highlight w:val="none"/>
          <w:lang w:val="en-US" w:eastAsia="zh-CN"/>
        </w:rPr>
        <w:t xml:space="preserve">认证证书</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contextualSpacing/>
        <w:ind w:firstLine="480"/>
        <w:jc w:val="both"/>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投标供应商具备有效期内质量管理体系认证证书、职业健康管理体系认证证书有一项得</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分，本项最高得</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分。</w:t>
      </w:r>
      <w:r/>
    </w:p>
    <w:p>
      <w:pPr>
        <w:numPr>
          <w:ilvl w:val="0"/>
          <w:numId w:val="0"/>
        </w:numPr>
        <w:ind w:firstLine="240"/>
        <w:jc w:val="left"/>
        <w:spacing w:line="360" w:lineRule="auto"/>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ascii="宋体" w:hAnsi="宋体" w:eastAsia="宋体" w:cs="Arial"/>
          <w:b/>
          <w:bCs/>
          <w:color w:val="auto"/>
          <w:sz w:val="24"/>
          <w:szCs w:val="24"/>
          <w:highlight w:val="none"/>
          <w:lang w:val="en-US" w:eastAsia="zh-CN" w:bidi="ar-SA"/>
        </w:rPr>
        <w:t xml:space="preserve">1、以上相关证书</w:t>
      </w:r>
      <w:r>
        <w:rPr>
          <w:rFonts w:hint="eastAsia" w:ascii="宋体" w:hAnsi="宋体" w:eastAsia="宋体" w:cs="Arial"/>
          <w:b/>
          <w:bCs/>
          <w:color w:val="auto"/>
          <w:sz w:val="24"/>
          <w:szCs w:val="24"/>
          <w:highlight w:val="none"/>
          <w:lang w:val="en-US" w:eastAsia="zh-CN" w:bidi="ar-SA"/>
        </w:rPr>
        <w:t xml:space="preserve">的扫描件签章后上传至</w:t>
      </w:r>
      <w:r>
        <w:rPr>
          <w:rFonts w:hint="eastAsia" w:ascii="宋体" w:hAnsi="宋体" w:cs="Arial"/>
          <w:b/>
          <w:bCs/>
          <w:color w:val="auto"/>
          <w:sz w:val="24"/>
          <w:szCs w:val="24"/>
          <w:highlight w:val="none"/>
          <w:lang w:val="en-US" w:eastAsia="zh-CN" w:bidi="ar-SA"/>
        </w:rPr>
        <w:t xml:space="preserve">系统</w:t>
      </w:r>
      <w:r>
        <w:rPr>
          <w:rFonts w:ascii="宋体" w:hAnsi="宋体" w:eastAsia="宋体" w:cs="Arial"/>
          <w:b/>
          <w:bCs/>
          <w:color w:val="auto"/>
          <w:sz w:val="24"/>
          <w:szCs w:val="24"/>
          <w:highlight w:val="none"/>
          <w:lang w:val="en-US" w:eastAsia="zh-CN" w:bidi="ar-SA"/>
        </w:rPr>
        <w:t xml:space="preserve">，不提供不得分</w:t>
      </w:r>
      <w:r>
        <w:rPr>
          <w:rFonts w:hint="eastAsia" w:ascii="宋体" w:hAnsi="宋体" w:eastAsia="宋体" w:cs="Arial"/>
          <w:b/>
          <w:bCs/>
          <w:color w:val="auto"/>
          <w:sz w:val="24"/>
          <w:szCs w:val="24"/>
          <w:highlight w:val="none"/>
          <w:lang w:val="en-US" w:eastAsia="zh-CN" w:bidi="ar-SA"/>
        </w:rPr>
        <w:t xml:space="preserve">；</w:t>
      </w:r>
      <w:r>
        <w:rPr>
          <w:rFonts w:ascii="宋体" w:hAnsi="宋体" w:eastAsia="宋体" w:cs="Arial"/>
          <w:b/>
          <w:bCs/>
          <w:color w:val="auto"/>
          <w:sz w:val="24"/>
          <w:szCs w:val="24"/>
          <w:highlight w:val="none"/>
          <w:lang w:val="en-US" w:eastAsia="zh-CN" w:bidi="ar-SA"/>
        </w:rPr>
        <w:t xml:space="preserve">2、以上证书的全国认证认可信息公共服务平台官</w:t>
      </w:r>
      <w:r>
        <w:rPr>
          <w:rFonts w:hint="eastAsia" w:ascii="宋体" w:hAnsi="宋体" w:eastAsia="宋体" w:cs="Arial"/>
          <w:b/>
          <w:bCs/>
          <w:color w:val="auto"/>
          <w:sz w:val="24"/>
          <w:szCs w:val="24"/>
          <w:highlight w:val="none"/>
          <w:lang w:val="en-US" w:eastAsia="zh-CN" w:bidi="ar-SA"/>
        </w:rPr>
        <w:t xml:space="preserve">网</w:t>
      </w:r>
      <w:r>
        <w:rPr>
          <w:rFonts w:ascii="宋体" w:hAnsi="宋体" w:eastAsia="宋体" w:cs="Arial"/>
          <w:b/>
          <w:bCs/>
          <w:color w:val="auto"/>
          <w:sz w:val="24"/>
          <w:szCs w:val="24"/>
          <w:highlight w:val="none"/>
          <w:lang w:val="en-US" w:eastAsia="zh-CN" w:bidi="ar-SA"/>
        </w:rPr>
        <w:t xml:space="preserve">证书信息查询截图</w:t>
      </w:r>
      <w:r>
        <w:rPr>
          <w:rFonts w:hint="eastAsia" w:ascii="宋体" w:hAnsi="宋体" w:eastAsia="宋体" w:cs="Arial"/>
          <w:b/>
          <w:bCs/>
          <w:color w:val="auto"/>
          <w:sz w:val="24"/>
          <w:szCs w:val="24"/>
          <w:highlight w:val="none"/>
          <w:lang w:val="en-US" w:eastAsia="zh-CN" w:bidi="ar-SA"/>
        </w:rPr>
        <w:t xml:space="preserve">签章后上传至</w:t>
      </w:r>
      <w:r>
        <w:rPr>
          <w:rFonts w:hint="eastAsia" w:ascii="宋体" w:hAnsi="宋体" w:cs="Arial"/>
          <w:b/>
          <w:bCs/>
          <w:color w:val="auto"/>
          <w:sz w:val="24"/>
          <w:szCs w:val="24"/>
          <w:highlight w:val="none"/>
          <w:lang w:val="en-US" w:eastAsia="zh-CN" w:bidi="ar-SA"/>
        </w:rPr>
        <w:t xml:space="preserve">系统</w:t>
      </w:r>
      <w:r>
        <w:rPr>
          <w:rFonts w:ascii="宋体" w:hAnsi="宋体" w:eastAsia="宋体" w:cs="Arial"/>
          <w:b/>
          <w:bCs/>
          <w:color w:val="auto"/>
          <w:sz w:val="24"/>
          <w:szCs w:val="24"/>
          <w:highlight w:val="none"/>
          <w:lang w:val="en-US" w:eastAsia="zh-CN" w:bidi="ar-SA"/>
        </w:rPr>
        <w:t xml:space="preserve">，不提供</w:t>
      </w:r>
      <w:r>
        <w:rPr>
          <w:rFonts w:hint="eastAsia" w:ascii="宋体" w:hAnsi="宋体" w:eastAsia="宋体" w:cs="Arial"/>
          <w:b/>
          <w:bCs/>
          <w:color w:val="auto"/>
          <w:sz w:val="24"/>
          <w:szCs w:val="24"/>
          <w:highlight w:val="none"/>
          <w:lang w:val="en-US" w:eastAsia="zh-CN" w:bidi="ar-SA"/>
        </w:rPr>
        <w:t xml:space="preserve">或提供不全</w:t>
      </w:r>
      <w:r>
        <w:rPr>
          <w:rFonts w:ascii="宋体" w:hAnsi="宋体" w:eastAsia="宋体" w:cs="Arial"/>
          <w:b/>
          <w:bCs/>
          <w:color w:val="auto"/>
          <w:sz w:val="24"/>
          <w:szCs w:val="24"/>
          <w:highlight w:val="none"/>
          <w:lang w:val="en-US" w:eastAsia="zh-CN" w:bidi="ar-SA"/>
        </w:rPr>
        <w:t xml:space="preserve">不得分。</w:t>
      </w:r>
      <w:r>
        <w:rPr>
          <w:rFonts w:ascii="宋体" w:hAnsi="宋体" w:eastAsia="宋体" w:cs="Arial"/>
          <w:bCs/>
          <w:color w:val="auto"/>
          <w:sz w:val="24"/>
          <w:szCs w:val="24"/>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（3）项目团队核心稳定性（5分）</w:t>
      </w:r>
      <w:r/>
    </w:p>
    <w:p>
      <w:pPr>
        <w:contextualSpacing/>
        <w:ind w:left="0" w:firstLine="720"/>
        <w:jc w:val="both"/>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a.项目负责人（3分）：①具备本科及以上学历，得1分；②持有养老护理员资格证书、社会工作者职业水平证书或其他护理相关资格证书，有1个得1分，最高得2分。</w:t>
      </w:r>
      <w:r/>
    </w:p>
    <w:p>
      <w:pPr>
        <w:numPr>
          <w:ilvl w:val="0"/>
          <w:numId w:val="0"/>
        </w:numPr>
        <w:ind w:firstLine="240"/>
        <w:jc w:val="left"/>
        <w:spacing w:line="360" w:lineRule="auto"/>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eastAsia="宋体" w:cs="宋体"/>
          <w:b/>
          <w:bCs w:val="0"/>
          <w:color w:val="auto"/>
          <w:sz w:val="24"/>
          <w:szCs w:val="21"/>
          <w:highlight w:val="none"/>
        </w:rPr>
        <w:t xml:space="preserve">须提供上述人员学历证书（或者学信网查询记录）、相关资格证书、</w:t>
      </w:r>
      <w:r>
        <w:rPr>
          <w:rFonts w:hint="eastAsia" w:ascii="宋体" w:hAnsi="宋体" w:eastAsia="宋体" w:cs="宋体"/>
          <w:b/>
          <w:bCs w:val="0"/>
          <w:color w:val="auto"/>
          <w:sz w:val="24"/>
          <w:szCs w:val="21"/>
          <w:highlight w:val="none"/>
          <w:lang w:val="en-US" w:eastAsia="zh-CN"/>
        </w:rPr>
        <w:t xml:space="preserve">投标供应商为其连续三个月缴纳社保的证明</w:t>
      </w:r>
      <w:r>
        <w:rPr>
          <w:rFonts w:hint="eastAsia" w:ascii="宋体" w:hAnsi="宋体" w:cs="宋体"/>
          <w:b/>
          <w:bCs w:val="0"/>
          <w:color w:val="auto"/>
          <w:sz w:val="24"/>
          <w:szCs w:val="21"/>
          <w:highlight w:val="none"/>
          <w:lang w:val="en-US" w:eastAsia="zh-CN"/>
        </w:rPr>
        <w:t xml:space="preserve">，其中</w:t>
      </w:r>
      <w:r>
        <w:rPr>
          <w:rFonts w:hint="eastAsia" w:ascii="宋体" w:hAnsi="宋体" w:eastAsia="宋体" w:cs="宋体"/>
          <w:b/>
          <w:bCs w:val="0"/>
          <w:color w:val="auto"/>
          <w:sz w:val="24"/>
          <w:szCs w:val="21"/>
          <w:highlight w:val="none"/>
          <w:lang w:val="en-US" w:eastAsia="zh-CN"/>
        </w:rPr>
        <w:t xml:space="preserve">至少包含近三个月中任意一个月份</w:t>
      </w:r>
      <w:r>
        <w:rPr>
          <w:rFonts w:hint="eastAsia" w:ascii="宋体" w:hAnsi="宋体" w:cs="宋体"/>
          <w:b/>
          <w:bCs w:val="0"/>
          <w:color w:val="auto"/>
          <w:sz w:val="24"/>
          <w:szCs w:val="21"/>
          <w:highlight w:val="none"/>
          <w:lang w:val="en-US" w:eastAsia="zh-CN"/>
        </w:rPr>
        <w:t xml:space="preserve">（</w:t>
      </w:r>
      <w:r>
        <w:rPr>
          <w:rFonts w:hint="eastAsia" w:ascii="宋体" w:hAnsi="宋体" w:eastAsia="宋体" w:cs="宋体"/>
          <w:b/>
          <w:bCs w:val="0"/>
          <w:color w:val="auto"/>
          <w:sz w:val="24"/>
          <w:szCs w:val="21"/>
          <w:highlight w:val="none"/>
          <w:lang w:val="en-US" w:eastAsia="zh-CN"/>
        </w:rPr>
        <w:t xml:space="preserve">不含投标当月</w:t>
      </w:r>
      <w:r>
        <w:rPr>
          <w:rFonts w:hint="eastAsia" w:ascii="宋体" w:hAnsi="宋体" w:cs="宋体"/>
          <w:b/>
          <w:bCs w:val="0"/>
          <w:color w:val="auto"/>
          <w:sz w:val="24"/>
          <w:szCs w:val="21"/>
          <w:highlight w:val="none"/>
          <w:lang w:val="en-US" w:eastAsia="zh-CN"/>
        </w:rPr>
        <w:t xml:space="preserve">）</w:t>
      </w:r>
      <w:r>
        <w:rPr>
          <w:rFonts w:hint="eastAsia" w:ascii="宋体" w:hAnsi="宋体" w:eastAsia="宋体" w:cs="宋体"/>
          <w:b/>
          <w:bCs w:val="0"/>
          <w:color w:val="auto"/>
          <w:sz w:val="24"/>
          <w:szCs w:val="21"/>
          <w:highlight w:val="none"/>
          <w:lang w:val="en-US" w:eastAsia="zh-CN"/>
        </w:rPr>
        <w:t xml:space="preserve">的缴纳社保证明扫描件签章后上传至</w:t>
      </w:r>
      <w:r>
        <w:rPr>
          <w:rFonts w:hint="eastAsia" w:ascii="宋体" w:hAnsi="宋体" w:cs="宋体"/>
          <w:b/>
          <w:bCs w:val="0"/>
          <w:color w:val="auto"/>
          <w:sz w:val="24"/>
          <w:szCs w:val="21"/>
          <w:highlight w:val="none"/>
          <w:lang w:val="en-US" w:eastAsia="zh-CN"/>
        </w:rPr>
        <w:t xml:space="preserve">系统</w:t>
      </w:r>
      <w:r>
        <w:rPr>
          <w:rFonts w:hint="eastAsia" w:ascii="宋体" w:hAnsi="宋体" w:eastAsia="宋体" w:cs="宋体"/>
          <w:b/>
          <w:bCs w:val="0"/>
          <w:color w:val="auto"/>
          <w:sz w:val="24"/>
          <w:szCs w:val="21"/>
          <w:highlight w:val="none"/>
        </w:rPr>
        <w:t xml:space="preserve">，不提供或提供不全不得分</w:t>
      </w:r>
      <w:r>
        <w:rPr>
          <w:rFonts w:ascii="宋体" w:hAnsi="宋体" w:eastAsia="宋体" w:cs="Arial"/>
          <w:b/>
          <w:bCs/>
          <w:color w:val="auto"/>
          <w:sz w:val="24"/>
          <w:szCs w:val="24"/>
          <w:highlight w:val="none"/>
          <w:lang w:val="en-US" w:eastAsia="zh-CN" w:bidi="ar-SA"/>
        </w:rPr>
        <w:t xml:space="preserve">。</w:t>
      </w:r>
      <w:r>
        <w:rPr>
          <w:rFonts w:ascii="宋体" w:hAnsi="宋体" w:eastAsia="宋体" w:cs="Arial"/>
          <w:bCs/>
          <w:color w:val="auto"/>
          <w:sz w:val="24"/>
          <w:szCs w:val="24"/>
          <w:highlight w:val="none"/>
          <w:lang w:val="en-US" w:eastAsia="zh-CN" w:bidi="ar-SA"/>
        </w:rPr>
        <w:t xml:space="preserve">】</w:t>
      </w:r>
      <w:r/>
    </w:p>
    <w:p>
      <w:pPr>
        <w:ind w:left="0" w:firstLine="480"/>
        <w:spacing w:line="360" w:lineRule="auto"/>
        <w:widowControl w:val="off"/>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b.核心团队储备（2分）：提供至少1名的备用核心管理人员名单，名单人员均具备相关资质（满足采购需求中</w:t>
      </w:r>
      <w:r>
        <w:rPr>
          <w:rFonts w:hint="eastAsia" w:ascii="宋体" w:hAnsi="宋体" w:eastAsia="宋体" w:cs="新宋体"/>
          <w:bCs/>
          <w:color w:val="auto"/>
          <w:sz w:val="24"/>
          <w:szCs w:val="24"/>
          <w:highlight w:val="none"/>
          <w:lang w:val="en-US" w:eastAsia="zh-CN" w:bidi="ar-SA"/>
        </w:rPr>
        <w:t xml:space="preserve">项目负责人资质要求）</w:t>
      </w:r>
      <w:r>
        <w:rPr>
          <w:rFonts w:hint="eastAsia" w:ascii="宋体" w:hAnsi="宋体" w:eastAsia="宋体" w:cs="宋体"/>
          <w:bCs/>
          <w:color w:val="auto"/>
          <w:sz w:val="24"/>
          <w:szCs w:val="24"/>
          <w:highlight w:val="none"/>
          <w:lang w:val="en-US" w:eastAsia="zh-CN" w:bidi="ar-SA"/>
        </w:rPr>
        <w:t xml:space="preserve">，并承诺可在24小时内调配至本项目应急顶岗，名单人员匹配项目采购需求且有承诺书得2</w:t>
      </w:r>
      <w:r>
        <w:rPr>
          <w:rFonts w:hint="eastAsia" w:ascii="宋体" w:hAnsi="宋体" w:eastAsia="宋体" w:cs="宋体"/>
          <w:bCs/>
          <w:color w:val="auto"/>
          <w:sz w:val="24"/>
          <w:szCs w:val="21"/>
          <w:highlight w:val="none"/>
          <w:lang w:val="en-US" w:eastAsia="zh-CN" w:bidi="ar-SA"/>
        </w:rPr>
        <w:t xml:space="preserve">分。</w:t>
      </w:r>
      <w:r/>
    </w:p>
    <w:p>
      <w:pPr>
        <w:ind w:left="0" w:firstLine="48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eastAsia="宋体" w:cs="宋体"/>
          <w:b/>
          <w:bCs w:val="0"/>
          <w:color w:val="auto"/>
          <w:sz w:val="24"/>
          <w:szCs w:val="21"/>
          <w:highlight w:val="none"/>
          <w:lang w:val="en-US" w:eastAsia="zh-CN" w:bidi="ar-SA"/>
        </w:rPr>
        <w:t xml:space="preserve">提供上述人员学历证书（或者学信网查询记录）、相关资格证书、工作经历证明（劳动合同或社保缴纳证明或工作单位盖章证明等）、应急顶岗承诺书（格式自拟）、投标供应商为其连续三个月缴纳社保的证明，其中至少包含近三个月中任意一个月份（不含投标当月）的缴纳社保证明扫描件签章后上传至系统，不提供或提供不全不得分。</w:t>
      </w:r>
      <w:r>
        <w:rPr>
          <w:rFonts w:hint="default" w:ascii="宋体" w:hAnsi="宋体" w:eastAsia="宋体" w:cs="Arial"/>
          <w:bCs/>
          <w:color w:val="auto"/>
          <w:sz w:val="24"/>
          <w:szCs w:val="24"/>
          <w:highlight w:val="none"/>
          <w:lang w:val="en-US" w:eastAsia="zh-CN" w:bidi="ar-SA"/>
        </w:rPr>
        <w:t xml:space="preserve">】</w:t>
      </w:r>
      <w:r/>
    </w:p>
    <w:p>
      <w:pPr>
        <w:numPr>
          <w:ilvl w:val="0"/>
          <w:numId w:val="0"/>
        </w:numPr>
        <w:ind w:firstLine="600"/>
        <w:jc w:val="both"/>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（4）项目团队人员稳定性及权益保障承诺（4分）：</w:t>
      </w:r>
      <w:r/>
    </w:p>
    <w:p>
      <w:pPr>
        <w:numPr>
          <w:ilvl w:val="0"/>
          <w:numId w:val="0"/>
        </w:numPr>
        <w:ind w:firstLine="600"/>
        <w:jc w:val="both"/>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投标供应商承诺中标后向采购人提供满足本项目采购需求的所需人员配备表及人员基本信息并经过采购人确认，同时应</w:t>
      </w:r>
      <w:r/>
    </w:p>
    <w:p>
      <w:pPr>
        <w:numPr>
          <w:ilvl w:val="0"/>
          <w:numId w:val="0"/>
        </w:numPr>
        <w:ind w:firstLine="600"/>
        <w:jc w:val="both"/>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a.承诺中标后为全部项目职工提供覆盖全合同周期的商业意外险或相关保险方案，得2分；</w:t>
      </w:r>
      <w:r/>
    </w:p>
    <w:p>
      <w:pPr>
        <w:numPr>
          <w:ilvl w:val="0"/>
          <w:numId w:val="0"/>
        </w:numPr>
        <w:ind w:firstLine="600"/>
        <w:jc w:val="both"/>
        <w:spacing w:line="360" w:lineRule="auto"/>
        <w:rPr>
          <w:rFonts w:hint="eastAsia" w:ascii="宋体" w:hAnsi="Calibri" w:eastAsia="宋体" w:cs="Times New Roman"/>
          <w:color w:val="auto"/>
          <w:sz w:val="21"/>
          <w:highlight w:val="none"/>
          <w:lang w:val="en-US" w:eastAsia="zh-CN" w:bidi="ar-SA"/>
        </w:rPr>
      </w:pPr>
      <w:r>
        <w:rPr>
          <w:rFonts w:hint="eastAsia" w:ascii="宋体" w:hAnsi="宋体" w:eastAsia="宋体" w:cs="Times New Roman"/>
          <w:color w:val="auto"/>
          <w:sz w:val="24"/>
          <w:highlight w:val="none"/>
          <w:lang w:val="en-US" w:eastAsia="zh-CN" w:bidi="ar-SA"/>
        </w:rPr>
        <w:t xml:space="preserve">b.承诺无特殊情况不随意更换人员，得2分。</w:t>
      </w:r>
      <w:r/>
    </w:p>
    <w:p>
      <w:pPr>
        <w:contextualSpacing/>
        <w:ind w:firstLine="480"/>
        <w:jc w:val="both"/>
        <w:spacing w:line="360" w:lineRule="auto"/>
        <w:widowControl w:val="off"/>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eastAsia="zh-CN"/>
        </w:rPr>
        <w:t xml:space="preserve">提供</w:t>
      </w:r>
      <w:r>
        <w:rPr>
          <w:rFonts w:hint="eastAsia" w:ascii="宋体" w:hAnsi="宋体" w:eastAsia="宋体" w:cs="宋体"/>
          <w:b/>
          <w:bCs w:val="0"/>
          <w:color w:val="auto"/>
          <w:sz w:val="24"/>
          <w:szCs w:val="21"/>
          <w:highlight w:val="none"/>
        </w:rPr>
        <w:t xml:space="preserve">承诺书</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格式自拟）</w:t>
      </w:r>
      <w:r>
        <w:rPr>
          <w:rFonts w:hint="eastAsia" w:ascii="宋体" w:hAnsi="宋体" w:cs="宋体"/>
          <w:b/>
          <w:bCs/>
          <w:color w:val="auto"/>
          <w:sz w:val="24"/>
          <w:szCs w:val="24"/>
          <w:highlight w:val="none"/>
          <w:lang w:val="en-US" w:eastAsia="zh-CN"/>
        </w:rPr>
        <w:t xml:space="preserve">扫描件签章后</w:t>
      </w:r>
      <w:r>
        <w:rPr>
          <w:rFonts w:hint="eastAsia" w:ascii="宋体" w:hAnsi="宋体" w:cs="宋体"/>
          <w:b/>
          <w:bCs/>
          <w:color w:val="auto"/>
          <w:sz w:val="24"/>
          <w:szCs w:val="24"/>
          <w:highlight w:val="none"/>
          <w:lang w:eastAsia="zh-CN"/>
        </w:rPr>
        <w:t xml:space="preserve">上传至系统</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不提供</w:t>
      </w:r>
      <w:r>
        <w:rPr>
          <w:rFonts w:hint="eastAsia" w:ascii="宋体" w:hAnsi="宋体" w:cs="Times New Roman"/>
          <w:b/>
          <w:bCs/>
          <w:color w:val="auto"/>
          <w:sz w:val="24"/>
          <w:szCs w:val="24"/>
          <w:highlight w:val="none"/>
          <w:lang w:eastAsia="zh-CN"/>
        </w:rPr>
        <w:t xml:space="preserve">不得分。</w:t>
      </w:r>
      <w:r>
        <w:rPr>
          <w:rFonts w:ascii="宋体" w:hAnsi="宋体" w:eastAsia="宋体" w:cs="Arial"/>
          <w:bCs/>
          <w:color w:val="auto"/>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Arial"/>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Arial"/>
          <w:bCs/>
          <w:color w:val="auto"/>
          <w:sz w:val="24"/>
          <w:szCs w:val="24"/>
          <w:highlight w:val="none"/>
          <w:lang w:val="en-US" w:eastAsia="zh-CN" w:bidi="ar-SA"/>
        </w:rPr>
        <w:t xml:space="preserve">服务对象权益保障（3分）：</w:t>
      </w:r>
      <w:r/>
    </w:p>
    <w:p>
      <w:pPr>
        <w:contextualSpacing/>
        <w:ind w:firstLine="480"/>
        <w:jc w:val="both"/>
        <w:spacing w:line="360" w:lineRule="auto"/>
        <w:widowControl w:val="off"/>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投标供应商承诺该项目合同签订后一个月内为所服务项目或服务对象购买不少于整个合同周期内保险（如护理安全责任险等）的，得3分。</w:t>
      </w:r>
      <w:r/>
    </w:p>
    <w:p>
      <w:pPr>
        <w:contextualSpacing/>
        <w:ind w:firstLine="480"/>
        <w:jc w:val="both"/>
        <w:spacing w:line="360" w:lineRule="auto"/>
        <w:widowControl w:val="off"/>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eastAsia="zh-CN"/>
        </w:rPr>
        <w:t xml:space="preserve">提供</w:t>
      </w:r>
      <w:r>
        <w:rPr>
          <w:rFonts w:hint="eastAsia" w:ascii="宋体" w:hAnsi="宋体" w:eastAsia="宋体" w:cs="宋体"/>
          <w:b/>
          <w:bCs w:val="0"/>
          <w:color w:val="auto"/>
          <w:sz w:val="24"/>
          <w:szCs w:val="21"/>
          <w:highlight w:val="none"/>
        </w:rPr>
        <w:t xml:space="preserve">承诺书</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格式自拟）</w:t>
      </w:r>
      <w:r>
        <w:rPr>
          <w:rFonts w:hint="eastAsia" w:ascii="宋体" w:hAnsi="宋体" w:eastAsia="宋体" w:cs="宋体"/>
          <w:b/>
          <w:bCs/>
          <w:color w:val="auto"/>
          <w:sz w:val="24"/>
          <w:szCs w:val="24"/>
          <w:highlight w:val="none"/>
          <w:lang w:val="en-US" w:eastAsia="zh-CN"/>
        </w:rPr>
        <w:t xml:space="preserve">扫描件签章后</w:t>
      </w:r>
      <w:r>
        <w:rPr>
          <w:rFonts w:hint="eastAsia" w:ascii="宋体" w:hAnsi="宋体" w:eastAsia="宋体" w:cs="宋体"/>
          <w:b/>
          <w:bCs/>
          <w:color w:val="auto"/>
          <w:sz w:val="24"/>
          <w:szCs w:val="24"/>
          <w:highlight w:val="none"/>
          <w:lang w:eastAsia="zh-CN"/>
        </w:rPr>
        <w:t xml:space="preserve">上传至</w:t>
      </w:r>
      <w:r>
        <w:rPr>
          <w:rFonts w:hint="eastAsia" w:ascii="宋体" w:hAnsi="宋体" w:cs="宋体"/>
          <w:b/>
          <w:bCs/>
          <w:color w:val="auto"/>
          <w:sz w:val="24"/>
          <w:szCs w:val="24"/>
          <w:highlight w:val="none"/>
          <w:lang w:eastAsia="zh-CN"/>
        </w:rPr>
        <w:t xml:space="preserve">系统</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不提供</w:t>
      </w:r>
      <w:r>
        <w:rPr>
          <w:rFonts w:hint="eastAsia" w:ascii="宋体" w:hAnsi="宋体" w:eastAsia="宋体" w:cs="Times New Roman"/>
          <w:b/>
          <w:bCs/>
          <w:color w:val="auto"/>
          <w:sz w:val="24"/>
          <w:szCs w:val="24"/>
          <w:highlight w:val="none"/>
          <w:lang w:eastAsia="zh-CN"/>
        </w:rPr>
        <w:t xml:space="preserve">不得分。</w:t>
      </w:r>
      <w:r>
        <w:rPr>
          <w:rFonts w:ascii="宋体" w:hAnsi="宋体" w:eastAsia="宋体" w:cs="Arial"/>
          <w:bCs/>
          <w:color w:val="auto"/>
          <w:sz w:val="24"/>
          <w:szCs w:val="24"/>
          <w:highlight w:val="none"/>
          <w:lang w:val="en-US" w:eastAsia="zh-CN" w:bidi="ar-SA"/>
        </w:rPr>
        <w:t xml:space="preserve">】</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服务方案（50分）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（1）目标及整体设想（</w:t>
      </w:r>
      <w:r>
        <w:rPr>
          <w:rFonts w:hint="eastAsia" w:ascii="宋体" w:hAnsi="宋体" w:cs="宋体"/>
          <w:bCs/>
          <w:color w:val="auto"/>
          <w:sz w:val="24"/>
          <w:szCs w:val="32"/>
          <w:highlight w:val="none"/>
          <w:lang w:val="en-US" w:eastAsia="zh-CN"/>
        </w:rPr>
        <w:t xml:space="preserve">6</w:t>
      </w:r>
      <w:r>
        <w:rPr>
          <w:rFonts w:hint="eastAsia" w:ascii="宋体" w:hAnsi="宋体" w:cs="宋体"/>
          <w:bCs/>
          <w:color w:val="auto"/>
          <w:sz w:val="24"/>
          <w:szCs w:val="32"/>
          <w:highlight w:val="none"/>
          <w:lang w:eastAsia="zh-CN"/>
        </w:rPr>
        <w:t xml:space="preserve">分） </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①服务定位与理念（3分）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老年人照护服务的特点、难点及政策要求理解深刻，服务理念体现人文关怀和尊重，定位精准，得3分。对老年人照护服务的特点、难点及政策要求理解较为深刻，服务理念体现人文关怀和尊重，定位较为精准，得2分；对老年人照护服务的特点、难点及政策要求理解一般，服务理念体现人文关怀和尊重，定位一般，得1分；对此项内容没有阐述的不得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②总体目标与规划（3分）</w:t>
      </w:r>
      <w:r/>
    </w:p>
    <w:p>
      <w:pPr>
        <w:ind w:firstLine="480"/>
        <w:jc w:val="left"/>
        <w:spacing w:line="360" w:lineRule="auto"/>
        <w:widowControl/>
        <w:tabs>
          <w:tab w:val="left" w:pos="945" w:leader="none"/>
        </w:tabs>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设定的服务目标清晰、可量化，整体实施规划逻辑严谨、阶段明确，与本项目需求高度契合，得3分；有相关内容描述，但内容不够详细或契合度不高，得1分；无相关内容阐述的不得分。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（2）管理服务体系（</w:t>
      </w:r>
      <w:r>
        <w:rPr>
          <w:rFonts w:hint="eastAsia" w:ascii="宋体" w:hAnsi="宋体" w:cs="宋体"/>
          <w:bCs/>
          <w:color w:val="auto"/>
          <w:sz w:val="24"/>
          <w:szCs w:val="32"/>
          <w:highlight w:val="none"/>
          <w:lang w:val="en-US" w:eastAsia="zh-CN"/>
        </w:rPr>
        <w:t xml:space="preserve">8</w:t>
      </w:r>
      <w:r>
        <w:rPr>
          <w:rFonts w:hint="eastAsia" w:ascii="宋体" w:hAnsi="宋体" w:cs="宋体"/>
          <w:bCs/>
          <w:color w:val="auto"/>
          <w:sz w:val="24"/>
          <w:szCs w:val="32"/>
          <w:highlight w:val="none"/>
          <w:lang w:eastAsia="zh-CN"/>
        </w:rPr>
        <w:t xml:space="preserve">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①管理构架和各岗位职责分工（2分）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②日常管理服务，包括但不仅限于突发公共卫生事件的日常防控、安全管理、物资管理（2分）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③对服务人员的培训计划（2分）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④人员稳定性保障方案，包括但不限于薪酬福利体系、员工关怀计划及年度人员流失率控制目标（2分）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上述内容在满足采购需求基础上，每有一项描述详细、切实可行的得2分；若有相关内容描述，但内容不够详细或可行性待完善的得1分；无相关内容阐述的不得分。本项最高得8分。</w:t>
      </w:r>
      <w:r/>
    </w:p>
    <w:p>
      <w:pPr>
        <w:ind w:firstLine="24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（3）</w:t>
      </w:r>
      <w:r>
        <w:rPr>
          <w:rFonts w:hint="eastAsia" w:ascii="宋体" w:hAnsi="宋体" w:cs="宋体"/>
          <w:bCs/>
          <w:color w:val="auto"/>
          <w:sz w:val="24"/>
          <w:szCs w:val="24"/>
          <w:highlight w:val="none"/>
        </w:rPr>
        <w:t xml:space="preserve">服务对象需求的服务方案、流程、标准及措施</w:t>
      </w: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10</w:t>
      </w:r>
      <w:r>
        <w:rPr>
          <w:rFonts w:hint="eastAsia" w:ascii="宋体" w:hAnsi="宋体" w:cs="宋体"/>
          <w:bCs/>
          <w:color w:val="auto"/>
          <w:sz w:val="24"/>
          <w:szCs w:val="32"/>
          <w:highlight w:val="none"/>
          <w:lang w:eastAsia="zh-CN"/>
        </w:rPr>
        <w:t xml:space="preserve">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①入托老人需求服务方案及措施（2分）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②入托老人需求服务流程（2分）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③服务质量标准（2分）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④管理、护理人员排班安排计划（2分）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⑤社区居家养老援助服务方案（2分）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上述内容在满足采购需求基础上，每有一项描述详细、切实可行的得2分；若有相关内容描述，但内容不够详细或可行性待完善的得1分；无相关内容阐述的不得分。本项最高得10分</w:t>
      </w:r>
      <w:r>
        <w:rPr>
          <w:rFonts w:hint="eastAsia" w:ascii="宋体" w:hAnsi="宋体" w:cs="宋体"/>
          <w:bCs/>
          <w:color w:val="auto"/>
          <w:sz w:val="24"/>
          <w:szCs w:val="32"/>
          <w:highlight w:val="none"/>
          <w:lang w:eastAsia="zh-CN"/>
        </w:rPr>
        <w:t xml:space="preserve">。</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（4）管理规章制度（</w:t>
      </w:r>
      <w:r>
        <w:rPr>
          <w:rFonts w:hint="eastAsia" w:ascii="宋体" w:hAnsi="宋体" w:cs="宋体"/>
          <w:bCs/>
          <w:color w:val="auto"/>
          <w:sz w:val="24"/>
          <w:szCs w:val="32"/>
          <w:highlight w:val="none"/>
          <w:lang w:val="en-US" w:eastAsia="zh-CN"/>
        </w:rPr>
        <w:t xml:space="preserve">2</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有一整套管理、激励、监督、奖惩等制度及有服务行业要求的公众制度，切实可行的，得2分；有管理、激励、监督、奖惩等制度及有服务行业要求的公众制度，但可行性有待完善的，得1分；无相关内容阐述的不得分。本项最高得2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（5）管理重点难点和措施（5分）</w:t>
      </w:r>
      <w:r/>
    </w:p>
    <w:p>
      <w:pPr>
        <w:ind w:firstLine="72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管理服务重点、熟悉管理难点（2.5分）：服务重点、难点分析合理、透彻、描述详细、切实可行有效，得2.5分；有相关内容描述，但分析不够透彻、描述不够详细、可行性有待完善的1.5分；无相关内容阐述不得分。</w:t>
      </w:r>
      <w:r/>
    </w:p>
    <w:p>
      <w:pPr>
        <w:ind w:firstLine="72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②对应的解决方案、措施（2.5分）：能对应上一条重点、难点，提出相应解决方案和措施的，且内容描述详细、有针对性、切实可行有效，得2.5分；能针对重点、难点提出解决方案及措施，内容描述较详细，但针对性及可行性有待完善的1.5分；无相关内容阐述不得分</w:t>
      </w:r>
      <w:r>
        <w:rPr>
          <w:rFonts w:hint="eastAsia" w:ascii="宋体" w:hAnsi="宋体" w:cs="宋体"/>
          <w:bCs/>
          <w:color w:val="auto"/>
          <w:sz w:val="24"/>
          <w:szCs w:val="32"/>
          <w:highlight w:val="none"/>
          <w:lang w:eastAsia="zh-CN"/>
        </w:rPr>
        <w:t xml:space="preserve">。</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（6）应急事件方案措施（</w:t>
      </w:r>
      <w:r>
        <w:rPr>
          <w:rFonts w:hint="eastAsia" w:ascii="宋体" w:hAnsi="宋体" w:cs="宋体"/>
          <w:bCs/>
          <w:color w:val="auto"/>
          <w:sz w:val="24"/>
          <w:szCs w:val="32"/>
          <w:highlight w:val="none"/>
          <w:lang w:val="en-US" w:eastAsia="zh-CN"/>
        </w:rPr>
        <w:t xml:space="preserve">4</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①天灾类应急预案（</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②疾病类（含突发公共卫生事件）应急预案（</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③突发事件处理应急预案（</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④安全处置应急预案等（</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上述每一项内容分析合理、描述详细、切实可行有效，得</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分；每一项内容分析较合理、有相关描述、可行性有待完善的得</w:t>
      </w:r>
      <w:r>
        <w:rPr>
          <w:rFonts w:hint="eastAsia" w:ascii="宋体" w:hAnsi="宋体" w:cs="宋体"/>
          <w:bCs/>
          <w:color w:val="auto"/>
          <w:sz w:val="24"/>
          <w:szCs w:val="32"/>
          <w:highlight w:val="none"/>
          <w:lang w:val="en-US" w:eastAsia="zh-CN"/>
        </w:rPr>
        <w:t xml:space="preserve">0.5</w:t>
      </w:r>
      <w:r>
        <w:rPr>
          <w:rFonts w:hint="eastAsia" w:ascii="宋体" w:hAnsi="宋体" w:cs="宋体"/>
          <w:bCs/>
          <w:color w:val="auto"/>
          <w:sz w:val="24"/>
          <w:szCs w:val="32"/>
          <w:highlight w:val="none"/>
          <w:lang w:eastAsia="zh-CN"/>
        </w:rPr>
        <w:t xml:space="preserve">分；无相关内容阐述不得分。本项最高得</w:t>
      </w:r>
      <w:r>
        <w:rPr>
          <w:rFonts w:hint="eastAsia" w:ascii="宋体" w:hAnsi="宋体" w:cs="宋体"/>
          <w:bCs/>
          <w:color w:val="auto"/>
          <w:sz w:val="24"/>
          <w:szCs w:val="32"/>
          <w:highlight w:val="none"/>
          <w:lang w:val="en-US" w:eastAsia="zh-CN"/>
        </w:rPr>
        <w:t xml:space="preserve">4</w:t>
      </w:r>
      <w:r>
        <w:rPr>
          <w:rFonts w:hint="eastAsia" w:ascii="宋体" w:hAnsi="宋体" w:cs="宋体"/>
          <w:bCs/>
          <w:color w:val="auto"/>
          <w:sz w:val="24"/>
          <w:szCs w:val="32"/>
          <w:highlight w:val="none"/>
          <w:lang w:eastAsia="zh-CN"/>
        </w:rPr>
        <w:t xml:space="preserve">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7</w:t>
      </w:r>
      <w:r>
        <w:rPr>
          <w:rFonts w:hint="eastAsia" w:ascii="宋体" w:hAnsi="宋体" w:cs="宋体"/>
          <w:bCs/>
          <w:color w:val="auto"/>
          <w:sz w:val="24"/>
          <w:szCs w:val="32"/>
          <w:highlight w:val="none"/>
          <w:lang w:eastAsia="zh-CN"/>
        </w:rPr>
        <w:t xml:space="preserve">）与业主方以及其他单位、部门的综合协调方案（</w:t>
      </w:r>
      <w:r>
        <w:rPr>
          <w:rFonts w:hint="eastAsia" w:ascii="宋体" w:hAnsi="宋体" w:cs="宋体"/>
          <w:bCs/>
          <w:color w:val="auto"/>
          <w:sz w:val="24"/>
          <w:szCs w:val="32"/>
          <w:highlight w:val="none"/>
          <w:lang w:val="en-US" w:eastAsia="zh-CN"/>
        </w:rPr>
        <w:t xml:space="preserve">2</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列举服务过程中，可能遇到的需要与业主方以及其他单位、部门存在的协调处理的工作内容，以及遇到此类问题提出的有效、可行解决方案，得2分；能列举相关需协调处理的工作内容，但提出的解决方案有待完善的得1分；无相关内容阐述不得分。本项最高得2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8</w:t>
      </w:r>
      <w:r>
        <w:rPr>
          <w:rFonts w:hint="eastAsia" w:ascii="宋体" w:hAnsi="宋体" w:cs="宋体"/>
          <w:bCs/>
          <w:color w:val="auto"/>
          <w:sz w:val="24"/>
          <w:szCs w:val="32"/>
          <w:highlight w:val="none"/>
          <w:lang w:eastAsia="zh-CN"/>
        </w:rPr>
        <w:t xml:space="preserve">）相关承诺（6分）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①相关风险承诺（1分）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②承担条款（1分）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③用工承诺（相关风险承担、原用工优先聘用承诺等）（1分）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④经济赔偿（1分）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⑤法律风险（1分）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⑥责任风险（1分）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上述相关承诺内容合理、切实可行的，每有一项内容得1分；相关承诺内容较合理、可行性有待完善的每一项得0.5分；无内容不得分。本项最高得6分</w:t>
      </w:r>
      <w:r>
        <w:rPr>
          <w:rFonts w:hint="eastAsia" w:ascii="宋体" w:hAnsi="宋体" w:cs="宋体"/>
          <w:bCs/>
          <w:color w:val="auto"/>
          <w:sz w:val="24"/>
          <w:szCs w:val="32"/>
          <w:highlight w:val="none"/>
          <w:lang w:eastAsia="zh-CN"/>
        </w:rPr>
        <w:t xml:space="preserve">。</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9</w:t>
      </w:r>
      <w:r>
        <w:rPr>
          <w:rFonts w:hint="eastAsia" w:ascii="宋体" w:hAnsi="宋体" w:cs="宋体"/>
          <w:bCs/>
          <w:color w:val="auto"/>
          <w:sz w:val="24"/>
          <w:szCs w:val="32"/>
          <w:highlight w:val="none"/>
          <w:lang w:eastAsia="zh-CN"/>
        </w:rPr>
        <w:t xml:space="preserve">）服务档案资料管理（3分）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①工作人员档案管理（1分）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②设施设备档案管理（1分）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③管理服务质量资料（1分）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上述内容分析合理、描述详细、能有档案信息保密方案且切实可行的，每有一项内容得1分；内容分析较合理、描述较详细、能有档案信息保密方案但可行的有待完善的每一项得0.5分；无相关内容阐述的不得分。本项最高得3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（1</w:t>
      </w:r>
      <w:r>
        <w:rPr>
          <w:rFonts w:hint="eastAsia" w:ascii="宋体" w:hAnsi="宋体" w:cs="宋体"/>
          <w:bCs/>
          <w:color w:val="auto"/>
          <w:sz w:val="24"/>
          <w:szCs w:val="32"/>
          <w:highlight w:val="none"/>
          <w:lang w:val="en-US" w:eastAsia="zh-CN"/>
        </w:rPr>
        <w:t xml:space="preserve">0</w:t>
      </w:r>
      <w:r>
        <w:rPr>
          <w:rFonts w:hint="eastAsia" w:ascii="宋体" w:hAnsi="宋体" w:cs="宋体"/>
          <w:bCs/>
          <w:color w:val="auto"/>
          <w:sz w:val="24"/>
          <w:szCs w:val="32"/>
          <w:highlight w:val="none"/>
          <w:lang w:eastAsia="zh-CN"/>
        </w:rPr>
        <w:t xml:space="preserve">）特色服务与创新（</w:t>
      </w:r>
      <w:r>
        <w:rPr>
          <w:rFonts w:hint="eastAsia" w:ascii="宋体" w:hAnsi="宋体" w:cs="宋体"/>
          <w:bCs/>
          <w:color w:val="auto"/>
          <w:sz w:val="24"/>
          <w:szCs w:val="32"/>
          <w:highlight w:val="none"/>
          <w:lang w:val="en-US" w:eastAsia="zh-CN"/>
        </w:rPr>
        <w:t xml:space="preserve">4</w:t>
      </w:r>
      <w:r>
        <w:rPr>
          <w:rFonts w:hint="eastAsia" w:ascii="宋体" w:hAnsi="宋体" w:cs="宋体"/>
          <w:bCs/>
          <w:color w:val="auto"/>
          <w:sz w:val="24"/>
          <w:szCs w:val="32"/>
          <w:highlight w:val="none"/>
          <w:lang w:eastAsia="zh-CN"/>
        </w:rPr>
        <w:t xml:space="preserve">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①投标供应商企业服务特色（2分）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②投标供应商针对本项目提出的创新设想（2分）</w:t>
      </w:r>
      <w:r/>
    </w:p>
    <w:p>
      <w:pPr>
        <w:ind w:firstLine="480"/>
        <w:jc w:val="both"/>
        <w:spacing w:line="360" w:lineRule="auto"/>
        <w:widowControl w:val="off"/>
        <w:rPr>
          <w:rFonts w:hint="eastAsia" w:hAnsi="宋体" w:cs="宋体"/>
          <w:color w:val="auto"/>
          <w:sz w:val="24"/>
          <w:highlight w:val="none"/>
        </w:rPr>
      </w:pPr>
      <w:r>
        <w:rPr>
          <w:rFonts w:hint="eastAsia" w:ascii="宋体" w:hAnsi="宋体" w:cs="宋体"/>
          <w:bCs/>
          <w:color w:val="auto"/>
          <w:sz w:val="24"/>
          <w:szCs w:val="24"/>
          <w:highlight w:val="none"/>
        </w:rPr>
        <w:t xml:space="preserve">提出的相关内容有利于采购人本项目实施，且描述详细、切实可行的，每有一项内容得2分；提出的相关内容有利于采购人本项目实施，描述较详细，可行性有待完善的每一项得1分；无相关内容阐述的不得分。本项最高得4分</w:t>
      </w:r>
      <w:r>
        <w:rPr>
          <w:rFonts w:hint="eastAsia" w:ascii="宋体" w:hAnsi="宋体" w:cs="宋体"/>
          <w:bCs/>
          <w:color w:val="auto"/>
          <w:sz w:val="24"/>
          <w:szCs w:val="32"/>
          <w:highlight w:val="none"/>
          <w:lang w:eastAsia="zh-CN"/>
        </w:rPr>
        <w:t xml:space="preserve">。</w:t>
      </w:r>
      <w:r/>
    </w:p>
    <w:p>
      <w:pPr>
        <w:ind w:firstLine="720"/>
        <w:keepLines w:val="0"/>
        <w:keepNext w:val="0"/>
        <w:pageBreakBefore w:val="0"/>
        <w:spacing w:line="36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24"/>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024"/>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5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24"/>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24"/>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2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2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2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4"/>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2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2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24"/>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024"/>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024"/>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24"/>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24"/>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024"/>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24"/>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24"/>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24"/>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24"/>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24"/>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2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24"/>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2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24"/>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24"/>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24"/>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《采购需求》中如有要求须提供的证明文件</w:t>
            </w:r>
            <w:r/>
          </w:p>
        </w:tc>
        <w:tc>
          <w:tcPr>
            <w:tcW w:w="1979" w:type="dxa"/>
            <w:vAlign w:val="center"/>
            <w:vMerge w:val="continue"/>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24"/>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24"/>
              <w:ind w:firstLine="0"/>
              <w:jc w:val="both"/>
              <w:spacing w:before="0" w:after="0" w:line="240" w:lineRule="auto"/>
              <w:rPr>
                <w:rFonts w:hint="eastAsia"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24"/>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24"/>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Align w:val="top"/>
            <w:vMerge w:val="continue"/>
            <w:textDirection w:val="lrTb"/>
            <w:noWrap w:val="false"/>
          </w:tcPr>
          <w:p>
            <w:pPr>
              <w:pStyle w:val="1024"/>
              <w:ind w:firstLine="0"/>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024"/>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JSZC-320200-BCYZ-G2026-0001</w:t>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2026年度老年托养科护理外包服务</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9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宋体" w:hAnsi="宋体" w:cs="宋体"/>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1022"/>
        <w:ind w:firstLine="480"/>
        <w:spacing w:line="360" w:lineRule="auto"/>
        <w:rPr>
          <w:rFonts w:hint="eastAsia"/>
          <w:color w:val="auto"/>
          <w:sz w:val="24"/>
          <w:szCs w:val="24"/>
          <w:highlight w:val="none"/>
        </w:rPr>
      </w:pPr>
      <w:r>
        <w:rPr>
          <w:rFonts w:hint="eastAsia"/>
          <w:color w:val="auto"/>
          <w:sz w:val="24"/>
          <w:szCs w:val="24"/>
          <w:highlight w:val="none"/>
        </w:rPr>
        <w:t xml:space="preserve">我公司（单位）针对</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 xml:space="preserve">项目，兹授权：</w:t>
      </w:r>
      <w:r/>
    </w:p>
    <w:p>
      <w:pPr>
        <w:pStyle w:val="1022"/>
        <w:ind w:firstLine="480"/>
        <w:spacing w:line="360" w:lineRule="auto"/>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22"/>
        <w:ind w:firstLine="480"/>
        <w:spacing w:line="360" w:lineRule="auto"/>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22"/>
        <w:ind w:firstLine="480"/>
        <w:spacing w:line="360" w:lineRule="auto"/>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22"/>
        <w:ind w:firstLine="480"/>
        <w:spacing w:line="360" w:lineRule="auto"/>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22"/>
        <w:ind w:firstLine="480"/>
        <w:spacing w:line="360" w:lineRule="auto"/>
        <w:rPr>
          <w:rFonts w:hint="eastAsia"/>
          <w:color w:val="auto"/>
          <w:sz w:val="24"/>
          <w:szCs w:val="24"/>
          <w:highlight w:val="none"/>
        </w:rPr>
      </w:pPr>
      <w:r>
        <w:rPr>
          <w:rFonts w:hint="eastAsia"/>
          <w:color w:val="auto"/>
          <w:sz w:val="24"/>
          <w:szCs w:val="24"/>
          <w:highlight w:val="none"/>
        </w:rPr>
        <w:t xml:space="preserve">特此授权委托。</w:t>
      </w:r>
      <w:r/>
    </w:p>
    <w:p>
      <w:pPr>
        <w:pStyle w:val="1022"/>
        <w:ind w:firstLine="0"/>
        <w:rPr>
          <w:rFonts w:hint="eastAsia"/>
          <w:color w:val="auto"/>
          <w:sz w:val="24"/>
          <w:szCs w:val="24"/>
          <w:highlight w:val="none"/>
        </w:rPr>
      </w:pPr>
      <w:r>
        <w:rPr>
          <w:rFonts w:hint="eastAsia"/>
          <w:color w:val="auto"/>
          <w:sz w:val="24"/>
          <w:szCs w:val="24"/>
          <w:highlight w:val="none"/>
        </w:rPr>
      </w:r>
      <w:r/>
    </w:p>
    <w:p>
      <w:pPr>
        <w:pStyle w:val="1022"/>
        <w:ind w:firstLine="0"/>
        <w:rPr>
          <w:rFonts w:hint="eastAsia"/>
          <w:color w:val="auto"/>
          <w:sz w:val="24"/>
          <w:szCs w:val="24"/>
          <w:highlight w:val="none"/>
        </w:rPr>
      </w:pPr>
      <w:r>
        <w:rPr>
          <w:rFonts w:hint="eastAsia"/>
          <w:color w:val="auto"/>
          <w:sz w:val="24"/>
          <w:szCs w:val="24"/>
          <w:highlight w:val="none"/>
        </w:rPr>
      </w:r>
      <w:r/>
    </w:p>
    <w:p>
      <w:pPr>
        <w:pStyle w:val="1022"/>
        <w:ind w:firstLine="0"/>
        <w:rPr>
          <w:rFonts w:hint="eastAsia"/>
          <w:color w:val="auto"/>
          <w:sz w:val="24"/>
          <w:szCs w:val="24"/>
          <w:highlight w:val="none"/>
        </w:rPr>
      </w:pPr>
      <w:r>
        <w:rPr>
          <w:rFonts w:hint="eastAsia"/>
          <w:color w:val="auto"/>
          <w:sz w:val="24"/>
          <w:szCs w:val="24"/>
          <w:highlight w:val="none"/>
        </w:rPr>
      </w:r>
      <w:r/>
    </w:p>
    <w:p>
      <w:pPr>
        <w:pStyle w:val="1022"/>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22"/>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1022"/>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22"/>
        <w:ind w:firstLine="0"/>
        <w:rPr>
          <w:rFonts w:hint="eastAsia"/>
          <w:color w:val="auto"/>
          <w:sz w:val="24"/>
          <w:szCs w:val="24"/>
          <w:highlight w:val="none"/>
        </w:rPr>
      </w:pPr>
      <w:r>
        <w:rPr>
          <w:rFonts w:hint="eastAsia"/>
          <w:color w:val="auto"/>
          <w:sz w:val="24"/>
          <w:szCs w:val="24"/>
          <w:highlight w:val="none"/>
        </w:rPr>
      </w:r>
      <w:r/>
    </w:p>
    <w:p>
      <w:pPr>
        <w:pStyle w:val="1022"/>
        <w:ind w:firstLine="0"/>
        <w:rPr>
          <w:rFonts w:hint="eastAsia"/>
          <w:color w:val="auto"/>
          <w:sz w:val="24"/>
          <w:szCs w:val="24"/>
          <w:highlight w:val="none"/>
        </w:rPr>
      </w:pPr>
      <w:r>
        <w:rPr>
          <w:rFonts w:hint="eastAsia"/>
          <w:color w:val="auto"/>
          <w:sz w:val="24"/>
          <w:szCs w:val="24"/>
          <w:highlight w:val="none"/>
        </w:rPr>
      </w:r>
      <w:r/>
    </w:p>
    <w:p>
      <w:pPr>
        <w:pStyle w:val="1022"/>
        <w:ind w:firstLine="0"/>
        <w:rPr>
          <w:rFonts w:hint="eastAsia"/>
          <w:color w:val="auto"/>
          <w:sz w:val="24"/>
          <w:szCs w:val="24"/>
          <w:highlight w:val="none"/>
        </w:rPr>
      </w:pPr>
      <w:r>
        <w:rPr>
          <w:rFonts w:hint="eastAsia"/>
          <w:color w:val="auto"/>
          <w:sz w:val="24"/>
          <w:szCs w:val="24"/>
          <w:highlight w:val="none"/>
        </w:rPr>
        <w:t xml:space="preserve">说明：</w:t>
      </w:r>
      <w:r/>
    </w:p>
    <w:p>
      <w:pPr>
        <w:pStyle w:val="1022"/>
        <w:numPr>
          <w:ilvl w:val="0"/>
          <w:numId w:val="13"/>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w:t>
      </w:r>
      <w:r>
        <w:rPr>
          <w:rFonts w:hint="eastAsia" w:ascii="宋体" w:hAnsi="宋体"/>
          <w:color w:val="auto"/>
          <w:sz w:val="24"/>
          <w:szCs w:val="20"/>
          <w:highlight w:val="none"/>
          <w:lang w:val="en-US" w:eastAsia="zh-CN"/>
        </w:rPr>
        <w:t xml:space="preserve">采购</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22"/>
        <w:numPr>
          <w:ilvl w:val="0"/>
          <w:numId w:val="13"/>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p>
    <w:p>
      <w:pPr>
        <w:pStyle w:val="1022"/>
        <w:numPr>
          <w:ilvl w:val="0"/>
          <w:numId w:val="13"/>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投标人为自然人情形的，可不提供本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22"/>
        <w:numPr>
          <w:ilvl w:val="0"/>
          <w:numId w:val="13"/>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其他可以</w:t>
      </w:r>
      <w:r>
        <w:rPr>
          <w:rFonts w:hint="eastAsia" w:ascii="宋体" w:hAnsi="宋体"/>
          <w:bCs/>
          <w:color w:val="auto"/>
          <w:sz w:val="24"/>
          <w:szCs w:val="24"/>
          <w:highlight w:val="none"/>
        </w:rPr>
        <w:t xml:space="preserve">在中国大陆有效居留的许可证明。</w:t>
      </w:r>
      <w:r/>
    </w:p>
    <w:p>
      <w:pPr>
        <w:pStyle w:val="1022"/>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pStyle w:val="1022"/>
        <w:ind w:firstLine="0"/>
        <w:rPr>
          <w:rFonts w:hint="eastAsia" w:ascii="宋体" w:hAnsi="宋体" w:cs="宋体"/>
          <w:b/>
          <w:color w:val="auto"/>
          <w:szCs w:val="28"/>
          <w:highlight w:val="none"/>
        </w:rPr>
      </w:pPr>
      <w:r>
        <w:rPr>
          <w:rFonts w:hint="eastAsia" w:ascii="宋体" w:hAnsi="宋体" w:cs="宋体"/>
          <w:b/>
          <w:color w:val="auto"/>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w:t>
      </w:r>
      <w:r>
        <w:rPr>
          <w:rFonts w:hint="eastAsia" w:ascii="宋体" w:hAnsi="宋体"/>
          <w:bCs/>
          <w:color w:val="auto"/>
          <w:sz w:val="24"/>
          <w:szCs w:val="24"/>
          <w:highlight w:val="none"/>
          <w:lang w:eastAsia="zh-CN"/>
        </w:rPr>
        <w:t xml:space="preserve">重大税收违法失信主体名单</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eastAsia="zh-CN"/>
        </w:rPr>
        <w:t xml:space="preserve">、</w:t>
      </w:r>
      <w:r>
        <w:rPr>
          <w:rFonts w:hint="eastAsia" w:ascii="宋体" w:hAnsi="宋体"/>
          <w:bCs/>
          <w:color w:val="auto"/>
          <w:sz w:val="24"/>
          <w:szCs w:val="24"/>
          <w:highlight w:val="none"/>
          <w:u w:val="single"/>
          <w:lang w:val="en-US" w:eastAsia="zh-CN"/>
        </w:rPr>
        <w:t xml:space="preserve">标段名称</w:t>
      </w:r>
      <w:r>
        <w:rPr>
          <w:rFonts w:ascii="宋体" w:hAnsi="宋体"/>
          <w:bCs/>
          <w:color w:val="auto"/>
          <w:sz w:val="24"/>
          <w:szCs w:val="24"/>
          <w:highlight w:val="none"/>
          <w:u w:val="single"/>
        </w:rPr>
        <w:t xml:space="preserve">）</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color w:val="auto"/>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12"/>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b/>
          <w:color w:val="auto"/>
          <w:sz w:val="28"/>
          <w:szCs w:val="28"/>
          <w:highlight w:val="none"/>
        </w:rPr>
      </w:pPr>
      <w:r>
        <w:rPr>
          <w:rFonts w:hint="eastAsia" w:ascii="宋体" w:hAnsi="宋体"/>
          <w:bCs/>
          <w:color w:val="auto"/>
          <w:sz w:val="24"/>
          <w:szCs w:val="24"/>
          <w:highlight w:val="none"/>
        </w:rPr>
        <w:t xml:space="preserve">投标人名称（盖章）：</w:t>
      </w:r>
      <w:r>
        <w:rPr>
          <w:rFonts w:hint="eastAsia"/>
          <w:b/>
          <w:color w:val="auto"/>
          <w:sz w:val="28"/>
          <w:szCs w:val="28"/>
          <w:highlight w:val="none"/>
        </w:rPr>
        <w:t xml:space="preserve"> </w:t>
      </w:r>
      <w:r/>
    </w:p>
    <w:p>
      <w:pPr>
        <w:spacing w:line="460" w:lineRule="exact"/>
        <w:rPr>
          <w:rFonts w:hint="eastAsia"/>
          <w:b/>
          <w:color w:val="auto"/>
          <w:sz w:val="28"/>
          <w:szCs w:val="28"/>
          <w:highlight w:val="none"/>
        </w:rPr>
      </w:pPr>
      <w:r>
        <w:rPr>
          <w:rFonts w:hint="eastAsia"/>
          <w:b/>
          <w:color w:val="auto"/>
          <w:sz w:val="28"/>
          <w:szCs w:val="28"/>
          <w:highlight w:val="none"/>
        </w:rPr>
      </w:r>
      <w:r/>
    </w:p>
    <w:p>
      <w:pPr>
        <w:spacing w:line="460" w:lineRule="exact"/>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outlineLvl w:val="0"/>
      </w:pPr>
      <w:r>
        <w:rPr>
          <w:rFonts w:hint="eastAsia"/>
          <w:b/>
          <w:color w:val="auto"/>
          <w:sz w:val="28"/>
          <w:szCs w:val="28"/>
          <w:highlight w:val="none"/>
        </w:rPr>
        <w:t xml:space="preserve">七、承诺书（给定格式）： </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以上内容由投标单位根据采购要求自行完善。</w:t>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rPr>
        <w:t xml:space="preserve">八、开标一览表（给定格式）：</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 </w:t>
      </w:r>
      <w:r/>
    </w:p>
    <w:tbl>
      <w:tblPr>
        <w:tblStyle w:val="754"/>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default" w:ascii="宋体" w:eastAsia="宋体"/>
                <w:b/>
                <w:bCs/>
                <w:color w:val="auto"/>
                <w:sz w:val="24"/>
                <w:szCs w:val="24"/>
                <w:highlight w:val="none"/>
                <w:lang w:val="en-US" w:eastAsia="zh-CN"/>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1050"/>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5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 </w:t>
      </w:r>
      <w:r/>
    </w:p>
    <w:tbl>
      <w:tblPr>
        <w:tblStyle w:val="754"/>
        <w:tblpPr w:horzAnchor="page" w:tblpX="1098" w:vertAnchor="text" w:tblpY="556" w:leftFromText="180" w:topFromText="0" w:rightFromText="180" w:bottomFromText="0"/>
        <w:tblW w:w="9912" w:type="dxa"/>
        <w:tblInd w:w="0" w:type="dxa"/>
        <w:tblLayout w:type="fixed"/>
        <w:tblCellMar>
          <w:left w:w="0" w:type="dxa"/>
          <w:top w:w="0" w:type="dxa"/>
          <w:right w:w="0" w:type="dxa"/>
          <w:bottom w:w="0" w:type="dxa"/>
        </w:tblCellMar>
        <w:tblLook w:val="04A0" w:firstRow="1" w:lastRow="0" w:firstColumn="1" w:lastColumn="0" w:noHBand="0" w:noVBand="1"/>
      </w:tblPr>
      <w:tblGrid>
        <w:gridCol w:w="747"/>
        <w:gridCol w:w="1349"/>
        <w:gridCol w:w="1112"/>
        <w:gridCol w:w="1112"/>
        <w:gridCol w:w="1080"/>
        <w:gridCol w:w="2160"/>
        <w:gridCol w:w="2352"/>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szCs w:val="21"/>
                <w:highlight w:val="none"/>
              </w:rPr>
            </w:pPr>
            <w:r>
              <w:rPr>
                <w:rFonts w:ascii="黑体" w:hAnsi="宋体" w:eastAsia="黑体" w:cs="黑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szCs w:val="21"/>
                <w:highlight w:val="none"/>
              </w:rPr>
            </w:pPr>
            <w:r>
              <w:rPr>
                <w:rFonts w:ascii="黑体" w:hAnsi="宋体" w:eastAsia="黑体" w:cs="黑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szCs w:val="21"/>
                <w:highlight w:val="none"/>
              </w:rPr>
            </w:pPr>
            <w:r>
              <w:rPr>
                <w:rFonts w:ascii="黑体" w:hAnsi="宋体" w:eastAsia="黑体" w:cs="黑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660"/>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color w:val="auto"/>
                <w:highlight w:val="none"/>
              </w:rPr>
            </w:pPr>
            <w:r>
              <w:rPr>
                <w:rFonts w:hint="eastAsia" w:ascii="宋体" w:hAnsi="宋体" w:cs="宋体"/>
                <w:bCs/>
                <w:color w:val="auto"/>
                <w:highlight w:val="none"/>
              </w:rPr>
              <w:t xml:space="preserve">服务期： </w:t>
            </w:r>
            <w:r/>
          </w:p>
        </w:tc>
      </w:tr>
      <w:tr>
        <w:trPr>
          <w:trHeight w:val="9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color w:val="auto"/>
                <w:highlight w:val="none"/>
              </w:rPr>
            </w:pPr>
            <w:r>
              <w:rPr>
                <w:rFonts w:hint="eastAsia" w:ascii="宋体" w:hAnsi="宋体" w:cs="宋体"/>
                <w:bCs/>
                <w:color w:val="auto"/>
                <w:highlight w:val="none"/>
              </w:rPr>
              <w:t xml:space="preserve">总报价：大写：                                   小写：</w:t>
            </w:r>
            <w:r/>
          </w:p>
        </w:tc>
      </w:tr>
    </w:tbl>
    <w:p>
      <w:pPr>
        <w:spacing w:line="400" w:lineRule="exact"/>
        <w:rPr>
          <w:rFonts w:hint="eastAsia"/>
          <w:color w:val="auto"/>
          <w:highlight w:val="none"/>
        </w:rPr>
      </w:pPr>
      <w:r>
        <w:rPr>
          <w:rFonts w:hint="eastAsia"/>
          <w:color w:val="auto"/>
          <w:highlight w:val="none"/>
        </w:rPr>
      </w:r>
      <w:r/>
    </w:p>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pStyle w:val="1052"/>
        <w:ind w:firstLine="0"/>
        <w:rPr>
          <w:rFonts w:ascii="Tahoma" w:hAnsi="Tahoma"/>
          <w:color w:val="auto"/>
          <w:sz w:val="24"/>
          <w:highlight w:val="none"/>
          <w:lang w:val="en-US"/>
        </w:rPr>
      </w:pPr>
      <w:r>
        <w:rPr>
          <w:rFonts w:ascii="Tahoma" w:hAnsi="Tahoma"/>
          <w:color w:val="auto"/>
          <w:sz w:val="24"/>
          <w:highlight w:val="none"/>
          <w:lang w:val="en-US"/>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注：(1)</w:t>
      </w:r>
      <w:r>
        <w:rPr>
          <w:rFonts w:hint="eastAsia" w:ascii="宋体" w:hAnsi="宋体"/>
          <w:bCs/>
          <w:color w:val="auto"/>
          <w:sz w:val="24"/>
          <w:szCs w:val="24"/>
          <w:highlight w:val="none"/>
        </w:rPr>
        <w:t xml:space="preserve">上述报价表由投标单位参照，不限于此，可根据采购需求自行添加条目进行投报。</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eastAsia="zh-CN"/>
        </w:rPr>
        <w:t xml:space="preserve">人为</w:t>
      </w:r>
      <w:r>
        <w:rPr>
          <w:rFonts w:hint="eastAsia" w:ascii="宋体" w:hAnsi="宋体"/>
          <w:bCs/>
          <w:color w:val="auto"/>
          <w:sz w:val="24"/>
          <w:szCs w:val="24"/>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 </w:t>
      </w:r>
      <w:r/>
    </w:p>
    <w:tbl>
      <w:tblPr>
        <w:tblStyle w:val="754"/>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i/>
          <w:color w:val="auto"/>
          <w:sz w:val="24"/>
          <w:szCs w:val="24"/>
          <w:highlight w:val="none"/>
        </w:rPr>
        <w:outlineLvl w:val="0"/>
      </w:pPr>
      <w:r>
        <w:rPr>
          <w:rFonts w:hint="eastAsia" w:ascii="宋体" w:hAnsi="宋体"/>
          <w:bCs/>
          <w:i/>
          <w:color w:val="auto"/>
          <w:sz w:val="24"/>
          <w:szCs w:val="24"/>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十一、项目管理机构配备情况表（格式）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项目管理机构配备情况表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 </w:t>
      </w:r>
      <w:r>
        <w:rPr>
          <w:rFonts w:hint="eastAsia" w:ascii="黑体" w:eastAsia="黑体"/>
          <w:bCs/>
          <w:color w:val="auto"/>
          <w:sz w:val="24"/>
          <w:szCs w:val="24"/>
          <w:highlight w:val="none"/>
          <w:lang w:val="en-US" w:eastAsia="zh-CN"/>
        </w:rPr>
        <w:t xml:space="preserve">  </w:t>
      </w:r>
      <w:r/>
    </w:p>
    <w:tbl>
      <w:tblPr>
        <w:tblStyle w:val="754"/>
        <w:tblW w:w="9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1388"/>
      </w:tblGrid>
      <w:tr>
        <w:trPr>
          <w:jc w:val="center"/>
          <w:trHeight w:val="865"/>
        </w:trPr>
        <w:tc>
          <w:tcPr>
            <w:tcW w:w="743"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5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69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06"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33"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23"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749"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1388"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33"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t xml:space="preserve">项目负责人</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color w:val="auto"/>
                <w:sz w:val="24"/>
                <w:szCs w:val="24"/>
              </w:rPr>
              <w:t xml:space="preserve">现场管理人员</w:t>
            </w:r>
            <w:r>
              <w:rPr>
                <w:rFonts w:hint="eastAsia" w:ascii="宋体" w:hAnsi="宋体" w:cs="宋体"/>
                <w:color w:val="auto"/>
                <w:sz w:val="24"/>
                <w:szCs w:val="24"/>
                <w:lang w:eastAsia="zh-CN"/>
              </w:rPr>
              <w:t xml:space="preserve">）</w:t>
            </w:r>
            <w:bookmarkStart w:id="193" w:name="_GoBack"/>
            <w:r/>
            <w:bookmarkEnd w:id="193"/>
            <w:r/>
            <w:r/>
          </w:p>
        </w:tc>
        <w:tc>
          <w:tcPr>
            <w:tcW w:w="1223"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hint="eastAsia" w:ascii="宋体" w:hAnsi="宋体" w:eastAsia="宋体" w:cs="宋体"/>
                <w:bCs/>
                <w:color w:val="auto"/>
                <w:sz w:val="24"/>
                <w:szCs w:val="24"/>
                <w:highlight w:val="none"/>
                <w:lang w:val="en-US" w:eastAsia="zh-CN" w:bidi="ar-SA"/>
              </w:rPr>
              <w:t xml:space="preserve">备用核心管理人员</w:t>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注：1.本表对应评分标准中的项目人员配置情况，表格不够可自行延长。</w:t>
      </w:r>
      <w:r/>
    </w:p>
    <w:p>
      <w:pPr>
        <w:rPr>
          <w:rFonts w:hint="eastAsia" w:ascii="宋体" w:hAnsi="宋体" w:eastAsia="宋体"/>
          <w:bCs/>
          <w:color w:val="auto"/>
          <w:highlight w:val="none"/>
          <w:lang w:eastAsia="zh-CN"/>
        </w:rPr>
      </w:pPr>
      <w:r>
        <w:rPr>
          <w:rFonts w:hint="eastAsia" w:ascii="宋体" w:hAnsi="宋体"/>
          <w:bCs/>
          <w:color w:val="auto"/>
          <w:highlight w:val="none"/>
        </w:rPr>
        <w:t xml:space="preserve">2.上表内容须按评分标准中的相关要求提供相应证明材料</w:t>
      </w:r>
      <w:r>
        <w:rPr>
          <w:rFonts w:hint="eastAsia" w:ascii="宋体" w:hAnsi="宋体"/>
          <w:bCs/>
          <w:color w:val="auto"/>
          <w:highlight w:val="none"/>
          <w:lang w:eastAsia="zh-CN"/>
        </w:rPr>
        <w:t xml:space="preserve">。</w:t>
      </w:r>
      <w:r/>
    </w:p>
    <w:p>
      <w:pPr>
        <w:rPr>
          <w:rFonts w:hint="eastAsia" w:ascii="宋体" w:hAnsi="宋体"/>
          <w:bCs/>
          <w:color w:val="auto"/>
          <w:sz w:val="24"/>
          <w:szCs w:val="24"/>
          <w:highlight w:val="none"/>
        </w:rPr>
      </w:pPr>
      <w:r>
        <w:rPr>
          <w:rFonts w:hint="eastAsia" w:ascii="宋体" w:hAnsi="宋体"/>
          <w:bCs/>
          <w:color w:val="auto"/>
          <w:highlight w:val="none"/>
        </w:rPr>
        <w:t xml:space="preserve">3.证明材料均请附在本表之后。</w:t>
      </w:r>
      <w:r/>
    </w:p>
    <w:p>
      <w:pPr>
        <w:pStyle w:val="761"/>
        <w:ind w:left="1470" w:right="1470"/>
        <w:rPr>
          <w:color w:val="auto"/>
          <w:highlight w:val="none"/>
        </w:rPr>
      </w:pPr>
      <w:r>
        <w:rPr>
          <w:color w:val="auto"/>
          <w:highlight w:val="none"/>
        </w:rPr>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bookmarkEnd w:id="188"/>
      <w:r/>
      <w:bookmarkEnd w:id="189"/>
      <w:r/>
      <w:bookmarkEnd w:id="190"/>
      <w:r/>
      <w:bookmarkEnd w:id="191"/>
      <w:r/>
      <w:bookmarkEnd w:id="192"/>
      <w:r/>
      <w:r/>
    </w:p>
    <w:p>
      <w:pPr>
        <w:rPr>
          <w:rFonts w:hint="eastAsia"/>
          <w:color w:val="auto"/>
          <w:highlight w:val="none"/>
        </w:rPr>
      </w:pPr>
      <w:r>
        <w:rPr>
          <w:rFonts w:hint="eastAsia"/>
          <w:color w:val="auto"/>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rPr>
                              <w:rStyle w:val="1010"/>
                              <w:rFonts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５９</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rPr>
                        <w:rStyle w:val="1010"/>
                        <w:rFonts w:ascii="宋体" w:hAnsi="宋体"/>
                      </w:rPr>
                    </w:pPr>
                    <w:r>
                      <w:rPr>
                        <w:rFonts w:ascii="宋体" w:hAnsi="宋体"/>
                      </w:rPr>
                      <w:fldChar w:fldCharType="begin"/>
                    </w:r>
                    <w:r>
                      <w:rPr>
                        <w:rStyle w:val="1010"/>
                        <w:rFonts w:ascii="宋体" w:hAnsi="宋体"/>
                      </w:rPr>
                      <w:instrText xml:space="preserve">PAGE  </w:instrText>
                    </w:r>
                    <w:r>
                      <w:rPr>
                        <w:rFonts w:ascii="宋体" w:hAnsi="宋体"/>
                      </w:rPr>
                      <w:fldChar w:fldCharType="separate"/>
                    </w:r>
                    <w:r>
                      <w:rPr>
                        <w:rStyle w:val="1010"/>
                        <w:rFonts w:ascii="宋体" w:hAnsi="宋体"/>
                      </w:rPr>
                      <w:t xml:space="preserve">５９</w:t>
                    </w:r>
                    <w:r>
                      <w:rPr>
                        <w:rFonts w:ascii="宋体" w:hAnsi="宋体"/>
                      </w:rPr>
                      <w:fldChar w:fldCharType="end"/>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97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5"/>
      <w:isLgl w:val="false"/>
      <w:suff w:val="nothing"/>
      <w:lvlText w:val=""/>
      <w:lvlJc w:val="left"/>
      <w:pPr>
        <w:ind w:left="0" w:firstLine="0"/>
      </w:pPr>
      <w:rPr>
        <w:rFonts w:hint="eastAsia"/>
      </w:rPr>
    </w:lvl>
    <w:lvl w:ilvl="6">
      <w:start w:val="1"/>
      <w:numFmt w:val="decimal"/>
      <w:pStyle w:val="946"/>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8"/>
  </w:num>
  <w:num w:numId="2">
    <w:abstractNumId w:val="5"/>
  </w:num>
  <w:num w:numId="3">
    <w:abstractNumId w:val="13"/>
  </w:num>
  <w:num w:numId="4">
    <w:abstractNumId w:val="3"/>
  </w:num>
  <w:num w:numId="5">
    <w:abstractNumId w:val="2"/>
  </w:num>
  <w:num w:numId="6">
    <w:abstractNumId w:val="10"/>
  </w:num>
  <w:num w:numId="7">
    <w:abstractNumId w:val="0"/>
  </w:num>
  <w:num w:numId="8">
    <w:abstractNumId w:val="6"/>
  </w:num>
  <w:num w:numId="9">
    <w:abstractNumId w:val="9"/>
  </w:num>
  <w:num w:numId="10">
    <w:abstractNumId w:val="1"/>
  </w:num>
  <w:num w:numId="11">
    <w:abstractNumId w:val="4"/>
  </w:num>
  <w:num w:numId="12">
    <w:abstractNumId w:val="12"/>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01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4">
    <w:name w:val="Heading 1"/>
    <w:basedOn w:val="743"/>
    <w:next w:val="743"/>
    <w:link w:val="792"/>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93"/>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94"/>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9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96"/>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97"/>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99"/>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00"/>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3"/>
    <w:uiPriority w:val="99"/>
    <w:semiHidden/>
    <w:unhideWhenUsed/>
    <w:qFormat/>
    <w:pPr>
      <w:jc w:val="left"/>
    </w:pPr>
  </w:style>
  <w:style w:type="paragraph" w:styleId="758">
    <w:name w:val="Body Text"/>
    <w:basedOn w:val="743"/>
    <w:uiPriority w:val="0"/>
    <w:semiHidden/>
    <w:qFormat/>
    <w:rPr>
      <w:rFonts w:ascii="宋体" w:hAnsi="宋体" w:eastAsia="宋体" w:cs="宋体"/>
      <w:sz w:val="25"/>
      <w:szCs w:val="25"/>
      <w:lang w:val="en-US" w:eastAsia="en-US" w:bidi="ar-SA"/>
    </w:rPr>
  </w:style>
  <w:style w:type="paragraph" w:styleId="759">
    <w:name w:val="Body Text Indent"/>
    <w:basedOn w:val="743"/>
    <w:next w:val="760"/>
    <w:uiPriority w:val="0"/>
    <w:qFormat/>
    <w:pPr>
      <w:ind w:left="156"/>
      <w:spacing w:line="300" w:lineRule="auto"/>
      <w:widowControl/>
    </w:pPr>
    <w:rPr>
      <w:rFonts w:ascii="仿宋_GB2312" w:eastAsia="仿宋_GB2312"/>
      <w:sz w:val="28"/>
    </w:rPr>
  </w:style>
  <w:style w:type="paragraph" w:styleId="760">
    <w:name w:val="envelope return"/>
    <w:basedOn w:val="743"/>
    <w:uiPriority w:val="0"/>
    <w:qFormat/>
    <w:pPr>
      <w:ind w:firstLine="471"/>
      <w:spacing w:line="420" w:lineRule="exact"/>
    </w:pPr>
    <w:rPr>
      <w:rFonts w:ascii="Arial" w:hAnsi="Arial" w:cs="Arial"/>
      <w:sz w:val="24"/>
      <w:szCs w:val="24"/>
    </w:rPr>
  </w:style>
  <w:style w:type="paragraph" w:styleId="761">
    <w:name w:val="Block Text"/>
    <w:basedOn w:val="743"/>
    <w:uiPriority w:val="0"/>
    <w:qFormat/>
    <w:pPr>
      <w:ind w:left="1440" w:right="1440"/>
      <w:spacing w:after="120"/>
    </w:pPr>
  </w:style>
  <w:style w:type="paragraph" w:styleId="762">
    <w:name w:val="toc 5"/>
    <w:basedOn w:val="743"/>
    <w:next w:val="743"/>
    <w:uiPriority w:val="39"/>
    <w:unhideWhenUsed/>
    <w:qFormat/>
    <w:pPr>
      <w:ind w:left="1134" w:right="0" w:firstLine="0"/>
      <w:spacing w:after="57"/>
    </w:pPr>
  </w:style>
  <w:style w:type="paragraph" w:styleId="763">
    <w:name w:val="toc 3"/>
    <w:basedOn w:val="743"/>
    <w:next w:val="743"/>
    <w:uiPriority w:val="39"/>
    <w:unhideWhenUsed/>
    <w:qFormat/>
    <w:pPr>
      <w:ind w:left="567" w:right="0" w:firstLine="0"/>
      <w:spacing w:after="57"/>
    </w:pPr>
  </w:style>
  <w:style w:type="paragraph" w:styleId="764">
    <w:name w:val="Plain Text"/>
    <w:basedOn w:val="743"/>
    <w:uiPriority w:val="0"/>
    <w:qFormat/>
    <w:rPr>
      <w:rFonts w:ascii="宋体" w:hAnsi="Courier New"/>
      <w:sz w:val="21"/>
      <w:szCs w:val="21"/>
    </w:rPr>
  </w:style>
  <w:style w:type="paragraph" w:styleId="765">
    <w:name w:val="toc 8"/>
    <w:basedOn w:val="743"/>
    <w:next w:val="743"/>
    <w:uiPriority w:val="39"/>
    <w:unhideWhenUsed/>
    <w:qFormat/>
    <w:pPr>
      <w:ind w:left="1984" w:right="0" w:firstLine="0"/>
      <w:spacing w:after="57"/>
    </w:pPr>
  </w:style>
  <w:style w:type="paragraph" w:styleId="766">
    <w:name w:val="endnote text"/>
    <w:basedOn w:val="743"/>
    <w:link w:val="937"/>
    <w:uiPriority w:val="99"/>
    <w:semiHidden/>
    <w:unhideWhenUsed/>
    <w:qFormat/>
    <w:pPr>
      <w:spacing w:after="0" w:line="240" w:lineRule="auto"/>
    </w:pPr>
    <w:rPr>
      <w:sz w:val="20"/>
    </w:rPr>
  </w:style>
  <w:style w:type="paragraph" w:styleId="767">
    <w:name w:val="Footer"/>
    <w:basedOn w:val="743"/>
    <w:link w:val="810"/>
    <w:uiPriority w:val="99"/>
    <w:unhideWhenUsed/>
    <w:qFormat/>
    <w:pPr>
      <w:spacing w:after="0" w:line="240" w:lineRule="auto"/>
      <w:tabs>
        <w:tab w:val="center" w:pos="7143" w:leader="none"/>
        <w:tab w:val="right" w:pos="14287" w:leader="none"/>
      </w:tabs>
    </w:pPr>
  </w:style>
  <w:style w:type="paragraph" w:styleId="768">
    <w:name w:val="Header"/>
    <w:basedOn w:val="743"/>
    <w:link w:val="808"/>
    <w:uiPriority w:val="99"/>
    <w:unhideWhenUsed/>
    <w:qFormat/>
    <w:pPr>
      <w:spacing w:after="0" w:line="240" w:lineRule="auto"/>
      <w:tabs>
        <w:tab w:val="center" w:pos="7143" w:leader="none"/>
        <w:tab w:val="right" w:pos="14287" w:leader="none"/>
      </w:tabs>
    </w:pPr>
  </w:style>
  <w:style w:type="paragraph" w:styleId="769">
    <w:name w:val="toc 1"/>
    <w:basedOn w:val="743"/>
    <w:next w:val="743"/>
    <w:uiPriority w:val="39"/>
    <w:unhideWhenUsed/>
    <w:qFormat/>
    <w:pPr>
      <w:ind w:left="0" w:right="0" w:firstLine="0"/>
      <w:spacing w:after="57"/>
    </w:pPr>
  </w:style>
  <w:style w:type="paragraph" w:styleId="770">
    <w:name w:val="toc 4"/>
    <w:basedOn w:val="743"/>
    <w:next w:val="743"/>
    <w:uiPriority w:val="39"/>
    <w:unhideWhenUsed/>
    <w:qFormat/>
    <w:pPr>
      <w:ind w:left="850" w:right="0" w:firstLine="0"/>
      <w:spacing w:after="57"/>
    </w:pPr>
  </w:style>
  <w:style w:type="paragraph" w:styleId="771">
    <w:name w:val="Subtitle"/>
    <w:basedOn w:val="743"/>
    <w:next w:val="743"/>
    <w:link w:val="803"/>
    <w:uiPriority w:val="11"/>
    <w:qFormat/>
    <w:pPr>
      <w:spacing w:before="200" w:after="200"/>
    </w:pPr>
    <w:rPr>
      <w:sz w:val="24"/>
      <w:szCs w:val="24"/>
    </w:rPr>
  </w:style>
  <w:style w:type="paragraph" w:styleId="772">
    <w:name w:val="footnote text"/>
    <w:basedOn w:val="743"/>
    <w:link w:val="936"/>
    <w:uiPriority w:val="99"/>
    <w:semiHidden/>
    <w:unhideWhenUsed/>
    <w:qFormat/>
    <w:pPr>
      <w:spacing w:after="40" w:line="240" w:lineRule="auto"/>
    </w:pPr>
    <w:rPr>
      <w:sz w:val="18"/>
    </w:rPr>
  </w:style>
  <w:style w:type="paragraph" w:styleId="773">
    <w:name w:val="toc 6"/>
    <w:basedOn w:val="743"/>
    <w:next w:val="743"/>
    <w:uiPriority w:val="39"/>
    <w:unhideWhenUsed/>
    <w:qFormat/>
    <w:pPr>
      <w:ind w:left="1417" w:right="0" w:firstLine="0"/>
      <w:spacing w:after="57"/>
    </w:pPr>
  </w:style>
  <w:style w:type="paragraph" w:styleId="774">
    <w:name w:val="table of figures"/>
    <w:basedOn w:val="743"/>
    <w:next w:val="743"/>
    <w:uiPriority w:val="99"/>
    <w:unhideWhenUsed/>
    <w:qFormat/>
    <w:pPr>
      <w:spacing w:after="0" w:afterAutospacing="0"/>
    </w:pPr>
  </w:style>
  <w:style w:type="paragraph" w:styleId="775">
    <w:name w:val="toc 2"/>
    <w:basedOn w:val="743"/>
    <w:next w:val="743"/>
    <w:uiPriority w:val="39"/>
    <w:unhideWhenUsed/>
    <w:qFormat/>
    <w:pPr>
      <w:ind w:left="283" w:right="0" w:firstLine="0"/>
      <w:spacing w:after="57"/>
    </w:pPr>
  </w:style>
  <w:style w:type="paragraph" w:styleId="776">
    <w:name w:val="toc 9"/>
    <w:basedOn w:val="743"/>
    <w:next w:val="743"/>
    <w:uiPriority w:val="39"/>
    <w:unhideWhenUsed/>
    <w:qFormat/>
    <w:pPr>
      <w:ind w:left="2268" w:right="0" w:firstLine="0"/>
      <w:spacing w:after="57"/>
    </w:pPr>
  </w:style>
  <w:style w:type="paragraph" w:styleId="777">
    <w:name w:val="Body Text 2"/>
    <w:basedOn w:val="743"/>
    <w:uiPriority w:val="0"/>
    <w:qFormat/>
    <w:pPr>
      <w:spacing w:after="120" w:line="480" w:lineRule="auto"/>
    </w:pPr>
  </w:style>
  <w:style w:type="paragraph" w:styleId="778">
    <w:name w:val="HTML Preformatted"/>
    <w:basedOn w:val="74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9">
    <w:name w:val="Normal (Web)"/>
    <w:basedOn w:val="743"/>
    <w:uiPriority w:val="0"/>
    <w:qFormat/>
    <w:pPr>
      <w:ind w:firstLine="420"/>
      <w:jc w:val="left"/>
      <w:spacing w:before="100" w:beforeAutospacing="1" w:after="100" w:afterAutospacing="1" w:line="288" w:lineRule="auto"/>
      <w:widowControl/>
    </w:pPr>
    <w:rPr>
      <w:rFonts w:ascii="宋体" w:hAnsi="宋体"/>
      <w:sz w:val="24"/>
    </w:rPr>
  </w:style>
  <w:style w:type="paragraph" w:styleId="780">
    <w:name w:val="Title"/>
    <w:basedOn w:val="743"/>
    <w:next w:val="743"/>
    <w:link w:val="802"/>
    <w:uiPriority w:val="10"/>
    <w:qFormat/>
    <w:pPr>
      <w:contextualSpacing/>
      <w:spacing w:before="300" w:after="200"/>
    </w:pPr>
    <w:rPr>
      <w:sz w:val="48"/>
      <w:szCs w:val="48"/>
    </w:rPr>
  </w:style>
  <w:style w:type="paragraph" w:styleId="781">
    <w:name w:val="Body Text First Indent"/>
    <w:basedOn w:val="758"/>
    <w:uiPriority w:val="0"/>
    <w:qFormat/>
    <w:pPr>
      <w:ind w:firstLine="420"/>
      <w:spacing w:after="120" w:line="440" w:lineRule="exact"/>
    </w:pPr>
    <w:rPr>
      <w:rFonts w:ascii="宋体"/>
      <w:sz w:val="24"/>
      <w:szCs w:val="2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page number"/>
    <w:basedOn w:val="753"/>
    <w:uiPriority w:val="0"/>
    <w:qFormat/>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customStyle="1">
    <w:name w:val="_Style 1"/>
    <w:basedOn w:val="743"/>
    <w:uiPriority w:val="0"/>
    <w:qFormat/>
    <w:pPr>
      <w:ind w:firstLine="420"/>
    </w:pPr>
    <w:rPr>
      <w:szCs w:val="22"/>
    </w:rPr>
  </w:style>
  <w:style w:type="paragraph" w:styleId="788" w:customStyle="1">
    <w:name w:val="正文文本缩进1"/>
    <w:basedOn w:val="743"/>
    <w:next w:val="743"/>
    <w:link w:val="972"/>
    <w:uiPriority w:val="0"/>
    <w:qFormat/>
    <w:pPr>
      <w:ind w:firstLine="645"/>
    </w:pPr>
    <w:rPr>
      <w:rFonts w:ascii="楷体_GB2312" w:eastAsia="楷体_GB2312"/>
      <w:sz w:val="32"/>
      <w:szCs w:val="32"/>
      <w:lang w:val="en-US" w:eastAsia="en-US"/>
    </w:rPr>
  </w:style>
  <w:style w:type="paragraph" w:styleId="789">
    <w:name w:val="List Paragraph"/>
    <w:basedOn w:val="743"/>
    <w:uiPriority w:val="34"/>
    <w:qFormat/>
    <w:pPr>
      <w:contextualSpacing/>
      <w:ind w:left="720"/>
    </w:pPr>
  </w:style>
  <w:style w:type="paragraph" w:styleId="790" w:customStyle="1">
    <w:name w:val="列出段落1"/>
    <w:basedOn w:val="743"/>
    <w:link w:val="1018"/>
    <w:uiPriority w:val="0"/>
    <w:qFormat/>
    <w:pPr>
      <w:contextualSpacing/>
      <w:ind w:left="720"/>
      <w:jc w:val="left"/>
      <w:widowControl/>
    </w:pPr>
    <w:rPr>
      <w:rFonts w:ascii="Calibri" w:hAnsi="Calibri"/>
      <w:sz w:val="24"/>
      <w:szCs w:val="24"/>
      <w:lang w:val="en-US" w:eastAsia="en-US" w:bidi="en-US"/>
    </w:rPr>
  </w:style>
  <w:style w:type="paragraph" w:styleId="791" w:customStyle="1">
    <w:name w:val="段"/>
    <w:next w:val="743"/>
    <w:uiPriority w:val="0"/>
    <w:qFormat/>
    <w:pPr>
      <w:ind w:firstLine="200"/>
      <w:jc w:val="both"/>
    </w:pPr>
    <w:rPr>
      <w:rFonts w:hint="default" w:ascii="宋体" w:hAnsi="Calibri" w:eastAsia="宋体" w:cs="Times New Roman"/>
      <w:sz w:val="21"/>
      <w:lang w:val="en-US" w:eastAsia="zh-CN" w:bidi="ar-SA"/>
    </w:rPr>
  </w:style>
  <w:style w:type="character" w:styleId="792" w:customStyle="1">
    <w:name w:val="Heading 1 Char"/>
    <w:link w:val="744"/>
    <w:uiPriority w:val="9"/>
    <w:qFormat/>
    <w:rPr>
      <w:rFonts w:ascii="Arial" w:hAnsi="Arial" w:eastAsia="Arial" w:cs="Arial"/>
      <w:sz w:val="40"/>
      <w:szCs w:val="40"/>
    </w:rPr>
  </w:style>
  <w:style w:type="character" w:styleId="793" w:customStyle="1">
    <w:name w:val="Heading 2 Char"/>
    <w:link w:val="745"/>
    <w:uiPriority w:val="9"/>
    <w:qFormat/>
    <w:rPr>
      <w:rFonts w:ascii="Arial" w:hAnsi="Arial" w:eastAsia="Arial" w:cs="Arial"/>
      <w:sz w:val="34"/>
    </w:rPr>
  </w:style>
  <w:style w:type="character" w:styleId="794" w:customStyle="1">
    <w:name w:val="Heading 3 Char"/>
    <w:link w:val="746"/>
    <w:uiPriority w:val="9"/>
    <w:qFormat/>
    <w:rPr>
      <w:rFonts w:ascii="Arial" w:hAnsi="Arial" w:eastAsia="Arial" w:cs="Arial"/>
      <w:sz w:val="30"/>
      <w:szCs w:val="30"/>
    </w:rPr>
  </w:style>
  <w:style w:type="character" w:styleId="795" w:customStyle="1">
    <w:name w:val="Heading 4 Char"/>
    <w:link w:val="747"/>
    <w:uiPriority w:val="9"/>
    <w:qFormat/>
    <w:rPr>
      <w:rFonts w:ascii="Arial" w:hAnsi="Arial" w:eastAsia="Arial" w:cs="Arial"/>
      <w:b/>
      <w:bCs/>
      <w:sz w:val="26"/>
      <w:szCs w:val="26"/>
    </w:rPr>
  </w:style>
  <w:style w:type="character" w:styleId="796" w:customStyle="1">
    <w:name w:val="Heading 5 Char"/>
    <w:link w:val="748"/>
    <w:uiPriority w:val="9"/>
    <w:qFormat/>
    <w:rPr>
      <w:rFonts w:ascii="Arial" w:hAnsi="Arial" w:eastAsia="Arial" w:cs="Arial"/>
      <w:b/>
      <w:bCs/>
      <w:sz w:val="24"/>
      <w:szCs w:val="24"/>
    </w:rPr>
  </w:style>
  <w:style w:type="character" w:styleId="797" w:customStyle="1">
    <w:name w:val="Heading 6 Char"/>
    <w:link w:val="749"/>
    <w:uiPriority w:val="9"/>
    <w:qFormat/>
    <w:rPr>
      <w:rFonts w:ascii="Arial" w:hAnsi="Arial" w:eastAsia="Arial" w:cs="Arial"/>
      <w:b/>
      <w:bCs/>
      <w:sz w:val="22"/>
      <w:szCs w:val="22"/>
    </w:rPr>
  </w:style>
  <w:style w:type="character" w:styleId="798" w:customStyle="1">
    <w:name w:val="Heading 7 Char"/>
    <w:link w:val="750"/>
    <w:uiPriority w:val="9"/>
    <w:qFormat/>
    <w:rPr>
      <w:rFonts w:ascii="Arial" w:hAnsi="Arial" w:eastAsia="Arial" w:cs="Arial"/>
      <w:b/>
      <w:bCs/>
      <w:i/>
      <w:iCs/>
      <w:sz w:val="22"/>
      <w:szCs w:val="22"/>
    </w:rPr>
  </w:style>
  <w:style w:type="character" w:styleId="799" w:customStyle="1">
    <w:name w:val="Heading 8 Char"/>
    <w:link w:val="751"/>
    <w:uiPriority w:val="9"/>
    <w:qFormat/>
    <w:rPr>
      <w:rFonts w:ascii="Arial" w:hAnsi="Arial" w:eastAsia="Arial" w:cs="Arial"/>
      <w:i/>
      <w:iCs/>
      <w:sz w:val="22"/>
      <w:szCs w:val="22"/>
    </w:rPr>
  </w:style>
  <w:style w:type="character" w:styleId="800" w:customStyle="1">
    <w:name w:val="Heading 9 Char"/>
    <w:link w:val="752"/>
    <w:uiPriority w:val="9"/>
    <w:qFormat/>
    <w:rPr>
      <w:rFonts w:ascii="Arial" w:hAnsi="Arial" w:eastAsia="Arial" w:cs="Arial"/>
      <w:i/>
      <w:iCs/>
      <w:sz w:val="21"/>
      <w:szCs w:val="21"/>
    </w:rPr>
  </w:style>
  <w:style w:type="paragraph" w:styleId="801">
    <w:name w:val="No Spacing"/>
    <w:uiPriority w:val="1"/>
    <w:qFormat/>
    <w:pPr>
      <w:spacing w:before="0" w:after="0" w:line="240" w:lineRule="auto"/>
    </w:pPr>
    <w:rPr>
      <w:rFonts w:hint="default" w:ascii="Calibri" w:hAnsi="Calibri" w:eastAsia="宋体" w:cs="Times New Roman"/>
    </w:rPr>
  </w:style>
  <w:style w:type="character" w:styleId="802" w:customStyle="1">
    <w:name w:val="Title Char"/>
    <w:link w:val="780"/>
    <w:uiPriority w:val="10"/>
    <w:qFormat/>
    <w:rPr>
      <w:sz w:val="48"/>
      <w:szCs w:val="48"/>
    </w:rPr>
  </w:style>
  <w:style w:type="character" w:styleId="803" w:customStyle="1">
    <w:name w:val="Subtitle Char"/>
    <w:link w:val="771"/>
    <w:uiPriority w:val="11"/>
    <w:qFormat/>
    <w:rPr>
      <w:sz w:val="24"/>
      <w:szCs w:val="24"/>
    </w:rPr>
  </w:style>
  <w:style w:type="paragraph" w:styleId="804">
    <w:name w:val="Quote"/>
    <w:basedOn w:val="743"/>
    <w:next w:val="743"/>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3"/>
    <w:next w:val="743"/>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link w:val="768"/>
    <w:uiPriority w:val="99"/>
    <w:qFormat/>
  </w:style>
  <w:style w:type="character" w:styleId="809" w:customStyle="1">
    <w:name w:val="Footer Char"/>
    <w:link w:val="767"/>
    <w:uiPriority w:val="99"/>
    <w:qFormat/>
  </w:style>
  <w:style w:type="character" w:styleId="810" w:customStyle="1">
    <w:name w:val="Caption Char"/>
    <w:link w:val="767"/>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Footnote Text Char"/>
    <w:link w:val="772"/>
    <w:uiPriority w:val="99"/>
    <w:qFormat/>
    <w:rPr>
      <w:sz w:val="18"/>
    </w:rPr>
  </w:style>
  <w:style w:type="character" w:styleId="937" w:customStyle="1">
    <w:name w:val="Endnote Text Char"/>
    <w:link w:val="766"/>
    <w:uiPriority w:val="99"/>
    <w:qFormat/>
    <w:rPr>
      <w:sz w:val="20"/>
    </w:rPr>
  </w:style>
  <w:style w:type="paragraph" w:styleId="938" w:customStyle="1">
    <w:name w:val="TOC Heading"/>
    <w:uiPriority w:val="39"/>
    <w:unhideWhenUsed/>
    <w:qFormat/>
    <w:rPr>
      <w:rFonts w:hint="default" w:ascii="Calibri" w:hAnsi="Calibri" w:eastAsia="宋体" w:cs="Times New Roman"/>
    </w:rPr>
  </w:style>
  <w:style w:type="paragraph" w:styleId="939" w:customStyle="1">
    <w:name w:val="标题 11"/>
    <w:basedOn w:val="743"/>
    <w:next w:val="743"/>
    <w:link w:val="951"/>
    <w:uiPriority w:val="0"/>
    <w:qFormat/>
    <w:pPr>
      <w:jc w:val="center"/>
      <w:keepNext/>
      <w:outlineLvl w:val="0"/>
    </w:pPr>
    <w:rPr>
      <w:rFonts w:ascii="楷体_GB2312" w:eastAsia="楷体_GB2312"/>
      <w:sz w:val="28"/>
      <w:szCs w:val="28"/>
      <w:lang w:val="en-US" w:eastAsia="en-US"/>
    </w:rPr>
  </w:style>
  <w:style w:type="paragraph" w:styleId="940" w:customStyle="1">
    <w:name w:val="标题 21"/>
    <w:basedOn w:val="743"/>
    <w:next w:val="941"/>
    <w:link w:val="952"/>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41" w:customStyle="1">
    <w:name w:val="正文缩进1"/>
    <w:basedOn w:val="743"/>
    <w:link w:val="953"/>
    <w:uiPriority w:val="0"/>
    <w:qFormat/>
    <w:pPr>
      <w:ind w:firstLine="420"/>
    </w:pPr>
    <w:rPr>
      <w:sz w:val="20"/>
      <w:lang w:val="en-US" w:eastAsia="en-US"/>
    </w:rPr>
  </w:style>
  <w:style w:type="paragraph" w:styleId="942" w:customStyle="1">
    <w:name w:val="标题 31"/>
    <w:basedOn w:val="743"/>
    <w:next w:val="941"/>
    <w:link w:val="954"/>
    <w:uiPriority w:val="0"/>
    <w:qFormat/>
    <w:pPr>
      <w:keepLines/>
      <w:keepNext/>
      <w:spacing w:before="260" w:after="260" w:line="416" w:lineRule="auto"/>
      <w:outlineLvl w:val="2"/>
    </w:pPr>
    <w:rPr>
      <w:b/>
      <w:bCs/>
      <w:sz w:val="32"/>
      <w:szCs w:val="32"/>
      <w:lang w:val="en-US" w:eastAsia="en-US"/>
    </w:rPr>
  </w:style>
  <w:style w:type="paragraph" w:styleId="943" w:customStyle="1">
    <w:name w:val="标题 41"/>
    <w:basedOn w:val="743"/>
    <w:next w:val="743"/>
    <w:link w:val="955"/>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44" w:customStyle="1">
    <w:name w:val="标题 51"/>
    <w:basedOn w:val="743"/>
    <w:next w:val="941"/>
    <w:link w:val="956"/>
    <w:uiPriority w:val="0"/>
    <w:qFormat/>
    <w:pPr>
      <w:keepNext/>
      <w:outlineLvl w:val="4"/>
    </w:pPr>
    <w:rPr>
      <w:rFonts w:ascii="宋体"/>
      <w:color w:val="000000"/>
      <w:sz w:val="28"/>
      <w:szCs w:val="28"/>
      <w:lang w:val="en-US" w:eastAsia="en-US"/>
    </w:rPr>
  </w:style>
  <w:style w:type="paragraph" w:styleId="945" w:customStyle="1">
    <w:name w:val="标题 61"/>
    <w:basedOn w:val="743"/>
    <w:next w:val="743"/>
    <w:link w:val="957"/>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46" w:customStyle="1">
    <w:name w:val="标题 71"/>
    <w:basedOn w:val="743"/>
    <w:next w:val="743"/>
    <w:link w:val="958"/>
    <w:uiPriority w:val="0"/>
    <w:qFormat/>
    <w:pPr>
      <w:numPr>
        <w:ilvl w:val="6"/>
        <w:numId w:val="1"/>
      </w:numPr>
      <w:keepLines/>
      <w:keepNext/>
      <w:spacing w:before="240" w:after="64" w:line="320" w:lineRule="auto"/>
      <w:outlineLvl w:val="6"/>
    </w:pPr>
    <w:rPr>
      <w:b/>
      <w:bCs/>
      <w:sz w:val="24"/>
      <w:szCs w:val="24"/>
      <w:lang w:val="en-US" w:eastAsia="en-US"/>
    </w:rPr>
  </w:style>
  <w:style w:type="paragraph" w:styleId="947" w:customStyle="1">
    <w:name w:val="标题 81"/>
    <w:basedOn w:val="743"/>
    <w:next w:val="743"/>
    <w:link w:val="959"/>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48" w:customStyle="1">
    <w:name w:val="标题 91"/>
    <w:basedOn w:val="743"/>
    <w:next w:val="743"/>
    <w:link w:val="960"/>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49" w:customStyle="1">
    <w:name w:val="默认段落字体1"/>
    <w:link w:val="743"/>
    <w:uiPriority w:val="1"/>
    <w:unhideWhenUsed/>
    <w:qFormat/>
  </w:style>
  <w:style w:type="table" w:styleId="950" w:customStyle="1">
    <w:name w:val="普通表格1"/>
    <w:uiPriority w:val="99"/>
    <w:unhideWhenUsed/>
    <w:qFormat/>
    <w:tblPr/>
  </w:style>
  <w:style w:type="character" w:styleId="951" w:customStyle="1">
    <w:name w:val="标题 1 Char"/>
    <w:link w:val="939"/>
    <w:uiPriority w:val="0"/>
    <w:qFormat/>
    <w:rPr>
      <w:rFonts w:ascii="楷体_GB2312" w:hAnsi="Times New Roman" w:eastAsia="楷体_GB2312" w:cs="Times New Roman"/>
      <w:sz w:val="28"/>
      <w:szCs w:val="28"/>
    </w:rPr>
  </w:style>
  <w:style w:type="character" w:styleId="952" w:customStyle="1">
    <w:name w:val="标题 2 Char"/>
    <w:link w:val="940"/>
    <w:uiPriority w:val="0"/>
    <w:qFormat/>
    <w:rPr>
      <w:rFonts w:ascii="Arial" w:hAnsi="Arial" w:eastAsia="幼圆" w:cs="Arial"/>
      <w:b/>
      <w:bCs/>
      <w:sz w:val="44"/>
      <w:szCs w:val="44"/>
    </w:rPr>
  </w:style>
  <w:style w:type="character" w:styleId="953" w:customStyle="1">
    <w:name w:val="正文缩进 Char"/>
    <w:link w:val="941"/>
    <w:uiPriority w:val="0"/>
    <w:qFormat/>
    <w:rPr>
      <w:rFonts w:ascii="Times New Roman" w:hAnsi="Times New Roman" w:eastAsia="宋体" w:cs="Times New Roman"/>
      <w:szCs w:val="21"/>
    </w:rPr>
  </w:style>
  <w:style w:type="character" w:styleId="954" w:customStyle="1">
    <w:name w:val="标题 3 Char"/>
    <w:link w:val="942"/>
    <w:uiPriority w:val="0"/>
    <w:qFormat/>
    <w:rPr>
      <w:rFonts w:ascii="Times New Roman" w:hAnsi="Times New Roman" w:eastAsia="宋体" w:cs="Times New Roman"/>
      <w:b/>
      <w:bCs/>
      <w:sz w:val="32"/>
      <w:szCs w:val="32"/>
    </w:rPr>
  </w:style>
  <w:style w:type="character" w:styleId="955" w:customStyle="1">
    <w:name w:val="标题 4 Char"/>
    <w:link w:val="943"/>
    <w:uiPriority w:val="0"/>
    <w:qFormat/>
    <w:rPr>
      <w:rFonts w:ascii="Arial" w:hAnsi="Arial" w:eastAsia="黑体" w:cs="Arial"/>
      <w:b/>
      <w:bCs/>
      <w:sz w:val="28"/>
      <w:szCs w:val="28"/>
    </w:rPr>
  </w:style>
  <w:style w:type="character" w:styleId="956" w:customStyle="1">
    <w:name w:val="标题 5 Char"/>
    <w:link w:val="944"/>
    <w:uiPriority w:val="0"/>
    <w:qFormat/>
    <w:rPr>
      <w:rFonts w:ascii="宋体" w:hAnsi="Times New Roman" w:eastAsia="宋体" w:cs="Times New Roman"/>
      <w:color w:val="000000"/>
      <w:sz w:val="28"/>
      <w:szCs w:val="28"/>
    </w:rPr>
  </w:style>
  <w:style w:type="character" w:styleId="957" w:customStyle="1">
    <w:name w:val="标题 6 Char"/>
    <w:link w:val="945"/>
    <w:uiPriority w:val="0"/>
    <w:qFormat/>
    <w:rPr>
      <w:rFonts w:ascii="Arial" w:hAnsi="Arial" w:eastAsia="黑体" w:cs="Times New Roman"/>
      <w:b/>
      <w:bCs/>
      <w:sz w:val="24"/>
      <w:szCs w:val="24"/>
    </w:rPr>
  </w:style>
  <w:style w:type="character" w:styleId="958" w:customStyle="1">
    <w:name w:val="标题 7 Char"/>
    <w:link w:val="946"/>
    <w:uiPriority w:val="0"/>
    <w:qFormat/>
    <w:rPr>
      <w:rFonts w:ascii="Times New Roman" w:hAnsi="Times New Roman" w:eastAsia="宋体" w:cs="Times New Roman"/>
      <w:b/>
      <w:bCs/>
      <w:sz w:val="24"/>
      <w:szCs w:val="24"/>
    </w:rPr>
  </w:style>
  <w:style w:type="character" w:styleId="959" w:customStyle="1">
    <w:name w:val="标题 8 Char"/>
    <w:link w:val="947"/>
    <w:uiPriority w:val="0"/>
    <w:qFormat/>
    <w:rPr>
      <w:rFonts w:ascii="Arial" w:hAnsi="Arial" w:eastAsia="黑体" w:cs="Times New Roman"/>
      <w:sz w:val="24"/>
      <w:szCs w:val="24"/>
    </w:rPr>
  </w:style>
  <w:style w:type="character" w:styleId="960" w:customStyle="1">
    <w:name w:val="标题 9 Char"/>
    <w:link w:val="948"/>
    <w:uiPriority w:val="0"/>
    <w:qFormat/>
    <w:rPr>
      <w:rFonts w:ascii="Arial" w:hAnsi="Arial" w:eastAsia="黑体" w:cs="Times New Roman"/>
      <w:szCs w:val="21"/>
    </w:rPr>
  </w:style>
  <w:style w:type="paragraph" w:styleId="961" w:customStyle="1">
    <w:name w:val="列表 31"/>
    <w:basedOn w:val="743"/>
    <w:uiPriority w:val="0"/>
    <w:qFormat/>
    <w:pPr>
      <w:ind w:left="100" w:hanging="200"/>
    </w:pPr>
  </w:style>
  <w:style w:type="paragraph" w:styleId="962" w:customStyle="1">
    <w:name w:val="目录 71"/>
    <w:basedOn w:val="743"/>
    <w:next w:val="743"/>
    <w:uiPriority w:val="0"/>
    <w:semiHidden/>
    <w:qFormat/>
    <w:pPr>
      <w:ind w:left="1260"/>
      <w:jc w:val="left"/>
    </w:pPr>
  </w:style>
  <w:style w:type="paragraph" w:styleId="963" w:customStyle="1">
    <w:name w:val="文档结构图1"/>
    <w:basedOn w:val="743"/>
    <w:link w:val="964"/>
    <w:uiPriority w:val="0"/>
    <w:semiHidden/>
    <w:qFormat/>
    <w:pPr>
      <w:shd w:val="clear" w:color="auto" w:fill="000080"/>
    </w:pPr>
    <w:rPr>
      <w:sz w:val="20"/>
      <w:lang w:val="en-US" w:eastAsia="en-US"/>
    </w:rPr>
  </w:style>
  <w:style w:type="character" w:styleId="964" w:customStyle="1">
    <w:name w:val="文档结构图 Char"/>
    <w:link w:val="963"/>
    <w:uiPriority w:val="0"/>
    <w:semiHidden/>
    <w:qFormat/>
    <w:rPr>
      <w:rFonts w:ascii="Times New Roman" w:hAnsi="Times New Roman" w:eastAsia="宋体" w:cs="Times New Roman"/>
      <w:szCs w:val="21"/>
      <w:shd w:val="clear" w:color="auto" w:fill="000080"/>
    </w:rPr>
  </w:style>
  <w:style w:type="paragraph" w:styleId="965" w:customStyle="1">
    <w:name w:val="批注文字1"/>
    <w:basedOn w:val="743"/>
    <w:link w:val="966"/>
    <w:uiPriority w:val="0"/>
    <w:semiHidden/>
    <w:qFormat/>
    <w:pPr>
      <w:jc w:val="left"/>
    </w:pPr>
    <w:rPr>
      <w:sz w:val="20"/>
      <w:lang w:val="en-US" w:eastAsia="en-US"/>
    </w:rPr>
  </w:style>
  <w:style w:type="character" w:styleId="966" w:customStyle="1">
    <w:name w:val="批注文字 Char"/>
    <w:link w:val="965"/>
    <w:uiPriority w:val="0"/>
    <w:semiHidden/>
    <w:qFormat/>
    <w:rPr>
      <w:rFonts w:ascii="Times New Roman" w:hAnsi="Times New Roman" w:eastAsia="宋体" w:cs="Times New Roman"/>
      <w:szCs w:val="21"/>
    </w:rPr>
  </w:style>
  <w:style w:type="paragraph" w:styleId="967" w:customStyle="1">
    <w:name w:val="正文文本 31"/>
    <w:basedOn w:val="743"/>
    <w:link w:val="968"/>
    <w:uiPriority w:val="0"/>
    <w:qFormat/>
    <w:rPr>
      <w:rFonts w:ascii="仿宋_GB2312" w:hAnsi="Arial" w:eastAsia="仿宋_GB2312"/>
      <w:sz w:val="32"/>
      <w:szCs w:val="32"/>
      <w:lang w:val="en-US" w:eastAsia="en-US"/>
    </w:rPr>
  </w:style>
  <w:style w:type="character" w:styleId="968" w:customStyle="1">
    <w:name w:val="正文文本 3 Char"/>
    <w:link w:val="967"/>
    <w:uiPriority w:val="0"/>
    <w:qFormat/>
    <w:rPr>
      <w:rFonts w:ascii="仿宋_GB2312" w:hAnsi="Arial" w:eastAsia="仿宋_GB2312" w:cs="Times New Roman"/>
      <w:sz w:val="32"/>
      <w:szCs w:val="32"/>
    </w:rPr>
  </w:style>
  <w:style w:type="paragraph" w:styleId="969" w:customStyle="1">
    <w:name w:val="正文文本1"/>
    <w:basedOn w:val="743"/>
    <w:next w:val="970"/>
    <w:link w:val="971"/>
    <w:uiPriority w:val="0"/>
    <w:qFormat/>
    <w:rPr>
      <w:rFonts w:ascii="楷体_GB2312" w:hAnsi="Arial" w:eastAsia="楷体_GB2312"/>
      <w:sz w:val="28"/>
      <w:szCs w:val="28"/>
      <w:lang w:val="en-US" w:eastAsia="en-US"/>
    </w:rPr>
  </w:style>
  <w:style w:type="paragraph" w:styleId="970" w:customStyle="1">
    <w:name w:val="列表项目符号 51"/>
    <w:basedOn w:val="743"/>
    <w:uiPriority w:val="0"/>
    <w:qFormat/>
    <w:pPr>
      <w:numPr>
        <w:ilvl w:val="0"/>
        <w:numId w:val="1"/>
      </w:numPr>
    </w:pPr>
  </w:style>
  <w:style w:type="character" w:styleId="971" w:customStyle="1">
    <w:name w:val="正文文本 Char"/>
    <w:link w:val="969"/>
    <w:uiPriority w:val="0"/>
    <w:qFormat/>
    <w:rPr>
      <w:rFonts w:ascii="楷体_GB2312" w:hAnsi="Arial" w:eastAsia="楷体_GB2312" w:cs="Times New Roman"/>
      <w:sz w:val="28"/>
      <w:szCs w:val="28"/>
    </w:rPr>
  </w:style>
  <w:style w:type="character" w:styleId="972" w:customStyle="1">
    <w:name w:val="正文文本缩进 Char"/>
    <w:link w:val="788"/>
    <w:uiPriority w:val="0"/>
    <w:qFormat/>
    <w:rPr>
      <w:rFonts w:ascii="楷体_GB2312" w:hAnsi="Times New Roman" w:eastAsia="楷体_GB2312" w:cs="Times New Roman"/>
      <w:sz w:val="32"/>
      <w:szCs w:val="32"/>
    </w:rPr>
  </w:style>
  <w:style w:type="paragraph" w:styleId="973" w:customStyle="1">
    <w:name w:val="列表 21"/>
    <w:basedOn w:val="743"/>
    <w:uiPriority w:val="0"/>
    <w:qFormat/>
    <w:pPr>
      <w:ind w:left="100" w:hanging="200"/>
    </w:pPr>
  </w:style>
  <w:style w:type="paragraph" w:styleId="974" w:customStyle="1">
    <w:name w:val="目录 51"/>
    <w:basedOn w:val="743"/>
    <w:next w:val="743"/>
    <w:uiPriority w:val="0"/>
    <w:semiHidden/>
    <w:qFormat/>
    <w:pPr>
      <w:ind w:left="840"/>
      <w:jc w:val="left"/>
    </w:pPr>
  </w:style>
  <w:style w:type="paragraph" w:styleId="975" w:customStyle="1">
    <w:name w:val="目录 31"/>
    <w:basedOn w:val="743"/>
    <w:next w:val="743"/>
    <w:uiPriority w:val="0"/>
    <w:semiHidden/>
    <w:qFormat/>
    <w:pPr>
      <w:ind w:left="420"/>
      <w:jc w:val="left"/>
    </w:pPr>
    <w:rPr>
      <w:i/>
      <w:iCs/>
      <w:szCs w:val="24"/>
    </w:rPr>
  </w:style>
  <w:style w:type="paragraph" w:styleId="976" w:customStyle="1">
    <w:name w:val="纯文本1"/>
    <w:basedOn w:val="743"/>
    <w:link w:val="977"/>
    <w:uiPriority w:val="0"/>
    <w:qFormat/>
    <w:rPr>
      <w:rFonts w:ascii="宋体" w:hAnsi="Courier New"/>
      <w:sz w:val="20"/>
      <w:lang w:val="en-US" w:eastAsia="en-US"/>
    </w:rPr>
  </w:style>
  <w:style w:type="character" w:styleId="977" w:customStyle="1">
    <w:name w:val="纯文本 Char"/>
    <w:link w:val="976"/>
    <w:uiPriority w:val="0"/>
    <w:qFormat/>
    <w:rPr>
      <w:rFonts w:ascii="宋体" w:hAnsi="Courier New" w:eastAsia="宋体" w:cs="Courier New"/>
      <w:szCs w:val="21"/>
    </w:rPr>
  </w:style>
  <w:style w:type="paragraph" w:styleId="978" w:customStyle="1">
    <w:name w:val="目录 81"/>
    <w:basedOn w:val="743"/>
    <w:next w:val="743"/>
    <w:uiPriority w:val="0"/>
    <w:semiHidden/>
    <w:qFormat/>
    <w:pPr>
      <w:ind w:left="1470"/>
      <w:jc w:val="left"/>
    </w:pPr>
  </w:style>
  <w:style w:type="paragraph" w:styleId="979" w:customStyle="1">
    <w:name w:val="日期1"/>
    <w:basedOn w:val="743"/>
    <w:next w:val="743"/>
    <w:link w:val="980"/>
    <w:uiPriority w:val="0"/>
    <w:qFormat/>
    <w:rPr>
      <w:sz w:val="24"/>
      <w:szCs w:val="24"/>
      <w:lang w:val="en-US" w:eastAsia="en-US"/>
    </w:rPr>
  </w:style>
  <w:style w:type="character" w:styleId="980" w:customStyle="1">
    <w:name w:val="日期 Char"/>
    <w:link w:val="979"/>
    <w:uiPriority w:val="0"/>
    <w:qFormat/>
    <w:rPr>
      <w:rFonts w:ascii="Times New Roman" w:hAnsi="Times New Roman" w:eastAsia="宋体" w:cs="Times New Roman"/>
      <w:sz w:val="24"/>
      <w:szCs w:val="24"/>
    </w:rPr>
  </w:style>
  <w:style w:type="paragraph" w:styleId="981" w:customStyle="1">
    <w:name w:val="正文文本缩进 21"/>
    <w:basedOn w:val="743"/>
    <w:link w:val="982"/>
    <w:uiPriority w:val="0"/>
    <w:qFormat/>
    <w:pPr>
      <w:ind w:left="630" w:firstLine="645"/>
    </w:pPr>
    <w:rPr>
      <w:rFonts w:ascii="Arial" w:hAnsi="Arial" w:eastAsia="仿宋_GB2312"/>
      <w:sz w:val="32"/>
      <w:szCs w:val="32"/>
      <w:lang w:val="en-US" w:eastAsia="en-US"/>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批注框文本1"/>
    <w:basedOn w:val="743"/>
    <w:link w:val="984"/>
    <w:uiPriority w:val="0"/>
    <w:semiHidden/>
    <w:qFormat/>
    <w:rPr>
      <w:sz w:val="18"/>
      <w:szCs w:val="18"/>
      <w:lang w:val="en-US" w:eastAsia="en-US"/>
    </w:rPr>
  </w:style>
  <w:style w:type="character" w:styleId="984" w:customStyle="1">
    <w:name w:val="批注框文本 Char"/>
    <w:link w:val="983"/>
    <w:uiPriority w:val="0"/>
    <w:semiHidden/>
    <w:qFormat/>
    <w:rPr>
      <w:rFonts w:ascii="Times New Roman" w:hAnsi="Times New Roman" w:eastAsia="宋体" w:cs="Times New Roman"/>
      <w:sz w:val="18"/>
      <w:szCs w:val="18"/>
    </w:rPr>
  </w:style>
  <w:style w:type="paragraph" w:styleId="985" w:customStyle="1">
    <w:name w:val="页脚1"/>
    <w:basedOn w:val="743"/>
    <w:link w:val="986"/>
    <w:uiPriority w:val="0"/>
    <w:qFormat/>
    <w:pPr>
      <w:jc w:val="left"/>
      <w:tabs>
        <w:tab w:val="center" w:pos="4153" w:leader="none"/>
        <w:tab w:val="right" w:pos="8306" w:leader="none"/>
      </w:tabs>
    </w:pPr>
    <w:rPr>
      <w:sz w:val="18"/>
      <w:szCs w:val="18"/>
      <w:lang w:val="en-US" w:eastAsia="en-US"/>
    </w:rPr>
  </w:style>
  <w:style w:type="character" w:styleId="986" w:customStyle="1">
    <w:name w:val="页脚 Char"/>
    <w:link w:val="985"/>
    <w:uiPriority w:val="0"/>
    <w:qFormat/>
    <w:rPr>
      <w:rFonts w:ascii="Times New Roman" w:hAnsi="Times New Roman" w:eastAsia="宋体" w:cs="Times New Roman"/>
      <w:sz w:val="18"/>
      <w:szCs w:val="18"/>
    </w:rPr>
  </w:style>
  <w:style w:type="paragraph" w:styleId="987" w:customStyle="1">
    <w:name w:val="页眉1"/>
    <w:basedOn w:val="743"/>
    <w:link w:val="98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88" w:customStyle="1">
    <w:name w:val="页眉 Char"/>
    <w:link w:val="987"/>
    <w:uiPriority w:val="99"/>
    <w:qFormat/>
    <w:rPr>
      <w:rFonts w:ascii="Times New Roman" w:hAnsi="Times New Roman" w:eastAsia="宋体" w:cs="Times New Roman"/>
      <w:sz w:val="18"/>
      <w:szCs w:val="18"/>
    </w:rPr>
  </w:style>
  <w:style w:type="paragraph" w:styleId="989" w:customStyle="1">
    <w:name w:val="目录 11"/>
    <w:basedOn w:val="743"/>
    <w:next w:val="743"/>
    <w:uiPriority w:val="0"/>
    <w:semiHidden/>
    <w:qFormat/>
    <w:pPr>
      <w:jc w:val="left"/>
      <w:spacing w:before="120" w:after="120" w:line="400" w:lineRule="exact"/>
      <w:tabs>
        <w:tab w:val="right" w:pos="8720" w:leader="dot"/>
      </w:tabs>
    </w:pPr>
    <w:rPr>
      <w:rFonts w:ascii="宋体" w:hAnsi="宋体"/>
      <w:caps/>
      <w:sz w:val="24"/>
      <w:szCs w:val="24"/>
    </w:rPr>
  </w:style>
  <w:style w:type="paragraph" w:styleId="990" w:customStyle="1">
    <w:name w:val="目录 41"/>
    <w:basedOn w:val="743"/>
    <w:next w:val="743"/>
    <w:uiPriority w:val="0"/>
    <w:semiHidden/>
    <w:qFormat/>
    <w:pPr>
      <w:ind w:left="630"/>
      <w:jc w:val="left"/>
    </w:pPr>
  </w:style>
  <w:style w:type="paragraph" w:styleId="991" w:customStyle="1">
    <w:name w:val="列表1"/>
    <w:basedOn w:val="743"/>
    <w:uiPriority w:val="0"/>
    <w:qFormat/>
    <w:pPr>
      <w:ind w:left="200" w:hanging="200"/>
    </w:pPr>
  </w:style>
  <w:style w:type="paragraph" w:styleId="992" w:customStyle="1">
    <w:name w:val="目录 61"/>
    <w:basedOn w:val="743"/>
    <w:next w:val="743"/>
    <w:uiPriority w:val="0"/>
    <w:semiHidden/>
    <w:qFormat/>
    <w:pPr>
      <w:ind w:left="1050"/>
      <w:jc w:val="left"/>
    </w:pPr>
  </w:style>
  <w:style w:type="paragraph" w:styleId="993" w:customStyle="1">
    <w:name w:val="正文文本缩进 31"/>
    <w:basedOn w:val="743"/>
    <w:link w:val="994"/>
    <w:uiPriority w:val="0"/>
    <w:qFormat/>
    <w:pPr>
      <w:ind w:left="645" w:firstLine="645"/>
    </w:pPr>
    <w:rPr>
      <w:rFonts w:ascii="Arial" w:hAnsi="Arial" w:eastAsia="仿宋_GB2312"/>
      <w:color w:val="ffff00"/>
      <w:sz w:val="32"/>
      <w:szCs w:val="32"/>
      <w:lang w:val="en-US" w:eastAsia="en-US"/>
    </w:rPr>
  </w:style>
  <w:style w:type="character" w:styleId="994" w:customStyle="1">
    <w:name w:val="正文文本缩进 3 Char"/>
    <w:link w:val="993"/>
    <w:uiPriority w:val="0"/>
    <w:qFormat/>
    <w:rPr>
      <w:rFonts w:ascii="Arial" w:hAnsi="Arial" w:eastAsia="仿宋_GB2312" w:cs="Arial"/>
      <w:color w:val="ffff00"/>
      <w:sz w:val="32"/>
      <w:szCs w:val="32"/>
    </w:rPr>
  </w:style>
  <w:style w:type="paragraph" w:styleId="995" w:customStyle="1">
    <w:name w:val="图表目录1"/>
    <w:basedOn w:val="743"/>
    <w:next w:val="743"/>
    <w:uiPriority w:val="0"/>
    <w:semiHidden/>
    <w:qFormat/>
    <w:pPr>
      <w:ind w:left="840" w:hanging="420"/>
    </w:pPr>
  </w:style>
  <w:style w:type="paragraph" w:styleId="996" w:customStyle="1">
    <w:name w:val="目录 21"/>
    <w:basedOn w:val="743"/>
    <w:next w:val="743"/>
    <w:uiPriority w:val="0"/>
    <w:semiHidden/>
    <w:qFormat/>
    <w:pPr>
      <w:ind w:left="210"/>
      <w:jc w:val="left"/>
    </w:pPr>
    <w:rPr>
      <w:smallCaps/>
      <w:szCs w:val="24"/>
    </w:rPr>
  </w:style>
  <w:style w:type="paragraph" w:styleId="997" w:customStyle="1">
    <w:name w:val="目录 91"/>
    <w:basedOn w:val="743"/>
    <w:next w:val="743"/>
    <w:uiPriority w:val="0"/>
    <w:semiHidden/>
    <w:qFormat/>
    <w:pPr>
      <w:ind w:left="1680"/>
      <w:jc w:val="left"/>
    </w:pPr>
  </w:style>
  <w:style w:type="paragraph" w:styleId="998" w:customStyle="1">
    <w:name w:val="正文文本 21"/>
    <w:basedOn w:val="743"/>
    <w:link w:val="999"/>
    <w:uiPriority w:val="0"/>
    <w:qFormat/>
    <w:pPr>
      <w:jc w:val="center"/>
      <w:widowControl/>
    </w:pPr>
    <w:rPr>
      <w:rFonts w:ascii="楷体_GB2312" w:eastAsia="楷体_GB2312"/>
      <w:sz w:val="28"/>
      <w:szCs w:val="28"/>
      <w:lang w:val="en-US" w:eastAsia="en-US"/>
    </w:rPr>
  </w:style>
  <w:style w:type="character" w:styleId="999" w:customStyle="1">
    <w:name w:val="正文文本 2 Char"/>
    <w:link w:val="998"/>
    <w:uiPriority w:val="0"/>
    <w:qFormat/>
    <w:rPr>
      <w:rFonts w:ascii="楷体_GB2312" w:hAnsi="Times New Roman" w:eastAsia="楷体_GB2312" w:cs="Times New Roman"/>
      <w:sz w:val="28"/>
      <w:szCs w:val="28"/>
    </w:rPr>
  </w:style>
  <w:style w:type="paragraph" w:styleId="1000" w:customStyle="1">
    <w:name w:val="普通(网站)1"/>
    <w:basedOn w:val="743"/>
    <w:uiPriority w:val="99"/>
    <w:qFormat/>
    <w:pPr>
      <w:jc w:val="left"/>
      <w:spacing w:before="100" w:beforeAutospacing="1" w:after="100" w:afterAutospacing="1"/>
      <w:widowControl/>
    </w:pPr>
    <w:rPr>
      <w:rFonts w:ascii="宋体" w:hAnsi="宋体" w:cs="宋体"/>
      <w:sz w:val="24"/>
      <w:szCs w:val="24"/>
    </w:rPr>
  </w:style>
  <w:style w:type="paragraph" w:styleId="1001" w:customStyle="1">
    <w:name w:val="索引 11"/>
    <w:basedOn w:val="743"/>
    <w:next w:val="743"/>
    <w:uiPriority w:val="0"/>
    <w:semiHidden/>
    <w:qFormat/>
    <w:pPr>
      <w:spacing w:line="240" w:lineRule="atLeast"/>
    </w:pPr>
    <w:rPr>
      <w:b/>
      <w:bCs/>
    </w:rPr>
  </w:style>
  <w:style w:type="paragraph" w:styleId="1002" w:customStyle="1">
    <w:name w:val="批注主题1"/>
    <w:basedOn w:val="965"/>
    <w:next w:val="965"/>
    <w:link w:val="1003"/>
    <w:uiPriority w:val="0"/>
    <w:semiHidden/>
    <w:qFormat/>
    <w:rPr>
      <w:b/>
      <w:bCs/>
    </w:rPr>
  </w:style>
  <w:style w:type="character" w:styleId="1003" w:customStyle="1">
    <w:name w:val="批注主题 Char"/>
    <w:link w:val="1002"/>
    <w:uiPriority w:val="0"/>
    <w:semiHidden/>
    <w:qFormat/>
    <w:rPr>
      <w:rFonts w:ascii="Times New Roman" w:hAnsi="Times New Roman" w:eastAsia="宋体" w:cs="Times New Roman"/>
      <w:b/>
      <w:bCs/>
      <w:szCs w:val="21"/>
    </w:rPr>
  </w:style>
  <w:style w:type="paragraph" w:styleId="1004" w:customStyle="1">
    <w:name w:val="正文首行缩进1"/>
    <w:basedOn w:val="743"/>
    <w:link w:val="1005"/>
    <w:uiPriority w:val="0"/>
    <w:qFormat/>
    <w:pPr>
      <w:ind w:firstLine="200"/>
      <w:spacing w:line="360" w:lineRule="auto"/>
    </w:pPr>
    <w:rPr>
      <w:rFonts w:ascii="仿宋_GB2312" w:eastAsia="仿宋_GB2312"/>
      <w:sz w:val="30"/>
      <w:szCs w:val="30"/>
      <w:lang w:val="en-US" w:eastAsia="en-US"/>
    </w:rPr>
  </w:style>
  <w:style w:type="character" w:styleId="1005" w:customStyle="1">
    <w:name w:val="正文首行缩进 Char"/>
    <w:link w:val="1004"/>
    <w:uiPriority w:val="0"/>
    <w:qFormat/>
    <w:rPr>
      <w:rFonts w:ascii="仿宋_GB2312" w:hAnsi="Times New Roman" w:eastAsia="仿宋_GB2312" w:cs="Times New Roman"/>
      <w:sz w:val="30"/>
      <w:szCs w:val="30"/>
    </w:rPr>
  </w:style>
  <w:style w:type="paragraph" w:styleId="1006" w:customStyle="1">
    <w:name w:val="正文首行缩进 21"/>
    <w:basedOn w:val="788"/>
    <w:link w:val="1007"/>
    <w:uiPriority w:val="0"/>
    <w:qFormat/>
    <w:pPr>
      <w:ind w:firstLine="420"/>
      <w:spacing w:line="360" w:lineRule="auto"/>
    </w:pPr>
    <w:rPr>
      <w:rFonts w:ascii="宋体" w:hAnsi="宋体" w:eastAsia="宋体"/>
      <w:szCs w:val="20"/>
    </w:rPr>
  </w:style>
  <w:style w:type="character" w:styleId="1007" w:customStyle="1">
    <w:name w:val="正文首行缩进 2 Char"/>
    <w:link w:val="1006"/>
    <w:uiPriority w:val="0"/>
    <w:qFormat/>
    <w:rPr>
      <w:rFonts w:ascii="宋体" w:hAnsi="宋体" w:eastAsia="宋体" w:cs="Times New Roman"/>
      <w:sz w:val="32"/>
      <w:szCs w:val="20"/>
    </w:rPr>
  </w:style>
  <w:style w:type="table" w:styleId="1008" w:customStyle="1">
    <w:name w:val="网格型1"/>
    <w:basedOn w:val="950"/>
    <w:uiPriority w:val="0"/>
    <w:qFormat/>
    <w:pPr>
      <w:jc w:val="both"/>
      <w:widowControl w:val="off"/>
    </w:pPr>
    <w:rPr>
      <w:rFonts w:ascii="Times New Roman" w:hAnsi="Times New Roman" w:eastAsia="宋体" w:cs="Times New Roman"/>
      <w:sz w:val="20"/>
      <w:szCs w:val="20"/>
    </w:rPr>
    <w:tblPr/>
  </w:style>
  <w:style w:type="character" w:styleId="1009" w:customStyle="1">
    <w:name w:val="要点1"/>
    <w:link w:val="743"/>
    <w:uiPriority w:val="0"/>
    <w:qFormat/>
    <w:rPr>
      <w:b/>
      <w:bCs/>
    </w:rPr>
  </w:style>
  <w:style w:type="character" w:styleId="1010" w:customStyle="1">
    <w:name w:val="页码1"/>
    <w:link w:val="743"/>
    <w:uiPriority w:val="0"/>
    <w:qFormat/>
  </w:style>
  <w:style w:type="character" w:styleId="1011" w:customStyle="1">
    <w:name w:val="已访问的超链接1"/>
    <w:link w:val="743"/>
    <w:uiPriority w:val="0"/>
    <w:qFormat/>
    <w:rPr>
      <w:color w:val="800080"/>
      <w:u w:val="single"/>
    </w:rPr>
  </w:style>
  <w:style w:type="character" w:styleId="1012" w:customStyle="1">
    <w:name w:val="HTML 打字机1"/>
    <w:link w:val="743"/>
    <w:uiPriority w:val="99"/>
    <w:qFormat/>
    <w:rPr>
      <w:rFonts w:ascii="宋体" w:hAnsi="宋体" w:eastAsia="宋体" w:cs="宋体"/>
      <w:sz w:val="24"/>
      <w:szCs w:val="24"/>
    </w:rPr>
  </w:style>
  <w:style w:type="character" w:styleId="1013" w:customStyle="1">
    <w:name w:val="超链接1"/>
    <w:link w:val="743"/>
    <w:uiPriority w:val="0"/>
    <w:qFormat/>
    <w:rPr>
      <w:color w:val="0000ff"/>
      <w:u w:val="single"/>
    </w:rPr>
  </w:style>
  <w:style w:type="character" w:styleId="1014" w:customStyle="1">
    <w:name w:val="批注引用1"/>
    <w:link w:val="743"/>
    <w:uiPriority w:val="0"/>
    <w:semiHidden/>
    <w:qFormat/>
    <w:rPr>
      <w:sz w:val="21"/>
      <w:szCs w:val="21"/>
    </w:rPr>
  </w:style>
  <w:style w:type="character" w:styleId="1015" w:customStyle="1">
    <w:name w:val="font5 Char"/>
    <w:link w:val="743"/>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lang w:val="en-US" w:eastAsia="zh-CN" w:bidi="ar-SA"/>
    </w:rPr>
  </w:style>
  <w:style w:type="paragraph" w:styleId="1017" w:customStyle="1">
    <w:name w:val="二级目录"/>
    <w:next w:val="743"/>
    <w:link w:val="101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18" w:customStyle="1">
    <w:name w:val="列出段落 Char"/>
    <w:link w:val="790"/>
    <w:uiPriority w:val="0"/>
    <w:qFormat/>
    <w:rPr>
      <w:rFonts w:ascii="Calibri" w:hAnsi="Calibri"/>
      <w:sz w:val="24"/>
      <w:szCs w:val="24"/>
      <w:lang w:eastAsia="en-US" w:bidi="en-US"/>
    </w:rPr>
  </w:style>
  <w:style w:type="paragraph" w:styleId="1019" w:customStyle="1">
    <w:name w:val="Body Text(ch)"/>
    <w:basedOn w:val="743"/>
    <w:next w:val="969"/>
    <w:uiPriority w:val="0"/>
    <w:qFormat/>
    <w:pPr>
      <w:spacing w:after="120"/>
    </w:pPr>
    <w:rPr>
      <w:rFonts w:ascii="宋体" w:hAnsi="Arial"/>
      <w:bCs/>
      <w:iCs/>
      <w:szCs w:val="24"/>
    </w:rPr>
  </w:style>
  <w:style w:type="paragraph" w:styleId="1020" w:customStyle="1">
    <w:name w:val="xl27"/>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customStyle="1">
    <w:name w:val="Char"/>
    <w:basedOn w:val="743"/>
    <w:uiPriority w:val="0"/>
    <w:qFormat/>
    <w:pPr>
      <w:ind w:firstLine="200"/>
      <w:tabs>
        <w:tab w:val="left" w:pos="360" w:leader="none"/>
      </w:tabs>
    </w:pPr>
    <w:rPr>
      <w:sz w:val="28"/>
      <w:szCs w:val="30"/>
    </w:rPr>
  </w:style>
  <w:style w:type="paragraph" w:styleId="1023" w:customStyle="1">
    <w:name w:val=" Char"/>
    <w:basedOn w:val="963"/>
    <w:uiPriority w:val="0"/>
    <w:qFormat/>
    <w:rPr>
      <w:rFonts w:ascii="Tahoma" w:hAnsi="Tahoma"/>
      <w:sz w:val="24"/>
      <w:szCs w:val="24"/>
    </w:rPr>
  </w:style>
  <w:style w:type="paragraph" w:styleId="1024" w:customStyle="1">
    <w:name w:val="普通正文"/>
    <w:basedOn w:val="743"/>
    <w:uiPriority w:val="0"/>
    <w:qFormat/>
    <w:pPr>
      <w:ind w:firstLine="480"/>
      <w:jc w:val="left"/>
      <w:spacing w:before="120" w:after="120" w:line="360" w:lineRule="auto"/>
    </w:pPr>
    <w:rPr>
      <w:rFonts w:ascii="Arial" w:hAnsi="Arial"/>
      <w:sz w:val="24"/>
      <w:szCs w:val="24"/>
    </w:rPr>
  </w:style>
  <w:style w:type="paragraph" w:styleId="1025" w:customStyle="1">
    <w:name w:val="table_lines"/>
    <w:basedOn w:val="743"/>
    <w:uiPriority w:val="0"/>
    <w:qFormat/>
    <w:pPr>
      <w:jc w:val="left"/>
      <w:widowControl/>
    </w:pPr>
    <w:rPr>
      <w:sz w:val="20"/>
      <w:szCs w:val="20"/>
      <w:lang w:val="de-DE" w:eastAsia="de-DE"/>
    </w:rPr>
  </w:style>
  <w:style w:type="paragraph" w:styleId="102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7" w:customStyle="1">
    <w:name w:val="font7"/>
    <w:basedOn w:val="743"/>
    <w:uiPriority w:val="0"/>
    <w:qFormat/>
    <w:pPr>
      <w:jc w:val="left"/>
      <w:spacing w:before="100" w:beforeAutospacing="1" w:after="100" w:afterAutospacing="1"/>
      <w:widowControl/>
    </w:pPr>
    <w:rPr>
      <w:rFonts w:hint="eastAsia" w:ascii="宋体" w:hAnsi="宋体"/>
      <w:sz w:val="18"/>
      <w:szCs w:val="18"/>
    </w:rPr>
  </w:style>
  <w:style w:type="paragraph" w:styleId="1028" w:customStyle="1">
    <w:name w:val=" Char Char Char Char"/>
    <w:basedOn w:val="963"/>
    <w:uiPriority w:val="0"/>
    <w:qFormat/>
    <w:pPr>
      <w:spacing w:line="360" w:lineRule="auto"/>
    </w:pPr>
    <w:rPr>
      <w:rFonts w:ascii="Tahoma" w:hAnsi="Tahoma"/>
      <w:sz w:val="24"/>
      <w:szCs w:val="24"/>
    </w:rPr>
  </w:style>
  <w:style w:type="paragraph" w:styleId="1029" w:customStyle="1">
    <w:name w:val="列出段落"/>
    <w:basedOn w:val="743"/>
    <w:uiPriority w:val="99"/>
    <w:qFormat/>
    <w:pPr>
      <w:contextualSpacing/>
      <w:ind w:left="720"/>
      <w:jc w:val="left"/>
      <w:widowControl/>
    </w:pPr>
    <w:rPr>
      <w:rFonts w:ascii="Calibri" w:hAnsi="Calibri"/>
      <w:sz w:val="24"/>
      <w:szCs w:val="24"/>
      <w:lang w:eastAsia="en-US" w:bidi="en-US"/>
    </w:rPr>
  </w:style>
  <w:style w:type="paragraph" w:styleId="1030" w:customStyle="1">
    <w:name w:val="4"/>
    <w:basedOn w:val="743"/>
    <w:next w:val="993"/>
    <w:uiPriority w:val="0"/>
    <w:qFormat/>
    <w:pPr>
      <w:ind w:firstLine="420"/>
      <w:spacing w:line="360" w:lineRule="auto"/>
    </w:pPr>
    <w:rPr>
      <w:color w:val="ff0000"/>
      <w:sz w:val="24"/>
      <w:szCs w:val="24"/>
    </w:rPr>
  </w:style>
  <w:style w:type="paragraph" w:styleId="1031" w:customStyle="1">
    <w:name w:val="普通 (Web)"/>
    <w:basedOn w:val="743"/>
    <w:uiPriority w:val="0"/>
    <w:qFormat/>
    <w:pPr>
      <w:jc w:val="left"/>
      <w:spacing w:before="100" w:beforeAutospacing="1" w:after="100" w:afterAutospacing="1"/>
      <w:widowControl/>
    </w:pPr>
    <w:rPr>
      <w:rFonts w:ascii="宋体" w:hAnsi="宋体"/>
      <w:sz w:val="24"/>
      <w:szCs w:val="24"/>
    </w:rPr>
  </w:style>
  <w:style w:type="paragraph" w:styleId="1032" w:customStyle="1">
    <w:name w:val=" Char Char Char Char Char Char Char Char Char Char"/>
    <w:basedOn w:val="743"/>
    <w:uiPriority w:val="0"/>
    <w:qFormat/>
    <w:pPr>
      <w:spacing w:line="360" w:lineRule="auto"/>
    </w:pPr>
    <w:rPr>
      <w:sz w:val="24"/>
      <w:szCs w:val="20"/>
    </w:rPr>
  </w:style>
  <w:style w:type="paragraph" w:styleId="1033" w:customStyle="1">
    <w:name w:val="样式1"/>
    <w:basedOn w:val="743"/>
    <w:uiPriority w:val="0"/>
    <w:qFormat/>
    <w:pPr>
      <w:numPr>
        <w:ilvl w:val="0"/>
        <w:numId w:val="3"/>
      </w:numPr>
    </w:pPr>
    <w:rPr>
      <w:rFonts w:ascii="宋体" w:hAnsi="宋体"/>
    </w:rPr>
  </w:style>
  <w:style w:type="paragraph" w:styleId="1034" w:customStyle="1">
    <w:name w:val="font6"/>
    <w:basedOn w:val="743"/>
    <w:uiPriority w:val="0"/>
    <w:qFormat/>
    <w:pPr>
      <w:jc w:val="left"/>
      <w:spacing w:before="100" w:beforeAutospacing="1" w:after="100" w:afterAutospacing="1"/>
      <w:widowControl/>
    </w:pPr>
    <w:rPr>
      <w:rFonts w:hint="eastAsia" w:ascii="宋体" w:hAnsi="宋体"/>
      <w:sz w:val="28"/>
      <w:szCs w:val="28"/>
      <w:u w:val="single"/>
    </w:rPr>
  </w:style>
  <w:style w:type="paragraph" w:styleId="1035" w:customStyle="1">
    <w:name w:val="xl25"/>
    <w:basedOn w:val="7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customStyle="1">
    <w:name w:val="图标"/>
    <w:basedOn w:val="743"/>
    <w:next w:val="74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7" w:customStyle="1">
    <w:name w:val="标题3"/>
    <w:basedOn w:val="743"/>
    <w:next w:val="743"/>
    <w:uiPriority w:val="0"/>
    <w:qFormat/>
    <w:pPr>
      <w:ind w:firstLine="624"/>
      <w:spacing w:line="590" w:lineRule="atLeast"/>
    </w:pPr>
    <w:rPr>
      <w:rFonts w:ascii="方正黑体_GBK" w:eastAsia="方正黑体_GBK"/>
      <w:sz w:val="32"/>
      <w:szCs w:val="32"/>
    </w:rPr>
  </w:style>
  <w:style w:type="paragraph" w:styleId="1038" w:customStyle="1">
    <w:name w:val="xl24"/>
    <w:basedOn w:val="7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xl29"/>
    <w:basedOn w:val="74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0" w:customStyle="1">
    <w:name w:val="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041" w:customStyle="1">
    <w:name w:val="xl2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customStyle="1">
    <w:name w:val=" Char Char Char Char Char Char Char Char"/>
    <w:basedOn w:val="743"/>
    <w:uiPriority w:val="0"/>
    <w:qFormat/>
    <w:pPr>
      <w:jc w:val="left"/>
      <w:spacing w:after="160" w:line="240" w:lineRule="exact"/>
      <w:widowControl/>
    </w:pPr>
    <w:rPr>
      <w:rFonts w:ascii="Verdana" w:hAnsi="Verdana"/>
      <w:sz w:val="20"/>
      <w:szCs w:val="20"/>
      <w:lang w:eastAsia="en-US"/>
    </w:rPr>
  </w:style>
  <w:style w:type="paragraph" w:styleId="1043" w:customStyle="1">
    <w:name w:val="xl30"/>
    <w:basedOn w:val="743"/>
    <w:uiPriority w:val="0"/>
    <w:qFormat/>
    <w:pPr>
      <w:jc w:val="center"/>
      <w:spacing w:before="100" w:beforeAutospacing="1" w:after="100" w:afterAutospacing="1"/>
      <w:widowControl/>
    </w:pPr>
    <w:rPr>
      <w:rFonts w:ascii="宋体" w:hAnsi="宋体"/>
      <w:b/>
      <w:bCs/>
      <w:sz w:val="36"/>
      <w:szCs w:val="36"/>
    </w:rPr>
  </w:style>
  <w:style w:type="paragraph" w:styleId="1044" w:customStyle="1">
    <w:name w:val="Char Char Char Char"/>
    <w:basedOn w:val="963"/>
    <w:uiPriority w:val="0"/>
    <w:qFormat/>
    <w:pPr>
      <w:spacing w:line="360" w:lineRule="auto"/>
    </w:pPr>
    <w:rPr>
      <w:rFonts w:ascii="Tahoma" w:hAnsi="Tahoma"/>
      <w:sz w:val="24"/>
      <w:szCs w:val="24"/>
    </w:rPr>
  </w:style>
  <w:style w:type="paragraph" w:styleId="1045" w:customStyle="1">
    <w:name w:val="table_1stline"/>
    <w:basedOn w:val="743"/>
    <w:uiPriority w:val="0"/>
    <w:qFormat/>
    <w:pPr>
      <w:jc w:val="left"/>
      <w:spacing w:before="120"/>
      <w:widowControl/>
    </w:pPr>
    <w:rPr>
      <w:bCs/>
      <w:sz w:val="20"/>
      <w:szCs w:val="20"/>
      <w:lang w:val="de-DE" w:eastAsia="de-DE"/>
    </w:rPr>
  </w:style>
  <w:style w:type="paragraph" w:styleId="1046" w:customStyle="1">
    <w:name w:val="font5"/>
    <w:basedOn w:val="743"/>
    <w:uiPriority w:val="0"/>
    <w:qFormat/>
    <w:pPr>
      <w:jc w:val="left"/>
      <w:spacing w:before="100" w:beforeAutospacing="1" w:after="100" w:afterAutospacing="1"/>
      <w:widowControl/>
    </w:pPr>
    <w:rPr>
      <w:rFonts w:hint="eastAsia" w:ascii="宋体" w:hAnsi="宋体"/>
      <w:sz w:val="28"/>
      <w:szCs w:val="28"/>
    </w:rPr>
  </w:style>
  <w:style w:type="paragraph" w:styleId="1047" w:customStyle="1">
    <w:name w:val="标题1"/>
    <w:basedOn w:val="743"/>
    <w:next w:val="74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0" w:customStyle="1">
    <w:name w:val="普通文字"/>
    <w:basedOn w:val="743"/>
    <w:next w:val="743"/>
    <w:uiPriority w:val="99"/>
    <w:qFormat/>
    <w:rPr>
      <w:rFonts w:ascii="宋体" w:hAnsi="Times New Roman" w:eastAsia="宋体" w:cs="Times New Roman"/>
      <w:sz w:val="24"/>
      <w:szCs w:val="20"/>
      <w:u w:val="none"/>
    </w:rPr>
  </w:style>
  <w:style w:type="paragraph" w:styleId="1051" w:customStyle="1">
    <w:name w:val="目录 111"/>
    <w:basedOn w:val="743"/>
    <w:next w:val="743"/>
    <w:uiPriority w:val="39"/>
    <w:unhideWhenUsed/>
    <w:qFormat/>
    <w:pPr>
      <w:jc w:val="left"/>
      <w:spacing w:after="100" w:line="259" w:lineRule="auto"/>
      <w:widowControl/>
    </w:pPr>
    <w:rPr>
      <w:rFonts w:ascii="Calibri" w:hAnsi="Calibri" w:eastAsia="宋体"/>
      <w:sz w:val="22"/>
      <w:szCs w:val="22"/>
    </w:rPr>
  </w:style>
  <w:style w:type="paragraph" w:styleId="1052"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053" w:customStyle="1">
    <w:name w:val="引文目录1"/>
    <w:basedOn w:val="743"/>
    <w:next w:val="743"/>
    <w:uiPriority w:val="0"/>
    <w:qFormat/>
    <w:pPr>
      <w:ind w:left="420"/>
    </w:pPr>
  </w:style>
  <w:style w:type="paragraph" w:styleId="1054"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055" w:customStyle="1">
    <w:name w:val="NormalCharacter1"/>
    <w:link w:val="1056"/>
    <w:uiPriority w:val="99"/>
    <w:qFormat/>
  </w:style>
  <w:style w:type="paragraph" w:styleId="1056" w:customStyle="1">
    <w:name w:val="UserStyle_4"/>
    <w:basedOn w:val="743"/>
    <w:link w:val="1055"/>
    <w:uiPriority w:val="99"/>
    <w:qFormat/>
  </w:style>
  <w:style w:type="character" w:styleId="1057" w:customStyle="1">
    <w:name w:val="font41"/>
    <w:basedOn w:val="753"/>
    <w:uiPriority w:val="0"/>
    <w:qFormat/>
    <w:rPr>
      <w:rFonts w:hint="default" w:ascii="仿宋_GB2312" w:eastAsia="仿宋_GB2312" w:cs="仿宋_GB2312"/>
      <w:color w:val="000000"/>
      <w:sz w:val="21"/>
      <w:szCs w:val="21"/>
      <w:u w:val="single"/>
    </w:rPr>
  </w:style>
  <w:style w:type="character" w:styleId="1058" w:customStyle="1">
    <w:name w:val="font21"/>
    <w:basedOn w:val="753"/>
    <w:uiPriority w:val="0"/>
    <w:qFormat/>
    <w:rPr>
      <w:rFonts w:hint="default" w:ascii="仿宋_GB2312" w:eastAsia="仿宋_GB2312" w:cs="仿宋_GB2312"/>
      <w:color w:val="000000"/>
      <w:sz w:val="21"/>
      <w:szCs w:val="21"/>
      <w:u w:val="none"/>
    </w:rPr>
  </w:style>
  <w:style w:type="character" w:styleId="1059" w:customStyle="1">
    <w:name w:val="font11"/>
    <w:basedOn w:val="753"/>
    <w:uiPriority w:val="0"/>
    <w:qFormat/>
    <w:rPr>
      <w:rFonts w:hint="eastAsia" w:ascii="宋体" w:hAnsi="宋体" w:eastAsia="宋体" w:cs="宋体"/>
      <w:color w:val="000000"/>
      <w:sz w:val="28"/>
      <w:szCs w:val="28"/>
      <w:u w:val="none"/>
    </w:rPr>
  </w:style>
  <w:style w:type="character" w:styleId="1060" w:customStyle="1">
    <w:name w:val="font71"/>
    <w:basedOn w:val="753"/>
    <w:uiPriority w:val="0"/>
    <w:qFormat/>
    <w:rPr>
      <w:rFonts w:hint="eastAsia" w:ascii="宋体" w:hAnsi="宋体" w:eastAsia="宋体" w:cs="宋体"/>
      <w:b/>
      <w:bCs/>
      <w:color w:val="000000"/>
      <w:sz w:val="24"/>
      <w:szCs w:val="24"/>
      <w:u w:val="single"/>
    </w:rPr>
  </w:style>
  <w:style w:type="character" w:styleId="1061" w:customStyle="1">
    <w:name w:val="font81"/>
    <w:basedOn w:val="753"/>
    <w:uiPriority w:val="0"/>
    <w:qFormat/>
    <w:rPr>
      <w:rFonts w:hint="eastAsia" w:ascii="宋体" w:hAnsi="宋体" w:eastAsia="宋体" w:cs="宋体"/>
      <w:color w:val="000000"/>
      <w:sz w:val="24"/>
      <w:szCs w:val="24"/>
      <w:u w:val="single"/>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陆洋</cp:lastModifiedBy>
  <cp:revision>472</cp:revision>
  <dcterms:created xsi:type="dcterms:W3CDTF">2023-03-16T02:16:00Z</dcterms:created>
  <dcterms:modified xsi:type="dcterms:W3CDTF">2026-06-24T02:40:55Z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53AF8FF087EA44F79312AF4F86591783_13</vt:lpwstr>
  </property>
  <property fmtid="{D5CDD505-2E9C-101B-9397-08002B2CF9AE}" pid="4" name="KSOTemplateDocerSaveRecord">
    <vt:lpwstr>eyJoZGlkIjoiZmY2YmM0Yzk2MWFhYTA0Y2RmYzg3YjJhYzJkYTc0NDIiLCJ1c2VySWQiOiI1ODQwMTgzODcifQ==</vt:lpwstr>
  </property>
</Properties>
</file>