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48"/>
          <w:szCs w:val="48"/>
        </w:rPr>
      </w:pPr>
      <w:r>
        <w:rPr>
          <w:rFonts w:ascii="Arial" w:hAnsi="Arial" w:eastAsia="黑体"/>
          <w:b/>
          <w:bCs/>
          <w:color w:val="000000"/>
          <w:sz w:val="48"/>
          <w:szCs w:val="48"/>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color w:val="auto"/>
          <w:sz w:val="32"/>
          <w:szCs w:val="24"/>
        </w:rPr>
      </w:pPr>
      <w:r>
        <w:rPr>
          <w:rFonts w:hint="eastAsia" w:ascii="Arial" w:hAnsi="Arial"/>
          <w:b/>
          <w:bCs/>
          <w:color w:val="auto"/>
          <w:sz w:val="32"/>
          <w:szCs w:val="24"/>
        </w:rPr>
        <w:t xml:space="preserve">项目名称：国家税务总局南通市海门区税务局采购机关及分局物业服务项目</w:t>
      </w:r>
      <w:r/>
    </w:p>
    <w:p>
      <w:pPr>
        <w:spacing w:before="120" w:after="120" w:line="360" w:lineRule="auto"/>
        <w:rPr>
          <w:rFonts w:ascii="Arial" w:hAnsi="Arial"/>
          <w:b/>
          <w:bCs/>
          <w:color w:val="auto"/>
          <w:sz w:val="32"/>
          <w:szCs w:val="24"/>
        </w:rPr>
      </w:pPr>
      <w:r>
        <w:rPr>
          <w:rFonts w:hint="eastAsia" w:ascii="Arial" w:hAnsi="Arial"/>
          <w:b/>
          <w:bCs/>
          <w:color w:val="auto"/>
          <w:sz w:val="32"/>
          <w:szCs w:val="24"/>
        </w:rPr>
        <w:t xml:space="preserve">项</w:t>
      </w:r>
      <w:r>
        <w:rPr>
          <w:rFonts w:hint="eastAsia" w:ascii="宋体" w:hAnsi="宋体" w:eastAsia="宋体" w:cs="宋体"/>
          <w:b/>
          <w:bCs/>
          <w:color w:val="auto"/>
          <w:sz w:val="32"/>
          <w:szCs w:val="24"/>
        </w:rPr>
        <w:t xml:space="preserve">目编号：JSZC-320614-JZCG-G2026-0035</w:t>
      </w:r>
      <w:r/>
    </w:p>
    <w:p>
      <w:pPr>
        <w:pStyle w:val="712"/>
      </w:pPr>
      <w:r/>
      <w:r/>
    </w:p>
    <w:p>
      <w:pPr>
        <w:rPr>
          <w:b/>
          <w:color w:val="ff0000"/>
          <w:sz w:val="24"/>
          <w:szCs w:val="24"/>
        </w:rPr>
      </w:pPr>
      <w:r>
        <w:rPr>
          <w:b/>
          <w:color w:val="ff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南通市海门区公共资源交易中心</w:t>
      </w:r>
      <w:r/>
    </w:p>
    <w:p>
      <w:pPr>
        <w:jc w:val="center"/>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t xml:space="preserve">2026年</w:t>
      </w:r>
      <w:r>
        <w:rPr>
          <w:rFonts w:hint="eastAsia" w:ascii="宋体" w:hAnsi="宋体" w:eastAsia="宋体" w:cs="宋体"/>
          <w:b/>
          <w:bCs/>
          <w:color w:val="000000"/>
          <w:sz w:val="32"/>
          <w:szCs w:val="24"/>
          <w:lang w:val="en-US" w:eastAsia="zh-CN"/>
        </w:rPr>
        <w:t xml:space="preserve">6</w:t>
      </w:r>
      <w:r>
        <w:rPr>
          <w:rFonts w:hint="eastAsia" w:ascii="宋体" w:hAnsi="宋体" w:eastAsia="宋体" w:cs="宋体"/>
          <w:b/>
          <w:bCs/>
          <w:color w:val="000000"/>
          <w:sz w:val="32"/>
          <w:szCs w:val="24"/>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bookmarkStart w:id="0" w:name="_Toc120614210"/>
      <w:r/>
      <w:bookmarkStart w:id="1" w:name="_Toc16938516"/>
      <w:r/>
      <w:bookmarkStart w:id="2" w:name="_Toc513029200"/>
      <w:r/>
      <w:bookmarkStart w:id="3" w:name="_Toc20823272"/>
      <w:r/>
      <w:bookmarkStart w:id="4" w:name="_Toc523127445"/>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ind w:left="1857" w:hanging="1019"/>
        <w:spacing w:line="480" w:lineRule="auto"/>
        <w:rPr>
          <w:rFonts w:ascii="黑体" w:hAnsi="Showcard Gothic" w:eastAsia="黑体"/>
          <w:color w:val="000000"/>
          <w:sz w:val="32"/>
          <w:szCs w:val="21"/>
        </w:rPr>
        <w:outlineLvl w:val="0"/>
      </w:pPr>
      <w:r>
        <w:rPr>
          <w:rFonts w:hint="eastAsia" w:ascii="黑体" w:hAnsi="Showcard Gothic" w:eastAsia="黑体"/>
          <w:color w:val="000000"/>
          <w:sz w:val="36"/>
          <w:szCs w:val="21"/>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ind w:left="1857" w:hanging="1019"/>
        <w:spacing w:line="480" w:lineRule="auto"/>
        <w:rPr>
          <w:rFonts w:ascii="黑体" w:hAnsi="宋体" w:eastAsia="黑体"/>
          <w:bCs/>
          <w:color w:val="000000"/>
          <w:sz w:val="36"/>
          <w:szCs w:val="36"/>
        </w:rPr>
        <w:outlineLvl w:val="0"/>
      </w:pPr>
      <w:r>
        <w:rPr>
          <w:rFonts w:hint="eastAsia" w:ascii="黑体" w:hAnsi="Showcard Gothic" w:eastAsia="黑体"/>
          <w:color w:val="000000"/>
          <w:sz w:val="36"/>
          <w:szCs w:val="21"/>
        </w:rPr>
        <w:t xml:space="preserve">第二章 </w:t>
      </w:r>
      <w:r>
        <w:rPr>
          <w:rFonts w:hint="eastAsia" w:ascii="黑体" w:hAnsi="宋体" w:eastAsia="黑体"/>
          <w:bCs/>
          <w:color w:val="000000"/>
          <w:sz w:val="36"/>
          <w:szCs w:val="36"/>
        </w:rPr>
        <w:t xml:space="preserve">投标人须知</w:t>
      </w:r>
      <w:r/>
    </w:p>
    <w:p>
      <w:pPr>
        <w:ind w:left="1857" w:hanging="1019"/>
        <w:spacing w:line="480" w:lineRule="auto"/>
        <w:rPr>
          <w:rFonts w:ascii="黑体" w:hAnsi="Showcard Gothic" w:eastAsia="黑体"/>
          <w:color w:val="000000"/>
          <w:sz w:val="36"/>
          <w:szCs w:val="21"/>
        </w:rPr>
        <w:outlineLvl w:val="0"/>
      </w:pPr>
      <w:r>
        <w:rPr>
          <w:rFonts w:hint="eastAsia" w:ascii="黑体" w:hAnsi="Showcard Gothic" w:eastAsia="黑体"/>
          <w:color w:val="000000"/>
          <w:sz w:val="36"/>
          <w:szCs w:val="21"/>
        </w:rPr>
        <w:t xml:space="preserve">第三章 合同文本</w:t>
      </w:r>
      <w:r/>
    </w:p>
    <w:p>
      <w:pPr>
        <w:ind w:left="1857" w:hanging="1019"/>
        <w:spacing w:line="480" w:lineRule="auto"/>
        <w:rPr>
          <w:rFonts w:ascii="黑体" w:hAnsi="宋体" w:eastAsia="黑体"/>
          <w:color w:val="000000"/>
          <w:sz w:val="36"/>
          <w:szCs w:val="21"/>
        </w:rPr>
        <w:outlineLvl w:val="0"/>
      </w:pPr>
      <w:r>
        <w:rPr>
          <w:rFonts w:hint="eastAsia" w:ascii="黑体" w:hAnsi="Showcard Gothic" w:eastAsia="黑体"/>
          <w:color w:val="000000"/>
          <w:sz w:val="36"/>
          <w:szCs w:val="21"/>
        </w:rPr>
        <w:t xml:space="preserve">第四章 </w:t>
      </w:r>
      <w:r>
        <w:rPr>
          <w:rFonts w:hint="eastAsia" w:ascii="黑体" w:hAnsi="宋体" w:eastAsia="黑体"/>
          <w:color w:val="000000"/>
          <w:sz w:val="36"/>
          <w:szCs w:val="21"/>
        </w:rPr>
        <w:t xml:space="preserve">采购需求</w:t>
      </w:r>
      <w:r/>
    </w:p>
    <w:p>
      <w:pPr>
        <w:ind w:left="1857" w:hanging="1019"/>
        <w:spacing w:line="480" w:lineRule="auto"/>
        <w:rPr>
          <w:rFonts w:ascii="黑体" w:hAnsi="宋体" w:eastAsia="黑体"/>
          <w:bCs/>
          <w:color w:val="000000"/>
          <w:sz w:val="36"/>
          <w:szCs w:val="36"/>
        </w:rPr>
        <w:outlineLvl w:val="0"/>
      </w:pPr>
      <w:r>
        <w:rPr>
          <w:rFonts w:hint="eastAsia" w:ascii="黑体" w:hAnsi="Showcard Gothic" w:eastAsia="黑体"/>
          <w:color w:val="000000"/>
          <w:sz w:val="36"/>
          <w:szCs w:val="21"/>
        </w:rPr>
        <w:t xml:space="preserve">第四章 </w:t>
      </w:r>
      <w:r>
        <w:rPr>
          <w:rFonts w:hint="eastAsia" w:ascii="黑体" w:hAnsi="宋体" w:eastAsia="黑体"/>
          <w:bCs/>
          <w:color w:val="000000"/>
          <w:sz w:val="36"/>
          <w:szCs w:val="36"/>
        </w:rPr>
        <w:t xml:space="preserve">评标方法与评标标准</w:t>
      </w:r>
      <w:r/>
    </w:p>
    <w:p>
      <w:pPr>
        <w:ind w:left="1857" w:hanging="1019"/>
        <w:spacing w:line="480" w:lineRule="auto"/>
        <w:rPr>
          <w:rFonts w:ascii="黑体" w:hAnsi="Showcard Gothic" w:eastAsia="黑体"/>
          <w:color w:val="000000"/>
          <w:sz w:val="36"/>
          <w:szCs w:val="21"/>
        </w:rPr>
        <w:outlineLvl w:val="0"/>
      </w:pPr>
      <w:r>
        <w:rPr>
          <w:rFonts w:hint="eastAsia" w:ascii="黑体" w:hAnsi="Showcard Gothic" w:eastAsia="黑体"/>
          <w:color w:val="000000"/>
          <w:sz w:val="36"/>
          <w:szCs w:val="21"/>
        </w:rPr>
        <w:t xml:space="preserve">第五章 </w:t>
      </w:r>
      <w:r>
        <w:rPr>
          <w:rFonts w:hint="eastAsia" w:ascii="黑体" w:hAnsi="宋体" w:eastAsia="黑体"/>
          <w:color w:val="000000"/>
          <w:sz w:val="36"/>
          <w:szCs w:val="21"/>
        </w:rPr>
        <w:t xml:space="preserve">投标文件格式</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tbl>
      <w:tblPr>
        <w:tblStyle w:val="711"/>
        <w:tblW w:w="500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28"/>
              <w:spacing w:before="0" w:beforeAutospacing="0" w:after="0" w:afterAutospacing="0" w:line="360" w:lineRule="auto"/>
              <w:rPr>
                <w:sz w:val="28"/>
                <w:szCs w:val="28"/>
              </w:rPr>
            </w:pPr>
            <w:r>
              <w:rPr>
                <w:rFonts w:hint="eastAsia"/>
                <w:sz w:val="28"/>
                <w:szCs w:val="28"/>
              </w:rPr>
              <w:t xml:space="preserve">项目概况</w:t>
            </w:r>
            <w:r/>
          </w:p>
          <w:p>
            <w:pPr>
              <w:pStyle w:val="928"/>
              <w:ind w:firstLine="560"/>
              <w:spacing w:before="0" w:beforeAutospacing="0" w:after="0" w:afterAutospacing="0" w:line="360" w:lineRule="auto"/>
              <w:rPr>
                <w:sz w:val="28"/>
                <w:szCs w:val="28"/>
              </w:rPr>
            </w:pPr>
            <w:r>
              <w:rPr>
                <w:rFonts w:hint="eastAsia"/>
                <w:sz w:val="28"/>
                <w:szCs w:val="28"/>
              </w:rPr>
              <w:t xml:space="preserve">国家税务总局南通市海门区税务局采购机关及分局物业服务项目</w:t>
            </w:r>
            <w:r>
              <w:rPr>
                <w:rFonts w:hint="eastAsia"/>
                <w:color w:val="0000ff"/>
                <w:sz w:val="28"/>
                <w:szCs w:val="28"/>
              </w:rPr>
              <w:t xml:space="preserve"> </w:t>
            </w:r>
            <w:r>
              <w:rPr>
                <w:rFonts w:hint="eastAsia"/>
                <w:sz w:val="28"/>
                <w:szCs w:val="28"/>
              </w:rPr>
              <w:t xml:space="preserve">JSZC-320614-JZCG-G2026-0035 招标项目的潜在投标人应在江苏政府采购网 获取招标文件，并于2026-</w:t>
            </w:r>
            <w:r>
              <w:rPr>
                <w:rFonts w:hint="eastAsia"/>
                <w:sz w:val="28"/>
                <w:szCs w:val="28"/>
                <w:lang w:val="en-US" w:eastAsia="zh-CN"/>
              </w:rPr>
              <w:t xml:space="preserve">06</w:t>
            </w:r>
            <w:r>
              <w:rPr>
                <w:rFonts w:hint="eastAsia"/>
                <w:sz w:val="28"/>
                <w:szCs w:val="28"/>
              </w:rPr>
              <w:t xml:space="preserve">-26 09:00 （北京时间）前递交投标文件。</w:t>
            </w:r>
            <w:r/>
          </w:p>
        </w:tc>
      </w:tr>
    </w:tbl>
    <w:p>
      <w:pPr>
        <w:pStyle w:val="928"/>
        <w:ind w:firstLine="562"/>
        <w:spacing w:before="0" w:beforeAutospacing="0" w:after="0" w:afterAutospacing="0" w:line="360" w:lineRule="auto"/>
        <w:rPr>
          <w:b/>
          <w:bCs/>
          <w:sz w:val="28"/>
          <w:szCs w:val="28"/>
        </w:rPr>
      </w:pPr>
      <w:r>
        <w:rPr>
          <w:rFonts w:hint="eastAsia"/>
          <w:b/>
          <w:bCs/>
          <w:sz w:val="28"/>
          <w:szCs w:val="28"/>
        </w:rPr>
        <w:t xml:space="preserve">一、项目基本情况</w:t>
      </w:r>
      <w:r/>
    </w:p>
    <w:p>
      <w:pPr>
        <w:pStyle w:val="928"/>
        <w:ind w:firstLine="560"/>
        <w:spacing w:before="0" w:beforeAutospacing="0" w:after="0" w:afterAutospacing="0" w:line="360" w:lineRule="auto"/>
        <w:rPr>
          <w:sz w:val="28"/>
          <w:szCs w:val="28"/>
        </w:rPr>
      </w:pPr>
      <w:r>
        <w:rPr>
          <w:rFonts w:hint="eastAsia"/>
          <w:sz w:val="28"/>
          <w:szCs w:val="28"/>
        </w:rPr>
        <w:t xml:space="preserve">项目编号：JSZC-320614-JZCG-G2026-0035</w:t>
      </w:r>
      <w:r/>
    </w:p>
    <w:p>
      <w:pPr>
        <w:pStyle w:val="928"/>
        <w:ind w:firstLine="560"/>
        <w:spacing w:before="0" w:beforeAutospacing="0" w:after="0" w:afterAutospacing="0" w:line="360" w:lineRule="auto"/>
        <w:rPr>
          <w:sz w:val="28"/>
          <w:szCs w:val="28"/>
        </w:rPr>
      </w:pPr>
      <w:r>
        <w:rPr>
          <w:rFonts w:hint="eastAsia"/>
          <w:sz w:val="28"/>
          <w:szCs w:val="28"/>
        </w:rPr>
        <w:t xml:space="preserve">项目名称：国家税务总局南通市海门区税务局采购机关及分局物业服务项目</w:t>
      </w:r>
      <w:r>
        <w:rPr>
          <w:rFonts w:hint="eastAsia"/>
          <w:color w:val="0000ff"/>
          <w:sz w:val="28"/>
          <w:szCs w:val="28"/>
        </w:rPr>
        <w:t xml:space="preserve"> </w:t>
      </w:r>
      <w:r/>
    </w:p>
    <w:p>
      <w:pPr>
        <w:pStyle w:val="928"/>
        <w:ind w:firstLine="560"/>
        <w:spacing w:before="0" w:beforeAutospacing="0" w:after="0" w:afterAutospacing="0" w:line="360" w:lineRule="auto"/>
        <w:rPr>
          <w:color w:val="auto"/>
          <w:sz w:val="28"/>
          <w:szCs w:val="28"/>
        </w:rPr>
      </w:pPr>
      <w:r>
        <w:rPr>
          <w:rFonts w:hint="eastAsia"/>
          <w:sz w:val="28"/>
          <w:szCs w:val="28"/>
        </w:rPr>
        <w:t xml:space="preserve">采购方式</w:t>
      </w:r>
      <w:r>
        <w:rPr>
          <w:rFonts w:hint="eastAsia"/>
          <w:color w:val="auto"/>
          <w:sz w:val="28"/>
          <w:szCs w:val="28"/>
        </w:rPr>
        <w:t xml:space="preserve">：公开招标</w:t>
      </w:r>
      <w:r/>
    </w:p>
    <w:p>
      <w:pPr>
        <w:pStyle w:val="928"/>
        <w:ind w:firstLine="560"/>
        <w:spacing w:before="0" w:beforeAutospacing="0" w:after="0" w:afterAutospacing="0" w:line="360" w:lineRule="auto"/>
        <w:rPr>
          <w:color w:val="auto"/>
          <w:sz w:val="28"/>
          <w:szCs w:val="28"/>
        </w:rPr>
      </w:pPr>
      <w:r>
        <w:rPr>
          <w:rFonts w:hint="eastAsia"/>
          <w:color w:val="auto"/>
          <w:sz w:val="28"/>
          <w:szCs w:val="28"/>
        </w:rPr>
        <w:t xml:space="preserve">预算金额：311.19万元 </w:t>
      </w:r>
      <w:r/>
    </w:p>
    <w:p>
      <w:pPr>
        <w:pStyle w:val="928"/>
        <w:ind w:firstLine="560"/>
        <w:spacing w:before="0" w:beforeAutospacing="0" w:after="0" w:afterAutospacing="0" w:line="360" w:lineRule="auto"/>
        <w:rPr>
          <w:color w:val="auto"/>
          <w:sz w:val="28"/>
          <w:szCs w:val="28"/>
        </w:rPr>
      </w:pPr>
      <w:r>
        <w:rPr>
          <w:rFonts w:hint="eastAsia"/>
          <w:color w:val="auto"/>
          <w:sz w:val="28"/>
          <w:szCs w:val="28"/>
        </w:rPr>
        <w:t xml:space="preserve">最高限价（如有）：311.19万元 </w:t>
      </w:r>
      <w:r/>
    </w:p>
    <w:p>
      <w:pPr>
        <w:pStyle w:val="928"/>
        <w:ind w:firstLine="560"/>
        <w:spacing w:before="0" w:beforeAutospacing="0" w:after="0" w:afterAutospacing="0" w:line="360" w:lineRule="auto"/>
        <w:rPr>
          <w:sz w:val="28"/>
          <w:szCs w:val="28"/>
        </w:rPr>
      </w:pPr>
      <w:r>
        <w:rPr>
          <w:rFonts w:hint="eastAsia"/>
          <w:sz w:val="28"/>
          <w:szCs w:val="28"/>
        </w:rPr>
        <w:t xml:space="preserve">采购需求：详见采购文件。</w:t>
      </w:r>
      <w:r/>
    </w:p>
    <w:p>
      <w:pPr>
        <w:pStyle w:val="928"/>
        <w:ind w:firstLine="560"/>
        <w:spacing w:before="0" w:beforeAutospacing="0" w:after="0" w:afterAutospacing="0" w:line="360" w:lineRule="auto"/>
        <w:rPr>
          <w:sz w:val="28"/>
          <w:szCs w:val="28"/>
        </w:rPr>
      </w:pPr>
      <w:r>
        <w:rPr>
          <w:rFonts w:hint="eastAsia"/>
          <w:sz w:val="28"/>
          <w:szCs w:val="28"/>
        </w:rPr>
        <w:t xml:space="preserve">合同履行期限：详见采购需求。</w:t>
      </w:r>
      <w:r/>
    </w:p>
    <w:p>
      <w:pPr>
        <w:pStyle w:val="928"/>
        <w:ind w:firstLine="560"/>
        <w:spacing w:before="0" w:beforeAutospacing="0" w:after="0" w:afterAutospacing="0" w:line="360" w:lineRule="auto"/>
        <w:rPr>
          <w:sz w:val="28"/>
          <w:szCs w:val="28"/>
        </w:rPr>
      </w:pPr>
      <w:r>
        <w:rPr>
          <w:rFonts w:hint="eastAsia"/>
          <w:sz w:val="28"/>
          <w:szCs w:val="28"/>
        </w:rPr>
        <w:t xml:space="preserve">本项目（是/否）接受联合体投标：否</w:t>
      </w:r>
      <w:r/>
    </w:p>
    <w:p>
      <w:pPr>
        <w:pStyle w:val="928"/>
        <w:ind w:firstLine="562"/>
        <w:spacing w:before="0" w:beforeAutospacing="0" w:after="0" w:afterAutospacing="0" w:line="360" w:lineRule="auto"/>
        <w:rPr>
          <w:b/>
          <w:bCs/>
          <w:sz w:val="28"/>
          <w:szCs w:val="28"/>
        </w:rPr>
      </w:pPr>
      <w:r>
        <w:rPr>
          <w:rFonts w:hint="eastAsia"/>
          <w:b/>
          <w:bCs/>
          <w:sz w:val="28"/>
          <w:szCs w:val="28"/>
        </w:rPr>
        <w:t xml:space="preserve">二、申请人的资格要求：</w:t>
      </w:r>
      <w:r/>
    </w:p>
    <w:p>
      <w:pPr>
        <w:pStyle w:val="928"/>
        <w:ind w:firstLine="560"/>
        <w:spacing w:before="0" w:beforeAutospacing="0" w:after="0" w:afterAutospacing="0" w:line="360" w:lineRule="auto"/>
        <w:rPr>
          <w:sz w:val="28"/>
          <w:szCs w:val="28"/>
        </w:rPr>
      </w:pPr>
      <w:r>
        <w:rPr>
          <w:rFonts w:hint="eastAsia"/>
          <w:sz w:val="28"/>
          <w:szCs w:val="28"/>
        </w:rPr>
        <w:t xml:space="preserve">（一）满足《中华人民共和国政府采购法》第二十二条规定：</w:t>
      </w:r>
      <w:r/>
    </w:p>
    <w:p>
      <w:pPr>
        <w:pStyle w:val="928"/>
        <w:ind w:firstLine="560"/>
        <w:spacing w:before="0" w:beforeAutospacing="0" w:after="0" w:afterAutospacing="0" w:line="360" w:lineRule="auto"/>
        <w:rPr>
          <w:sz w:val="28"/>
          <w:szCs w:val="28"/>
        </w:rPr>
      </w:pPr>
      <w:r>
        <w:rPr>
          <w:rFonts w:hint="eastAsia"/>
          <w:sz w:val="28"/>
          <w:szCs w:val="28"/>
        </w:rPr>
        <w:t xml:space="preserve">1.投标人符合《政府采购法》第二十二条规定条件的声明函（格式见附件4）；</w:t>
      </w:r>
      <w:r/>
    </w:p>
    <w:p>
      <w:pPr>
        <w:pStyle w:val="928"/>
        <w:ind w:firstLine="560"/>
        <w:spacing w:before="0" w:beforeAutospacing="0" w:after="0" w:afterAutospacing="0" w:line="360" w:lineRule="auto"/>
        <w:rPr>
          <w:sz w:val="28"/>
          <w:szCs w:val="28"/>
        </w:rPr>
      </w:pPr>
      <w:r>
        <w:rPr>
          <w:rFonts w:hint="eastAsia"/>
          <w:sz w:val="28"/>
          <w:szCs w:val="28"/>
        </w:rPr>
        <w:t xml:space="preserve">2.投标函（格式见附件5）。</w:t>
      </w:r>
      <w:r/>
    </w:p>
    <w:p>
      <w:pPr>
        <w:pStyle w:val="928"/>
        <w:ind w:firstLine="560"/>
        <w:spacing w:before="0" w:beforeAutospacing="0" w:after="0" w:afterAutospacing="0" w:line="360" w:lineRule="auto"/>
        <w:rPr>
          <w:color w:val="0000ff"/>
          <w:sz w:val="28"/>
          <w:szCs w:val="28"/>
        </w:rPr>
      </w:pPr>
      <w:r>
        <w:rPr>
          <w:rFonts w:hint="eastAsia"/>
          <w:sz w:val="28"/>
          <w:szCs w:val="28"/>
        </w:rPr>
        <w:t xml:space="preserve">（二）落实政府采购政策需满足的资格要求</w:t>
      </w:r>
      <w:r>
        <w:rPr>
          <w:rFonts w:hint="eastAsia"/>
          <w:color w:val="auto"/>
          <w:sz w:val="28"/>
          <w:szCs w:val="28"/>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pStyle w:val="928"/>
        <w:ind w:firstLine="560"/>
        <w:spacing w:before="0" w:beforeAutospacing="0" w:after="0" w:afterAutospacing="0" w:line="360" w:lineRule="auto"/>
        <w:rPr>
          <w:sz w:val="28"/>
          <w:szCs w:val="28"/>
        </w:rPr>
      </w:pPr>
      <w:r>
        <w:rPr>
          <w:rFonts w:hint="eastAsia"/>
          <w:sz w:val="28"/>
          <w:szCs w:val="28"/>
        </w:rPr>
        <w:t xml:space="preserve">（三）本项目的特定资格要求： </w:t>
      </w:r>
      <w:r/>
    </w:p>
    <w:p>
      <w:pPr>
        <w:pStyle w:val="928"/>
        <w:ind w:firstLine="560"/>
        <w:spacing w:before="0" w:beforeAutospacing="0" w:after="0" w:afterAutospacing="0" w:line="360" w:lineRule="auto"/>
        <w:rPr>
          <w:sz w:val="28"/>
          <w:szCs w:val="28"/>
        </w:rPr>
      </w:pPr>
      <w:r>
        <w:rPr>
          <w:rFonts w:hint="eastAsia"/>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28"/>
        <w:ind w:firstLine="562"/>
        <w:spacing w:before="0" w:beforeAutospacing="0" w:after="0" w:afterAutospacing="0" w:line="360" w:lineRule="auto"/>
        <w:rPr>
          <w:b/>
          <w:bCs/>
          <w:sz w:val="28"/>
          <w:szCs w:val="28"/>
        </w:rPr>
      </w:pPr>
      <w:r>
        <w:rPr>
          <w:rFonts w:hint="eastAsia"/>
          <w:b/>
          <w:bCs/>
          <w:sz w:val="28"/>
          <w:szCs w:val="28"/>
        </w:rPr>
        <w:t xml:space="preserve">三、获取招标文件</w:t>
      </w:r>
      <w:r/>
    </w:p>
    <w:p>
      <w:pPr>
        <w:ind w:firstLine="560"/>
        <w:jc w:val="left"/>
        <w:spacing w:line="360" w:lineRule="auto"/>
        <w:widowControl/>
        <w:rPr>
          <w:rFonts w:ascii="宋体" w:hAnsi="宋体" w:cs="宋体"/>
          <w:sz w:val="28"/>
          <w:szCs w:val="28"/>
        </w:rPr>
      </w:pPr>
      <w:r>
        <w:rPr>
          <w:rFonts w:hint="eastAsia" w:ascii="宋体" w:hAnsi="宋体" w:cs="宋体"/>
          <w:sz w:val="28"/>
          <w:szCs w:val="28"/>
          <w:lang w:bidi="ar"/>
        </w:rPr>
        <w:t xml:space="preserve">时间：2026-</w:t>
      </w:r>
      <w:r>
        <w:rPr>
          <w:rFonts w:hint="eastAsia" w:ascii="宋体" w:hAnsi="宋体" w:cs="宋体"/>
          <w:sz w:val="28"/>
          <w:szCs w:val="28"/>
          <w:lang w:val="en-US" w:eastAsia="zh-CN" w:bidi="ar"/>
        </w:rPr>
        <w:t xml:space="preserve">06</w:t>
      </w:r>
      <w:r>
        <w:rPr>
          <w:rFonts w:hint="eastAsia" w:ascii="宋体" w:hAnsi="宋体" w:cs="宋体"/>
          <w:sz w:val="28"/>
          <w:szCs w:val="28"/>
          <w:lang w:bidi="ar"/>
        </w:rPr>
        <w:t xml:space="preserve">-08至2026-</w:t>
      </w:r>
      <w:r>
        <w:rPr>
          <w:rFonts w:hint="eastAsia" w:ascii="宋体" w:hAnsi="宋体" w:cs="宋体"/>
          <w:sz w:val="28"/>
          <w:szCs w:val="28"/>
          <w:lang w:val="en-US" w:eastAsia="zh-CN" w:bidi="ar"/>
        </w:rPr>
        <w:t xml:space="preserve">06</w:t>
      </w:r>
      <w:r>
        <w:rPr>
          <w:rFonts w:hint="eastAsia" w:ascii="宋体" w:hAnsi="宋体" w:cs="宋体"/>
          <w:sz w:val="28"/>
          <w:szCs w:val="28"/>
          <w:lang w:bidi="ar"/>
        </w:rPr>
        <w:t xml:space="preserve">-12，每天上午00:00-12:00,下午12:00-23:59 （北京时间，法定节假日除外） </w:t>
      </w:r>
      <w:r/>
    </w:p>
    <w:p>
      <w:pPr>
        <w:pStyle w:val="928"/>
        <w:ind w:firstLine="560"/>
        <w:spacing w:before="0" w:beforeAutospacing="0" w:after="0" w:afterAutospacing="0" w:line="360" w:lineRule="auto"/>
        <w:rPr>
          <w:sz w:val="28"/>
          <w:szCs w:val="28"/>
        </w:rPr>
      </w:pPr>
      <w:r>
        <w:rPr>
          <w:rFonts w:hint="eastAsia"/>
          <w:sz w:val="28"/>
          <w:szCs w:val="28"/>
        </w:rPr>
        <w:t xml:space="preserve">地点：江苏政府采购网 </w:t>
      </w:r>
      <w:r/>
    </w:p>
    <w:p>
      <w:pPr>
        <w:pStyle w:val="928"/>
        <w:ind w:firstLine="560"/>
        <w:spacing w:before="0" w:beforeAutospacing="0" w:after="0" w:afterAutospacing="0" w:line="360" w:lineRule="auto"/>
        <w:rPr>
          <w:sz w:val="28"/>
          <w:szCs w:val="28"/>
        </w:rPr>
      </w:pPr>
      <w:r>
        <w:rPr>
          <w:rFonts w:hint="eastAsia"/>
          <w:sz w:val="28"/>
          <w:szCs w:val="28"/>
        </w:rPr>
        <w:t xml:space="preserve">方式：凡有意参与投标的供应商须登录江苏省政府采购网首页点击“苏采云”→通过CA锁进行响应确认，并自行在招标文件有效获取期内及时下载获取。 </w:t>
      </w:r>
      <w:r/>
    </w:p>
    <w:p>
      <w:pPr>
        <w:pStyle w:val="928"/>
        <w:ind w:firstLine="560"/>
        <w:spacing w:before="0" w:beforeAutospacing="0" w:after="0" w:afterAutospacing="0" w:line="360" w:lineRule="auto"/>
        <w:rPr>
          <w:sz w:val="28"/>
          <w:szCs w:val="28"/>
        </w:rPr>
      </w:pPr>
      <w:r>
        <w:rPr>
          <w:rFonts w:hint="eastAsia"/>
          <w:sz w:val="28"/>
          <w:szCs w:val="28"/>
        </w:rPr>
        <w:t xml:space="preserve">售价：0.00元 </w:t>
      </w:r>
      <w:r/>
    </w:p>
    <w:p>
      <w:pPr>
        <w:pStyle w:val="928"/>
        <w:ind w:firstLine="562"/>
        <w:spacing w:before="0" w:beforeAutospacing="0" w:after="0" w:afterAutospacing="0" w:line="360" w:lineRule="auto"/>
        <w:rPr>
          <w:b/>
          <w:bCs/>
          <w:sz w:val="28"/>
          <w:szCs w:val="28"/>
        </w:rPr>
      </w:pPr>
      <w:r>
        <w:rPr>
          <w:rFonts w:hint="eastAsia"/>
          <w:b/>
          <w:bCs/>
          <w:sz w:val="28"/>
          <w:szCs w:val="28"/>
        </w:rPr>
        <w:t xml:space="preserve">四、提交投标文件截止时间、开标时间和地点</w:t>
      </w:r>
      <w:r/>
    </w:p>
    <w:p>
      <w:pPr>
        <w:pStyle w:val="928"/>
        <w:ind w:firstLine="560"/>
        <w:spacing w:before="0" w:beforeAutospacing="0" w:after="0" w:afterAutospacing="0" w:line="360" w:lineRule="auto"/>
        <w:rPr>
          <w:sz w:val="28"/>
          <w:szCs w:val="28"/>
        </w:rPr>
      </w:pPr>
      <w:r>
        <w:rPr>
          <w:rFonts w:hint="eastAsia"/>
          <w:sz w:val="28"/>
          <w:szCs w:val="28"/>
        </w:rPr>
        <w:t xml:space="preserve">2026-</w:t>
      </w:r>
      <w:r>
        <w:rPr>
          <w:rFonts w:hint="eastAsia"/>
          <w:sz w:val="28"/>
          <w:szCs w:val="28"/>
          <w:lang w:val="en-US" w:eastAsia="zh-CN"/>
        </w:rPr>
        <w:t xml:space="preserve">06</w:t>
      </w:r>
      <w:r>
        <w:rPr>
          <w:rFonts w:hint="eastAsia"/>
          <w:sz w:val="28"/>
          <w:szCs w:val="28"/>
        </w:rPr>
        <w:t xml:space="preserve">-26 09:00 （北京时间）</w:t>
      </w:r>
      <w:r/>
    </w:p>
    <w:p>
      <w:pPr>
        <w:pStyle w:val="928"/>
        <w:ind w:firstLine="560"/>
        <w:spacing w:before="0" w:beforeAutospacing="0" w:after="0" w:afterAutospacing="0" w:line="360" w:lineRule="auto"/>
        <w:rPr>
          <w:sz w:val="28"/>
          <w:szCs w:val="28"/>
        </w:rPr>
      </w:pPr>
      <w:r>
        <w:rPr>
          <w:rFonts w:hint="eastAsia"/>
          <w:sz w:val="28"/>
          <w:szCs w:val="28"/>
        </w:rPr>
        <w:t xml:space="preserve">地点：“苏采云”政府采购交易系统网上开标大厅</w:t>
      </w:r>
      <w:r/>
    </w:p>
    <w:p>
      <w:pPr>
        <w:pStyle w:val="928"/>
        <w:ind w:firstLine="562"/>
        <w:spacing w:before="0" w:beforeAutospacing="0" w:after="0" w:afterAutospacing="0" w:line="360" w:lineRule="auto"/>
        <w:rPr>
          <w:b/>
          <w:bCs/>
          <w:sz w:val="28"/>
          <w:szCs w:val="28"/>
        </w:rPr>
      </w:pPr>
      <w:r>
        <w:rPr>
          <w:rFonts w:hint="eastAsia"/>
          <w:b/>
          <w:bCs/>
          <w:sz w:val="28"/>
          <w:szCs w:val="28"/>
        </w:rPr>
        <w:t xml:space="preserve">五、公告期限</w:t>
      </w:r>
      <w:r/>
    </w:p>
    <w:p>
      <w:pPr>
        <w:pStyle w:val="928"/>
        <w:ind w:firstLine="560"/>
        <w:spacing w:before="0" w:beforeAutospacing="0" w:after="0" w:afterAutospacing="0" w:line="360" w:lineRule="auto"/>
        <w:rPr>
          <w:sz w:val="28"/>
          <w:szCs w:val="28"/>
        </w:rPr>
      </w:pPr>
      <w:r>
        <w:rPr>
          <w:rFonts w:hint="eastAsia"/>
          <w:sz w:val="28"/>
          <w:szCs w:val="28"/>
        </w:rPr>
        <w:t xml:space="preserve">自本公告发布之日起5个工作日。</w:t>
      </w:r>
      <w:r/>
    </w:p>
    <w:p>
      <w:pPr>
        <w:pStyle w:val="928"/>
        <w:ind w:firstLine="562"/>
        <w:spacing w:before="0" w:beforeAutospacing="0" w:after="0" w:afterAutospacing="0" w:line="360" w:lineRule="auto"/>
        <w:rPr>
          <w:b/>
          <w:bCs/>
          <w:sz w:val="28"/>
          <w:szCs w:val="28"/>
        </w:rPr>
      </w:pPr>
      <w:r>
        <w:rPr>
          <w:rFonts w:hint="eastAsia"/>
          <w:b/>
          <w:bCs/>
          <w:sz w:val="28"/>
          <w:szCs w:val="28"/>
        </w:rPr>
        <w:t xml:space="preserve">六、其他补充事宜</w:t>
      </w:r>
      <w:r/>
    </w:p>
    <w:p>
      <w:pPr>
        <w:pStyle w:val="928"/>
        <w:ind w:firstLine="560"/>
        <w:spacing w:before="0" w:beforeAutospacing="0" w:after="0" w:afterAutospacing="0" w:line="360" w:lineRule="auto"/>
        <w:rPr>
          <w:sz w:val="28"/>
          <w:szCs w:val="28"/>
        </w:rPr>
      </w:pPr>
      <w:r>
        <w:rPr>
          <w:rFonts w:hint="eastAsia"/>
          <w:sz w:val="28"/>
          <w:szCs w:val="28"/>
        </w:rPr>
        <w:t xml:space="preserve">1.根据省财政厅《关于更</w:t>
      </w:r>
      <w:r>
        <w:rPr>
          <w:rFonts w:hint="eastAsia"/>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28"/>
        <w:ind w:firstLine="560"/>
        <w:spacing w:before="0" w:beforeAutospacing="0" w:after="0" w:afterAutospacing="0" w:line="360" w:lineRule="auto"/>
        <w:rPr>
          <w:sz w:val="28"/>
          <w:szCs w:val="28"/>
        </w:rPr>
      </w:pPr>
      <w:r>
        <w:rPr>
          <w:rFonts w:hint="eastAsia"/>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928"/>
        <w:ind w:firstLine="560"/>
        <w:spacing w:before="0" w:beforeAutospacing="0" w:after="0" w:afterAutospacing="0" w:line="360" w:lineRule="auto"/>
        <w:rPr>
          <w:sz w:val="28"/>
          <w:szCs w:val="28"/>
        </w:rPr>
      </w:pPr>
      <w:r>
        <w:rPr>
          <w:rFonts w:hint="eastAsia"/>
          <w:sz w:val="28"/>
          <w:szCs w:val="28"/>
        </w:rPr>
        <w:t xml:space="preserve">如果“江苏政府采购网”（www.ccgp-jiangsu.gov.cn）信息与“江苏政务服务网”（www.jszwfw.gov.cn），“一企来办”专栏下“政府采购”模块中信息不一致，以“江苏政府采购网”信息为准。</w:t>
      </w:r>
      <w:r/>
    </w:p>
    <w:p>
      <w:pPr>
        <w:pStyle w:val="928"/>
        <w:ind w:firstLine="560"/>
        <w:spacing w:before="0" w:beforeAutospacing="0" w:after="0" w:afterAutospacing="0" w:line="360" w:lineRule="auto"/>
        <w:rPr>
          <w:sz w:val="28"/>
          <w:szCs w:val="28"/>
        </w:rPr>
      </w:pPr>
      <w:r>
        <w:rPr>
          <w:rFonts w:hint="eastAsia"/>
          <w:sz w:val="28"/>
          <w:szCs w:val="28"/>
        </w:rPr>
        <w:t xml:space="preserve">2.有关本次招标的事项若存在变动或修改，敬请及时关注南通市海门区公共资源交易中心在“江苏政府采购网”发布的更正公告。</w:t>
      </w:r>
      <w:r/>
    </w:p>
    <w:p>
      <w:pPr>
        <w:pStyle w:val="928"/>
        <w:ind w:firstLine="560"/>
        <w:spacing w:before="0" w:beforeAutospacing="0" w:after="0" w:afterAutospacing="0" w:line="360" w:lineRule="auto"/>
        <w:rPr>
          <w:sz w:val="28"/>
          <w:szCs w:val="28"/>
        </w:rPr>
      </w:pPr>
      <w:r>
        <w:rPr>
          <w:rFonts w:hint="eastAsia"/>
          <w:sz w:val="28"/>
          <w:szCs w:val="28"/>
        </w:rPr>
        <w:t xml:space="preserve">3.本次招标不收取投标保证金。</w:t>
      </w:r>
      <w:r/>
    </w:p>
    <w:p>
      <w:pPr>
        <w:pStyle w:val="928"/>
        <w:ind w:firstLine="562"/>
        <w:spacing w:before="0" w:beforeAutospacing="0" w:after="0" w:afterAutospacing="0" w:line="360" w:lineRule="auto"/>
        <w:rPr>
          <w:b/>
          <w:bCs/>
          <w:sz w:val="28"/>
          <w:szCs w:val="28"/>
        </w:rPr>
      </w:pPr>
      <w:r>
        <w:rPr>
          <w:rFonts w:hint="eastAsia"/>
          <w:b/>
          <w:bCs/>
          <w:sz w:val="28"/>
          <w:szCs w:val="28"/>
        </w:rPr>
        <w:t xml:space="preserve">七、对本次招标提出询问，请按以下方式联系</w:t>
      </w:r>
      <w:r/>
    </w:p>
    <w:p>
      <w:pPr>
        <w:pStyle w:val="928"/>
        <w:ind w:firstLine="560"/>
        <w:spacing w:before="0" w:beforeAutospacing="0" w:after="0" w:afterAutospacing="0" w:line="360" w:lineRule="auto"/>
        <w:rPr>
          <w:color w:val="auto"/>
          <w:sz w:val="28"/>
          <w:szCs w:val="28"/>
        </w:rPr>
      </w:pPr>
      <w:r>
        <w:rPr>
          <w:rFonts w:hint="eastAsia"/>
          <w:color w:val="auto"/>
          <w:sz w:val="28"/>
          <w:szCs w:val="28"/>
        </w:rPr>
        <w:t xml:space="preserve">1.采购人信息 </w:t>
      </w:r>
      <w:r/>
    </w:p>
    <w:p>
      <w:pPr>
        <w:pStyle w:val="928"/>
        <w:ind w:firstLine="560"/>
        <w:spacing w:before="0" w:beforeAutospacing="0" w:after="0" w:afterAutospacing="0" w:line="360" w:lineRule="auto"/>
        <w:rPr>
          <w:color w:val="auto"/>
          <w:sz w:val="28"/>
          <w:szCs w:val="28"/>
        </w:rPr>
      </w:pPr>
      <w:r>
        <w:rPr>
          <w:rFonts w:hint="eastAsia"/>
          <w:color w:val="auto"/>
          <w:sz w:val="28"/>
          <w:szCs w:val="28"/>
        </w:rPr>
        <w:t xml:space="preserve">单位名称：国家税务总局南通市海门区税务局</w:t>
      </w:r>
      <w:r/>
    </w:p>
    <w:p>
      <w:pPr>
        <w:pStyle w:val="928"/>
        <w:ind w:firstLine="560"/>
        <w:spacing w:before="0" w:beforeAutospacing="0" w:after="0" w:afterAutospacing="0" w:line="360" w:lineRule="auto"/>
        <w:rPr>
          <w:color w:val="auto"/>
          <w:sz w:val="28"/>
          <w:szCs w:val="28"/>
        </w:rPr>
      </w:pPr>
      <w:r>
        <w:rPr>
          <w:rFonts w:hint="eastAsia"/>
          <w:color w:val="auto"/>
          <w:sz w:val="28"/>
          <w:szCs w:val="28"/>
        </w:rPr>
        <w:t xml:space="preserve">单位地址：南通市海门区长江南路468号</w:t>
      </w:r>
      <w:r/>
    </w:p>
    <w:p>
      <w:pPr>
        <w:pStyle w:val="928"/>
        <w:ind w:firstLine="560"/>
        <w:spacing w:before="0" w:beforeAutospacing="0" w:after="0" w:afterAutospacing="0" w:line="360" w:lineRule="auto"/>
        <w:rPr>
          <w:color w:val="auto"/>
          <w:sz w:val="28"/>
          <w:szCs w:val="28"/>
        </w:rPr>
      </w:pPr>
      <w:r>
        <w:rPr>
          <w:rFonts w:hint="eastAsia"/>
          <w:color w:val="auto"/>
          <w:sz w:val="28"/>
          <w:szCs w:val="28"/>
        </w:rPr>
        <w:t xml:space="preserve">联系人：成先生</w:t>
      </w:r>
      <w:r/>
    </w:p>
    <w:p>
      <w:pPr>
        <w:pStyle w:val="928"/>
        <w:ind w:firstLine="560"/>
        <w:spacing w:before="0" w:beforeAutospacing="0" w:after="0" w:afterAutospacing="0" w:line="360" w:lineRule="auto"/>
        <w:rPr>
          <w:color w:val="auto"/>
          <w:sz w:val="28"/>
          <w:szCs w:val="28"/>
        </w:rPr>
      </w:pPr>
      <w:r>
        <w:rPr>
          <w:rFonts w:hint="eastAsia"/>
          <w:color w:val="auto"/>
          <w:sz w:val="28"/>
          <w:szCs w:val="28"/>
        </w:rPr>
        <w:t xml:space="preserve">联系电话：0513</w:t>
      </w:r>
      <w:r>
        <w:rPr>
          <w:rFonts w:hint="eastAsia"/>
          <w:color w:val="auto"/>
          <w:sz w:val="28"/>
          <w:szCs w:val="28"/>
        </w:rPr>
        <w:t xml:space="preserve">-</w:t>
      </w:r>
      <w:r>
        <w:rPr>
          <w:rFonts w:hint="eastAsia"/>
          <w:color w:val="auto"/>
          <w:sz w:val="28"/>
          <w:szCs w:val="28"/>
        </w:rPr>
        <w:t xml:space="preserve">82197122</w:t>
      </w:r>
      <w:r/>
    </w:p>
    <w:p>
      <w:pPr>
        <w:pStyle w:val="928"/>
        <w:ind w:firstLine="560"/>
        <w:spacing w:before="0" w:beforeAutospacing="0" w:after="0" w:afterAutospacing="0" w:line="360" w:lineRule="auto"/>
        <w:rPr>
          <w:sz w:val="28"/>
          <w:szCs w:val="28"/>
        </w:rPr>
      </w:pPr>
      <w:r>
        <w:rPr>
          <w:rFonts w:hint="eastAsia"/>
          <w:sz w:val="28"/>
          <w:szCs w:val="28"/>
        </w:rPr>
        <w:t xml:space="preserve">2.采购代理机构信息</w:t>
      </w:r>
      <w:r/>
    </w:p>
    <w:p>
      <w:pPr>
        <w:pStyle w:val="928"/>
        <w:ind w:firstLine="560"/>
        <w:spacing w:before="0" w:beforeAutospacing="0" w:after="0" w:afterAutospacing="0" w:line="360" w:lineRule="auto"/>
        <w:rPr>
          <w:sz w:val="28"/>
          <w:szCs w:val="28"/>
        </w:rPr>
      </w:pPr>
      <w:r>
        <w:rPr>
          <w:rFonts w:hint="eastAsia"/>
          <w:sz w:val="28"/>
          <w:szCs w:val="28"/>
        </w:rPr>
        <w:t xml:space="preserve">单位名称：南通市海门区公共资源交易中心</w:t>
      </w:r>
      <w:r/>
    </w:p>
    <w:p>
      <w:pPr>
        <w:pStyle w:val="928"/>
        <w:ind w:firstLine="560"/>
        <w:spacing w:before="0" w:beforeAutospacing="0" w:after="0" w:afterAutospacing="0" w:line="360" w:lineRule="auto"/>
        <w:rPr>
          <w:sz w:val="28"/>
          <w:szCs w:val="28"/>
        </w:rPr>
      </w:pPr>
      <w:r>
        <w:rPr>
          <w:rFonts w:hint="eastAsia"/>
          <w:sz w:val="28"/>
          <w:szCs w:val="28"/>
        </w:rPr>
        <w:t xml:space="preserve">单位地址：南通市海门区长江南路777号</w:t>
      </w:r>
      <w:r/>
    </w:p>
    <w:p>
      <w:pPr>
        <w:pStyle w:val="928"/>
        <w:ind w:firstLine="560"/>
        <w:spacing w:before="0" w:beforeAutospacing="0" w:after="0" w:afterAutospacing="0" w:line="360" w:lineRule="auto"/>
        <w:rPr>
          <w:sz w:val="28"/>
          <w:szCs w:val="28"/>
        </w:rPr>
      </w:pPr>
      <w:r>
        <w:rPr>
          <w:rFonts w:hint="eastAsia"/>
          <w:sz w:val="28"/>
          <w:szCs w:val="28"/>
        </w:rPr>
        <w:t xml:space="preserve">联系人：王先生</w:t>
      </w:r>
      <w:r/>
    </w:p>
    <w:p>
      <w:pPr>
        <w:pStyle w:val="928"/>
        <w:ind w:firstLine="560"/>
        <w:spacing w:before="0" w:beforeAutospacing="0" w:after="0" w:afterAutospacing="0" w:line="360" w:lineRule="auto"/>
        <w:rPr>
          <w:sz w:val="28"/>
          <w:szCs w:val="28"/>
        </w:rPr>
      </w:pPr>
      <w:r>
        <w:rPr>
          <w:rFonts w:hint="eastAsia"/>
          <w:sz w:val="28"/>
          <w:szCs w:val="28"/>
        </w:rPr>
        <w:t xml:space="preserve">联系电话：0513-82100351</w:t>
      </w:r>
      <w:r/>
    </w:p>
    <w:p>
      <w:pPr>
        <w:pStyle w:val="928"/>
        <w:ind w:firstLine="560"/>
        <w:spacing w:before="0" w:beforeAutospacing="0" w:after="0" w:afterAutospacing="0" w:line="360" w:lineRule="auto"/>
        <w:rPr>
          <w:sz w:val="28"/>
          <w:szCs w:val="28"/>
        </w:rPr>
      </w:pPr>
      <w:r>
        <w:rPr>
          <w:rFonts w:hint="eastAsia"/>
          <w:sz w:val="28"/>
          <w:szCs w:val="28"/>
        </w:rPr>
        <w:t xml:space="preserve">3.项目联系方式</w:t>
      </w:r>
      <w:r/>
    </w:p>
    <w:p>
      <w:pPr>
        <w:pStyle w:val="928"/>
        <w:ind w:firstLine="560"/>
        <w:spacing w:before="0" w:beforeAutospacing="0" w:after="0" w:afterAutospacing="0" w:line="360" w:lineRule="auto"/>
        <w:rPr>
          <w:sz w:val="28"/>
          <w:szCs w:val="28"/>
        </w:rPr>
      </w:pPr>
      <w:r>
        <w:rPr>
          <w:rFonts w:hint="eastAsia"/>
          <w:sz w:val="28"/>
          <w:szCs w:val="28"/>
        </w:rPr>
        <w:t xml:space="preserve">项目联系人：王先生</w:t>
      </w:r>
      <w:r/>
    </w:p>
    <w:p>
      <w:pPr>
        <w:pStyle w:val="928"/>
        <w:ind w:firstLine="560"/>
        <w:spacing w:before="0" w:beforeAutospacing="0" w:after="0" w:afterAutospacing="0" w:line="360" w:lineRule="auto"/>
      </w:pPr>
      <w:r>
        <w:rPr>
          <w:rFonts w:hint="eastAsia"/>
          <w:sz w:val="28"/>
          <w:szCs w:val="28"/>
        </w:rPr>
        <w:t xml:space="preserve">电话：0513-82100351</w:t>
      </w:r>
      <w:r/>
    </w:p>
    <w:p>
      <w:pPr>
        <w:ind w:right="840"/>
        <w:rPr>
          <w:rFonts w:ascii="宋体" w:hAnsi="宋体"/>
          <w:color w:val="000000"/>
          <w:sz w:val="24"/>
          <w:szCs w:val="24"/>
        </w:rPr>
      </w:pPr>
      <w:r>
        <w:rPr>
          <w:rFonts w:ascii="宋体" w:hAnsi="宋体"/>
          <w:color w:val="000000"/>
          <w:sz w:val="24"/>
          <w:szCs w:val="24"/>
        </w:rPr>
      </w:r>
      <w:r/>
    </w:p>
    <w:p>
      <w:pPr>
        <w:ind w:firstLine="2429"/>
        <w:keepLines/>
        <w:keepNext/>
        <w:spacing w:before="260" w:after="260" w:line="416" w:lineRule="auto"/>
        <w:rPr>
          <w:rFonts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6"/>
      <w:r/>
      <w:bookmarkStart w:id="7" w:name="_Toc120614213"/>
      <w:r/>
      <w:bookmarkStart w:id="8" w:name="_Toc513029202"/>
      <w:r/>
      <w:bookmarkStart w:id="9" w:name="_Toc20823274"/>
      <w:r/>
      <w:bookmarkStart w:id="10" w:name="_Toc16938518"/>
      <w:r>
        <w:rPr>
          <w:rFonts w:hint="eastAsia" w:ascii="黑体" w:hAnsi="Arial" w:eastAsia="黑体" w:cs="Arial"/>
          <w:b/>
          <w:bCs/>
          <w:color w:val="000000"/>
          <w:sz w:val="44"/>
          <w:szCs w:val="44"/>
        </w:rPr>
        <w:t xml:space="preserve">投标人须知</w:t>
      </w:r>
      <w:bookmarkEnd w:id="7"/>
      <w:r/>
      <w:bookmarkEnd w:id="8"/>
      <w:r/>
      <w:bookmarkEnd w:id="9"/>
      <w:r/>
      <w:bookmarkEnd w:id="10"/>
      <w:r/>
      <w:r/>
    </w:p>
    <w:p>
      <w:pPr>
        <w:keepLines/>
        <w:keepNext/>
        <w:spacing w:line="360" w:lineRule="auto"/>
        <w:rPr>
          <w:rFonts w:ascii="宋体" w:hAnsi="宋体" w:cs="宋体"/>
          <w:b/>
          <w:bCs/>
          <w:color w:val="000000"/>
          <w:sz w:val="24"/>
          <w:szCs w:val="24"/>
        </w:rPr>
        <w:outlineLvl w:val="2"/>
      </w:pPr>
      <w:r/>
      <w:bookmarkStart w:id="11" w:name="_Toc120614214"/>
      <w:r/>
      <w:bookmarkStart w:id="12" w:name="_Toc20823275"/>
      <w:r/>
      <w:bookmarkStart w:id="13" w:name="_Toc16938519"/>
      <w:r/>
      <w:bookmarkStart w:id="14" w:name="_Toc513029203"/>
      <w:r>
        <w:rPr>
          <w:rFonts w:hint="eastAsia" w:ascii="宋体" w:hAnsi="宋体" w:cs="宋体"/>
          <w:b/>
          <w:bCs/>
          <w:color w:val="000000"/>
          <w:sz w:val="24"/>
          <w:szCs w:val="24"/>
        </w:rPr>
        <w:t xml:space="preserve">一、总则</w:t>
      </w:r>
      <w:bookmarkEnd w:id="11"/>
      <w:r/>
      <w:bookmarkEnd w:id="12"/>
      <w:r/>
      <w:bookmarkEnd w:id="13"/>
      <w:r/>
      <w:bookmarkEnd w:id="14"/>
      <w:r/>
      <w:bookmarkStart w:id="15" w:name="_Hlt16619475"/>
      <w:r/>
      <w:bookmarkEnd w:id="15"/>
      <w:r/>
      <w:bookmarkStart w:id="16" w:name="_Toc458694821"/>
      <w:r/>
      <w:bookmarkStart w:id="17" w:name="_Toc513029204"/>
      <w:r/>
      <w:bookmarkStart w:id="18" w:name="_Toc16938520"/>
      <w:r/>
      <w:bookmarkStart w:id="19" w:name="_Toc20823276"/>
      <w:r/>
      <w:r/>
    </w:p>
    <w:p>
      <w:pPr>
        <w:ind w:firstLine="480"/>
        <w:keepLines/>
        <w:keepNext/>
        <w:spacing w:line="360" w:lineRule="auto"/>
        <w:rPr>
          <w:rFonts w:ascii="宋体" w:hAnsi="宋体" w:cs="宋体"/>
          <w:color w:val="000000"/>
          <w:sz w:val="24"/>
          <w:szCs w:val="24"/>
        </w:rPr>
        <w:outlineLvl w:val="2"/>
      </w:pPr>
      <w:r>
        <w:rPr>
          <w:rFonts w:hint="eastAsia" w:ascii="宋体" w:hAnsi="宋体" w:cs="宋体"/>
          <w:color w:val="000000"/>
          <w:sz w:val="24"/>
          <w:szCs w:val="24"/>
        </w:rPr>
        <w:t xml:space="preserve">1</w:t>
      </w:r>
      <w:bookmarkEnd w:id="16"/>
      <w:r>
        <w:rPr>
          <w:rFonts w:hint="eastAsia" w:ascii="宋体" w:hAnsi="宋体" w:cs="宋体"/>
          <w:color w:val="000000"/>
          <w:sz w:val="24"/>
          <w:szCs w:val="24"/>
        </w:rPr>
        <w:t xml:space="preserve">、招标方式</w:t>
      </w:r>
      <w:bookmarkEnd w:id="17"/>
      <w:r/>
      <w:bookmarkEnd w:id="18"/>
      <w:r/>
      <w:bookmarkEnd w:id="19"/>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 本次招标采取公开招标方式，本招标文件仅适用于招标公告中所述项目。</w:t>
      </w:r>
      <w:r/>
    </w:p>
    <w:p>
      <w:pPr>
        <w:ind w:firstLine="480"/>
        <w:keepLines/>
        <w:keepNext/>
        <w:spacing w:line="360" w:lineRule="auto"/>
        <w:rPr>
          <w:rFonts w:ascii="宋体" w:hAnsi="宋体" w:cs="宋体"/>
          <w:color w:val="000000"/>
          <w:sz w:val="24"/>
          <w:szCs w:val="24"/>
        </w:rPr>
        <w:outlineLvl w:val="3"/>
      </w:pPr>
      <w:r/>
      <w:bookmarkStart w:id="20" w:name="_Toc20823277"/>
      <w:r/>
      <w:bookmarkStart w:id="21" w:name="_Toc513029205"/>
      <w:r/>
      <w:bookmarkStart w:id="22" w:name="_Toc16938521"/>
      <w:r>
        <w:rPr>
          <w:rFonts w:hint="eastAsia" w:ascii="宋体" w:hAnsi="宋体" w:cs="宋体"/>
          <w:color w:val="000000"/>
          <w:sz w:val="24"/>
          <w:szCs w:val="24"/>
        </w:rPr>
        <w:t xml:space="preserve">2、合格的投标人</w:t>
      </w:r>
      <w:bookmarkEnd w:id="20"/>
      <w:r/>
      <w:bookmarkEnd w:id="21"/>
      <w:r/>
      <w:bookmarkEnd w:id="22"/>
      <w:r/>
      <w:r/>
    </w:p>
    <w:p>
      <w:pPr>
        <w:ind w:firstLine="480"/>
        <w:spacing w:line="360" w:lineRule="auto"/>
        <w:rPr>
          <w:rFonts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360" w:lineRule="auto"/>
        <w:rPr>
          <w:rFonts w:ascii="宋体" w:hAnsi="宋体" w:cs="宋体"/>
          <w:sz w:val="24"/>
          <w:szCs w:val="24"/>
        </w:rPr>
      </w:pPr>
      <w:r>
        <w:rPr>
          <w:rFonts w:hint="eastAsia" w:ascii="宋体" w:hAnsi="宋体" w:cs="宋体"/>
          <w:sz w:val="24"/>
          <w:szCs w:val="24"/>
        </w:rPr>
        <w:t xml:space="preserve">2.2 满足本文件实质性要求的规定。</w:t>
      </w:r>
      <w:r/>
    </w:p>
    <w:p>
      <w:pPr>
        <w:ind w:firstLine="480"/>
        <w:keepLines/>
        <w:keepNext/>
        <w:spacing w:line="360" w:lineRule="auto"/>
        <w:rPr>
          <w:rFonts w:ascii="宋体" w:hAnsi="宋体" w:cs="宋体"/>
          <w:sz w:val="24"/>
          <w:szCs w:val="24"/>
        </w:rPr>
        <w:outlineLvl w:val="3"/>
      </w:pPr>
      <w:r/>
      <w:bookmarkStart w:id="23" w:name="_Toc513029206"/>
      <w:r/>
      <w:bookmarkStart w:id="24" w:name="_Toc16938522"/>
      <w:r/>
      <w:bookmarkStart w:id="25" w:name="_Toc20823278"/>
      <w:r>
        <w:rPr>
          <w:rFonts w:hint="eastAsia" w:ascii="宋体" w:hAnsi="宋体" w:cs="宋体"/>
          <w:sz w:val="24"/>
          <w:szCs w:val="24"/>
        </w:rPr>
        <w:t xml:space="preserve">3、适用法律</w:t>
      </w:r>
      <w:bookmarkEnd w:id="23"/>
      <w:r/>
      <w:bookmarkEnd w:id="24"/>
      <w:r/>
      <w:bookmarkEnd w:id="25"/>
      <w:r>
        <w:rPr>
          <w:rFonts w:hint="eastAsia" w:ascii="宋体" w:hAnsi="宋体" w:cs="宋体"/>
          <w:sz w:val="24"/>
          <w:szCs w:val="24"/>
        </w:rPr>
        <w:t xml:space="preserve">和标准</w:t>
      </w:r>
      <w:r/>
    </w:p>
    <w:p>
      <w:pPr>
        <w:ind w:firstLine="480"/>
        <w:spacing w:line="360" w:lineRule="auto"/>
        <w:rPr>
          <w:rFonts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ind w:firstLine="480"/>
        <w:spacing w:line="360" w:lineRule="auto"/>
        <w:rPr>
          <w:rFonts w:ascii="宋体" w:hAnsi="宋体" w:cs="宋体"/>
          <w:sz w:val="24"/>
          <w:szCs w:val="24"/>
        </w:rPr>
      </w:pPr>
      <w:r>
        <w:rPr>
          <w:rFonts w:hint="eastAsia" w:ascii="宋体" w:hAnsi="宋体" w:cs="宋体"/>
          <w:sz w:val="24"/>
          <w:szCs w:val="24"/>
        </w:rPr>
        <w:t xml:space="preserve">3.2 在本项目政府采购活动过程中，如果所执行的标准有更新的，按照最新标准执行。</w:t>
      </w:r>
      <w:r/>
    </w:p>
    <w:p>
      <w:pPr>
        <w:ind w:firstLine="480"/>
        <w:keepLines/>
        <w:keepNext/>
        <w:spacing w:line="360" w:lineRule="auto"/>
        <w:rPr>
          <w:rFonts w:ascii="宋体" w:hAnsi="宋体" w:cs="宋体"/>
          <w:sz w:val="24"/>
          <w:szCs w:val="24"/>
        </w:rPr>
        <w:outlineLvl w:val="3"/>
      </w:pPr>
      <w:r/>
      <w:bookmarkStart w:id="26" w:name="_Toc513029207"/>
      <w:r/>
      <w:bookmarkStart w:id="27" w:name="_Toc16938523"/>
      <w:r/>
      <w:bookmarkStart w:id="28" w:name="_Toc462564067"/>
      <w:r/>
      <w:bookmarkStart w:id="29" w:name="_Toc20823279"/>
      <w:r>
        <w:rPr>
          <w:rFonts w:hint="eastAsia" w:ascii="宋体" w:hAnsi="宋体" w:cs="宋体"/>
          <w:sz w:val="24"/>
          <w:szCs w:val="24"/>
        </w:rPr>
        <w:t xml:space="preserve">4、投标费用</w:t>
      </w:r>
      <w:bookmarkEnd w:id="26"/>
      <w:r/>
      <w:bookmarkEnd w:id="27"/>
      <w:r/>
      <w:bookmarkEnd w:id="28"/>
      <w:r/>
      <w:bookmarkEnd w:id="29"/>
      <w:r/>
      <w:r/>
    </w:p>
    <w:p>
      <w:pPr>
        <w:ind w:firstLine="480"/>
        <w:spacing w:line="360" w:lineRule="auto"/>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投标人应自行承担所有与参加投标有关的费用，无论投标过程中的做法和结果如何，南通市海门区公共资源交易中心（以下简称交易中心）在任何情况下均无义务和责任承担这些费用。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szCs w:val="24"/>
        </w:rPr>
        <w:t xml:space="preserve">4.2本次招标交易中心和采购人不收取标书工本费与中标服务费。</w:t>
      </w:r>
      <w:r/>
    </w:p>
    <w:p>
      <w:pPr>
        <w:ind w:firstLine="480"/>
        <w:keepLines/>
        <w:keepNext/>
        <w:spacing w:line="360" w:lineRule="auto"/>
        <w:rPr>
          <w:rFonts w:ascii="宋体" w:hAnsi="宋体" w:cs="宋体"/>
          <w:sz w:val="24"/>
          <w:szCs w:val="24"/>
        </w:rPr>
        <w:outlineLvl w:val="3"/>
      </w:pPr>
      <w:r>
        <w:rPr>
          <w:rFonts w:hint="eastAsia" w:ascii="宋体" w:hAnsi="宋体" w:cs="宋体"/>
          <w:sz w:val="24"/>
          <w:szCs w:val="24"/>
        </w:rPr>
        <w:t xml:space="preserve">5、招标文件的约束力</w:t>
      </w:r>
      <w:r/>
    </w:p>
    <w:p>
      <w:pPr>
        <w:ind w:firstLine="480"/>
        <w:spacing w:line="360" w:lineRule="auto"/>
        <w:rPr>
          <w:rFonts w:ascii="宋体" w:hAnsi="宋体" w:cs="宋体"/>
          <w:color w:val="000000"/>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w:t>
      </w:r>
      <w:r>
        <w:rPr>
          <w:rFonts w:hint="eastAsia" w:ascii="宋体" w:hAnsi="宋体" w:cs="宋体"/>
          <w:color w:val="000000"/>
          <w:sz w:val="24"/>
          <w:szCs w:val="24"/>
        </w:rPr>
        <w:t xml:space="preserve">标文件的规定和约束。</w:t>
      </w:r>
      <w:r/>
    </w:p>
    <w:p>
      <w:pPr>
        <w:keepLines/>
        <w:keepNext/>
        <w:spacing w:line="360" w:lineRule="auto"/>
        <w:rPr>
          <w:rFonts w:ascii="宋体" w:hAnsi="宋体" w:cs="宋体"/>
          <w:b/>
          <w:bCs/>
          <w:color w:val="000000"/>
          <w:sz w:val="24"/>
          <w:szCs w:val="24"/>
        </w:rPr>
        <w:outlineLvl w:val="2"/>
      </w:pPr>
      <w:r/>
      <w:bookmarkStart w:id="30" w:name="_Toc513029209"/>
      <w:r/>
      <w:bookmarkStart w:id="31" w:name="_Toc120614215"/>
      <w:r/>
      <w:bookmarkStart w:id="32" w:name="_Toc20823281"/>
      <w:r/>
      <w:bookmarkStart w:id="33" w:name="_Toc16938525"/>
      <w:r>
        <w:rPr>
          <w:rFonts w:hint="eastAsia" w:ascii="宋体" w:hAnsi="宋体" w:cs="宋体"/>
          <w:b/>
          <w:bCs/>
          <w:color w:val="000000"/>
          <w:sz w:val="24"/>
          <w:szCs w:val="24"/>
        </w:rPr>
        <w:t xml:space="preserve">二、招标文件</w:t>
      </w:r>
      <w:bookmarkEnd w:id="30"/>
      <w:r/>
      <w:bookmarkEnd w:id="31"/>
      <w:r/>
      <w:bookmarkEnd w:id="32"/>
      <w:r/>
      <w:bookmarkEnd w:id="33"/>
      <w:r/>
      <w:r/>
    </w:p>
    <w:p>
      <w:pPr>
        <w:ind w:firstLine="480"/>
        <w:keepLines/>
        <w:keepNext/>
        <w:spacing w:line="360" w:lineRule="auto"/>
        <w:rPr>
          <w:rFonts w:ascii="宋体" w:hAnsi="宋体" w:cs="宋体"/>
          <w:color w:val="000000"/>
          <w:sz w:val="24"/>
          <w:szCs w:val="24"/>
        </w:rPr>
        <w:outlineLvl w:val="3"/>
      </w:pPr>
      <w:r/>
      <w:bookmarkStart w:id="34" w:name="_Toc20823282"/>
      <w:r/>
      <w:bookmarkStart w:id="35" w:name="_Toc513029210"/>
      <w:r/>
      <w:bookmarkStart w:id="36" w:name="_Toc16938526"/>
      <w:r>
        <w:rPr>
          <w:rFonts w:hint="eastAsia" w:ascii="宋体" w:hAnsi="宋体" w:cs="宋体"/>
          <w:color w:val="000000"/>
          <w:sz w:val="24"/>
          <w:szCs w:val="24"/>
        </w:rPr>
        <w:t xml:space="preserve">6、招标文件构成</w:t>
      </w:r>
      <w:bookmarkEnd w:id="34"/>
      <w:r/>
      <w:bookmarkEnd w:id="35"/>
      <w:r/>
      <w:bookmarkEnd w:id="36"/>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 招标文件由以下部分组成：</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（1）投标邀请</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（2）投标人须知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（3）合同文本</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（4）采购需求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（5）评标方法与评标标准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（6）投标文件格式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请仔细检查招标文件是否齐全，如有缺漏请立即与交易中心联系解决。</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360" w:lineRule="auto"/>
        <w:rPr>
          <w:rFonts w:ascii="宋体" w:hAnsi="宋体" w:cs="宋体"/>
          <w:color w:val="000000"/>
          <w:sz w:val="24"/>
          <w:szCs w:val="24"/>
        </w:rPr>
        <w:outlineLvl w:val="3"/>
      </w:pPr>
      <w:r/>
      <w:bookmarkStart w:id="37" w:name="_Toc513029212"/>
      <w:r/>
      <w:bookmarkStart w:id="38" w:name="_Toc16938528"/>
      <w:r/>
      <w:bookmarkStart w:id="39" w:name="_Toc462564071"/>
      <w:r/>
      <w:bookmarkStart w:id="40" w:name="_Toc20823284"/>
      <w:r>
        <w:rPr>
          <w:rFonts w:hint="eastAsia" w:ascii="宋体" w:hAnsi="宋体" w:cs="宋体"/>
          <w:color w:val="000000"/>
          <w:sz w:val="24"/>
          <w:szCs w:val="24"/>
        </w:rPr>
        <w:t xml:space="preserve">7、招标文件的修改</w:t>
      </w:r>
      <w:bookmarkEnd w:id="37"/>
      <w:r/>
      <w:bookmarkEnd w:id="38"/>
      <w:r/>
      <w:bookmarkEnd w:id="39"/>
      <w:r/>
      <w:bookmarkEnd w:id="40"/>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 在投标截止时间前，交易中心可以对招标文件进行修改。</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7.2 </w:t>
      </w:r>
      <w:r>
        <w:rPr>
          <w:rFonts w:hint="eastAsia" w:ascii="宋体" w:hAnsi="宋体" w:cs="宋体"/>
          <w:color w:val="000000"/>
          <w:sz w:val="24"/>
          <w:szCs w:val="24"/>
        </w:rPr>
        <w:t xml:space="preserve">交易中心有权按照法定的要求推迟投标截止日期和开标日期。</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7.3 </w:t>
      </w:r>
      <w:r>
        <w:rPr>
          <w:rFonts w:hint="eastAsia" w:ascii="宋体" w:hAnsi="宋体" w:cs="宋体"/>
          <w:color w:val="000000"/>
          <w:sz w:val="24"/>
          <w:szCs w:val="24"/>
        </w:rPr>
        <w:t xml:space="preserve">招标文件的修改将在江苏政府采购网公布，补充文件将作为招标文件的组成部分，并对投标人具有约束力。</w:t>
      </w:r>
      <w:r/>
    </w:p>
    <w:p>
      <w:pPr>
        <w:keepLines/>
        <w:keepNext/>
        <w:spacing w:line="360" w:lineRule="auto"/>
        <w:rPr>
          <w:rFonts w:ascii="宋体" w:hAnsi="宋体" w:cs="宋体"/>
          <w:b/>
          <w:bCs/>
          <w:color w:val="000000"/>
          <w:sz w:val="24"/>
          <w:szCs w:val="24"/>
        </w:rPr>
        <w:outlineLvl w:val="2"/>
      </w:pPr>
      <w:r/>
      <w:bookmarkStart w:id="41" w:name="_Toc462564072"/>
      <w:r/>
      <w:bookmarkStart w:id="42" w:name="_Toc20823285"/>
      <w:r/>
      <w:bookmarkStart w:id="43" w:name="_Toc513029213"/>
      <w:r/>
      <w:bookmarkStart w:id="44" w:name="_Toc120614216"/>
      <w:r/>
      <w:bookmarkStart w:id="45" w:name="_Toc16938529"/>
      <w:r>
        <w:rPr>
          <w:rFonts w:hint="eastAsia" w:ascii="宋体" w:hAnsi="宋体" w:cs="宋体"/>
          <w:b/>
          <w:bCs/>
          <w:color w:val="000000"/>
          <w:sz w:val="24"/>
          <w:szCs w:val="24"/>
        </w:rPr>
        <w:t xml:space="preserve">三、投标文件的编制</w:t>
      </w:r>
      <w:bookmarkEnd w:id="41"/>
      <w:r/>
      <w:bookmarkEnd w:id="42"/>
      <w:r/>
      <w:bookmarkEnd w:id="43"/>
      <w:r/>
      <w:bookmarkEnd w:id="44"/>
      <w:r/>
      <w:bookmarkEnd w:id="45"/>
      <w:r/>
      <w:r/>
    </w:p>
    <w:p>
      <w:pPr>
        <w:ind w:firstLine="480"/>
        <w:keepLines/>
        <w:keepNext/>
        <w:spacing w:line="360" w:lineRule="auto"/>
        <w:rPr>
          <w:rFonts w:ascii="宋体" w:hAnsi="宋体" w:cs="宋体"/>
          <w:b/>
          <w:color w:val="000000"/>
          <w:sz w:val="24"/>
          <w:szCs w:val="24"/>
        </w:rPr>
        <w:outlineLvl w:val="3"/>
      </w:pPr>
      <w:r/>
      <w:bookmarkStart w:id="46" w:name="_Toc20823286"/>
      <w:r/>
      <w:bookmarkStart w:id="47" w:name="_Toc16938530"/>
      <w:r/>
      <w:bookmarkStart w:id="48" w:name="_Toc513029214"/>
      <w:r/>
      <w:bookmarkStart w:id="49" w:name="_Toc462564073"/>
      <w:r>
        <w:rPr>
          <w:rFonts w:hint="eastAsia" w:ascii="宋体" w:hAnsi="宋体" w:cs="宋体"/>
          <w:color w:val="000000"/>
          <w:sz w:val="24"/>
          <w:szCs w:val="24"/>
        </w:rPr>
        <w:t xml:space="preserve">8、投标文件的语言及度量衡单位</w:t>
      </w:r>
      <w:bookmarkEnd w:id="46"/>
      <w:r/>
      <w:bookmarkEnd w:id="47"/>
      <w:r/>
      <w:bookmarkEnd w:id="48"/>
      <w:r/>
      <w:bookmarkEnd w:id="49"/>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投标人提交的投标文件以及投标人与交易中心就有关投标的所有来往通知、函件和文件均应使用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 除技术性能另有规定外，投标文件所使用的度量衡单位，均须采用国家法定计量单位。</w:t>
      </w:r>
      <w:r/>
    </w:p>
    <w:p>
      <w:pPr>
        <w:ind w:firstLine="480"/>
        <w:keepLines/>
        <w:keepNext/>
        <w:spacing w:line="360" w:lineRule="auto"/>
        <w:rPr>
          <w:rFonts w:ascii="宋体" w:hAnsi="宋体" w:cs="宋体"/>
          <w:color w:val="000000"/>
          <w:sz w:val="24"/>
          <w:szCs w:val="24"/>
        </w:rPr>
        <w:outlineLvl w:val="3"/>
      </w:pPr>
      <w:r/>
      <w:bookmarkStart w:id="50" w:name="_Toc462564074"/>
      <w:r/>
      <w:bookmarkStart w:id="51" w:name="_Toc20823287"/>
      <w:r/>
      <w:bookmarkStart w:id="52" w:name="_Toc16938531"/>
      <w:r/>
      <w:bookmarkStart w:id="53" w:name="_Toc513029215"/>
      <w:r>
        <w:rPr>
          <w:rFonts w:hint="eastAsia" w:ascii="宋体" w:hAnsi="宋体" w:cs="宋体"/>
          <w:color w:val="000000"/>
          <w:sz w:val="24"/>
          <w:szCs w:val="24"/>
        </w:rPr>
        <w:t xml:space="preserve">9、投标文件构成</w:t>
      </w:r>
      <w:bookmarkEnd w:id="50"/>
      <w:r/>
      <w:bookmarkEnd w:id="51"/>
      <w:r/>
      <w:bookmarkEnd w:id="52"/>
      <w:r/>
      <w:bookmarkEnd w:id="53"/>
      <w:r/>
      <w:r/>
    </w:p>
    <w:p>
      <w:pPr>
        <w:ind w:firstLine="480"/>
        <w:spacing w:line="360" w:lineRule="auto"/>
        <w:rPr>
          <w:rFonts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9.2 如标书制作工具中格式和内容与“江苏政府采购网”发布的招标文件不一致，请以“江苏政府采购网”发布的招标文件为准。</w:t>
      </w:r>
      <w:r/>
    </w:p>
    <w:p>
      <w:pPr>
        <w:ind w:firstLine="480"/>
        <w:keepLines/>
        <w:keepNext/>
        <w:spacing w:line="360" w:lineRule="auto"/>
        <w:rPr>
          <w:rFonts w:ascii="宋体" w:hAnsi="宋体" w:cs="宋体"/>
          <w:color w:val="000000"/>
          <w:sz w:val="24"/>
          <w:szCs w:val="24"/>
        </w:rPr>
        <w:outlineLvl w:val="3"/>
      </w:pPr>
      <w:r/>
      <w:bookmarkStart w:id="54" w:name="_Hlt26670360"/>
      <w:r/>
      <w:bookmarkEnd w:id="54"/>
      <w:r/>
      <w:bookmarkStart w:id="55" w:name="_Hlt26668975"/>
      <w:r/>
      <w:bookmarkEnd w:id="55"/>
      <w:r/>
      <w:bookmarkStart w:id="56" w:name="_Hlt26954838"/>
      <w:r/>
      <w:bookmarkEnd w:id="56"/>
      <w:r/>
      <w:bookmarkStart w:id="57" w:name="_Toc513029219"/>
      <w:r/>
      <w:bookmarkStart w:id="58" w:name="_Toc49090509"/>
      <w:r/>
      <w:bookmarkStart w:id="59" w:name="_Toc14577357"/>
      <w:r/>
      <w:bookmarkStart w:id="60" w:name="_Toc49090507"/>
      <w:r/>
      <w:bookmarkStart w:id="61" w:name="_Toc513029216"/>
      <w:r/>
      <w:bookmarkStart w:id="62" w:name="_Toc14577354"/>
      <w:r/>
      <w:bookmarkStart w:id="63" w:name="_Toc49090508"/>
      <w:r/>
      <w:bookmarkStart w:id="64" w:name="_Toc14577355"/>
      <w:r>
        <w:rPr>
          <w:rFonts w:hint="eastAsia" w:ascii="宋体" w:hAnsi="宋体" w:cs="宋体"/>
          <w:color w:val="000000"/>
          <w:sz w:val="24"/>
          <w:szCs w:val="24"/>
        </w:rPr>
        <w:t xml:space="preserve">10、证明投标人及投标标的符合招标文件规定的文件</w:t>
      </w:r>
      <w:bookmarkEnd w:id="57"/>
      <w:r/>
      <w:bookmarkEnd w:id="58"/>
      <w:r/>
      <w:bookmarkEnd w:id="59"/>
      <w:r/>
      <w:bookmarkEnd w:id="60"/>
      <w:r/>
      <w:bookmarkEnd w:id="61"/>
      <w:r/>
      <w:bookmarkEnd w:id="62"/>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10.1 投标人应按照招标文件要求提交证明文件，证明其及投标标的符合招标文件规定。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10.2招标文件对证明文件无明确形式要求的，证明文件可以以文字资料、图纸和数据等形式提交。</w:t>
      </w:r>
      <w:bookmarkEnd w:id="63"/>
      <w:r/>
      <w:bookmarkEnd w:id="64"/>
      <w:r/>
      <w:r/>
    </w:p>
    <w:p>
      <w:pPr>
        <w:ind w:firstLine="480"/>
        <w:keepLines/>
        <w:keepNext/>
        <w:spacing w:line="360" w:lineRule="auto"/>
        <w:rPr>
          <w:rFonts w:ascii="宋体" w:hAnsi="宋体" w:cs="宋体"/>
          <w:color w:val="000000"/>
          <w:sz w:val="24"/>
          <w:szCs w:val="24"/>
        </w:rPr>
        <w:outlineLvl w:val="3"/>
      </w:pPr>
      <w:r>
        <w:rPr>
          <w:rFonts w:hint="eastAsia" w:ascii="宋体" w:hAnsi="宋体" w:cs="宋体"/>
          <w:color w:val="000000"/>
          <w:sz w:val="24"/>
          <w:szCs w:val="24"/>
        </w:rPr>
        <w:t xml:space="preserve">11、投标分项报价表</w:t>
      </w:r>
      <w:r/>
    </w:p>
    <w:p>
      <w:pPr>
        <w:ind w:firstLine="480"/>
        <w:spacing w:line="360" w:lineRule="auto"/>
        <w:rPr>
          <w:rFonts w:ascii="宋体" w:hAnsi="宋体" w:cs="宋体"/>
          <w:bCs/>
          <w:sz w:val="24"/>
          <w:szCs w:val="24"/>
        </w:rPr>
      </w:pPr>
      <w:r>
        <w:rPr>
          <w:rFonts w:hint="eastAsia" w:ascii="宋体" w:hAnsi="宋体" w:cs="宋体"/>
          <w:bCs/>
          <w:sz w:val="24"/>
          <w:szCs w:val="24"/>
        </w:rPr>
        <w:t xml:space="preserve">11.1</w:t>
      </w:r>
      <w:r>
        <w:rPr>
          <w:rFonts w:hint="eastAsia" w:ascii="宋体" w:hAnsi="宋体" w:cs="宋体"/>
          <w:sz w:val="24"/>
          <w:szCs w:val="24"/>
        </w:rPr>
        <w:t xml:space="preserve"> 投</w:t>
      </w:r>
      <w:bookmarkStart w:id="65" w:name="_Hlt26954840"/>
      <w:r/>
      <w:bookmarkEnd w:id="65"/>
      <w:r>
        <w:rPr>
          <w:rFonts w:hint="eastAsia" w:ascii="宋体" w:hAnsi="宋体" w:cs="宋体"/>
          <w:sz w:val="24"/>
          <w:szCs w:val="24"/>
        </w:rPr>
        <w:t xml:space="preserve">标人按照招标文件规定格式填报投标分项报价表</w:t>
      </w:r>
      <w:bookmarkStart w:id="66" w:name="_Hlt26670399"/>
      <w:r/>
      <w:bookmarkEnd w:id="66"/>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sz w:val="24"/>
          <w:szCs w:val="24"/>
        </w:rPr>
        <w:t xml:space="preserve">11.2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p>
    <w:p>
      <w:pPr>
        <w:ind w:firstLine="480"/>
        <w:keepLines/>
        <w:keepNext/>
        <w:spacing w:line="360" w:lineRule="auto"/>
        <w:rPr>
          <w:rFonts w:ascii="宋体" w:hAnsi="宋体" w:cs="宋体"/>
          <w:sz w:val="24"/>
          <w:szCs w:val="24"/>
        </w:rPr>
        <w:outlineLvl w:val="3"/>
      </w:pPr>
      <w:r/>
      <w:bookmarkStart w:id="67" w:name="_Hlt26954731"/>
      <w:r/>
      <w:bookmarkEnd w:id="67"/>
      <w:r/>
      <w:bookmarkStart w:id="68" w:name="_Hlt26954846"/>
      <w:r/>
      <w:bookmarkEnd w:id="68"/>
      <w:r/>
      <w:bookmarkStart w:id="69" w:name="_Hlt26954848"/>
      <w:r/>
      <w:bookmarkEnd w:id="69"/>
      <w:r/>
      <w:bookmarkStart w:id="70" w:name="_Hlt26670486"/>
      <w:r/>
      <w:bookmarkEnd w:id="70"/>
      <w:r/>
      <w:bookmarkStart w:id="71" w:name="_Hlt26670482"/>
      <w:r/>
      <w:bookmarkEnd w:id="71"/>
      <w:r>
        <w:rPr>
          <w:rFonts w:hint="eastAsia" w:ascii="宋体" w:hAnsi="宋体" w:cs="宋体"/>
          <w:sz w:val="24"/>
          <w:szCs w:val="24"/>
        </w:rPr>
        <w:t xml:space="preserve">12、技术要求响应及偏离表、商务要求响应及偏离表</w:t>
      </w:r>
      <w:r/>
    </w:p>
    <w:p>
      <w:pPr>
        <w:ind w:firstLine="480"/>
        <w:spacing w:line="360" w:lineRule="auto"/>
        <w:rPr>
          <w:rFonts w:ascii="宋体" w:hAnsi="宋体" w:cs="宋体"/>
          <w:sz w:val="24"/>
          <w:szCs w:val="24"/>
          <w:lang w:val="zh-CN"/>
        </w:rPr>
      </w:pPr>
      <w:r>
        <w:rPr>
          <w:rFonts w:hint="eastAsia" w:ascii="宋体" w:hAnsi="宋体" w:cs="宋体"/>
          <w:bCs/>
          <w:sz w:val="24"/>
          <w:szCs w:val="24"/>
          <w:lang w:val="zh-CN"/>
        </w:rPr>
        <w:t xml:space="preserve">12.1 </w:t>
      </w:r>
      <w:r>
        <w:rPr>
          <w:rFonts w:hint="eastAsia" w:ascii="宋体" w:hAnsi="宋体" w:cs="宋体"/>
          <w:sz w:val="24"/>
          <w:szCs w:val="24"/>
          <w:lang w:val="zh-CN"/>
        </w:rPr>
        <w:t xml:space="preserve">投标人需对招标文件中的技术要求与商务要求逐项作出响应或偏离，并说明原因。</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12.2 投标人需按照招标文件要求，在投标文件中提供与技术要求和商务要求相关的证明材料。</w:t>
      </w:r>
      <w:r/>
    </w:p>
    <w:p>
      <w:pPr>
        <w:ind w:firstLine="480"/>
        <w:keepLines/>
        <w:keepNext/>
        <w:spacing w:line="360" w:lineRule="auto"/>
        <w:rPr>
          <w:rFonts w:ascii="宋体" w:hAnsi="宋体" w:cs="宋体"/>
          <w:color w:val="000000"/>
          <w:sz w:val="24"/>
          <w:szCs w:val="24"/>
        </w:rPr>
        <w:outlineLvl w:val="3"/>
      </w:pPr>
      <w:r>
        <w:rPr>
          <w:rFonts w:hint="eastAsia" w:ascii="宋体" w:hAnsi="宋体" w:cs="宋体"/>
          <w:color w:val="000000"/>
          <w:sz w:val="24"/>
          <w:szCs w:val="24"/>
        </w:rPr>
        <w:t xml:space="preserve">13、服务承诺、培训计划、人员安排及其他</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13.1 </w:t>
      </w:r>
      <w:r>
        <w:rPr>
          <w:rFonts w:hint="eastAsia" w:ascii="宋体" w:hAnsi="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13.2 投标人需根据招标文件要求提供培训计划。</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13.3 投标人需根据招标文件要求提供</w:t>
      </w:r>
      <w:r>
        <w:rPr>
          <w:rFonts w:hint="eastAsia" w:ascii="宋体" w:hAnsi="宋体" w:cs="宋体"/>
          <w:color w:val="000000"/>
          <w:sz w:val="24"/>
          <w:szCs w:val="24"/>
          <w:lang w:val="zh-CN"/>
        </w:rPr>
        <w:t xml:space="preserve">所投标的的主要组成部分、功能设计、实现思路及关键技术等。</w:t>
      </w:r>
      <w:r/>
    </w:p>
    <w:p>
      <w:pPr>
        <w:ind w:firstLine="480"/>
        <w:keepLines/>
        <w:keepNext/>
        <w:spacing w:line="360" w:lineRule="auto"/>
        <w:rPr>
          <w:rFonts w:ascii="宋体" w:hAnsi="宋体" w:cs="宋体"/>
          <w:sz w:val="24"/>
          <w:szCs w:val="24"/>
        </w:rPr>
        <w:outlineLvl w:val="3"/>
      </w:pPr>
      <w:r/>
      <w:bookmarkStart w:id="72" w:name="_Toc14577359"/>
      <w:r/>
      <w:bookmarkStart w:id="73" w:name="_Toc49090510"/>
      <w:r>
        <w:rPr>
          <w:rFonts w:hint="eastAsia" w:ascii="宋体" w:hAnsi="宋体" w:cs="宋体"/>
          <w:sz w:val="24"/>
          <w:szCs w:val="24"/>
        </w:rPr>
        <w:t xml:space="preserve">14、投标函和开标一览表</w:t>
      </w:r>
      <w:r/>
    </w:p>
    <w:p>
      <w:pPr>
        <w:ind w:firstLine="480"/>
        <w:spacing w:line="360" w:lineRule="auto"/>
        <w:rPr>
          <w:rFonts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投标人应按照招标文件中提供的格式完整、正确填写投标函、开标一览表。</w:t>
      </w:r>
      <w:r/>
    </w:p>
    <w:p>
      <w:pPr>
        <w:ind w:firstLine="480"/>
        <w:spacing w:line="360" w:lineRule="auto"/>
        <w:rPr>
          <w:rFonts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2"/>
      <w:r/>
      <w:bookmarkEnd w:id="73"/>
      <w:r/>
      <w:r/>
    </w:p>
    <w:p>
      <w:pPr>
        <w:ind w:firstLine="480"/>
        <w:keepLines/>
        <w:keepNext/>
        <w:spacing w:line="360" w:lineRule="auto"/>
        <w:rPr>
          <w:rFonts w:ascii="宋体" w:hAnsi="宋体" w:cs="宋体"/>
          <w:sz w:val="24"/>
          <w:szCs w:val="24"/>
        </w:rPr>
        <w:outlineLvl w:val="3"/>
      </w:pPr>
      <w:r/>
      <w:bookmarkStart w:id="74" w:name="_Toc49090511"/>
      <w:r/>
      <w:bookmarkStart w:id="75" w:name="_Toc14577360"/>
      <w:r>
        <w:rPr>
          <w:rFonts w:hint="eastAsia" w:ascii="宋体" w:hAnsi="宋体" w:cs="宋体"/>
          <w:sz w:val="24"/>
          <w:szCs w:val="24"/>
        </w:rPr>
        <w:t xml:space="preserve">15、投标有效期</w:t>
      </w:r>
      <w:bookmarkEnd w:id="74"/>
      <w:r/>
      <w:bookmarkEnd w:id="75"/>
      <w:r/>
      <w:r/>
    </w:p>
    <w:p>
      <w:pPr>
        <w:ind w:firstLine="480"/>
        <w:spacing w:line="360" w:lineRule="auto"/>
        <w:rPr>
          <w:rFonts w:ascii="宋体" w:hAnsi="宋体" w:cs="宋体"/>
          <w:bCs/>
          <w:sz w:val="24"/>
          <w:szCs w:val="24"/>
        </w:rPr>
      </w:pPr>
      <w:r>
        <w:rPr>
          <w:rFonts w:hint="eastAsia" w:ascii="宋体" w:hAnsi="宋体" w:cs="宋体"/>
          <w:bCs/>
          <w:sz w:val="24"/>
          <w:szCs w:val="24"/>
        </w:rPr>
        <w:t xml:space="preserve">15.1投标有效期为交易中心规定的开标之日后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p>
    <w:p>
      <w:pPr>
        <w:ind w:firstLine="480"/>
        <w:keepLines/>
        <w:keepNext/>
        <w:spacing w:line="360" w:lineRule="auto"/>
        <w:rPr>
          <w:rFonts w:ascii="宋体" w:hAnsi="宋体" w:cs="宋体"/>
          <w:sz w:val="24"/>
          <w:szCs w:val="24"/>
        </w:rPr>
        <w:outlineLvl w:val="3"/>
      </w:pPr>
      <w:r>
        <w:rPr>
          <w:rFonts w:hint="eastAsia" w:ascii="宋体" w:hAnsi="宋体" w:cs="宋体"/>
          <w:sz w:val="24"/>
          <w:szCs w:val="24"/>
        </w:rPr>
        <w:t xml:space="preserve">16、投标有效期的延长</w:t>
      </w:r>
      <w:r/>
    </w:p>
    <w:p>
      <w:pPr>
        <w:ind w:firstLine="480"/>
        <w:spacing w:line="360" w:lineRule="auto"/>
        <w:rPr>
          <w:rFonts w:ascii="宋体" w:hAnsi="宋体" w:cs="宋体"/>
          <w:bCs/>
          <w:sz w:val="24"/>
          <w:szCs w:val="24"/>
        </w:rPr>
      </w:pPr>
      <w:r>
        <w:rPr>
          <w:rFonts w:hint="eastAsia" w:ascii="宋体" w:hAnsi="宋体" w:cs="宋体"/>
          <w:bCs/>
          <w:sz w:val="24"/>
          <w:szCs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4"/>
        </w:rPr>
        <w:t xml:space="preserve">。</w:t>
      </w:r>
      <w:r/>
    </w:p>
    <w:p>
      <w:pPr>
        <w:keepLines/>
        <w:keepNext/>
        <w:spacing w:line="360" w:lineRule="auto"/>
        <w:rPr>
          <w:rFonts w:ascii="宋体" w:hAnsi="宋体" w:cs="宋体"/>
          <w:b/>
          <w:bCs/>
          <w:sz w:val="24"/>
          <w:szCs w:val="24"/>
        </w:rPr>
        <w:outlineLvl w:val="2"/>
      </w:pPr>
      <w:r/>
      <w:bookmarkStart w:id="76" w:name="_Hlt26954739"/>
      <w:r/>
      <w:bookmarkEnd w:id="76"/>
      <w:r/>
      <w:bookmarkStart w:id="77" w:name="_Hlt26954852"/>
      <w:r/>
      <w:bookmarkEnd w:id="77"/>
      <w:r/>
      <w:bookmarkStart w:id="78" w:name="_Toc20823296"/>
      <w:r/>
      <w:bookmarkStart w:id="79" w:name="_Toc120614217"/>
      <w:r/>
      <w:bookmarkStart w:id="80" w:name="_Toc16938540"/>
      <w:r/>
      <w:bookmarkStart w:id="81" w:name="_Toc513029224"/>
      <w:r>
        <w:rPr>
          <w:rFonts w:hint="eastAsia" w:ascii="宋体" w:hAnsi="宋体" w:cs="宋体"/>
          <w:b/>
          <w:bCs/>
          <w:sz w:val="24"/>
          <w:szCs w:val="24"/>
        </w:rPr>
        <w:t xml:space="preserve">四、投标文件的递交</w:t>
      </w:r>
      <w:bookmarkEnd w:id="78"/>
      <w:r/>
      <w:bookmarkEnd w:id="79"/>
      <w:r/>
      <w:bookmarkEnd w:id="80"/>
      <w:r/>
      <w:bookmarkEnd w:id="81"/>
      <w:r/>
      <w:r/>
    </w:p>
    <w:p>
      <w:pPr>
        <w:ind w:firstLine="480"/>
        <w:keepLines/>
        <w:keepNext/>
        <w:spacing w:line="360" w:lineRule="auto"/>
        <w:rPr>
          <w:rFonts w:ascii="宋体" w:hAnsi="宋体" w:cs="宋体"/>
          <w:sz w:val="24"/>
          <w:szCs w:val="24"/>
        </w:rPr>
        <w:outlineLvl w:val="3"/>
      </w:pPr>
      <w:r/>
      <w:bookmarkStart w:id="82" w:name="_Toc513029225"/>
      <w:r/>
      <w:bookmarkStart w:id="83" w:name="_Toc462564084"/>
      <w:r/>
      <w:bookmarkStart w:id="84" w:name="_Toc16938541"/>
      <w:r/>
      <w:bookmarkStart w:id="85" w:name="_Toc20823297"/>
      <w:r>
        <w:rPr>
          <w:rFonts w:hint="eastAsia" w:ascii="宋体" w:hAnsi="宋体" w:cs="宋体"/>
          <w:sz w:val="24"/>
          <w:szCs w:val="24"/>
        </w:rPr>
        <w:t xml:space="preserve">17、电子投标文件</w:t>
      </w:r>
      <w:bookmarkEnd w:id="82"/>
      <w:r/>
      <w:bookmarkEnd w:id="83"/>
      <w:r/>
      <w:bookmarkEnd w:id="84"/>
      <w:r/>
      <w:bookmarkEnd w:id="85"/>
      <w:r>
        <w:rPr>
          <w:rFonts w:hint="eastAsia" w:ascii="宋体" w:hAnsi="宋体" w:cs="宋体"/>
          <w:sz w:val="24"/>
          <w:szCs w:val="24"/>
        </w:rPr>
        <w:t xml:space="preserve">的递交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17.1投标人应当按照《操作手册》规定，在投标截止时间前制作并上传电子投标文件。</w:t>
      </w:r>
      <w:bookmarkStart w:id="86" w:name="_Toc513029226"/>
      <w:r/>
      <w:bookmarkStart w:id="87" w:name="_Toc16938542"/>
      <w:r/>
      <w:bookmarkStart w:id="88" w:name="_Toc20823298"/>
      <w:r/>
      <w:r/>
    </w:p>
    <w:p>
      <w:pPr>
        <w:ind w:firstLine="480"/>
        <w:keepLines/>
        <w:keepNext/>
        <w:spacing w:line="360" w:lineRule="auto"/>
        <w:rPr>
          <w:rFonts w:ascii="宋体" w:hAnsi="宋体" w:cs="宋体"/>
          <w:bCs/>
          <w:sz w:val="24"/>
          <w:szCs w:val="24"/>
        </w:rPr>
        <w:outlineLvl w:val="3"/>
      </w:pPr>
      <w:r>
        <w:rPr>
          <w:rFonts w:hint="eastAsia" w:ascii="宋体" w:hAnsi="宋体" w:cs="宋体"/>
          <w:bCs/>
          <w:sz w:val="24"/>
          <w:szCs w:val="24"/>
        </w:rPr>
        <w:t xml:space="preserve">18、投标截止日期</w:t>
      </w:r>
      <w:bookmarkEnd w:id="86"/>
      <w:r/>
      <w:bookmarkEnd w:id="87"/>
      <w:r/>
      <w:bookmarkEnd w:id="88"/>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18.1</w:t>
      </w:r>
      <w:r>
        <w:rPr>
          <w:rFonts w:hint="eastAsia" w:ascii="宋体" w:hAnsi="宋体" w:cs="宋体"/>
          <w:bCs/>
          <w:color w:val="000000"/>
          <w:sz w:val="24"/>
          <w:szCs w:val="24"/>
        </w:rPr>
        <w:t xml:space="preserve"> 投标人上传电子投标文件的时间不得迟于招标公告中规定的投标截止时间。</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18.2</w:t>
      </w:r>
      <w:r>
        <w:rPr>
          <w:rFonts w:hint="eastAsia" w:ascii="宋体" w:hAnsi="宋体" w:cs="宋体"/>
          <w:bCs/>
          <w:color w:val="000000"/>
          <w:sz w:val="24"/>
          <w:szCs w:val="24"/>
        </w:rPr>
        <w:t xml:space="preserve"> 交易中心可以按照规定，通过修改招标文件酌情延长投标截止日期，在此情况下，投标人的所有权利和义务以及投标人受制的截止日期均应以延长后新的截止日期为准。</w:t>
      </w:r>
      <w:r/>
    </w:p>
    <w:p>
      <w:pPr>
        <w:ind w:firstLine="480"/>
        <w:keepLines/>
        <w:keepNext/>
        <w:spacing w:line="360" w:lineRule="auto"/>
        <w:rPr>
          <w:rFonts w:ascii="宋体" w:hAnsi="宋体" w:cs="宋体"/>
          <w:color w:val="000000"/>
          <w:sz w:val="24"/>
          <w:szCs w:val="24"/>
        </w:rPr>
        <w:outlineLvl w:val="3"/>
      </w:pPr>
      <w:r/>
      <w:bookmarkStart w:id="89" w:name="_Toc16938543"/>
      <w:r/>
      <w:bookmarkStart w:id="90" w:name="_Toc20823299"/>
      <w:r/>
      <w:bookmarkStart w:id="91" w:name="_Toc513029227"/>
      <w:r>
        <w:rPr>
          <w:rFonts w:hint="eastAsia" w:ascii="宋体" w:hAnsi="宋体" w:cs="宋体"/>
          <w:color w:val="000000"/>
          <w:sz w:val="24"/>
          <w:szCs w:val="24"/>
        </w:rPr>
        <w:t xml:space="preserve">19、投标文件</w:t>
      </w:r>
      <w:bookmarkEnd w:id="89"/>
      <w:r/>
      <w:bookmarkEnd w:id="90"/>
      <w:r/>
      <w:bookmarkEnd w:id="91"/>
      <w:r>
        <w:rPr>
          <w:rFonts w:hint="eastAsia" w:ascii="宋体" w:hAnsi="宋体" w:cs="宋体"/>
          <w:color w:val="000000"/>
          <w:sz w:val="24"/>
          <w:szCs w:val="24"/>
        </w:rPr>
        <w:t xml:space="preserve">的拒收</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19.1 交易中心拒绝接收在其规定的投标截止时间后上传的任何投标文件。</w:t>
      </w:r>
      <w:r/>
    </w:p>
    <w:p>
      <w:pPr>
        <w:ind w:firstLine="480"/>
        <w:keepLines/>
        <w:keepNext/>
        <w:spacing w:line="360" w:lineRule="auto"/>
        <w:rPr>
          <w:rFonts w:ascii="宋体" w:hAnsi="宋体" w:cs="宋体"/>
          <w:color w:val="000000"/>
          <w:sz w:val="24"/>
          <w:szCs w:val="24"/>
        </w:rPr>
        <w:outlineLvl w:val="3"/>
      </w:pPr>
      <w:r/>
      <w:bookmarkStart w:id="92" w:name="_Toc20823300"/>
      <w:r/>
      <w:bookmarkStart w:id="93" w:name="_Toc513029228"/>
      <w:r/>
      <w:bookmarkStart w:id="94" w:name="_Toc16938544"/>
      <w:r>
        <w:rPr>
          <w:rFonts w:hint="eastAsia" w:ascii="宋体" w:hAnsi="宋体" w:cs="宋体"/>
          <w:color w:val="000000"/>
          <w:sz w:val="24"/>
          <w:szCs w:val="24"/>
        </w:rPr>
        <w:t xml:space="preserve">20、投标文件的撤回和修改</w:t>
      </w:r>
      <w:bookmarkEnd w:id="92"/>
      <w:r/>
      <w:bookmarkEnd w:id="93"/>
      <w:r/>
      <w:bookmarkEnd w:id="94"/>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20.1 投标文件的撤回</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20.1.1 电子投标文件的撤回</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投标人可在投标截止时间前，撤回其电子投标文件，具体操作方法见《操作手册》。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20.1.2 投标人撤回电子投标文件，则认为其不再参与本项目投标活动。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20.2 投标文件的修改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20.2.1投标人可在投标截止时间前，对其电子投标文件进行修改，具体操作方法见《操作手册》。</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20.2.2</w:t>
      </w:r>
      <w:r>
        <w:rPr>
          <w:rFonts w:hint="eastAsia" w:ascii="宋体" w:hAnsi="宋体" w:cs="宋体"/>
          <w:bCs/>
          <w:color w:val="000000"/>
          <w:sz w:val="24"/>
          <w:szCs w:val="24"/>
        </w:rPr>
        <w:t xml:space="preserve"> 在投标截止时间之后，投标人不得对其电子投标文件作任何修改。</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20.3</w:t>
      </w:r>
      <w:r>
        <w:rPr>
          <w:rFonts w:hint="eastAsia" w:ascii="宋体" w:hAnsi="宋体" w:cs="宋体"/>
          <w:bCs/>
          <w:color w:val="000000"/>
          <w:sz w:val="24"/>
          <w:szCs w:val="24"/>
        </w:rPr>
        <w:t xml:space="preserve"> 在投标截止时间至招标文件中规定的投标有效期满之间的这段时间内，投标人不得撤回其投标。</w:t>
      </w:r>
      <w:r/>
    </w:p>
    <w:p>
      <w:pPr>
        <w:keepLines/>
        <w:keepNext/>
        <w:spacing w:line="360" w:lineRule="auto"/>
        <w:rPr>
          <w:rFonts w:ascii="宋体" w:hAnsi="宋体" w:cs="宋体"/>
          <w:b/>
          <w:bCs/>
          <w:color w:val="000000"/>
          <w:sz w:val="24"/>
          <w:szCs w:val="24"/>
        </w:rPr>
        <w:outlineLvl w:val="2"/>
      </w:pPr>
      <w:r/>
      <w:bookmarkStart w:id="95" w:name="_Toc120614218"/>
      <w:r/>
      <w:bookmarkStart w:id="96" w:name="_Toc513029229"/>
      <w:r/>
      <w:bookmarkStart w:id="97" w:name="_Toc16938545"/>
      <w:r/>
      <w:bookmarkStart w:id="98" w:name="_Toc20823301"/>
      <w:r>
        <w:rPr>
          <w:rFonts w:hint="eastAsia" w:ascii="宋体" w:hAnsi="宋体" w:cs="宋体"/>
          <w:b/>
          <w:bCs/>
          <w:color w:val="000000"/>
          <w:sz w:val="24"/>
          <w:szCs w:val="24"/>
        </w:rPr>
        <w:t xml:space="preserve">五、开标与评标</w:t>
      </w:r>
      <w:bookmarkEnd w:id="95"/>
      <w:r/>
      <w:bookmarkEnd w:id="96"/>
      <w:r/>
      <w:bookmarkEnd w:id="97"/>
      <w:r/>
      <w:bookmarkEnd w:id="98"/>
      <w:r/>
      <w:r/>
    </w:p>
    <w:p>
      <w:pPr>
        <w:ind w:firstLine="480"/>
        <w:keepLines/>
        <w:keepNext/>
        <w:spacing w:line="360" w:lineRule="auto"/>
        <w:rPr>
          <w:rFonts w:ascii="宋体" w:hAnsi="宋体" w:cs="宋体"/>
          <w:color w:val="000000"/>
          <w:sz w:val="24"/>
          <w:szCs w:val="24"/>
        </w:rPr>
        <w:outlineLvl w:val="3"/>
      </w:pPr>
      <w:r/>
      <w:bookmarkStart w:id="99" w:name="_Toc513029230"/>
      <w:r/>
      <w:bookmarkStart w:id="100" w:name="_Toc16938546"/>
      <w:r/>
      <w:bookmarkStart w:id="101" w:name="_Toc20823302"/>
      <w:r>
        <w:rPr>
          <w:rFonts w:hint="eastAsia" w:ascii="宋体" w:hAnsi="宋体" w:cs="宋体"/>
          <w:color w:val="000000"/>
          <w:sz w:val="24"/>
          <w:szCs w:val="24"/>
        </w:rPr>
        <w:t xml:space="preserve">21、开标</w:t>
      </w:r>
      <w:bookmarkEnd w:id="99"/>
      <w:r/>
      <w:bookmarkEnd w:id="100"/>
      <w:r/>
      <w:bookmarkEnd w:id="101"/>
      <w:r/>
      <w:r/>
    </w:p>
    <w:p>
      <w:pPr>
        <w:ind w:firstLine="480"/>
        <w:spacing w:line="360" w:lineRule="auto"/>
        <w:rPr>
          <w:rFonts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 交易中心将在招标公告中规定的时间和地点组织公开开标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p>
    <w:p>
      <w:pPr>
        <w:ind w:firstLine="480"/>
        <w:spacing w:line="360" w:lineRule="auto"/>
        <w:rPr>
          <w:rFonts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开标仪式由交易中心组织。苏采云系统将自动对项目进行开标，并宣布各投标人名称和投标价格。</w:t>
      </w:r>
      <w:r/>
    </w:p>
    <w:p>
      <w:pPr>
        <w:ind w:firstLine="480"/>
        <w:spacing w:line="360" w:lineRule="auto"/>
        <w:rPr>
          <w:rFonts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p>
    <w:p>
      <w:pPr>
        <w:ind w:firstLine="480"/>
        <w:spacing w:line="360" w:lineRule="auto"/>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360" w:lineRule="auto"/>
        <w:rPr>
          <w:rFonts w:ascii="宋体" w:hAnsi="宋体" w:cs="宋体"/>
          <w:sz w:val="24"/>
          <w:szCs w:val="24"/>
        </w:rPr>
        <w:outlineLvl w:val="3"/>
      </w:pPr>
      <w:r/>
      <w:bookmarkStart w:id="102" w:name="_Toc16938547"/>
      <w:r/>
      <w:bookmarkStart w:id="103" w:name="_Toc513029231"/>
      <w:r/>
      <w:bookmarkStart w:id="104" w:name="_Toc20823303"/>
      <w:r>
        <w:rPr>
          <w:rFonts w:hint="eastAsia" w:ascii="宋体" w:hAnsi="宋体" w:cs="宋体"/>
          <w:sz w:val="24"/>
          <w:szCs w:val="24"/>
        </w:rPr>
        <w:t xml:space="preserve">22、评标委员会</w:t>
      </w:r>
      <w:r/>
    </w:p>
    <w:p>
      <w:pPr>
        <w:ind w:firstLine="480"/>
        <w:spacing w:line="360" w:lineRule="auto"/>
        <w:rPr>
          <w:rFonts w:ascii="宋体" w:hAnsi="宋体" w:cs="宋体"/>
          <w:b/>
          <w:color w:val="000000"/>
          <w:sz w:val="24"/>
          <w:szCs w:val="24"/>
        </w:rPr>
      </w:pPr>
      <w:r>
        <w:rPr>
          <w:rFonts w:hint="eastAsia" w:ascii="宋体" w:hAnsi="宋体" w:cs="宋体"/>
          <w:color w:val="000000"/>
          <w:sz w:val="24"/>
          <w:szCs w:val="24"/>
        </w:rPr>
        <w:t xml:space="preserve">22.1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开标后，交易中心将立即组织评标委员会（以下简称评委会）进行评标。</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22.2 评委会由采购人代表和有关技术、经济等方面的专家组成，且人员构成符合政府采购有关规定。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22.3评委会独立工作，负责评审所有投标文件并确定中标候选人。</w:t>
      </w:r>
      <w:r/>
    </w:p>
    <w:p>
      <w:pPr>
        <w:ind w:firstLine="480"/>
        <w:keepLines/>
        <w:keepNext/>
        <w:spacing w:line="360" w:lineRule="auto"/>
        <w:rPr>
          <w:rFonts w:ascii="宋体" w:hAnsi="宋体" w:cs="宋体"/>
          <w:color w:val="000000"/>
          <w:sz w:val="24"/>
          <w:szCs w:val="24"/>
        </w:rPr>
        <w:outlineLvl w:val="3"/>
      </w:pPr>
      <w:r>
        <w:rPr>
          <w:rFonts w:hint="eastAsia" w:ascii="宋体" w:hAnsi="宋体" w:cs="宋体"/>
          <w:color w:val="000000"/>
          <w:sz w:val="24"/>
          <w:szCs w:val="24"/>
        </w:rPr>
        <w:t xml:space="preserve">23、评标过程的保密与公正</w:t>
      </w:r>
      <w:bookmarkEnd w:id="102"/>
      <w:r/>
      <w:bookmarkEnd w:id="103"/>
      <w:r/>
      <w:bookmarkEnd w:id="104"/>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23.1</w:t>
      </w:r>
      <w:r>
        <w:rPr>
          <w:rFonts w:hint="eastAsia" w:ascii="宋体" w:hAnsi="宋体" w:cs="宋体"/>
          <w:bCs/>
          <w:color w:val="000000"/>
          <w:sz w:val="24"/>
          <w:szCs w:val="24"/>
        </w:rPr>
        <w:t xml:space="preserve">凡是与审查、澄清、评价和比较投标的有关资料以及授标建议等，采购人、评委、交易中心均不得向投标人或与评标无关的其他人员透露。</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23.2在评标过程中，投标人不得以任何行为影响评标过程，否则其投标文件将被作为无效投标文件。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23.3 交易中心和评标委员会不向未中标的投标人解释未中标原因，也不公布评标过程中的相关细节。</w:t>
      </w:r>
      <w:r/>
    </w:p>
    <w:p>
      <w:pPr>
        <w:ind w:firstLine="480"/>
        <w:spacing w:line="360" w:lineRule="auto"/>
        <w:rPr>
          <w:rFonts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ind w:firstLine="480"/>
        <w:keepLines/>
        <w:keepNext/>
        <w:spacing w:line="360" w:lineRule="auto"/>
        <w:rPr>
          <w:rFonts w:ascii="宋体" w:hAnsi="宋体" w:cs="宋体"/>
          <w:color w:val="000000"/>
          <w:sz w:val="24"/>
          <w:szCs w:val="24"/>
        </w:rPr>
        <w:outlineLvl w:val="3"/>
      </w:pPr>
      <w:r/>
      <w:bookmarkStart w:id="105" w:name="_Toc20823304"/>
      <w:r/>
      <w:bookmarkStart w:id="106" w:name="_Toc513029232"/>
      <w:r/>
      <w:bookmarkStart w:id="107" w:name="_Toc16938548"/>
      <w:r>
        <w:rPr>
          <w:rFonts w:hint="eastAsia" w:ascii="宋体" w:hAnsi="宋体" w:cs="宋体"/>
          <w:color w:val="000000"/>
          <w:sz w:val="24"/>
          <w:szCs w:val="24"/>
        </w:rPr>
        <w:t xml:space="preserve">24、投标文件的澄清</w:t>
      </w:r>
      <w:bookmarkEnd w:id="105"/>
      <w:r/>
      <w:bookmarkEnd w:id="106"/>
      <w:r/>
      <w:bookmarkEnd w:id="107"/>
      <w:r/>
      <w:r/>
    </w:p>
    <w:p>
      <w:pPr>
        <w:ind w:firstLine="480"/>
        <w:spacing w:line="360" w:lineRule="auto"/>
        <w:rPr>
          <w:rFonts w:ascii="宋体" w:hAnsi="宋体" w:cs="宋体"/>
          <w:color w:val="000000"/>
          <w:sz w:val="24"/>
          <w:szCs w:val="24"/>
        </w:rPr>
      </w:pPr>
      <w:r/>
      <w:bookmarkStart w:id="108" w:name="_Toc513029233"/>
      <w:r/>
      <w:bookmarkStart w:id="109" w:name="_Toc20823305"/>
      <w:r/>
      <w:bookmarkStart w:id="110" w:name="_Toc16938549"/>
      <w:r>
        <w:rPr>
          <w:rFonts w:hint="eastAsia" w:ascii="宋体" w:hAnsi="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评标委员会并非对每个投标人都做澄清要求。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24.2需要供应商进行澄清、说明和补正的，评委</w:t>
      </w:r>
      <w:r>
        <w:rPr>
          <w:rFonts w:hint="eastAsia" w:ascii="宋体" w:hAnsi="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24.3 接到评委会澄清、说明和补正要求的投标人如未按规定做出澄清、说明和补正，其风险由投标人自行承担。</w:t>
      </w:r>
      <w:r/>
    </w:p>
    <w:p>
      <w:pPr>
        <w:ind w:firstLine="480"/>
        <w:keepLines/>
        <w:keepNext/>
        <w:spacing w:line="360" w:lineRule="auto"/>
        <w:rPr>
          <w:rFonts w:ascii="宋体" w:hAnsi="宋体" w:cs="宋体"/>
          <w:color w:val="000000"/>
          <w:sz w:val="24"/>
          <w:szCs w:val="24"/>
        </w:rPr>
        <w:outlineLvl w:val="3"/>
      </w:pPr>
      <w:r>
        <w:rPr>
          <w:rFonts w:hint="eastAsia" w:ascii="宋体" w:hAnsi="宋体" w:cs="宋体"/>
          <w:color w:val="000000"/>
          <w:sz w:val="24"/>
          <w:szCs w:val="24"/>
        </w:rPr>
        <w:t xml:space="preserve">25、对投标文件的初审</w:t>
      </w:r>
      <w:bookmarkEnd w:id="108"/>
      <w:r/>
      <w:bookmarkEnd w:id="109"/>
      <w:r/>
      <w:bookmarkEnd w:id="110"/>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25.1</w:t>
      </w:r>
      <w:r>
        <w:rPr>
          <w:rFonts w:hint="eastAsia" w:ascii="宋体" w:hAnsi="宋体" w:cs="宋体"/>
          <w:bCs/>
          <w:color w:val="000000"/>
          <w:sz w:val="24"/>
          <w:szCs w:val="24"/>
        </w:rPr>
        <w:t xml:space="preserve">投标文件初审分为资格审查和符合性审查。</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.1.3 未通过资格审查或符合性审查的投标人，交易中心将</w:t>
      </w:r>
      <w:r>
        <w:rPr>
          <w:rFonts w:hint="eastAsia" w:ascii="宋体" w:hAnsi="宋体" w:cs="宋体"/>
          <w:bCs/>
          <w:sz w:val="24"/>
          <w:szCs w:val="24"/>
        </w:rPr>
        <w:t xml:space="preserve">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中告知未通过资格审查或符合性审查的原因，评审结束后，交易中心将不再告知未通过资格审查或符合性审查的原因。</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5</w:t>
      </w:r>
      <w:r>
        <w:rPr>
          <w:rFonts w:hint="eastAsia" w:ascii="宋体" w:hAnsi="宋体" w:cs="宋体"/>
          <w:sz w:val="24"/>
          <w:szCs w:val="24"/>
        </w:rPr>
        <w:t xml:space="preserve">.2在详细评标之前，评委会</w:t>
      </w:r>
      <w:r>
        <w:rPr>
          <w:rFonts w:hint="eastAsia" w:ascii="宋体" w:hAnsi="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rPr>
        <w:t xml:space="preserve">评委决定投标文件的响应性只根据投标文件本身的内容，而不寻求外部的证据。</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25.3</w:t>
      </w:r>
      <w:r>
        <w:rPr>
          <w:rFonts w:hint="eastAsia" w:ascii="宋体" w:hAnsi="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25.4</w:t>
      </w:r>
      <w:r>
        <w:rPr>
          <w:rFonts w:hint="eastAsia" w:ascii="宋体" w:hAnsi="宋体" w:cs="宋体"/>
          <w:bCs/>
          <w:color w:val="000000"/>
          <w:sz w:val="24"/>
          <w:szCs w:val="24"/>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（1）投标文件中开标一览表内容与投标文件中相应内容不一致的，以开标一览表为准。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（3）单价金额小数点或者百分比有明显错位的，以开标一览表的总价为准，并修改单价。</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（4）总价金额与按单价汇总金额不一致的，以单价金额计算结果为准。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同时出现两种以上错误的，按照前款规定的顺序修正。</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25.5</w:t>
      </w:r>
      <w:r>
        <w:rPr>
          <w:rFonts w:hint="eastAsia" w:ascii="宋体" w:hAnsi="宋体" w:cs="宋体"/>
          <w:bCs/>
          <w:color w:val="000000"/>
          <w:sz w:val="24"/>
          <w:szCs w:val="24"/>
        </w:rPr>
        <w:t xml:space="preserve">评委会将按上述修正错误的方法调整投标文件中的投标报价</w:t>
      </w:r>
      <w:r>
        <w:rPr>
          <w:rFonts w:hint="eastAsia" w:ascii="宋体" w:hAnsi="宋体" w:cs="宋体"/>
          <w:bCs/>
          <w:sz w:val="24"/>
          <w:szCs w:val="24"/>
        </w:rPr>
        <w:t xml:space="preserve">，并通过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p>
    <w:p>
      <w:pPr>
        <w:ind w:firstLine="480"/>
        <w:spacing w:line="360" w:lineRule="auto"/>
        <w:rPr>
          <w:rFonts w:ascii="宋体" w:hAnsi="宋体" w:cs="宋体"/>
          <w:color w:val="000000"/>
          <w:sz w:val="24"/>
          <w:szCs w:val="24"/>
        </w:rPr>
      </w:pPr>
      <w:r/>
      <w:bookmarkStart w:id="111" w:name="_Toc513029234"/>
      <w:r/>
      <w:bookmarkStart w:id="112" w:name="_Toc16938550"/>
      <w:r/>
      <w:bookmarkStart w:id="113" w:name="_Toc20823306"/>
      <w:r>
        <w:rPr>
          <w:rFonts w:hint="eastAsia" w:ascii="宋体" w:hAnsi="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非单一产品采购项目，招标文件中将载明其中的核心产品。多家投标人提供的核心产品品牌相同的，按前两款规定处理。</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25.7投标人在开、评标全过程中应保持通</w:t>
      </w:r>
      <w:r>
        <w:rPr>
          <w:rFonts w:hint="eastAsia" w:ascii="宋体" w:hAnsi="宋体" w:cs="宋体"/>
          <w:sz w:val="24"/>
          <w:szCs w:val="24"/>
        </w:rPr>
        <w:t xml:space="preserve">讯畅通，及时登录苏采云系统查阅、答复相关信息，并安排专人与交易中心及评标委员会联系。</w:t>
      </w:r>
      <w:r/>
    </w:p>
    <w:p>
      <w:pPr>
        <w:ind w:firstLine="480"/>
        <w:spacing w:line="360" w:lineRule="auto"/>
        <w:rPr>
          <w:rFonts w:ascii="宋体" w:hAnsi="宋体" w:cs="宋体"/>
          <w:sz w:val="24"/>
          <w:szCs w:val="24"/>
        </w:rPr>
      </w:pPr>
      <w:r>
        <w:rPr>
          <w:rFonts w:hint="eastAsia" w:ascii="宋体" w:hAnsi="宋体" w:cs="宋体"/>
          <w:sz w:val="24"/>
          <w:szCs w:val="24"/>
        </w:rPr>
        <w:t xml:space="preserve">25.8 异常低价投标审查</w:t>
      </w:r>
      <w:r/>
    </w:p>
    <w:p>
      <w:pPr>
        <w:ind w:firstLine="480"/>
        <w:spacing w:line="360" w:lineRule="auto"/>
        <w:rPr>
          <w:rFonts w:ascii="宋体" w:hAnsi="宋体" w:cs="宋体"/>
          <w:sz w:val="24"/>
          <w:szCs w:val="24"/>
        </w:rPr>
      </w:pPr>
      <w:r>
        <w:rPr>
          <w:rFonts w:hint="eastAsia" w:ascii="宋体" w:hAnsi="宋体" w:cs="宋体"/>
          <w:sz w:val="24"/>
          <w:szCs w:val="24"/>
        </w:rPr>
        <w:t xml:space="preserve">25.8.1 评标过程中出现下列情形之一的，评标委员会应当启动异常低价投标审查程序：</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投标（响应）报价低于采购项目最高限价45%的，即投标（响应）报价&lt;采购项目最高限价×45%；</w:t>
      </w:r>
      <w:r/>
    </w:p>
    <w:p>
      <w:pPr>
        <w:ind w:firstLine="480"/>
        <w:spacing w:line="360" w:lineRule="auto"/>
        <w:rPr>
          <w:rFonts w:ascii="宋体" w:hAnsi="宋体" w:cs="宋体"/>
          <w:sz w:val="24"/>
          <w:szCs w:val="24"/>
        </w:rPr>
      </w:pPr>
      <w:r>
        <w:rPr>
          <w:rFonts w:hint="eastAsia" w:ascii="宋体" w:hAnsi="宋体" w:cs="宋体"/>
          <w:sz w:val="24"/>
          <w:szCs w:val="24"/>
        </w:rPr>
        <w:t xml:space="preserve">（4）评标委员会</w:t>
      </w:r>
      <w:r>
        <w:rPr>
          <w:rFonts w:ascii="宋体" w:hAnsi="宋体" w:cs="宋体"/>
          <w:sz w:val="24"/>
          <w:szCs w:val="24"/>
        </w:rPr>
        <w:t xml:space="preserve">基于专业判断，认为供应商报价过低，有可能影响产品质量或者不能诚信履约的其他情形。</w:t>
      </w:r>
      <w:r/>
    </w:p>
    <w:p>
      <w:pPr>
        <w:ind w:firstLine="480"/>
        <w:spacing w:line="360" w:lineRule="auto"/>
        <w:rPr>
          <w:rFonts w:ascii="宋体" w:hAnsi="宋体" w:cs="宋体"/>
          <w:sz w:val="24"/>
          <w:szCs w:val="24"/>
        </w:rPr>
      </w:pPr>
      <w:r>
        <w:rPr>
          <w:rFonts w:hint="eastAsia" w:ascii="宋体" w:hAnsi="宋体" w:cs="宋体"/>
          <w:sz w:val="24"/>
          <w:szCs w:val="24"/>
        </w:rPr>
        <w:t xml:space="preserve">25.8.2 评标委员会</w:t>
      </w:r>
      <w:r>
        <w:rPr>
          <w:rFonts w:ascii="宋体" w:hAnsi="宋体" w:cs="宋体"/>
          <w:sz w:val="24"/>
          <w:szCs w:val="24"/>
        </w:rPr>
        <w:t xml:space="preserve">启动异常低价投标（响应）审查后，属于前述第1项至第4项情形的，应当要求相关供应商</w:t>
      </w:r>
      <w:r>
        <w:rPr>
          <w:rFonts w:hint="eastAsia" w:ascii="宋体" w:hAnsi="宋体" w:cs="宋体"/>
          <w:sz w:val="24"/>
          <w:szCs w:val="24"/>
        </w:rPr>
        <w:t xml:space="preserve">通过“苏采云”系统</w:t>
      </w:r>
      <w:r>
        <w:rPr>
          <w:rFonts w:ascii="宋体" w:hAnsi="宋体" w:cs="宋体"/>
          <w:sz w:val="24"/>
          <w:szCs w:val="24"/>
        </w:rPr>
        <w:t xml:space="preserve">在</w:t>
      </w:r>
      <w:r>
        <w:rPr>
          <w:rFonts w:hint="eastAsia" w:ascii="宋体" w:hAnsi="宋体" w:cs="宋体"/>
          <w:sz w:val="24"/>
          <w:szCs w:val="24"/>
        </w:rPr>
        <w:t xml:space="preserve">30分钟</w:t>
      </w:r>
      <w:r>
        <w:rPr>
          <w:rFonts w:ascii="宋体" w:hAnsi="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rPr>
          <w:rFonts w:ascii="宋体" w:hAnsi="宋体" w:cs="宋体"/>
          <w:sz w:val="24"/>
          <w:szCs w:val="24"/>
        </w:rPr>
      </w:pPr>
      <w:r>
        <w:rPr>
          <w:rFonts w:hint="eastAsia" w:ascii="宋体" w:hAnsi="宋体" w:cs="宋体"/>
          <w:sz w:val="24"/>
          <w:szCs w:val="24"/>
        </w:rPr>
        <w:t xml:space="preserve">评标委员会</w:t>
      </w:r>
      <w:r>
        <w:rPr>
          <w:rFonts w:ascii="宋体" w:hAnsi="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 w:val="24"/>
          <w:szCs w:val="24"/>
        </w:rPr>
        <w:t xml:space="preserve">评标委员会</w:t>
      </w:r>
      <w:r>
        <w:rPr>
          <w:rFonts w:ascii="宋体" w:hAnsi="宋体" w:cs="宋体"/>
          <w:sz w:val="24"/>
          <w:szCs w:val="24"/>
        </w:rPr>
        <w:t xml:space="preserve">应当将其作为无效投标（响应）处理。</w:t>
      </w:r>
      <w:r/>
    </w:p>
    <w:p>
      <w:pPr>
        <w:ind w:firstLine="480"/>
        <w:spacing w:line="360" w:lineRule="auto"/>
        <w:rPr>
          <w:rFonts w:ascii="宋体" w:hAnsi="宋体" w:cs="宋体"/>
          <w:sz w:val="24"/>
          <w:szCs w:val="24"/>
        </w:rPr>
      </w:pPr>
      <w:r>
        <w:rPr>
          <w:rFonts w:ascii="宋体" w:hAnsi="宋体" w:cs="宋体"/>
          <w:sz w:val="24"/>
          <w:szCs w:val="24"/>
        </w:rPr>
        <w:t xml:space="preserve">采购人、采购代理机构应当为</w:t>
      </w:r>
      <w:r>
        <w:rPr>
          <w:rFonts w:hint="eastAsia" w:ascii="宋体" w:hAnsi="宋体" w:cs="宋体"/>
          <w:sz w:val="24"/>
          <w:szCs w:val="24"/>
        </w:rPr>
        <w:t xml:space="preserve">评标委员会</w:t>
      </w:r>
      <w:r>
        <w:rPr>
          <w:rFonts w:ascii="宋体" w:hAnsi="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4"/>
          <w:szCs w:val="24"/>
        </w:rPr>
        <w:t xml:space="preserve">评标委员会</w:t>
      </w:r>
      <w:r>
        <w:rPr>
          <w:rFonts w:ascii="宋体" w:hAnsi="宋体" w:cs="宋体"/>
          <w:sz w:val="24"/>
          <w:szCs w:val="24"/>
        </w:rPr>
        <w:t xml:space="preserve">借助互联网等渠道查询相关信息的，应当严格遵守评审工作纪律，不得实施影响评审公正的行为。</w:t>
      </w:r>
      <w:r/>
    </w:p>
    <w:p>
      <w:pPr>
        <w:ind w:firstLine="480"/>
        <w:spacing w:line="360" w:lineRule="auto"/>
        <w:rPr>
          <w:rFonts w:ascii="宋体" w:hAnsi="宋体" w:cs="宋体"/>
          <w:sz w:val="24"/>
          <w:szCs w:val="24"/>
        </w:rPr>
      </w:pPr>
      <w:r>
        <w:rPr>
          <w:rFonts w:ascii="宋体" w:hAnsi="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cs="宋体"/>
          <w:sz w:val="24"/>
          <w:szCs w:val="24"/>
        </w:rPr>
        <w:t xml:space="preserve">评标委员会</w:t>
      </w:r>
      <w:r>
        <w:rPr>
          <w:rFonts w:ascii="宋体" w:hAnsi="宋体" w:cs="宋体"/>
          <w:sz w:val="24"/>
          <w:szCs w:val="24"/>
        </w:rPr>
        <w:t xml:space="preserve">有关互联网浏览、查询历史一并归档。 </w:t>
      </w:r>
      <w:r/>
    </w:p>
    <w:p>
      <w:pPr>
        <w:ind w:firstLine="480"/>
        <w:keepLines/>
        <w:keepNext/>
        <w:spacing w:line="360" w:lineRule="auto"/>
        <w:rPr>
          <w:rFonts w:ascii="宋体" w:hAnsi="宋体" w:cs="宋体"/>
          <w:sz w:val="24"/>
          <w:szCs w:val="24"/>
        </w:rPr>
        <w:outlineLvl w:val="3"/>
      </w:pPr>
      <w:r>
        <w:rPr>
          <w:rFonts w:hint="eastAsia" w:ascii="宋体" w:hAnsi="宋体" w:cs="宋体"/>
          <w:sz w:val="24"/>
          <w:szCs w:val="24"/>
        </w:rPr>
        <w:t xml:space="preserve">26、</w:t>
      </w:r>
      <w:bookmarkEnd w:id="111"/>
      <w:r/>
      <w:bookmarkEnd w:id="112"/>
      <w:r/>
      <w:bookmarkEnd w:id="113"/>
      <w:r>
        <w:rPr>
          <w:rFonts w:hint="eastAsia" w:ascii="宋体" w:hAnsi="宋体" w:cs="宋体"/>
          <w:sz w:val="24"/>
          <w:szCs w:val="24"/>
        </w:rPr>
        <w:t xml:space="preserve">无效投标条款和废标条款</w:t>
      </w:r>
      <w:r/>
    </w:p>
    <w:p>
      <w:pPr>
        <w:ind w:firstLine="480"/>
        <w:spacing w:line="360" w:lineRule="auto"/>
        <w:rPr>
          <w:rFonts w:ascii="宋体" w:hAnsi="宋体" w:cs="宋体"/>
          <w:bCs/>
          <w:sz w:val="24"/>
          <w:szCs w:val="24"/>
        </w:rPr>
      </w:pPr>
      <w:r/>
      <w:bookmarkStart w:id="114" w:name="_Toc513029235"/>
      <w:r/>
      <w:bookmarkStart w:id="115" w:name="_Toc20823307"/>
      <w:r/>
      <w:bookmarkStart w:id="116" w:name="_Toc16938551"/>
      <w:r>
        <w:rPr>
          <w:rFonts w:hint="eastAsia" w:ascii="宋体" w:hAnsi="宋体" w:cs="宋体"/>
          <w:bCs/>
          <w:sz w:val="24"/>
          <w:szCs w:val="24"/>
        </w:rPr>
        <w:t xml:space="preserve">26.1无效投标条款</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26.1.2 投标人未按照招标文件</w:t>
      </w:r>
      <w:r>
        <w:rPr>
          <w:rFonts w:hint="eastAsia" w:ascii="宋体" w:hAnsi="宋体" w:cs="宋体"/>
          <w:bCs/>
          <w:color w:val="000000"/>
          <w:sz w:val="24"/>
          <w:szCs w:val="24"/>
        </w:rPr>
        <w:t xml:space="preserve">要求上传电子投标文件的。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.1.3 投标人</w:t>
      </w:r>
      <w:r>
        <w:rPr>
          <w:rFonts w:hint="eastAsia" w:ascii="宋体" w:hAnsi="宋体" w:cs="宋体"/>
          <w:bCs/>
          <w:sz w:val="24"/>
          <w:szCs w:val="24"/>
        </w:rPr>
        <w:t xml:space="preserve">同一采购包提</w:t>
      </w:r>
      <w:r>
        <w:rPr>
          <w:rFonts w:hint="eastAsia" w:ascii="宋体" w:hAnsi="宋体" w:cs="宋体"/>
          <w:bCs/>
          <w:color w:val="000000"/>
          <w:sz w:val="24"/>
          <w:szCs w:val="24"/>
        </w:rPr>
        <w:t xml:space="preserve">交两个（含两个）以上不同的投标报价的。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.1.4投标人不具备招标文件中规定资格要求的。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.1.5投标人的报价超过了采购预算或最高限价的。</w:t>
      </w:r>
      <w:r/>
    </w:p>
    <w:p>
      <w:pPr>
        <w:ind w:firstLine="480"/>
        <w:spacing w:line="360" w:lineRule="auto"/>
        <w:rPr>
          <w:rFonts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.1.6未通过符合性审查的。</w:t>
      </w:r>
      <w:r/>
    </w:p>
    <w:p>
      <w:pPr>
        <w:ind w:firstLine="480"/>
        <w:spacing w:line="360" w:lineRule="auto"/>
        <w:rPr>
          <w:rFonts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.1.7不符合招标文件中规定的实质性要求的</w:t>
      </w:r>
      <w:r>
        <w:rPr>
          <w:rFonts w:hint="eastAsia" w:ascii="宋体" w:hAnsi="宋体" w:cs="宋体"/>
          <w:b/>
          <w:bCs/>
          <w:sz w:val="24"/>
          <w:szCs w:val="24"/>
        </w:rPr>
        <w:t xml:space="preserve">（本招标文件中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.1.9 投标文件含有采购人不能接受的附加条件的。</w:t>
      </w:r>
      <w:r/>
    </w:p>
    <w:p>
      <w:pPr>
        <w:ind w:firstLine="480"/>
        <w:spacing w:line="360" w:lineRule="auto"/>
        <w:rPr>
          <w:rFonts w:ascii="宋体" w:hAnsi="宋体" w:cs="宋体"/>
          <w:sz w:val="24"/>
          <w:szCs w:val="24"/>
        </w:rPr>
      </w:pPr>
      <w:r>
        <w:rPr>
          <w:rFonts w:hint="eastAsia" w:ascii="宋体" w:hAnsi="宋体" w:cs="宋体"/>
          <w:sz w:val="24"/>
          <w:szCs w:val="24"/>
        </w:rPr>
        <w:t xml:space="preserve">26.1.10 评标委员会按照本招标文件规定对投标人进行异常低价投标审查后，认为投标人不能证明其报价合理性的。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26.1.12 投标文件未按照招标文件要求加盖CA电子公章的。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26.1.13 投标人所投标产品不符合招标文件中所列国家强制性标准的。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26.1.14 不同投标人MAC地址、标书制作工具客户端标识码一致的。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26.1.15其他法律、法规及本招标文件规定的属无效投标的情形。</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26.2废标条款 </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26.2.1符合专业条件的供应商或者对招标文件作实质响应</w:t>
      </w:r>
      <w:r>
        <w:rPr>
          <w:rFonts w:hint="eastAsia" w:ascii="宋体" w:hAnsi="宋体" w:cs="宋体"/>
          <w:bCs/>
          <w:color w:val="000000"/>
          <w:sz w:val="24"/>
          <w:szCs w:val="24"/>
        </w:rPr>
        <w:t xml:space="preserve">的供应商不足三家的。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26.2.2出现影响采购公正的违法、违规行为的。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.2.3因重大变故，采购任务取消的。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26.2.4评标委员会认定招标文件存在歧义、重大缺陷导致评审工作无法进行。</w:t>
      </w:r>
      <w:r/>
    </w:p>
    <w:p>
      <w:pPr>
        <w:ind w:firstLine="480"/>
        <w:spacing w:line="360" w:lineRule="auto"/>
        <w:rPr>
          <w:rFonts w:ascii="宋体" w:hAnsi="宋体" w:cs="宋体"/>
          <w:bCs/>
          <w:sz w:val="24"/>
          <w:szCs w:val="24"/>
        </w:rPr>
      </w:pPr>
      <w:r>
        <w:rPr>
          <w:rFonts w:hint="eastAsia" w:ascii="宋体" w:hAnsi="宋体" w:cs="宋体"/>
          <w:bCs/>
          <w:color w:val="000000"/>
          <w:sz w:val="24"/>
          <w:szCs w:val="24"/>
        </w:rPr>
        <w:t xml:space="preserve">26.2</w:t>
      </w:r>
      <w:r>
        <w:rPr>
          <w:rFonts w:hint="eastAsia" w:ascii="宋体" w:hAnsi="宋体" w:cs="宋体"/>
          <w:bCs/>
          <w:sz w:val="24"/>
          <w:szCs w:val="24"/>
        </w:rPr>
        <w:t xml:space="preserve">.5 因</w:t>
      </w:r>
      <w:r>
        <w:rPr>
          <w:rFonts w:hint="eastAsia" w:ascii="宋体" w:hAnsi="宋体" w:cs="宋体"/>
          <w:sz w:val="24"/>
          <w:szCs w:val="24"/>
        </w:rPr>
        <w:t xml:space="preserve">苏采云</w:t>
      </w:r>
      <w:r>
        <w:rPr>
          <w:rFonts w:hint="eastAsia" w:ascii="宋体" w:hAnsi="宋体" w:cs="宋体"/>
          <w:bCs/>
          <w:sz w:val="24"/>
          <w:szCs w:val="24"/>
        </w:rPr>
        <w:t xml:space="preserve">系统故障原因造成开标不成功的。  </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26.3 投标截止时间结束后</w:t>
      </w:r>
      <w:r>
        <w:rPr>
          <w:rFonts w:hint="eastAsia" w:ascii="宋体" w:hAnsi="宋体" w:cs="宋体"/>
          <w:bCs/>
          <w:color w:val="000000"/>
          <w:sz w:val="24"/>
          <w:szCs w:val="24"/>
        </w:rPr>
        <w:t xml:space="preserve">参加投标的供应商不足三家的处理：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keepLines/>
        <w:keepNext/>
        <w:spacing w:line="360" w:lineRule="auto"/>
        <w:rPr>
          <w:rFonts w:ascii="宋体" w:hAnsi="宋体" w:cs="宋体"/>
          <w:b/>
          <w:bCs/>
          <w:color w:val="000000"/>
          <w:sz w:val="24"/>
          <w:szCs w:val="24"/>
        </w:rPr>
        <w:outlineLvl w:val="2"/>
      </w:pPr>
      <w:r/>
      <w:bookmarkStart w:id="117" w:name="_Toc120614219"/>
      <w:r>
        <w:rPr>
          <w:rFonts w:hint="eastAsia" w:ascii="宋体" w:hAnsi="宋体" w:cs="宋体"/>
          <w:b/>
          <w:bCs/>
          <w:color w:val="000000"/>
          <w:sz w:val="24"/>
          <w:szCs w:val="24"/>
        </w:rPr>
        <w:t xml:space="preserve">六、</w:t>
      </w:r>
      <w:bookmarkEnd w:id="114"/>
      <w:r/>
      <w:bookmarkEnd w:id="115"/>
      <w:r/>
      <w:bookmarkEnd w:id="116"/>
      <w:r>
        <w:rPr>
          <w:rFonts w:hint="eastAsia" w:ascii="宋体" w:hAnsi="宋体" w:cs="宋体"/>
          <w:b/>
          <w:bCs/>
          <w:color w:val="000000"/>
          <w:sz w:val="24"/>
          <w:szCs w:val="24"/>
        </w:rPr>
        <w:t xml:space="preserve">定标</w:t>
      </w:r>
      <w:bookmarkEnd w:id="117"/>
      <w:r/>
      <w:r/>
    </w:p>
    <w:p>
      <w:pPr>
        <w:ind w:firstLine="480"/>
        <w:keepLines/>
        <w:keepNext/>
        <w:spacing w:line="360" w:lineRule="auto"/>
        <w:rPr>
          <w:rFonts w:ascii="宋体" w:hAnsi="宋体" w:cs="宋体"/>
          <w:bCs/>
          <w:color w:val="000000"/>
          <w:sz w:val="24"/>
          <w:szCs w:val="24"/>
        </w:rPr>
        <w:outlineLvl w:val="3"/>
      </w:pPr>
      <w:r/>
      <w:bookmarkStart w:id="118" w:name="_Toc513029238"/>
      <w:r/>
      <w:bookmarkStart w:id="119" w:name="_Toc16938554"/>
      <w:r/>
      <w:bookmarkStart w:id="120" w:name="_Toc20823310"/>
      <w:r>
        <w:rPr>
          <w:rFonts w:hint="eastAsia" w:ascii="宋体" w:hAnsi="宋体" w:cs="宋体"/>
          <w:bCs/>
          <w:color w:val="000000"/>
          <w:sz w:val="24"/>
          <w:szCs w:val="24"/>
        </w:rPr>
        <w:t xml:space="preserve">27、</w:t>
      </w:r>
      <w:bookmarkEnd w:id="118"/>
      <w:r>
        <w:rPr>
          <w:rFonts w:hint="eastAsia" w:ascii="宋体" w:hAnsi="宋体" w:cs="宋体"/>
          <w:bCs/>
          <w:color w:val="000000"/>
          <w:sz w:val="24"/>
          <w:szCs w:val="24"/>
        </w:rPr>
        <w:t xml:space="preserve">确定</w:t>
      </w:r>
      <w:bookmarkEnd w:id="119"/>
      <w:r/>
      <w:bookmarkEnd w:id="120"/>
      <w:r>
        <w:rPr>
          <w:rFonts w:hint="eastAsia" w:ascii="宋体" w:hAnsi="宋体" w:cs="宋体"/>
          <w:bCs/>
          <w:color w:val="000000"/>
          <w:sz w:val="24"/>
          <w:szCs w:val="24"/>
        </w:rPr>
        <w:t xml:space="preserve">中标单位</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27.1中标候选人的选取原则和数量见招标文件第五章规定。 </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27.2 采购人应根据评委会推荐的中标候选人确定中标供应商。</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27.3 </w:t>
      </w:r>
      <w:r>
        <w:rPr>
          <w:rFonts w:hint="eastAsia" w:ascii="宋体" w:hAnsi="宋体" w:cs="宋体"/>
          <w:color w:val="000000"/>
          <w:sz w:val="24"/>
          <w:szCs w:val="24"/>
        </w:rPr>
        <w:t xml:space="preserve">交易中心将在“江苏政府采购网”发布中标公告，公告期限为1个工作日。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 若有充分证据证明，中标供应商出现下列情况之一的，一经查实，将被取消中标资格：</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27.4.1提供虚假材料谋取中标的。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27.4.2向采购人、交易中心行贿或者提供其他不正当利益的。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27.4.3属于本文件规定的无效条件，但在评标过程中又未被评委会发现的。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27.4.4与采购人或者其他供应商恶意串通的。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27.4.5采取不正当手段诋毁、排挤其他供应商的。</w:t>
      </w:r>
      <w:r/>
    </w:p>
    <w:p>
      <w:pPr>
        <w:ind w:firstLine="480"/>
        <w:spacing w:line="360" w:lineRule="auto"/>
        <w:rPr>
          <w:rFonts w:ascii="宋体" w:hAnsi="宋体" w:cs="宋体"/>
          <w:color w:val="000000"/>
          <w:sz w:val="24"/>
          <w:szCs w:val="24"/>
        </w:rPr>
      </w:pPr>
      <w:r/>
      <w:bookmarkStart w:id="121" w:name="_Toc200451960"/>
      <w:r>
        <w:rPr>
          <w:rFonts w:hint="eastAsia" w:ascii="宋体" w:hAnsi="宋体" w:cs="宋体"/>
          <w:color w:val="000000"/>
          <w:sz w:val="24"/>
          <w:szCs w:val="24"/>
        </w:rPr>
        <w:t xml:space="preserve">27.5 有下列情形之一的，视为投标人串通投标，投标无效：</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27.5.1不同投标人的投标文件由同一单位或者个人编制。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27.5.2不同投标人委托同一单位或者个人办理投标事宜。</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27.5.3 不同投标人的投标文件载明的项目管理成员或者联系人员为同一人。</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27.5.4不同投标人的投标文件异常一致或者投标报价呈规律性差异。</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28、质疑处理</w:t>
      </w:r>
      <w:bookmarkEnd w:id="121"/>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28.2.1对可以质疑的采购文件提出质疑的，为收到采购文件之日或者采购文件公告期限届满之日；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28.2.2对采购过程提出质疑的，为各采购程序环节结束之日；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28.2.3对中标或者成交结果提出质疑的，为中标或者成交结果公告期限届满之日。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s="宋体"/>
          <w:b/>
          <w:sz w:val="24"/>
          <w:szCs w:val="24"/>
        </w:rPr>
      </w:pPr>
      <w:r>
        <w:rPr>
          <w:rFonts w:hint="eastAsia" w:ascii="宋体" w:hAnsi="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采购人及交易中心只接收以纸质原件形式送达的质疑,建议供应商尽量通过邮寄方式提交质疑（采购人和交易中心不接受无快递运单号的快递）。</w:t>
      </w:r>
      <w:r>
        <w:rPr>
          <w:rFonts w:hint="eastAsia" w:ascii="宋体" w:hAnsi="宋体" w:cs="宋体"/>
          <w:color w:val="000000"/>
          <w:sz w:val="24"/>
          <w:szCs w:val="24"/>
        </w:rPr>
        <w:t xml:space="preserve">采购人质疑接收人及联系方式见招标文件第一章。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 以下情形的质疑不予受理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28.5.1 内容不符合《政府采购质疑和投诉办法》第十二条规定的质疑。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28.5.2 超出政府采购法定期限的质疑。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28.5.3 以传真、电子邮件等方式递交的非原件形式的质疑。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28.5.4 未参加投标活动的供应商或在投标活动中自身权益未受到损害的供应商所提出的质疑。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28.5.5供应商组成联合体参加投标，联合体中任何一方或多方未按要求签字、盖章、加盖公章的质疑。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29、中标通知书</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29.l中标结果确定后，交易中心将向中标供应商发出中标通知书。请中标供应商在中标结果公告届满之日起30日内,使用CA</w:t>
      </w:r>
      <w:r>
        <w:rPr>
          <w:rFonts w:hint="eastAsia" w:ascii="宋体" w:hAnsi="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ascii="宋体" w:hAnsi="宋体" w:cs="宋体"/>
          <w:sz w:val="24"/>
          <w:szCs w:val="24"/>
        </w:rPr>
      </w:pPr>
      <w:r/>
      <w:bookmarkStart w:id="122" w:name="_Toc120614220"/>
      <w:r/>
      <w:bookmarkStart w:id="123" w:name="_Toc20823308"/>
      <w:r/>
      <w:bookmarkStart w:id="124" w:name="_Toc16938552"/>
      <w:r/>
      <w:bookmarkStart w:id="125" w:name="_Toc513029236"/>
      <w:r>
        <w:rPr>
          <w:rFonts w:hint="eastAsia" w:ascii="宋体" w:hAnsi="宋体" w:cs="宋体"/>
          <w:sz w:val="24"/>
          <w:szCs w:val="24"/>
        </w:rPr>
        <w:t xml:space="preserve">29.3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p>
    <w:p>
      <w:pPr>
        <w:keepLines/>
        <w:keepNext/>
        <w:spacing w:line="360" w:lineRule="auto"/>
        <w:rPr>
          <w:rFonts w:ascii="宋体" w:hAnsi="宋体" w:cs="宋体"/>
          <w:b/>
          <w:bCs/>
          <w:color w:val="000000"/>
          <w:sz w:val="24"/>
          <w:szCs w:val="24"/>
        </w:rPr>
        <w:outlineLvl w:val="2"/>
      </w:pPr>
      <w:r>
        <w:rPr>
          <w:rFonts w:hint="eastAsia" w:ascii="宋体" w:hAnsi="宋体" w:cs="宋体"/>
          <w:b/>
          <w:bCs/>
          <w:color w:val="000000"/>
          <w:sz w:val="24"/>
          <w:szCs w:val="24"/>
        </w:rPr>
        <w:t xml:space="preserve">七、授予合同</w:t>
      </w:r>
      <w:bookmarkEnd w:id="122"/>
      <w:r/>
      <w:bookmarkEnd w:id="123"/>
      <w:r/>
      <w:bookmarkEnd w:id="124"/>
      <w:r/>
      <w:bookmarkEnd w:id="125"/>
      <w:r/>
      <w:r/>
    </w:p>
    <w:p>
      <w:pPr>
        <w:ind w:firstLine="480"/>
        <w:keepLines/>
        <w:keepNext/>
        <w:spacing w:line="360" w:lineRule="auto"/>
        <w:rPr>
          <w:rFonts w:ascii="宋体" w:hAnsi="宋体" w:cs="宋体"/>
          <w:bCs/>
          <w:color w:val="000000"/>
          <w:sz w:val="24"/>
          <w:szCs w:val="24"/>
        </w:rPr>
        <w:outlineLvl w:val="3"/>
      </w:pPr>
      <w:r/>
      <w:bookmarkStart w:id="126" w:name="_Toc16938553"/>
      <w:r/>
      <w:bookmarkStart w:id="127" w:name="_Toc513029237"/>
      <w:r/>
      <w:bookmarkStart w:id="128" w:name="_Toc20823309"/>
      <w:r>
        <w:rPr>
          <w:rFonts w:hint="eastAsia" w:ascii="宋体" w:hAnsi="宋体" w:cs="宋体"/>
          <w:bCs/>
          <w:color w:val="000000"/>
          <w:sz w:val="24"/>
          <w:szCs w:val="24"/>
        </w:rPr>
        <w:t xml:space="preserve">30、签订合同</w:t>
      </w:r>
      <w:r/>
    </w:p>
    <w:p>
      <w:pPr>
        <w:ind w:firstLine="480"/>
        <w:keepLines/>
        <w:keepNext/>
        <w:spacing w:line="360" w:lineRule="auto"/>
        <w:rPr>
          <w:rFonts w:ascii="宋体" w:hAnsi="宋体" w:cs="宋体"/>
          <w:color w:val="000000"/>
          <w:sz w:val="24"/>
          <w:szCs w:val="24"/>
        </w:rPr>
        <w:outlineLvl w:val="3"/>
      </w:pPr>
      <w:r>
        <w:rPr>
          <w:rFonts w:hint="eastAsia" w:ascii="宋体" w:hAnsi="宋体" w:cs="宋体"/>
          <w:bCs/>
          <w:color w:val="000000"/>
          <w:sz w:val="24"/>
          <w:szCs w:val="24"/>
        </w:rPr>
        <w:t xml:space="preserve">30.</w:t>
      </w:r>
      <w:r>
        <w:rPr>
          <w:rFonts w:hint="eastAsia" w:ascii="宋体" w:hAnsi="宋体" w:cs="宋体"/>
          <w:color w:val="000000"/>
          <w:sz w:val="24"/>
          <w:szCs w:val="24"/>
        </w:rPr>
        <w:t xml:space="preserve">l中标供应商应当在中标通知书发出之日起三十日内，按照招标文件确定的事项与采购人签订政府采购合同。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30.2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招标文件、中标供应商的投标文件及招标过程中有关澄清、承诺文件均应作为合同附件。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keepLines/>
        <w:keepNext/>
        <w:spacing w:line="360" w:lineRule="auto"/>
        <w:rPr>
          <w:rFonts w:ascii="宋体" w:hAnsi="宋体" w:cs="宋体"/>
          <w:bCs/>
          <w:color w:val="000000"/>
          <w:sz w:val="24"/>
          <w:szCs w:val="24"/>
        </w:rPr>
        <w:outlineLvl w:val="3"/>
      </w:pPr>
      <w:r>
        <w:rPr>
          <w:rFonts w:hint="eastAsia" w:ascii="宋体" w:hAnsi="宋体" w:cs="宋体"/>
          <w:bCs/>
          <w:color w:val="000000"/>
          <w:sz w:val="24"/>
          <w:szCs w:val="24"/>
        </w:rPr>
        <w:t xml:space="preserve">31、货物（包含与货物相关的服务）的追加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26"/>
      <w:r/>
      <w:bookmarkEnd w:id="127"/>
      <w:r/>
      <w:bookmarkEnd w:id="128"/>
      <w:r/>
      <w:r/>
    </w:p>
    <w:p>
      <w:pPr>
        <w:ind w:firstLine="480"/>
        <w:keepLines/>
        <w:keepNext/>
        <w:spacing w:line="360" w:lineRule="auto"/>
        <w:rPr>
          <w:rFonts w:ascii="宋体" w:hAnsi="宋体" w:cs="宋体"/>
          <w:bCs/>
          <w:color w:val="000000"/>
          <w:sz w:val="24"/>
          <w:szCs w:val="24"/>
        </w:rPr>
        <w:outlineLvl w:val="3"/>
      </w:pPr>
      <w:r/>
      <w:bookmarkStart w:id="129" w:name="_Toc16938558"/>
      <w:r/>
      <w:bookmarkStart w:id="130" w:name="_Toc20823314"/>
      <w:r/>
      <w:bookmarkStart w:id="131" w:name="_Toc513029242"/>
      <w:r/>
      <w:bookmarkStart w:id="132" w:name="_Toc479757207"/>
      <w:r/>
      <w:bookmarkStart w:id="133" w:name="_Toc120614221"/>
      <w:r>
        <w:rPr>
          <w:rFonts w:hint="eastAsia" w:ascii="宋体" w:hAnsi="宋体" w:cs="宋体"/>
          <w:bCs/>
          <w:color w:val="000000"/>
          <w:sz w:val="24"/>
          <w:szCs w:val="24"/>
        </w:rPr>
        <w:t xml:space="preserve">32、政府采购履约资金扶持政策</w:t>
      </w:r>
      <w:r/>
    </w:p>
    <w:p>
      <w:pPr>
        <w:ind w:firstLine="480"/>
        <w:jc w:val="left"/>
        <w:keepNext/>
        <w:rPr>
          <w:rFonts w:hint="eastAsia" w:ascii="宋体" w:hAnsi="宋体" w:cs="宋体"/>
          <w:bCs/>
          <w:color w:val="000000"/>
          <w:sz w:val="24"/>
          <w:szCs w:val="24"/>
        </w:rPr>
        <w:outlineLvl w:val="0"/>
      </w:pPr>
      <w:r>
        <w:rPr>
          <w:rFonts w:hint="eastAsia" w:ascii="宋体" w:hAnsi="宋体" w:cs="宋体"/>
          <w:bCs/>
          <w:color w:val="000000"/>
          <w:sz w:val="24"/>
          <w:szCs w:val="24"/>
        </w:rPr>
        <w:t xml:space="preserve">中标供应商可凭政府采购合同办理融资贷款，详情请见江苏政府采购网“政采贷”专栏。   </w:t>
      </w:r>
      <w:r/>
    </w:p>
    <w:p>
      <w:pPr>
        <w:ind w:firstLine="480"/>
        <w:jc w:val="center"/>
        <w:keepNext/>
        <w:rPr>
          <w:rFonts w:hint="eastAsia" w:ascii="宋体" w:hAnsi="宋体" w:cs="宋体"/>
          <w:bCs/>
          <w:color w:val="000000"/>
          <w:sz w:val="24"/>
          <w:szCs w:val="24"/>
        </w:rPr>
        <w:outlineLvl w:val="0"/>
      </w:pPr>
      <w:r>
        <w:rPr>
          <w:rFonts w:hint="eastAsia" w:ascii="宋体" w:hAnsi="宋体" w:cs="宋体"/>
          <w:bCs/>
          <w:color w:val="000000"/>
          <w:sz w:val="24"/>
          <w:szCs w:val="24"/>
        </w:rPr>
      </w:r>
      <w:r/>
    </w:p>
    <w:p>
      <w:pPr>
        <w:ind w:firstLine="480"/>
        <w:jc w:val="center"/>
        <w:keepNext/>
        <w:rPr>
          <w:rFonts w:hint="eastAsia" w:ascii="宋体" w:hAnsi="宋体" w:cs="宋体"/>
          <w:bCs/>
          <w:color w:val="000000"/>
          <w:sz w:val="24"/>
          <w:szCs w:val="24"/>
        </w:rPr>
        <w:outlineLvl w:val="0"/>
      </w:pPr>
      <w:r>
        <w:rPr>
          <w:rFonts w:hint="eastAsia" w:ascii="宋体" w:hAnsi="宋体" w:cs="宋体"/>
          <w:bCs/>
          <w:color w:val="000000"/>
          <w:sz w:val="24"/>
          <w:szCs w:val="24"/>
        </w:rPr>
      </w:r>
      <w:r/>
    </w:p>
    <w:p>
      <w:pPr>
        <w:ind w:firstLine="480"/>
        <w:jc w:val="center"/>
        <w:keepNext/>
        <w:rPr>
          <w:rFonts w:hint="eastAsia" w:ascii="宋体" w:hAnsi="宋体" w:cs="宋体"/>
          <w:bCs/>
          <w:color w:val="000000"/>
          <w:sz w:val="24"/>
          <w:szCs w:val="24"/>
        </w:rPr>
        <w:outlineLvl w:val="0"/>
      </w:pPr>
      <w:r>
        <w:rPr>
          <w:rFonts w:hint="eastAsia" w:ascii="宋体" w:hAnsi="宋体" w:cs="宋体"/>
          <w:bCs/>
          <w:color w:val="000000"/>
          <w:sz w:val="24"/>
          <w:szCs w:val="24"/>
        </w:rPr>
      </w:r>
      <w:r/>
    </w:p>
    <w:p>
      <w:pPr>
        <w:ind w:firstLine="480"/>
        <w:jc w:val="center"/>
        <w:keepNext/>
        <w:rPr>
          <w:rFonts w:hint="eastAsia" w:ascii="宋体" w:hAnsi="宋体" w:cs="宋体"/>
          <w:bCs/>
          <w:color w:val="000000"/>
          <w:sz w:val="24"/>
          <w:szCs w:val="24"/>
        </w:rPr>
        <w:outlineLvl w:val="0"/>
      </w:pPr>
      <w:r>
        <w:rPr>
          <w:rFonts w:hint="eastAsia" w:ascii="宋体" w:hAnsi="宋体" w:cs="宋体"/>
          <w:bCs/>
          <w:color w:val="000000"/>
          <w:sz w:val="24"/>
          <w:szCs w:val="24"/>
        </w:rPr>
      </w:r>
      <w:r/>
    </w:p>
    <w:p>
      <w:pPr>
        <w:rPr>
          <w:rFonts w:hint="eastAsia" w:ascii="黑体" w:eastAsia="黑体"/>
          <w:bCs/>
          <w:color w:val="000000"/>
          <w:sz w:val="44"/>
          <w:szCs w:val="28"/>
        </w:rPr>
      </w:pPr>
      <w:r>
        <w:rPr>
          <w:rFonts w:hint="eastAsia" w:ascii="黑体" w:eastAsia="黑体"/>
          <w:bCs/>
          <w:color w:val="000000"/>
          <w:sz w:val="44"/>
          <w:szCs w:val="28"/>
        </w:rPr>
        <w:br w:type="page" w:clear="all"/>
      </w:r>
      <w:r/>
    </w:p>
    <w:p>
      <w:pPr>
        <w:ind w:firstLine="480"/>
        <w:jc w:val="center"/>
        <w:keepNext/>
        <w:rPr>
          <w:rFonts w:ascii="黑体" w:eastAsia="黑体"/>
          <w:bCs/>
          <w:color w:val="000000"/>
          <w:sz w:val="44"/>
          <w:szCs w:val="28"/>
        </w:rPr>
        <w:outlineLvl w:val="0"/>
      </w:pPr>
      <w:r>
        <w:rPr>
          <w:rFonts w:hint="eastAsia" w:ascii="黑体" w:eastAsia="黑体"/>
          <w:bCs/>
          <w:color w:val="000000"/>
          <w:sz w:val="44"/>
          <w:szCs w:val="28"/>
        </w:rPr>
        <w:t xml:space="preserve">第三章  合同文本</w:t>
      </w:r>
      <w:r/>
    </w:p>
    <w:p>
      <w:pPr>
        <w:spacing w:line="500" w:lineRule="exact"/>
        <w:rPr>
          <w:rFonts w:ascii="宋体" w:hAnsi="宋体"/>
          <w:bCs/>
          <w:color w:val="ff0000"/>
          <w:sz w:val="24"/>
          <w:szCs w:val="24"/>
          <w:highlight w:val="yellow"/>
        </w:rPr>
      </w:pPr>
      <w:r/>
      <w:bookmarkStart w:id="134" w:name="_Toc16938559"/>
      <w:r/>
      <w:bookmarkStart w:id="135" w:name="_Toc20823315"/>
      <w:r/>
      <w:bookmarkStart w:id="136" w:name="_Toc3995"/>
      <w:r/>
      <w:bookmarkStart w:id="137" w:name="_Toc513029243"/>
      <w:r>
        <w:rPr>
          <w:rFonts w:hint="eastAsia" w:ascii="宋体" w:hAnsi="宋体"/>
          <w:bCs/>
          <w:sz w:val="24"/>
        </w:rPr>
        <w:t xml:space="preserve">以下为中标后签定本项目合同的通用条款，中标人不得提出实质性的修改。</w:t>
      </w:r>
      <w:bookmarkEnd w:id="134"/>
      <w:r/>
      <w:bookmarkEnd w:id="135"/>
      <w:r/>
      <w:bookmarkEnd w:id="136"/>
      <w:r/>
      <w:bookmarkEnd w:id="137"/>
      <w:r/>
      <w:r/>
    </w:p>
    <w:p>
      <w:pPr>
        <w:jc w:val="center"/>
        <w:spacing w:before="145" w:after="145"/>
        <w:rPr>
          <w:rFonts w:ascii="宋体" w:hAnsi="宋体"/>
          <w:b/>
          <w:bCs/>
          <w:sz w:val="30"/>
          <w:szCs w:val="20"/>
        </w:rPr>
        <w:outlineLvl w:val="0"/>
      </w:pPr>
      <w:r>
        <w:rPr>
          <w:rFonts w:hint="eastAsia" w:ascii="宋体" w:hAnsi="宋体"/>
          <w:b/>
          <w:sz w:val="30"/>
        </w:rPr>
        <w:t xml:space="preserve">政府采购合同（服务）（合同编号）</w:t>
      </w:r>
      <w:r/>
    </w:p>
    <w:p>
      <w:pPr>
        <w:pStyle w:val="1032"/>
        <w:spacing w:before="120" w:after="120"/>
        <w:rPr>
          <w:rFonts w:hAnsi="宋体"/>
          <w:sz w:val="24"/>
          <w:szCs w:val="24"/>
        </w:rPr>
      </w:pPr>
      <w:r>
        <w:rPr>
          <w:rFonts w:hAnsi="宋体"/>
          <w:sz w:val="24"/>
          <w:szCs w:val="24"/>
        </w:rPr>
        <w:t xml:space="preserve">项目名称：                                     </w:t>
      </w:r>
      <w:r/>
    </w:p>
    <w:p>
      <w:pPr>
        <w:pStyle w:val="1032"/>
        <w:spacing w:before="120" w:after="120"/>
        <w:rPr>
          <w:rFonts w:hAnsi="宋体"/>
          <w:sz w:val="24"/>
          <w:szCs w:val="24"/>
        </w:rPr>
      </w:pPr>
      <w:r>
        <w:rPr>
          <w:rFonts w:hAnsi="宋体"/>
          <w:sz w:val="24"/>
          <w:szCs w:val="24"/>
        </w:rPr>
        <w:t xml:space="preserve">项目编号：</w:t>
      </w:r>
      <w:r/>
    </w:p>
    <w:p>
      <w:pPr>
        <w:spacing w:before="120" w:after="120"/>
        <w:rPr>
          <w:rFonts w:hAnsi="宋体"/>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p>
    <w:p>
      <w:pPr>
        <w:pStyle w:val="1032"/>
        <w:spacing w:before="120" w:after="120"/>
        <w:rPr>
          <w:rFonts w:hAnsi="宋体"/>
          <w:sz w:val="24"/>
          <w:szCs w:val="24"/>
        </w:rPr>
      </w:pPr>
      <w:r>
        <w:rPr>
          <w:rFonts w:hAnsi="宋体"/>
          <w:sz w:val="24"/>
          <w:szCs w:val="24"/>
        </w:rPr>
        <w:t xml:space="preserve">甲方：（买方）_________</w:t>
      </w:r>
      <w:r/>
    </w:p>
    <w:p>
      <w:pPr>
        <w:pStyle w:val="1032"/>
        <w:spacing w:before="120" w:after="120"/>
        <w:rPr>
          <w:rFonts w:hAnsi="宋体"/>
          <w:sz w:val="24"/>
          <w:szCs w:val="24"/>
        </w:rPr>
      </w:pPr>
      <w:r>
        <w:rPr>
          <w:rFonts w:hAnsi="宋体"/>
          <w:sz w:val="24"/>
          <w:szCs w:val="24"/>
        </w:rPr>
        <w:t xml:space="preserve">乙方：（卖方）_________</w:t>
      </w:r>
      <w:r/>
    </w:p>
    <w:p>
      <w:pPr>
        <w:pStyle w:val="103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南通市海门区公共资源交易中心</w:t>
      </w:r>
      <w:r>
        <w:rPr>
          <w:rFonts w:hint="eastAsia" w:hAnsi="宋体"/>
          <w:sz w:val="24"/>
          <w:szCs w:val="24"/>
          <w:u w:val="single"/>
        </w:rPr>
        <w:t xml:space="preserve">         </w:t>
      </w:r>
      <w:r>
        <w:rPr>
          <w:rFonts w:hAnsi="宋体"/>
          <w:sz w:val="24"/>
          <w:szCs w:val="24"/>
        </w:rPr>
        <w:t xml:space="preserve">项目公开招标的结果，签署本合同。</w:t>
      </w:r>
      <w:r/>
    </w:p>
    <w:p>
      <w:pPr>
        <w:pStyle w:val="103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3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032"/>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1032"/>
        <w:spacing w:before="120" w:after="120"/>
        <w:rPr>
          <w:rFonts w:hAnsi="宋体"/>
          <w:sz w:val="24"/>
          <w:szCs w:val="24"/>
        </w:rPr>
      </w:pPr>
      <w:r>
        <w:rPr>
          <w:rFonts w:hint="eastAsia" w:hAnsi="宋体"/>
          <w:sz w:val="24"/>
          <w:szCs w:val="24"/>
        </w:rPr>
        <w:t xml:space="preserve">1.3 标的数量（规模）：</w:t>
      </w:r>
      <w:r/>
    </w:p>
    <w:p>
      <w:pPr>
        <w:pStyle w:val="1032"/>
        <w:spacing w:before="120" w:after="120"/>
        <w:rPr>
          <w:rFonts w:hAnsi="宋体"/>
          <w:sz w:val="24"/>
          <w:szCs w:val="24"/>
        </w:rPr>
      </w:pPr>
      <w:r>
        <w:rPr>
          <w:rFonts w:hint="eastAsia" w:hAnsi="宋体"/>
          <w:sz w:val="24"/>
          <w:szCs w:val="24"/>
        </w:rPr>
        <w:t xml:space="preserve">1.4 履行时间（期限）：</w:t>
      </w:r>
      <w:r/>
    </w:p>
    <w:p>
      <w:pPr>
        <w:pStyle w:val="1032"/>
        <w:spacing w:before="120" w:after="120"/>
        <w:rPr>
          <w:rFonts w:hAnsi="宋体"/>
          <w:sz w:val="24"/>
          <w:szCs w:val="24"/>
        </w:rPr>
      </w:pPr>
      <w:r>
        <w:rPr>
          <w:rFonts w:hint="eastAsia" w:hAnsi="宋体"/>
          <w:sz w:val="24"/>
          <w:szCs w:val="24"/>
        </w:rPr>
        <w:t xml:space="preserve">1.5 履行地点：</w:t>
      </w:r>
      <w:r/>
    </w:p>
    <w:p>
      <w:pPr>
        <w:pStyle w:val="1032"/>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1032"/>
        <w:spacing w:before="120" w:after="120"/>
        <w:rPr>
          <w:rFonts w:hAnsi="宋体"/>
          <w:b/>
          <w:sz w:val="24"/>
          <w:szCs w:val="24"/>
        </w:rPr>
      </w:pPr>
      <w:r>
        <w:rPr>
          <w:rFonts w:hAnsi="宋体"/>
          <w:b/>
          <w:sz w:val="24"/>
          <w:szCs w:val="24"/>
        </w:rPr>
        <w:t xml:space="preserve">二、合同金额</w:t>
      </w:r>
      <w:r/>
    </w:p>
    <w:p>
      <w:pPr>
        <w:pStyle w:val="1032"/>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1032"/>
        <w:spacing w:before="120" w:after="120"/>
        <w:rPr>
          <w:rFonts w:hAnsi="宋体"/>
          <w:b/>
          <w:sz w:val="24"/>
          <w:szCs w:val="24"/>
        </w:rPr>
      </w:pPr>
      <w:r>
        <w:rPr>
          <w:rFonts w:hAnsi="宋体"/>
          <w:b/>
          <w:sz w:val="24"/>
          <w:szCs w:val="24"/>
        </w:rPr>
        <w:t xml:space="preserve">三、技术资料</w:t>
      </w:r>
      <w:r/>
    </w:p>
    <w:p>
      <w:pPr>
        <w:pStyle w:val="1032"/>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03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32"/>
        <w:ind w:left="412" w:hanging="412"/>
        <w:spacing w:before="120" w:after="120"/>
        <w:rPr>
          <w:rFonts w:hAnsi="宋体"/>
          <w:b/>
          <w:sz w:val="24"/>
          <w:szCs w:val="24"/>
        </w:rPr>
      </w:pPr>
      <w:r>
        <w:rPr>
          <w:rFonts w:hAnsi="宋体"/>
          <w:b/>
          <w:sz w:val="24"/>
          <w:szCs w:val="24"/>
        </w:rPr>
        <w:t xml:space="preserve">四、知识产权</w:t>
      </w:r>
      <w:r/>
    </w:p>
    <w:p>
      <w:pPr>
        <w:pStyle w:val="1032"/>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32"/>
        <w:spacing w:before="120" w:after="120"/>
        <w:rPr>
          <w:rFonts w:hAnsi="宋体"/>
          <w:sz w:val="24"/>
          <w:szCs w:val="24"/>
          <w:u w:val="single"/>
        </w:rPr>
      </w:pPr>
      <w:r>
        <w:rPr>
          <w:rFonts w:hAnsi="宋体"/>
          <w:b/>
          <w:sz w:val="24"/>
          <w:szCs w:val="24"/>
        </w:rPr>
        <w:t xml:space="preserve">五、产权担保</w:t>
      </w:r>
      <w:r/>
    </w:p>
    <w:p>
      <w:pPr>
        <w:pStyle w:val="103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1032"/>
        <w:ind w:left="410" w:hanging="410"/>
        <w:spacing w:before="120" w:after="120"/>
        <w:rPr>
          <w:rFonts w:hAnsi="宋体"/>
          <w:b/>
          <w:sz w:val="24"/>
          <w:szCs w:val="24"/>
        </w:rPr>
      </w:pPr>
      <w:r>
        <w:rPr>
          <w:rFonts w:hAnsi="宋体"/>
          <w:b/>
          <w:sz w:val="24"/>
          <w:szCs w:val="24"/>
        </w:rPr>
        <w:t xml:space="preserve">六、履约保证金</w:t>
      </w:r>
      <w:r/>
    </w:p>
    <w:p>
      <w:pPr>
        <w:pStyle w:val="1032"/>
        <w:ind w:left="408" w:hanging="408"/>
        <w:spacing w:before="120" w:after="120"/>
        <w:rPr>
          <w:rFonts w:hAnsi="宋体"/>
          <w:sz w:val="24"/>
          <w:szCs w:val="24"/>
        </w:rPr>
      </w:pPr>
      <w:r>
        <w:rPr>
          <w:rFonts w:hAnsi="宋体"/>
          <w:sz w:val="24"/>
          <w:szCs w:val="24"/>
        </w:rPr>
        <w:t xml:space="preserve">6.1 </w:t>
      </w:r>
      <w:r>
        <w:rPr>
          <w:rFonts w:hint="eastAsia" w:hAnsi="宋体"/>
          <w:sz w:val="24"/>
          <w:szCs w:val="24"/>
        </w:rPr>
        <w:t xml:space="preserve">不收取</w:t>
      </w:r>
      <w:r>
        <w:rPr>
          <w:rFonts w:hAnsi="宋体"/>
          <w:sz w:val="24"/>
          <w:szCs w:val="24"/>
        </w:rPr>
        <w:t xml:space="preserve">履约保证金。</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103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1032"/>
        <w:spacing w:before="120" w:after="120"/>
        <w:rPr>
          <w:rFonts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1032"/>
        <w:ind w:firstLine="480"/>
        <w:spacing w:before="120" w:after="120"/>
        <w:rPr>
          <w:rFonts w:hAnsi="宋体"/>
          <w:bCs/>
          <w:sz w:val="24"/>
          <w:szCs w:val="24"/>
        </w:rPr>
      </w:pPr>
      <w:r>
        <w:rPr>
          <w:rFonts w:hint="eastAsia" w:hAnsi="宋体"/>
          <w:bCs/>
          <w:sz w:val="24"/>
          <w:szCs w:val="24"/>
        </w:rPr>
        <w:t xml:space="preserve">合同签订后，实行先考核验收后支付方式。即每季度结束后的七个工作日内，由业主单位对物业公司上季度的服务工作进行考核并验收，考核验收结束后三十日内将上季度服务费按考核结果支付给物业公司。考核结果高于（含）90分可按合同约定支付，低于90分的按每低10分扣除合同上季度应付金额的5%，低于60分的解除合同。</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103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32"/>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1032"/>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32"/>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1032"/>
        <w:ind w:left="480" w:hanging="480"/>
        <w:spacing w:before="120" w:after="12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1032"/>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32"/>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3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0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10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10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10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03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3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103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103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03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032"/>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03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3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3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103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1032"/>
        <w:ind w:left="480" w:hanging="480"/>
        <w:spacing w:before="120" w:after="120" w:line="0" w:lineRule="atLeast"/>
        <w:rPr>
          <w:rFonts w:hAnsi="宋体"/>
          <w:sz w:val="24"/>
          <w:szCs w:val="24"/>
        </w:rPr>
      </w:pPr>
      <w:r>
        <w:rPr>
          <w:rFonts w:hAnsi="宋体"/>
          <w:sz w:val="24"/>
          <w:szCs w:val="24"/>
        </w:rPr>
        <w:t xml:space="preserve">  甲方：                        乙方： </w:t>
      </w:r>
      <w:r/>
    </w:p>
    <w:p>
      <w:pPr>
        <w:pStyle w:val="103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03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032"/>
        <w:ind w:firstLine="240"/>
        <w:spacing w:before="120" w:after="120" w:line="0" w:lineRule="atLeast"/>
      </w:pPr>
      <w:r>
        <w:rPr>
          <w:rFonts w:hint="eastAsia" w:hAnsi="宋体"/>
          <w:sz w:val="24"/>
          <w:szCs w:val="24"/>
        </w:rPr>
        <w:t xml:space="preserve">联系电话：                    联系电话：          </w:t>
      </w:r>
      <w:r/>
    </w:p>
    <w:p>
      <w:pPr>
        <w:pStyle w:val="953"/>
        <w:jc w:val="center"/>
        <w:rPr>
          <w:rFonts w:ascii="宋体" w:hAnsi="宋体" w:eastAsia="宋体" w:cs="宋体"/>
          <w:b/>
          <w:bCs/>
          <w:spacing w:val="-20"/>
          <w:sz w:val="32"/>
          <w:szCs w:val="32"/>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38" w:name="_Hlt16619369"/>
      <w:r/>
      <w:bookmarkEnd w:id="138"/>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ind w:firstLine="420"/>
        <w:spacing w:line="400" w:lineRule="exact"/>
        <w:rPr>
          <w:color w:val="000000"/>
          <w:szCs w:val="21"/>
        </w:rPr>
      </w:pPr>
      <w:r>
        <w:rPr>
          <w:color w:val="000000"/>
          <w:szCs w:val="21"/>
        </w:rPr>
      </w:r>
      <w:bookmarkEnd w:id="129"/>
      <w:r/>
      <w:bookmarkEnd w:id="130"/>
      <w:r/>
      <w:bookmarkEnd w:id="131"/>
      <w:r/>
      <w:bookmarkEnd w:id="132"/>
      <w:r/>
      <w:bookmarkEnd w:id="133"/>
      <w:r/>
      <w:r/>
    </w:p>
    <w:p>
      <w:pPr>
        <w:jc w:val="center"/>
        <w:spacing w:before="120" w:after="120" w:line="0" w:lineRule="atLeast"/>
        <w:rPr>
          <w:rFonts w:ascii="宋体" w:hAnsi="宋体" w:cs="Courier New"/>
          <w:color w:val="000000"/>
          <w:sz w:val="24"/>
          <w:szCs w:val="24"/>
        </w:rPr>
      </w:pPr>
      <w:r/>
      <w:bookmarkStart w:id="139" w:name="_Hlt16619350"/>
      <w:r/>
      <w:bookmarkStart w:id="140" w:name="_Toc120614244"/>
      <w:r/>
      <w:bookmarkStart w:id="141" w:name="_Toc20823346"/>
      <w:r/>
      <w:bookmarkStart w:id="142" w:name="_Toc16938590"/>
      <w:r/>
      <w:bookmarkStart w:id="143" w:name="_Toc462564139"/>
      <w:r/>
      <w:bookmarkStart w:id="144" w:name="_Toc479757211"/>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39"/>
      <w:r>
        <w:rPr>
          <w:rFonts w:hint="eastAsia" w:ascii="黑体" w:hAnsi="Courier New" w:eastAsia="黑体" w:cs="Courier New"/>
          <w:bCs/>
          <w:color w:val="000000"/>
          <w:sz w:val="44"/>
          <w:szCs w:val="21"/>
        </w:rPr>
        <w:t xml:space="preserve">三章 采购需求</w:t>
      </w:r>
      <w:bookmarkEnd w:id="140"/>
      <w:r/>
      <w:bookmarkEnd w:id="141"/>
      <w:r/>
      <w:bookmarkEnd w:id="142"/>
      <w:r/>
      <w:r/>
    </w:p>
    <w:p>
      <w:pPr>
        <w:spacing w:line="0" w:lineRule="atLeast"/>
        <w:rPr>
          <w:rFonts w:ascii="宋体" w:hAnsi="宋体"/>
          <w:color w:val="000000"/>
          <w:sz w:val="24"/>
          <w:szCs w:val="24"/>
        </w:rPr>
      </w:pPr>
      <w:r/>
      <w:bookmarkStart w:id="145" w:name="_Toc49090575"/>
      <w:r/>
      <w:bookmarkStart w:id="146" w:name="_Toc26554093"/>
      <w:r/>
      <w:r/>
    </w:p>
    <w:p>
      <w:pPr>
        <w:spacing w:line="360" w:lineRule="auto"/>
        <w:rPr>
          <w:rFonts w:ascii="宋体" w:hAnsi="宋体" w:cs="宋体"/>
          <w:b/>
          <w:color w:val="auto"/>
          <w:sz w:val="24"/>
          <w:szCs w:val="24"/>
        </w:rPr>
      </w:pPr>
      <w:r>
        <w:rPr>
          <w:rFonts w:hint="eastAsia" w:ascii="宋体" w:hAnsi="宋体" w:cs="宋体"/>
          <w:b/>
          <w:color w:val="auto"/>
          <w:sz w:val="24"/>
          <w:szCs w:val="24"/>
        </w:rPr>
        <w:t xml:space="preserve">一、采购标的清单</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955"/>
        <w:gridCol w:w="3956"/>
      </w:tblGrid>
      <w:tr>
        <w:trPr>
          <w:cantSplit/>
          <w:jc w:val="center"/>
          <w:trHeight w:val="572"/>
        </w:trPr>
        <w:tc>
          <w:tcPr>
            <w:tcW w:w="747"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序号</w:t>
            </w:r>
            <w:r/>
          </w:p>
        </w:tc>
        <w:tc>
          <w:tcPr>
            <w:tcW w:w="2955"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采购标的</w:t>
            </w:r>
            <w:r/>
          </w:p>
        </w:tc>
        <w:tc>
          <w:tcPr>
            <w:tcW w:w="395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对应中小企业划分标准所属行业</w:t>
            </w:r>
            <w:r/>
          </w:p>
        </w:tc>
      </w:tr>
      <w:tr>
        <w:trPr>
          <w:cantSplit/>
          <w:jc w:val="center"/>
          <w:trHeight w:val="589"/>
        </w:trPr>
        <w:tc>
          <w:tcPr>
            <w:tcW w:w="747"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1</w:t>
            </w:r>
            <w:r/>
          </w:p>
        </w:tc>
        <w:tc>
          <w:tcPr>
            <w:tcW w:w="2955"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机关及分局物业服务</w:t>
            </w:r>
            <w:r/>
          </w:p>
        </w:tc>
        <w:tc>
          <w:tcPr>
            <w:tcW w:w="395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物业管理</w:t>
            </w:r>
            <w:r/>
          </w:p>
        </w:tc>
      </w:tr>
    </w:tbl>
    <w:p>
      <w:pPr>
        <w:spacing w:line="360" w:lineRule="auto"/>
        <w:rPr>
          <w:rFonts w:ascii="宋体" w:hAnsi="宋体" w:cs="宋体"/>
          <w:b/>
          <w:color w:val="auto"/>
          <w:sz w:val="24"/>
          <w:szCs w:val="24"/>
        </w:rPr>
      </w:pPr>
      <w:r>
        <w:rPr>
          <w:rFonts w:hint="eastAsia" w:ascii="宋体" w:hAnsi="宋体" w:cs="宋体"/>
          <w:b/>
          <w:color w:val="auto"/>
          <w:sz w:val="24"/>
          <w:szCs w:val="24"/>
        </w:rPr>
        <w:t xml:space="preserve">二、技术要求</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1.采购标的需执行的国家相关标准、行业标准、地方标准或者其他标准、规范；</w:t>
      </w:r>
      <w:r/>
    </w:p>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所有服务项目参照《民法典》、《全国物业管理示范大楼标准及评分细则》(建住房物[2000]008号)、《城市房屋修缮管理规定》（建设部第11号令）、《物业管理企业资质管理试行办法》（建设部）、《全国物业管理从业人员岗位证书管理办法》（建设部）、《中华人民共和国消防法》、《食品卫生法》、《公共卫生条例》等内容进行管理。</w:t>
      </w:r>
      <w:r/>
    </w:p>
    <w:p>
      <w:pPr>
        <w:ind w:firstLine="480"/>
        <w:spacing w:line="360" w:lineRule="auto"/>
        <w:rPr>
          <w:rFonts w:ascii="宋体" w:hAnsi="宋体" w:cs="宋体"/>
          <w:bCs/>
          <w:color w:val="auto"/>
          <w:sz w:val="24"/>
          <w:szCs w:val="24"/>
        </w:rPr>
      </w:pPr>
      <w:r>
        <w:rPr>
          <w:rFonts w:ascii="宋体" w:hAnsi="宋体" w:cs="宋体"/>
          <w:bCs/>
          <w:color w:val="auto"/>
          <w:sz w:val="24"/>
          <w:szCs w:val="24"/>
        </w:rPr>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2.采购标的需满足的质量、安全、技术规格、物理特性等要求； </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业主方根据机关大楼、嘉陵江大厦及分局物业项目目前进驻的人员、办公大楼的运行状况进行了初步测算，需物业管理及服务人员至少59名，各投标方根据业务方人员需求配备管理服务人员，确保机关大楼、嘉陵江大厦及分局正常运行。</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（2）中标方按照自身的服务职责，围绕年服务保障目标和各项任务，制订工作计划并报业主审定后实施与备查。做到周有安排，月有计划，季有检查落实，年有目标。</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（3）接受业主工作检查、指导和督促，认真参加业主组织的旨在加强服务质量，提高保障水平的各类会议与活动。</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（4）认真落实各类规章制度（包括处置突发问题应急预案）。</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（5）做好设备检测、会务、活动和接待等各项记录，每月及时汇总，年度整理归档。</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（6）各物业管理岗位加强巡逻检查，形成巡检台帐，发现问题，及时主动地解决。</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（7）积极主动搞好机关节能降耗工作。</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（8）物业管理人员工作时，衣着统一、整洁，佩</w:t>
      </w:r>
      <w:r>
        <w:rPr>
          <w:rFonts w:hint="eastAsia" w:ascii="宋体" w:hAnsi="宋体" w:cs="宋体"/>
          <w:bCs/>
          <w:color w:val="auto"/>
          <w:sz w:val="24"/>
          <w:szCs w:val="24"/>
        </w:rPr>
        <w:t xml:space="preserve">戴</w:t>
      </w:r>
      <w:r>
        <w:rPr>
          <w:rFonts w:hint="eastAsia" w:ascii="宋体" w:hAnsi="宋体" w:cs="宋体"/>
          <w:bCs/>
          <w:color w:val="auto"/>
          <w:sz w:val="24"/>
          <w:szCs w:val="24"/>
        </w:rPr>
        <w:t xml:space="preserve">服务证，不得脱岗、空岗、迟到和睡岗，讲礼貌，守纪律，严格遵守办公楼有关规章制度。</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9）中标方按合同规定，配备适量物业管理服务人员，上报业主取得同意后，保持物业管理队伍基本稳定，不得擅自减少。管理骨干和技术人员调动，应事先通知业主，并在一周内配齐。员工因病事假而缺勤，应主动及时安排人员补岗。经抽查，发现物业管理服务人员减少，且无正当理由，业主有权按实际减少的人数扣除中标方次月相应的人均服务费，同时要求中标方补足人数。</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（10）外借设备检修、保洁等服务员工必须征得业主同意。</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11）接到投诉后，于30分钟内到达现场立即调查核实，两个工作日内提出处理意见，1个工作日内回电答复、书面答复或回访投诉人。如因客观原因而无法解决的，应在3个工作日内向投诉人说明解释。根据处理情况，及时汇报结果给业主，及时进行整改，特殊情况实行回访制度。并要求记录完整，及时处理，件件落实。</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（12）中标方负责物业管理的财务管理及账务处理，业主方参与监督、管理、审计，对违规现象有权制止并提出整改意见。</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（13）中标方均应当全面履行采购需求中的各项要求，因违约造成对方经济损失的，应当承担赔偿责任；如因中标方原因，造成他人人身伤害或业主单位设备损坏的，中标方应承担赔偿责任。</w:t>
      </w:r>
      <w:r/>
    </w:p>
    <w:p>
      <w:pPr>
        <w:ind w:firstLine="480"/>
        <w:spacing w:line="360" w:lineRule="auto"/>
        <w:rPr>
          <w:rFonts w:ascii="宋体" w:hAnsi="宋体" w:cs="宋体"/>
          <w:bCs/>
          <w:color w:val="auto"/>
          <w:sz w:val="24"/>
          <w:szCs w:val="24"/>
        </w:rPr>
      </w:pPr>
      <w:r>
        <w:rPr>
          <w:rFonts w:ascii="宋体" w:hAnsi="宋体" w:cs="宋体"/>
          <w:bCs/>
          <w:color w:val="auto"/>
          <w:sz w:val="24"/>
          <w:szCs w:val="24"/>
        </w:rPr>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3.项目实施地点；</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（1）区局机关大楼：</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位于江苏省南通市海门区长江南路468号，大楼总占地面积16675平方米，建筑面积20833.29平方米，共16层（含地下车库1层），绿化面积约5000平方米，其余还有门卫用房、地上停车位、道路等设施。</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项目分为主楼和附楼，主楼16层，附楼4层，主楼为办公区域，附楼为纳税人培训中心、职工食堂以及生活水泵房、消防泵房、高低压配电室等。</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整个大楼空调主系统为大金，智能系统包括楼宇设备自控系统、综合安全防范系统、智能卡管理系统、综合布线系统、多媒体会议系统、公共及紧急广播系统、能源管理系统等系统。</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包含以下设备设施：电梯、配电房、变压器、配电柜、消防设备、消防泵、监控系统、中央空调等。</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（2）嘉陵江商务大厦：</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位于江苏省南通市海门区张謇大道897号，大楼总占地面积10694平方米，建筑面积20061.32平方米，共16层（含地下车库1层），绿化面积约1200平方米，其余还有门卫用房、地上停车位、道路等设施。</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整个大楼智能系统包括楼宇设备自控系统、综合安全防范系统、智能卡管理系统、综合布线系统、多媒体会议系统、公共及紧急广播系统、中央空调系统等系统。</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包含以下设备设施：电梯、配电房、变压器、配电柜、消防设备、消防泵、监控系统、中央空调等。</w:t>
      </w:r>
      <w:r/>
    </w:p>
    <w:p>
      <w:pPr>
        <w:numPr>
          <w:ilvl w:val="0"/>
          <w:numId w:val="5"/>
        </w:num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分局及其他后勤服务：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三星税务分局（三星镇振兴东路25号，建筑面积1200.06平方米）</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四甲税务分局（四甲镇人民路489号，建筑面积2460.44平方米）</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悦来税务分局（悦来镇人民中路245号，建筑面积1226.67平方米）</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包场税务分局（包场镇通光街24号，建筑面积2067.97平方米）</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临江税务分局（临江新区人民西路666号，建筑面积840平方米）</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老年大学税务教学点（三厂街道中华东路200号，建筑面积4612.46平方米）</w:t>
      </w:r>
      <w:r/>
    </w:p>
    <w:p>
      <w:pPr>
        <w:ind w:firstLine="480"/>
        <w:spacing w:line="360" w:lineRule="auto"/>
        <w:rPr>
          <w:rFonts w:ascii="宋体" w:hAnsi="宋体" w:cs="宋体"/>
          <w:bCs/>
          <w:color w:val="auto"/>
          <w:sz w:val="24"/>
          <w:szCs w:val="24"/>
        </w:rPr>
      </w:pPr>
      <w:r>
        <w:rPr>
          <w:rFonts w:ascii="宋体" w:hAnsi="宋体" w:cs="宋体"/>
          <w:bCs/>
          <w:color w:val="auto"/>
          <w:sz w:val="24"/>
          <w:szCs w:val="24"/>
        </w:rPr>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4.采购项目服务内容及需满足的服务标准；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4.1房屋本体的管理、检查、报修、养护。</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4.2设备管理服务      </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（1）管理服务内容</w:t>
      </w:r>
      <w:r/>
    </w:p>
    <w:p>
      <w:pPr>
        <w:ind w:firstLine="480"/>
        <w:spacing w:line="360" w:lineRule="auto"/>
        <w:rPr>
          <w:rFonts w:ascii="宋体" w:hAnsi="宋体" w:cs="宋体"/>
          <w:bCs/>
          <w:color w:val="auto"/>
          <w:sz w:val="24"/>
          <w:szCs w:val="24"/>
        </w:rPr>
      </w:pPr>
      <w:r/>
      <w:bookmarkStart w:id="147" w:name="_Hlk132458149"/>
      <w:r>
        <w:rPr>
          <w:rFonts w:hint="eastAsia" w:ascii="宋体" w:hAnsi="宋体" w:cs="宋体"/>
          <w:bCs/>
          <w:color w:val="auto"/>
          <w:sz w:val="24"/>
          <w:szCs w:val="24"/>
        </w:rPr>
        <w:t xml:space="preserve">①</w:t>
      </w:r>
      <w:bookmarkEnd w:id="147"/>
      <w:r>
        <w:rPr>
          <w:rFonts w:hint="eastAsia" w:ascii="宋体" w:hAnsi="宋体" w:cs="宋体"/>
          <w:bCs/>
          <w:color w:val="auto"/>
          <w:sz w:val="24"/>
          <w:szCs w:val="24"/>
        </w:rPr>
        <w:t xml:space="preserve">变配电系统的运行操作和养护。</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②低压电气设备系统的运行操作和养护。</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③空调设备系统的运行操作、监测、问题上报。</w:t>
      </w:r>
      <w:r/>
    </w:p>
    <w:p>
      <w:pPr>
        <w:ind w:firstLine="480"/>
        <w:spacing w:line="360" w:lineRule="auto"/>
        <w:rPr>
          <w:rFonts w:ascii="宋体" w:hAnsi="宋体" w:cs="宋体"/>
          <w:bCs/>
          <w:strike/>
          <w:color w:val="auto"/>
          <w:sz w:val="24"/>
          <w:szCs w:val="24"/>
        </w:rPr>
      </w:pPr>
      <w:r>
        <w:rPr>
          <w:rFonts w:hint="eastAsia" w:ascii="宋体" w:hAnsi="宋体" w:cs="宋体"/>
          <w:bCs/>
          <w:color w:val="auto"/>
          <w:sz w:val="24"/>
          <w:szCs w:val="24"/>
        </w:rPr>
        <w:t xml:space="preserve">④电梯设备系统的运行操作、监测、问题上报。</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⑤给排水设备系统的运行操作和养护。</w:t>
      </w:r>
      <w:r/>
    </w:p>
    <w:p>
      <w:pPr>
        <w:ind w:firstLine="480"/>
        <w:spacing w:line="360" w:lineRule="auto"/>
        <w:rPr>
          <w:rFonts w:ascii="宋体" w:hAnsi="宋体" w:cs="宋体"/>
          <w:bCs/>
          <w:strike/>
          <w:color w:val="auto"/>
          <w:sz w:val="24"/>
          <w:szCs w:val="24"/>
        </w:rPr>
      </w:pPr>
      <w:r>
        <w:rPr>
          <w:rFonts w:hint="eastAsia" w:ascii="宋体" w:hAnsi="宋体" w:cs="宋体"/>
          <w:bCs/>
          <w:color w:val="auto"/>
          <w:sz w:val="24"/>
          <w:szCs w:val="24"/>
        </w:rPr>
        <w:t xml:space="preserve">⑥消防设备系统的运行操作、监测、问题上报。</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上述设备运行维护管理所需的备品备件、物料、辅料、能耗及有关主管部门规定收取的控制、测试等费用由业主方负责。各设备的大、中修及委外维保单位的落实由业主方负责，并支付相关费用。物业公司负责协调上述单位进行设备修理及维保工作，并参与业主对其考核。物业公司负责相关设备的运行操作、监测、问题上报，并做好和设备委外维保单位的联系、配合工作。</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（2）管理服务目标</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①无安全与工伤事故，无设备损坏责任事故，无设备故障责任事故。</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②提高设备适用效率，降低运行成本。</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③设备完好率达98%以上，报修及时率达100%，维修合格率达100%。</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（3）管理服务要求</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应按照国家标准，建立健全ISO9001质量保证体系，ISO14001环境质量保证体系，确保大楼设备和秩序的正常运行。</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（4）管理服务标准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①需配备适量设备维修人员，均应具有相应专业上岗证书。</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②各类设备运行良好，完好率达98%。</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③BA监控系统设备完好，运行正常。</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④会议系统运行正常，设备完好，确保随时优质使用。</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⑤保证供配电系统24小时正常运行，如出现停电故障，及时查明原因并上报，在配电设备无机械故障情况下，30分钟内恢复供电。重点区域、重大活动期间照明电气完好率达100%。</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⑥电梯始终处于正常运行状态，安全措施齐全有效，通风、照明及其它附属设施完好。如出现运行故障，及时报告业主并联系委外单位检修或消防救援。</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⑦排水系统通畅。遇有事故，接报后及时处理，无大面积跑水、积水、长时间停水事故，若遇计划停水、停电应报业主，及时发出预告。</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⑧生活饮用水箱水质达国家标准。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⑨空调系统运行正常，无噪音。出现运行故障后及时联系业主和委外单位报修处理。及时报告业主并联系委外单位检修。</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⑩每月一次对消防系统进行联动测试，确保完好、有效。应急指示灯、路标完好。</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（5）制定突发事件的应急方案，确保在紧急情况下按照预案的要求，有条不紊地开展突发事件应急处理工作。</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（6）实行全年365天接报修制度。接报修后及时到达现场处理，水电急修项目当日处理完毕，24小时内回访。</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（7）加强日常工作巡查，及时发现并解决问题。根据季节转换特点主动做好空调等设备调整工作。</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（8）每季一次定期做好各项能耗数据的抄见、计量、统计、分析等工作，向业主作出及时报告。</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（9）做好对专业设备维保单位的协调、配合、监督工作，并制定专业设备维护计划，定期向业主提出设备预防性维护建议。</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（10）设备检测、测试按计划、按要求进行，应提前一周向业主报告。</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4.3强电管理服务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（1）管理服务目标</w:t>
      </w:r>
      <w:bookmarkStart w:id="148" w:name="_Hlk132458219"/>
      <w:r>
        <w:rPr>
          <w:rFonts w:hint="eastAsia" w:ascii="宋体" w:hAnsi="宋体" w:cs="宋体"/>
          <w:bCs/>
          <w:color w:val="auto"/>
          <w:sz w:val="24"/>
          <w:szCs w:val="24"/>
        </w:rPr>
        <w:t xml:space="preserve">       </w:t>
      </w:r>
      <w:bookmarkEnd w:id="148"/>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①无等级安全与工伤事故，无等级设备损坏责任事故，无等级设备故障责任事故。</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②提高设备适用效率，降低运行成本。</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③设备完好率达98%以上，报修及时率达100%。</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（2）管理服务要求</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按照国家标准，执行ISO9001质量保证体系ISO45001职业安全体系认证体系，确保大楼设备和秩序的正常运行。</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（3）管理服务标准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①明确强电设备责任人，均应具有相应专业上岗证书，应具备较好的政治素质，无不良行为。</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②制定突发事件的应急方案，定期演练。</w:t>
      </w:r>
      <w:r/>
    </w:p>
    <w:p>
      <w:pPr>
        <w:ind w:firstLine="480"/>
        <w:spacing w:line="360" w:lineRule="auto"/>
        <w:rPr>
          <w:rFonts w:ascii="宋体" w:hAnsi="宋体" w:cs="宋体"/>
          <w:bCs/>
          <w:color w:val="auto"/>
          <w:sz w:val="24"/>
          <w:szCs w:val="24"/>
          <w:highlight w:val="yellow"/>
        </w:rPr>
      </w:pPr>
      <w:r>
        <w:rPr>
          <w:rFonts w:hint="eastAsia" w:ascii="宋体" w:hAnsi="宋体" w:cs="宋体"/>
          <w:bCs/>
          <w:color w:val="auto"/>
          <w:sz w:val="24"/>
          <w:szCs w:val="24"/>
        </w:rPr>
        <w:t xml:space="preserve">③保证强电设备24小时正常运行，出现故障，立即上报业主并通知维保单位。</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④变配电房实行值班巡查制度，按计划做好变电配电设备的月度、季度、年度维护保养工作。</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⑤遇到突发性故障，中标方应无条件派出相关人员配合业主处置故障。</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4.4弱电管理服务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 管理服务目标</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①无等级安全与工伤事故，无等级设备损坏责任事故，无等级设备故障责任事故。</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②提高设备适用效率，降低运行成本。</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③设备完好率达98%以上，报修及时率达100%。</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（2）管理服务要求</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按照国家标准，按照国家标准，执行ISO9001质量保证体系和ISO45001职业安全体系认证体系，确保大楼设备和秩序的正常运行。</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（3）管理服务标准 </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①明确弱电设备责任人，均应具有相应专业上岗证书和计算机等级证书；应具备较好的政治素质，无不良行为。</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②制定突发事件的应急方案，定期演练。</w:t>
      </w:r>
      <w:r/>
    </w:p>
    <w:p>
      <w:pPr>
        <w:ind w:firstLine="480"/>
        <w:spacing w:line="360" w:lineRule="auto"/>
        <w:rPr>
          <w:rFonts w:ascii="宋体" w:hAnsi="宋体" w:cs="宋体"/>
          <w:bCs/>
          <w:color w:val="auto"/>
          <w:sz w:val="24"/>
          <w:szCs w:val="24"/>
          <w:highlight w:val="yellow"/>
        </w:rPr>
      </w:pPr>
      <w:r>
        <w:rPr>
          <w:rFonts w:hint="eastAsia" w:ascii="宋体" w:hAnsi="宋体" w:cs="宋体"/>
          <w:bCs/>
          <w:color w:val="auto"/>
          <w:sz w:val="24"/>
          <w:szCs w:val="24"/>
        </w:rPr>
        <w:t xml:space="preserve">③保证弱电设备24小时正常运行，出现故障，立即上报业主并通知维保单位。</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④BA系统实行值班巡查制度，出现无法远程控制等情况，立即派人到相应部位手动控制，并报业主通知维保单位。</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⑤会议音响系统应做好设备日常运行和清洁工作。所有设备在无会议期间必须完全断电。</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⑥每月对BA、会议系统进行运行检查，按设备使用规定规范摆放设备设施，发现问题及时上报业主，严禁发生设备带病运行的情况。</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⑦对弱电设备操作人员进行保密教育，严禁利用控制用设备进行除控制软件外的一切活动，不得在控制用设备上使用移动存储设备，不得擅自接收、存储和发布监控中心的监控信息。</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⑧不得在弱电控制室内私接网络，不得改变弱电线路。</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⑨做好弱电设备控制室内的防尘工作，控制室内不得使用明火，不得存放液体容器，控制室内温度要常年保持在15-30度之间，以确保设备运行正常。</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4.5安保消防服务内容及要求</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（1）内容</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①24小时门卫值班；</w:t>
      </w:r>
      <w:bookmarkStart w:id="149" w:name="_Hlk132458752"/>
      <w:r>
        <w:rPr>
          <w:rFonts w:hint="eastAsia" w:ascii="宋体" w:hAnsi="宋体" w:cs="宋体"/>
          <w:bCs/>
          <w:color w:val="auto"/>
          <w:sz w:val="24"/>
          <w:szCs w:val="24"/>
        </w:rPr>
        <w:t xml:space="preserve">            </w:t>
      </w:r>
      <w:bookmarkStart w:id="150" w:name="_Hlk132458842"/>
      <w:r>
        <w:rPr>
          <w:rFonts w:hint="eastAsia" w:ascii="宋体" w:hAnsi="宋体" w:cs="宋体"/>
          <w:bCs/>
          <w:color w:val="auto"/>
          <w:sz w:val="24"/>
          <w:szCs w:val="24"/>
        </w:rPr>
        <w:t xml:space="preserve"> </w:t>
      </w:r>
      <w:bookmarkEnd w:id="149"/>
      <w:r/>
      <w:bookmarkEnd w:id="150"/>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②24小时监控室值班；</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③24小时物业管理区域内导行、值勤、巡逻、维持治安；</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④停车场和管理区域内车辆管理；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⑤报刊杂志信件等分发服务；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⑥设消防管理人员，负责消防设施设备的管理，自动消防系统的运行、器材的管理；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⑦根据时间科学合理地安排工作人员。</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（2）要求</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①门卫：物业管理区域内实行24小时监控、巡视，24小时的门岗值守。对外来人员（施工、送货、参观等）实行进出管理。做好各类来访人员的问讯、登记及限定区域接待工作。对来访客人用语应规范，必要时引导至电梯厅或指定区域。非办公时间进入办公楼的人员应实施详细登记；对物品进出实施分类管理，实行大件物品进出审验制度，对区域内所有搬出物品，须有管理部门的书面批准手续，并登记出门时间、经办人，建立相应台帐，拒绝危险物品进入。</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②巡视：明确巡视工作职责，规范巡视工作流程，制定相对固定的巡视路线，维护大楼内部和外围部分的安全秩序工作。对重点区域、重点部位、重点设备机房至少每1小时巡视一次并记录。发现违法、违规行为应及时制止。巡视应使用巡更设备，在监控中心保持巡更记录；如无巡更设备，宜保持两人一组进行巡视，收到中央监控室发出的指令后，巡视人员应及时到达现场，并针对所发生的情况采取相应措施；巡视中发现各区域的异常情况，应立即通知有关部门并在现场采取必要措施，随时准备启动相应的应急预案。</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③监控：监控中心24小时定点值班，监视监控设施应24小时开通，保持完整的监控记录，监控中心收到火情、险情及其他异常情况报警信号后，应及时报警，并安排保安人员及时赶到现场进行前期准备。保障治安电话畅通，接听及时（铃响三声内必须接听）。</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④停车管理：按照规定时间对停车场进行管理。保安人员应对出入园区的各类车辆进行管理，维护交通秩序，保证车辆便于通行、易于停放，车辆停放有序。无易燃、易爆等物品存放。非机动车应定点停放，并及时做好整理和疏导自行车、电动车、摩托车的管理服务工作。</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⑤突发公共事件处置：中标方须制定物业突发公共事件的应急预案，根据不同突发公共事件的现场情况应变处理。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⑥日常及处理突发事件应急要求（参见下表）</w:t>
      </w:r>
      <w:r/>
    </w:p>
    <w:tbl>
      <w:tblPr>
        <w:tblStyle w:val="711"/>
        <w:tblW w:w="0" w:type="auto"/>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2594"/>
        <w:gridCol w:w="5786"/>
      </w:tblGrid>
      <w:tr>
        <w:trPr>
          <w:trHeight w:val="598"/>
        </w:trPr>
        <w:tc>
          <w:tcPr>
            <w:tcW w:w="1367" w:type="dxa"/>
            <w:vAlign w:val="center"/>
            <w:textDirection w:val="lrTb"/>
            <w:noWrap w:val="false"/>
          </w:tcPr>
          <w:p>
            <w:pPr>
              <w:jc w:val="center"/>
              <w:spacing w:line="360" w:lineRule="auto"/>
              <w:rPr>
                <w:rFonts w:ascii="宋体" w:hAnsi="宋体" w:cs="宋体"/>
                <w:bCs/>
                <w:color w:val="auto"/>
                <w:szCs w:val="21"/>
              </w:rPr>
            </w:pPr>
            <w:r>
              <w:rPr>
                <w:rFonts w:hint="eastAsia" w:ascii="宋体" w:hAnsi="宋体" w:cs="宋体"/>
                <w:bCs/>
                <w:color w:val="auto"/>
                <w:szCs w:val="21"/>
              </w:rPr>
              <w:t xml:space="preserve">作业内容</w:t>
            </w:r>
            <w:r/>
          </w:p>
        </w:tc>
        <w:tc>
          <w:tcPr>
            <w:tcW w:w="2594" w:type="dxa"/>
            <w:vAlign w:val="center"/>
            <w:textDirection w:val="lrTb"/>
            <w:noWrap w:val="false"/>
          </w:tcPr>
          <w:p>
            <w:pPr>
              <w:ind w:firstLine="420"/>
              <w:jc w:val="center"/>
              <w:spacing w:line="360" w:lineRule="auto"/>
              <w:rPr>
                <w:rFonts w:ascii="宋体" w:hAnsi="宋体" w:cs="宋体"/>
                <w:bCs/>
                <w:color w:val="auto"/>
                <w:szCs w:val="21"/>
              </w:rPr>
            </w:pPr>
            <w:r>
              <w:rPr>
                <w:rFonts w:hint="eastAsia" w:ascii="宋体" w:hAnsi="宋体" w:cs="宋体"/>
                <w:bCs/>
                <w:color w:val="auto"/>
                <w:szCs w:val="21"/>
              </w:rPr>
              <w:t xml:space="preserve">作业频率</w:t>
            </w:r>
            <w:r/>
          </w:p>
        </w:tc>
        <w:tc>
          <w:tcPr>
            <w:tcW w:w="5786" w:type="dxa"/>
            <w:vAlign w:val="center"/>
            <w:textDirection w:val="lrTb"/>
            <w:noWrap w:val="false"/>
          </w:tcPr>
          <w:p>
            <w:pPr>
              <w:ind w:firstLine="420"/>
              <w:jc w:val="center"/>
              <w:spacing w:line="360" w:lineRule="auto"/>
              <w:rPr>
                <w:rFonts w:ascii="宋体" w:hAnsi="宋体" w:cs="宋体"/>
                <w:bCs/>
                <w:color w:val="auto"/>
                <w:szCs w:val="21"/>
              </w:rPr>
            </w:pPr>
            <w:r>
              <w:rPr>
                <w:rFonts w:hint="eastAsia" w:ascii="宋体" w:hAnsi="宋体" w:cs="宋体"/>
                <w:bCs/>
                <w:color w:val="auto"/>
                <w:szCs w:val="21"/>
              </w:rPr>
              <w:t xml:space="preserve">作业标准</w:t>
            </w:r>
            <w:r/>
          </w:p>
        </w:tc>
      </w:tr>
      <w:tr>
        <w:trPr/>
        <w:tc>
          <w:tcPr>
            <w:tcW w:w="1367" w:type="dxa"/>
            <w:vAlign w:val="center"/>
            <w:textDirection w:val="lrTb"/>
            <w:noWrap w:val="false"/>
          </w:tcPr>
          <w:p>
            <w:pPr>
              <w:jc w:val="left"/>
              <w:spacing w:line="360" w:lineRule="auto"/>
              <w:rPr>
                <w:rFonts w:ascii="宋体" w:hAnsi="宋体" w:cs="宋体"/>
                <w:bCs/>
                <w:color w:val="auto"/>
                <w:szCs w:val="21"/>
              </w:rPr>
            </w:pPr>
            <w:r>
              <w:rPr>
                <w:rFonts w:hint="eastAsia" w:ascii="宋体" w:hAnsi="宋体" w:cs="宋体"/>
                <w:bCs/>
                <w:color w:val="auto"/>
                <w:szCs w:val="21"/>
              </w:rPr>
              <w:t xml:space="preserve">门岗</w:t>
            </w:r>
            <w:r/>
          </w:p>
        </w:tc>
        <w:tc>
          <w:tcPr>
            <w:tcW w:w="2594" w:type="dxa"/>
            <w:vAlign w:val="center"/>
            <w:textDirection w:val="lrTb"/>
            <w:noWrap w:val="false"/>
          </w:tcPr>
          <w:p>
            <w:pPr>
              <w:ind w:firstLine="420"/>
              <w:jc w:val="left"/>
              <w:spacing w:line="360" w:lineRule="auto"/>
              <w:rPr>
                <w:rFonts w:ascii="宋体" w:hAnsi="宋体" w:cs="宋体"/>
                <w:bCs/>
                <w:color w:val="auto"/>
                <w:szCs w:val="21"/>
              </w:rPr>
            </w:pPr>
            <w:r>
              <w:rPr>
                <w:rFonts w:hint="eastAsia" w:ascii="宋体" w:hAnsi="宋体" w:cs="宋体"/>
                <w:bCs/>
                <w:color w:val="auto"/>
                <w:szCs w:val="21"/>
              </w:rPr>
              <w:t xml:space="preserve">24小时</w:t>
            </w:r>
            <w:r/>
          </w:p>
        </w:tc>
        <w:tc>
          <w:tcPr>
            <w:tcW w:w="5786" w:type="dxa"/>
            <w:vAlign w:val="center"/>
            <w:textDirection w:val="lrTb"/>
            <w:noWrap w:val="false"/>
          </w:tcPr>
          <w:p>
            <w:pPr>
              <w:ind w:firstLine="420"/>
              <w:jc w:val="left"/>
              <w:spacing w:line="360" w:lineRule="auto"/>
              <w:rPr>
                <w:rFonts w:ascii="宋体" w:hAnsi="宋体" w:cs="宋体"/>
                <w:bCs/>
                <w:color w:val="auto"/>
                <w:szCs w:val="21"/>
              </w:rPr>
            </w:pPr>
            <w:r>
              <w:rPr>
                <w:rFonts w:hint="eastAsia" w:ascii="宋体" w:hAnsi="宋体" w:cs="宋体"/>
                <w:bCs/>
                <w:color w:val="auto"/>
                <w:szCs w:val="21"/>
              </w:rPr>
              <w:t xml:space="preserve">车辆、物品、外来人员进出登记100%，礼貌服务，先敬礼后问话。仪表整洁，标志齐全。引导车辆停放、上下班高峰期车流顺畅无阻塞现象。</w:t>
            </w:r>
            <w:r/>
          </w:p>
        </w:tc>
      </w:tr>
      <w:tr>
        <w:trPr/>
        <w:tc>
          <w:tcPr>
            <w:tcW w:w="1367" w:type="dxa"/>
            <w:vAlign w:val="center"/>
            <w:textDirection w:val="lrTb"/>
            <w:noWrap w:val="false"/>
          </w:tcPr>
          <w:p>
            <w:pPr>
              <w:jc w:val="left"/>
              <w:spacing w:line="360" w:lineRule="auto"/>
              <w:rPr>
                <w:rFonts w:ascii="宋体" w:hAnsi="宋体" w:cs="宋体"/>
                <w:bCs/>
                <w:color w:val="auto"/>
                <w:szCs w:val="21"/>
              </w:rPr>
            </w:pPr>
            <w:r>
              <w:rPr>
                <w:rFonts w:hint="eastAsia" w:ascii="宋体" w:hAnsi="宋体" w:cs="宋体"/>
                <w:bCs/>
                <w:color w:val="auto"/>
                <w:szCs w:val="21"/>
              </w:rPr>
              <w:t xml:space="preserve">监控岗</w:t>
            </w:r>
            <w:r/>
          </w:p>
        </w:tc>
        <w:tc>
          <w:tcPr>
            <w:tcW w:w="2594" w:type="dxa"/>
            <w:vAlign w:val="center"/>
            <w:textDirection w:val="lrTb"/>
            <w:noWrap w:val="false"/>
          </w:tcPr>
          <w:p>
            <w:pPr>
              <w:ind w:firstLine="420"/>
              <w:jc w:val="left"/>
              <w:spacing w:line="360" w:lineRule="auto"/>
              <w:rPr>
                <w:rFonts w:ascii="宋体" w:hAnsi="宋体" w:cs="宋体"/>
                <w:bCs/>
                <w:color w:val="auto"/>
                <w:szCs w:val="21"/>
              </w:rPr>
            </w:pPr>
            <w:r>
              <w:rPr>
                <w:rFonts w:hint="eastAsia" w:ascii="宋体" w:hAnsi="宋体" w:cs="宋体"/>
                <w:bCs/>
                <w:color w:val="auto"/>
                <w:szCs w:val="21"/>
              </w:rPr>
              <w:t xml:space="preserve">24小时</w:t>
            </w:r>
            <w:r/>
          </w:p>
        </w:tc>
        <w:tc>
          <w:tcPr>
            <w:tcW w:w="5786" w:type="dxa"/>
            <w:vAlign w:val="center"/>
            <w:textDirection w:val="lrTb"/>
            <w:noWrap w:val="false"/>
          </w:tcPr>
          <w:p>
            <w:pPr>
              <w:ind w:firstLine="420"/>
              <w:jc w:val="left"/>
              <w:spacing w:line="360" w:lineRule="auto"/>
              <w:rPr>
                <w:rFonts w:ascii="宋体" w:hAnsi="宋体" w:cs="宋体"/>
                <w:bCs/>
                <w:color w:val="auto"/>
                <w:szCs w:val="21"/>
              </w:rPr>
            </w:pPr>
            <w:r>
              <w:rPr>
                <w:rFonts w:hint="eastAsia" w:ascii="宋体" w:hAnsi="宋体" w:cs="宋体"/>
                <w:bCs/>
                <w:color w:val="auto"/>
                <w:szCs w:val="21"/>
              </w:rPr>
              <w:t xml:space="preserve">随时报告异常情况进行处理。设备状况良好，无脱岗现象。</w:t>
            </w:r>
            <w:r/>
          </w:p>
        </w:tc>
      </w:tr>
      <w:tr>
        <w:trPr/>
        <w:tc>
          <w:tcPr>
            <w:tcW w:w="1367" w:type="dxa"/>
            <w:vAlign w:val="center"/>
            <w:textDirection w:val="lrTb"/>
            <w:noWrap w:val="false"/>
          </w:tcPr>
          <w:p>
            <w:pPr>
              <w:jc w:val="left"/>
              <w:spacing w:line="360" w:lineRule="auto"/>
              <w:rPr>
                <w:rFonts w:ascii="宋体" w:hAnsi="宋体" w:cs="宋体"/>
                <w:bCs/>
                <w:color w:val="auto"/>
                <w:szCs w:val="21"/>
              </w:rPr>
            </w:pPr>
            <w:r>
              <w:rPr>
                <w:rFonts w:hint="eastAsia" w:ascii="宋体" w:hAnsi="宋体" w:cs="宋体"/>
                <w:bCs/>
                <w:color w:val="auto"/>
                <w:szCs w:val="21"/>
              </w:rPr>
              <w:t xml:space="preserve">事故处理</w:t>
            </w:r>
            <w:r/>
          </w:p>
        </w:tc>
        <w:tc>
          <w:tcPr>
            <w:tcW w:w="2594" w:type="dxa"/>
            <w:vAlign w:val="center"/>
            <w:textDirection w:val="lrTb"/>
            <w:noWrap w:val="false"/>
          </w:tcPr>
          <w:p>
            <w:pPr>
              <w:jc w:val="left"/>
              <w:spacing w:line="360" w:lineRule="auto"/>
              <w:rPr>
                <w:rFonts w:ascii="宋体" w:hAnsi="宋体" w:cs="宋体"/>
                <w:bCs/>
                <w:color w:val="auto"/>
                <w:szCs w:val="21"/>
              </w:rPr>
            </w:pPr>
            <w:r>
              <w:rPr>
                <w:rFonts w:hint="eastAsia" w:ascii="宋体" w:hAnsi="宋体" w:cs="宋体"/>
                <w:bCs/>
                <w:color w:val="auto"/>
                <w:szCs w:val="21"/>
              </w:rPr>
              <w:t xml:space="preserve">发生后及时到达现场</w:t>
            </w:r>
            <w:r/>
          </w:p>
        </w:tc>
        <w:tc>
          <w:tcPr>
            <w:tcW w:w="5786" w:type="dxa"/>
            <w:vAlign w:val="center"/>
            <w:textDirection w:val="lrTb"/>
            <w:noWrap w:val="false"/>
          </w:tcPr>
          <w:p>
            <w:pPr>
              <w:ind w:firstLine="420"/>
              <w:jc w:val="left"/>
              <w:spacing w:line="360" w:lineRule="auto"/>
              <w:rPr>
                <w:rFonts w:ascii="宋体" w:hAnsi="宋体" w:cs="宋体"/>
                <w:bCs/>
                <w:color w:val="auto"/>
                <w:szCs w:val="21"/>
              </w:rPr>
            </w:pPr>
            <w:r>
              <w:rPr>
                <w:rFonts w:hint="eastAsia" w:ascii="宋体" w:hAnsi="宋体" w:cs="宋体"/>
                <w:bCs/>
                <w:color w:val="auto"/>
                <w:szCs w:val="21"/>
              </w:rPr>
              <w:t xml:space="preserve">保护现场、制止纠纷、疏导交通、及时报警，并通知所有有关领导。</w:t>
            </w:r>
            <w:r/>
          </w:p>
        </w:tc>
      </w:tr>
      <w:tr>
        <w:trPr/>
        <w:tc>
          <w:tcPr>
            <w:tcW w:w="1367" w:type="dxa"/>
            <w:vAlign w:val="center"/>
            <w:textDirection w:val="lrTb"/>
            <w:noWrap w:val="false"/>
          </w:tcPr>
          <w:p>
            <w:pPr>
              <w:jc w:val="left"/>
              <w:spacing w:line="360" w:lineRule="auto"/>
              <w:rPr>
                <w:rFonts w:ascii="宋体" w:hAnsi="宋体" w:cs="宋体"/>
                <w:bCs/>
                <w:color w:val="auto"/>
                <w:szCs w:val="21"/>
              </w:rPr>
            </w:pPr>
            <w:r>
              <w:rPr>
                <w:rFonts w:hint="eastAsia" w:ascii="宋体" w:hAnsi="宋体" w:cs="宋体"/>
                <w:bCs/>
                <w:color w:val="auto"/>
                <w:szCs w:val="21"/>
              </w:rPr>
              <w:t xml:space="preserve">突发事件</w:t>
            </w:r>
            <w:r/>
          </w:p>
        </w:tc>
        <w:tc>
          <w:tcPr>
            <w:tcW w:w="2594" w:type="dxa"/>
            <w:vAlign w:val="center"/>
            <w:textDirection w:val="lrTb"/>
            <w:noWrap w:val="false"/>
          </w:tcPr>
          <w:p>
            <w:pPr>
              <w:ind w:firstLine="420"/>
              <w:jc w:val="left"/>
              <w:spacing w:line="360" w:lineRule="auto"/>
              <w:rPr>
                <w:rFonts w:ascii="宋体" w:hAnsi="宋体" w:cs="宋体"/>
                <w:bCs/>
                <w:color w:val="auto"/>
                <w:szCs w:val="21"/>
              </w:rPr>
            </w:pPr>
            <w:r>
              <w:rPr>
                <w:rFonts w:hint="eastAsia" w:ascii="宋体" w:hAnsi="宋体" w:cs="宋体"/>
                <w:bCs/>
                <w:color w:val="auto"/>
                <w:szCs w:val="21"/>
              </w:rPr>
              <w:t xml:space="preserve">及时到达现场</w:t>
            </w:r>
            <w:r/>
          </w:p>
        </w:tc>
        <w:tc>
          <w:tcPr>
            <w:tcW w:w="5786" w:type="dxa"/>
            <w:vAlign w:val="center"/>
            <w:textDirection w:val="lrTb"/>
            <w:noWrap w:val="false"/>
          </w:tcPr>
          <w:p>
            <w:pPr>
              <w:ind w:firstLine="420"/>
              <w:jc w:val="left"/>
              <w:spacing w:line="360" w:lineRule="auto"/>
              <w:rPr>
                <w:rFonts w:ascii="宋体" w:hAnsi="宋体" w:cs="宋体"/>
                <w:bCs/>
                <w:color w:val="auto"/>
                <w:szCs w:val="21"/>
              </w:rPr>
            </w:pPr>
            <w:r>
              <w:rPr>
                <w:rFonts w:hint="eastAsia" w:ascii="宋体" w:hAnsi="宋体" w:cs="宋体"/>
                <w:bCs/>
                <w:color w:val="auto"/>
                <w:szCs w:val="21"/>
              </w:rPr>
              <w:t xml:space="preserve">及时采取措施控制局面，保护现场迅速报告有关人员。</w:t>
            </w:r>
            <w:r/>
          </w:p>
        </w:tc>
      </w:tr>
    </w:tbl>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⑦信报文等服务：负责信函、报刊、文件、通知、包裹单、汇款单、物品、各种单据的登记、投递、收取、分发等服务工作；节假日做好有关报刊杂志的保管工作及其他临时工作。</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⑧消防管理：建立健全消防管理制度，建立消防责任制；管理消防器材，保持其完好。办公楼内应保持消防通道畅通，定期进行消防宣传和消防演习。</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4.6卫生保洁服务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（1）保洁服务内容</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①办公楼内公共部位的保洁，包括内部走廊、安全楼梯、会议室、展厅、洗手间、开水间、电梯轿厢、电梯厅、共享空间沙发、垃圾</w:t>
      </w:r>
      <w:r>
        <w:rPr>
          <w:rFonts w:hint="eastAsia" w:ascii="宋体" w:hAnsi="宋体" w:cs="宋体"/>
          <w:bCs/>
          <w:color w:val="auto"/>
          <w:sz w:val="24"/>
          <w:szCs w:val="24"/>
        </w:rPr>
        <w:t xml:space="preserve">桶</w:t>
      </w:r>
      <w:r>
        <w:rPr>
          <w:rFonts w:hint="eastAsia" w:ascii="宋体" w:hAnsi="宋体" w:cs="宋体"/>
          <w:bCs/>
          <w:color w:val="auto"/>
          <w:sz w:val="24"/>
          <w:szCs w:val="24"/>
        </w:rPr>
        <w:t xml:space="preserve">、茶几、烟缸、灯具、地下层等公共部位的保洁服务。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②会议室和部分办公室室内卫生保洁。</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③办公楼外场保洁，包括道路、广场、停车场、地下停车场、草坪等公共区域的保洁服务。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④协助做好疏通维护，包括办公楼内雨水、各类污水管道、井座、地漏等下水道的疏通和维护。 </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⑤整个区域垃圾的收集和集中堆放。</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（2）保洁服务目标</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①提高专业化程度，提高管理和服务水平，提高满意率。</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②加强安全管理，无等级安全事故、工伤伤亡事故和致残事故。</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③加强保洁质量，保洁范围和区域无脏乱现象和不洁死角。</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④提高服务技能，无因保洁不当造成建筑物、构件、物品、物件和设备等损坏事故。</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（3）保洁服务要求</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①做好卫生保洁工作，卫生保洁率≥99%。</w:t>
      </w:r>
      <w:r/>
    </w:p>
    <w:p>
      <w:pPr>
        <w:ind w:firstLine="480"/>
        <w:spacing w:line="360" w:lineRule="auto"/>
        <w:rPr>
          <w:rFonts w:ascii="宋体" w:hAnsi="宋体" w:cs="宋体"/>
          <w:bCs/>
          <w:color w:val="auto"/>
          <w:sz w:val="24"/>
          <w:szCs w:val="24"/>
          <w:highlight w:val="yellow"/>
        </w:rPr>
      </w:pPr>
      <w:r>
        <w:rPr>
          <w:rFonts w:hint="eastAsia" w:ascii="宋体" w:hAnsi="宋体" w:cs="宋体"/>
          <w:bCs/>
          <w:color w:val="auto"/>
          <w:sz w:val="24"/>
          <w:szCs w:val="24"/>
        </w:rPr>
        <w:t xml:space="preserve">②加强地下车库的服务与管理。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（4）保洁服务标准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根据不同材料的材质需求，选用符合环保要求的清洗剂。如因使用材料不当而造成建筑物、构件、物品、物件、设备设施等损坏的，应予赔偿。</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（5）保洁质量标准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①保持大堂整洁光亮，地面无污渍，无烟蒂，无痰迹，无垃圾；柱面、墙面无灰尘；玻璃大门无手印，无灰尘；开关面板干净，无污渍、破损。</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②保持走廊、茶水间、通道、电梯和楼道等部位清洁、光亮，无污迹，无脚印、无污渍，无浮灰。垃圾</w:t>
      </w:r>
      <w:r>
        <w:rPr>
          <w:rFonts w:hint="eastAsia" w:ascii="宋体" w:hAnsi="宋体" w:cs="宋体"/>
          <w:bCs/>
          <w:color w:val="auto"/>
          <w:sz w:val="24"/>
          <w:szCs w:val="24"/>
        </w:rPr>
        <w:t xml:space="preserve">桶</w:t>
      </w:r>
      <w:r>
        <w:rPr>
          <w:rFonts w:hint="eastAsia" w:ascii="宋体" w:hAnsi="宋体" w:cs="宋体"/>
          <w:bCs/>
          <w:color w:val="auto"/>
          <w:sz w:val="24"/>
          <w:szCs w:val="24"/>
        </w:rPr>
        <w:t xml:space="preserve">每天清理干净。</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③地毯定期清洗、吸尘，保持干净，无污渍，无垃圾。电梯地毯每天更换清洗。</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④公共卫生部位和卫生洁具清洁，无水迹，无头发，无异味。墙面四角保持干燥，无蛛网，地面无脚印，无杂物。金属器具保持光亮，无浮灰，无水迹，无锈斑。卫生用品齐全，卫生间空气清新。</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⑤保持地下车库道路畅通，无堆积垃圾和杂物。地面无灰尘，无污渍，无垃圾。库内空气清新，无异味，定期喷洒药水。</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⑥加强车库管理，卫生保洁到位，地面无积水。</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⑦沙发表面整洁干净，无污渍，无损坏，无灰尘。沙发下面无积尘，无垃圾。茶几干净，无灰尘，无杂物，无水迹。烟缸及时清洗，无积物。灯具保持整洁，灯罩、灯座无积尘，无损坏。</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⑧会议室内无杂物乱堆现象。会议桌整洁干净，无划痕，无水渍。杯子、椅子等物品摆放整齐划一。 </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⑨办公室室内每天清扫一次。办公室内的办公家具按上述质量标准执行。</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（6）室外质量标准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在规定的时间内做好广场、车道、停车场、天台、指示牌、废物箱保洁，无垃圾，无纸屑，无烟蒂，无浮灰，无污物。围廊立柱、墙面四角无灰尘，无蛛网，保持干净。 广场、车道、停车场应确保在办公时间洁净。</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4.7会议服务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（1）会议服务内容</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①对会议音响系统、会议系统的操作、运行服务进行日常维护。并确保办公楼及会议室音响系统、会议系统等设备设施的正常运行。</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②根据会议工作的要求，负责安排和摆放好必备的会务用品。</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③提供会议室、接待室的卫生保洁及家具养护服务。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（2）会议服务目标</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高标准、全方位、优质规范，确保会务服务标准。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（3）会议服务要求</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①中标方按业主需求，派驻符合业主条件的会务员工2名，经业主认可才能上岗。</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②会议服务员工，具有专业水准，能熟练操作音控设备，无不良记录。</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③确保服务质量，会务服务基本满意率≥98%。</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④积极做好资产的保管工作，若改变资产现状需经业主同意。</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4.8食堂服务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（1）食堂服务内容</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①满足海门区税务局300人左右早上、中午就餐（所需烹饪材料、设备、水电等由业主提供）。</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②完成各种会议、培训教育人员的用餐。</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③完成其他临时性的工作餐。</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（2）食堂服务要求</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①以《中华人民共和国食品卫生法》、《食品卫生总则》、《食品企业通用卫生规范》为准则，建立食品安全体系，确保饮食安全。环境卫生管理:以ISO14001为核心，以“六常法”管理为基本形式，建立环境卫生管理体系，确保食品及环境卫生。</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②食堂工作人员须均持有有效的《健康证》。</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③运作模式根据海门区税务局食堂管理的实际情况，物业负责食堂的人员管理、菜品搭配、食品加工制作、食品供应、环境卫生、现场操作和安全保障等工作，食堂各类物料均由委托方提供，物业只负责验收、把关和入库管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④根据海门区税务局要求由采购公司统一采购主副食品，负责共同验收主副食品并保证质量和食品安全。对采购的食品原、辅材料质量、数量进行把关并做好索证工作，对不合格的不予以入库，对已入库的进行经常性检查，发现不符合卫生要求的，及时上报，经食堂主管同意后及时进行无害化处理，并按规定做好相关登记工作。所需材料不足时，主动与管理人员沟通。所需各类烹调材料、设备、水电等由海门区税务局提供。</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⑤根据工作餐标准，提高食品制作品质，用餐环境整洁，确保用餐质量和用餐满意度。</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⑥结合食堂管理服务的特点，编制《食堂各种工种操作规范》、《厨房设备操作规范》、《员工岗位职责》、《厨房工作流程图》，厨房全员参与，全面考评。</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⑦营养菜谱管理:以人体对营养的综合需求为准则，结合时令变化和人群口味特点，制定档次不同的营养菜谱供选择使用。</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（3）食堂服务标准</w:t>
      </w:r>
      <w:r/>
    </w:p>
    <w:p>
      <w:pPr>
        <w:ind w:firstLine="480"/>
        <w:spacing w:line="360" w:lineRule="auto"/>
        <w:rPr>
          <w:rFonts w:ascii="宋体" w:hAnsi="宋体" w:cs="宋体"/>
          <w:bCs/>
          <w:color w:val="auto"/>
          <w:sz w:val="24"/>
          <w:szCs w:val="24"/>
        </w:rPr>
      </w:pPr>
      <w:r/>
      <w:bookmarkStart w:id="151" w:name="_Hlk132459361"/>
      <w:r/>
      <w:bookmarkStart w:id="152" w:name="_Hlk132459489"/>
      <w:r/>
      <w:bookmarkStart w:id="153" w:name="_Hlk132458875"/>
      <w:r>
        <w:rPr>
          <w:rFonts w:hint="eastAsia" w:ascii="宋体" w:hAnsi="宋体" w:cs="宋体"/>
          <w:bCs/>
          <w:color w:val="auto"/>
          <w:sz w:val="24"/>
          <w:szCs w:val="24"/>
        </w:rPr>
        <w:t xml:space="preserve">①</w:t>
      </w:r>
      <w:bookmarkEnd w:id="151"/>
      <w:r/>
      <w:bookmarkEnd w:id="152"/>
      <w:r/>
      <w:bookmarkEnd w:id="153"/>
      <w:r>
        <w:rPr>
          <w:rFonts w:hint="eastAsia" w:ascii="宋体" w:hAnsi="宋体" w:cs="宋体"/>
          <w:bCs/>
          <w:color w:val="auto"/>
          <w:sz w:val="24"/>
          <w:szCs w:val="24"/>
        </w:rPr>
        <w:t xml:space="preserve">保证菜肴色、香、味、形、营养俱全。</w:t>
      </w:r>
      <w:r/>
    </w:p>
    <w:p>
      <w:pPr>
        <w:ind w:firstLine="480"/>
        <w:spacing w:line="360" w:lineRule="auto"/>
        <w:rPr>
          <w:rFonts w:ascii="宋体" w:hAnsi="宋体" w:cs="宋体"/>
          <w:bCs/>
          <w:color w:val="auto"/>
          <w:sz w:val="24"/>
          <w:szCs w:val="24"/>
        </w:rPr>
      </w:pPr>
      <w:r/>
      <w:bookmarkStart w:id="154" w:name="_Hlk132459377"/>
      <w:r>
        <w:rPr>
          <w:rFonts w:hint="eastAsia" w:ascii="宋体" w:hAnsi="宋体" w:cs="宋体"/>
          <w:bCs/>
          <w:color w:val="auto"/>
          <w:sz w:val="24"/>
          <w:szCs w:val="24"/>
        </w:rPr>
        <w:t xml:space="preserve">②</w:t>
      </w:r>
      <w:bookmarkEnd w:id="154"/>
      <w:r>
        <w:rPr>
          <w:rFonts w:hint="eastAsia" w:ascii="宋体" w:hAnsi="宋体" w:cs="宋体"/>
          <w:bCs/>
          <w:color w:val="auto"/>
          <w:sz w:val="24"/>
          <w:szCs w:val="24"/>
        </w:rPr>
        <w:t xml:space="preserve">建立标准菜谱，按时令口味特点，提供不同的营养菜谱。</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③冬天菜肴保暖，夏天提供清凉食品。</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④准时提供工作餐（实行预约服务，就餐人员因公事经预约方可提前或推迟就餐）。</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⑤餐后对对当天供应的菜肴做好48小时留样，对餐具卫生情况进行抽查。</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⑥业主单位工作人员与物业管理人员错时用餐。</w:t>
      </w:r>
      <w:r/>
    </w:p>
    <w:p>
      <w:pPr>
        <w:ind w:firstLine="480"/>
        <w:spacing w:line="360" w:lineRule="auto"/>
        <w:rPr>
          <w:rFonts w:ascii="宋体" w:hAnsi="宋体" w:cs="宋体"/>
          <w:bCs/>
          <w:color w:val="auto"/>
          <w:sz w:val="24"/>
          <w:szCs w:val="24"/>
        </w:rPr>
      </w:pPr>
      <w:r/>
      <w:bookmarkStart w:id="155" w:name="_Hlk132458909"/>
      <w:r>
        <w:rPr>
          <w:rFonts w:hint="eastAsia" w:ascii="宋体" w:hAnsi="宋体" w:cs="宋体"/>
          <w:bCs/>
          <w:color w:val="auto"/>
          <w:sz w:val="24"/>
          <w:szCs w:val="24"/>
        </w:rPr>
        <w:t xml:space="preserve">⑦</w:t>
      </w:r>
      <w:bookmarkEnd w:id="155"/>
      <w:r>
        <w:rPr>
          <w:rFonts w:hint="eastAsia" w:ascii="宋体" w:hAnsi="宋体" w:cs="宋体"/>
          <w:bCs/>
          <w:color w:val="auto"/>
          <w:sz w:val="24"/>
          <w:szCs w:val="24"/>
        </w:rPr>
        <w:t xml:space="preserve">食堂餐具卫生整洁，确保每日消毒，餐桌、餐椅整洁卫生，物品摆放有序，采取有效安全的灭害措施，餐厅内无苍蝇、蚊子、蟑螂、老鼠等虫害。</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⑧食堂内地面无油污、结水，炊具摆放有序。</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⑨统一着装，仪态整洁、工作时戴口罩、手套、工作帽。</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4.9室外绿化景观服务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 绿化服务内容</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室外绿化养护。包括树木养护、绿地花坛养护、地被养护、草坪养护、四季草花养护等内容。</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 绿化服务目标</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高标准、全方位、优质规范，确保室外绿化服务达到二级养护标准,日常管理资料齐全。</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4.10其他服务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（1）做好物业档案管理工作。</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（2）做好各类应急预案工作。</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5.采购标的的验收标准； </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5.1辖区环境卫生管理考核细则</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（1）有健全的辖区环境卫生管理制度，有可操作性强的突发事件应急预案，有清晰的管理目标，有可行的工作计划、措施及总结，有明确的岗位职责。如有缺失，扣2分／次。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（2）员工能严守劳动纪律，按时上下班，不迟到、不早退，有事提前请假，并安排好代班。如有违反，扣0.5分／人·次。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（3）工作期间，按规定穿工作服，佩戴工号牌，戴工作帽，注重仪容仪表，文明服务，礼貌待人。如有违反，扣0.5分／人·次。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（4）工作期间务必认真负责，坚守岗位，不干私活，不闲扯聊天，不串岗，不脱岗。如有违反，扣1分／人·次。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（5）巡回检查责任区内各类卫生、照明等生活、办公设施，发现异常及时上报报修，确保设施齐全，无破损，如有不到位，扣0.5分／次。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（6）每天7：30前清理辖区各处垃圾桶内垃圾，配合做好垃圾清运工作，确保垃圾清理规范、及时，无积压、积存。如有不到位，扣0.5分／次。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7）每天上午8:30前、下午2：30前，对楼梯、楼道、各主支干道、广场（含运动场所）等责任区域各清扫、拖洗一次，平时做到保洁及时，确保地面无纸屑、痰迹、烟蒂、泥沙等异物，无油渍、无污渍等。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8）每天清洁、擦拭责任区内的阳台栏杆、楼梯扶手、公共区域门窗、窗台、玻璃、指示牌、垃圾桶、电源面板、消防柜、电子显示屏、景观设施、公共座椅、各类标牌、栏杆、灯座等附属设施，等，并巡回保洁，确保无积灰、无污迹。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（9）及时清理责任区内墙面、顶面、踢脚线及辖区附属设施上的积灰、蜘蛛网，清洁吸顶灯灯罩等，确保干净、整洁，无积尘、无霉斑、无蜘蛛网等。如有不到位，扣1分／次。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（10）及时清理建筑物楼顶、公共通道雨棚顶，保持屋面、顶棚下水道畅通；确保楼顶无卫生死角。如有不到位，扣2分／次。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（11）每天巡回捡拾绿地、花坛内外垃圾，做到目视无枯枝、无果皮、无饮料罐、无纸屑等异物。如有不到位，扣0.5分／次。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（12）定期清理室外场地上的下水道、雨水井、化粪池、电缆井，保持室外场地上的下水道、雨水井干净、畅通，窨井盖等设备设施齐全，无缺失、无损坏。如有不到位，扣1分／次。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（13）每天上午、下午分两次重点打扫卫生间，清理纸篓垃圾、地面垃圾、地面积水等，确保地面无污渍、积水及垃圾等杂物，室内无异味、臭味，空气清新。如有不到位，扣2分／次。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（14）定期擦洗卫生间瓷砖墙面、水箱、门、窗、蹲位隔板等，做到目视无灰尘、无污渍。如有不到位，扣1分／次。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（15）每天定时清理、洗刷大小便池、拖把池、水池，对易产生水锈、黄斑的部位进行有针对性的清洗，确保瓷器、金属器具、光洁明亮，无尘、无垢，排水排污管道畅通，无堵塞。如有不到位，扣2分／次。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（16）每天巡回擦洗洗手间水池、龙头、台面、墙面（含镜面）等，清理垃圾桶内茶水、烟灰，清除水迹、污迹。如有不到位，扣2分／次。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（17）根据业主方要求，定期在卫生死角喷洒杀虫剂，投放捕鼠器具（药），确保无蚊蝇、无鼠患。如有不到位，扣1分／次。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（18）定期打扫报告厅及会议室，做到按顺序打扫，依次清洁，确保室内各区域干净整洁，无杂物、无蜘蛛网、无污渍。如有不到位，扣1分／次。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（19）配合业主方积极主动搞好节能降耗和设施安全工作，工作结束后及时关闭责任区内公共场所的灯、水龙头、门窗等，整理好库房。如有不到位，扣1分／次。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（20）积极配合业主方完成各项临时任务，参加物业管理例会，服从监管，遇事不推诿，不扯皮，不推卸责任。如有不到位，扣1分／次。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5.2水电供应维修管理考核细则</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（1）有健全的水电供应维修管理制度，有可操作性强的突发事件应急预案，有清晰的管理目标，有可行的工作计划、措施及总结，有明确的岗位职责。如有缺失，扣2分／次。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（2）员工能严守劳动纪律，按时上下班，不迟到、不早退，有事提前请假，并安排好代班。如有违反，扣0.5分／人·次。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（3）工作期间，按规定穿工作服，佩戴工号牌，戴安全帽，注重仪容仪表，文明服务，礼貌待人。如有违反，扣0.5分／人·次。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（4）工作期间务必认真负责，坚守岗位，不干私活，不闲扯聊天，不串岗，不脱岗。如有违反，扣1分／人·次。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（5）维修工要加强对辖区房屋及附属设施的巡检，不得漏巡、漏检，并作好巡检记录，如有破损，须上报报修。如有不到位，扣0.5分／次。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（6）水电工要加强对辖区水电设施、管线的巡检，有异常及时处置，做到灯要亮，水要通，设施要齐全，无破损。如有不到位，扣0.5分／次。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（7）下班后，做好辖区巡视工作，及时关闭各区域楼道灯、卫生间灯（未时控），检查卫生间是否存在跑水、漏水现象，及时处置并上报记录。如有不到位，扣1分／次。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（8）根据水电供应维修等工作情况，及时向海门区税务局提出维修配件采购建议，以便海门区税务局不因缺少配件而耽搁维修。如有不到位，扣0.5分／次。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（9）定时到相关部门领取报修单，领取维修配件，并在规定时间到达现场维修。如有不到位，扣2分／次。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（10）维修期间，应善于观察、分析，认真配合海门区税务局从设施安全、成本节约角度爱护辖区设施，做好维修工作。如有不到位，扣0.5分／次。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（11）报修处理完毕后，须做好维修验收、签单、反馈、旧物返库及耗材台账登记工作，并做好维修场地清理工作。如有不到位，扣1分／次。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（12）维修电工在工作期间严守各项操作规程，不得带电作业、违规作业。如有违反，扣1分／次。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（13）高压电工工作时，需穿戴好防护用品，检查工具的绝缘性，并严守各项操作规定，不得自作主张，单人操作。如有违反，扣1分／次。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（14）高压电工值班时，严格执行巡视、交班制度，做好设施运行记录。如有问题应及时上报，但不得单人操作处理。如有违反，扣1分／次。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（15）水电工在维修水电管线时，不得私自更改管路、线路。如有违反，扣1分／次。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（16）水电供应维修管理人员需做好海门区税务局各高低压配电房、库房的卫生清理、安全防范等工作。如有不到位，扣1分／次。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（17）经常巡视大厦大楼排水排污管道是否畅通，发现堵塞及时疏通。如有不到位，扣2分／次。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（18）不在当班时，接到业主方电话的，做到随叫随到。如有不到位，扣1分／次。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（19）积极配合业主方完成各项临时任务，参加物业管理例会，服从监管，遇事不推诿，不扯皮，不推卸责任。如有不到位，扣1分／次。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（20）物业公司应积极采取防范措施，调配人员，确保水电供应维修管理工作正常运行，不能因工作不到位使业主方工作受损。如有不到位，扣2分／次。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3.3门卫管理考核细则</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（1）有健全的门卫管理制度，做到工作有计划、有措施、有总结，有明确的岗位职责。如有缺失，扣2分／次。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（2）员工能严守劳动纪律，按时上下班，不迟到、不早退，有事提前请假，并安排好代班。如有违反，扣0.5分／人·次。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（3）工作期间，按规定穿好工作服，佩戴胸卡。注重仪容仪表，严禁赤膊、穿背心、披衣、敞怀、挽袖、卷裤腿、歪戴帽子、穿拖鞋等。文明服务，礼貌待人。如有违反，扣0.5分／人·次。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（4）工作期间务必认真负责，坚守岗位，不干私活，不闲扯聊天，不串岗，不脱岗，认真做好交接班工作。如有违反，扣1分／人·次。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（5）爱岗敬业，工作责任心强，不串岗，不脱岗，不吸烟，不喝酒，不打牌，不打瞌睡，不玩手机，不吃零食，不干私活，认真做好交接班手续。如有不到位，扣1分／次。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（6）讲究个人卫生，时刻保持门卫值班室内外整洁，室内物品摆放有序；规定物品规范放置。要求无污渍、无痰迹、无垃圾、无积灰、无异味、干净明亮。如有不到位，扣0.5分／次。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（7）微笑服务、礼貌待人、细心周到、不与外来人员发生争吵，认真接待来访人员，及时联系被访者，按规定进行登记并且及时办理进出手续。如有不到位，扣2分／次。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（8）确保双人双岗24小时值班制，不脱岗。如有不到位，扣10分／次。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（9）按时启动门禁系统，按时开启、关闭大楼大门。不到位者每次扣1分。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（10）上下班期间确保一人立岗，一人执勤。其余时间值班室内外各1人，如有不到位，扣1分／次。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（11）按规定查验好人员进出门手续，严禁无手续进出。如有不到位，扣2分／次。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（12）规范门口车辆停放秩序，严禁外来车辆随意进入辖区。.严格查验好各类物品资产进出，严禁无手续的货物进出门。如有不到位，扣2分／次。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（13）认真检查门卫监控设备和周界报警系统，确保正常运行。如有不到位，扣2分／次。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（14）按规范做好服务对象各种报刊杂志信件、快递及送达的物品的接收分发工作。如有不到位，扣1分／次。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（15）认真记载好各类记录本。如有不到位，扣1分／次。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（16）认真做好辖区巡逻工作。夜间2小时一次，确保全方位、无死角。巡更检查覆盖率少于95%。如有不到位，扣5分／次。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（17）认真、及时做好各类登记、记载工作。如有不到位，扣0.5分／次。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（18）认真做好节假日值班制度，确保双人双岗及日夜巡视制度。如有不到位，扣10分／次。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（19）严格遵守各项规章制度，及时汇报突发事件。如有不到位，扣1分／次。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（20）完成业主方交办的其他事务，服从管理。如有不到位，扣1分／次。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5.4安全管理考核细则</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（1）有健全的安全管理制度，做到工作有计划、有措施、有总结，有明确的岗位职责。如有缺失，扣2分／次。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（2）员工能严守劳动纪律，按时上下班，不迟到、不早退，有事提前请假，并安排好代班。如有违反，扣0.5分／人·次。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（3）工作期间，按规定穿好工作服，佩戴胸卡。注重仪容仪表，文明服务，礼貌待人。如有违反，扣0.5分／人·次。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（4）工作期间务必认真负责，坚守岗位，不干私活，不闲扯聊天，不串岗，不脱岗，认真做好交接班工作。如有违反，扣1分／人·次。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（5）爱岗敬业，工作责任心强，不串岗，不脱岗，不吸烟，不喝酒，不打牌，不打瞌睡，不玩手机，不吃零食，不干私活，认真做好交接班手续。如有不到位，扣1分／次。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（6）讲究个人卫生，时刻保持门卫值班室内外整洁，室内物品摆放有序；规定物品规范放置。要求无污渍、无痰迹、无垃圾、无积灰、干净明亮。如有不到位，扣0.5分／次。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（7）确保24小时值班制，不脱岗。如有不到位，扣10分／次。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（8）认真做好交接班手续，认真做好监控及各类值班室台帐记录。如有不到位，扣0.5分／次。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（9）规范车辆管理，每天上下午巡查车辆安全有序停放情况，每周每月及时汇总检查上报。如有不到位，扣1分／次。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（10）认真做好辖区安全巡视，及时反馈情况，妥善处理突发事件。如有不到位，扣2分／次。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（11）按规定做好监控设施的保养和运行情况的管理工作，做好辖区巡逻电动车的使用和保养工作，发现故障及时通知维修人员排除。如有不到位，扣1分／次。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（12）认真做好上下班等期间门口秩序维护。如有不到位，扣1分／次。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（13）严格执行保密制度，严禁外来人员进入工作制室。如有不到位，扣2分／次。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（14）每天认真巡查泵房和辖区消防设备运行情况，发现隐患及时汇报。如有不到位，扣1分／次。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（15）认真检查消防控制台运行情况，发现故障及时通知维保单位来局维修。如有不到位，扣1分／次。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（16）认真检查辖区消防设施，确保消防水箱、消防水池的水量充足；消防泵出水管阀门、自动灭火系统阀门常开。如有不到位，扣1分／次。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（17）协助做好辖区消防设施的维护检修工作，确保消防通道的畅通。如有不到位，扣1分／次。</w:t>
      </w:r>
      <w:r/>
    </w:p>
    <w:p>
      <w:pPr>
        <w:ind w:firstLine="480"/>
        <w:rPr>
          <w:color w:val="auto"/>
        </w:rPr>
      </w:pPr>
      <w:r>
        <w:rPr>
          <w:rFonts w:hint="eastAsia" w:ascii="宋体" w:hAnsi="宋体" w:cs="宋体"/>
          <w:bCs/>
          <w:color w:val="auto"/>
          <w:sz w:val="24"/>
          <w:szCs w:val="24"/>
        </w:rPr>
        <w:t xml:space="preserve">（18）每年组织一次消防演练，协助做好相关信息数据上报。如有不到位，扣2分／次。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（19）发现火警及时汇报，按规定根据相应的应急预案进行处理。如有不到位，扣10分／次。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（20）完成业主方交办的其他事务，服从管理。违者每次扣1分。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（21）关注消防系统运行情况；认真检查消防系统安全隐患，及时汇报。如有不到位，扣2分／次。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（22）发生故障接到通知后立刻响应，紧急情况立马到达现场，一般情况半小时内到达现场进行处理。如有不到位，扣5分／次。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（23）发生火警，第一时间到达现场，按规范采取措施。如有不到位，扣10分／次。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（24）按时检查泵房、高位消防水箱、消防水池等，确保水量充足。如有不到位，扣3分／次。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（25）做好各类检查记录及台账工作。如有不到位，扣1分／次。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（26）按时完成月检、季检、年检，填写维护报告。如有不到位，扣2分／次。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（27）严格按照消防规范操作，维护过程严格符合海门区税务局消防点位图图纸要求，不得随意更改。如有不到位，扣2分／次。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（28）协助做好每年的消防逃生演练，做好各类台帐资料记载。如有不到位，扣2分／次。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（29）按要求做好消防控制室内的规范布置，并绘制消防图纸，并打印出纸质稿。如有不到位，扣5分／次。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（30）服务质量达标，确保消防系统不影响海门区税务局正常工作秩序。如有不到位，扣2分／次。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（31）协助业主方完成上级消防检查部门下达的各种通知或任务。如有不到位，扣2分／次。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（32）协助业主方在新建、改建、扩建、装修、装饰等活动时，监督、指导施工单位必须严格执行消防法规和国家工程建设消防技术标准，确保相关消防设施正常运行。如有不到位，扣2分／次。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（33）完成业主方交办的其他事务，服从管理。如有不到位，扣2分／次。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5.5食堂服务考核细则</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（1）有健全的食堂管理制度，有可操作性强的突发事件应急预案，有清晰的管理目标，有可行的工作计划、措施及总结，有明确的岗位职责。如有缺失，扣2分／次。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（2）员工能严守劳动纪律，按时上下班，不迟到、不早退，有事提前请假，并安排好代班。如有违反，扣1分／人·次。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（3）工作期间，按规定穿工作服，佩戴胸卡，注重仪容仪表，文明服务，礼貌待人。如有违反，扣0.5分／人·次。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（4）工作期间务必认真负责，坚守岗位，不干私活，不闲扯聊天，不串岗，不脱岗，认真做好交接班工作。如有违反，扣1分／人·次。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（5）每天及时将垃圾桶拉至指定位置并及时拉回，配合做好垃圾清运工作, 确保垃圾清理及时，确保无积压。如有不到位，扣0.5分／次。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（6）每天确保垃圾桶外表整洁，每周至少清洗内部一次，做到放垃圾桶处无异味。如有不到位，扣0.5分／次。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7）保证菜肴色、香、味、形、营养俱全。按时令及时丰富和更新标准菜谱。准时提供工作餐（实行预约服务，就餐人员因公事经预约方可提前或推迟就餐）。餐后对当天供应的菜肴做好48小时留样，对餐具卫生定期进行抽查。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（8）每天用餐前认真做好餐厅内外地面、玻璃、餐桌椅的清洁工作, 要求无污渍、无痰迹、无垃圾、无积灰、干净明亮。如有不到位，扣0.5分／次。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（9）每天及时做好各工作间地面、设备等的清扫工作, 要求无污渍、无痰迹、无垃圾、无积灰、干净明亮。如有不到位，扣0.5分／次。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（10）每年按规定的周期对食品从业人员进行健康检查且从业人员须具有健康证，健康检查不合格者立即调离食品生产和服务岗位，严防传染。如有违反，扣5分／人·次。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（11）保持餐厅门、窗、桌、椅、工作台、备菜间等环境的清洁。做好餐具用具的清洗、消毒工作。如有违反，扣1分／人·次。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（12） 服务中严格执行操作卫生要求。坚持食品卫生的日常检查监督。做好食品生产现场的督导，把好食品原料、加工制作、供应和储存保管各环节的卫生质量关，严防食品污染。如有违反，扣5分／人·次。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（13）每餐结束后做好整理工作，做到桌椅位置复原，台面摆设整齐，工作台柜理齐，餐厅环境整洁，无遗留垃圾和残留的杯、碟、筷、匙等。如有违反，扣0.5分／人·次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（14）餐具工具放置规范、整齐，不能随意随处放着相关物品及工具。捡拾的废品要及时清理，不能随意堆放。如有不到位，扣0.5分／次。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15）每日下班前，要逐一检查阀门、气路、水路、电路及各类设备的安全情况，如果发现问题应及时报修，要认真检查，确保万无一失。电路、气路、水路及设备正常运行情况，杜绝隐患的发生。如有不到位，扣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（16）积极配合业主方完成各项临时任务，参加物业管理例会，服从监管，遇事不推诿，不推卸责任。如有不到位，扣1分／次。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5.6会议服务考核细则</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（1）对会议音响系统、会议系统的操作、运行服务进行日常维护。并确保办公楼及会议室音响系统、会议系统、灯光、空调等设备实施的正常运行。如有不到位，扣0.5分／次。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（2）据会议主办单位要求，负责安排与调度会议室，摆放必备的会务用品。如有不到位，扣0.5分／次。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（3）提供大厅会议接待服务及引导、联络服务。如有不到位，扣0.5分／次。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（4）提供会议室、接待室的卫生保洁及家具养护服务。如有不到位，扣0.5分／次。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（5）确保服务礼仪与服务质量，会议礼仪服务基本满意率100%.如有不到位，扣1分／次。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（6）积极做好资产的保管工作，若改变资产现状需经业主同意。如有不到位，扣1分／次。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5.7绿化服务考核细则</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（1）有健全的绿化管理制度，有清晰的管理目标，有可行的工作计划、措施及总结，有明确的岗位职责。如有缺失，扣2分／次。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（2）工作期间，按规定穿工作服，佩戴胸卡，注重安全防护，文明服务，礼貌待人。如有违反，扣2分／次。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（3）按照季节和对室外绿化进行日常维护。并确保树木、绿地花坛、地被、草坪、四季草花的正常生长。如有不到位，扣2分／次。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（4）及时将修剪的树枝草木收集并及送至指定位置，配合做好垃圾清运工作, 确保无积压。如有不到位，扣2分／次。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（5）按照工作计划做好每月的绿化服务工作，并做好相应的台账记录，如有记录确实或记录不到位，扣2分／次。</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（6）做好季节性恶劣天气的绿化应急工作，确保树木大面积倒伏或伤人损物、大面积冻死等时间，如有不到位，扣5分/次。因未采取有效措施导致财产和人员损伤的，由乙方承担赔偿责任。</w:t>
      </w:r>
      <w:r/>
    </w:p>
    <w:p>
      <w:pPr>
        <w:pStyle w:val="953"/>
        <w:rPr>
          <w:color w:val="auto"/>
        </w:rPr>
      </w:pPr>
      <w:r>
        <w:rPr>
          <w:color w:val="auto"/>
        </w:rPr>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6.采购需求中必须满足的实质性要求；</w:t>
      </w:r>
      <w:r/>
    </w:p>
    <w:p>
      <w:pPr>
        <w:ind w:firstLine="480"/>
        <w:spacing w:line="360" w:lineRule="auto"/>
        <w:rPr>
          <w:rFonts w:ascii="宋体" w:hAnsi="宋体" w:cs="宋体"/>
          <w:b/>
          <w:bCs w:val="0"/>
          <w:i/>
          <w:iCs/>
          <w:color w:val="auto"/>
          <w:sz w:val="24"/>
          <w:szCs w:val="24"/>
          <w:u w:val="single"/>
        </w:rPr>
      </w:pPr>
      <w:r>
        <w:rPr>
          <w:rFonts w:hint="eastAsia" w:ascii="宋体" w:hAnsi="宋体" w:cs="宋体"/>
          <w:b/>
          <w:bCs w:val="0"/>
          <w:i/>
          <w:iCs/>
          <w:color w:val="auto"/>
          <w:sz w:val="24"/>
          <w:szCs w:val="24"/>
          <w:u w:val="single"/>
        </w:rPr>
        <w:t xml:space="preserve">为了更好的提供优质的专业化物业管理服务，具有完备的规章管理制度，财务核算制度、考核制</w:t>
      </w:r>
      <w:bookmarkStart w:id="163" w:name="_GoBack"/>
      <w:r/>
      <w:bookmarkEnd w:id="163"/>
      <w:r>
        <w:rPr>
          <w:rFonts w:hint="eastAsia" w:ascii="宋体" w:hAnsi="宋体" w:cs="宋体"/>
          <w:b/>
          <w:bCs w:val="0"/>
          <w:i/>
          <w:iCs/>
          <w:color w:val="auto"/>
          <w:sz w:val="24"/>
          <w:szCs w:val="24"/>
          <w:u w:val="single"/>
        </w:rPr>
        <w:t xml:space="preserve">度细则等管理制度，中标方在业主方设立物业管理处，委派物业管理服务人员，实行中标方领导下的经理负责制，全面负责对业主方物业管理的组织实施及服务质量和效率。</w:t>
      </w:r>
      <w:r/>
    </w:p>
    <w:p>
      <w:pPr>
        <w:ind w:firstLine="480"/>
        <w:spacing w:line="360" w:lineRule="auto"/>
        <w:rPr>
          <w:rFonts w:ascii="宋体" w:hAnsi="宋体" w:cs="宋体"/>
          <w:b/>
          <w:bCs w:val="0"/>
          <w:i/>
          <w:iCs/>
          <w:color w:val="auto"/>
          <w:sz w:val="24"/>
          <w:szCs w:val="24"/>
          <w:u w:val="single"/>
        </w:rPr>
      </w:pPr>
      <w:r>
        <w:rPr>
          <w:rFonts w:hint="eastAsia" w:ascii="宋体" w:hAnsi="宋体" w:cs="宋体"/>
          <w:b/>
          <w:bCs w:val="0"/>
          <w:i/>
          <w:iCs/>
          <w:color w:val="auto"/>
          <w:sz w:val="24"/>
          <w:szCs w:val="24"/>
          <w:u w:val="single"/>
        </w:rPr>
        <w:t xml:space="preserve">区局机关（长江南路468号）人员配备要求：</w:t>
      </w:r>
      <w:r/>
    </w:p>
    <w:tbl>
      <w:tblPr>
        <w:tblStyle w:val="711"/>
        <w:tblW w:w="92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2416"/>
        <w:gridCol w:w="1351"/>
        <w:gridCol w:w="4624"/>
      </w:tblGrid>
      <w:tr>
        <w:trPr>
          <w:jc w:val="center"/>
          <w:trHeight w:val="652"/>
        </w:trPr>
        <w:tc>
          <w:tcPr>
            <w:tcW w:w="811" w:type="dxa"/>
            <w:vAlign w:val="center"/>
            <w:textDirection w:val="lrTb"/>
            <w:noWrap w:val="false"/>
          </w:tcPr>
          <w:p>
            <w:pP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序号</w:t>
            </w:r>
            <w:r/>
          </w:p>
        </w:tc>
        <w:tc>
          <w:tcPr>
            <w:tcW w:w="2416"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项目</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人数</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任职要求</w:t>
            </w:r>
            <w:r/>
          </w:p>
        </w:tc>
      </w:tr>
      <w:tr>
        <w:trPr>
          <w:jc w:val="center"/>
          <w:trHeight w:val="605"/>
        </w:trPr>
        <w:tc>
          <w:tcPr>
            <w:tcW w:w="811"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2416"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项目负责人</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大专及以上学历、具有3年及以上非住宅项目经理管理经验。有较强的管理能力和工作经验，熟悉质量体系运作，能够充分调动全体员工的积极性，善于管理、善于沟通。负责每月对员工考评，建立员工工作手册，物业工作内容、事项及完成情况全程管理监督。能够虚心接受采购方的监督、建议、评价，并对工作进行有效的改进。积极配合业主其他工作或活动的顺利展开。身体健康，品行端正。男，58周岁以下；女，53周岁以下。</w:t>
            </w:r>
            <w:r/>
          </w:p>
        </w:tc>
      </w:tr>
      <w:tr>
        <w:trPr>
          <w:jc w:val="center"/>
          <w:trHeight w:val="605"/>
        </w:trPr>
        <w:tc>
          <w:tcPr>
            <w:tcW w:w="811"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2</w:t>
            </w:r>
            <w:r/>
          </w:p>
        </w:tc>
        <w:tc>
          <w:tcPr>
            <w:tcW w:w="2416"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消控</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2</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男女不限，具有消控相关上岗证消防设施操作员证，身体健康，品行端正。男，58周岁以下；女，53周岁以下。</w:t>
            </w:r>
            <w:r/>
          </w:p>
        </w:tc>
      </w:tr>
      <w:tr>
        <w:trPr>
          <w:jc w:val="center"/>
          <w:trHeight w:val="550"/>
        </w:trPr>
        <w:tc>
          <w:tcPr>
            <w:tcW w:w="811"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3</w:t>
            </w:r>
            <w:r/>
          </w:p>
        </w:tc>
        <w:tc>
          <w:tcPr>
            <w:tcW w:w="2416"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水电维修人员</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4624" w:type="dxa"/>
            <w:vAlign w:val="center"/>
            <w:textDirection w:val="lrTb"/>
            <w:noWrap w:val="false"/>
          </w:tcPr>
          <w:p>
            <w:pPr>
              <w:ind w:firstLine="420"/>
              <w:rPr>
                <w:b/>
                <w:bCs w:val="0"/>
                <w:i/>
                <w:iCs/>
                <w:color w:val="auto"/>
              </w:rPr>
            </w:pPr>
            <w:r>
              <w:rPr>
                <w:rFonts w:hint="eastAsia" w:ascii="宋体" w:hAnsi="宋体" w:cs="宋体"/>
                <w:b/>
                <w:bCs w:val="0"/>
                <w:i/>
                <w:iCs/>
                <w:color w:val="auto"/>
                <w:szCs w:val="21"/>
                <w:u w:val="single"/>
              </w:rPr>
              <w:t xml:space="preserve">男，具有《特种作业操作证》（高压、低压），具有两年以上经验，身体健康，品行端正，年龄不超过58周岁。</w:t>
            </w:r>
            <w:r/>
          </w:p>
        </w:tc>
      </w:tr>
      <w:tr>
        <w:trPr>
          <w:jc w:val="center"/>
          <w:trHeight w:val="550"/>
        </w:trPr>
        <w:tc>
          <w:tcPr>
            <w:tcW w:w="811"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4</w:t>
            </w:r>
            <w:r/>
          </w:p>
        </w:tc>
        <w:tc>
          <w:tcPr>
            <w:tcW w:w="2416"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保安（包含一名保安队长）</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4</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男，具备公安机关核发的《保安员证》的人员，持证上岗，年龄不超过60周岁。身体健康，品行端正。</w:t>
            </w:r>
            <w:r/>
          </w:p>
        </w:tc>
      </w:tr>
      <w:tr>
        <w:trPr>
          <w:jc w:val="center"/>
          <w:trHeight w:val="1355"/>
        </w:trPr>
        <w:tc>
          <w:tcPr>
            <w:tcW w:w="811"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5</w:t>
            </w:r>
            <w:r/>
          </w:p>
        </w:tc>
        <w:tc>
          <w:tcPr>
            <w:tcW w:w="2416"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会务人员</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女，具备高中及以上或同等学历，身体健康，45周岁以下。品行端正，有会议服务经验及具备相关礼仪知识。</w:t>
            </w:r>
            <w:r/>
          </w:p>
        </w:tc>
      </w:tr>
      <w:tr>
        <w:trPr>
          <w:jc w:val="center"/>
          <w:trHeight w:val="857"/>
        </w:trPr>
        <w:tc>
          <w:tcPr>
            <w:tcW w:w="811"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6</w:t>
            </w:r>
            <w:r/>
          </w:p>
        </w:tc>
        <w:tc>
          <w:tcPr>
            <w:tcW w:w="2416"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保洁</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8</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男女不限，身体健康，品行端正，男，63周岁以下；女，58周岁以下。</w:t>
            </w:r>
            <w:r/>
          </w:p>
        </w:tc>
      </w:tr>
      <w:tr>
        <w:trPr>
          <w:jc w:val="center"/>
          <w:trHeight w:val="605"/>
        </w:trPr>
        <w:tc>
          <w:tcPr>
            <w:tcW w:w="811"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7</w:t>
            </w:r>
            <w:r/>
          </w:p>
        </w:tc>
        <w:tc>
          <w:tcPr>
            <w:tcW w:w="2416"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厨师长</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男女不限，品行端正，身体健康，有初级及以上厨师等级证书及健康证，具备制作工作餐的工作技能。男，60周岁以下；女，55周岁以下。</w:t>
            </w:r>
            <w:r/>
          </w:p>
        </w:tc>
      </w:tr>
      <w:tr>
        <w:trPr>
          <w:jc w:val="center"/>
          <w:trHeight w:val="605"/>
        </w:trPr>
        <w:tc>
          <w:tcPr>
            <w:tcW w:w="811"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8</w:t>
            </w:r>
            <w:r/>
          </w:p>
        </w:tc>
        <w:tc>
          <w:tcPr>
            <w:tcW w:w="2416"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面点师</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男女不限，品行端正，身体健康，具备制作点心的工作技能，具有健康证。男，63周岁以下；女，58周岁以下。</w:t>
            </w:r>
            <w:r/>
          </w:p>
        </w:tc>
      </w:tr>
      <w:tr>
        <w:trPr>
          <w:jc w:val="center"/>
          <w:trHeight w:val="605"/>
        </w:trPr>
        <w:tc>
          <w:tcPr>
            <w:tcW w:w="811"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9</w:t>
            </w:r>
            <w:r/>
          </w:p>
        </w:tc>
        <w:tc>
          <w:tcPr>
            <w:tcW w:w="2416"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食堂勤杂工</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3</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男女不限，品行端正，身体健康，具有健康证。男，63周岁以下；女，58周岁以下。</w:t>
            </w:r>
            <w:r/>
          </w:p>
        </w:tc>
      </w:tr>
      <w:tr>
        <w:trPr>
          <w:jc w:val="center"/>
          <w:trHeight w:val="505"/>
        </w:trPr>
        <w:tc>
          <w:tcPr>
            <w:tcW w:w="811"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10</w:t>
            </w:r>
            <w:r/>
          </w:p>
        </w:tc>
        <w:tc>
          <w:tcPr>
            <w:tcW w:w="2416"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机关综合后勤</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4</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女，身体健康，品行端正，58周岁以下。</w:t>
            </w:r>
            <w:r/>
          </w:p>
        </w:tc>
      </w:tr>
      <w:tr>
        <w:trPr>
          <w:jc w:val="center"/>
          <w:trHeight w:val="568"/>
        </w:trPr>
        <w:tc>
          <w:tcPr>
            <w:tcW w:w="811" w:type="dxa"/>
            <w:vAlign w:val="center"/>
            <w:textDirection w:val="lrTb"/>
            <w:noWrap w:val="false"/>
          </w:tcPr>
          <w:p>
            <w:pPr>
              <w:ind w:firstLine="420"/>
              <w:spacing w:line="360" w:lineRule="auto"/>
              <w:rPr>
                <w:rFonts w:ascii="宋体" w:hAnsi="宋体" w:cs="宋体"/>
                <w:b/>
                <w:bCs w:val="0"/>
                <w:i/>
                <w:iCs/>
                <w:color w:val="auto"/>
                <w:szCs w:val="21"/>
                <w:u w:val="single"/>
              </w:rPr>
            </w:pPr>
            <w:r>
              <w:rPr>
                <w:rFonts w:ascii="宋体" w:hAnsi="宋体" w:cs="宋体"/>
                <w:b/>
                <w:bCs w:val="0"/>
                <w:i/>
                <w:iCs/>
                <w:color w:val="auto"/>
                <w:szCs w:val="21"/>
                <w:u w:val="single"/>
              </w:rPr>
            </w:r>
            <w:r/>
          </w:p>
        </w:tc>
        <w:tc>
          <w:tcPr>
            <w:tcW w:w="2416"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小计</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26</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ascii="宋体" w:hAnsi="宋体" w:cs="宋体"/>
                <w:b/>
                <w:bCs w:val="0"/>
                <w:i/>
                <w:iCs/>
                <w:color w:val="auto"/>
                <w:szCs w:val="21"/>
                <w:u w:val="single"/>
              </w:rPr>
            </w:r>
            <w:r/>
          </w:p>
        </w:tc>
      </w:tr>
    </w:tbl>
    <w:p>
      <w:pPr>
        <w:ind w:firstLine="480"/>
        <w:spacing w:line="360" w:lineRule="auto"/>
        <w:rPr>
          <w:rFonts w:ascii="宋体" w:hAnsi="宋体" w:cs="宋体"/>
          <w:b/>
          <w:bCs w:val="0"/>
          <w:i/>
          <w:iCs/>
          <w:color w:val="auto"/>
          <w:sz w:val="24"/>
          <w:szCs w:val="24"/>
          <w:u w:val="single"/>
        </w:rPr>
      </w:pPr>
      <w:r>
        <w:rPr>
          <w:rFonts w:hint="eastAsia" w:ascii="宋体" w:hAnsi="宋体" w:cs="宋体"/>
          <w:b/>
          <w:bCs w:val="0"/>
          <w:i/>
          <w:iCs/>
          <w:color w:val="auto"/>
          <w:sz w:val="24"/>
          <w:szCs w:val="24"/>
          <w:u w:val="single"/>
        </w:rPr>
        <w:t xml:space="preserve">嘉陵江商务大厦（张謇大道897号）人员配备要求：</w:t>
      </w:r>
      <w:r/>
    </w:p>
    <w:tbl>
      <w:tblPr>
        <w:tblStyle w:val="711"/>
        <w:tblW w:w="92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2416"/>
        <w:gridCol w:w="1351"/>
        <w:gridCol w:w="4624"/>
      </w:tblGrid>
      <w:tr>
        <w:trPr>
          <w:jc w:val="center"/>
          <w:trHeight w:val="652"/>
        </w:trPr>
        <w:tc>
          <w:tcPr>
            <w:tcW w:w="811" w:type="dxa"/>
            <w:vAlign w:val="center"/>
            <w:textDirection w:val="lrTb"/>
            <w:noWrap w:val="false"/>
          </w:tcPr>
          <w:p>
            <w:pP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序号</w:t>
            </w:r>
            <w:r/>
          </w:p>
        </w:tc>
        <w:tc>
          <w:tcPr>
            <w:tcW w:w="2416"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项目</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人数</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任职要求</w:t>
            </w:r>
            <w:r/>
          </w:p>
        </w:tc>
      </w:tr>
      <w:tr>
        <w:trPr>
          <w:jc w:val="center"/>
          <w:trHeight w:val="1992"/>
        </w:trPr>
        <w:tc>
          <w:tcPr>
            <w:tcW w:w="81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2416"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项目负责人</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大专及以上学历、具有3年及以上非住宅项目经理管理经验。有较强的管理能力和工作经验，熟悉质量体系运作，能够充分调动全体员工的积极性，善于管理、善于沟通。负责每月对员工考评，建立员工工作手册，物业工作内容、事项及完成情况全程管理监督。能够虚心接受采购方的监督、建议、评价，并对工作进行有效的改进。积极配合业主其他工作或活动的顺利展开。身体健康，品行端正。男，58周岁以下；女，53周岁以下。</w:t>
            </w:r>
            <w:r/>
          </w:p>
        </w:tc>
      </w:tr>
      <w:tr>
        <w:trPr>
          <w:jc w:val="center"/>
          <w:trHeight w:val="1073"/>
        </w:trPr>
        <w:tc>
          <w:tcPr>
            <w:tcW w:w="81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2</w:t>
            </w:r>
            <w:r/>
          </w:p>
        </w:tc>
        <w:tc>
          <w:tcPr>
            <w:tcW w:w="2416"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消控</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2</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男女不限，具有消控相关上岗证，身体健康，品行端正。男，58周岁以下；女，53周岁以下。</w:t>
            </w:r>
            <w:r/>
          </w:p>
        </w:tc>
      </w:tr>
      <w:tr>
        <w:trPr>
          <w:jc w:val="center"/>
          <w:trHeight w:val="1043"/>
        </w:trPr>
        <w:tc>
          <w:tcPr>
            <w:tcW w:w="81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3</w:t>
            </w:r>
            <w:r/>
          </w:p>
        </w:tc>
        <w:tc>
          <w:tcPr>
            <w:tcW w:w="2416"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水电维修人员</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男，具有《特种作业操作证》（高压、低压），具有两年以上经验，身体健康，品行端正，年龄不超过58周岁。</w:t>
            </w:r>
            <w:r/>
          </w:p>
        </w:tc>
      </w:tr>
      <w:tr>
        <w:trPr>
          <w:jc w:val="center"/>
          <w:trHeight w:val="1093"/>
        </w:trPr>
        <w:tc>
          <w:tcPr>
            <w:tcW w:w="81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4</w:t>
            </w:r>
            <w:r/>
          </w:p>
        </w:tc>
        <w:tc>
          <w:tcPr>
            <w:tcW w:w="2416"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保安（包含一名保安队长）</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4</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男，具备公安机关核发的《保安员证》的人员，持证上岗，年龄不超过60周岁。身体健康，品行端正。</w:t>
            </w:r>
            <w:r/>
          </w:p>
        </w:tc>
      </w:tr>
      <w:tr>
        <w:trPr>
          <w:jc w:val="center"/>
          <w:trHeight w:val="1405"/>
        </w:trPr>
        <w:tc>
          <w:tcPr>
            <w:tcW w:w="81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5</w:t>
            </w:r>
            <w:r/>
          </w:p>
        </w:tc>
        <w:tc>
          <w:tcPr>
            <w:tcW w:w="2416"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会务人员</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女，具备高中及以上或同等学历，身体健康，45周岁以下。品行端正，有会议服务经验及具备相关礼仪知识。</w:t>
            </w:r>
            <w:r/>
          </w:p>
        </w:tc>
      </w:tr>
      <w:tr>
        <w:trPr>
          <w:jc w:val="center"/>
          <w:trHeight w:val="895"/>
        </w:trPr>
        <w:tc>
          <w:tcPr>
            <w:tcW w:w="81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6</w:t>
            </w:r>
            <w:r/>
          </w:p>
        </w:tc>
        <w:tc>
          <w:tcPr>
            <w:tcW w:w="2416"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保洁</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8</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男女不限，身体健康，品行端正，男，63周岁以下；女，58周岁以下。</w:t>
            </w:r>
            <w:r/>
          </w:p>
        </w:tc>
      </w:tr>
      <w:tr>
        <w:trPr>
          <w:jc w:val="center"/>
          <w:trHeight w:val="1370"/>
        </w:trPr>
        <w:tc>
          <w:tcPr>
            <w:tcW w:w="81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7</w:t>
            </w:r>
            <w:r/>
          </w:p>
        </w:tc>
        <w:tc>
          <w:tcPr>
            <w:tcW w:w="2416"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厨师长</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男女不限，品行端正，身体健康，有初级及以上厨师等级证书及健康证，具备制作工作餐的工作技能。男，60周岁以下；女，55周岁以下。</w:t>
            </w:r>
            <w:r/>
          </w:p>
        </w:tc>
      </w:tr>
      <w:tr>
        <w:trPr>
          <w:jc w:val="center"/>
          <w:trHeight w:val="1138"/>
        </w:trPr>
        <w:tc>
          <w:tcPr>
            <w:tcW w:w="81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8</w:t>
            </w:r>
            <w:r/>
          </w:p>
        </w:tc>
        <w:tc>
          <w:tcPr>
            <w:tcW w:w="2416"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面点师</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男女不限，品行端正，身体健康，具备制作点心的工作技能，具有健康证。男，63周岁以下；女，58周岁以下。</w:t>
            </w:r>
            <w:r/>
          </w:p>
        </w:tc>
      </w:tr>
      <w:tr>
        <w:trPr>
          <w:jc w:val="center"/>
          <w:trHeight w:val="887"/>
        </w:trPr>
        <w:tc>
          <w:tcPr>
            <w:tcW w:w="81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9</w:t>
            </w:r>
            <w:r/>
          </w:p>
        </w:tc>
        <w:tc>
          <w:tcPr>
            <w:tcW w:w="2416"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食堂勤杂工</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4</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男女不限，品行端正，身体健康，具有健康证。男，63周岁以下；女，58周岁以下。</w:t>
            </w:r>
            <w:r/>
          </w:p>
        </w:tc>
      </w:tr>
      <w:tr>
        <w:trPr>
          <w:jc w:val="center"/>
          <w:trHeight w:val="521"/>
        </w:trPr>
        <w:tc>
          <w:tcPr>
            <w:tcW w:w="811" w:type="dxa"/>
            <w:vAlign w:val="center"/>
            <w:textDirection w:val="lrTb"/>
            <w:noWrap w:val="false"/>
          </w:tcPr>
          <w:p>
            <w:pPr>
              <w:ind w:firstLine="420"/>
              <w:spacing w:line="360" w:lineRule="auto"/>
              <w:rPr>
                <w:rFonts w:ascii="宋体" w:hAnsi="宋体" w:cs="宋体"/>
                <w:b/>
                <w:bCs w:val="0"/>
                <w:i/>
                <w:iCs/>
                <w:color w:val="auto"/>
                <w:szCs w:val="21"/>
                <w:u w:val="single"/>
              </w:rPr>
            </w:pPr>
            <w:r>
              <w:rPr>
                <w:rFonts w:ascii="宋体" w:hAnsi="宋体" w:cs="宋体"/>
                <w:b/>
                <w:bCs w:val="0"/>
                <w:i/>
                <w:iCs/>
                <w:color w:val="auto"/>
                <w:szCs w:val="21"/>
                <w:u w:val="single"/>
              </w:rPr>
            </w:r>
            <w:r/>
          </w:p>
        </w:tc>
        <w:tc>
          <w:tcPr>
            <w:tcW w:w="2416"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小计</w:t>
            </w:r>
            <w:r/>
          </w:p>
        </w:tc>
        <w:tc>
          <w:tcPr>
            <w:tcW w:w="135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23</w:t>
            </w:r>
            <w:r/>
          </w:p>
        </w:tc>
        <w:tc>
          <w:tcPr>
            <w:tcW w:w="4624" w:type="dxa"/>
            <w:vAlign w:val="center"/>
            <w:textDirection w:val="lrTb"/>
            <w:noWrap w:val="false"/>
          </w:tcPr>
          <w:p>
            <w:pPr>
              <w:ind w:firstLine="420"/>
              <w:spacing w:line="360" w:lineRule="auto"/>
              <w:rPr>
                <w:rFonts w:ascii="宋体" w:hAnsi="宋体" w:cs="宋体"/>
                <w:b/>
                <w:bCs w:val="0"/>
                <w:i/>
                <w:iCs/>
                <w:color w:val="auto"/>
                <w:szCs w:val="21"/>
                <w:u w:val="single"/>
              </w:rPr>
            </w:pPr>
            <w:r>
              <w:rPr>
                <w:rFonts w:ascii="宋体" w:hAnsi="宋体" w:cs="宋体"/>
                <w:b/>
                <w:bCs w:val="0"/>
                <w:i/>
                <w:iCs/>
                <w:color w:val="auto"/>
                <w:szCs w:val="21"/>
                <w:u w:val="single"/>
              </w:rPr>
            </w:r>
            <w:r/>
          </w:p>
        </w:tc>
      </w:tr>
    </w:tbl>
    <w:p>
      <w:pPr>
        <w:ind w:firstLine="480"/>
        <w:spacing w:line="360" w:lineRule="auto"/>
        <w:rPr>
          <w:rFonts w:ascii="宋体" w:hAnsi="宋体" w:cs="宋体"/>
          <w:b/>
          <w:bCs w:val="0"/>
          <w:i/>
          <w:iCs/>
          <w:color w:val="auto"/>
          <w:sz w:val="24"/>
          <w:szCs w:val="24"/>
          <w:u w:val="single"/>
        </w:rPr>
      </w:pPr>
      <w:r>
        <w:rPr>
          <w:rFonts w:hint="eastAsia" w:ascii="宋体" w:hAnsi="宋体" w:cs="宋体"/>
          <w:b/>
          <w:bCs w:val="0"/>
          <w:i/>
          <w:iCs/>
          <w:color w:val="auto"/>
          <w:sz w:val="24"/>
          <w:szCs w:val="24"/>
          <w:u w:val="single"/>
        </w:rPr>
        <w:t xml:space="preserve">三星分局人员配备要求：</w:t>
      </w:r>
      <w:r/>
    </w:p>
    <w:tbl>
      <w:tblPr>
        <w:tblStyle w:val="711"/>
        <w:tblW w:w="92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753"/>
        <w:gridCol w:w="1275"/>
        <w:gridCol w:w="5297"/>
      </w:tblGrid>
      <w:tr>
        <w:trPr>
          <w:jc w:val="center"/>
          <w:trHeight w:val="675"/>
        </w:trPr>
        <w:tc>
          <w:tcPr>
            <w:tcW w:w="954" w:type="dxa"/>
            <w:vAlign w:val="center"/>
            <w:textDirection w:val="lrTb"/>
            <w:noWrap w:val="false"/>
          </w:tcPr>
          <w:p>
            <w:pP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序号</w:t>
            </w:r>
            <w:r/>
          </w:p>
        </w:tc>
        <w:tc>
          <w:tcPr>
            <w:tcW w:w="1753"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项目</w:t>
            </w:r>
            <w:r/>
          </w:p>
        </w:tc>
        <w:tc>
          <w:tcPr>
            <w:tcW w:w="1275"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人数</w:t>
            </w:r>
            <w:r/>
          </w:p>
        </w:tc>
        <w:tc>
          <w:tcPr>
            <w:tcW w:w="5297"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要求</w:t>
            </w:r>
            <w:r/>
          </w:p>
        </w:tc>
      </w:tr>
      <w:tr>
        <w:trPr>
          <w:jc w:val="center"/>
          <w:trHeight w:val="1043"/>
        </w:trPr>
        <w:tc>
          <w:tcPr>
            <w:tcW w:w="95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1753"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厨师</w:t>
            </w:r>
            <w:r/>
          </w:p>
        </w:tc>
        <w:tc>
          <w:tcPr>
            <w:tcW w:w="1275"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5297"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男女不限，品行端正，身体健康，具备制作工作餐的工作技能，有健康证。男，63周岁以下；女，58周岁以下。</w:t>
            </w:r>
            <w:r/>
          </w:p>
        </w:tc>
      </w:tr>
      <w:tr>
        <w:trPr>
          <w:jc w:val="center"/>
          <w:trHeight w:val="721"/>
        </w:trPr>
        <w:tc>
          <w:tcPr>
            <w:tcW w:w="95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2</w:t>
            </w:r>
            <w:r/>
          </w:p>
        </w:tc>
        <w:tc>
          <w:tcPr>
            <w:tcW w:w="1753" w:type="dxa"/>
            <w:vAlign w:val="center"/>
            <w:textDirection w:val="lrTb"/>
            <w:noWrap w:val="false"/>
          </w:tcPr>
          <w:p>
            <w:pP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食堂勤杂工兼保洁</w:t>
            </w:r>
            <w:r/>
          </w:p>
        </w:tc>
        <w:tc>
          <w:tcPr>
            <w:tcW w:w="1275"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5297"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男女不限，品行端正，身体健康，具有健康证。男，63周岁以下；女，58周岁以下。</w:t>
            </w:r>
            <w:r/>
          </w:p>
        </w:tc>
      </w:tr>
      <w:tr>
        <w:trPr>
          <w:jc w:val="center"/>
          <w:trHeight w:val="410"/>
        </w:trPr>
        <w:tc>
          <w:tcPr>
            <w:tcW w:w="954" w:type="dxa"/>
            <w:vAlign w:val="center"/>
            <w:textDirection w:val="lrTb"/>
            <w:noWrap w:val="false"/>
          </w:tcPr>
          <w:p>
            <w:pPr>
              <w:ind w:firstLine="420"/>
              <w:spacing w:line="360" w:lineRule="auto"/>
              <w:rPr>
                <w:rFonts w:ascii="宋体" w:hAnsi="宋体" w:cs="宋体"/>
                <w:b/>
                <w:bCs w:val="0"/>
                <w:i/>
                <w:iCs/>
                <w:color w:val="auto"/>
                <w:szCs w:val="21"/>
                <w:u w:val="single"/>
              </w:rPr>
            </w:pPr>
            <w:r>
              <w:rPr>
                <w:rFonts w:ascii="宋体" w:hAnsi="宋体" w:cs="宋体"/>
                <w:b/>
                <w:bCs w:val="0"/>
                <w:i/>
                <w:iCs/>
                <w:color w:val="auto"/>
                <w:szCs w:val="21"/>
                <w:u w:val="single"/>
              </w:rPr>
            </w:r>
            <w:r/>
          </w:p>
        </w:tc>
        <w:tc>
          <w:tcPr>
            <w:tcW w:w="1753"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小计</w:t>
            </w:r>
            <w:r/>
          </w:p>
        </w:tc>
        <w:tc>
          <w:tcPr>
            <w:tcW w:w="1275"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2</w:t>
            </w:r>
            <w:r/>
          </w:p>
        </w:tc>
        <w:tc>
          <w:tcPr>
            <w:tcW w:w="5297" w:type="dxa"/>
            <w:vAlign w:val="center"/>
            <w:textDirection w:val="lrTb"/>
            <w:noWrap w:val="false"/>
          </w:tcPr>
          <w:p>
            <w:pPr>
              <w:ind w:firstLine="420"/>
              <w:spacing w:line="360" w:lineRule="auto"/>
              <w:rPr>
                <w:rFonts w:ascii="宋体" w:hAnsi="宋体" w:cs="宋体"/>
                <w:b/>
                <w:bCs w:val="0"/>
                <w:i/>
                <w:iCs/>
                <w:color w:val="auto"/>
                <w:szCs w:val="21"/>
                <w:u w:val="single"/>
              </w:rPr>
            </w:pPr>
            <w:r>
              <w:rPr>
                <w:rFonts w:ascii="宋体" w:hAnsi="宋体" w:cs="宋体"/>
                <w:b/>
                <w:bCs w:val="0"/>
                <w:i/>
                <w:iCs/>
                <w:color w:val="auto"/>
                <w:szCs w:val="21"/>
                <w:u w:val="single"/>
              </w:rPr>
            </w:r>
            <w:r/>
          </w:p>
        </w:tc>
      </w:tr>
    </w:tbl>
    <w:p>
      <w:pPr>
        <w:ind w:firstLine="480"/>
        <w:spacing w:line="360" w:lineRule="auto"/>
        <w:rPr>
          <w:rFonts w:ascii="宋体" w:hAnsi="宋体" w:cs="宋体"/>
          <w:b/>
          <w:bCs w:val="0"/>
          <w:i/>
          <w:iCs/>
          <w:color w:val="auto"/>
          <w:sz w:val="24"/>
          <w:szCs w:val="24"/>
          <w:u w:val="single"/>
        </w:rPr>
      </w:pPr>
      <w:r>
        <w:rPr>
          <w:rFonts w:hint="eastAsia" w:ascii="宋体" w:hAnsi="宋体" w:cs="宋体"/>
          <w:b/>
          <w:bCs w:val="0"/>
          <w:i/>
          <w:iCs/>
          <w:color w:val="auto"/>
          <w:sz w:val="24"/>
          <w:szCs w:val="24"/>
          <w:u w:val="single"/>
        </w:rPr>
        <w:t xml:space="preserve">包场分局人员配备要求：</w:t>
      </w:r>
      <w:r/>
    </w:p>
    <w:tbl>
      <w:tblPr>
        <w:tblStyle w:val="711"/>
        <w:tblW w:w="92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753"/>
        <w:gridCol w:w="1275"/>
        <w:gridCol w:w="5297"/>
      </w:tblGrid>
      <w:tr>
        <w:trPr>
          <w:jc w:val="center"/>
          <w:trHeight w:val="675"/>
        </w:trPr>
        <w:tc>
          <w:tcPr>
            <w:tcW w:w="954" w:type="dxa"/>
            <w:vAlign w:val="center"/>
            <w:textDirection w:val="lrTb"/>
            <w:noWrap w:val="false"/>
          </w:tcPr>
          <w:p>
            <w:pP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序号</w:t>
            </w:r>
            <w:r/>
          </w:p>
        </w:tc>
        <w:tc>
          <w:tcPr>
            <w:tcW w:w="1753"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项目</w:t>
            </w:r>
            <w:r/>
          </w:p>
        </w:tc>
        <w:tc>
          <w:tcPr>
            <w:tcW w:w="1275"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人数</w:t>
            </w:r>
            <w:r/>
          </w:p>
        </w:tc>
        <w:tc>
          <w:tcPr>
            <w:tcW w:w="5297"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要求</w:t>
            </w:r>
            <w:r/>
          </w:p>
        </w:tc>
      </w:tr>
      <w:tr>
        <w:trPr>
          <w:jc w:val="center"/>
          <w:trHeight w:val="968"/>
        </w:trPr>
        <w:tc>
          <w:tcPr>
            <w:tcW w:w="95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1753"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厨师</w:t>
            </w:r>
            <w:r/>
          </w:p>
        </w:tc>
        <w:tc>
          <w:tcPr>
            <w:tcW w:w="1275"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5297"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男女不限，品行端正，身体健康，具备制作工作餐的工作技能，有健康证。男，63周岁以下；女，58周岁以下。</w:t>
            </w:r>
            <w:r/>
          </w:p>
        </w:tc>
      </w:tr>
      <w:tr>
        <w:trPr>
          <w:jc w:val="center"/>
          <w:trHeight w:val="736"/>
        </w:trPr>
        <w:tc>
          <w:tcPr>
            <w:tcW w:w="95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2</w:t>
            </w:r>
            <w:r/>
          </w:p>
        </w:tc>
        <w:tc>
          <w:tcPr>
            <w:tcW w:w="1753" w:type="dxa"/>
            <w:vAlign w:val="center"/>
            <w:textDirection w:val="lrTb"/>
            <w:noWrap w:val="false"/>
          </w:tcPr>
          <w:p>
            <w:pP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保安兼保洁</w:t>
            </w:r>
            <w:r/>
          </w:p>
        </w:tc>
        <w:tc>
          <w:tcPr>
            <w:tcW w:w="1275"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5297"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男女不限，品行端正，身体健康。男，63周岁以下；女，58周岁以下。</w:t>
            </w:r>
            <w:r/>
          </w:p>
        </w:tc>
      </w:tr>
      <w:tr>
        <w:trPr>
          <w:jc w:val="center"/>
          <w:trHeight w:val="455"/>
        </w:trPr>
        <w:tc>
          <w:tcPr>
            <w:tcW w:w="954" w:type="dxa"/>
            <w:vAlign w:val="center"/>
            <w:textDirection w:val="lrTb"/>
            <w:noWrap w:val="false"/>
          </w:tcPr>
          <w:p>
            <w:pPr>
              <w:ind w:firstLine="420"/>
              <w:spacing w:line="360" w:lineRule="auto"/>
              <w:rPr>
                <w:rFonts w:ascii="宋体" w:hAnsi="宋体" w:cs="宋体"/>
                <w:b/>
                <w:bCs w:val="0"/>
                <w:i/>
                <w:iCs/>
                <w:color w:val="auto"/>
                <w:szCs w:val="21"/>
                <w:u w:val="single"/>
              </w:rPr>
            </w:pPr>
            <w:r>
              <w:rPr>
                <w:rFonts w:ascii="宋体" w:hAnsi="宋体" w:cs="宋体"/>
                <w:b/>
                <w:bCs w:val="0"/>
                <w:i/>
                <w:iCs/>
                <w:color w:val="auto"/>
                <w:szCs w:val="21"/>
                <w:u w:val="single"/>
              </w:rPr>
            </w:r>
            <w:r/>
          </w:p>
        </w:tc>
        <w:tc>
          <w:tcPr>
            <w:tcW w:w="1753"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小计</w:t>
            </w:r>
            <w:r/>
          </w:p>
        </w:tc>
        <w:tc>
          <w:tcPr>
            <w:tcW w:w="1275"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2</w:t>
            </w:r>
            <w:r/>
          </w:p>
        </w:tc>
        <w:tc>
          <w:tcPr>
            <w:tcW w:w="5297" w:type="dxa"/>
            <w:vAlign w:val="center"/>
            <w:textDirection w:val="lrTb"/>
            <w:noWrap w:val="false"/>
          </w:tcPr>
          <w:p>
            <w:pPr>
              <w:ind w:firstLine="420"/>
              <w:spacing w:line="360" w:lineRule="auto"/>
              <w:rPr>
                <w:rFonts w:ascii="宋体" w:hAnsi="宋体" w:cs="宋体"/>
                <w:b/>
                <w:bCs w:val="0"/>
                <w:i/>
                <w:iCs/>
                <w:color w:val="auto"/>
                <w:szCs w:val="21"/>
                <w:u w:val="single"/>
              </w:rPr>
            </w:pPr>
            <w:r>
              <w:rPr>
                <w:rFonts w:ascii="宋体" w:hAnsi="宋体" w:cs="宋体"/>
                <w:b/>
                <w:bCs w:val="0"/>
                <w:i/>
                <w:iCs/>
                <w:color w:val="auto"/>
                <w:szCs w:val="21"/>
                <w:u w:val="single"/>
              </w:rPr>
            </w:r>
            <w:r/>
          </w:p>
        </w:tc>
      </w:tr>
    </w:tbl>
    <w:p>
      <w:pPr>
        <w:ind w:firstLine="480"/>
        <w:spacing w:line="360" w:lineRule="auto"/>
        <w:rPr>
          <w:rFonts w:ascii="宋体" w:hAnsi="宋体" w:cs="宋体"/>
          <w:b/>
          <w:bCs w:val="0"/>
          <w:i/>
          <w:iCs/>
          <w:color w:val="auto"/>
          <w:sz w:val="24"/>
          <w:szCs w:val="24"/>
          <w:u w:val="single"/>
        </w:rPr>
      </w:pPr>
      <w:r>
        <w:rPr>
          <w:rFonts w:hint="eastAsia" w:ascii="宋体" w:hAnsi="宋体" w:cs="宋体"/>
          <w:b/>
          <w:bCs w:val="0"/>
          <w:i/>
          <w:iCs/>
          <w:color w:val="auto"/>
          <w:sz w:val="24"/>
          <w:szCs w:val="24"/>
          <w:u w:val="single"/>
        </w:rPr>
        <w:t xml:space="preserve">临江分局人员配备要求：</w:t>
      </w:r>
      <w:r/>
    </w:p>
    <w:tbl>
      <w:tblPr>
        <w:tblStyle w:val="711"/>
        <w:tblW w:w="92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79"/>
        <w:gridCol w:w="1181"/>
        <w:gridCol w:w="5391"/>
      </w:tblGrid>
      <w:tr>
        <w:trPr>
          <w:jc w:val="center"/>
          <w:trHeight w:val="675"/>
        </w:trPr>
        <w:tc>
          <w:tcPr>
            <w:tcW w:w="828" w:type="dxa"/>
            <w:vAlign w:val="center"/>
            <w:textDirection w:val="lrTb"/>
            <w:noWrap w:val="false"/>
          </w:tcPr>
          <w:p>
            <w:pP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序号</w:t>
            </w:r>
            <w:r/>
          </w:p>
        </w:tc>
        <w:tc>
          <w:tcPr>
            <w:tcW w:w="1879"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项目</w:t>
            </w:r>
            <w:r/>
          </w:p>
        </w:tc>
        <w:tc>
          <w:tcPr>
            <w:tcW w:w="118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人数</w:t>
            </w:r>
            <w:r/>
          </w:p>
        </w:tc>
        <w:tc>
          <w:tcPr>
            <w:tcW w:w="539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要求</w:t>
            </w:r>
            <w:r/>
          </w:p>
        </w:tc>
      </w:tr>
      <w:tr>
        <w:trPr>
          <w:jc w:val="center"/>
          <w:trHeight w:val="626"/>
        </w:trPr>
        <w:tc>
          <w:tcPr>
            <w:tcW w:w="828"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1879" w:type="dxa"/>
            <w:vAlign w:val="center"/>
            <w:textDirection w:val="lrTb"/>
            <w:noWrap w:val="false"/>
          </w:tcPr>
          <w:p>
            <w:pPr>
              <w:jc w:val="cente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厨师兼保洁</w:t>
            </w:r>
            <w:r/>
          </w:p>
        </w:tc>
        <w:tc>
          <w:tcPr>
            <w:tcW w:w="118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539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男女不限，品行端正，身体健康，具备制作工作餐的工作技能，有健康证。男，63周岁以下；女，58周岁以下。</w:t>
            </w:r>
            <w:r/>
          </w:p>
        </w:tc>
      </w:tr>
      <w:tr>
        <w:trPr>
          <w:jc w:val="center"/>
          <w:trHeight w:val="410"/>
        </w:trPr>
        <w:tc>
          <w:tcPr>
            <w:tcW w:w="828" w:type="dxa"/>
            <w:vAlign w:val="center"/>
            <w:textDirection w:val="lrTb"/>
            <w:noWrap w:val="false"/>
          </w:tcPr>
          <w:p>
            <w:pPr>
              <w:ind w:firstLine="420"/>
              <w:spacing w:line="360" w:lineRule="auto"/>
              <w:rPr>
                <w:rFonts w:ascii="宋体" w:hAnsi="宋体" w:cs="宋体"/>
                <w:b/>
                <w:bCs w:val="0"/>
                <w:i/>
                <w:iCs/>
                <w:color w:val="auto"/>
                <w:szCs w:val="21"/>
                <w:u w:val="single"/>
              </w:rPr>
            </w:pPr>
            <w:r>
              <w:rPr>
                <w:rFonts w:ascii="宋体" w:hAnsi="宋体" w:cs="宋体"/>
                <w:b/>
                <w:bCs w:val="0"/>
                <w:i/>
                <w:iCs/>
                <w:color w:val="auto"/>
                <w:szCs w:val="21"/>
                <w:u w:val="single"/>
              </w:rPr>
            </w:r>
            <w:r/>
          </w:p>
        </w:tc>
        <w:tc>
          <w:tcPr>
            <w:tcW w:w="1879"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小计</w:t>
            </w:r>
            <w:r/>
          </w:p>
        </w:tc>
        <w:tc>
          <w:tcPr>
            <w:tcW w:w="118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5391" w:type="dxa"/>
            <w:vAlign w:val="center"/>
            <w:textDirection w:val="lrTb"/>
            <w:noWrap w:val="false"/>
          </w:tcPr>
          <w:p>
            <w:pPr>
              <w:ind w:firstLine="420"/>
              <w:spacing w:line="360" w:lineRule="auto"/>
              <w:rPr>
                <w:rFonts w:ascii="宋体" w:hAnsi="宋体" w:cs="宋体"/>
                <w:b/>
                <w:bCs w:val="0"/>
                <w:i/>
                <w:iCs/>
                <w:color w:val="auto"/>
                <w:szCs w:val="21"/>
                <w:u w:val="single"/>
              </w:rPr>
            </w:pPr>
            <w:r>
              <w:rPr>
                <w:rFonts w:ascii="宋体" w:hAnsi="宋体" w:cs="宋体"/>
                <w:b/>
                <w:bCs w:val="0"/>
                <w:i/>
                <w:iCs/>
                <w:color w:val="auto"/>
                <w:szCs w:val="21"/>
                <w:u w:val="single"/>
              </w:rPr>
            </w:r>
            <w:r/>
          </w:p>
        </w:tc>
      </w:tr>
    </w:tbl>
    <w:p>
      <w:pPr>
        <w:ind w:firstLine="480"/>
        <w:spacing w:line="360" w:lineRule="auto"/>
        <w:rPr>
          <w:rFonts w:ascii="宋体" w:hAnsi="宋体" w:cs="宋体"/>
          <w:b/>
          <w:bCs w:val="0"/>
          <w:i/>
          <w:iCs/>
          <w:color w:val="auto"/>
          <w:sz w:val="24"/>
          <w:szCs w:val="24"/>
          <w:u w:val="single"/>
        </w:rPr>
      </w:pPr>
      <w:r>
        <w:rPr>
          <w:rFonts w:hint="eastAsia" w:ascii="宋体" w:hAnsi="宋体" w:cs="宋体"/>
          <w:b/>
          <w:bCs w:val="0"/>
          <w:i/>
          <w:iCs/>
          <w:color w:val="auto"/>
          <w:sz w:val="24"/>
          <w:szCs w:val="24"/>
          <w:u w:val="single"/>
        </w:rPr>
        <w:t xml:space="preserve">四甲分局人员配备要求：</w:t>
      </w:r>
      <w:r/>
    </w:p>
    <w:tbl>
      <w:tblPr>
        <w:tblStyle w:val="711"/>
        <w:tblW w:w="92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753"/>
        <w:gridCol w:w="1275"/>
        <w:gridCol w:w="5297"/>
      </w:tblGrid>
      <w:tr>
        <w:trPr>
          <w:jc w:val="center"/>
          <w:trHeight w:val="675"/>
        </w:trPr>
        <w:tc>
          <w:tcPr>
            <w:tcW w:w="954" w:type="dxa"/>
            <w:vAlign w:val="center"/>
            <w:textDirection w:val="lrTb"/>
            <w:noWrap w:val="false"/>
          </w:tcPr>
          <w:p>
            <w:pP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序号</w:t>
            </w:r>
            <w:r/>
          </w:p>
        </w:tc>
        <w:tc>
          <w:tcPr>
            <w:tcW w:w="1753"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项目</w:t>
            </w:r>
            <w:r/>
          </w:p>
        </w:tc>
        <w:tc>
          <w:tcPr>
            <w:tcW w:w="1275"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人数</w:t>
            </w:r>
            <w:r/>
          </w:p>
        </w:tc>
        <w:tc>
          <w:tcPr>
            <w:tcW w:w="5297"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要求</w:t>
            </w:r>
            <w:r/>
          </w:p>
        </w:tc>
      </w:tr>
      <w:tr>
        <w:trPr>
          <w:jc w:val="center"/>
          <w:trHeight w:val="1409"/>
        </w:trPr>
        <w:tc>
          <w:tcPr>
            <w:tcW w:w="95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1753"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厨师</w:t>
            </w:r>
            <w:r/>
          </w:p>
        </w:tc>
        <w:tc>
          <w:tcPr>
            <w:tcW w:w="1275"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5297"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男女不限，品行端正，身体健康，具备制作工作餐的工作技能，有健康证。男，63周岁以下；女，58周岁以下。</w:t>
            </w:r>
            <w:r/>
          </w:p>
        </w:tc>
      </w:tr>
      <w:tr>
        <w:trPr>
          <w:jc w:val="center"/>
          <w:trHeight w:val="781"/>
        </w:trPr>
        <w:tc>
          <w:tcPr>
            <w:tcW w:w="95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2</w:t>
            </w:r>
            <w:r/>
          </w:p>
        </w:tc>
        <w:tc>
          <w:tcPr>
            <w:tcW w:w="1753" w:type="dxa"/>
            <w:vAlign w:val="center"/>
            <w:textDirection w:val="lrTb"/>
            <w:noWrap w:val="false"/>
          </w:tcPr>
          <w:p>
            <w:pP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食堂勤杂工兼保洁</w:t>
            </w:r>
            <w:r/>
          </w:p>
        </w:tc>
        <w:tc>
          <w:tcPr>
            <w:tcW w:w="1275"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5297"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男女不限，品行端正，身体健康，具有健康证。男，63周岁以下；女，58周岁以下。</w:t>
            </w:r>
            <w:r/>
          </w:p>
        </w:tc>
      </w:tr>
      <w:tr>
        <w:trPr>
          <w:jc w:val="center"/>
          <w:trHeight w:val="515"/>
        </w:trPr>
        <w:tc>
          <w:tcPr>
            <w:tcW w:w="954" w:type="dxa"/>
            <w:vAlign w:val="center"/>
            <w:textDirection w:val="lrTb"/>
            <w:noWrap w:val="false"/>
          </w:tcPr>
          <w:p>
            <w:pPr>
              <w:ind w:firstLine="420"/>
              <w:spacing w:line="360" w:lineRule="auto"/>
              <w:rPr>
                <w:rFonts w:ascii="宋体" w:hAnsi="宋体" w:cs="宋体"/>
                <w:b/>
                <w:bCs w:val="0"/>
                <w:i/>
                <w:iCs/>
                <w:color w:val="auto"/>
                <w:szCs w:val="21"/>
                <w:u w:val="single"/>
              </w:rPr>
            </w:pPr>
            <w:r>
              <w:rPr>
                <w:rFonts w:ascii="宋体" w:hAnsi="宋体" w:cs="宋体"/>
                <w:b/>
                <w:bCs w:val="0"/>
                <w:i/>
                <w:iCs/>
                <w:color w:val="auto"/>
                <w:szCs w:val="21"/>
                <w:u w:val="single"/>
              </w:rPr>
            </w:r>
            <w:r/>
          </w:p>
        </w:tc>
        <w:tc>
          <w:tcPr>
            <w:tcW w:w="1753"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小计</w:t>
            </w:r>
            <w:r/>
          </w:p>
        </w:tc>
        <w:tc>
          <w:tcPr>
            <w:tcW w:w="1275"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2</w:t>
            </w:r>
            <w:r/>
          </w:p>
        </w:tc>
        <w:tc>
          <w:tcPr>
            <w:tcW w:w="5297" w:type="dxa"/>
            <w:vAlign w:val="center"/>
            <w:textDirection w:val="lrTb"/>
            <w:noWrap w:val="false"/>
          </w:tcPr>
          <w:p>
            <w:pPr>
              <w:ind w:firstLine="420"/>
              <w:spacing w:line="360" w:lineRule="auto"/>
              <w:rPr>
                <w:rFonts w:ascii="宋体" w:hAnsi="宋体" w:cs="宋体"/>
                <w:b/>
                <w:bCs w:val="0"/>
                <w:i/>
                <w:iCs/>
                <w:color w:val="auto"/>
                <w:szCs w:val="21"/>
                <w:u w:val="single"/>
              </w:rPr>
            </w:pPr>
            <w:r>
              <w:rPr>
                <w:rFonts w:ascii="宋体" w:hAnsi="宋体" w:cs="宋体"/>
                <w:b/>
                <w:bCs w:val="0"/>
                <w:i/>
                <w:iCs/>
                <w:color w:val="auto"/>
                <w:szCs w:val="21"/>
                <w:u w:val="single"/>
              </w:rPr>
            </w:r>
            <w:r/>
          </w:p>
        </w:tc>
      </w:tr>
    </w:tbl>
    <w:p>
      <w:pPr>
        <w:ind w:firstLine="480"/>
        <w:spacing w:line="360" w:lineRule="auto"/>
        <w:rPr>
          <w:rFonts w:ascii="宋体" w:hAnsi="宋体" w:cs="宋体"/>
          <w:b/>
          <w:bCs w:val="0"/>
          <w:i/>
          <w:iCs/>
          <w:color w:val="auto"/>
          <w:sz w:val="24"/>
          <w:szCs w:val="24"/>
          <w:u w:val="single"/>
        </w:rPr>
      </w:pPr>
      <w:r>
        <w:rPr>
          <w:rFonts w:hint="eastAsia" w:ascii="宋体" w:hAnsi="宋体" w:cs="宋体"/>
          <w:b/>
          <w:bCs w:val="0"/>
          <w:i/>
          <w:iCs/>
          <w:color w:val="auto"/>
          <w:sz w:val="24"/>
          <w:szCs w:val="24"/>
          <w:u w:val="single"/>
        </w:rPr>
        <w:t xml:space="preserve">悦来分局人员配备要求：</w:t>
      </w:r>
      <w:r/>
    </w:p>
    <w:tbl>
      <w:tblPr>
        <w:tblStyle w:val="711"/>
        <w:tblW w:w="92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753"/>
        <w:gridCol w:w="1275"/>
        <w:gridCol w:w="5297"/>
      </w:tblGrid>
      <w:tr>
        <w:trPr>
          <w:jc w:val="center"/>
          <w:trHeight w:val="675"/>
        </w:trPr>
        <w:tc>
          <w:tcPr>
            <w:tcW w:w="954" w:type="dxa"/>
            <w:vAlign w:val="center"/>
            <w:textDirection w:val="lrTb"/>
            <w:noWrap w:val="false"/>
          </w:tcPr>
          <w:p>
            <w:pP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序号</w:t>
            </w:r>
            <w:r/>
          </w:p>
        </w:tc>
        <w:tc>
          <w:tcPr>
            <w:tcW w:w="1753"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项目</w:t>
            </w:r>
            <w:r/>
          </w:p>
        </w:tc>
        <w:tc>
          <w:tcPr>
            <w:tcW w:w="1275"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人数</w:t>
            </w:r>
            <w:r/>
          </w:p>
        </w:tc>
        <w:tc>
          <w:tcPr>
            <w:tcW w:w="5297"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要求</w:t>
            </w:r>
            <w:r/>
          </w:p>
        </w:tc>
      </w:tr>
      <w:tr>
        <w:trPr>
          <w:jc w:val="center"/>
          <w:trHeight w:val="1073"/>
        </w:trPr>
        <w:tc>
          <w:tcPr>
            <w:tcW w:w="95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1753"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厨师</w:t>
            </w:r>
            <w:r/>
          </w:p>
        </w:tc>
        <w:tc>
          <w:tcPr>
            <w:tcW w:w="1275"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5297"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男女不限，品行端正，身体健康，具备制作工作餐的工作技能，有健康证。男，63周岁以下；女，58周岁以下。</w:t>
            </w:r>
            <w:r/>
          </w:p>
        </w:tc>
      </w:tr>
      <w:tr>
        <w:trPr>
          <w:jc w:val="center"/>
          <w:trHeight w:val="751"/>
        </w:trPr>
        <w:tc>
          <w:tcPr>
            <w:tcW w:w="954"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2</w:t>
            </w:r>
            <w:r/>
          </w:p>
        </w:tc>
        <w:tc>
          <w:tcPr>
            <w:tcW w:w="1753" w:type="dxa"/>
            <w:vAlign w:val="center"/>
            <w:textDirection w:val="lrTb"/>
            <w:noWrap w:val="false"/>
          </w:tcPr>
          <w:p>
            <w:pP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食堂勤杂工兼保洁</w:t>
            </w:r>
            <w:r/>
          </w:p>
        </w:tc>
        <w:tc>
          <w:tcPr>
            <w:tcW w:w="1275"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5297"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男女不限，品行端正，身体健康，具有健康证。男，63周岁以下；女，58周岁以下。</w:t>
            </w:r>
            <w:r/>
          </w:p>
        </w:tc>
      </w:tr>
      <w:tr>
        <w:trPr>
          <w:jc w:val="center"/>
          <w:trHeight w:val="470"/>
        </w:trPr>
        <w:tc>
          <w:tcPr>
            <w:tcW w:w="954" w:type="dxa"/>
            <w:vAlign w:val="center"/>
            <w:textDirection w:val="lrTb"/>
            <w:noWrap w:val="false"/>
          </w:tcPr>
          <w:p>
            <w:pPr>
              <w:ind w:firstLine="420"/>
              <w:spacing w:line="360" w:lineRule="auto"/>
              <w:rPr>
                <w:rFonts w:ascii="宋体" w:hAnsi="宋体" w:cs="宋体"/>
                <w:b/>
                <w:bCs w:val="0"/>
                <w:i/>
                <w:iCs/>
                <w:color w:val="auto"/>
                <w:szCs w:val="21"/>
                <w:u w:val="single"/>
              </w:rPr>
            </w:pPr>
            <w:r>
              <w:rPr>
                <w:rFonts w:ascii="宋体" w:hAnsi="宋体" w:cs="宋体"/>
                <w:b/>
                <w:bCs w:val="0"/>
                <w:i/>
                <w:iCs/>
                <w:color w:val="auto"/>
                <w:szCs w:val="21"/>
                <w:u w:val="single"/>
              </w:rPr>
            </w:r>
            <w:r/>
          </w:p>
        </w:tc>
        <w:tc>
          <w:tcPr>
            <w:tcW w:w="1753"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小计</w:t>
            </w:r>
            <w:r/>
          </w:p>
        </w:tc>
        <w:tc>
          <w:tcPr>
            <w:tcW w:w="1275"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2</w:t>
            </w:r>
            <w:r/>
          </w:p>
        </w:tc>
        <w:tc>
          <w:tcPr>
            <w:tcW w:w="5297" w:type="dxa"/>
            <w:vAlign w:val="center"/>
            <w:textDirection w:val="lrTb"/>
            <w:noWrap w:val="false"/>
          </w:tcPr>
          <w:p>
            <w:pPr>
              <w:ind w:firstLine="420"/>
              <w:spacing w:line="360" w:lineRule="auto"/>
              <w:rPr>
                <w:rFonts w:ascii="宋体" w:hAnsi="宋体" w:cs="宋体"/>
                <w:b/>
                <w:bCs w:val="0"/>
                <w:i/>
                <w:iCs/>
                <w:color w:val="auto"/>
                <w:szCs w:val="21"/>
                <w:u w:val="single"/>
              </w:rPr>
            </w:pPr>
            <w:r>
              <w:rPr>
                <w:rFonts w:ascii="宋体" w:hAnsi="宋体" w:cs="宋体"/>
                <w:b/>
                <w:bCs w:val="0"/>
                <w:i/>
                <w:iCs/>
                <w:color w:val="auto"/>
                <w:szCs w:val="21"/>
                <w:u w:val="single"/>
              </w:rPr>
            </w:r>
            <w:r/>
          </w:p>
        </w:tc>
      </w:tr>
    </w:tbl>
    <w:p>
      <w:pPr>
        <w:ind w:firstLine="480"/>
        <w:spacing w:line="360" w:lineRule="auto"/>
        <w:rPr>
          <w:rFonts w:ascii="宋体" w:hAnsi="宋体" w:cs="宋体"/>
          <w:b/>
          <w:bCs w:val="0"/>
          <w:i/>
          <w:iCs/>
          <w:color w:val="auto"/>
          <w:sz w:val="24"/>
          <w:szCs w:val="24"/>
          <w:u w:val="single"/>
        </w:rPr>
      </w:pPr>
      <w:r>
        <w:rPr>
          <w:rFonts w:hint="eastAsia" w:ascii="宋体" w:hAnsi="宋体" w:cs="宋体"/>
          <w:b/>
          <w:bCs w:val="0"/>
          <w:i/>
          <w:iCs/>
          <w:color w:val="auto"/>
          <w:sz w:val="24"/>
          <w:szCs w:val="24"/>
          <w:u w:val="single"/>
        </w:rPr>
        <w:t xml:space="preserve">老年大学人员配备要求：</w:t>
      </w:r>
      <w:r/>
    </w:p>
    <w:tbl>
      <w:tblPr>
        <w:tblStyle w:val="711"/>
        <w:tblW w:w="92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79"/>
        <w:gridCol w:w="1181"/>
        <w:gridCol w:w="5391"/>
      </w:tblGrid>
      <w:tr>
        <w:trPr>
          <w:jc w:val="center"/>
          <w:trHeight w:val="675"/>
        </w:trPr>
        <w:tc>
          <w:tcPr>
            <w:tcW w:w="828" w:type="dxa"/>
            <w:vAlign w:val="center"/>
            <w:textDirection w:val="lrTb"/>
            <w:noWrap w:val="false"/>
          </w:tcPr>
          <w:p>
            <w:pPr>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序号</w:t>
            </w:r>
            <w:r/>
          </w:p>
        </w:tc>
        <w:tc>
          <w:tcPr>
            <w:tcW w:w="1879"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项目</w:t>
            </w:r>
            <w:r/>
          </w:p>
        </w:tc>
        <w:tc>
          <w:tcPr>
            <w:tcW w:w="118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人数</w:t>
            </w:r>
            <w:r/>
          </w:p>
        </w:tc>
        <w:tc>
          <w:tcPr>
            <w:tcW w:w="539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要求</w:t>
            </w:r>
            <w:r/>
          </w:p>
        </w:tc>
      </w:tr>
      <w:tr>
        <w:trPr>
          <w:jc w:val="center"/>
          <w:trHeight w:val="626"/>
        </w:trPr>
        <w:tc>
          <w:tcPr>
            <w:tcW w:w="828"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1879"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保洁兼保安</w:t>
            </w:r>
            <w:r/>
          </w:p>
        </w:tc>
        <w:tc>
          <w:tcPr>
            <w:tcW w:w="118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539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男女不限，品行端正，身体健康。男，63周岁以下；女，58周岁以下。</w:t>
            </w:r>
            <w:r/>
          </w:p>
        </w:tc>
      </w:tr>
      <w:tr>
        <w:trPr>
          <w:jc w:val="center"/>
          <w:trHeight w:val="500"/>
        </w:trPr>
        <w:tc>
          <w:tcPr>
            <w:tcW w:w="828" w:type="dxa"/>
            <w:vAlign w:val="center"/>
            <w:textDirection w:val="lrTb"/>
            <w:noWrap w:val="false"/>
          </w:tcPr>
          <w:p>
            <w:pPr>
              <w:ind w:firstLine="420"/>
              <w:spacing w:line="360" w:lineRule="auto"/>
              <w:rPr>
                <w:rFonts w:ascii="宋体" w:hAnsi="宋体" w:cs="宋体"/>
                <w:b/>
                <w:bCs w:val="0"/>
                <w:i/>
                <w:iCs/>
                <w:color w:val="auto"/>
                <w:szCs w:val="21"/>
                <w:u w:val="single"/>
              </w:rPr>
            </w:pPr>
            <w:r>
              <w:rPr>
                <w:rFonts w:ascii="宋体" w:hAnsi="宋体" w:cs="宋体"/>
                <w:b/>
                <w:bCs w:val="0"/>
                <w:i/>
                <w:iCs/>
                <w:color w:val="auto"/>
                <w:szCs w:val="21"/>
                <w:u w:val="single"/>
              </w:rPr>
            </w:r>
            <w:r/>
          </w:p>
        </w:tc>
        <w:tc>
          <w:tcPr>
            <w:tcW w:w="1879"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小计</w:t>
            </w:r>
            <w:r/>
          </w:p>
        </w:tc>
        <w:tc>
          <w:tcPr>
            <w:tcW w:w="1181" w:type="dxa"/>
            <w:vAlign w:val="center"/>
            <w:textDirection w:val="lrTb"/>
            <w:noWrap w:val="false"/>
          </w:tcPr>
          <w:p>
            <w:pPr>
              <w:ind w:firstLine="420"/>
              <w:spacing w:line="360" w:lineRule="auto"/>
              <w:rPr>
                <w:rFonts w:ascii="宋体" w:hAnsi="宋体" w:cs="宋体"/>
                <w:b/>
                <w:bCs w:val="0"/>
                <w:i/>
                <w:iCs/>
                <w:color w:val="auto"/>
                <w:szCs w:val="21"/>
                <w:u w:val="single"/>
              </w:rPr>
            </w:pPr>
            <w:r>
              <w:rPr>
                <w:rFonts w:hint="eastAsia" w:ascii="宋体" w:hAnsi="宋体" w:cs="宋体"/>
                <w:b/>
                <w:bCs w:val="0"/>
                <w:i/>
                <w:iCs/>
                <w:color w:val="auto"/>
                <w:szCs w:val="21"/>
                <w:u w:val="single"/>
              </w:rPr>
              <w:t xml:space="preserve">1</w:t>
            </w:r>
            <w:r/>
          </w:p>
        </w:tc>
        <w:tc>
          <w:tcPr>
            <w:tcW w:w="5391" w:type="dxa"/>
            <w:vAlign w:val="center"/>
            <w:textDirection w:val="lrTb"/>
            <w:noWrap w:val="false"/>
          </w:tcPr>
          <w:p>
            <w:pPr>
              <w:ind w:firstLine="420"/>
              <w:spacing w:line="360" w:lineRule="auto"/>
              <w:rPr>
                <w:rFonts w:ascii="宋体" w:hAnsi="宋体" w:cs="宋体"/>
                <w:b/>
                <w:bCs w:val="0"/>
                <w:i/>
                <w:iCs/>
                <w:color w:val="auto"/>
                <w:szCs w:val="21"/>
                <w:u w:val="single"/>
              </w:rPr>
            </w:pPr>
            <w:r>
              <w:rPr>
                <w:rFonts w:ascii="宋体" w:hAnsi="宋体" w:cs="宋体"/>
                <w:b/>
                <w:bCs w:val="0"/>
                <w:i/>
                <w:iCs/>
                <w:color w:val="auto"/>
                <w:szCs w:val="21"/>
                <w:u w:val="single"/>
              </w:rPr>
            </w:r>
            <w:r/>
          </w:p>
        </w:tc>
      </w:tr>
    </w:tbl>
    <w:p>
      <w:pPr>
        <w:ind w:firstLine="480"/>
        <w:spacing w:line="360" w:lineRule="auto"/>
        <w:rPr>
          <w:rFonts w:ascii="宋体" w:hAnsi="宋体" w:cs="宋体"/>
          <w:b/>
          <w:bCs w:val="0"/>
          <w:i/>
          <w:iCs/>
          <w:color w:val="auto"/>
          <w:sz w:val="24"/>
          <w:szCs w:val="24"/>
          <w:u w:val="single"/>
        </w:rPr>
      </w:pPr>
      <w:r>
        <w:rPr>
          <w:rFonts w:hint="eastAsia" w:ascii="宋体" w:hAnsi="宋体" w:cs="宋体"/>
          <w:b/>
          <w:bCs w:val="0"/>
          <w:i/>
          <w:iCs/>
          <w:color w:val="auto"/>
          <w:sz w:val="24"/>
          <w:szCs w:val="24"/>
          <w:u w:val="single"/>
        </w:rPr>
        <w:t xml:space="preserve">投标人需按照上述人员配置要求提交拟派人员配置承诺函</w:t>
      </w:r>
      <w:r>
        <w:rPr>
          <w:rFonts w:hint="eastAsia" w:ascii="宋体" w:hAnsi="宋体" w:cs="宋体"/>
          <w:b/>
          <w:bCs w:val="0"/>
          <w:i/>
          <w:iCs/>
          <w:color w:val="auto"/>
          <w:sz w:val="24"/>
          <w:szCs w:val="24"/>
          <w:u w:val="single"/>
          <w:lang w:eastAsia="zh-CN"/>
        </w:rPr>
        <w:t xml:space="preserve">（格式见附件</w:t>
      </w:r>
      <w:r>
        <w:rPr>
          <w:rFonts w:hint="eastAsia" w:ascii="宋体" w:hAnsi="宋体" w:cs="宋体"/>
          <w:b/>
          <w:bCs w:val="0"/>
          <w:i/>
          <w:iCs/>
          <w:color w:val="auto"/>
          <w:sz w:val="24"/>
          <w:szCs w:val="24"/>
          <w:u w:val="single"/>
          <w:lang w:val="en-US" w:eastAsia="zh-CN"/>
        </w:rPr>
        <w:t xml:space="preserve">8</w:t>
      </w:r>
      <w:r>
        <w:rPr>
          <w:rFonts w:hint="eastAsia" w:ascii="宋体" w:hAnsi="宋体" w:cs="宋体"/>
          <w:b/>
          <w:bCs w:val="0"/>
          <w:i/>
          <w:iCs/>
          <w:color w:val="auto"/>
          <w:sz w:val="24"/>
          <w:szCs w:val="24"/>
          <w:u w:val="single"/>
          <w:lang w:eastAsia="zh-CN"/>
        </w:rPr>
        <w:t xml:space="preserve">）</w:t>
      </w:r>
      <w:r>
        <w:rPr>
          <w:rFonts w:hint="eastAsia" w:ascii="宋体" w:hAnsi="宋体" w:cs="宋体"/>
          <w:b/>
          <w:bCs w:val="0"/>
          <w:i/>
          <w:iCs/>
          <w:color w:val="auto"/>
          <w:sz w:val="24"/>
          <w:szCs w:val="24"/>
          <w:u w:val="single"/>
        </w:rPr>
        <w:t xml:space="preserve">，人员要求、数量等不得负偏离，否则作为无效投标处理。</w:t>
      </w:r>
      <w:r/>
    </w:p>
    <w:p>
      <w:pPr>
        <w:ind w:firstLine="480"/>
        <w:spacing w:line="360" w:lineRule="auto"/>
        <w:rPr>
          <w:rFonts w:ascii="宋体" w:hAnsi="宋体" w:cs="宋体"/>
          <w:bCs/>
          <w:i w:val="0"/>
          <w:iCs w:val="0"/>
          <w:color w:val="auto"/>
          <w:sz w:val="24"/>
          <w:szCs w:val="24"/>
          <w:u w:val="none"/>
        </w:rPr>
      </w:pPr>
      <w:r>
        <w:rPr>
          <w:rFonts w:hint="eastAsia" w:ascii="宋体" w:hAnsi="宋体" w:cs="宋体"/>
          <w:bCs/>
          <w:i w:val="0"/>
          <w:iCs w:val="0"/>
          <w:color w:val="auto"/>
          <w:sz w:val="24"/>
          <w:szCs w:val="24"/>
          <w:u w:val="none"/>
        </w:rPr>
        <w:t xml:space="preserve">成交人在中标后需提供投标文件纸质盖章版及电子版，采购人进行档案管理。以上所要求的内容，成交人需在中标后20日内向采购人提交相应佐证材料（包括但不限于人员名册、学历证明、工作经历证明、各类资格证书、设备采购发票或租赁合同等）供采购人查验。如发现材料与承诺不符的，采购人有权拒绝签订合同，并将此情况上报财政监督部门按规定进行处罚。</w:t>
      </w:r>
      <w:r/>
    </w:p>
    <w:p>
      <w:pPr>
        <w:spacing w:line="360" w:lineRule="auto"/>
        <w:rPr>
          <w:rFonts w:ascii="宋体" w:hAnsi="宋体" w:cs="宋体"/>
          <w:b/>
          <w:bCs/>
          <w:color w:val="auto"/>
          <w:sz w:val="24"/>
          <w:szCs w:val="24"/>
        </w:rPr>
      </w:pPr>
      <w:r>
        <w:rPr>
          <w:rFonts w:hint="eastAsia" w:ascii="宋体" w:hAnsi="宋体" w:cs="宋体"/>
          <w:b/>
          <w:bCs/>
          <w:color w:val="auto"/>
          <w:sz w:val="24"/>
          <w:szCs w:val="24"/>
        </w:rPr>
        <w:t xml:space="preserve">四、商务要求</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1.本次招标物业管理期限为一年，具体起</w:t>
      </w:r>
      <w:r>
        <w:rPr>
          <w:rFonts w:hint="eastAsia" w:ascii="宋体" w:hAnsi="宋体" w:cs="宋体"/>
          <w:bCs/>
          <w:color w:val="auto"/>
          <w:sz w:val="24"/>
          <w:szCs w:val="24"/>
        </w:rPr>
        <w:t xml:space="preserve">止</w:t>
      </w:r>
      <w:r>
        <w:rPr>
          <w:rFonts w:hint="eastAsia" w:ascii="宋体" w:hAnsi="宋体" w:cs="宋体"/>
          <w:bCs/>
          <w:color w:val="auto"/>
          <w:sz w:val="24"/>
          <w:szCs w:val="24"/>
        </w:rPr>
        <w:t xml:space="preserve">时间以合同为准。合同履约完毕后，业主方可根据中标方的合同履约情况决定是否续约，在国家没有政策性调资的情况下，物业管理服务费用不变，可以续签下一年度合同，续签不可超过两次。如考核成绩不合格的，业主方有权终止合同。</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2.本次报价应包括以下内容：</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（1）本次报价包括人员工资，工作必需品，管理费及税金等所有费用。</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（2）所有物业服务人员工资不得低于</w:t>
      </w:r>
      <w:r>
        <w:rPr>
          <w:rFonts w:hint="eastAsia" w:ascii="宋体" w:hAnsi="宋体" w:cs="宋体"/>
          <w:bCs/>
          <w:color w:val="auto"/>
          <w:sz w:val="24"/>
          <w:szCs w:val="24"/>
          <w:lang w:val="zh-CN"/>
        </w:rPr>
        <w:t xml:space="preserve">海门区最低</w:t>
      </w:r>
      <w:r>
        <w:rPr>
          <w:rFonts w:hint="eastAsia" w:ascii="宋体" w:hAnsi="宋体" w:cs="宋体"/>
          <w:bCs/>
          <w:color w:val="auto"/>
          <w:sz w:val="24"/>
          <w:szCs w:val="24"/>
        </w:rPr>
        <w:t xml:space="preserve">工资</w:t>
      </w:r>
      <w:r>
        <w:rPr>
          <w:rFonts w:hint="eastAsia" w:ascii="宋体" w:hAnsi="宋体" w:cs="宋体"/>
          <w:bCs/>
          <w:color w:val="auto"/>
          <w:sz w:val="24"/>
          <w:szCs w:val="24"/>
          <w:lang w:val="zh-CN"/>
        </w:rPr>
        <w:t xml:space="preserve">标准</w:t>
      </w:r>
      <w:r>
        <w:rPr>
          <w:rFonts w:hint="eastAsia" w:ascii="宋体" w:hAnsi="宋体" w:cs="宋体"/>
          <w:bCs/>
          <w:color w:val="auto"/>
          <w:sz w:val="24"/>
          <w:szCs w:val="24"/>
        </w:rPr>
        <w:t xml:space="preserve">，且必须依法缴纳社会保险，缴纳基数和比例不得低于江苏省人力资源和社会保障厅规定的标准和要求；高温补贴、各类保险等必须按照规定执行。</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（3）由于工作需要，法定假日和双休日需要另外安排人员值班，依据《中华人民共和国劳动法》的相关规定，法定假日加班按照不低于2人测算，双休日加班按照不低于1人测算。</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（4）管理费是指除人员工资、服务用品耗材以外的与物业服务相关的费用。</w:t>
      </w:r>
      <w:r/>
    </w:p>
    <w:p>
      <w:pPr>
        <w:pStyle w:val="991"/>
        <w:ind w:left="0" w:firstLine="480"/>
        <w:rPr>
          <w:rFonts w:cs="宋体"/>
          <w:bCs/>
          <w:color w:val="auto"/>
          <w:sz w:val="24"/>
          <w:szCs w:val="24"/>
        </w:rPr>
      </w:pPr>
      <w:r>
        <w:rPr>
          <w:rFonts w:hint="eastAsia" w:cs="宋体"/>
          <w:bCs/>
          <w:color w:val="auto"/>
          <w:sz w:val="24"/>
          <w:szCs w:val="24"/>
        </w:rPr>
        <w:t xml:space="preserve">3.业主方在与中标方单位签订物业管理合同前，将保留对本项目物业管理内容中的部分服务项目指定分包给某一具备资质的专业服务单位承包的权力。若出现该指定分包的情况，涉及该专业服务的报价将从投标总报价中扣除，但该专业服务纳入物业管理统一管理，由物业管理单位承担管理责任。</w:t>
      </w:r>
      <w:r/>
    </w:p>
    <w:p>
      <w:pPr>
        <w:pStyle w:val="991"/>
        <w:ind w:left="0" w:firstLine="480"/>
        <w:rPr>
          <w:rFonts w:cs="宋体"/>
          <w:bCs/>
          <w:color w:val="auto"/>
          <w:sz w:val="24"/>
          <w:szCs w:val="24"/>
        </w:rPr>
      </w:pPr>
      <w:r>
        <w:rPr>
          <w:rFonts w:hint="eastAsia" w:cs="宋体"/>
          <w:bCs/>
          <w:color w:val="auto"/>
          <w:sz w:val="24"/>
          <w:szCs w:val="24"/>
        </w:rPr>
        <w:t xml:space="preserve">（6）所有物业服务人员劳保用品由中标方单位提供，公共区域卫生用品由业主单位提供。</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（7）如果因特殊原因导致办公地点、需求人数发生变化，业主单位可根据实际情况调整物业服务需求及物业费金额。</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4.提前终止合同的情形</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中标方在服务期限内存在以下情形，应承担相应的法律后果，业主方有权单方提前终止合同并视为违约，按合同总价的1%扣除中标方的违约金。</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1）中标方未按照《劳动合同法》、《社会保险法》为管理和服务人员按时定额缴纳城镇职工基本养老保险、城镇职工基本医疗保险、工伤保险等法定险金费用或工资标准未达到当年度南通市海门区最低工资标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（2）中标方未按照业主方规定要求足额配置管理和服务人员或擅自减少管理和服务人员，影响业主方的安全、物业管理。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（3）中标方未经业主方同意擅自变动或调动人员的。</w:t>
      </w:r>
      <w:r>
        <w:rPr>
          <w:rFonts w:hint="eastAsia" w:ascii="宋体" w:hAnsi="宋体" w:cs="宋体"/>
          <w:bCs/>
          <w:color w:val="auto"/>
          <w:sz w:val="24"/>
          <w:szCs w:val="24"/>
        </w:rPr>
        <w:tab/>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（4）对业主方提出劝辞建议的不称职人员未及时予以清退或调离。</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（5）中标方未按照业主方规定要求按时发放管理和服务人员的工资。</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（6）因中标方工作失职造成业主方重大安全事故、消防及水电安全事故、其他责任事故或隐瞒、瞒报安全责任事故。</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（7）中标方不能完全履行合同约定的其它义务，且经业主方两次通知整改，未整改到位。</w:t>
      </w:r>
      <w:r/>
    </w:p>
    <w:p>
      <w:pPr>
        <w:pStyle w:val="991"/>
        <w:ind w:left="0" w:firstLine="480"/>
        <w:rPr>
          <w:color w:val="auto"/>
        </w:rPr>
      </w:pPr>
      <w:r>
        <w:rPr>
          <w:rFonts w:hint="eastAsia" w:cs="宋体"/>
          <w:bCs/>
          <w:color w:val="auto"/>
          <w:sz w:val="24"/>
          <w:szCs w:val="24"/>
        </w:rPr>
        <w:t xml:space="preserve">（8）考核分低于60分的。</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合同期满，经招标人考核、考评，投标人在服务期间管理服务达到合同约定的标准和要求、招标人满意的，合同可续签。</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5.付款方式</w:t>
      </w:r>
      <w:r>
        <w:rPr>
          <w:rFonts w:hint="eastAsia" w:ascii="宋体" w:hAnsi="宋体" w:cs="宋体"/>
          <w:bCs/>
          <w:color w:val="auto"/>
          <w:sz w:val="24"/>
          <w:szCs w:val="24"/>
          <w:lang w:eastAsia="zh-CN"/>
        </w:rPr>
        <w:t xml:space="preserve">：</w:t>
      </w:r>
      <w:r>
        <w:rPr>
          <w:rFonts w:hint="eastAsia" w:ascii="宋体" w:hAnsi="宋体" w:cs="宋体"/>
          <w:bCs/>
          <w:color w:val="auto"/>
          <w:sz w:val="24"/>
          <w:szCs w:val="24"/>
        </w:rPr>
        <w:t xml:space="preserve">合同签订后，实行先考核验收后支付方式。即每季度结束后的七个工作日内，由业主单位对物业公司上季度的服务工作进行考核并验收，考核验收结束后三十日内将上季度服务费按考核结果支付给物业公司。考核结果高于（含）90分可按合同约定支付，低于90分的按每低10分扣除合同上季度应付金额的5%，低于60分的解除合同。</w:t>
      </w:r>
      <w:r/>
    </w:p>
    <w:p>
      <w:pPr>
        <w:spacing w:line="360" w:lineRule="auto"/>
        <w:rPr>
          <w:rFonts w:ascii="宋体" w:hAnsi="宋体" w:cs="宋体"/>
          <w:b/>
          <w:color w:val="auto"/>
          <w:sz w:val="24"/>
          <w:szCs w:val="24"/>
        </w:rPr>
      </w:pPr>
      <w:r>
        <w:rPr>
          <w:rFonts w:hint="eastAsia" w:ascii="宋体" w:hAnsi="宋体" w:cs="宋体"/>
          <w:b/>
          <w:color w:val="auto"/>
          <w:sz w:val="24"/>
          <w:szCs w:val="24"/>
        </w:rPr>
        <w:t xml:space="preserve">五、其他要求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1.项目属性:服务类项目。</w:t>
      </w:r>
      <w:r/>
    </w:p>
    <w:p>
      <w:pPr>
        <w:ind w:firstLine="480"/>
        <w:spacing w:line="360" w:lineRule="auto"/>
        <w:rPr>
          <w:rFonts w:ascii="宋体" w:hAnsi="宋体" w:cs="宋体"/>
          <w:color w:val="auto"/>
          <w:sz w:val="24"/>
          <w:szCs w:val="24"/>
        </w:rPr>
      </w:pPr>
      <w:r/>
      <w:bookmarkStart w:id="156" w:name="_Toc120614281"/>
      <w:r>
        <w:rPr>
          <w:rFonts w:hint="eastAsia" w:ascii="宋体" w:hAnsi="宋体" w:cs="宋体"/>
          <w:color w:val="auto"/>
          <w:sz w:val="24"/>
          <w:szCs w:val="24"/>
        </w:rPr>
        <w:t xml:space="preserve">2.履约保证金：</w:t>
      </w:r>
      <w:r>
        <w:rPr>
          <w:rFonts w:hint="eastAsia" w:ascii="宋体" w:hAnsi="宋体" w:cs="宋体"/>
          <w:color w:val="auto"/>
          <w:sz w:val="24"/>
          <w:szCs w:val="24"/>
          <w:lang w:eastAsia="zh-CN"/>
        </w:rPr>
        <w:t xml:space="preserve">无</w:t>
      </w:r>
      <w:r>
        <w:rPr>
          <w:rFonts w:hint="eastAsia" w:ascii="宋体" w:hAnsi="宋体" w:cs="宋体"/>
          <w:color w:val="auto"/>
          <w:sz w:val="24"/>
          <w:szCs w:val="24"/>
        </w:rPr>
        <w:t xml:space="preserve">。</w:t>
      </w:r>
      <w:r/>
    </w:p>
    <w:p>
      <w:pPr>
        <w:rPr>
          <w:rFonts w:ascii="宋体" w:hAnsi="宋体" w:cs="宋体"/>
          <w:color w:val="000000"/>
          <w:sz w:val="24"/>
          <w:szCs w:val="24"/>
        </w:rPr>
      </w:pPr>
      <w:r>
        <w:rPr>
          <w:rFonts w:hint="eastAsia" w:ascii="宋体" w:hAnsi="宋体" w:cs="宋体"/>
          <w:color w:val="000000"/>
          <w:sz w:val="24"/>
          <w:szCs w:val="24"/>
        </w:rPr>
        <w:br w:type="page" w:clear="all"/>
      </w:r>
      <w:r/>
    </w:p>
    <w:p>
      <w:pPr>
        <w:jc w:val="center"/>
        <w:spacing w:line="360" w:lineRule="auto"/>
        <w:rPr>
          <w:rFonts w:ascii="黑体" w:eastAsia="黑体"/>
          <w:bCs/>
          <w:color w:val="000000"/>
          <w:sz w:val="44"/>
          <w:szCs w:val="28"/>
        </w:rPr>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spacing w:line="360" w:lineRule="auto"/>
        <w:rPr>
          <w:rFonts w:ascii="宋体" w:hAnsi="宋体" w:cs="宋体"/>
          <w:color w:val="ff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w:t>
      </w:r>
      <w:r>
        <w:rPr>
          <w:rFonts w:hint="eastAsia" w:ascii="宋体" w:hAnsi="宋体" w:cs="宋体"/>
          <w:sz w:val="24"/>
          <w:szCs w:val="24"/>
        </w:rPr>
        <w:t xml:space="preserve">序排列。得分且投标报价相同的并列。</w:t>
      </w:r>
      <w:r/>
    </w:p>
    <w:tbl>
      <w:tblPr>
        <w:tblStyle w:val="711"/>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采购包号</w:t>
            </w:r>
            <w:r/>
          </w:p>
        </w:tc>
        <w:tc>
          <w:tcPr>
            <w:tcW w:w="16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选取中标候选人数量</w:t>
            </w:r>
            <w:r/>
          </w:p>
        </w:tc>
        <w:tc>
          <w:tcPr>
            <w:tcW w:w="61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选取中标候选人的原则</w:t>
            </w:r>
            <w:r/>
          </w:p>
        </w:tc>
      </w:tr>
      <w:tr>
        <w:trPr/>
        <w:tc>
          <w:tcPr>
            <w:tcW w:w="11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16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6112"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r/>
          </w:p>
        </w:tc>
      </w:tr>
    </w:tbl>
    <w:p>
      <w:pPr>
        <w:ind w:firstLine="482"/>
        <w:jc w:val="left"/>
        <w:spacing w:line="360" w:lineRule="auto"/>
        <w:rPr>
          <w:rFonts w:ascii="宋体" w:hAnsi="宋体" w:cs="宋体"/>
          <w:color w:val="000000"/>
          <w:sz w:val="24"/>
          <w:szCs w:val="24"/>
        </w:rPr>
      </w:pPr>
      <w:r>
        <w:rPr>
          <w:rFonts w:hint="eastAsia" w:ascii="宋体" w:hAnsi="宋体" w:cs="宋体"/>
          <w:b/>
          <w:sz w:val="24"/>
          <w:szCs w:val="24"/>
        </w:rPr>
        <w:t xml:space="preserve">政府采购政策功能落实：</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专门面向中小企业采购的项目或者采购包，不再执行价格评审优惠的扶持政策。</w:t>
      </w:r>
      <w:r/>
    </w:p>
    <w:p>
      <w:pPr>
        <w:ind w:firstLine="482"/>
        <w:jc w:val="left"/>
        <w:spacing w:line="360" w:lineRule="auto"/>
        <w:rPr>
          <w:rFonts w:ascii="宋体" w:hAnsi="宋体" w:cs="宋体"/>
          <w:b/>
          <w:color w:val="000000"/>
          <w:sz w:val="24"/>
          <w:szCs w:val="24"/>
          <w:highlight w:val="yellow"/>
        </w:rPr>
      </w:pPr>
      <w:r>
        <w:rPr>
          <w:rFonts w:hint="eastAsia" w:ascii="宋体" w:hAnsi="宋体" w:cs="宋体"/>
          <w:b/>
          <w:color w:val="000000"/>
          <w:sz w:val="24"/>
          <w:szCs w:val="24"/>
        </w:rPr>
        <w:t xml:space="preserve">评标方法与评审标准</w:t>
      </w:r>
      <w:r/>
    </w:p>
    <w:p>
      <w:pPr>
        <w:ind w:firstLine="442"/>
        <w:spacing w:line="360" w:lineRule="auto"/>
        <w:rPr>
          <w:rFonts w:ascii="宋体" w:hAnsi="宋体" w:cs="宋体"/>
          <w:color w:val="auto"/>
          <w:sz w:val="24"/>
          <w:szCs w:val="24"/>
          <w:highlight w:val="none"/>
        </w:rPr>
      </w:pPr>
      <w:r>
        <w:rPr>
          <w:rFonts w:hint="eastAsia" w:ascii="宋体" w:hAnsi="宋体" w:cs="宋体"/>
          <w:b/>
          <w:bCs/>
          <w:sz w:val="22"/>
          <w:szCs w:val="24"/>
        </w:rPr>
        <w:t xml:space="preserve">下</w:t>
      </w:r>
      <w:r>
        <w:rPr>
          <w:rFonts w:hint="eastAsia" w:ascii="宋体" w:hAnsi="宋体" w:cs="宋体"/>
          <w:b/>
          <w:bCs/>
          <w:color w:val="auto"/>
          <w:sz w:val="22"/>
          <w:szCs w:val="24"/>
          <w:highlight w:val="none"/>
        </w:rPr>
        <w:t xml:space="preserve">列序号（5-12）评分项属于暗标评审项，各投标人（供应商）提供评审材料（含样品）中不能出现投标人（供应商）的名称、标志、标记以及其它能够体现投标人（供应商）的信息，否则所有暗标评审项目均不得分。</w:t>
      </w:r>
      <w:r/>
    </w:p>
    <w:tbl>
      <w:tblPr>
        <w:tblStyle w:val="711"/>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775"/>
        <w:gridCol w:w="762"/>
        <w:gridCol w:w="6496"/>
      </w:tblGrid>
      <w:tr>
        <w:trPr>
          <w:jc w:val="center"/>
          <w:trHeight w:val="635"/>
        </w:trPr>
        <w:tc>
          <w:tcPr>
            <w:tcW w:w="821" w:type="dxa"/>
            <w:vAlign w:val="center"/>
            <w:textDirection w:val="lrTb"/>
            <w:noWrap w:val="false"/>
          </w:tcPr>
          <w:p>
            <w:pPr>
              <w:jc w:val="center"/>
              <w:rPr>
                <w:rFonts w:ascii="宋体" w:hAnsi="宋体"/>
                <w:b/>
                <w:bCs/>
                <w:color w:val="auto"/>
                <w:sz w:val="22"/>
                <w:szCs w:val="28"/>
                <w:highlight w:val="none"/>
                <w:lang w:val="zh-CN"/>
              </w:rPr>
            </w:pPr>
            <w:r>
              <w:rPr>
                <w:rFonts w:hint="eastAsia" w:ascii="宋体" w:hAnsi="宋体"/>
                <w:b/>
                <w:bCs/>
                <w:color w:val="auto"/>
                <w:sz w:val="22"/>
                <w:szCs w:val="28"/>
                <w:highlight w:val="none"/>
                <w:lang w:val="zh-CN"/>
              </w:rPr>
              <w:t xml:space="preserve">序号</w:t>
            </w:r>
            <w:r/>
          </w:p>
        </w:tc>
        <w:tc>
          <w:tcPr>
            <w:tcW w:w="1775" w:type="dxa"/>
            <w:vAlign w:val="center"/>
            <w:textDirection w:val="lrTb"/>
            <w:noWrap w:val="false"/>
          </w:tcPr>
          <w:p>
            <w:pPr>
              <w:jc w:val="center"/>
              <w:rPr>
                <w:rFonts w:ascii="宋体" w:hAnsi="宋体"/>
                <w:b/>
                <w:bCs/>
                <w:color w:val="auto"/>
                <w:sz w:val="22"/>
                <w:szCs w:val="28"/>
                <w:highlight w:val="none"/>
                <w:lang w:val="zh-CN"/>
              </w:rPr>
            </w:pPr>
            <w:r>
              <w:rPr>
                <w:rFonts w:hint="eastAsia" w:ascii="宋体" w:hAnsi="宋体"/>
                <w:b/>
                <w:bCs/>
                <w:color w:val="auto"/>
                <w:sz w:val="22"/>
                <w:szCs w:val="28"/>
                <w:highlight w:val="none"/>
                <w:lang w:val="zh-CN"/>
              </w:rPr>
              <w:t xml:space="preserve">评分点名称</w:t>
            </w:r>
            <w:r/>
          </w:p>
        </w:tc>
        <w:tc>
          <w:tcPr>
            <w:tcW w:w="762" w:type="dxa"/>
            <w:vAlign w:val="center"/>
            <w:textDirection w:val="lrTb"/>
            <w:noWrap w:val="false"/>
          </w:tcPr>
          <w:p>
            <w:pPr>
              <w:jc w:val="center"/>
              <w:rPr>
                <w:rFonts w:ascii="宋体" w:hAnsi="宋体"/>
                <w:b/>
                <w:bCs/>
                <w:color w:val="auto"/>
                <w:sz w:val="22"/>
                <w:szCs w:val="28"/>
                <w:highlight w:val="none"/>
                <w:lang w:val="zh-CN"/>
              </w:rPr>
            </w:pPr>
            <w:r>
              <w:rPr>
                <w:rFonts w:hint="eastAsia" w:ascii="宋体" w:hAnsi="宋体"/>
                <w:b/>
                <w:bCs/>
                <w:color w:val="auto"/>
                <w:sz w:val="22"/>
                <w:szCs w:val="28"/>
                <w:highlight w:val="none"/>
                <w:lang w:val="zh-CN"/>
              </w:rPr>
              <w:t xml:space="preserve">分值</w:t>
            </w:r>
            <w:r/>
          </w:p>
        </w:tc>
        <w:tc>
          <w:tcPr>
            <w:tcW w:w="6496" w:type="dxa"/>
            <w:vAlign w:val="center"/>
            <w:textDirection w:val="lrTb"/>
            <w:noWrap w:val="false"/>
          </w:tcPr>
          <w:p>
            <w:pPr>
              <w:ind w:firstLine="446"/>
              <w:jc w:val="center"/>
              <w:rPr>
                <w:rFonts w:ascii="宋体" w:hAnsi="宋体"/>
                <w:b/>
                <w:bCs/>
                <w:color w:val="auto"/>
                <w:sz w:val="22"/>
                <w:szCs w:val="28"/>
                <w:highlight w:val="none"/>
                <w:lang w:val="zh-CN"/>
              </w:rPr>
            </w:pPr>
            <w:r>
              <w:rPr>
                <w:rFonts w:hint="eastAsia" w:ascii="宋体" w:hAnsi="宋体"/>
                <w:b/>
                <w:bCs/>
                <w:color w:val="auto"/>
                <w:sz w:val="22"/>
                <w:szCs w:val="28"/>
                <w:highlight w:val="none"/>
                <w:lang w:val="zh-CN"/>
              </w:rPr>
              <w:t xml:space="preserve">评审标准</w:t>
            </w:r>
            <w:r/>
          </w:p>
        </w:tc>
      </w:tr>
      <w:tr>
        <w:trPr>
          <w:jc w:val="center"/>
          <w:trHeight w:val="1229"/>
        </w:trPr>
        <w:tc>
          <w:tcPr>
            <w:tcW w:w="821" w:type="dxa"/>
            <w:vAlign w:val="center"/>
            <w:textDirection w:val="lrTb"/>
            <w:noWrap w:val="false"/>
          </w:tcPr>
          <w:p>
            <w:pPr>
              <w:jc w:val="center"/>
              <w:rPr>
                <w:rFonts w:ascii="宋体" w:hAnsi="宋体"/>
                <w:b/>
                <w:bCs/>
                <w:color w:val="auto"/>
                <w:sz w:val="22"/>
                <w:highlight w:val="none"/>
              </w:rPr>
            </w:pPr>
            <w:r>
              <w:rPr>
                <w:rFonts w:hint="eastAsia" w:ascii="宋体" w:hAnsi="宋体" w:cs="宋体"/>
                <w:b/>
                <w:bCs/>
                <w:color w:val="auto"/>
                <w:szCs w:val="21"/>
                <w:highlight w:val="none"/>
                <w:lang w:val="zh-CN"/>
              </w:rPr>
              <w:t xml:space="preserve">1</w:t>
            </w:r>
            <w:r/>
          </w:p>
        </w:tc>
        <w:tc>
          <w:tcPr>
            <w:tcW w:w="1775" w:type="dxa"/>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val="zh-CN"/>
              </w:rPr>
              <w:t xml:space="preserve">价格分</w:t>
            </w:r>
            <w:r/>
          </w:p>
        </w:tc>
        <w:tc>
          <w:tcPr>
            <w:tcW w:w="76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rPr>
              <w:t xml:space="preserve">60</w:t>
            </w:r>
            <w:r/>
          </w:p>
        </w:tc>
        <w:tc>
          <w:tcPr>
            <w:tcW w:w="6496" w:type="dxa"/>
            <w:textDirection w:val="lrTb"/>
            <w:noWrap w:val="false"/>
          </w:tcPr>
          <w:p>
            <w:pPr>
              <w:ind w:firstLine="420"/>
              <w:jc w:val="left"/>
              <w:rPr>
                <w:rFonts w:ascii="宋体" w:hAnsi="宋体" w:cs="宋体"/>
                <w:color w:val="auto"/>
                <w:szCs w:val="21"/>
                <w:highlight w:val="none"/>
                <w:lang w:bidi="ar"/>
              </w:rPr>
            </w:pPr>
            <w:r>
              <w:rPr>
                <w:rFonts w:hint="eastAsia" w:ascii="宋体" w:hAnsi="宋体" w:cs="宋体"/>
                <w:color w:val="auto"/>
                <w:szCs w:val="21"/>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Pr>
        <w:tc>
          <w:tcPr>
            <w:tcW w:w="82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775"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olor w:val="auto"/>
                <w:szCs w:val="21"/>
                <w:highlight w:val="none"/>
              </w:rPr>
              <w:t xml:space="preserve">企业资信</w:t>
            </w:r>
            <w:r/>
          </w:p>
        </w:tc>
        <w:tc>
          <w:tcPr>
            <w:tcW w:w="762" w:type="dxa"/>
            <w:vAlign w:val="center"/>
            <w:textDirection w:val="lrTb"/>
            <w:noWrap w:val="false"/>
          </w:tcPr>
          <w:p>
            <w:pPr>
              <w:jc w:val="center"/>
              <w:rPr>
                <w:rFonts w:ascii="宋体" w:hAnsi="宋体" w:cs="宋体"/>
                <w:color w:val="auto"/>
                <w:szCs w:val="21"/>
                <w:highlight w:val="none"/>
              </w:rPr>
            </w:pPr>
            <w:r>
              <w:rPr>
                <w:rFonts w:hint="eastAsia" w:ascii="宋体" w:hAnsi="宋体"/>
                <w:color w:val="auto"/>
                <w:szCs w:val="21"/>
                <w:highlight w:val="none"/>
              </w:rPr>
              <w:t xml:space="preserve">3</w:t>
            </w:r>
            <w:r/>
          </w:p>
        </w:tc>
        <w:tc>
          <w:tcPr>
            <w:tcW w:w="6496" w:type="dxa"/>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投标人具有</w:t>
            </w:r>
            <w:r/>
          </w:p>
          <w:p>
            <w:pPr>
              <w:numPr>
                <w:ilvl w:val="0"/>
                <w:numId w:val="6"/>
              </w:num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ISO9001质量管理体系证书；</w:t>
            </w:r>
            <w:r/>
          </w:p>
          <w:p>
            <w:pPr>
              <w:numPr>
                <w:ilvl w:val="0"/>
                <w:numId w:val="6"/>
              </w:num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ISO14001环境管理体系证书；</w:t>
            </w:r>
            <w:r/>
          </w:p>
          <w:p>
            <w:pPr>
              <w:numPr>
                <w:ilvl w:val="0"/>
                <w:numId w:val="6"/>
              </w:num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ISO45001职业安全管理体系证书；</w:t>
            </w:r>
            <w:r/>
          </w:p>
          <w:p>
            <w:pPr>
              <w:jc w:val="left"/>
              <w:widowControl/>
              <w:rPr>
                <w:rFonts w:ascii="宋体" w:hAnsi="宋体" w:cs="宋体"/>
                <w:color w:val="auto"/>
                <w:szCs w:val="21"/>
                <w:highlight w:val="none"/>
              </w:rPr>
            </w:pPr>
            <w:r>
              <w:rPr>
                <w:rFonts w:hint="eastAsia"/>
                <w:bCs/>
                <w:color w:val="auto"/>
                <w:highlight w:val="none"/>
              </w:rPr>
              <w:t xml:space="preserve">提供以上证书且在有效期内的每提供一项得1分，</w:t>
            </w:r>
            <w:r>
              <w:rPr>
                <w:rFonts w:hint="eastAsia" w:ascii="宋体" w:hAnsi="宋体" w:cs="宋体"/>
                <w:color w:val="auto"/>
                <w:szCs w:val="21"/>
                <w:highlight w:val="none"/>
                <w:lang w:bidi="ar"/>
              </w:rPr>
              <w:t xml:space="preserve">最多得3分。</w:t>
            </w:r>
            <w:r>
              <w:rPr>
                <w:rFonts w:hint="eastAsia" w:ascii="宋体" w:hAnsi="宋体" w:cs="宋体"/>
                <w:color w:val="auto"/>
                <w:szCs w:val="21"/>
                <w:highlight w:val="none"/>
                <w:lang w:val="zh-CN" w:bidi="ar"/>
              </w:rPr>
              <w:t xml:space="preserve">（证书的认证范围须</w:t>
            </w:r>
            <w:r>
              <w:rPr>
                <w:rFonts w:hint="eastAsia" w:ascii="宋体" w:hAnsi="宋体" w:cs="宋体"/>
                <w:color w:val="auto"/>
                <w:szCs w:val="21"/>
                <w:highlight w:val="none"/>
                <w:lang w:bidi="ar"/>
              </w:rPr>
              <w:t xml:space="preserve">为</w:t>
            </w:r>
            <w:r>
              <w:rPr>
                <w:rFonts w:hint="eastAsia" w:ascii="宋体" w:hAnsi="宋体" w:cs="宋体"/>
                <w:color w:val="auto"/>
                <w:szCs w:val="21"/>
                <w:highlight w:val="none"/>
                <w:lang w:val="zh-CN" w:bidi="ar"/>
              </w:rPr>
              <w:t xml:space="preserve">物业管理，同时须提供国家认证认可监督</w:t>
            </w:r>
            <w:r>
              <w:rPr>
                <w:rFonts w:hint="eastAsia" w:ascii="宋体" w:hAnsi="宋体" w:cs="宋体"/>
                <w:color w:val="auto"/>
                <w:szCs w:val="21"/>
                <w:highlight w:val="none"/>
                <w:lang w:bidi="ar"/>
              </w:rPr>
              <w:t xml:space="preserve">管理</w:t>
            </w:r>
            <w:r>
              <w:rPr>
                <w:rFonts w:hint="eastAsia" w:ascii="宋体" w:hAnsi="宋体" w:cs="宋体"/>
                <w:color w:val="auto"/>
                <w:szCs w:val="21"/>
                <w:highlight w:val="none"/>
                <w:lang w:val="zh-CN" w:bidi="ar"/>
              </w:rPr>
              <w:t xml:space="preserve">委员会的官网截图以证明证书的有效性，否则不得分）</w:t>
            </w:r>
            <w:r>
              <w:rPr>
                <w:rFonts w:hint="eastAsia" w:ascii="宋体" w:hAnsi="宋体" w:cs="宋体"/>
                <w:color w:val="auto"/>
                <w:szCs w:val="21"/>
                <w:highlight w:val="none"/>
                <w:lang w:bidi="ar"/>
              </w:rPr>
              <w:t xml:space="preserve">。</w:t>
            </w:r>
            <w:r/>
          </w:p>
        </w:tc>
      </w:tr>
      <w:tr>
        <w:trPr>
          <w:jc w:val="center"/>
        </w:trPr>
        <w:tc>
          <w:tcPr>
            <w:tcW w:w="82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775"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bidi="ar"/>
              </w:rPr>
              <w:t xml:space="preserve">企业业绩</w:t>
            </w:r>
            <w:r/>
          </w:p>
        </w:tc>
        <w:tc>
          <w:tcPr>
            <w:tcW w:w="762" w:type="dxa"/>
            <w:vAlign w:val="center"/>
            <w:textDirection w:val="lrTb"/>
            <w:noWrap w:val="false"/>
          </w:tcPr>
          <w:p>
            <w:pPr>
              <w:jc w:val="center"/>
              <w:rPr>
                <w:rFonts w:ascii="宋体" w:hAnsi="宋体" w:cs="宋体"/>
                <w:color w:val="auto"/>
                <w:szCs w:val="21"/>
                <w:highlight w:val="none"/>
              </w:rPr>
            </w:pPr>
            <w:r>
              <w:rPr>
                <w:rFonts w:hint="eastAsia" w:ascii="宋体" w:hAnsi="宋体"/>
                <w:color w:val="auto"/>
                <w:szCs w:val="21"/>
                <w:highlight w:val="none"/>
              </w:rPr>
              <w:t xml:space="preserve">3</w:t>
            </w:r>
            <w:r/>
          </w:p>
        </w:tc>
        <w:tc>
          <w:tcPr>
            <w:tcW w:w="6496" w:type="dxa"/>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2020年1月1日以来，</w:t>
            </w:r>
            <w:r>
              <w:rPr>
                <w:rFonts w:hint="eastAsia" w:ascii="宋体" w:hAnsi="宋体" w:cs="宋体"/>
                <w:color w:val="auto"/>
                <w:szCs w:val="21"/>
                <w:highlight w:val="none"/>
                <w:lang w:val="en-GB" w:bidi="ar"/>
              </w:rPr>
              <w:t xml:space="preserve">投标人完成过</w:t>
            </w:r>
            <w:r>
              <w:rPr>
                <w:rFonts w:hint="eastAsia" w:ascii="宋体" w:hAnsi="宋体" w:cs="宋体"/>
                <w:color w:val="auto"/>
                <w:szCs w:val="21"/>
                <w:highlight w:val="none"/>
                <w:lang w:bidi="ar"/>
              </w:rPr>
              <w:t xml:space="preserve">公建物业（非住宅）管理经验</w:t>
            </w:r>
            <w:r>
              <w:rPr>
                <w:rFonts w:hint="eastAsia" w:ascii="宋体" w:hAnsi="宋体" w:cs="宋体"/>
                <w:color w:val="auto"/>
                <w:szCs w:val="21"/>
                <w:highlight w:val="none"/>
                <w:lang w:val="en-GB" w:bidi="ar"/>
              </w:rPr>
              <w:t xml:space="preserve">的成功案例，</w:t>
            </w:r>
            <w:r>
              <w:rPr>
                <w:rFonts w:hint="eastAsia" w:ascii="宋体" w:hAnsi="宋体" w:cs="宋体"/>
                <w:color w:val="auto"/>
                <w:szCs w:val="21"/>
                <w:highlight w:val="none"/>
                <w:lang w:bidi="ar"/>
              </w:rPr>
              <w:t xml:space="preserve">每提供一个</w:t>
            </w:r>
            <w:r>
              <w:rPr>
                <w:rFonts w:hint="eastAsia" w:ascii="宋体" w:hAnsi="宋体" w:cs="宋体"/>
                <w:color w:val="auto"/>
                <w:szCs w:val="21"/>
                <w:highlight w:val="none"/>
                <w:lang w:val="en-GB" w:bidi="ar"/>
              </w:rPr>
              <w:t xml:space="preserve">得</w:t>
            </w: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GB" w:bidi="ar"/>
              </w:rPr>
              <w:t xml:space="preserve">分，最高得</w:t>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GB" w:bidi="ar"/>
              </w:rPr>
              <w:t xml:space="preserve">分</w:t>
            </w:r>
            <w:r>
              <w:rPr>
                <w:rFonts w:hint="eastAsia" w:ascii="宋体" w:hAnsi="宋体" w:cs="宋体"/>
                <w:color w:val="auto"/>
                <w:szCs w:val="21"/>
                <w:highlight w:val="none"/>
                <w:lang w:bidi="ar"/>
              </w:rPr>
              <w:t xml:space="preserve">。</w:t>
            </w:r>
            <w:r/>
          </w:p>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（提供服务合同及不少于连续三个月的发票复印件，否则不得分）。</w:t>
            </w:r>
            <w:r/>
          </w:p>
        </w:tc>
      </w:tr>
      <w:tr>
        <w:trPr>
          <w:jc w:val="center"/>
        </w:trPr>
        <w:tc>
          <w:tcPr>
            <w:tcW w:w="821" w:type="dxa"/>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4</w:t>
            </w:r>
            <w:r/>
          </w:p>
        </w:tc>
        <w:tc>
          <w:tcPr>
            <w:tcW w:w="1775"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bidi="ar"/>
              </w:rPr>
              <w:t xml:space="preserve">项目组成员素质</w:t>
            </w:r>
            <w:r/>
          </w:p>
        </w:tc>
        <w:tc>
          <w:tcPr>
            <w:tcW w:w="762" w:type="dxa"/>
            <w:vAlign w:val="center"/>
            <w:textDirection w:val="lrTb"/>
            <w:noWrap w:val="false"/>
          </w:tcPr>
          <w:p>
            <w:pPr>
              <w:jc w:val="center"/>
              <w:rPr>
                <w:rFonts w:ascii="宋体" w:hAnsi="宋体" w:cs="宋体"/>
                <w:color w:val="auto"/>
                <w:szCs w:val="21"/>
              </w:rPr>
            </w:pPr>
            <w:r>
              <w:rPr>
                <w:rFonts w:hint="eastAsia" w:ascii="宋体" w:hAnsi="宋体"/>
                <w:color w:val="auto"/>
                <w:szCs w:val="21"/>
              </w:rPr>
              <w:t xml:space="preserve">6</w:t>
            </w:r>
            <w:r/>
          </w:p>
        </w:tc>
        <w:tc>
          <w:tcPr>
            <w:tcW w:w="6496" w:type="dxa"/>
            <w:textDirection w:val="lrTb"/>
            <w:noWrap w:val="false"/>
          </w:tcPr>
          <w:p>
            <w:pPr>
              <w:numPr>
                <w:ilvl w:val="0"/>
                <w:numId w:val="7"/>
              </w:numPr>
              <w:jc w:val="left"/>
              <w:widowControl/>
              <w:rPr>
                <w:color w:val="auto"/>
              </w:rPr>
            </w:pPr>
            <w:r>
              <w:rPr>
                <w:rFonts w:hint="eastAsia"/>
                <w:color w:val="auto"/>
              </w:rPr>
              <w:t xml:space="preserve">拟派项目负责人45周岁（含）以下，全日制本科及以上学历，具有3年及以上非住宅项目经理管理经验，同时具备以上三个条件的，有1人得1分，本项目最高2分；</w:t>
            </w:r>
            <w:r/>
          </w:p>
          <w:p>
            <w:pPr>
              <w:numPr>
                <w:ilvl w:val="0"/>
                <w:numId w:val="7"/>
              </w:numPr>
              <w:jc w:val="left"/>
              <w:widowControl/>
              <w:rPr>
                <w:color w:val="auto"/>
              </w:rPr>
            </w:pPr>
            <w:r>
              <w:rPr>
                <w:rFonts w:hint="eastAsia"/>
                <w:color w:val="auto"/>
              </w:rPr>
              <w:t xml:space="preserve">拟派保安队长45周岁（含）以下，并且有以下证书其中之一的，有1人得1分，本项最高2分：人社部门颁发的高级（国家职业资格四级）及以上保安员证书、应急管理部消防救援局颁发的中级（国家职业资格四级）及以上消防设施操作员证书、市场监督管理局颁发的特种设备安全管理员证书（项目代号：A）</w:t>
            </w:r>
            <w:r/>
          </w:p>
          <w:p>
            <w:pPr>
              <w:numPr>
                <w:ilvl w:val="0"/>
                <w:numId w:val="7"/>
              </w:numPr>
              <w:jc w:val="left"/>
              <w:widowControl/>
              <w:rPr>
                <w:color w:val="auto"/>
              </w:rPr>
            </w:pPr>
            <w:r>
              <w:rPr>
                <w:rFonts w:hint="eastAsia"/>
                <w:color w:val="auto"/>
              </w:rPr>
              <w:t xml:space="preserve">拟派电工中同时具有高、低压特种作业操作证的，有1人得1分，本项最高2分。</w:t>
            </w:r>
            <w:r>
              <w:rPr>
                <w:rFonts w:hint="eastAsia"/>
                <w:color w:val="auto"/>
              </w:rPr>
              <w:br w:type="textWrapping" w:clear="all"/>
            </w:r>
            <w:r>
              <w:rPr>
                <w:rFonts w:hint="eastAsia"/>
                <w:color w:val="auto"/>
              </w:rPr>
              <w:t xml:space="preserve">注：</w:t>
            </w:r>
            <w:r>
              <w:rPr>
                <w:rFonts w:hint="eastAsia"/>
                <w:color w:val="auto"/>
              </w:rPr>
              <w:br w:type="textWrapping" w:clear="all"/>
            </w:r>
            <w:r>
              <w:rPr>
                <w:rFonts w:hint="eastAsia"/>
                <w:color w:val="auto"/>
              </w:rPr>
              <w:t xml:space="preserve">1.须提供身份证、学历证明、各类证书复印件或电子扫描件等相关佐证材料并加盖投标人公章。</w:t>
            </w:r>
            <w:r/>
          </w:p>
          <w:p>
            <w:pPr>
              <w:jc w:val="left"/>
              <w:widowControl/>
              <w:rPr>
                <w:rFonts w:ascii="宋体" w:hAnsi="宋体" w:cs="宋体"/>
                <w:color w:val="auto"/>
                <w:szCs w:val="21"/>
              </w:rPr>
            </w:pPr>
            <w:r>
              <w:rPr>
                <w:rFonts w:hint="eastAsia"/>
                <w:color w:val="auto"/>
              </w:rPr>
              <w:t xml:space="preserve">2.提供投标单位为其缴纳的开标截止时间前近一个月的养老保险缴费证明。</w:t>
            </w:r>
            <w:r>
              <w:rPr>
                <w:rFonts w:hint="eastAsia"/>
                <w:color w:val="auto"/>
              </w:rPr>
              <w:br w:type="textWrapping" w:clear="all"/>
            </w:r>
            <w:r>
              <w:rPr>
                <w:rFonts w:hint="eastAsia"/>
                <w:color w:val="auto"/>
              </w:rPr>
              <w:t xml:space="preserve">所有资料提供完整得分，提供不全不得分。</w:t>
            </w:r>
            <w:r/>
          </w:p>
        </w:tc>
      </w:tr>
      <w:tr>
        <w:trPr>
          <w:jc w:val="center"/>
        </w:trPr>
        <w:tc>
          <w:tcPr>
            <w:tcW w:w="821" w:type="dxa"/>
            <w:vAlign w:val="center"/>
            <w:textDirection w:val="lrTb"/>
            <w:noWrap w:val="false"/>
          </w:tcPr>
          <w:p>
            <w:pPr>
              <w:ind w:firstLine="221"/>
              <w:rPr>
                <w:rFonts w:ascii="宋体" w:hAnsi="宋体"/>
                <w:b/>
                <w:bCs/>
                <w:color w:val="auto"/>
                <w:sz w:val="22"/>
              </w:rPr>
            </w:pPr>
            <w:r>
              <w:rPr>
                <w:rFonts w:hint="eastAsia" w:ascii="宋体" w:hAnsi="宋体"/>
                <w:b/>
                <w:bCs/>
                <w:color w:val="auto"/>
                <w:sz w:val="22"/>
              </w:rPr>
              <w:t xml:space="preserve">5</w:t>
            </w:r>
            <w:r/>
          </w:p>
        </w:tc>
        <w:tc>
          <w:tcPr>
            <w:tcW w:w="1775" w:type="dxa"/>
            <w:vAlign w:val="center"/>
            <w:textDirection w:val="lrTb"/>
            <w:noWrap w:val="false"/>
          </w:tcPr>
          <w:p>
            <w:pPr>
              <w:jc w:val="center"/>
              <w:widowControl/>
              <w:rPr>
                <w:color w:val="auto"/>
                <w:lang w:val="zh-CN"/>
              </w:rPr>
            </w:pPr>
            <w:r>
              <w:rPr>
                <w:rFonts w:hint="eastAsia" w:ascii="宋体" w:hAnsi="宋体" w:cs="宋体"/>
                <w:color w:val="auto"/>
                <w:szCs w:val="21"/>
                <w:lang w:bidi="ar"/>
              </w:rPr>
              <w:t xml:space="preserve">整体设想与计划</w:t>
            </w:r>
            <w:r/>
          </w:p>
        </w:tc>
        <w:tc>
          <w:tcPr>
            <w:tcW w:w="76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c>
          <w:tcPr>
            <w:tcW w:w="6496" w:type="dxa"/>
            <w:vAlign w:val="center"/>
            <w:textDirection w:val="lrTb"/>
            <w:noWrap w:val="false"/>
          </w:tcPr>
          <w:p>
            <w:pPr>
              <w:jc w:val="left"/>
              <w:widowControl/>
              <w:rPr>
                <w:rFonts w:ascii="宋体" w:hAnsi="宋体" w:cs="宋体"/>
                <w:color w:val="auto"/>
                <w:szCs w:val="21"/>
                <w:lang w:bidi="ar"/>
              </w:rPr>
            </w:pPr>
            <w:r>
              <w:rPr>
                <w:rFonts w:hint="eastAsia" w:ascii="宋体" w:hAnsi="宋体" w:cs="宋体"/>
                <w:color w:val="auto"/>
                <w:szCs w:val="21"/>
                <w:lang w:bidi="ar"/>
              </w:rPr>
              <w:t xml:space="preserve">符合国家及省、市的有关物业管理法规、政策的规定，根据有关物业管理法规、政策及招标文件中的物业管理服务标准，</w:t>
            </w:r>
            <w:r>
              <w:rPr>
                <w:rFonts w:hint="eastAsia"/>
                <w:bCs/>
                <w:color w:val="auto"/>
              </w:rPr>
              <w:t xml:space="preserve">投投标人根据本项目特点及类型提出针对本项目的管理服务设想及规划方案（包括服务定位、服务宗旨、总体目标以及提高物业管理服务水平的整体设想及重难点分析等）。</w:t>
            </w:r>
            <w:r>
              <w:rPr>
                <w:rFonts w:hint="eastAsia" w:ascii="宋体" w:hAnsi="宋体" w:cs="宋体"/>
                <w:color w:val="auto"/>
                <w:szCs w:val="21"/>
                <w:lang w:bidi="ar"/>
              </w:rPr>
              <w:t xml:space="preserve">评委根据方案的优劣打分。</w:t>
            </w:r>
            <w:r/>
          </w:p>
          <w:p>
            <w:pPr>
              <w:numPr>
                <w:ilvl w:val="0"/>
                <w:numId w:val="8"/>
              </w:numPr>
              <w:jc w:val="left"/>
              <w:widowControl/>
              <w:rPr>
                <w:rFonts w:ascii="宋体" w:hAnsi="宋体" w:cs="宋体"/>
                <w:color w:val="auto"/>
                <w:szCs w:val="21"/>
                <w:lang w:bidi="ar"/>
              </w:rPr>
            </w:pPr>
            <w:r>
              <w:rPr>
                <w:rFonts w:hint="eastAsia" w:ascii="宋体" w:hAnsi="宋体" w:cs="宋体"/>
                <w:color w:val="auto"/>
                <w:szCs w:val="21"/>
                <w:lang w:bidi="ar"/>
              </w:rPr>
              <w:t xml:space="preserve">方案详实，贴切实际、实用性强得4分；</w:t>
            </w:r>
            <w:r/>
          </w:p>
          <w:p>
            <w:pPr>
              <w:numPr>
                <w:ilvl w:val="0"/>
                <w:numId w:val="8"/>
              </w:numPr>
              <w:jc w:val="left"/>
              <w:widowControl/>
              <w:rPr>
                <w:rFonts w:ascii="宋体" w:hAnsi="宋体" w:cs="宋体"/>
                <w:color w:val="auto"/>
                <w:szCs w:val="21"/>
                <w:lang w:val="zh-CN" w:bidi="ar"/>
              </w:rPr>
            </w:pPr>
            <w:r>
              <w:rPr>
                <w:rFonts w:hint="eastAsia" w:ascii="宋体" w:hAnsi="宋体" w:cs="宋体"/>
                <w:color w:val="auto"/>
                <w:szCs w:val="21"/>
                <w:lang w:bidi="ar"/>
              </w:rPr>
              <w:t xml:space="preserve">方案较详实，较贴切实际、实用性较强得2分；</w:t>
            </w:r>
            <w:r/>
          </w:p>
          <w:p>
            <w:pPr>
              <w:numPr>
                <w:ilvl w:val="0"/>
                <w:numId w:val="8"/>
              </w:numPr>
              <w:jc w:val="left"/>
              <w:widowControl/>
              <w:rPr>
                <w:rFonts w:ascii="宋体" w:hAnsi="宋体" w:cs="宋体"/>
                <w:color w:val="auto"/>
                <w:szCs w:val="21"/>
                <w:lang w:val="zh-CN" w:bidi="ar"/>
              </w:rPr>
            </w:pPr>
            <w:r>
              <w:rPr>
                <w:rFonts w:hint="eastAsia" w:ascii="宋体" w:hAnsi="宋体" w:cs="宋体"/>
                <w:color w:val="auto"/>
                <w:szCs w:val="21"/>
                <w:lang w:bidi="ar"/>
              </w:rPr>
              <w:t xml:space="preserve">方案不尽详实，一般贴切实际、实用性不太强得1分；</w:t>
            </w:r>
            <w:r/>
          </w:p>
          <w:p>
            <w:pPr>
              <w:numPr>
                <w:ilvl w:val="0"/>
                <w:numId w:val="8"/>
              </w:numPr>
              <w:jc w:val="left"/>
              <w:widowControl/>
              <w:rPr>
                <w:rFonts w:ascii="宋体" w:hAnsi="宋体" w:cs="宋体"/>
                <w:color w:val="auto"/>
                <w:szCs w:val="21"/>
                <w:lang w:val="zh-CN" w:bidi="ar"/>
              </w:rPr>
            </w:pPr>
            <w:r>
              <w:rPr>
                <w:rFonts w:hint="eastAsia" w:ascii="宋体" w:hAnsi="宋体" w:cs="宋体"/>
                <w:color w:val="auto"/>
                <w:szCs w:val="21"/>
                <w:lang w:bidi="ar"/>
              </w:rPr>
              <w:t xml:space="preserve">方案与本项目无关，不贴切实际，无实用性或未提供的得0分。</w:t>
            </w:r>
            <w:r/>
          </w:p>
        </w:tc>
      </w:tr>
      <w:tr>
        <w:trPr>
          <w:jc w:val="center"/>
          <w:trHeight w:val="2510"/>
        </w:trPr>
        <w:tc>
          <w:tcPr>
            <w:tcW w:w="821" w:type="dxa"/>
            <w:vAlign w:val="center"/>
            <w:textDirection w:val="lrTb"/>
            <w:noWrap w:val="false"/>
          </w:tcPr>
          <w:p>
            <w:pPr>
              <w:ind w:firstLine="221"/>
              <w:rPr>
                <w:rFonts w:ascii="宋体" w:hAnsi="宋体"/>
                <w:b/>
                <w:bCs/>
                <w:color w:val="auto"/>
                <w:sz w:val="22"/>
              </w:rPr>
            </w:pPr>
            <w:r>
              <w:rPr>
                <w:rFonts w:hint="eastAsia" w:ascii="宋体" w:hAnsi="宋体"/>
                <w:b/>
                <w:bCs/>
                <w:color w:val="auto"/>
                <w:sz w:val="22"/>
              </w:rPr>
              <w:t xml:space="preserve">6</w:t>
            </w:r>
            <w:r/>
          </w:p>
        </w:tc>
        <w:tc>
          <w:tcPr>
            <w:tcW w:w="1775" w:type="dxa"/>
            <w:vAlign w:val="center"/>
            <w:textDirection w:val="lrTb"/>
            <w:noWrap w:val="false"/>
          </w:tcPr>
          <w:p>
            <w:pPr>
              <w:pStyle w:val="991"/>
              <w:ind w:left="0" w:firstLine="210"/>
              <w:spacing w:line="240" w:lineRule="auto"/>
              <w:rPr>
                <w:color w:val="auto"/>
              </w:rPr>
            </w:pPr>
            <w:r>
              <w:rPr>
                <w:rFonts w:hint="eastAsia"/>
                <w:bCs/>
                <w:color w:val="auto"/>
              </w:rPr>
              <w:t xml:space="preserve">员工培训、管理与考核方案</w:t>
            </w:r>
            <w:r/>
          </w:p>
        </w:tc>
        <w:tc>
          <w:tcPr>
            <w:tcW w:w="76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c>
          <w:tcPr>
            <w:tcW w:w="6496" w:type="dxa"/>
            <w:vAlign w:val="center"/>
            <w:textDirection w:val="lrTb"/>
            <w:noWrap w:val="false"/>
          </w:tcPr>
          <w:p>
            <w:pPr>
              <w:jc w:val="left"/>
              <w:widowControl/>
              <w:rPr>
                <w:bCs/>
                <w:color w:val="auto"/>
              </w:rPr>
            </w:pPr>
            <w:r>
              <w:rPr>
                <w:rFonts w:hint="eastAsia"/>
                <w:bCs/>
                <w:color w:val="auto"/>
              </w:rPr>
              <w:t xml:space="preserve">投标人根据采购项目需求，制定员工培训、管理与考核方案（包括培训制度、培训大纲、培训计划、人员管理相关方案等）。</w:t>
            </w:r>
            <w:r/>
          </w:p>
          <w:p>
            <w:pPr>
              <w:jc w:val="left"/>
              <w:widowControl/>
              <w:rPr>
                <w:bCs/>
                <w:color w:val="auto"/>
              </w:rPr>
            </w:pPr>
            <w:r>
              <w:rPr>
                <w:rFonts w:hint="eastAsia"/>
                <w:bCs/>
                <w:color w:val="auto"/>
              </w:rPr>
              <w:t xml:space="preserve">(1）培训制度全面详细、计划合理、人员管理方案全面详细，可操作性强的得4分。</w:t>
            </w:r>
            <w:r/>
          </w:p>
          <w:p>
            <w:pPr>
              <w:jc w:val="left"/>
              <w:widowControl/>
              <w:rPr>
                <w:bCs/>
                <w:color w:val="auto"/>
              </w:rPr>
            </w:pPr>
            <w:r>
              <w:rPr>
                <w:rFonts w:hint="eastAsia"/>
                <w:bCs/>
                <w:color w:val="auto"/>
              </w:rPr>
              <w:t xml:space="preserve">(2）培训制度简单、计划粗糙、人员管理方案制度简单，可操作性不全面的得2分。</w:t>
            </w:r>
            <w:r/>
          </w:p>
          <w:p>
            <w:pPr>
              <w:jc w:val="left"/>
              <w:widowControl/>
              <w:rPr>
                <w:bCs/>
                <w:color w:val="auto"/>
              </w:rPr>
            </w:pPr>
            <w:r>
              <w:rPr>
                <w:rFonts w:hint="eastAsia"/>
                <w:bCs/>
                <w:color w:val="auto"/>
              </w:rPr>
              <w:t xml:space="preserve">(3）培训制度不健全、计划不合理、人员管理方案制度与本项目不够契合，可操作性差的得1分。</w:t>
            </w:r>
            <w:r/>
          </w:p>
          <w:p>
            <w:pPr>
              <w:jc w:val="left"/>
              <w:widowControl/>
              <w:rPr>
                <w:rFonts w:ascii="宋体" w:hAnsi="宋体" w:cs="宋体"/>
                <w:color w:val="auto"/>
                <w:szCs w:val="21"/>
                <w:lang w:bidi="ar"/>
              </w:rPr>
            </w:pPr>
            <w:r>
              <w:rPr>
                <w:rFonts w:hint="eastAsia"/>
                <w:bCs/>
                <w:color w:val="auto"/>
              </w:rPr>
              <w:t xml:space="preserve">(4）未提供相关</w:t>
            </w:r>
            <w:r>
              <w:rPr>
                <w:rFonts w:hint="eastAsia"/>
                <w:bCs/>
                <w:color w:val="auto"/>
              </w:rPr>
              <w:t xml:space="preserve">内容</w:t>
            </w:r>
            <w:r>
              <w:rPr>
                <w:rFonts w:hint="eastAsia"/>
                <w:bCs/>
                <w:color w:val="auto"/>
              </w:rPr>
              <w:t xml:space="preserve">的不得分。</w:t>
            </w:r>
            <w:r/>
          </w:p>
        </w:tc>
      </w:tr>
      <w:tr>
        <w:trPr>
          <w:jc w:val="center"/>
        </w:trPr>
        <w:tc>
          <w:tcPr>
            <w:tcW w:w="821" w:type="dxa"/>
            <w:vAlign w:val="center"/>
            <w:textDirection w:val="lrTb"/>
            <w:noWrap w:val="false"/>
          </w:tcPr>
          <w:p>
            <w:pPr>
              <w:ind w:firstLine="221"/>
              <w:rPr>
                <w:rFonts w:ascii="宋体" w:hAnsi="宋体"/>
                <w:b/>
                <w:bCs/>
                <w:color w:val="auto"/>
                <w:sz w:val="22"/>
                <w:lang w:val="zh-CN"/>
              </w:rPr>
            </w:pPr>
            <w:r>
              <w:rPr>
                <w:rFonts w:hint="eastAsia" w:ascii="宋体" w:hAnsi="宋体"/>
                <w:b/>
                <w:bCs/>
                <w:color w:val="auto"/>
                <w:sz w:val="22"/>
              </w:rPr>
              <w:t xml:space="preserve">7</w:t>
            </w:r>
            <w:r/>
          </w:p>
        </w:tc>
        <w:tc>
          <w:tcPr>
            <w:tcW w:w="1775" w:type="dxa"/>
            <w:vAlign w:val="center"/>
            <w:textDirection w:val="lrTb"/>
            <w:noWrap w:val="false"/>
          </w:tcPr>
          <w:p>
            <w:pPr>
              <w:jc w:val="center"/>
              <w:widowControl/>
              <w:rPr>
                <w:rFonts w:ascii="宋体" w:hAnsi="宋体" w:cs="宋体"/>
                <w:color w:val="auto"/>
                <w:szCs w:val="21"/>
                <w:lang w:bidi="ar"/>
              </w:rPr>
            </w:pPr>
            <w:r>
              <w:rPr>
                <w:rFonts w:hint="eastAsia"/>
                <w:bCs/>
                <w:color w:val="auto"/>
              </w:rPr>
              <w:t xml:space="preserve">保安服务方案</w:t>
            </w:r>
            <w:r/>
          </w:p>
        </w:tc>
        <w:tc>
          <w:tcPr>
            <w:tcW w:w="76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c>
          <w:tcPr>
            <w:tcW w:w="6496" w:type="dxa"/>
            <w:vAlign w:val="center"/>
            <w:textDirection w:val="lrTb"/>
            <w:noWrap w:val="false"/>
          </w:tcPr>
          <w:p>
            <w:pPr>
              <w:jc w:val="left"/>
              <w:widowControl/>
              <w:rPr>
                <w:bCs/>
                <w:color w:val="auto"/>
              </w:rPr>
            </w:pPr>
            <w:r>
              <w:rPr>
                <w:rFonts w:hint="eastAsia"/>
                <w:bCs/>
                <w:color w:val="auto"/>
              </w:rPr>
              <w:t xml:space="preserve">投标人根据采购项目需求，制定保安管理服务方案。</w:t>
            </w:r>
            <w:r/>
          </w:p>
          <w:p>
            <w:pPr>
              <w:jc w:val="left"/>
              <w:widowControl/>
              <w:rPr>
                <w:bCs/>
                <w:color w:val="auto"/>
              </w:rPr>
            </w:pPr>
            <w:r>
              <w:rPr>
                <w:rFonts w:hint="eastAsia"/>
                <w:bCs/>
                <w:color w:val="auto"/>
              </w:rPr>
              <w:t xml:space="preserve">(1）具有健全的管理制度，完善的保安全管理方案，规范的作业标准，服务保障措施可操作性合理的得4分。</w:t>
            </w:r>
            <w:r/>
          </w:p>
          <w:p>
            <w:pPr>
              <w:jc w:val="left"/>
              <w:widowControl/>
              <w:rPr>
                <w:bCs/>
                <w:color w:val="auto"/>
              </w:rPr>
            </w:pPr>
            <w:r>
              <w:rPr>
                <w:rFonts w:hint="eastAsia"/>
                <w:bCs/>
                <w:color w:val="auto"/>
              </w:rPr>
              <w:t xml:space="preserve">(2）管理制度、保安方案简单，作业标准不统一，服务保障措施可操作性不全面的得2分。</w:t>
            </w:r>
            <w:r/>
          </w:p>
          <w:p>
            <w:pPr>
              <w:jc w:val="left"/>
              <w:widowControl/>
              <w:rPr>
                <w:bCs/>
                <w:color w:val="auto"/>
              </w:rPr>
            </w:pPr>
            <w:r>
              <w:rPr>
                <w:rFonts w:hint="eastAsia"/>
                <w:bCs/>
                <w:color w:val="auto"/>
              </w:rPr>
              <w:t xml:space="preserve">(3）管理制度、保安方案不合理，作业标准无法落实，服务保障措施可操作性差的得1分。</w:t>
            </w:r>
            <w:r/>
          </w:p>
          <w:p>
            <w:pPr>
              <w:jc w:val="left"/>
              <w:widowControl/>
              <w:rPr>
                <w:rFonts w:ascii="宋体" w:hAnsi="宋体" w:cs="宋体"/>
                <w:color w:val="auto"/>
                <w:szCs w:val="21"/>
                <w:lang w:bidi="ar"/>
              </w:rPr>
            </w:pPr>
            <w:r>
              <w:rPr>
                <w:rFonts w:hint="eastAsia"/>
                <w:bCs/>
                <w:color w:val="auto"/>
              </w:rPr>
              <w:t xml:space="preserve">(4）未提供相关内容的不得分。</w:t>
            </w:r>
            <w:r/>
          </w:p>
        </w:tc>
      </w:tr>
      <w:tr>
        <w:trPr>
          <w:jc w:val="center"/>
        </w:trPr>
        <w:tc>
          <w:tcPr>
            <w:tcW w:w="821" w:type="dxa"/>
            <w:vAlign w:val="center"/>
            <w:textDirection w:val="lrTb"/>
            <w:noWrap w:val="false"/>
          </w:tcPr>
          <w:p>
            <w:pPr>
              <w:ind w:firstLine="221"/>
              <w:rPr>
                <w:rFonts w:ascii="宋体" w:hAnsi="宋体"/>
                <w:b/>
                <w:bCs/>
                <w:color w:val="auto"/>
                <w:sz w:val="22"/>
              </w:rPr>
            </w:pPr>
            <w:r>
              <w:rPr>
                <w:rFonts w:hint="eastAsia" w:ascii="宋体" w:hAnsi="宋体"/>
                <w:b/>
                <w:bCs/>
                <w:color w:val="auto"/>
                <w:sz w:val="22"/>
              </w:rPr>
              <w:t xml:space="preserve">8</w:t>
            </w:r>
            <w:r/>
          </w:p>
        </w:tc>
        <w:tc>
          <w:tcPr>
            <w:tcW w:w="1775" w:type="dxa"/>
            <w:vAlign w:val="center"/>
            <w:textDirection w:val="lrTb"/>
            <w:noWrap w:val="false"/>
          </w:tcPr>
          <w:p>
            <w:pPr>
              <w:jc w:val="center"/>
              <w:widowControl/>
              <w:rPr>
                <w:rFonts w:ascii="宋体" w:hAnsi="宋体" w:cs="宋体"/>
                <w:color w:val="auto"/>
                <w:szCs w:val="21"/>
                <w:lang w:bidi="ar"/>
              </w:rPr>
            </w:pPr>
            <w:r>
              <w:rPr>
                <w:rFonts w:hint="eastAsia"/>
                <w:bCs/>
                <w:color w:val="auto"/>
              </w:rPr>
              <w:t xml:space="preserve">保洁服务方案</w:t>
            </w:r>
            <w:r/>
          </w:p>
        </w:tc>
        <w:tc>
          <w:tcPr>
            <w:tcW w:w="76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c>
          <w:tcPr>
            <w:tcW w:w="6496" w:type="dxa"/>
            <w:vAlign w:val="center"/>
            <w:textDirection w:val="lrTb"/>
            <w:noWrap w:val="false"/>
          </w:tcPr>
          <w:p>
            <w:pPr>
              <w:jc w:val="left"/>
              <w:widowControl/>
              <w:rPr>
                <w:bCs/>
                <w:color w:val="auto"/>
              </w:rPr>
            </w:pPr>
            <w:r>
              <w:rPr>
                <w:rFonts w:hint="eastAsia"/>
                <w:bCs/>
                <w:color w:val="auto"/>
              </w:rPr>
              <w:t xml:space="preserve">投标人根据采购项目需求，制定保洁服务方案</w:t>
            </w:r>
            <w:r/>
          </w:p>
          <w:p>
            <w:pPr>
              <w:numPr>
                <w:ilvl w:val="0"/>
                <w:numId w:val="9"/>
              </w:numPr>
              <w:jc w:val="left"/>
              <w:widowControl/>
              <w:rPr>
                <w:bCs/>
                <w:color w:val="auto"/>
              </w:rPr>
            </w:pPr>
            <w:r>
              <w:rPr>
                <w:rFonts w:hint="eastAsia"/>
                <w:bCs/>
                <w:color w:val="auto"/>
              </w:rPr>
              <w:t xml:space="preserve">具有健全的管理制度，完善的保洁方案，规范的作业标准，服务保障措施可操作性合理的得4分。</w:t>
            </w:r>
            <w:r/>
          </w:p>
          <w:p>
            <w:pPr>
              <w:jc w:val="left"/>
              <w:widowControl/>
              <w:rPr>
                <w:bCs/>
                <w:color w:val="auto"/>
              </w:rPr>
            </w:pPr>
            <w:r>
              <w:rPr>
                <w:rFonts w:hint="eastAsia"/>
                <w:bCs/>
                <w:color w:val="auto"/>
              </w:rPr>
              <w:t xml:space="preserve">(2）管理制度、保洁方案简单，作业标准不统一，服务保障措施可操作性不全面的得2分。</w:t>
            </w:r>
            <w:r/>
          </w:p>
          <w:p>
            <w:pPr>
              <w:jc w:val="left"/>
              <w:widowControl/>
              <w:rPr>
                <w:bCs/>
                <w:color w:val="auto"/>
              </w:rPr>
            </w:pPr>
            <w:r>
              <w:rPr>
                <w:rFonts w:hint="eastAsia"/>
                <w:bCs/>
                <w:color w:val="auto"/>
              </w:rPr>
              <w:t xml:space="preserve">(3）管理制度、保洁方案不合理，作业标准无法落实，服务保障措施可操作性差的得1分。</w:t>
            </w:r>
            <w:r/>
          </w:p>
          <w:p>
            <w:pPr>
              <w:jc w:val="left"/>
              <w:widowControl/>
              <w:rPr>
                <w:rFonts w:ascii="宋体" w:hAnsi="宋体" w:cs="宋体"/>
                <w:color w:val="auto"/>
                <w:szCs w:val="21"/>
                <w:lang w:bidi="ar"/>
              </w:rPr>
            </w:pPr>
            <w:r>
              <w:rPr>
                <w:rFonts w:hint="eastAsia"/>
                <w:bCs/>
                <w:color w:val="auto"/>
              </w:rPr>
              <w:t xml:space="preserve">(4）未提供相关内容的不得分。</w:t>
            </w:r>
            <w:r/>
          </w:p>
        </w:tc>
      </w:tr>
      <w:tr>
        <w:trPr>
          <w:jc w:val="center"/>
        </w:trPr>
        <w:tc>
          <w:tcPr>
            <w:tcW w:w="821" w:type="dxa"/>
            <w:vAlign w:val="center"/>
            <w:textDirection w:val="lrTb"/>
            <w:noWrap w:val="false"/>
          </w:tcPr>
          <w:p>
            <w:pPr>
              <w:ind w:firstLine="221"/>
              <w:rPr>
                <w:rFonts w:ascii="宋体" w:hAnsi="宋体"/>
                <w:b/>
                <w:bCs/>
                <w:color w:val="auto"/>
                <w:sz w:val="22"/>
              </w:rPr>
            </w:pPr>
            <w:r>
              <w:rPr>
                <w:rFonts w:hint="eastAsia" w:ascii="宋体" w:hAnsi="宋体"/>
                <w:b/>
                <w:bCs/>
                <w:color w:val="auto"/>
                <w:sz w:val="22"/>
              </w:rPr>
              <w:t xml:space="preserve">9</w:t>
            </w:r>
            <w:r/>
          </w:p>
        </w:tc>
        <w:tc>
          <w:tcPr>
            <w:tcW w:w="1775" w:type="dxa"/>
            <w:vAlign w:val="center"/>
            <w:textDirection w:val="lrTb"/>
            <w:noWrap w:val="false"/>
          </w:tcPr>
          <w:p>
            <w:pPr>
              <w:jc w:val="center"/>
              <w:widowControl/>
              <w:rPr>
                <w:rFonts w:ascii="宋体" w:hAnsi="宋体" w:cs="宋体"/>
                <w:color w:val="auto"/>
                <w:szCs w:val="21"/>
                <w:lang w:bidi="ar"/>
              </w:rPr>
            </w:pPr>
            <w:r>
              <w:rPr>
                <w:rFonts w:hint="eastAsia"/>
                <w:bCs/>
                <w:color w:val="auto"/>
              </w:rPr>
              <w:t xml:space="preserve">会务管理服务方案</w:t>
            </w:r>
            <w:r/>
          </w:p>
        </w:tc>
        <w:tc>
          <w:tcPr>
            <w:tcW w:w="76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W w:w="6496" w:type="dxa"/>
            <w:vAlign w:val="center"/>
            <w:textDirection w:val="lrTb"/>
            <w:noWrap w:val="false"/>
          </w:tcPr>
          <w:p>
            <w:pPr>
              <w:jc w:val="left"/>
              <w:widowControl/>
              <w:rPr>
                <w:bCs/>
                <w:color w:val="auto"/>
              </w:rPr>
            </w:pPr>
            <w:r>
              <w:rPr>
                <w:rFonts w:hint="eastAsia"/>
                <w:bCs/>
                <w:color w:val="auto"/>
              </w:rPr>
              <w:t xml:space="preserve">投标人根据采购项目需求，制定会务管理服务方案。</w:t>
            </w:r>
            <w:r/>
          </w:p>
          <w:p>
            <w:pPr>
              <w:jc w:val="left"/>
              <w:widowControl/>
              <w:rPr>
                <w:bCs/>
                <w:color w:val="auto"/>
              </w:rPr>
            </w:pPr>
            <w:r>
              <w:rPr>
                <w:rFonts w:hint="eastAsia"/>
                <w:bCs/>
                <w:color w:val="auto"/>
              </w:rPr>
              <w:t xml:space="preserve">(1）具有健全的管理制度，完善的会务管理服务方案，规范的作业标准，服务保障措施可操作性合理的得3分。</w:t>
            </w:r>
            <w:r/>
          </w:p>
          <w:p>
            <w:pPr>
              <w:jc w:val="left"/>
              <w:widowControl/>
              <w:rPr>
                <w:bCs/>
                <w:color w:val="auto"/>
              </w:rPr>
            </w:pPr>
            <w:r>
              <w:rPr>
                <w:rFonts w:hint="eastAsia"/>
                <w:bCs/>
                <w:color w:val="auto"/>
              </w:rPr>
              <w:t xml:space="preserve">(2）管理制度、会务管理服务方案简单，作业标准不统一，服务保障措施可操作性不全面的得2分。</w:t>
            </w:r>
            <w:r/>
          </w:p>
          <w:p>
            <w:pPr>
              <w:jc w:val="left"/>
              <w:widowControl/>
              <w:rPr>
                <w:bCs/>
                <w:color w:val="auto"/>
              </w:rPr>
            </w:pPr>
            <w:r>
              <w:rPr>
                <w:rFonts w:hint="eastAsia"/>
                <w:bCs/>
                <w:color w:val="auto"/>
              </w:rPr>
              <w:t xml:space="preserve">(3）管理制度、会务管理服务方案不合理，作业标准无法落实，服务保障措施可操作性差得1分。</w:t>
            </w:r>
            <w:r/>
          </w:p>
          <w:p>
            <w:pPr>
              <w:jc w:val="left"/>
              <w:widowControl/>
              <w:rPr>
                <w:rFonts w:ascii="宋体" w:hAnsi="宋体" w:cs="宋体"/>
                <w:color w:val="auto"/>
                <w:szCs w:val="21"/>
                <w:lang w:bidi="ar"/>
              </w:rPr>
            </w:pPr>
            <w:r>
              <w:rPr>
                <w:rFonts w:hint="eastAsia"/>
                <w:bCs/>
                <w:color w:val="auto"/>
              </w:rPr>
              <w:t xml:space="preserve">(4）未提供相关内容的不得分。</w:t>
            </w:r>
            <w:r/>
          </w:p>
        </w:tc>
      </w:tr>
      <w:tr>
        <w:trPr>
          <w:jc w:val="center"/>
        </w:trPr>
        <w:tc>
          <w:tcPr>
            <w:tcW w:w="821" w:type="dxa"/>
            <w:vAlign w:val="center"/>
            <w:textDirection w:val="lrTb"/>
            <w:noWrap w:val="false"/>
          </w:tcPr>
          <w:p>
            <w:pPr>
              <w:ind w:firstLine="221"/>
              <w:rPr>
                <w:rFonts w:ascii="宋体" w:hAnsi="宋体"/>
                <w:b/>
                <w:bCs/>
                <w:color w:val="auto"/>
                <w:sz w:val="22"/>
              </w:rPr>
            </w:pPr>
            <w:r>
              <w:rPr>
                <w:rFonts w:hint="eastAsia" w:ascii="宋体" w:hAnsi="宋体"/>
                <w:b/>
                <w:bCs/>
                <w:color w:val="auto"/>
                <w:sz w:val="22"/>
              </w:rPr>
              <w:t xml:space="preserve">10</w:t>
            </w:r>
            <w:r/>
          </w:p>
        </w:tc>
        <w:tc>
          <w:tcPr>
            <w:tcW w:w="1775" w:type="dxa"/>
            <w:vAlign w:val="center"/>
            <w:textDirection w:val="lrTb"/>
            <w:noWrap w:val="false"/>
          </w:tcPr>
          <w:p>
            <w:pPr>
              <w:jc w:val="center"/>
              <w:rPr>
                <w:rFonts w:ascii="宋体" w:hAnsi="宋体"/>
                <w:color w:val="auto"/>
                <w:szCs w:val="21"/>
                <w:lang w:val="zh-CN"/>
              </w:rPr>
            </w:pPr>
            <w:r>
              <w:rPr>
                <w:rFonts w:hint="eastAsia"/>
                <w:bCs/>
                <w:color w:val="auto"/>
              </w:rPr>
              <w:t xml:space="preserve">食堂管理服务方案</w:t>
            </w:r>
            <w:r/>
          </w:p>
        </w:tc>
        <w:tc>
          <w:tcPr>
            <w:tcW w:w="76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W w:w="6496" w:type="dxa"/>
            <w:textDirection w:val="lrTb"/>
            <w:noWrap w:val="false"/>
          </w:tcPr>
          <w:p>
            <w:pPr>
              <w:jc w:val="left"/>
              <w:widowControl/>
              <w:rPr>
                <w:bCs/>
                <w:color w:val="auto"/>
              </w:rPr>
            </w:pPr>
            <w:r>
              <w:rPr>
                <w:rFonts w:hint="eastAsia"/>
                <w:bCs/>
                <w:color w:val="auto"/>
              </w:rPr>
              <w:t xml:space="preserve">投标人根据采购项目需求，制定食堂管理服务方案。</w:t>
            </w:r>
            <w:r/>
          </w:p>
          <w:p>
            <w:pPr>
              <w:jc w:val="left"/>
              <w:widowControl/>
              <w:rPr>
                <w:bCs/>
                <w:color w:val="auto"/>
              </w:rPr>
            </w:pPr>
            <w:r>
              <w:rPr>
                <w:rFonts w:hint="eastAsia"/>
                <w:bCs/>
                <w:color w:val="auto"/>
              </w:rPr>
              <w:t xml:space="preserve">1）具有健全的管理制度，完善的食堂管理服务方案，规范的作业标准，服务保障措施可操作性合理的得3分。</w:t>
            </w:r>
            <w:r/>
          </w:p>
          <w:p>
            <w:pPr>
              <w:jc w:val="left"/>
              <w:widowControl/>
              <w:rPr>
                <w:bCs/>
                <w:color w:val="auto"/>
              </w:rPr>
            </w:pPr>
            <w:r>
              <w:rPr>
                <w:rFonts w:hint="eastAsia"/>
                <w:bCs/>
                <w:color w:val="auto"/>
              </w:rPr>
              <w:t xml:space="preserve">(2）管理制度、食堂管理服务方案简单，作业标准不统一，服务保障措施可操作性不全面的得2分。</w:t>
            </w:r>
            <w:r/>
          </w:p>
          <w:p>
            <w:pPr>
              <w:jc w:val="left"/>
              <w:widowControl/>
              <w:rPr>
                <w:bCs/>
                <w:color w:val="auto"/>
              </w:rPr>
            </w:pPr>
            <w:r>
              <w:rPr>
                <w:rFonts w:hint="eastAsia"/>
                <w:bCs/>
                <w:color w:val="auto"/>
              </w:rPr>
              <w:t xml:space="preserve">(3）管理制度、食堂管理服务方案不合理，作业标准无法落实，服务保障措施可操作性差得1分。</w:t>
            </w:r>
            <w:r/>
          </w:p>
          <w:p>
            <w:pPr>
              <w:jc w:val="left"/>
              <w:widowControl/>
              <w:rPr>
                <w:rFonts w:ascii="宋体" w:hAnsi="宋体" w:cs="宋体"/>
                <w:color w:val="auto"/>
                <w:szCs w:val="21"/>
                <w:lang w:bidi="ar"/>
              </w:rPr>
            </w:pPr>
            <w:r>
              <w:rPr>
                <w:rFonts w:hint="eastAsia"/>
                <w:bCs/>
                <w:color w:val="auto"/>
              </w:rPr>
              <w:t xml:space="preserve">(4）未提供相关内容的不得分。</w:t>
            </w:r>
            <w:r/>
          </w:p>
        </w:tc>
      </w:tr>
      <w:tr>
        <w:trPr>
          <w:jc w:val="center"/>
        </w:trPr>
        <w:tc>
          <w:tcPr>
            <w:tcW w:w="821" w:type="dxa"/>
            <w:vAlign w:val="center"/>
            <w:textDirection w:val="lrTb"/>
            <w:noWrap w:val="false"/>
          </w:tcPr>
          <w:p>
            <w:pPr>
              <w:ind w:firstLine="221"/>
              <w:rPr>
                <w:rFonts w:ascii="宋体" w:hAnsi="宋体"/>
                <w:b/>
                <w:bCs/>
                <w:color w:val="auto"/>
                <w:sz w:val="22"/>
              </w:rPr>
            </w:pPr>
            <w:r>
              <w:rPr>
                <w:rFonts w:hint="eastAsia" w:ascii="宋体" w:hAnsi="宋体"/>
                <w:b/>
                <w:bCs/>
                <w:color w:val="auto"/>
                <w:sz w:val="22"/>
              </w:rPr>
              <w:t xml:space="preserve">11</w:t>
            </w:r>
            <w:r/>
          </w:p>
        </w:tc>
        <w:tc>
          <w:tcPr>
            <w:tcW w:w="1775" w:type="dxa"/>
            <w:vAlign w:val="center"/>
            <w:textDirection w:val="lrTb"/>
            <w:noWrap w:val="false"/>
          </w:tcPr>
          <w:p>
            <w:pPr>
              <w:jc w:val="center"/>
              <w:rPr>
                <w:rFonts w:ascii="宋体" w:hAnsi="宋体"/>
                <w:color w:val="auto"/>
                <w:szCs w:val="21"/>
              </w:rPr>
            </w:pPr>
            <w:r>
              <w:rPr>
                <w:rFonts w:hint="eastAsia"/>
                <w:bCs/>
                <w:color w:val="auto"/>
              </w:rPr>
              <w:t xml:space="preserve">设施设备日常运行操作、监测、报修服务方案</w:t>
            </w:r>
            <w:r/>
          </w:p>
        </w:tc>
        <w:tc>
          <w:tcPr>
            <w:tcW w:w="76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W w:w="6496" w:type="dxa"/>
            <w:textDirection w:val="lrTb"/>
            <w:noWrap w:val="false"/>
          </w:tcPr>
          <w:p>
            <w:pPr>
              <w:jc w:val="left"/>
              <w:widowControl/>
              <w:rPr>
                <w:bCs/>
                <w:color w:val="auto"/>
              </w:rPr>
            </w:pPr>
            <w:r>
              <w:rPr>
                <w:rFonts w:hint="eastAsia"/>
                <w:bCs/>
                <w:color w:val="auto"/>
              </w:rPr>
              <w:t xml:space="preserve">投标人根据采购项目需求，制定设施设备日常运行操作、监测、报修维修服务方案。</w:t>
            </w:r>
            <w:r/>
          </w:p>
          <w:p>
            <w:pPr>
              <w:jc w:val="left"/>
              <w:widowControl/>
              <w:rPr>
                <w:bCs/>
                <w:color w:val="auto"/>
              </w:rPr>
            </w:pPr>
            <w:r>
              <w:rPr>
                <w:rFonts w:hint="eastAsia"/>
                <w:bCs/>
                <w:color w:val="auto"/>
              </w:rPr>
              <w:t xml:space="preserve">(1）具有健全的管理制度，有详细的维修养护方案、维设施设修保养计划针对性强得3分。</w:t>
            </w:r>
            <w:r/>
          </w:p>
          <w:p>
            <w:pPr>
              <w:jc w:val="left"/>
              <w:widowControl/>
              <w:rPr>
                <w:bCs/>
                <w:color w:val="auto"/>
              </w:rPr>
            </w:pPr>
            <w:r>
              <w:rPr>
                <w:rFonts w:hint="eastAsia"/>
                <w:bCs/>
                <w:color w:val="auto"/>
              </w:rPr>
              <w:t xml:space="preserve">(2）管理制度、维修养护方案简单，维修保养计划定针对性不全面的得2分。</w:t>
            </w:r>
            <w:r/>
          </w:p>
          <w:p>
            <w:pPr>
              <w:jc w:val="left"/>
              <w:widowControl/>
              <w:rPr>
                <w:bCs/>
                <w:color w:val="auto"/>
              </w:rPr>
            </w:pPr>
            <w:r>
              <w:rPr>
                <w:rFonts w:hint="eastAsia"/>
                <w:bCs/>
                <w:color w:val="auto"/>
              </w:rPr>
              <w:t xml:space="preserve">(3）管理制度、维修养护方案不合理，服务内容，维修保养计划可操作性差的得1分。</w:t>
            </w:r>
            <w:r/>
          </w:p>
          <w:p>
            <w:pPr>
              <w:jc w:val="left"/>
              <w:widowControl/>
              <w:rPr>
                <w:rFonts w:ascii="宋体" w:hAnsi="宋体" w:cs="宋体"/>
                <w:color w:val="auto"/>
                <w:szCs w:val="21"/>
                <w:lang w:bidi="ar"/>
              </w:rPr>
            </w:pPr>
            <w:r>
              <w:rPr>
                <w:rFonts w:hint="eastAsia"/>
                <w:bCs/>
                <w:color w:val="auto"/>
              </w:rPr>
              <w:t xml:space="preserve">(4）未提供相关内容的不得分。</w:t>
            </w:r>
            <w:r/>
          </w:p>
        </w:tc>
      </w:tr>
      <w:tr>
        <w:trPr>
          <w:jc w:val="center"/>
        </w:trPr>
        <w:tc>
          <w:tcPr>
            <w:tcW w:w="821" w:type="dxa"/>
            <w:vAlign w:val="center"/>
            <w:textDirection w:val="lrTb"/>
            <w:noWrap w:val="false"/>
          </w:tcPr>
          <w:p>
            <w:pPr>
              <w:ind w:firstLine="221"/>
              <w:rPr>
                <w:rFonts w:ascii="宋体" w:hAnsi="宋体"/>
                <w:b/>
                <w:bCs/>
                <w:color w:val="auto"/>
                <w:sz w:val="22"/>
              </w:rPr>
            </w:pPr>
            <w:r>
              <w:rPr>
                <w:rFonts w:hint="eastAsia" w:ascii="宋体" w:hAnsi="宋体"/>
                <w:b/>
                <w:bCs/>
                <w:color w:val="auto"/>
                <w:sz w:val="22"/>
              </w:rPr>
              <w:t xml:space="preserve">12</w:t>
            </w:r>
            <w:r/>
          </w:p>
        </w:tc>
        <w:tc>
          <w:tcPr>
            <w:tcW w:w="1775" w:type="dxa"/>
            <w:vAlign w:val="center"/>
            <w:textDirection w:val="lrTb"/>
            <w:noWrap w:val="false"/>
          </w:tcPr>
          <w:p>
            <w:pPr>
              <w:jc w:val="center"/>
              <w:widowControl/>
              <w:rPr>
                <w:rFonts w:ascii="宋体" w:hAnsi="宋体" w:cs="宋体"/>
                <w:color w:val="auto"/>
                <w:szCs w:val="21"/>
                <w:lang w:val="zh-CN" w:bidi="ar"/>
              </w:rPr>
            </w:pPr>
            <w:r>
              <w:rPr>
                <w:rFonts w:hint="eastAsia" w:ascii="宋体" w:hAnsi="宋体" w:cs="宋体"/>
                <w:color w:val="auto"/>
                <w:szCs w:val="21"/>
                <w:lang w:bidi="ar"/>
              </w:rPr>
              <w:t xml:space="preserve">突发事件应急预案</w:t>
            </w:r>
            <w:r/>
          </w:p>
        </w:tc>
        <w:tc>
          <w:tcPr>
            <w:tcW w:w="76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W w:w="6496" w:type="dxa"/>
            <w:vAlign w:val="center"/>
            <w:textDirection w:val="lrTb"/>
            <w:noWrap w:val="false"/>
          </w:tcPr>
          <w:p>
            <w:pPr>
              <w:jc w:val="left"/>
              <w:widowControl/>
              <w:rPr>
                <w:rFonts w:ascii="宋体" w:hAnsi="宋体" w:cs="宋体"/>
                <w:color w:val="auto"/>
                <w:szCs w:val="21"/>
                <w:lang w:bidi="ar"/>
              </w:rPr>
            </w:pPr>
            <w:r>
              <w:rPr>
                <w:rFonts w:hint="eastAsia" w:ascii="宋体" w:hAnsi="宋体" w:cs="宋体"/>
                <w:color w:val="auto"/>
                <w:szCs w:val="21"/>
                <w:lang w:bidi="ar"/>
              </w:rPr>
              <w:t xml:space="preserve">根据业主单位情况制订突发事件应急预案，评委根据方案的优劣打分。</w:t>
            </w:r>
            <w:r/>
          </w:p>
          <w:p>
            <w:pPr>
              <w:numPr>
                <w:ilvl w:val="0"/>
                <w:numId w:val="10"/>
              </w:numPr>
              <w:jc w:val="left"/>
              <w:widowControl/>
              <w:rPr>
                <w:rFonts w:ascii="宋体" w:hAnsi="宋体" w:cs="宋体"/>
                <w:color w:val="auto"/>
                <w:szCs w:val="21"/>
                <w:lang w:bidi="ar"/>
              </w:rPr>
            </w:pPr>
            <w:r>
              <w:rPr>
                <w:rFonts w:hint="eastAsia" w:ascii="宋体" w:hAnsi="宋体" w:cs="宋体"/>
                <w:color w:val="auto"/>
                <w:szCs w:val="21"/>
                <w:lang w:bidi="ar"/>
              </w:rPr>
              <w:t xml:space="preserve">方案详实，贴切实际、实用性强得3分；</w:t>
            </w:r>
            <w:r/>
          </w:p>
          <w:p>
            <w:pPr>
              <w:numPr>
                <w:ilvl w:val="0"/>
                <w:numId w:val="10"/>
              </w:numPr>
              <w:jc w:val="left"/>
              <w:widowControl/>
              <w:rPr>
                <w:rFonts w:ascii="宋体" w:hAnsi="宋体" w:cs="宋体"/>
                <w:color w:val="auto"/>
                <w:szCs w:val="21"/>
                <w:lang w:bidi="ar"/>
              </w:rPr>
            </w:pPr>
            <w:r>
              <w:rPr>
                <w:rFonts w:hint="eastAsia" w:ascii="宋体" w:hAnsi="宋体" w:cs="宋体"/>
                <w:color w:val="auto"/>
                <w:szCs w:val="21"/>
                <w:lang w:bidi="ar"/>
              </w:rPr>
              <w:t xml:space="preserve">方案较详实，较贴切实际、实用性较强得2分；</w:t>
            </w:r>
            <w:r/>
          </w:p>
          <w:p>
            <w:pPr>
              <w:numPr>
                <w:ilvl w:val="0"/>
                <w:numId w:val="10"/>
              </w:numPr>
              <w:jc w:val="left"/>
              <w:widowControl/>
              <w:rPr>
                <w:rFonts w:ascii="宋体" w:hAnsi="宋体" w:cs="宋体"/>
                <w:color w:val="auto"/>
                <w:szCs w:val="21"/>
                <w:lang w:bidi="ar"/>
              </w:rPr>
            </w:pPr>
            <w:r>
              <w:rPr>
                <w:rFonts w:hint="eastAsia" w:ascii="宋体" w:hAnsi="宋体" w:cs="宋体"/>
                <w:color w:val="auto"/>
                <w:szCs w:val="21"/>
                <w:lang w:bidi="ar"/>
              </w:rPr>
              <w:t xml:space="preserve">方案不尽详实，一般贴切实际、实用性不太强得1分；</w:t>
            </w:r>
            <w:r/>
          </w:p>
          <w:p>
            <w:pPr>
              <w:numPr>
                <w:ilvl w:val="0"/>
                <w:numId w:val="10"/>
              </w:numPr>
              <w:jc w:val="left"/>
              <w:widowControl/>
              <w:rPr>
                <w:rFonts w:ascii="宋体" w:hAnsi="宋体" w:cs="宋体"/>
                <w:color w:val="auto"/>
                <w:szCs w:val="21"/>
                <w:lang w:bidi="ar"/>
              </w:rPr>
            </w:pPr>
            <w:r>
              <w:rPr>
                <w:rFonts w:hint="eastAsia" w:ascii="宋体" w:hAnsi="宋体" w:cs="宋体"/>
                <w:color w:val="auto"/>
                <w:szCs w:val="21"/>
                <w:lang w:bidi="ar"/>
              </w:rPr>
              <w:t xml:space="preserve">方案与本项目无关，不贴切实际，无实用性或未提供的得0分。</w:t>
            </w:r>
            <w:r/>
          </w:p>
        </w:tc>
      </w:tr>
    </w:tbl>
    <w:p>
      <w:pPr>
        <w:ind w:firstLine="446"/>
        <w:spacing w:line="360" w:lineRule="auto"/>
        <w:rPr>
          <w:rFonts w:ascii="宋体" w:hAnsi="宋体" w:cs="宋体"/>
          <w:b/>
          <w:bCs/>
          <w:sz w:val="22"/>
          <w:szCs w:val="28"/>
          <w:lang w:val="zh-CN"/>
        </w:rPr>
      </w:pPr>
      <w:r>
        <w:rPr>
          <w:rFonts w:hint="eastAsia" w:ascii="宋体" w:hAnsi="宋体" w:cs="宋体"/>
          <w:b/>
          <w:bCs/>
          <w:sz w:val="22"/>
          <w:szCs w:val="28"/>
          <w:lang w:val="zh-CN"/>
        </w:rPr>
        <w:t xml:space="preserve">注：①请供应商制作投标文件的时保证图片、文字材料的完整、清晰可辨，任何原因导致评委看不清楚或无法查看，后果由供应商自负。</w:t>
      </w:r>
      <w:r/>
    </w:p>
    <w:p>
      <w:pPr>
        <w:ind w:firstLine="446"/>
        <w:spacing w:line="360" w:lineRule="auto"/>
        <w:rPr>
          <w:rFonts w:ascii="宋体" w:hAnsi="宋体" w:cs="宋体"/>
          <w:sz w:val="28"/>
          <w:szCs w:val="28"/>
        </w:rPr>
      </w:pPr>
      <w:r>
        <w:rPr>
          <w:rFonts w:hint="eastAsia" w:ascii="宋体" w:hAnsi="宋体" w:cs="宋体"/>
          <w:b/>
          <w:bCs/>
          <w:sz w:val="22"/>
          <w:szCs w:val="28"/>
          <w:lang w:val="zh-CN"/>
        </w:rPr>
        <w:t xml:space="preserve">②供应商制作投标文件时所用的所有原件材料均须准备好中标公告结束后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被采购人核查，如核查时供应商不能提供相关原件材料作弄虚作假处理，供应商自行承担相应法律后果。</w:t>
      </w:r>
      <w:r/>
    </w:p>
    <w:p>
      <w:pPr>
        <w:jc w:val="center"/>
        <w:spacing w:line="360" w:lineRule="auto"/>
        <w:rPr>
          <w:rFonts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投标</w:t>
      </w:r>
      <w:bookmarkEnd w:id="145"/>
      <w:r/>
      <w:bookmarkEnd w:id="146"/>
      <w:r/>
      <w:bookmarkEnd w:id="156"/>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157" w:name="_Hlt26671244"/>
      <w:r/>
      <w:bookmarkEnd w:id="157"/>
      <w:r/>
      <w:bookmarkStart w:id="158" w:name="_Hlt26955039"/>
      <w:r/>
      <w:bookmarkEnd w:id="158"/>
      <w:r/>
      <w:bookmarkStart w:id="159" w:name="_Toc26554094"/>
      <w:r/>
      <w:bookmarkStart w:id="160" w:name="_Toc49090576"/>
      <w:r/>
      <w:bookmarkStart w:id="161" w:name="_Toc120614282"/>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807"/>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7"/>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360" w:lineRule="auto"/>
        <w:rPr>
          <w:rFonts w:ascii="宋体" w:hAnsi="宋体"/>
          <w:b/>
          <w:sz w:val="24"/>
          <w:szCs w:val="21"/>
        </w:rPr>
      </w:pPr>
      <w:r>
        <w:rPr>
          <w:rFonts w:hint="eastAsia" w:ascii="宋体" w:hAnsi="宋体"/>
          <w:b/>
          <w:sz w:val="24"/>
          <w:szCs w:val="21"/>
        </w:rPr>
        <w:t xml:space="preserve">一、基本目录</w:t>
      </w:r>
      <w:r/>
    </w:p>
    <w:p>
      <w:pPr>
        <w:ind w:left="480"/>
        <w:spacing w:line="360" w:lineRule="auto"/>
        <w:rPr>
          <w:rFonts w:ascii="宋体" w:hAnsi="宋体"/>
          <w:sz w:val="24"/>
          <w:szCs w:val="21"/>
        </w:rPr>
      </w:pPr>
      <w:r>
        <w:rPr>
          <w:rFonts w:hint="eastAsia" w:ascii="宋体" w:hAnsi="宋体"/>
          <w:sz w:val="24"/>
          <w:szCs w:val="21"/>
        </w:rPr>
        <w:t xml:space="preserve">1.开标一览表（格式见附件1）</w:t>
      </w:r>
      <w:r/>
    </w:p>
    <w:p>
      <w:pPr>
        <w:ind w:left="480"/>
        <w:spacing w:line="360" w:lineRule="auto"/>
        <w:rPr>
          <w:rFonts w:ascii="宋体" w:hAnsi="宋体"/>
          <w:sz w:val="24"/>
          <w:szCs w:val="21"/>
        </w:rPr>
      </w:pPr>
      <w:r>
        <w:rPr>
          <w:rFonts w:hint="eastAsia" w:ascii="宋体" w:hAnsi="宋体"/>
          <w:sz w:val="24"/>
          <w:szCs w:val="21"/>
        </w:rPr>
        <w:t xml:space="preserve">2.投标分项报价表（格式见附件2）</w:t>
      </w:r>
      <w:r/>
    </w:p>
    <w:p>
      <w:pPr>
        <w:ind w:left="480"/>
        <w:spacing w:line="360" w:lineRule="auto"/>
        <w:rPr>
          <w:rFonts w:ascii="宋体" w:hAnsi="宋体"/>
          <w:sz w:val="24"/>
          <w:szCs w:val="21"/>
        </w:rPr>
      </w:pPr>
      <w:r>
        <w:rPr>
          <w:rFonts w:hint="eastAsia" w:ascii="宋体" w:hAnsi="宋体"/>
          <w:sz w:val="24"/>
          <w:szCs w:val="21"/>
        </w:rPr>
        <w:t xml:space="preserve">3.法人授权委托书（格式见附件3）</w:t>
      </w:r>
      <w:r/>
    </w:p>
    <w:p>
      <w:pPr>
        <w:ind w:left="480"/>
        <w:spacing w:line="360" w:lineRule="auto"/>
        <w:rPr>
          <w:rFonts w:ascii="宋体" w:hAnsi="宋体"/>
          <w:sz w:val="24"/>
          <w:szCs w:val="21"/>
        </w:rPr>
      </w:pPr>
      <w:r>
        <w:rPr>
          <w:rFonts w:hint="eastAsia" w:ascii="宋体" w:hAnsi="宋体"/>
          <w:sz w:val="24"/>
          <w:szCs w:val="21"/>
        </w:rPr>
        <w:t xml:space="preserve">4.其他需要</w:t>
      </w:r>
      <w:r>
        <w:rPr>
          <w:rFonts w:hint="eastAsia" w:ascii="宋体" w:hAnsi="宋体"/>
          <w:sz w:val="24"/>
          <w:szCs w:val="21"/>
          <w:lang w:val="zh-CN"/>
        </w:rPr>
        <w:t xml:space="preserve">提交的证明材料（如有）</w:t>
      </w:r>
      <w:r/>
    </w:p>
    <w:p>
      <w:pPr>
        <w:ind w:left="480"/>
        <w:spacing w:line="360" w:lineRule="auto"/>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spacing w:line="360" w:lineRule="auto"/>
        <w:rPr>
          <w:rFonts w:ascii="宋体" w:hAnsi="宋体" w:cs="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cs="宋体"/>
          <w:sz w:val="24"/>
          <w:szCs w:val="24"/>
        </w:rPr>
        <w:t xml:space="preserve">投标人符合《政府采购法》第二十二条规定条件的声明函</w:t>
      </w:r>
      <w:r>
        <w:rPr>
          <w:rFonts w:hint="eastAsia" w:ascii="宋体" w:hAnsi="宋体"/>
          <w:sz w:val="24"/>
          <w:szCs w:val="24"/>
        </w:rPr>
        <w:t xml:space="preserve">（格式见附件4）</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360" w:lineRule="auto"/>
        <w:rPr>
          <w:rFonts w:ascii="宋体" w:hAnsi="宋体"/>
          <w:sz w:val="24"/>
          <w:szCs w:val="24"/>
        </w:rPr>
      </w:pPr>
      <w:r>
        <w:rPr>
          <w:rFonts w:hint="eastAsia" w:ascii="宋体" w:hAnsi="宋体"/>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1"/>
        </w:rPr>
        <w:t xml:space="preserve">投标函</w:t>
      </w:r>
      <w:r>
        <w:rPr>
          <w:rFonts w:hint="eastAsia" w:ascii="宋体" w:hAnsi="宋体"/>
          <w:sz w:val="24"/>
          <w:szCs w:val="24"/>
        </w:rPr>
        <w:t xml:space="preserve">（格式见附件5）</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中小企业声明函（如本项目</w:t>
      </w:r>
      <w:r>
        <w:rPr>
          <w:rFonts w:ascii="宋体" w:hAnsi="宋体"/>
          <w:sz w:val="24"/>
          <w:szCs w:val="24"/>
        </w:rPr>
        <w:t xml:space="preserve">专门面向中小企业采购，则必须提供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6）</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残疾人福利性单位声明函（如本项目</w:t>
      </w:r>
      <w:r>
        <w:rPr>
          <w:rFonts w:ascii="宋体" w:hAnsi="宋体"/>
          <w:sz w:val="24"/>
          <w:szCs w:val="24"/>
        </w:rPr>
        <w:t xml:space="preserve">专门面向中小企业采购，</w:t>
      </w:r>
      <w:r>
        <w:rPr>
          <w:rFonts w:hint="eastAsia" w:ascii="宋体" w:hAnsi="宋体"/>
          <w:sz w:val="24"/>
          <w:szCs w:val="24"/>
        </w:rPr>
        <w:t xml:space="preserve">供应商为</w:t>
      </w:r>
      <w:r>
        <w:rPr>
          <w:rFonts w:ascii="宋体" w:hAnsi="宋体"/>
          <w:sz w:val="24"/>
          <w:szCs w:val="24"/>
        </w:rPr>
        <w:t xml:space="preserve">残疾人福利性单位并</w:t>
      </w:r>
      <w:r>
        <w:rPr>
          <w:rFonts w:hint="eastAsia" w:ascii="宋体" w:hAnsi="宋体"/>
          <w:sz w:val="24"/>
          <w:szCs w:val="24"/>
        </w:rPr>
        <w:t xml:space="preserve">提供</w:t>
      </w:r>
      <w:r>
        <w:rPr>
          <w:rFonts w:ascii="宋体" w:hAnsi="宋体"/>
          <w:sz w:val="24"/>
          <w:szCs w:val="24"/>
        </w:rPr>
        <w:t xml:space="preserve">服务的，</w:t>
      </w:r>
      <w:r>
        <w:rPr>
          <w:rFonts w:hint="eastAsia" w:ascii="宋体" w:hAnsi="宋体"/>
          <w:sz w:val="24"/>
          <w:szCs w:val="24"/>
        </w:rPr>
        <w:t xml:space="preserve">则必须</w:t>
      </w:r>
      <w:r>
        <w:rPr>
          <w:rFonts w:ascii="宋体" w:hAnsi="宋体"/>
          <w:sz w:val="24"/>
          <w:szCs w:val="24"/>
        </w:rPr>
        <w:t xml:space="preserve">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7）</w:t>
      </w:r>
      <w:r/>
    </w:p>
    <w:p>
      <w:pPr>
        <w:ind w:left="480"/>
        <w:spacing w:line="360" w:lineRule="auto"/>
        <w:rPr>
          <w:rFonts w:ascii="宋体" w:hAnsi="宋体"/>
          <w:b/>
          <w:sz w:val="24"/>
          <w:szCs w:val="21"/>
        </w:rPr>
      </w:pPr>
      <w:r>
        <w:rPr>
          <w:rFonts w:hint="eastAsia" w:ascii="宋体" w:hAnsi="宋体"/>
          <w:b/>
          <w:sz w:val="24"/>
          <w:szCs w:val="21"/>
        </w:rPr>
        <w:t xml:space="preserve">注：</w:t>
      </w:r>
      <w:r>
        <w:rPr>
          <w:rFonts w:hint="eastAsia" w:ascii="宋体" w:hAnsi="宋体"/>
          <w:b/>
          <w:bCs/>
          <w:sz w:val="24"/>
          <w:szCs w:val="24"/>
        </w:rPr>
        <w:t xml:space="preserve">如招标文件要求必须提供相关材料而未提供的，作无效响应处理。</w:t>
      </w:r>
      <w:r/>
    </w:p>
    <w:p>
      <w:pPr>
        <w:ind w:left="480"/>
        <w:spacing w:line="360" w:lineRule="auto"/>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360" w:lineRule="auto"/>
        <w:rPr>
          <w:rFonts w:ascii="宋体" w:hAnsi="宋体"/>
          <w:sz w:val="24"/>
          <w:szCs w:val="24"/>
        </w:rPr>
      </w:pP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szCs w:val="24"/>
        </w:rPr>
        <w:t xml:space="preserve">招标文件（含技术</w:t>
      </w:r>
      <w:r>
        <w:rPr>
          <w:rFonts w:ascii="宋体" w:hAnsi="宋体"/>
          <w:sz w:val="24"/>
          <w:szCs w:val="24"/>
        </w:rPr>
        <w:t xml:space="preserve">要求和商务</w:t>
      </w:r>
      <w:r>
        <w:rPr>
          <w:rFonts w:hint="eastAsia" w:ascii="宋体" w:hAnsi="宋体"/>
          <w:sz w:val="24"/>
          <w:szCs w:val="24"/>
        </w:rPr>
        <w:t xml:space="preserve">要求）</w:t>
      </w:r>
      <w:r>
        <w:rPr>
          <w:rFonts w:ascii="宋体" w:hAnsi="宋体"/>
          <w:sz w:val="24"/>
          <w:szCs w:val="24"/>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t xml:space="preserve">的实质性要求逐条做出响应，并按照招标文件要求提供证明材料，否则作无效响应处理。（格式见附件8）</w:t>
      </w:r>
      <w:r/>
    </w:p>
    <w:p>
      <w:pPr>
        <w:ind w:firstLine="482"/>
        <w:jc w:val="left"/>
        <w:spacing w:line="360" w:lineRule="auto"/>
        <w:rPr>
          <w:rFonts w:ascii="宋体" w:hAnsi="宋体"/>
          <w:b/>
          <w:sz w:val="24"/>
          <w:szCs w:val="24"/>
        </w:rPr>
      </w:pPr>
      <w:r>
        <w:rPr>
          <w:rFonts w:hint="eastAsia" w:ascii="宋体" w:hAnsi="宋体"/>
          <w:b/>
          <w:sz w:val="24"/>
          <w:szCs w:val="24"/>
        </w:rPr>
        <w:t xml:space="preserve">四、根据评审标准须提供的方案、措施、承诺等支撑文件资料</w:t>
      </w:r>
      <w:r/>
    </w:p>
    <w:p>
      <w:pPr>
        <w:ind w:firstLine="480"/>
        <w:spacing w:line="360" w:lineRule="auto"/>
        <w:rPr>
          <w:rFonts w:ascii="宋体" w:hAnsi="宋体"/>
          <w:sz w:val="24"/>
          <w:szCs w:val="24"/>
        </w:rPr>
      </w:pPr>
      <w:r>
        <w:rPr>
          <w:rFonts w:hint="eastAsia" w:ascii="宋体" w:hAnsi="宋体"/>
          <w:sz w:val="24"/>
          <w:szCs w:val="24"/>
        </w:rPr>
        <w:t xml:space="preserve">投标人按照评标方法与评审标准提供材料，如评审内容含技术要求和商务要求的，请提供技术要求响应及偏离表和商务要求响应及偏离表（格式见附件9）。</w:t>
      </w:r>
      <w:r/>
    </w:p>
    <w:p>
      <w:pPr>
        <w:ind w:firstLine="480"/>
        <w:spacing w:line="360" w:lineRule="auto"/>
        <w:rPr>
          <w:rFonts w:ascii="宋体" w:hAnsi="宋体"/>
          <w:b/>
          <w:sz w:val="24"/>
          <w:szCs w:val="21"/>
        </w:rPr>
      </w:pPr>
      <w:r>
        <w:rPr>
          <w:rFonts w:hint="eastAsia" w:ascii="宋体" w:hAnsi="宋体"/>
          <w:b/>
          <w:sz w:val="24"/>
          <w:szCs w:val="21"/>
        </w:rPr>
        <w:t xml:space="preserve">五、价格</w:t>
      </w:r>
      <w:r>
        <w:rPr>
          <w:rFonts w:ascii="宋体" w:hAnsi="宋体"/>
          <w:b/>
          <w:sz w:val="24"/>
          <w:szCs w:val="21"/>
        </w:rPr>
        <w:t xml:space="preserve">扣除证明文件</w:t>
      </w:r>
      <w:r/>
    </w:p>
    <w:p>
      <w:pPr>
        <w:ind w:firstLine="480"/>
        <w:spacing w:line="360" w:lineRule="auto"/>
        <w:rPr>
          <w:rFonts w:ascii="宋体" w:hAnsi="宋体"/>
          <w:sz w:val="24"/>
          <w:szCs w:val="21"/>
        </w:rPr>
      </w:pPr>
      <w:r>
        <w:rPr>
          <w:rFonts w:hint="eastAsia" w:ascii="宋体" w:hAnsi="宋体"/>
          <w:sz w:val="24"/>
          <w:szCs w:val="21"/>
        </w:rPr>
        <w:t xml:space="preserve">1.中小企业声明函（格式见附件6）</w:t>
      </w:r>
      <w:r/>
    </w:p>
    <w:p>
      <w:pPr>
        <w:ind w:firstLine="480"/>
        <w:spacing w:line="360" w:lineRule="auto"/>
        <w:rPr>
          <w:rFonts w:ascii="宋体" w:hAnsi="宋体"/>
          <w:sz w:val="24"/>
          <w:szCs w:val="21"/>
        </w:rPr>
      </w:pPr>
      <w:r>
        <w:rPr>
          <w:rFonts w:hint="eastAsia" w:ascii="宋体" w:hAnsi="宋体"/>
          <w:sz w:val="24"/>
          <w:szCs w:val="21"/>
        </w:rPr>
        <w:t xml:space="preserve">2.残疾人福利性单位声明函（格式见附件7）</w:t>
      </w:r>
      <w:r/>
    </w:p>
    <w:p>
      <w:pPr>
        <w:rPr>
          <w:rFonts w:ascii="宋体" w:hAnsi="宋体"/>
          <w:b/>
          <w:sz w:val="24"/>
          <w:szCs w:val="24"/>
        </w:rPr>
      </w:pPr>
      <w:r>
        <w:rPr>
          <w:rFonts w:hint="eastAsia" w:ascii="宋体" w:hAnsi="宋体"/>
          <w:b/>
          <w:sz w:val="24"/>
          <w:szCs w:val="24"/>
        </w:rPr>
        <w:br w:type="page" w:clear="all"/>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 </w:t>
      </w:r>
      <w:r/>
    </w:p>
    <w:p>
      <w:pPr>
        <w:pStyle w:val="921"/>
        <w:keepNext w:val="0"/>
        <w:widowControl/>
        <w:rPr>
          <w:rFonts w:ascii="宋体" w:hAnsi="宋体" w:eastAsia="宋体" w:cs="宋体"/>
          <w:sz w:val="32"/>
          <w:szCs w:val="32"/>
        </w:rPr>
      </w:pPr>
      <w:r>
        <w:rPr>
          <w:rStyle w:val="985"/>
          <w:rFonts w:hint="eastAsia" w:ascii="宋体" w:hAnsi="宋体" w:eastAsia="宋体" w:cs="宋体"/>
          <w:sz w:val="32"/>
          <w:szCs w:val="32"/>
        </w:rPr>
        <w:t xml:space="preserve">开标一览表</w:t>
      </w:r>
      <w:r/>
    </w:p>
    <w:p>
      <w:pPr>
        <w:pStyle w:val="928"/>
      </w:pPr>
      <w:r>
        <w:t xml:space="preserve">项目编号：</w:t>
      </w:r>
      <w:r/>
    </w:p>
    <w:p>
      <w:pPr>
        <w:pStyle w:val="928"/>
      </w:pPr>
      <w:r>
        <w:t xml:space="preserve">货币单位：人民币元</w:t>
      </w:r>
      <w:r/>
    </w:p>
    <w:p>
      <w:pPr>
        <w:pStyle w:val="928"/>
      </w:pPr>
      <w:r>
        <w:t xml:space="preserve">投标人名称（公章）：</w:t>
      </w:r>
      <w:r/>
    </w:p>
    <w:tbl>
      <w:tblPr>
        <w:tblStyle w:val="711"/>
        <w:tblW w:w="0" w:type="auto"/>
        <w:tblCellSpacing w:w="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928"/>
              <w:jc w:val="center"/>
            </w:pPr>
            <w:r>
              <w:t xml:space="preserve">项目名称</w:t>
            </w:r>
            <w:r/>
          </w:p>
        </w:tc>
        <w:tc>
          <w:tcPr>
            <w:tcW w:w="2992" w:type="dxa"/>
            <w:vAlign w:val="center"/>
            <w:textDirection w:val="lrTb"/>
            <w:noWrap w:val="false"/>
          </w:tcPr>
          <w:p>
            <w:pPr>
              <w:pStyle w:val="928"/>
              <w:jc w:val="center"/>
            </w:pPr>
            <w:r>
              <w:t xml:space="preserve">项目内容</w:t>
            </w:r>
            <w:r/>
          </w:p>
        </w:tc>
        <w:tc>
          <w:tcPr>
            <w:tcW w:w="3175" w:type="dxa"/>
            <w:vAlign w:val="center"/>
            <w:textDirection w:val="lrTb"/>
            <w:noWrap w:val="false"/>
          </w:tcPr>
          <w:p>
            <w:pPr>
              <w:pStyle w:val="928"/>
              <w:jc w:val="center"/>
            </w:pPr>
            <w:r>
              <w:t xml:space="preserve">总价（小写）</w:t>
            </w:r>
            <w:r/>
          </w:p>
        </w:tc>
      </w:tr>
      <w:tr>
        <w:trPr>
          <w:tblCellSpacing w:w="15" w:type="dxa"/>
          <w:trHeight w:val="648"/>
        </w:trPr>
        <w:tc>
          <w:tcPr>
            <w:tcW w:w="3292" w:type="dxa"/>
            <w:vAlign w:val="center"/>
            <w:textDirection w:val="lrTb"/>
            <w:noWrap w:val="false"/>
          </w:tcPr>
          <w:p>
            <w:pPr>
              <w:pStyle w:val="928"/>
              <w:jc w:val="center"/>
            </w:pPr>
            <w:r/>
            <w:r/>
          </w:p>
        </w:tc>
        <w:tc>
          <w:tcPr>
            <w:tcW w:w="2992" w:type="dxa"/>
            <w:vAlign w:val="center"/>
            <w:textDirection w:val="lrTb"/>
            <w:noWrap w:val="false"/>
          </w:tcPr>
          <w:p>
            <w:pPr>
              <w:pStyle w:val="928"/>
              <w:jc w:val="center"/>
            </w:pPr>
            <w:r>
              <w:t xml:space="preserve">详见投标文件</w:t>
            </w:r>
            <w:r/>
          </w:p>
        </w:tc>
        <w:tc>
          <w:tcPr>
            <w:tcW w:w="3175" w:type="dxa"/>
            <w:vAlign w:val="center"/>
            <w:textDirection w:val="lrTb"/>
            <w:noWrap w:val="false"/>
          </w:tcPr>
          <w:p>
            <w:pPr>
              <w:pStyle w:val="928"/>
              <w:jc w:val="center"/>
            </w:pPr>
            <w:r>
              <w:rPr>
                <w:rFonts w:hint="eastAsia"/>
              </w:rPr>
              <w:t xml:space="preserve">             </w:t>
            </w:r>
            <w:r>
              <w:t xml:space="preserve">元</w:t>
            </w:r>
            <w:r/>
          </w:p>
        </w:tc>
      </w:tr>
      <w:tr>
        <w:trPr>
          <w:tblCellSpacing w:w="15" w:type="dxa"/>
          <w:trHeight w:val="696"/>
        </w:trPr>
        <w:tc>
          <w:tcPr>
            <w:tcW w:w="3292" w:type="dxa"/>
            <w:vAlign w:val="center"/>
            <w:textDirection w:val="lrTb"/>
            <w:noWrap w:val="false"/>
          </w:tcPr>
          <w:p>
            <w:pPr>
              <w:pStyle w:val="928"/>
              <w:jc w:val="center"/>
            </w:pPr>
            <w:r>
              <w:t xml:space="preserve">总价（大写）：</w:t>
            </w:r>
            <w:r/>
          </w:p>
        </w:tc>
        <w:tc>
          <w:tcPr>
            <w:gridSpan w:val="2"/>
            <w:tcW w:w="6197" w:type="dxa"/>
            <w:vAlign w:val="center"/>
            <w:textDirection w:val="lrTb"/>
            <w:noWrap w:val="false"/>
          </w:tcPr>
          <w:p>
            <w:pPr>
              <w:pStyle w:val="928"/>
            </w:pPr>
            <w:r>
              <w:t xml:space="preserve">金额大写 </w:t>
            </w:r>
            <w:r/>
          </w:p>
        </w:tc>
      </w:tr>
    </w:tbl>
    <w:p>
      <w:pPr>
        <w:pStyle w:val="928"/>
      </w:pPr>
      <w: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widowControl/>
        <w:rPr>
          <w:rFonts w:ascii="宋体" w:hAnsi="宋体" w:cs="宋体"/>
          <w:b/>
          <w:sz w:val="28"/>
        </w:rPr>
      </w:pPr>
      <w:r>
        <w:rPr>
          <w:rFonts w:hint="eastAsia" w:ascii="宋体" w:hAnsi="宋体" w:cs="宋体"/>
          <w:b/>
          <w:sz w:val="28"/>
        </w:rPr>
        <w:t xml:space="preserve">投标分项报价表</w:t>
      </w:r>
      <w:r/>
    </w:p>
    <w:p>
      <w:pPr>
        <w:pStyle w:val="926"/>
        <w:numPr>
          <w:ilvl w:val="0"/>
          <w:numId w:val="0"/>
        </w:numPr>
        <w:ind w:left="420"/>
      </w:pPr>
      <w:r/>
      <w:r/>
    </w:p>
    <w:p>
      <w:pPr>
        <w:jc w:val="left"/>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 xml:space="preserve">项目编号：</w:t>
      </w:r>
      <w:r>
        <w:rPr>
          <w:rFonts w:hint="eastAsia" w:ascii="宋体" w:hAnsi="宋体" w:cs="宋体"/>
          <w:u w:val="single"/>
        </w:rPr>
        <w:t xml:space="preserve">           </w:t>
      </w:r>
      <w:r>
        <w:rPr>
          <w:rFonts w:hint="eastAsia" w:ascii="宋体" w:hAnsi="宋体" w:cs="宋体"/>
        </w:rPr>
        <w:t xml:space="preserve"> </w:t>
      </w:r>
      <w:r/>
    </w:p>
    <w:p>
      <w:pPr>
        <w:ind w:right="840"/>
        <w:spacing w:line="360" w:lineRule="auto"/>
        <w:rPr>
          <w:rFonts w:ascii="宋体" w:hAnsi="宋体" w:cs="宋体"/>
          <w:bCs/>
          <w:szCs w:val="21"/>
        </w:rPr>
      </w:pPr>
      <w:r>
        <w:rPr>
          <w:rFonts w:hint="eastAsia" w:ascii="宋体" w:hAnsi="宋体" w:cs="宋体"/>
        </w:rPr>
        <w:t xml:space="preserve">采购包号：</w:t>
      </w:r>
      <w:r>
        <w:rPr>
          <w:rFonts w:hint="eastAsia" w:ascii="宋体" w:hAnsi="宋体" w:cs="宋体"/>
          <w:u w:val="single"/>
        </w:rPr>
        <w:t xml:space="preserve">         </w:t>
      </w:r>
      <w:r>
        <w:rPr>
          <w:rFonts w:hint="eastAsia" w:ascii="宋体" w:hAnsi="宋体" w:cs="宋体"/>
        </w:rPr>
        <w:t xml:space="preserve">                                     价格单位：人民币   元</w:t>
      </w:r>
      <w:r/>
    </w:p>
    <w:tbl>
      <w:tblPr>
        <w:tblStyle w:val="711"/>
        <w:tblW w:w="9181" w:type="dxa"/>
        <w:jc w:val="center"/>
        <w:tblLayout w:type="fixed"/>
        <w:tblCellMar>
          <w:left w:w="108" w:type="dxa"/>
          <w:top w:w="0" w:type="dxa"/>
          <w:right w:w="108" w:type="dxa"/>
          <w:bottom w:w="0" w:type="dxa"/>
        </w:tblCellMar>
        <w:tblLook w:val="04A0" w:firstRow="1" w:lastRow="0" w:firstColumn="1" w:lastColumn="0" w:noHBand="0" w:noVBand="1"/>
      </w:tblPr>
      <w:tblGrid>
        <w:gridCol w:w="644"/>
        <w:gridCol w:w="2524"/>
        <w:gridCol w:w="2520"/>
        <w:gridCol w:w="2850"/>
        <w:gridCol w:w="643"/>
      </w:tblGrid>
      <w:tr>
        <w:trPr>
          <w:jc w:val="center"/>
          <w:trHeight w:val="409"/>
          <w:tblHeader/>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widowControl/>
              <w:rPr>
                <w:b/>
                <w:szCs w:val="21"/>
              </w:rPr>
            </w:pPr>
            <w:r>
              <w:rPr>
                <w:b/>
                <w:szCs w:val="21"/>
              </w:rPr>
              <w:t xml:space="preserve">序号</w:t>
            </w:r>
            <w:r/>
          </w:p>
        </w:tc>
        <w:tc>
          <w:tcPr>
            <w:tcBorders>
              <w:top w:val="single" w:color="000000" w:sz="4" w:space="0"/>
              <w:left w:val="none" w:color="000000" w:sz="4" w:space="0"/>
              <w:bottom w:val="single" w:color="000000" w:sz="4" w:space="0"/>
              <w:right w:val="single" w:color="000000" w:sz="4" w:space="0"/>
            </w:tcBorders>
            <w:tcW w:w="2524" w:type="dxa"/>
            <w:vAlign w:val="center"/>
            <w:textDirection w:val="lrTb"/>
            <w:noWrap w:val="false"/>
          </w:tcPr>
          <w:p>
            <w:pPr>
              <w:ind w:left="-84" w:firstLine="82"/>
              <w:jc w:val="center"/>
              <w:widowControl/>
              <w:rPr>
                <w:b/>
                <w:szCs w:val="21"/>
              </w:rPr>
            </w:pPr>
            <w:r>
              <w:rPr>
                <w:b/>
                <w:szCs w:val="21"/>
              </w:rPr>
              <w:t xml:space="preserve">项目名称</w:t>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b/>
                <w:szCs w:val="21"/>
              </w:rPr>
            </w:pPr>
            <w:r>
              <w:rPr>
                <w:b/>
                <w:szCs w:val="21"/>
              </w:rPr>
              <w:t xml:space="preserve">内容描述</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widowControl/>
              <w:rPr>
                <w:b/>
                <w:szCs w:val="21"/>
              </w:rPr>
            </w:pPr>
            <w:r>
              <w:rPr>
                <w:rFonts w:hint="eastAsia"/>
                <w:b/>
                <w:szCs w:val="21"/>
              </w:rPr>
              <w:t xml:space="preserve">投标报价</w:t>
            </w:r>
            <w:r/>
          </w:p>
        </w:tc>
        <w:tc>
          <w:tcPr>
            <w:tcBorders>
              <w:top w:val="single" w:color="000000" w:sz="4" w:space="0"/>
              <w:left w:val="none" w:color="000000" w:sz="4" w:space="0"/>
              <w:bottom w:val="single" w:color="000000" w:sz="4" w:space="0"/>
              <w:right w:val="single" w:color="000000" w:sz="4" w:space="0"/>
            </w:tcBorders>
            <w:tcW w:w="643" w:type="dxa"/>
            <w:vAlign w:val="center"/>
            <w:textDirection w:val="lrTb"/>
            <w:noWrap w:val="false"/>
          </w:tcPr>
          <w:p>
            <w:pPr>
              <w:jc w:val="center"/>
              <w:rPr>
                <w:b/>
                <w:szCs w:val="21"/>
              </w:rPr>
            </w:pPr>
            <w:r>
              <w:rPr>
                <w:b/>
                <w:szCs w:val="21"/>
              </w:rPr>
              <w:t xml:space="preserve">备注</w:t>
            </w:r>
            <w:r/>
          </w:p>
        </w:tc>
      </w:tr>
      <w:tr>
        <w:trPr>
          <w:jc w:val="center"/>
          <w:trHeight w:val="671"/>
          <w:tblHeader/>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tabs>
                <w:tab w:val="left" w:pos="425" w:leader="none"/>
              </w:tabs>
              <w:rPr>
                <w:szCs w:val="21"/>
              </w:rPr>
            </w:pPr>
            <w:r>
              <w:rPr>
                <w:szCs w:val="21"/>
              </w:rPr>
              <w:t xml:space="preserve">1</w:t>
            </w:r>
            <w:r/>
          </w:p>
        </w:tc>
        <w:tc>
          <w:tcPr>
            <w:tcBorders>
              <w:top w:val="single" w:color="000000" w:sz="4" w:space="0"/>
              <w:left w:val="none" w:color="000000" w:sz="4" w:space="0"/>
              <w:bottom w:val="single" w:color="000000" w:sz="4" w:space="0"/>
              <w:right w:val="single" w:color="000000" w:sz="4" w:space="0"/>
            </w:tcBorders>
            <w:tcW w:w="2524" w:type="dxa"/>
            <w:vAlign w:val="center"/>
            <w:textDirection w:val="lrTb"/>
            <w:noWrap w:val="false"/>
          </w:tcPr>
          <w:p>
            <w:pPr>
              <w:jc w:val="left"/>
              <w:rPr>
                <w:szCs w:val="21"/>
              </w:rPr>
            </w:pPr>
            <w:r>
              <w:rPr>
                <w:rFonts w:hint="eastAsia"/>
                <w:b/>
                <w:szCs w:val="21"/>
              </w:rPr>
              <w:t xml:space="preserve">南通市海门区税务局机关及分局物业服务项目</w:t>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left"/>
              <w:rPr>
                <w:b/>
                <w:szCs w:val="21"/>
              </w:rPr>
            </w:pPr>
            <w:r>
              <w:rPr>
                <w:rFonts w:hint="eastAsia"/>
                <w:b/>
                <w:szCs w:val="21"/>
              </w:rPr>
              <w:t xml:space="preserve">区局机关</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tabs>
                <w:tab w:val="left" w:pos="425" w:leader="none"/>
              </w:tabs>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tabs>
                <w:tab w:val="left" w:pos="425" w:leader="none"/>
              </w:tabs>
              <w:rPr>
                <w:szCs w:val="21"/>
              </w:rPr>
            </w:pPr>
            <w:r>
              <w:rPr>
                <w:szCs w:val="21"/>
              </w:rPr>
            </w:r>
            <w:r/>
          </w:p>
        </w:tc>
      </w:tr>
      <w:tr>
        <w:trPr>
          <w:jc w:val="center"/>
          <w:trHeight w:val="671"/>
          <w:tblHeader/>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tabs>
                <w:tab w:val="left" w:pos="425" w:leader="none"/>
              </w:tabs>
              <w:rPr>
                <w:szCs w:val="21"/>
              </w:rPr>
            </w:pPr>
            <w:r>
              <w:rPr>
                <w:szCs w:val="21"/>
              </w:rPr>
              <w:t xml:space="preserve">2</w:t>
            </w:r>
            <w:r/>
          </w:p>
        </w:tc>
        <w:tc>
          <w:tcPr>
            <w:tcBorders>
              <w:top w:val="single" w:color="000000" w:sz="4" w:space="0"/>
              <w:left w:val="none" w:color="000000" w:sz="4" w:space="0"/>
              <w:bottom w:val="single" w:color="000000" w:sz="4" w:space="0"/>
              <w:right w:val="single" w:color="000000" w:sz="4" w:space="0"/>
            </w:tcBorders>
            <w:tcW w:w="2524" w:type="dxa"/>
            <w:vAlign w:val="center"/>
            <w:textDirection w:val="lrTb"/>
            <w:noWrap w:val="false"/>
          </w:tcPr>
          <w:p>
            <w:pPr>
              <w:jc w:val="left"/>
              <w:rPr>
                <w:szCs w:val="21"/>
              </w:rPr>
            </w:pPr>
            <w:r>
              <w:rPr>
                <w:rFonts w:hint="eastAsia"/>
                <w:b/>
                <w:szCs w:val="21"/>
              </w:rPr>
              <w:t xml:space="preserve">南通市海门区税务局机关及分局物业服务项目</w:t>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left"/>
              <w:rPr>
                <w:b/>
                <w:szCs w:val="21"/>
              </w:rPr>
            </w:pPr>
            <w:r>
              <w:rPr>
                <w:rFonts w:hint="eastAsia"/>
                <w:b/>
                <w:szCs w:val="21"/>
              </w:rPr>
              <w:t xml:space="preserve">嘉陵江商务大厦</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tabs>
                <w:tab w:val="left" w:pos="425" w:leader="none"/>
              </w:tabs>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tabs>
                <w:tab w:val="left" w:pos="425" w:leader="none"/>
              </w:tabs>
              <w:rPr>
                <w:szCs w:val="21"/>
              </w:rPr>
            </w:pPr>
            <w:r>
              <w:rPr>
                <w:szCs w:val="21"/>
              </w:rPr>
            </w:r>
            <w:r/>
          </w:p>
        </w:tc>
      </w:tr>
      <w:tr>
        <w:trPr>
          <w:jc w:val="center"/>
          <w:trHeight w:val="1147"/>
          <w:tblHeader/>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tabs>
                <w:tab w:val="left" w:pos="425" w:leader="none"/>
              </w:tabs>
              <w:rPr>
                <w:szCs w:val="21"/>
              </w:rPr>
            </w:pPr>
            <w:r>
              <w:rPr>
                <w:szCs w:val="21"/>
              </w:rPr>
              <w:t xml:space="preserve">3</w:t>
            </w:r>
            <w:r/>
          </w:p>
        </w:tc>
        <w:tc>
          <w:tcPr>
            <w:tcBorders>
              <w:top w:val="single" w:color="000000" w:sz="4" w:space="0"/>
              <w:left w:val="none" w:color="000000" w:sz="4" w:space="0"/>
              <w:bottom w:val="single" w:color="000000" w:sz="4" w:space="0"/>
              <w:right w:val="single" w:color="000000" w:sz="4" w:space="0"/>
            </w:tcBorders>
            <w:tcW w:w="2524" w:type="dxa"/>
            <w:vAlign w:val="center"/>
            <w:textDirection w:val="lrTb"/>
            <w:noWrap w:val="false"/>
          </w:tcPr>
          <w:p>
            <w:pPr>
              <w:jc w:val="left"/>
              <w:rPr>
                <w:szCs w:val="21"/>
              </w:rPr>
            </w:pPr>
            <w:r>
              <w:rPr>
                <w:rFonts w:hint="eastAsia"/>
                <w:b/>
                <w:szCs w:val="21"/>
              </w:rPr>
              <w:t xml:space="preserve">南通市海门区税务局机关及分局物业服务项目</w:t>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left"/>
              <w:rPr>
                <w:b/>
                <w:szCs w:val="21"/>
              </w:rPr>
            </w:pPr>
            <w:r>
              <w:rPr>
                <w:rFonts w:hint="eastAsia"/>
                <w:b/>
                <w:szCs w:val="21"/>
              </w:rPr>
              <w:t xml:space="preserve">三星分局、包场分局、临江分局、四甲分局、悦来分局、老年大学</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tabs>
                <w:tab w:val="left" w:pos="425" w:leader="none"/>
              </w:tabs>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tabs>
                <w:tab w:val="left" w:pos="425" w:leader="none"/>
              </w:tabs>
              <w:rPr>
                <w:szCs w:val="21"/>
              </w:rPr>
            </w:pPr>
            <w:r>
              <w:rPr>
                <w:szCs w:val="21"/>
              </w:rPr>
            </w:r>
            <w:r/>
          </w:p>
        </w:tc>
      </w:tr>
      <w:tr>
        <w:trPr>
          <w:jc w:val="center"/>
          <w:trHeight w:val="608"/>
          <w:tblHeader/>
        </w:trPr>
        <w:tc>
          <w:tcPr>
            <w:tcBorders>
              <w:top w:val="non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tabs>
                <w:tab w:val="left" w:pos="425" w:leader="none"/>
              </w:tabs>
              <w:rPr>
                <w:szCs w:val="21"/>
              </w:rPr>
            </w:pPr>
            <w:r>
              <w:rPr>
                <w:szCs w:val="21"/>
              </w:rPr>
              <w:t xml:space="preserve">4</w:t>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val="false"/>
          </w:tcPr>
          <w:p>
            <w:pPr>
              <w:jc w:val="center"/>
              <w:rPr>
                <w:szCs w:val="21"/>
              </w:rPr>
            </w:pPr>
            <w:r>
              <w:rPr>
                <w:szCs w:val="21"/>
              </w:rPr>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tabs>
                <w:tab w:val="left" w:pos="425" w:leader="none"/>
              </w:tabs>
              <w:rPr>
                <w:szCs w:val="21"/>
              </w:rPr>
            </w:pPr>
            <w:r>
              <w:rPr>
                <w:szCs w:val="21"/>
              </w:rPr>
            </w:r>
            <w:r/>
          </w:p>
        </w:tc>
        <w:tc>
          <w:tcPr>
            <w:tcBorders>
              <w:top w:val="non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tabs>
                <w:tab w:val="left" w:pos="425" w:leader="none"/>
              </w:tabs>
              <w:rPr>
                <w:szCs w:val="21"/>
              </w:rPr>
            </w:pPr>
            <w:r>
              <w:rPr>
                <w:szCs w:val="21"/>
              </w:rPr>
            </w:r>
            <w:r/>
          </w:p>
        </w:tc>
        <w:tc>
          <w:tcPr>
            <w:tcBorders>
              <w:top w:val="non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tabs>
                <w:tab w:val="left" w:pos="425" w:leader="none"/>
              </w:tabs>
              <w:rPr>
                <w:szCs w:val="21"/>
              </w:rPr>
            </w:pPr>
            <w:r>
              <w:rPr>
                <w:szCs w:val="21"/>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tabs>
                <w:tab w:val="left" w:pos="425" w:leader="none"/>
              </w:tabs>
              <w:rPr>
                <w:szCs w:val="21"/>
              </w:rPr>
            </w:pPr>
            <w:r>
              <w:rPr>
                <w:szCs w:val="21"/>
              </w:rPr>
              <w:t xml:space="preserve">5</w:t>
            </w:r>
            <w:r/>
          </w:p>
        </w:tc>
        <w:tc>
          <w:tcPr>
            <w:tcBorders>
              <w:top w:val="single" w:color="000000" w:sz="4" w:space="0"/>
              <w:left w:val="none" w:color="000000" w:sz="4" w:space="0"/>
              <w:bottom w:val="single" w:color="000000" w:sz="4" w:space="0"/>
              <w:right w:val="single" w:color="000000" w:sz="4" w:space="0"/>
            </w:tcBorders>
            <w:tcW w:w="2524" w:type="dxa"/>
            <w:vAlign w:val="center"/>
            <w:textDirection w:val="lrTb"/>
            <w:noWrap w:val="false"/>
          </w:tcPr>
          <w:p>
            <w:pPr>
              <w:jc w:val="center"/>
              <w:tabs>
                <w:tab w:val="left" w:pos="425" w:leader="none"/>
              </w:tabs>
              <w:rPr>
                <w:szCs w:val="21"/>
              </w:rPr>
            </w:pPr>
            <w:r>
              <w:rPr>
                <w:szCs w:val="21"/>
              </w:rPr>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tabs>
                <w:tab w:val="left" w:pos="425" w:leader="none"/>
              </w:tabs>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tabs>
                <w:tab w:val="left" w:pos="425" w:leader="none"/>
              </w:tabs>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tabs>
                <w:tab w:val="left" w:pos="425" w:leader="none"/>
              </w:tabs>
              <w:rPr>
                <w:szCs w:val="21"/>
              </w:rPr>
            </w:pPr>
            <w:r>
              <w:rPr>
                <w:szCs w:val="21"/>
              </w:rPr>
            </w:r>
            <w:r/>
          </w:p>
        </w:tc>
      </w:tr>
      <w:tr>
        <w:trPr>
          <w:jc w:val="center"/>
          <w:trHeight w:val="610"/>
          <w:tblHeader/>
        </w:trPr>
        <w:tc>
          <w:tcPr>
            <w:gridSpan w:val="3"/>
            <w:tcBorders>
              <w:top w:val="single" w:color="000000" w:sz="4" w:space="0"/>
              <w:left w:val="single" w:color="000000" w:sz="4" w:space="0"/>
              <w:bottom w:val="single" w:color="000000" w:sz="4" w:space="0"/>
              <w:right w:val="single" w:color="000000" w:sz="4" w:space="0"/>
            </w:tcBorders>
            <w:tcW w:w="5688" w:type="dxa"/>
            <w:vAlign w:val="center"/>
            <w:textDirection w:val="lrTb"/>
            <w:noWrap w:val="false"/>
          </w:tcPr>
          <w:p>
            <w:pPr>
              <w:jc w:val="center"/>
              <w:tabs>
                <w:tab w:val="left" w:pos="425" w:leader="none"/>
              </w:tabs>
              <w:rPr>
                <w:b/>
                <w:szCs w:val="21"/>
              </w:rPr>
            </w:pPr>
            <w:r>
              <w:rPr>
                <w:b/>
                <w:szCs w:val="21"/>
              </w:rPr>
              <w:t xml:space="preserve">合   计</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tabs>
                <w:tab w:val="left" w:pos="425" w:leader="none"/>
              </w:tabs>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tabs>
                <w:tab w:val="left" w:pos="425" w:leader="none"/>
              </w:tabs>
              <w:rPr>
                <w:szCs w:val="21"/>
              </w:rPr>
            </w:pPr>
            <w:r>
              <w:rPr>
                <w:szCs w:val="21"/>
              </w:rPr>
            </w:r>
            <w:r/>
          </w:p>
        </w:tc>
      </w:tr>
    </w:tbl>
    <w:p>
      <w:pPr>
        <w:spacing w:line="360" w:lineRule="auto"/>
        <w:rPr>
          <w:szCs w:val="21"/>
        </w:rPr>
      </w:pPr>
      <w:r>
        <w:rPr>
          <w:szCs w:val="21"/>
        </w:rPr>
        <w:t xml:space="preserve">特别说明：</w:t>
      </w:r>
      <w:r/>
    </w:p>
    <w:p>
      <w:pPr>
        <w:ind w:firstLine="420"/>
        <w:spacing w:line="360" w:lineRule="auto"/>
        <w:rPr>
          <w:szCs w:val="21"/>
        </w:rPr>
      </w:pPr>
      <w:r>
        <w:rPr>
          <w:szCs w:val="21"/>
        </w:rPr>
        <w:t xml:space="preserve">1.本项目总价及分项报价均不接受任何形式的赠送、“零”报价和折扣报价。</w:t>
      </w:r>
      <w:r/>
    </w:p>
    <w:p>
      <w:pPr>
        <w:ind w:firstLine="420"/>
        <w:spacing w:line="360" w:lineRule="auto"/>
        <w:rPr>
          <w:szCs w:val="21"/>
        </w:rPr>
      </w:pPr>
      <w:r>
        <w:rPr>
          <w:rFonts w:hint="eastAsia"/>
          <w:szCs w:val="21"/>
        </w:rPr>
        <w:t xml:space="preserve">2.“投标分项报价表”中“投标报价”合计金额应当与“开标一览表”中“投标总报价”数额一致。</w:t>
      </w:r>
      <w:r/>
    </w:p>
    <w:p>
      <w:pPr>
        <w:ind w:firstLine="420"/>
        <w:spacing w:line="360" w:lineRule="auto"/>
        <w:rPr>
          <w:szCs w:val="21"/>
        </w:rPr>
      </w:pPr>
      <w:r>
        <w:rPr>
          <w:rFonts w:hint="eastAsia"/>
          <w:szCs w:val="21"/>
        </w:rPr>
        <w:t xml:space="preserve">3</w:t>
      </w:r>
      <w:r>
        <w:rPr>
          <w:szCs w:val="21"/>
        </w:rPr>
        <w:t xml:space="preserve">.本表仅供参考，可扩展。</w:t>
      </w:r>
      <w:r/>
    </w:p>
    <w:p>
      <w:pPr>
        <w:pStyle w:val="959"/>
        <w:ind w:firstLine="420"/>
        <w:rPr>
          <w:rFonts w:ascii="Times New Roman" w:hAnsi="Times New Roman" w:cs="Times New Roman"/>
        </w:rPr>
      </w:pPr>
      <w:r>
        <w:rPr>
          <w:rFonts w:ascii="Times New Roman" w:hAnsi="Times New Roman" w:cs="Times New Roman"/>
        </w:rPr>
      </w:r>
      <w:r/>
    </w:p>
    <w:p>
      <w:pPr>
        <w:ind w:firstLine="420"/>
        <w:spacing w:line="360" w:lineRule="auto"/>
        <w:tabs>
          <w:tab w:val="left" w:pos="1230" w:leader="none"/>
        </w:tabs>
        <w:rPr>
          <w:szCs w:val="21"/>
        </w:rPr>
      </w:pPr>
      <w:r>
        <w:rPr>
          <w:szCs w:val="21"/>
        </w:rPr>
        <w:t xml:space="preserve">投标人（全称并加盖公章）：</w:t>
      </w:r>
      <w:r>
        <w:rPr>
          <w:szCs w:val="21"/>
          <w:u w:val="single"/>
        </w:rPr>
        <w:t xml:space="preserve">             </w:t>
      </w:r>
      <w:r/>
    </w:p>
    <w:p>
      <w:pPr>
        <w:ind w:firstLine="420"/>
        <w:spacing w:line="360" w:lineRule="auto"/>
        <w:tabs>
          <w:tab w:val="left" w:pos="1230" w:leader="none"/>
        </w:tabs>
        <w:rPr>
          <w:szCs w:val="21"/>
        </w:rPr>
      </w:pPr>
      <w:r>
        <w:rPr>
          <w:szCs w:val="21"/>
        </w:rPr>
        <w:t xml:space="preserve">投标人代表（签字或盖章）：</w:t>
      </w:r>
      <w:r>
        <w:rPr>
          <w:szCs w:val="21"/>
          <w:u w:val="single"/>
        </w:rPr>
        <w:t xml:space="preserve">             </w:t>
      </w:r>
      <w:r/>
    </w:p>
    <w:p>
      <w:pPr>
        <w:ind w:firstLine="420"/>
        <w:spacing w:line="360" w:lineRule="auto"/>
        <w:tabs>
          <w:tab w:val="left" w:pos="1230" w:leader="none"/>
        </w:tabs>
        <w:rPr>
          <w:szCs w:val="21"/>
        </w:rPr>
      </w:pPr>
      <w:r>
        <w:rPr>
          <w:szCs w:val="21"/>
        </w:rPr>
        <w:t xml:space="preserve">日期：</w:t>
      </w:r>
      <w:r>
        <w:rPr>
          <w:szCs w:val="21"/>
          <w:u w:val="single"/>
        </w:rPr>
        <w:t xml:space="preserve">                                 </w:t>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spacing w:line="460" w:lineRule="exact"/>
        <w:rPr>
          <w:rFonts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附件3</w:t>
      </w:r>
      <w:r>
        <w:rPr>
          <w:rFonts w:ascii="宋体" w:hAnsi="宋体"/>
          <w:b/>
          <w:color w:val="000000"/>
          <w:sz w:val="24"/>
          <w:szCs w:val="21"/>
        </w:rPr>
        <w:t xml:space="preserve">                       </w:t>
      </w:r>
      <w:r/>
    </w:p>
    <w:p>
      <w:pPr>
        <w:jc w:val="center"/>
        <w:spacing w:line="360" w:lineRule="auto"/>
        <w:widowControl/>
        <w:rPr>
          <w:rFonts w:ascii="宋体" w:hAnsi="宋体" w:cs="宋体"/>
          <w:b/>
          <w:bCs/>
          <w:sz w:val="32"/>
          <w:szCs w:val="32"/>
        </w:rPr>
      </w:pPr>
      <w:r>
        <w:rPr>
          <w:rFonts w:hint="eastAsia" w:ascii="宋体" w:hAnsi="宋体" w:cs="宋体"/>
          <w:b/>
          <w:bCs/>
          <w:sz w:val="32"/>
          <w:szCs w:val="32"/>
        </w:rPr>
        <w:t xml:space="preserve">法人授权委托书</w:t>
      </w:r>
      <w:r/>
    </w:p>
    <w:p>
      <w:pPr>
        <w:spacing w:line="360" w:lineRule="auto"/>
        <w:widowControl/>
        <w:rPr>
          <w:rFonts w:ascii="宋体" w:hAnsi="宋体" w:cs="宋体"/>
          <w:sz w:val="32"/>
          <w:szCs w:val="32"/>
        </w:rPr>
      </w:pPr>
      <w:r>
        <w:rPr>
          <w:rFonts w:ascii="宋体" w:hAnsi="宋体" w:cs="宋体"/>
          <w:sz w:val="32"/>
          <w:szCs w:val="32"/>
        </w:rPr>
      </w:r>
      <w:r/>
    </w:p>
    <w:p>
      <w:pPr>
        <w:ind w:firstLine="560"/>
        <w:spacing w:line="360" w:lineRule="auto"/>
        <w:widowControl/>
        <w:rPr>
          <w:rFonts w:ascii="宋体" w:hAnsi="宋体" w:cs="宋体"/>
          <w:sz w:val="24"/>
          <w:szCs w:val="24"/>
        </w:rPr>
      </w:pPr>
      <w:r>
        <w:rPr>
          <w:rFonts w:hint="eastAsia" w:ascii="宋体" w:hAnsi="宋体" w:cs="宋体"/>
          <w:sz w:val="24"/>
          <w:szCs w:val="24"/>
        </w:rPr>
        <w:t xml:space="preserve">本人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（授权单位名称）的法定代表人，现委托</w:t>
      </w:r>
      <w:r>
        <w:rPr>
          <w:rFonts w:hint="eastAsia" w:ascii="宋体" w:hAnsi="宋体" w:cs="宋体"/>
          <w:sz w:val="24"/>
          <w:szCs w:val="24"/>
          <w:u w:val="single"/>
        </w:rPr>
        <w:t xml:space="preserve">         </w:t>
      </w:r>
      <w:r>
        <w:rPr>
          <w:rFonts w:hint="eastAsia" w:ascii="宋体" w:hAnsi="宋体" w:cs="宋体"/>
          <w:sz w:val="24"/>
          <w:szCs w:val="24"/>
        </w:rPr>
        <w:t xml:space="preserve">（姓名）（身份证号</w:t>
      </w:r>
      <w:r>
        <w:rPr>
          <w:rFonts w:hint="eastAsia" w:ascii="宋体" w:hAnsi="宋体" w:cs="宋体"/>
          <w:sz w:val="24"/>
          <w:szCs w:val="24"/>
          <w:u w:val="single"/>
        </w:rPr>
        <w:t xml:space="preserve">            </w:t>
      </w:r>
      <w:r>
        <w:rPr>
          <w:rFonts w:hint="eastAsia" w:ascii="宋体" w:hAnsi="宋体" w:cs="宋体"/>
          <w:sz w:val="24"/>
          <w:szCs w:val="24"/>
        </w:rPr>
        <w:t xml:space="preserve">）为我方代理人，以我方名义全权处理与本次采购项目（项目名称：</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）有关的一切事务，其法律后果由我方承担。</w:t>
      </w:r>
      <w:r/>
    </w:p>
    <w:p>
      <w:pPr>
        <w:ind w:firstLine="560"/>
        <w:spacing w:line="360" w:lineRule="auto"/>
        <w:widowControl/>
        <w:rPr>
          <w:rFonts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日起生效。代理人无转委托权。</w:t>
      </w:r>
      <w:r/>
    </w:p>
    <w:p>
      <w:pPr>
        <w:ind w:firstLine="560"/>
        <w:spacing w:line="360" w:lineRule="auto"/>
        <w:widowControl/>
        <w:rPr>
          <w:rFonts w:ascii="宋体" w:hAnsi="宋体" w:cs="宋体"/>
          <w:sz w:val="24"/>
          <w:szCs w:val="24"/>
        </w:rPr>
      </w:pPr>
      <w:r>
        <w:rPr>
          <w:rFonts w:hint="eastAsia" w:ascii="宋体" w:hAnsi="宋体" w:cs="宋体"/>
          <w:sz w:val="24"/>
          <w:szCs w:val="24"/>
        </w:rPr>
        <w:t xml:space="preserve">代理人(被授权人): </w:t>
      </w:r>
      <w:r>
        <w:rPr>
          <w:rFonts w:hint="eastAsia" w:ascii="宋体" w:hAnsi="宋体" w:cs="宋体"/>
          <w:sz w:val="24"/>
          <w:szCs w:val="24"/>
          <w:u w:val="single"/>
        </w:rPr>
        <w:t xml:space="preserve">         </w:t>
      </w:r>
      <w:r>
        <w:rPr>
          <w:rFonts w:hint="eastAsia" w:ascii="宋体" w:hAnsi="宋体" w:cs="宋体"/>
          <w:sz w:val="24"/>
          <w:szCs w:val="24"/>
        </w:rPr>
        <w:t xml:space="preserve">。联系方式（手机号码）：</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953"/>
        <w:ind w:right="-46" w:firstLine="560"/>
        <w:spacing w:line="583" w:lineRule="auto"/>
        <w:rPr>
          <w:rFonts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p>
    <w:tbl>
      <w:tblPr>
        <w:tblStyle w:val="711"/>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textDirection w:val="lrTb"/>
            <w:noWrap/>
          </w:tcPr>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tc>
        <w:tc>
          <w:tcPr>
            <w:tcW w:w="3429" w:type="dxa"/>
            <w:textDirection w:val="lrTb"/>
            <w:noWrap/>
          </w:tcPr>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tc>
      </w:tr>
      <w:tr>
        <w:trPr>
          <w:jc w:val="center"/>
          <w:trHeight w:val="2319"/>
        </w:trPr>
        <w:tc>
          <w:tcPr>
            <w:tcW w:w="3410" w:type="dxa"/>
            <w:textDirection w:val="lrTb"/>
            <w:noWrap/>
          </w:tcPr>
          <w:p>
            <w:pPr>
              <w:spacing w:line="360" w:lineRule="auto"/>
              <w:tabs>
                <w:tab w:val="left" w:pos="5580" w:leader="none"/>
              </w:tabs>
              <w:rPr>
                <w:rFonts w:ascii="宋体" w:hAnsi="宋体"/>
                <w:sz w:val="24"/>
              </w:rPr>
            </w:pPr>
            <w:r>
              <w:rPr>
                <w:rFonts w:ascii="宋体" w:hAnsi="宋体"/>
                <w:sz w:val="24"/>
              </w:rPr>
            </w:r>
            <w:r/>
          </w:p>
        </w:tc>
        <w:tc>
          <w:tcPr>
            <w:tcW w:w="3429" w:type="dxa"/>
            <w:textDirection w:val="lrTb"/>
            <w:noWrap/>
          </w:tcPr>
          <w:p>
            <w:pPr>
              <w:spacing w:line="360" w:lineRule="auto"/>
              <w:tabs>
                <w:tab w:val="left" w:pos="5580" w:leader="none"/>
              </w:tabs>
              <w:rPr>
                <w:rFonts w:ascii="宋体" w:hAnsi="宋体"/>
                <w:sz w:val="24"/>
              </w:rPr>
            </w:pPr>
            <w:r>
              <w:rPr>
                <w:rFonts w:ascii="宋体" w:hAnsi="宋体"/>
                <w:sz w:val="24"/>
              </w:rPr>
            </w:r>
            <w:r/>
          </w:p>
        </w:tc>
      </w:tr>
    </w:tbl>
    <w:p>
      <w:pPr>
        <w:contextualSpacing/>
        <w:ind w:firstLine="540"/>
        <w:spacing w:line="360" w:lineRule="auto"/>
        <w:widowControl/>
        <w:rPr>
          <w:rFonts w:ascii="宋体" w:hAnsi="宋体" w:cs="宋体"/>
          <w:b/>
          <w:sz w:val="28"/>
          <w:szCs w:val="28"/>
        </w:rPr>
      </w:pPr>
      <w:r>
        <w:rPr>
          <w:rFonts w:ascii="宋体" w:hAnsi="宋体" w:cs="宋体"/>
          <w:b/>
          <w:sz w:val="28"/>
          <w:szCs w:val="28"/>
        </w:rPr>
      </w:r>
      <w:r/>
    </w:p>
    <w:p>
      <w:pPr>
        <w:pStyle w:val="953"/>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供应商全称（加盖电子公章）：</w:t>
      </w:r>
      <w:r/>
    </w:p>
    <w:p>
      <w:pPr>
        <w:pStyle w:val="953"/>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法定代表人签字或盖电子章：</w:t>
      </w:r>
      <w:r/>
    </w:p>
    <w:p>
      <w:pPr>
        <w:pStyle w:val="953"/>
        <w:ind w:right="-46" w:firstLine="4110"/>
        <w:spacing w:line="583" w:lineRule="auto"/>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p>
    <w:p>
      <w:pPr>
        <w:rPr>
          <w:rFonts w:ascii="宋体" w:hAnsi="宋体"/>
          <w:b/>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附件4</w:t>
      </w:r>
      <w:r/>
    </w:p>
    <w:p>
      <w:pPr>
        <w:jc w:val="center"/>
        <w:rPr>
          <w:rFonts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p>
    <w:p>
      <w:pPr>
        <w:spacing w:line="460" w:lineRule="exact"/>
        <w:rPr>
          <w:rFonts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p>
    <w:p>
      <w:pPr>
        <w:ind w:firstLine="480"/>
        <w:spacing w:line="520" w:lineRule="exact"/>
        <w:rPr>
          <w:rFonts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u w:val="single"/>
        </w:rPr>
        <w:t xml:space="preserve">                 </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（项目编号）投标活动。针对《中华人民共和国政府采购法》第二十二条规定做出如下声明：</w:t>
      </w:r>
      <w:r/>
    </w:p>
    <w:p>
      <w:pPr>
        <w:ind w:firstLine="482"/>
        <w:spacing w:line="520" w:lineRule="exact"/>
        <w:rPr>
          <w:rFonts w:ascii="宋体" w:hAnsi="宋体" w:cs="宋体"/>
          <w:color w:val="000000"/>
          <w:sz w:val="24"/>
        </w:rPr>
      </w:pPr>
      <w:r>
        <w:rPr>
          <w:rFonts w:hint="eastAsia" w:ascii="宋体" w:hAnsi="宋体" w:cs="宋体"/>
          <w:bCs/>
          <w:color w:val="000000"/>
          <w:sz w:val="24"/>
          <w:szCs w:val="21"/>
        </w:rPr>
        <w:t xml:space="preserve">1.我单位具有独立承担民事责任的能力；</w:t>
      </w:r>
      <w:r/>
    </w:p>
    <w:p>
      <w:pPr>
        <w:ind w:firstLine="482"/>
        <w:spacing w:line="520" w:lineRule="exact"/>
        <w:rPr>
          <w:rFonts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2"/>
        <w:spacing w:line="520" w:lineRule="exact"/>
        <w:rPr>
          <w:rFonts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2"/>
        <w:spacing w:line="520" w:lineRule="exact"/>
        <w:rPr>
          <w:rFonts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2"/>
        <w:spacing w:line="520" w:lineRule="exact"/>
        <w:rPr>
          <w:rFonts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000000"/>
          <w:sz w:val="24"/>
        </w:rPr>
      </w:pPr>
      <w:r>
        <w:rPr>
          <w:rFonts w:hint="eastAsia" w:ascii="宋体" w:hAnsi="宋体" w:cs="宋体"/>
          <w:color w:val="000000"/>
          <w:sz w:val="24"/>
        </w:rPr>
        <w:t xml:space="preserve">6.我单位满足法律、行政法规规定的其他条件。</w:t>
      </w:r>
      <w:r/>
    </w:p>
    <w:p>
      <w:pPr>
        <w:ind w:firstLine="482"/>
        <w:spacing w:line="500" w:lineRule="exact"/>
        <w:rPr>
          <w:rFonts w:ascii="宋体" w:hAnsi="宋体" w:cs="宋体"/>
          <w:color w:val="000000"/>
          <w:sz w:val="24"/>
        </w:rPr>
      </w:pPr>
      <w:r>
        <w:rPr>
          <w:rFonts w:ascii="宋体" w:hAnsi="宋体" w:cs="宋体"/>
          <w:color w:val="000000"/>
          <w:sz w:val="24"/>
        </w:rPr>
      </w:r>
      <w:r/>
    </w:p>
    <w:p>
      <w:pPr>
        <w:spacing w:line="500" w:lineRule="exact"/>
        <w:rPr>
          <w:rFonts w:ascii="宋体" w:hAnsi="宋体" w:cs="宋体"/>
          <w:color w:val="000000"/>
          <w:sz w:val="24"/>
        </w:rPr>
      </w:pPr>
      <w:r>
        <w:rPr>
          <w:rFonts w:ascii="宋体" w:hAnsi="宋体" w:cs="宋体"/>
          <w:color w:val="000000"/>
          <w:sz w:val="24"/>
        </w:rPr>
      </w:r>
      <w:r/>
    </w:p>
    <w:p>
      <w:pPr>
        <w:jc w:val="center"/>
        <w:spacing w:line="460" w:lineRule="exact"/>
        <w:rPr>
          <w:rFonts w:ascii="宋体" w:hAnsi="宋体" w:cs="宋体"/>
          <w:bCs/>
          <w:color w:val="000000"/>
          <w:sz w:val="24"/>
          <w:szCs w:val="21"/>
        </w:rPr>
      </w:pPr>
      <w:r>
        <w:rPr>
          <w:rFonts w:hint="eastAsia" w:ascii="宋体" w:hAnsi="宋体" w:cs="宋体"/>
          <w:bCs/>
          <w:color w:val="000000"/>
          <w:sz w:val="24"/>
          <w:szCs w:val="21"/>
        </w:rPr>
        <w:t xml:space="preserve">                       供应商全称（加盖电子公章）：</w:t>
      </w:r>
      <w:r/>
    </w:p>
    <w:p>
      <w:pPr>
        <w:jc w:val="right"/>
        <w:spacing w:line="460" w:lineRule="exact"/>
        <w:rPr>
          <w:rFonts w:ascii="宋体" w:hAnsi="宋体" w:cs="宋体"/>
          <w:bCs/>
          <w:color w:val="000000"/>
          <w:sz w:val="24"/>
          <w:szCs w:val="21"/>
        </w:rPr>
      </w:pPr>
      <w:r>
        <w:rPr>
          <w:rFonts w:hint="eastAsia" w:ascii="宋体" w:hAnsi="宋体" w:cs="宋体"/>
          <w:bCs/>
          <w:color w:val="000000"/>
          <w:sz w:val="24"/>
          <w:szCs w:val="21"/>
        </w:rPr>
        <w:t xml:space="preserve">    </w:t>
      </w:r>
      <w:r/>
    </w:p>
    <w:p>
      <w:pPr>
        <w:ind w:left="420" w:firstLine="3600"/>
        <w:spacing w:line="360" w:lineRule="auto"/>
        <w:tabs>
          <w:tab w:val="left" w:pos="5580" w:leader="none"/>
        </w:tabs>
        <w:rPr>
          <w:rFonts w:ascii="宋体" w:hAnsi="宋体" w:cs="宋体"/>
          <w:sz w:val="24"/>
          <w:szCs w:val="24"/>
        </w:rPr>
      </w:pPr>
      <w:r>
        <w:rPr>
          <w:rFonts w:hint="eastAsia" w:ascii="宋体" w:hAnsi="宋体" w:cs="宋体"/>
          <w:bCs/>
          <w:color w:val="000000"/>
          <w:sz w:val="24"/>
          <w:szCs w:val="21"/>
        </w:rPr>
        <w:t xml:space="preserve">    </w:t>
      </w: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p>
    <w:p>
      <w:pPr>
        <w:jc w:val="center"/>
        <w:spacing w:line="460" w:lineRule="exact"/>
        <w:rPr>
          <w:rFonts w:ascii="宋体" w:hAnsi="宋体" w:cs="宋体"/>
          <w:bCs/>
          <w:color w:val="000000"/>
          <w:sz w:val="24"/>
          <w:szCs w:val="21"/>
        </w:rPr>
      </w:pPr>
      <w:r>
        <w:rPr>
          <w:rFonts w:ascii="宋体" w:hAnsi="宋体" w:cs="宋体"/>
          <w:bCs/>
          <w:color w:val="000000"/>
          <w:sz w:val="24"/>
          <w:szCs w:val="21"/>
        </w:rPr>
      </w:r>
      <w:r/>
    </w:p>
    <w:p>
      <w:pPr>
        <w:keepLines/>
        <w:keepNext/>
        <w:spacing w:line="360" w:lineRule="auto"/>
        <w:rPr>
          <w:rFonts w:ascii="宋体" w:hAnsi="宋体"/>
          <w:b/>
          <w:color w:val="000000"/>
          <w:sz w:val="24"/>
          <w:szCs w:val="21"/>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致：南通市海门区公共资源交易中心</w:t>
      </w:r>
      <w:r/>
    </w:p>
    <w:p>
      <w:pPr>
        <w:pStyle w:val="1004"/>
        <w:spacing w:before="0" w:after="0"/>
        <w:rPr>
          <w:rFonts w:ascii="宋体" w:hAnsi="宋体" w:cs="宋体"/>
        </w:rPr>
      </w:pPr>
      <w:r>
        <w:rPr>
          <w:rFonts w:hint="eastAsia" w:ascii="宋体" w:hAnsi="宋体" w:cs="宋体"/>
        </w:rPr>
        <w:t xml:space="preserve">根据</w:t>
      </w:r>
      <w:r>
        <w:rPr>
          <w:rFonts w:hint="eastAsia" w:ascii="宋体" w:hAnsi="宋体" w:cs="宋体"/>
          <w:u w:val="single"/>
        </w:rPr>
        <w:t xml:space="preserve">                   （项目名称）</w:t>
      </w:r>
      <w:r>
        <w:rPr>
          <w:rFonts w:hint="eastAsia" w:ascii="宋体" w:hAnsi="宋体" w:cs="宋体"/>
        </w:rPr>
        <w:t xml:space="preserve">招标文件，正式授权_________(被授权人姓名)代表我方______________（供应商的名称），全权处理本次项目的有关事宜。</w:t>
      </w:r>
      <w:r/>
    </w:p>
    <w:p>
      <w:pPr>
        <w:pStyle w:val="1004"/>
        <w:spacing w:before="0" w:after="0"/>
        <w:rPr>
          <w:rFonts w:ascii="宋体" w:hAnsi="宋体" w:cs="宋体"/>
        </w:rPr>
      </w:pPr>
      <w:r>
        <w:rPr>
          <w:rFonts w:hint="eastAsia" w:ascii="宋体" w:hAnsi="宋体" w:cs="宋体"/>
        </w:rPr>
        <w:t xml:space="preserve">据此函，_________(被授权人姓名）兹宣布同意如下：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ascii="宋体" w:hAnsi="宋体" w:cs="宋体"/>
          <w:sz w:val="24"/>
          <w:szCs w:val="24"/>
        </w:rPr>
      </w:pPr>
      <w:r>
        <w:rPr>
          <w:rFonts w:ascii="宋体" w:hAnsi="宋体" w:cs="宋体"/>
          <w:sz w:val="24"/>
          <w:szCs w:val="24"/>
        </w:rPr>
      </w:r>
      <w:r/>
    </w:p>
    <w:p>
      <w:pPr>
        <w:ind w:left="420" w:firstLine="3600"/>
        <w:spacing w:line="360" w:lineRule="auto"/>
        <w:tabs>
          <w:tab w:val="left" w:pos="5580" w:leader="none"/>
        </w:tabs>
        <w:rPr>
          <w:rFonts w:ascii="宋体" w:hAnsi="宋体" w:cs="宋体"/>
          <w:sz w:val="24"/>
          <w:szCs w:val="24"/>
        </w:rPr>
      </w:pPr>
      <w:r>
        <w:rPr>
          <w:rFonts w:ascii="宋体" w:hAnsi="宋体" w:cs="宋体"/>
          <w:sz w:val="24"/>
          <w:szCs w:val="24"/>
        </w:rPr>
      </w:r>
      <w:r/>
    </w:p>
    <w:p>
      <w:pPr>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供应商全称：（加盖电子公章）</w:t>
      </w:r>
      <w:r/>
    </w:p>
    <w:p>
      <w:pPr>
        <w:ind w:left="420" w:firstLine="3360"/>
        <w:spacing w:line="360" w:lineRule="auto"/>
        <w:tabs>
          <w:tab w:val="left" w:pos="5580" w:leader="none"/>
        </w:tabs>
        <w:rPr>
          <w:rFonts w:ascii="宋体" w:hAnsi="宋体" w:cs="宋体"/>
          <w:sz w:val="24"/>
          <w:szCs w:val="24"/>
        </w:rPr>
      </w:pPr>
      <w:r>
        <w:rPr>
          <w:rFonts w:ascii="宋体" w:hAnsi="宋体" w:cs="宋体"/>
          <w:sz w:val="24"/>
          <w:szCs w:val="24"/>
        </w:rPr>
      </w:r>
      <w:r/>
    </w:p>
    <w:p>
      <w:pPr>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p>
    <w:p>
      <w:pPr>
        <w:jc w:val="left"/>
        <w:spacing w:line="300" w:lineRule="auto"/>
        <w:rPr>
          <w:rFonts w:ascii="宋体" w:hAnsi="宋体"/>
          <w:color w:val="ff0000"/>
          <w:sz w:val="24"/>
          <w:szCs w:val="24"/>
        </w:rPr>
        <w:outlineLvl w:val="0"/>
      </w:pPr>
      <w:r>
        <w:rPr>
          <w:rFonts w:hint="eastAsia" w:ascii="宋体" w:hAnsi="宋体"/>
          <w:b/>
          <w:sz w:val="24"/>
          <w:szCs w:val="24"/>
        </w:rPr>
        <w:br w:type="page" w:clear="all"/>
      </w:r>
      <w:r>
        <w:rPr>
          <w:rFonts w:hint="eastAsia" w:ascii="宋体" w:hAnsi="宋体"/>
          <w:b/>
          <w:sz w:val="24"/>
          <w:szCs w:val="21"/>
        </w:rPr>
        <w:t xml:space="preserve">附件6 </w:t>
      </w:r>
      <w:r>
        <w:rPr>
          <w:rFonts w:ascii="宋体" w:hAnsi="宋体"/>
          <w:color w:val="ff0000"/>
          <w:sz w:val="24"/>
          <w:szCs w:val="24"/>
        </w:rPr>
        <w:t xml:space="preserve">    </w:t>
      </w:r>
      <w:r/>
    </w:p>
    <w:p>
      <w:pPr>
        <w:jc w:val="center"/>
        <w:spacing w:line="300" w:lineRule="auto"/>
        <w:rPr>
          <w:rFonts w:ascii="宋体" w:hAnsi="宋体" w:cs="宋体"/>
          <w:b/>
          <w:bCs/>
          <w:sz w:val="28"/>
          <w:szCs w:val="28"/>
          <w:lang w:bidi="zh-CN"/>
        </w:rPr>
        <w:outlineLvl w:val="0"/>
      </w:pPr>
      <w:r>
        <w:rPr>
          <w:rFonts w:hint="eastAsia" w:ascii="宋体" w:hAnsi="宋体" w:cs="宋体"/>
          <w:b/>
          <w:bCs/>
          <w:sz w:val="28"/>
          <w:szCs w:val="28"/>
          <w:lang w:bidi="zh-CN"/>
        </w:rPr>
        <w:t xml:space="preserve">中小企业声明函（服务）</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lang w:bidi="zh-CN"/>
        </w:rPr>
        <w:t xml:space="preserve">国家税务总局南通市海门区税务局</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国家税务总局南通市海门区税务局采购机关及分局物业服务项目</w:t>
      </w:r>
      <w:r>
        <w:rPr>
          <w:rFonts w:hint="eastAsia" w:ascii="宋体" w:hAnsi="宋体" w:cs="宋体"/>
          <w:sz w:val="28"/>
          <w:szCs w:val="28"/>
          <w:lang w:bidi="zh-CN"/>
        </w:rPr>
        <w:t xml:space="preserve">采购活动，服务全部由符合政策要求的中小企业承接。相关企业的具体情况如下：</w:t>
      </w:r>
      <w:r/>
    </w:p>
    <w:p>
      <w:pPr>
        <w:ind w:firstLine="560"/>
        <w:jc w:val="left"/>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机关及分局物业服务</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物业管理</w:t>
      </w:r>
      <w:r>
        <w:rPr>
          <w:rFonts w:hint="eastAsia" w:ascii="宋体" w:hAnsi="宋体" w:cs="宋体"/>
          <w:sz w:val="28"/>
          <w:szCs w:val="28"/>
          <w:lang w:bidi="zh-CN"/>
        </w:rPr>
        <w:t xml:space="preserve">；承接企业为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val="en-US" w:bidi="zh-CN"/>
        </w:rPr>
        <w:t xml:space="preserve">    </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jc w:val="left"/>
        <w:widowControl/>
        <w:rPr>
          <w:sz w:val="22"/>
          <w:szCs w:val="28"/>
        </w:rPr>
      </w:pPr>
      <w:r>
        <w:rPr>
          <w:rFonts w:hint="eastAsia" w:ascii="宋体" w:hAnsi="宋体" w:cs="宋体"/>
          <w:color w:val="000000"/>
          <w:szCs w:val="21"/>
          <w:lang w:bidi="ar"/>
        </w:rPr>
        <w:t xml:space="preserve">注：1.如项目属性为“服务”或“工程”，请按本表填写。 </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2.从业人员、营业收入、资产总额填报上一年度数据，无上一年度数据的新成立企业可不填报。 </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4.供应商应对照《工业和信息化部、国家统计局、国家发展和改革委员会、</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企业名称（盖章）：</w:t>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日期：</w:t>
      </w:r>
      <w:r/>
    </w:p>
    <w:p>
      <w:pPr>
        <w:spacing w:line="300" w:lineRule="auto"/>
        <w:rPr>
          <w:rFonts w:ascii="宋体" w:hAnsi="宋体"/>
          <w:b/>
          <w:sz w:val="24"/>
          <w:szCs w:val="24"/>
        </w:rPr>
        <w:outlineLvl w:val="0"/>
      </w:pPr>
      <w:r>
        <w:rPr>
          <w:rFonts w:ascii="黑体" w:hAnsi="黑体" w:eastAsia="黑体"/>
          <w:b/>
          <w:color w:val="000000"/>
          <w:sz w:val="32"/>
          <w:szCs w:val="32"/>
        </w:rPr>
        <w:br w:type="page" w:clear="all"/>
      </w:r>
      <w:r>
        <w:rPr>
          <w:rFonts w:hint="eastAsia" w:ascii="宋体" w:hAnsi="宋体"/>
          <w:b/>
          <w:sz w:val="24"/>
          <w:szCs w:val="24"/>
        </w:rPr>
        <w:t xml:space="preserve">附件7</w:t>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z w:val="28"/>
          <w:szCs w:val="28"/>
        </w:rPr>
        <w:t xml:space="preserve">单位的项目编号为</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588" w:lineRule="exact"/>
        <w:rPr>
          <w:rFonts w:ascii="宋体" w:hAnsi="宋体" w:cs="宋体"/>
          <w:sz w:val="28"/>
          <w:szCs w:val="28"/>
        </w:rPr>
      </w:pPr>
      <w:r>
        <w:rPr>
          <w:rFonts w:ascii="宋体" w:hAnsi="宋体" w:cs="宋体"/>
          <w:sz w:val="28"/>
          <w:szCs w:val="28"/>
        </w:rPr>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附件8</w:t>
      </w:r>
      <w:r/>
    </w:p>
    <w:p>
      <w:pPr>
        <w:jc w:val="center"/>
        <w:rPr>
          <w:rFonts w:ascii="宋体" w:hAnsi="宋体"/>
          <w:b/>
          <w:sz w:val="24"/>
          <w:szCs w:val="24"/>
        </w:rPr>
      </w:pPr>
      <w:r>
        <w:rPr>
          <w:rFonts w:hint="eastAsia" w:ascii="宋体" w:hAnsi="宋体" w:cs="宋体"/>
          <w:b/>
          <w:color w:val="000000"/>
          <w:sz w:val="32"/>
          <w:szCs w:val="32"/>
        </w:rPr>
        <w:t xml:space="preserve">实质性要求响应及偏离表</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center"/>
        <w:rPr>
          <w:rFonts w:hint="eastAsia" w:ascii="宋体" w:hAnsi="宋体" w:cs="宋体"/>
          <w:b/>
          <w:color w:val="auto"/>
          <w:sz w:val="32"/>
          <w:szCs w:val="32"/>
        </w:rPr>
      </w:pPr>
      <w:r>
        <w:rPr>
          <w:rFonts w:hint="eastAsia" w:ascii="宋体" w:hAnsi="宋体"/>
          <w:b/>
          <w:sz w:val="24"/>
          <w:szCs w:val="24"/>
        </w:rPr>
        <w:br w:type="page" w:clear="all"/>
      </w:r>
      <w:r>
        <w:rPr>
          <w:rFonts w:hint="eastAsia" w:ascii="宋体" w:hAnsi="宋体" w:cs="宋体"/>
          <w:b/>
          <w:color w:val="auto"/>
          <w:sz w:val="32"/>
          <w:szCs w:val="32"/>
        </w:rPr>
        <w:t xml:space="preserve">拟派人员配置承诺函</w:t>
      </w:r>
      <w:r/>
    </w:p>
    <w:p>
      <w:pPr>
        <w:spacing w:before="120" w:after="120" w:line="360" w:lineRule="auto"/>
        <w:rPr>
          <w:rFonts w:hint="eastAsia" w:cs="Arial"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r>
      <w:r/>
    </w:p>
    <w:p>
      <w:pPr>
        <w:spacing w:before="120" w:after="120" w:line="360" w:lineRule="auto"/>
        <w:rPr>
          <w:rFonts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 xml:space="preserve">    </w:t>
      </w:r>
      <w:r>
        <w:rPr>
          <w:rFonts w:cs="Arial" w:asciiTheme="minorEastAsia" w:hAnsiTheme="minorEastAsia" w:eastAsiaTheme="minorEastAsia"/>
          <w:color w:val="auto"/>
          <w:sz w:val="24"/>
          <w:szCs w:val="24"/>
        </w:rPr>
        <w:t xml:space="preserve">我方【投标单位全称】，就参与【项目名称】（项目编号：【       】）投标事宜，针对本项目招标文件、采购需求中所有人员配置、岗位要求、人员数量、资质条件、从业资格、人员配备标准等相关要求，郑重作出如下承诺：</w:t>
      </w:r>
      <w:r/>
    </w:p>
    <w:p>
      <w:pPr>
        <w:jc w:val="left"/>
        <w:spacing w:before="120" w:after="120" w:line="360" w:lineRule="auto"/>
        <w:rPr>
          <w:rFonts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 xml:space="preserve">    1、</w:t>
      </w:r>
      <w:r>
        <w:rPr>
          <w:rFonts w:cs="Arial" w:asciiTheme="minorEastAsia" w:hAnsiTheme="minorEastAsia" w:eastAsiaTheme="minorEastAsia"/>
          <w:color w:val="auto"/>
          <w:sz w:val="24"/>
          <w:szCs w:val="24"/>
        </w:rPr>
        <w:t xml:space="preserve">我方已认真、完整审阅本项目全部采购文件、答疑文件及补充文件，充分理解并完全认可本项目对项目管理人员、作业人员、技术人员等全部人员配置标准。</w:t>
      </w:r>
      <w:r/>
    </w:p>
    <w:p>
      <w:pPr>
        <w:jc w:val="left"/>
        <w:spacing w:before="120" w:after="120" w:line="360" w:lineRule="auto"/>
        <w:rPr>
          <w:rFonts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 xml:space="preserve">    2、</w:t>
      </w:r>
      <w:r>
        <w:rPr>
          <w:rFonts w:cs="Arial" w:asciiTheme="minorEastAsia" w:hAnsiTheme="minorEastAsia" w:eastAsiaTheme="minorEastAsia"/>
          <w:color w:val="auto"/>
          <w:sz w:val="24"/>
          <w:szCs w:val="24"/>
        </w:rPr>
        <w:t xml:space="preserve">我方本次投标所投报的拟派人员数量、岗位配置、人员资质、从业经验、专业能力等全部内容完全响应招标文件要求，无任何负偏离、无缺项、无降标、无遗漏，全部满足采购需求。</w:t>
      </w:r>
      <w:r/>
    </w:p>
    <w:p>
      <w:pPr>
        <w:jc w:val="left"/>
        <w:spacing w:before="120" w:after="120" w:line="360" w:lineRule="auto"/>
        <w:rPr>
          <w:rFonts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 xml:space="preserve">    3、</w:t>
      </w:r>
      <w:r>
        <w:rPr>
          <w:rFonts w:cs="Arial" w:asciiTheme="minorEastAsia" w:hAnsiTheme="minorEastAsia" w:eastAsiaTheme="minorEastAsia"/>
          <w:color w:val="auto"/>
          <w:sz w:val="24"/>
          <w:szCs w:val="24"/>
        </w:rPr>
        <w:t xml:space="preserve">若我方有幸中标，将严格按照投标文件所承诺的人员、岗位、数量组建项目团队，保证人员到位率及岗位匹配性，严格按照采购要求全程履约。未经采购人书面同意，不擅自减少、调换、更换项目关键岗位及在岗人员，不降低人员配置标准。</w:t>
      </w:r>
      <w:r/>
    </w:p>
    <w:p>
      <w:pPr>
        <w:jc w:val="left"/>
        <w:spacing w:before="120" w:after="120" w:line="360" w:lineRule="auto"/>
        <w:rPr>
          <w:rFonts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 xml:space="preserve">    4、</w:t>
      </w:r>
      <w:r>
        <w:rPr>
          <w:rFonts w:cs="Arial" w:asciiTheme="minorEastAsia" w:hAnsiTheme="minorEastAsia" w:eastAsiaTheme="minorEastAsia"/>
          <w:color w:val="auto"/>
          <w:sz w:val="24"/>
          <w:szCs w:val="24"/>
        </w:rPr>
        <w:t xml:space="preserve">如经查实，我方拟派人员存在数量不足、资质不符、配置不达标、存在负偏离、资料不实或未按承诺到位履约等情形，我方自愿接受评标无效、取消中标资格、解除合同、扣除</w:t>
      </w:r>
      <w:r>
        <w:rPr>
          <w:rFonts w:hint="eastAsia" w:cs="Arial" w:asciiTheme="minorEastAsia" w:hAnsiTheme="minorEastAsia" w:eastAsiaTheme="minorEastAsia"/>
          <w:color w:val="auto"/>
          <w:sz w:val="24"/>
          <w:szCs w:val="24"/>
        </w:rPr>
        <w:t xml:space="preserve"> </w:t>
      </w:r>
      <w:r>
        <w:rPr>
          <w:rFonts w:cs="Arial" w:asciiTheme="minorEastAsia" w:hAnsiTheme="minorEastAsia" w:eastAsiaTheme="minorEastAsia"/>
          <w:color w:val="auto"/>
          <w:sz w:val="24"/>
          <w:szCs w:val="24"/>
        </w:rPr>
        <w:t xml:space="preserve">履约保证金、记入不良信用记录等一切处理，并承担由此产生的全部损失及相应法律责任。</w:t>
      </w:r>
      <w:r/>
    </w:p>
    <w:p>
      <w:pPr>
        <w:spacing w:before="120" w:after="120" w:line="360" w:lineRule="auto"/>
        <w:rPr>
          <w:rFonts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 xml:space="preserve">    </w:t>
      </w:r>
      <w:r>
        <w:rPr>
          <w:rFonts w:cs="Arial" w:asciiTheme="minorEastAsia" w:hAnsiTheme="minorEastAsia" w:eastAsiaTheme="minorEastAsia"/>
          <w:color w:val="auto"/>
          <w:sz w:val="24"/>
          <w:szCs w:val="24"/>
        </w:rPr>
        <w:t xml:space="preserve">本承诺函内容真实、有效，自愿接受招标人、招标代理机构及行业监管部门监督核查。</w:t>
      </w:r>
      <w:r/>
    </w:p>
    <w:p>
      <w:pPr>
        <w:jc w:val="right"/>
        <w:spacing w:before="120" w:after="120" w:line="360" w:lineRule="auto"/>
        <w:rPr>
          <w:rFonts w:cs="Arial" w:asciiTheme="minorEastAsia" w:hAnsiTheme="minorEastAsia" w:eastAsiaTheme="minorEastAsia"/>
          <w:color w:val="auto"/>
          <w:sz w:val="24"/>
          <w:szCs w:val="24"/>
        </w:rPr>
      </w:pPr>
      <w:r>
        <w:rPr>
          <w:rFonts w:cs="Arial" w:asciiTheme="minorEastAsia" w:hAnsiTheme="minorEastAsia" w:eastAsiaTheme="minorEastAsia"/>
          <w:color w:val="auto"/>
          <w:sz w:val="24"/>
          <w:szCs w:val="24"/>
        </w:rPr>
      </w:r>
      <w:r/>
    </w:p>
    <w:p>
      <w:pPr>
        <w:spacing w:before="120" w:after="120" w:line="360" w:lineRule="auto"/>
        <w:rPr>
          <w:rFonts w:cs="Arial"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 xml:space="preserve">                                       </w:t>
      </w:r>
      <w:r>
        <w:rPr>
          <w:rFonts w:cs="Arial" w:asciiTheme="minorEastAsia" w:hAnsiTheme="minorEastAsia" w:eastAsiaTheme="minorEastAsia"/>
          <w:color w:val="auto"/>
          <w:sz w:val="24"/>
          <w:szCs w:val="24"/>
        </w:rPr>
        <w:t xml:space="preserve">承诺单位（公章）</w:t>
      </w:r>
      <w:r>
        <w:rPr>
          <w:rFonts w:hint="eastAsia" w:cs="Arial" w:asciiTheme="minorEastAsia" w:hAnsiTheme="minorEastAsia" w:eastAsiaTheme="minorEastAsia"/>
          <w:color w:val="auto"/>
          <w:sz w:val="24"/>
          <w:szCs w:val="24"/>
        </w:rPr>
        <w:t xml:space="preserve">：</w:t>
      </w:r>
      <w:r/>
    </w:p>
    <w:p>
      <w:pPr>
        <w:spacing w:before="120" w:after="120" w:line="360" w:lineRule="auto"/>
        <w:rPr>
          <w:rFonts w:cs="Arial"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 xml:space="preserve">                                       </w:t>
      </w:r>
      <w:r>
        <w:rPr>
          <w:rFonts w:cs="Arial" w:asciiTheme="minorEastAsia" w:hAnsiTheme="minorEastAsia" w:eastAsiaTheme="minorEastAsia"/>
          <w:color w:val="auto"/>
          <w:sz w:val="24"/>
          <w:szCs w:val="24"/>
        </w:rPr>
        <w:t xml:space="preserve">法定代表人 / 授权委托人（签字或盖章）：</w:t>
      </w:r>
      <w:r/>
    </w:p>
    <w:p>
      <w:pPr>
        <w:jc w:val="center"/>
        <w:spacing w:before="120" w:after="120" w:line="360" w:lineRule="auto"/>
        <w:rPr>
          <w:rFonts w:cs="Arial"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 xml:space="preserve">                        </w:t>
      </w:r>
      <w:r>
        <w:rPr>
          <w:rFonts w:cs="Arial" w:asciiTheme="minorEastAsia" w:hAnsiTheme="minorEastAsia" w:eastAsiaTheme="minorEastAsia"/>
          <w:color w:val="auto"/>
          <w:sz w:val="24"/>
          <w:szCs w:val="24"/>
        </w:rPr>
        <w:t xml:space="preserve">日期：</w:t>
      </w:r>
      <w:r>
        <w:rPr>
          <w:rFonts w:hint="eastAsia" w:cs="Arial" w:asciiTheme="minorEastAsia" w:hAnsiTheme="minorEastAsia" w:eastAsiaTheme="minorEastAsia"/>
          <w:color w:val="auto"/>
          <w:sz w:val="24"/>
          <w:szCs w:val="24"/>
        </w:rPr>
        <w:t xml:space="preserve">     </w:t>
      </w:r>
      <w:r>
        <w:rPr>
          <w:rFonts w:cs="Arial" w:asciiTheme="minorEastAsia" w:hAnsiTheme="minorEastAsia" w:eastAsiaTheme="minorEastAsia"/>
          <w:color w:val="auto"/>
          <w:sz w:val="24"/>
          <w:szCs w:val="24"/>
        </w:rPr>
        <w:t xml:space="preserve">年</w:t>
      </w:r>
      <w:r>
        <w:rPr>
          <w:rFonts w:hint="eastAsia" w:cs="Arial" w:asciiTheme="minorEastAsia" w:hAnsiTheme="minorEastAsia" w:eastAsiaTheme="minorEastAsia"/>
          <w:color w:val="auto"/>
          <w:sz w:val="24"/>
          <w:szCs w:val="24"/>
        </w:rPr>
        <w:t xml:space="preserve">     </w:t>
      </w:r>
      <w:r>
        <w:rPr>
          <w:rFonts w:cs="Arial" w:asciiTheme="minorEastAsia" w:hAnsiTheme="minorEastAsia" w:eastAsiaTheme="minorEastAsia"/>
          <w:color w:val="auto"/>
          <w:sz w:val="24"/>
          <w:szCs w:val="24"/>
        </w:rPr>
        <w:t xml:space="preserve">月</w:t>
      </w:r>
      <w:r>
        <w:rPr>
          <w:rFonts w:hint="eastAsia" w:cs="Arial" w:asciiTheme="minorEastAsia" w:hAnsiTheme="minorEastAsia" w:eastAsiaTheme="minorEastAsia"/>
          <w:color w:val="auto"/>
          <w:sz w:val="24"/>
          <w:szCs w:val="24"/>
        </w:rPr>
        <w:t xml:space="preserve">     </w:t>
      </w:r>
      <w:r>
        <w:rPr>
          <w:rFonts w:cs="Arial" w:asciiTheme="minorEastAsia" w:hAnsiTheme="minorEastAsia" w:eastAsiaTheme="minorEastAsia"/>
          <w:color w:val="auto"/>
          <w:sz w:val="24"/>
          <w:szCs w:val="24"/>
        </w:rPr>
        <w:t xml:space="preserve">日</w:t>
      </w:r>
      <w:r/>
    </w:p>
    <w:p>
      <w:pPr>
        <w:pStyle w:val="712"/>
      </w:pPr>
      <w:r/>
      <w:r/>
    </w:p>
    <w:p>
      <w:pP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rPr>
          <w:rFonts w:hint="eastAsia" w:ascii="宋体" w:hAnsi="宋体"/>
          <w:b/>
          <w:sz w:val="24"/>
          <w:szCs w:val="24"/>
        </w:rPr>
      </w:pPr>
      <w:r>
        <w:rPr>
          <w:rFonts w:hint="eastAsia" w:ascii="宋体" w:hAnsi="宋体"/>
          <w:b/>
          <w:sz w:val="24"/>
          <w:szCs w:val="24"/>
        </w:rPr>
        <w:br w:type="page" w:clear="all"/>
      </w:r>
      <w:r/>
    </w:p>
    <w:p>
      <w:pPr>
        <w:rPr>
          <w:rFonts w:ascii="宋体" w:hAnsi="宋体"/>
          <w:b/>
          <w:sz w:val="24"/>
          <w:szCs w:val="24"/>
        </w:rPr>
      </w:pPr>
      <w:r>
        <w:rPr>
          <w:rFonts w:hint="eastAsia" w:ascii="宋体" w:hAnsi="宋体"/>
          <w:b/>
          <w:sz w:val="24"/>
          <w:szCs w:val="24"/>
        </w:rPr>
        <w:t xml:space="preserve">附件9</w:t>
      </w:r>
      <w:r>
        <w:rPr>
          <w:rFonts w:ascii="宋体" w:hAnsi="宋体"/>
          <w:b/>
          <w:sz w:val="24"/>
          <w:szCs w:val="24"/>
        </w:rPr>
        <w:t xml:space="preserve"> </w:t>
      </w:r>
      <w:r/>
    </w:p>
    <w:p>
      <w:pPr>
        <w:jc w:val="center"/>
        <w:rPr>
          <w:rFonts w:ascii="宋体" w:hAnsi="宋体"/>
          <w:b/>
          <w:sz w:val="24"/>
          <w:szCs w:val="24"/>
        </w:rPr>
      </w:pPr>
      <w:r>
        <w:rPr>
          <w:rFonts w:hint="eastAsia" w:ascii="宋体" w:hAnsi="宋体" w:cs="宋体"/>
          <w:b/>
          <w:color w:val="000000"/>
          <w:sz w:val="32"/>
          <w:szCs w:val="32"/>
        </w:rPr>
        <w:t xml:space="preserve">技术要求响应及偏离表</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br w:type="page" w:clear="all"/>
      </w:r>
      <w:r>
        <w:rPr>
          <w:rFonts w:hint="eastAsia" w:ascii="宋体" w:hAnsi="宋体" w:cs="宋体"/>
          <w:b/>
          <w:color w:val="000000"/>
          <w:sz w:val="32"/>
          <w:szCs w:val="32"/>
        </w:rPr>
        <w:t xml:space="preserve">商务要求响应及偏离表</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ind w:firstLine="240"/>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jc w:val="center"/>
        <w:rPr>
          <w:rFonts w:ascii="黑体" w:hAnsi="黑体" w:eastAsia="黑体"/>
          <w:b/>
          <w:color w:val="000000"/>
          <w:sz w:val="32"/>
          <w:szCs w:val="32"/>
        </w:rPr>
      </w:pPr>
      <w:r>
        <w:rPr>
          <w:rFonts w:hint="eastAsia" w:ascii="宋体" w:hAnsi="宋体"/>
          <w:b/>
          <w:color w:val="000000"/>
          <w:sz w:val="24"/>
          <w:szCs w:val="21"/>
        </w:rPr>
        <w:br w:type="page" w:clear="all"/>
      </w:r>
      <w:bookmarkEnd w:id="143"/>
      <w:r/>
      <w:bookmarkEnd w:id="144"/>
      <w:r/>
      <w:bookmarkEnd w:id="159"/>
      <w:r/>
      <w:bookmarkEnd w:id="160"/>
      <w:r/>
      <w:bookmarkEnd w:id="161"/>
      <w:r/>
      <w:bookmarkStart w:id="162" w:name="_Toc120614284"/>
      <w:r/>
      <w:bookmarkEnd w:id="162"/>
      <w:r/>
      <w:r/>
    </w:p>
    <w:p>
      <w:pPr>
        <w:rPr>
          <w:rFonts w:ascii="宋体" w:hAnsi="宋体" w:cs="仿宋"/>
          <w:b/>
          <w:bCs/>
          <w:color w:val="000000"/>
          <w:sz w:val="32"/>
          <w:szCs w:val="32"/>
        </w:rPr>
      </w:pPr>
      <w:r>
        <w:rPr>
          <w:rFonts w:hint="eastAsia" w:ascii="方正魏碑_GBK" w:hAnsi="方正魏碑_GBK" w:eastAsia="方正魏碑_GBK" w:cs="方正魏碑_GBK"/>
          <w:b/>
          <w:sz w:val="24"/>
          <w:szCs w:val="24"/>
        </w:rPr>
        <w:t xml:space="preserve">附件1</w:t>
      </w:r>
      <w:r>
        <w:rPr>
          <w:rFonts w:hint="eastAsia" w:ascii="方正魏碑_GBK" w:hAnsi="方正魏碑_GBK" w:cs="方正魏碑_GBK"/>
          <w:b/>
          <w:sz w:val="24"/>
          <w:szCs w:val="24"/>
          <w:lang w:val="en-US" w:eastAsia="zh-CN"/>
        </w:rPr>
        <w:t xml:space="preserve">0</w:t>
      </w:r>
      <w:r>
        <w:rPr>
          <w:rFonts w:hint="eastAsia" w:ascii="方正魏碑_GBK" w:hAnsi="方正魏碑_GBK" w:eastAsia="方正魏碑_GBK" w:cs="方正魏碑_GBK"/>
          <w:b/>
          <w:sz w:val="24"/>
          <w:szCs w:val="24"/>
        </w:rPr>
        <w:t xml:space="preserve">  </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sz w:val="24"/>
          <w:szCs w:val="24"/>
        </w:rPr>
        <w:t xml:space="preserve">附件1</w:t>
      </w:r>
      <w:r>
        <w:rPr>
          <w:rFonts w:hint="eastAsia" w:ascii="方正魏碑_GBK" w:hAnsi="方正魏碑_GBK" w:cs="方正魏碑_GBK"/>
          <w:b/>
          <w:sz w:val="24"/>
          <w:szCs w:val="24"/>
          <w:lang w:val="en-US" w:eastAsia="zh-CN"/>
        </w:rPr>
        <w:t xml:space="preserve">1</w:t>
      </w:r>
      <w:r>
        <w:rPr>
          <w:rFonts w:hint="eastAsia" w:ascii="方正魏碑_GBK" w:hAnsi="方正魏碑_GBK" w:eastAsia="方正魏碑_GBK" w:cs="方正魏碑_GBK"/>
          <w:b/>
          <w:sz w:val="24"/>
          <w:szCs w:val="24"/>
        </w:rPr>
        <w:t xml:space="preserve">  </w:t>
      </w:r>
      <w:r/>
    </w:p>
    <w:p>
      <w:pPr>
        <w:jc w:val="center"/>
        <w:spacing w:line="360" w:lineRule="auto"/>
        <w:rPr>
          <w:rFonts w:ascii="宋体" w:eastAsia="宋体"/>
          <w:sz w:val="44"/>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eastAsia="仿宋_GB2312"/>
          <w:sz w:val="32"/>
        </w:rPr>
      </w:pPr>
      <w:r>
        <w:rPr>
          <w:rFonts w:eastAsia="仿宋_GB2312"/>
          <w:sz w:val="32"/>
        </w:rPr>
      </w:r>
      <w:r/>
    </w:p>
    <w:p>
      <w:pPr>
        <w:spacing w:line="360" w:lineRule="auto"/>
        <w:rPr>
          <w:rFonts w:eastAsia="仿宋_GB2312"/>
          <w:sz w:val="32"/>
        </w:rPr>
      </w:pPr>
      <w:r>
        <w:rPr>
          <w:rFonts w:hint="eastAsia" w:eastAsia="仿宋_GB2312"/>
          <w:sz w:val="32"/>
        </w:rPr>
        <w:t xml:space="preserve">各政府采购供应商：</w:t>
      </w:r>
      <w:r/>
    </w:p>
    <w:p>
      <w:pPr>
        <w:ind w:firstLine="640"/>
        <w:spacing w:line="360" w:lineRule="auto"/>
        <w:rPr>
          <w:rFonts w:eastAsia="仿宋_GB2312"/>
          <w:sz w:val="32"/>
        </w:rPr>
      </w:pPr>
      <w:r>
        <w:rPr>
          <w:rFonts w:hint="eastAsia" w:eastAsia="仿宋_GB2312"/>
          <w:sz w:val="32"/>
        </w:rPr>
        <w:t xml:space="preserve">欢迎贵公司参与南通市政府采购活动！</w:t>
      </w:r>
      <w:r/>
    </w:p>
    <w:p>
      <w:pPr>
        <w:ind w:firstLine="640"/>
        <w:spacing w:line="360" w:lineRule="auto"/>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p>
    <w:p>
      <w:pPr>
        <w:ind w:firstLine="640"/>
        <w:spacing w:line="360" w:lineRule="auto"/>
        <w:rPr>
          <w:rFonts w:eastAsia="仿宋_GB2312"/>
          <w:sz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712"/>
      </w:pPr>
      <w:r/>
      <w:r/>
    </w:p>
    <w:p>
      <w:pPr>
        <w:pStyle w:val="712"/>
      </w:pPr>
      <w:r/>
      <w:r/>
    </w:p>
    <w:p>
      <w:pPr>
        <w:pStyle w:val="712"/>
      </w:pPr>
      <w:r/>
      <w:r/>
      <w:r/>
      <w:r/>
    </w:p>
    <w:p>
      <w:pPr>
        <w:pStyle w:val="712"/>
        <w:rPr>
          <w:rFonts w:hint="eastAsia"/>
        </w:rPr>
      </w:pPr>
      <w:r>
        <w:rPr>
          <w:rFonts w:hint="eastAsia"/>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86"/>
        <w:rFonts w:ascii="宋体" w:hAnsi="宋体"/>
      </w:rPr>
      <w:framePr w:wrap="around" w:vAnchor="text" w:hAnchor="margin" w:xAlign="center" w:y="1"/>
    </w:pPr>
    <w:r>
      <w:rPr>
        <w:rFonts w:ascii="宋体" w:hAnsi="宋体"/>
      </w:rPr>
      <w:fldChar w:fldCharType="begin"/>
    </w:r>
    <w:r>
      <w:rPr>
        <w:rStyle w:val="986"/>
        <w:rFonts w:ascii="宋体" w:hAnsi="宋体"/>
      </w:rPr>
      <w:instrText xml:space="preserve">PAGE  </w:instrText>
    </w:r>
    <w:r>
      <w:rPr>
        <w:rFonts w:ascii="宋体" w:hAnsi="宋体"/>
      </w:rPr>
      <w:fldChar w:fldCharType="separate"/>
    </w:r>
    <w:r>
      <w:rPr>
        <w:rStyle w:val="986"/>
        <w:rFonts w:ascii="宋体" w:hAnsi="宋体"/>
      </w:rPr>
      <w:t xml:space="preserve">53</w:t>
    </w:r>
    <w:r>
      <w:rPr>
        <w:rFonts w:ascii="宋体" w:hAnsi="宋体"/>
      </w:rPr>
      <w:fldChar w:fldCharType="end"/>
    </w:r>
    <w:r/>
  </w:p>
  <w:p>
    <w:pPr>
      <w:pStyle w:val="96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9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9"/>
      <w:isLgl w:val="false"/>
      <w:suff w:val="nothing"/>
      <w:lvlText w:val=""/>
      <w:lvlJc w:val="left"/>
      <w:pPr>
        <w:ind w:left="0" w:firstLine="0"/>
      </w:pPr>
      <w:rPr>
        <w:rFonts w:hint="eastAsia"/>
      </w:rPr>
    </w:lvl>
    <w:lvl w:ilvl="6">
      <w:start w:val="1"/>
      <w:numFmt w:val="decimal"/>
      <w:pStyle w:val="930"/>
      <w:isLgl w:val="false"/>
      <w:suff w:val="nothing"/>
      <w:lvlText w:val=""/>
      <w:lvlJc w:val="left"/>
      <w:pPr>
        <w:ind w:left="0" w:firstLine="0"/>
      </w:pPr>
      <w:rPr>
        <w:rFonts w:hint="eastAsia"/>
      </w:rPr>
    </w:lvl>
    <w:lvl w:ilvl="7">
      <w:start w:val="1"/>
      <w:numFmt w:val="decimal"/>
      <w:pStyle w:val="931"/>
      <w:isLgl w:val="false"/>
      <w:suff w:val="nothing"/>
      <w:lvlText w:val=""/>
      <w:lvlJc w:val="left"/>
      <w:pPr>
        <w:ind w:left="0" w:firstLine="0"/>
      </w:pPr>
      <w:rPr>
        <w:rFonts w:hint="eastAsia"/>
      </w:rPr>
    </w:lvl>
    <w:lvl w:ilvl="8">
      <w:start w:val="1"/>
      <w:numFmt w:val="decimal"/>
      <w:pStyle w:val="932"/>
      <w:isLgl w:val="false"/>
      <w:suff w:val="nothing"/>
      <w:lvlText w:val=""/>
      <w:lvlJc w:val="left"/>
      <w:pPr>
        <w:ind w:left="0" w:firstLine="0"/>
      </w:pPr>
      <w:rPr>
        <w:rFonts w:hint="eastAsia"/>
      </w:rPr>
    </w:lvl>
  </w:abstractNum>
  <w:abstractNum w:abstractNumId="4">
    <w:multiLevelType w:val="hybridMultilevel"/>
    <w:lvl w:ilvl="0">
      <w:start w:val="1"/>
      <w:numFmt w:val="decimal"/>
      <w:pStyle w:val="927"/>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0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uiPriority w:val="0"/>
    <w:qFormat/>
    <w:pPr>
      <w:jc w:val="both"/>
      <w:widowControl w:val="off"/>
    </w:pPr>
    <w:rPr>
      <w:rFonts w:hint="default" w:ascii="Times New Roman" w:hAnsi="Times New Roman" w:eastAsia="宋体" w:cs="Times New Roman"/>
      <w:sz w:val="21"/>
      <w:szCs w:val="22"/>
    </w:rPr>
  </w:style>
  <w:style w:type="paragraph" w:styleId="701">
    <w:name w:val="Heading 1"/>
    <w:basedOn w:val="700"/>
    <w:next w:val="700"/>
    <w:link w:val="773"/>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74"/>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75"/>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76"/>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77"/>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78"/>
    <w:uiPriority w:val="9"/>
    <w:unhideWhenUsed/>
    <w:qFormat/>
    <w:pPr>
      <w:keepLines/>
      <w:keepNext/>
      <w:spacing w:before="320" w:after="200"/>
      <w:outlineLvl w:val="5"/>
    </w:pPr>
    <w:rPr>
      <w:rFonts w:ascii="Arial" w:hAnsi="Arial" w:eastAsia="Arial" w:cs="Arial"/>
      <w:b/>
      <w:bCs/>
      <w:sz w:val="22"/>
    </w:rPr>
  </w:style>
  <w:style w:type="paragraph" w:styleId="707">
    <w:name w:val="Heading 7"/>
    <w:basedOn w:val="700"/>
    <w:next w:val="700"/>
    <w:link w:val="779"/>
    <w:uiPriority w:val="9"/>
    <w:unhideWhenUsed/>
    <w:qFormat/>
    <w:pPr>
      <w:keepLines/>
      <w:keepNext/>
      <w:spacing w:before="320" w:after="200"/>
      <w:outlineLvl w:val="6"/>
    </w:pPr>
    <w:rPr>
      <w:rFonts w:ascii="Arial" w:hAnsi="Arial" w:eastAsia="Arial" w:cs="Arial"/>
      <w:b/>
      <w:bCs/>
      <w:i/>
      <w:iCs/>
      <w:sz w:val="22"/>
    </w:rPr>
  </w:style>
  <w:style w:type="paragraph" w:styleId="708">
    <w:name w:val="Heading 8"/>
    <w:basedOn w:val="700"/>
    <w:next w:val="700"/>
    <w:link w:val="780"/>
    <w:uiPriority w:val="9"/>
    <w:unhideWhenUsed/>
    <w:qFormat/>
    <w:pPr>
      <w:keepLines/>
      <w:keepNext/>
      <w:spacing w:before="320" w:after="200"/>
      <w:outlineLvl w:val="7"/>
    </w:pPr>
    <w:rPr>
      <w:rFonts w:ascii="Arial" w:hAnsi="Arial" w:eastAsia="Arial" w:cs="Arial"/>
      <w:i/>
      <w:iCs/>
      <w:sz w:val="22"/>
    </w:rPr>
  </w:style>
  <w:style w:type="paragraph" w:styleId="709">
    <w:name w:val="Heading 9"/>
    <w:basedOn w:val="700"/>
    <w:next w:val="700"/>
    <w:link w:val="781"/>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customStyle="1">
    <w:name w:val="正文首行缩进1"/>
    <w:basedOn w:val="713"/>
    <w:uiPriority w:val="0"/>
    <w:qFormat/>
    <w:pPr>
      <w:ind w:firstLine="200"/>
      <w:spacing w:line="360" w:lineRule="auto"/>
    </w:pPr>
    <w:rPr>
      <w:rFonts w:ascii="仿宋_GB2312" w:hAnsi="Times New Roman" w:eastAsia="仿宋_GB2312"/>
      <w:sz w:val="30"/>
      <w:szCs w:val="30"/>
    </w:rPr>
  </w:style>
  <w:style w:type="paragraph" w:styleId="713" w:customStyle="1">
    <w:name w:val="正文文本1"/>
    <w:basedOn w:val="714"/>
    <w:next w:val="700"/>
    <w:uiPriority w:val="99"/>
    <w:unhideWhenUsed/>
    <w:qFormat/>
    <w:rPr>
      <w:rFonts w:ascii="??_GB2312" w:hAnsi="??_GB2312"/>
      <w:sz w:val="28"/>
      <w:szCs w:val="28"/>
    </w:rPr>
  </w:style>
  <w:style w:type="paragraph" w:styleId="714" w:customStyle="1">
    <w:name w:val="正文11"/>
    <w:next w:val="713"/>
    <w:uiPriority w:val="0"/>
    <w:qFormat/>
    <w:pPr>
      <w:jc w:val="both"/>
      <w:widowControl w:val="off"/>
    </w:pPr>
    <w:rPr>
      <w:rFonts w:hint="default" w:ascii="Calibri" w:hAnsi="Calibri" w:eastAsia="宋体" w:cs="Times New Roman"/>
      <w:sz w:val="21"/>
      <w:szCs w:val="21"/>
    </w:rPr>
  </w:style>
  <w:style w:type="paragraph" w:styleId="715">
    <w:name w:val="toc 7"/>
    <w:basedOn w:val="700"/>
    <w:next w:val="700"/>
    <w:uiPriority w:val="0"/>
    <w:semiHidden/>
    <w:qFormat/>
    <w:pPr>
      <w:ind w:left="1260"/>
      <w:jc w:val="left"/>
    </w:pPr>
    <w:rPr>
      <w:szCs w:val="21"/>
    </w:rPr>
  </w:style>
  <w:style w:type="paragraph" w:styleId="716">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toc 5"/>
    <w:basedOn w:val="700"/>
    <w:next w:val="700"/>
    <w:uiPriority w:val="0"/>
    <w:semiHidden/>
    <w:pPr>
      <w:ind w:left="840"/>
      <w:jc w:val="left"/>
    </w:pPr>
    <w:rPr>
      <w:szCs w:val="21"/>
    </w:rPr>
  </w:style>
  <w:style w:type="paragraph" w:styleId="718">
    <w:name w:val="toc 3"/>
    <w:basedOn w:val="700"/>
    <w:next w:val="700"/>
    <w:uiPriority w:val="0"/>
    <w:semiHidden/>
    <w:pPr>
      <w:ind w:left="420"/>
      <w:jc w:val="left"/>
    </w:pPr>
    <w:rPr>
      <w:i/>
      <w:iCs/>
      <w:szCs w:val="24"/>
    </w:rPr>
  </w:style>
  <w:style w:type="paragraph" w:styleId="719">
    <w:name w:val="toc 8"/>
    <w:basedOn w:val="700"/>
    <w:next w:val="700"/>
    <w:uiPriority w:val="0"/>
    <w:semiHidden/>
    <w:qFormat/>
    <w:pPr>
      <w:ind w:left="1470"/>
      <w:jc w:val="left"/>
    </w:pPr>
    <w:rPr>
      <w:szCs w:val="21"/>
    </w:rPr>
  </w:style>
  <w:style w:type="paragraph" w:styleId="720">
    <w:name w:val="endnote text"/>
    <w:basedOn w:val="700"/>
    <w:link w:val="919"/>
    <w:uiPriority w:val="99"/>
    <w:semiHidden/>
    <w:unhideWhenUsed/>
    <w:rPr>
      <w:sz w:val="20"/>
    </w:rPr>
  </w:style>
  <w:style w:type="paragraph" w:styleId="721">
    <w:name w:val="Footer"/>
    <w:basedOn w:val="700"/>
    <w:link w:val="792"/>
    <w:uiPriority w:val="99"/>
    <w:unhideWhenUsed/>
    <w:pPr>
      <w:tabs>
        <w:tab w:val="center" w:pos="7143" w:leader="none"/>
        <w:tab w:val="right" w:pos="14287" w:leader="none"/>
      </w:tabs>
    </w:pPr>
  </w:style>
  <w:style w:type="paragraph" w:styleId="722">
    <w:name w:val="Header"/>
    <w:basedOn w:val="700"/>
    <w:link w:val="790"/>
    <w:uiPriority w:val="99"/>
    <w:unhideWhenUsed/>
    <w:pPr>
      <w:tabs>
        <w:tab w:val="center" w:pos="7143" w:leader="none"/>
        <w:tab w:val="right" w:pos="14287" w:leader="none"/>
      </w:tabs>
    </w:pPr>
  </w:style>
  <w:style w:type="paragraph" w:styleId="723">
    <w:name w:val="toc 1"/>
    <w:basedOn w:val="700"/>
    <w:next w:val="700"/>
    <w:uiPriority w:val="0"/>
    <w:semiHidden/>
    <w:pPr>
      <w:jc w:val="left"/>
      <w:spacing w:before="120" w:after="120" w:line="400" w:lineRule="exact"/>
      <w:tabs>
        <w:tab w:val="right" w:pos="8720" w:leader="dot"/>
      </w:tabs>
    </w:pPr>
    <w:rPr>
      <w:rFonts w:ascii="宋体" w:hAnsi="宋体"/>
      <w:caps/>
      <w:sz w:val="24"/>
      <w:szCs w:val="24"/>
    </w:rPr>
  </w:style>
  <w:style w:type="paragraph" w:styleId="724">
    <w:name w:val="toc 4"/>
    <w:basedOn w:val="700"/>
    <w:next w:val="700"/>
    <w:uiPriority w:val="0"/>
    <w:semiHidden/>
    <w:pPr>
      <w:ind w:left="630"/>
      <w:jc w:val="left"/>
    </w:pPr>
    <w:rPr>
      <w:szCs w:val="21"/>
    </w:rPr>
  </w:style>
  <w:style w:type="paragraph" w:styleId="725">
    <w:name w:val="Subtitle"/>
    <w:basedOn w:val="700"/>
    <w:next w:val="700"/>
    <w:link w:val="785"/>
    <w:uiPriority w:val="11"/>
    <w:qFormat/>
    <w:pPr>
      <w:spacing w:before="200" w:after="200"/>
    </w:pPr>
    <w:rPr>
      <w:sz w:val="24"/>
      <w:szCs w:val="24"/>
    </w:rPr>
  </w:style>
  <w:style w:type="paragraph" w:styleId="726">
    <w:name w:val="footnote text"/>
    <w:basedOn w:val="700"/>
    <w:link w:val="918"/>
    <w:uiPriority w:val="99"/>
    <w:semiHidden/>
    <w:unhideWhenUsed/>
    <w:qFormat/>
    <w:pPr>
      <w:spacing w:after="40"/>
    </w:pPr>
    <w:rPr>
      <w:sz w:val="18"/>
    </w:rPr>
  </w:style>
  <w:style w:type="paragraph" w:styleId="727">
    <w:name w:val="toc 6"/>
    <w:basedOn w:val="700"/>
    <w:next w:val="700"/>
    <w:uiPriority w:val="0"/>
    <w:semiHidden/>
    <w:pPr>
      <w:ind w:left="1050"/>
      <w:jc w:val="left"/>
    </w:pPr>
    <w:rPr>
      <w:szCs w:val="21"/>
    </w:rPr>
  </w:style>
  <w:style w:type="paragraph" w:styleId="728">
    <w:name w:val="table of figures"/>
    <w:basedOn w:val="700"/>
    <w:next w:val="700"/>
    <w:uiPriority w:val="99"/>
    <w:unhideWhenUsed/>
  </w:style>
  <w:style w:type="paragraph" w:styleId="729">
    <w:name w:val="toc 2"/>
    <w:basedOn w:val="700"/>
    <w:next w:val="700"/>
    <w:uiPriority w:val="0"/>
    <w:semiHidden/>
    <w:pPr>
      <w:ind w:left="210"/>
      <w:jc w:val="left"/>
    </w:pPr>
    <w:rPr>
      <w:smallCaps/>
      <w:szCs w:val="24"/>
    </w:rPr>
  </w:style>
  <w:style w:type="paragraph" w:styleId="730">
    <w:name w:val="toc 9"/>
    <w:basedOn w:val="700"/>
    <w:next w:val="700"/>
    <w:uiPriority w:val="0"/>
    <w:semiHidden/>
    <w:pPr>
      <w:ind w:left="1680"/>
      <w:jc w:val="left"/>
    </w:pPr>
    <w:rPr>
      <w:szCs w:val="21"/>
    </w:rPr>
  </w:style>
  <w:style w:type="paragraph" w:styleId="731">
    <w:name w:val="Title"/>
    <w:basedOn w:val="700"/>
    <w:next w:val="700"/>
    <w:link w:val="784"/>
    <w:uiPriority w:val="10"/>
    <w:qFormat/>
    <w:pPr>
      <w:contextualSpacing/>
      <w:spacing w:before="300" w:after="200"/>
    </w:pPr>
    <w:rPr>
      <w:sz w:val="48"/>
      <w:szCs w:val="48"/>
    </w:rPr>
  </w:style>
  <w:style w:type="table" w:styleId="732">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rPr>
      <w:vertAlign w:val="superscript"/>
    </w:rPr>
  </w:style>
  <w:style w:type="character" w:styleId="734">
    <w:name w:val="Hyperlink"/>
    <w:uiPriority w:val="99"/>
    <w:unhideWhenUsed/>
    <w:rPr>
      <w:color w:val="0000ff" w:themeColor="hyperlink"/>
      <w:u w:val="single"/>
      <w14:textFill>
        <w14:solidFill>
          <w14:schemeClr w14:val="hlink"/>
        </w14:solidFill>
      </w14:textFill>
    </w:rPr>
  </w:style>
  <w:style w:type="character" w:styleId="735">
    <w:name w:val="footnote reference"/>
    <w:uiPriority w:val="99"/>
    <w:unhideWhenUsed/>
    <w:rPr>
      <w:vertAlign w:val="superscript"/>
    </w:rPr>
  </w:style>
  <w:style w:type="character" w:styleId="736" w:customStyle="1">
    <w:name w:val="Heading 1 Char"/>
    <w:basedOn w:val="710"/>
    <w:uiPriority w:val="9"/>
    <w:rPr>
      <w:rFonts w:ascii="Arial" w:hAnsi="Arial" w:eastAsia="Arial" w:cs="Arial"/>
      <w:sz w:val="40"/>
      <w:szCs w:val="40"/>
    </w:rPr>
  </w:style>
  <w:style w:type="character" w:styleId="737" w:customStyle="1">
    <w:name w:val="Heading 2 Char"/>
    <w:basedOn w:val="710"/>
    <w:uiPriority w:val="9"/>
    <w:rPr>
      <w:rFonts w:ascii="Arial" w:hAnsi="Arial" w:eastAsia="Arial" w:cs="Arial"/>
      <w:sz w:val="34"/>
    </w:rPr>
  </w:style>
  <w:style w:type="character" w:styleId="738" w:customStyle="1">
    <w:name w:val="Heading 3 Char"/>
    <w:basedOn w:val="710"/>
    <w:uiPriority w:val="9"/>
    <w:rPr>
      <w:rFonts w:ascii="Arial" w:hAnsi="Arial" w:eastAsia="Arial" w:cs="Arial"/>
      <w:sz w:val="30"/>
      <w:szCs w:val="30"/>
    </w:rPr>
  </w:style>
  <w:style w:type="character" w:styleId="739" w:customStyle="1">
    <w:name w:val="Heading 4 Char"/>
    <w:basedOn w:val="710"/>
    <w:uiPriority w:val="9"/>
    <w:rPr>
      <w:rFonts w:ascii="Arial" w:hAnsi="Arial" w:eastAsia="Arial" w:cs="Arial"/>
      <w:b/>
      <w:bCs/>
      <w:sz w:val="26"/>
      <w:szCs w:val="26"/>
    </w:rPr>
  </w:style>
  <w:style w:type="character" w:styleId="740" w:customStyle="1">
    <w:name w:val="Heading 5 Char"/>
    <w:basedOn w:val="710"/>
    <w:uiPriority w:val="9"/>
    <w:rPr>
      <w:rFonts w:ascii="Arial" w:hAnsi="Arial" w:eastAsia="Arial" w:cs="Arial"/>
      <w:b/>
      <w:bCs/>
      <w:sz w:val="24"/>
      <w:szCs w:val="24"/>
    </w:rPr>
  </w:style>
  <w:style w:type="character" w:styleId="741" w:customStyle="1">
    <w:name w:val="Heading 6 Char"/>
    <w:basedOn w:val="710"/>
    <w:uiPriority w:val="9"/>
    <w:rPr>
      <w:rFonts w:ascii="Arial" w:hAnsi="Arial" w:eastAsia="Arial" w:cs="Arial"/>
      <w:b/>
      <w:bCs/>
      <w:sz w:val="22"/>
      <w:szCs w:val="22"/>
    </w:rPr>
  </w:style>
  <w:style w:type="character" w:styleId="742" w:customStyle="1">
    <w:name w:val="Heading 7 Char"/>
    <w:basedOn w:val="710"/>
    <w:uiPriority w:val="9"/>
    <w:rPr>
      <w:rFonts w:ascii="Arial" w:hAnsi="Arial" w:eastAsia="Arial" w:cs="Arial"/>
      <w:b/>
      <w:bCs/>
      <w:i/>
      <w:iCs/>
      <w:sz w:val="22"/>
      <w:szCs w:val="22"/>
    </w:rPr>
  </w:style>
  <w:style w:type="character" w:styleId="743" w:customStyle="1">
    <w:name w:val="Heading 8 Char"/>
    <w:basedOn w:val="710"/>
    <w:uiPriority w:val="9"/>
    <w:rPr>
      <w:rFonts w:ascii="Arial" w:hAnsi="Arial" w:eastAsia="Arial" w:cs="Arial"/>
      <w:i/>
      <w:iCs/>
      <w:sz w:val="22"/>
      <w:szCs w:val="22"/>
    </w:rPr>
  </w:style>
  <w:style w:type="character" w:styleId="744" w:customStyle="1">
    <w:name w:val="Heading 9 Char"/>
    <w:basedOn w:val="710"/>
    <w:uiPriority w:val="9"/>
    <w:rPr>
      <w:rFonts w:ascii="Arial" w:hAnsi="Arial" w:eastAsia="Arial" w:cs="Arial"/>
      <w:i/>
      <w:iCs/>
      <w:sz w:val="21"/>
      <w:szCs w:val="21"/>
    </w:rPr>
  </w:style>
  <w:style w:type="character" w:styleId="745" w:customStyle="1">
    <w:name w:val="Title Char"/>
    <w:basedOn w:val="710"/>
    <w:uiPriority w:val="10"/>
    <w:rPr>
      <w:sz w:val="48"/>
      <w:szCs w:val="48"/>
    </w:rPr>
  </w:style>
  <w:style w:type="character" w:styleId="746" w:customStyle="1">
    <w:name w:val="Subtitle Char"/>
    <w:basedOn w:val="710"/>
    <w:uiPriority w:val="11"/>
    <w:rPr>
      <w:sz w:val="24"/>
      <w:szCs w:val="24"/>
    </w:rPr>
  </w:style>
  <w:style w:type="character" w:styleId="747" w:customStyle="1">
    <w:name w:val="Quote Char"/>
    <w:uiPriority w:val="29"/>
    <w:rPr>
      <w:i/>
    </w:rPr>
  </w:style>
  <w:style w:type="character" w:styleId="748" w:customStyle="1">
    <w:name w:val="Intense Quote Char"/>
    <w:uiPriority w:val="30"/>
    <w:qFormat/>
    <w:rPr>
      <w:i/>
    </w:rPr>
  </w:style>
  <w:style w:type="character" w:styleId="749" w:customStyle="1">
    <w:name w:val="Header Char"/>
    <w:basedOn w:val="710"/>
    <w:uiPriority w:val="99"/>
  </w:style>
  <w:style w:type="character" w:styleId="750" w:customStyle="1">
    <w:name w:val="Caption Char"/>
    <w:uiPriority w:val="99"/>
  </w:style>
  <w:style w:type="table" w:styleId="751" w:customStyle="1">
    <w:name w:val="Plain Table 1"/>
    <w:basedOn w:val="71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71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3"/>
    <w:basedOn w:val="71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71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Grid Table 7 Colorful"/>
    <w:basedOn w:val="71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List Table 1 Light"/>
    <w:basedOn w:val="71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5" w:customStyle="1">
    <w:name w:val="List Table 3"/>
    <w:basedOn w:val="71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4"/>
    <w:basedOn w:val="71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5 Dark"/>
    <w:basedOn w:val="71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6 Colorful"/>
    <w:basedOn w:val="71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9"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0" w:customStyle="1">
    <w:name w:val="Footnote Text Char"/>
    <w:uiPriority w:val="99"/>
    <w:rPr>
      <w:sz w:val="18"/>
    </w:rPr>
  </w:style>
  <w:style w:type="character" w:styleId="771" w:customStyle="1">
    <w:name w:val="Endnote Text Char"/>
    <w:uiPriority w:val="99"/>
    <w:rPr>
      <w:sz w:val="20"/>
    </w:rPr>
  </w:style>
  <w:style w:type="paragraph" w:styleId="772" w:customStyle="1">
    <w:name w:val="TOC Heading"/>
    <w:uiPriority w:val="39"/>
    <w:unhideWhenUsed/>
    <w:rPr>
      <w:rFonts w:hint="default" w:ascii="Times New Roman" w:hAnsi="Times New Roman" w:eastAsia="宋体" w:cs="Times New Roman"/>
    </w:rPr>
  </w:style>
  <w:style w:type="character" w:styleId="773" w:customStyle="1">
    <w:name w:val="标题 1 字符1"/>
    <w:link w:val="701"/>
    <w:uiPriority w:val="9"/>
    <w:qFormat/>
    <w:rPr>
      <w:rFonts w:ascii="Arial" w:hAnsi="Arial" w:eastAsia="Arial" w:cs="Arial"/>
      <w:sz w:val="40"/>
      <w:szCs w:val="40"/>
    </w:rPr>
  </w:style>
  <w:style w:type="character" w:styleId="774" w:customStyle="1">
    <w:name w:val="标题 2 字符1"/>
    <w:link w:val="702"/>
    <w:uiPriority w:val="9"/>
    <w:qFormat/>
    <w:rPr>
      <w:rFonts w:ascii="Arial" w:hAnsi="Arial" w:eastAsia="Arial" w:cs="Arial"/>
      <w:sz w:val="34"/>
    </w:rPr>
  </w:style>
  <w:style w:type="character" w:styleId="775" w:customStyle="1">
    <w:name w:val="标题 3 字符1"/>
    <w:link w:val="703"/>
    <w:uiPriority w:val="9"/>
    <w:qFormat/>
    <w:rPr>
      <w:rFonts w:ascii="Arial" w:hAnsi="Arial" w:eastAsia="Arial" w:cs="Arial"/>
      <w:sz w:val="30"/>
      <w:szCs w:val="30"/>
    </w:rPr>
  </w:style>
  <w:style w:type="character" w:styleId="776" w:customStyle="1">
    <w:name w:val="标题 4 字符1"/>
    <w:link w:val="704"/>
    <w:uiPriority w:val="9"/>
    <w:qFormat/>
    <w:rPr>
      <w:rFonts w:ascii="Arial" w:hAnsi="Arial" w:eastAsia="Arial" w:cs="Arial"/>
      <w:b/>
      <w:bCs/>
      <w:sz w:val="26"/>
      <w:szCs w:val="26"/>
    </w:rPr>
  </w:style>
  <w:style w:type="character" w:styleId="777" w:customStyle="1">
    <w:name w:val="标题 5 字符1"/>
    <w:link w:val="705"/>
    <w:uiPriority w:val="9"/>
    <w:qFormat/>
    <w:rPr>
      <w:rFonts w:ascii="Arial" w:hAnsi="Arial" w:eastAsia="Arial" w:cs="Arial"/>
      <w:b/>
      <w:bCs/>
      <w:sz w:val="24"/>
      <w:szCs w:val="24"/>
    </w:rPr>
  </w:style>
  <w:style w:type="character" w:styleId="778" w:customStyle="1">
    <w:name w:val="标题 6 字符1"/>
    <w:link w:val="706"/>
    <w:uiPriority w:val="9"/>
    <w:qFormat/>
    <w:rPr>
      <w:rFonts w:ascii="Arial" w:hAnsi="Arial" w:eastAsia="Arial" w:cs="Arial"/>
      <w:b/>
      <w:bCs/>
      <w:sz w:val="22"/>
      <w:szCs w:val="22"/>
    </w:rPr>
  </w:style>
  <w:style w:type="character" w:styleId="779" w:customStyle="1">
    <w:name w:val="标题 7 字符1"/>
    <w:link w:val="707"/>
    <w:uiPriority w:val="9"/>
    <w:qFormat/>
    <w:rPr>
      <w:rFonts w:ascii="Arial" w:hAnsi="Arial" w:eastAsia="Arial" w:cs="Arial"/>
      <w:b/>
      <w:bCs/>
      <w:i/>
      <w:iCs/>
      <w:sz w:val="22"/>
      <w:szCs w:val="22"/>
    </w:rPr>
  </w:style>
  <w:style w:type="character" w:styleId="780" w:customStyle="1">
    <w:name w:val="标题 8 字符1"/>
    <w:link w:val="708"/>
    <w:uiPriority w:val="9"/>
    <w:qFormat/>
    <w:rPr>
      <w:rFonts w:ascii="Arial" w:hAnsi="Arial" w:eastAsia="Arial" w:cs="Arial"/>
      <w:i/>
      <w:iCs/>
      <w:sz w:val="22"/>
      <w:szCs w:val="22"/>
    </w:rPr>
  </w:style>
  <w:style w:type="character" w:styleId="781" w:customStyle="1">
    <w:name w:val="标题 9 字符1"/>
    <w:link w:val="709"/>
    <w:uiPriority w:val="9"/>
    <w:qFormat/>
    <w:rPr>
      <w:rFonts w:ascii="Arial" w:hAnsi="Arial" w:eastAsia="Arial" w:cs="Arial"/>
      <w:i/>
      <w:iCs/>
      <w:sz w:val="21"/>
      <w:szCs w:val="21"/>
    </w:rPr>
  </w:style>
  <w:style w:type="paragraph" w:styleId="782">
    <w:name w:val="List Paragraph"/>
    <w:basedOn w:val="700"/>
    <w:uiPriority w:val="34"/>
    <w:qFormat/>
    <w:pPr>
      <w:contextualSpacing/>
      <w:ind w:left="720"/>
    </w:pPr>
  </w:style>
  <w:style w:type="paragraph" w:styleId="783">
    <w:name w:val="No Spacing"/>
    <w:uiPriority w:val="1"/>
    <w:qFormat/>
    <w:rPr>
      <w:rFonts w:hint="default" w:ascii="Times New Roman" w:hAnsi="Times New Roman" w:eastAsia="宋体" w:cs="Times New Roman"/>
    </w:rPr>
  </w:style>
  <w:style w:type="character" w:styleId="784" w:customStyle="1">
    <w:name w:val="标题 字符"/>
    <w:link w:val="731"/>
    <w:uiPriority w:val="10"/>
    <w:qFormat/>
    <w:rPr>
      <w:sz w:val="48"/>
      <w:szCs w:val="48"/>
    </w:rPr>
  </w:style>
  <w:style w:type="character" w:styleId="785" w:customStyle="1">
    <w:name w:val="副标题 字符"/>
    <w:link w:val="725"/>
    <w:uiPriority w:val="11"/>
    <w:qFormat/>
    <w:rPr>
      <w:sz w:val="24"/>
      <w:szCs w:val="24"/>
    </w:rPr>
  </w:style>
  <w:style w:type="paragraph" w:styleId="786">
    <w:name w:val="Quote"/>
    <w:basedOn w:val="700"/>
    <w:next w:val="700"/>
    <w:link w:val="787"/>
    <w:uiPriority w:val="29"/>
    <w:qFormat/>
    <w:pPr>
      <w:ind w:left="720" w:right="720"/>
    </w:pPr>
    <w:rPr>
      <w:i/>
    </w:rPr>
  </w:style>
  <w:style w:type="character" w:styleId="787" w:customStyle="1">
    <w:name w:val="引用 字符"/>
    <w:link w:val="786"/>
    <w:uiPriority w:val="29"/>
    <w:qFormat/>
    <w:rPr>
      <w:i/>
    </w:rPr>
  </w:style>
  <w:style w:type="paragraph" w:styleId="788">
    <w:name w:val="Intense Quote"/>
    <w:basedOn w:val="700"/>
    <w:next w:val="700"/>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rPr>
      <w:i/>
    </w:rPr>
  </w:style>
  <w:style w:type="character" w:styleId="790" w:customStyle="1">
    <w:name w:val="页眉 字符1"/>
    <w:link w:val="722"/>
    <w:uiPriority w:val="99"/>
  </w:style>
  <w:style w:type="character" w:styleId="791" w:customStyle="1">
    <w:name w:val="Footer Char"/>
    <w:uiPriority w:val="99"/>
  </w:style>
  <w:style w:type="character" w:styleId="792" w:customStyle="1">
    <w:name w:val="页脚 字符1"/>
    <w:link w:val="721"/>
    <w:uiPriority w:val="99"/>
  </w:style>
  <w:style w:type="table" w:styleId="793" w:customStyle="1">
    <w:name w:val="Table Grid Ligh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无格式表格 1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网格表 6 彩色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网格表 7 彩色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uiPriority w:val="99"/>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清单表 21"/>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清单表 5 深色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uiPriority w:val="99"/>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清单表 7 彩色1"/>
    <w:uiPriority w:val="99"/>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脚注文本 字符"/>
    <w:link w:val="726"/>
    <w:uiPriority w:val="99"/>
    <w:qFormat/>
    <w:rPr>
      <w:sz w:val="18"/>
    </w:rPr>
  </w:style>
  <w:style w:type="character" w:styleId="919" w:customStyle="1">
    <w:name w:val="尾注文本 字符"/>
    <w:link w:val="720"/>
    <w:uiPriority w:val="99"/>
    <w:qFormat/>
    <w:rPr>
      <w:sz w:val="20"/>
    </w:rPr>
  </w:style>
  <w:style w:type="paragraph" w:styleId="920" w:customStyle="1">
    <w:name w:val="TOC 标题1"/>
    <w:uiPriority w:val="39"/>
    <w:unhideWhenUsed/>
    <w:rPr>
      <w:rFonts w:hint="default" w:ascii="Times New Roman" w:hAnsi="Times New Roman" w:eastAsia="宋体" w:cs="Times New Roman"/>
    </w:rPr>
  </w:style>
  <w:style w:type="paragraph" w:styleId="921" w:customStyle="1">
    <w:name w:val="标题 11"/>
    <w:basedOn w:val="700"/>
    <w:next w:val="700"/>
    <w:link w:val="936"/>
    <w:uiPriority w:val="0"/>
    <w:qFormat/>
    <w:pPr>
      <w:jc w:val="center"/>
      <w:keepNext/>
      <w:outlineLvl w:val="0"/>
    </w:pPr>
    <w:rPr>
      <w:rFonts w:ascii="楷体_GB2312" w:eastAsia="楷体_GB2312"/>
      <w:sz w:val="28"/>
      <w:szCs w:val="28"/>
    </w:rPr>
  </w:style>
  <w:style w:type="paragraph" w:styleId="922" w:customStyle="1">
    <w:name w:val="标题 21"/>
    <w:basedOn w:val="700"/>
    <w:next w:val="923"/>
    <w:link w:val="93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3" w:customStyle="1">
    <w:name w:val="正文缩进1"/>
    <w:basedOn w:val="700"/>
    <w:link w:val="938"/>
    <w:uiPriority w:val="0"/>
    <w:qFormat/>
    <w:pPr>
      <w:ind w:firstLine="420"/>
    </w:pPr>
    <w:rPr>
      <w:szCs w:val="21"/>
    </w:rPr>
  </w:style>
  <w:style w:type="paragraph" w:styleId="924" w:customStyle="1">
    <w:name w:val="标题 31"/>
    <w:basedOn w:val="700"/>
    <w:next w:val="923"/>
    <w:link w:val="939"/>
    <w:uiPriority w:val="0"/>
    <w:qFormat/>
    <w:pPr>
      <w:keepLines/>
      <w:keepNext/>
      <w:spacing w:before="260" w:after="260" w:line="416" w:lineRule="auto"/>
      <w:outlineLvl w:val="2"/>
    </w:pPr>
    <w:rPr>
      <w:b/>
      <w:bCs/>
      <w:sz w:val="32"/>
      <w:szCs w:val="32"/>
    </w:rPr>
  </w:style>
  <w:style w:type="paragraph" w:styleId="925" w:customStyle="1">
    <w:name w:val="标题 41"/>
    <w:basedOn w:val="700"/>
    <w:next w:val="923"/>
    <w:link w:val="940"/>
    <w:uiPriority w:val="0"/>
    <w:qFormat/>
    <w:pPr>
      <w:keepLines/>
      <w:keepNext/>
      <w:spacing w:before="280" w:after="290" w:line="376" w:lineRule="auto"/>
      <w:outlineLvl w:val="3"/>
    </w:pPr>
    <w:rPr>
      <w:rFonts w:ascii="Arial" w:hAnsi="Arial" w:eastAsia="黑体" w:cs="Arial"/>
      <w:b/>
      <w:bCs/>
      <w:sz w:val="28"/>
      <w:szCs w:val="28"/>
    </w:rPr>
  </w:style>
  <w:style w:type="paragraph" w:styleId="926" w:customStyle="1">
    <w:name w:val="标题 51"/>
    <w:basedOn w:val="927"/>
    <w:next w:val="928"/>
    <w:link w:val="941"/>
    <w:uiPriority w:val="0"/>
    <w:qFormat/>
    <w:pPr>
      <w:keepNext/>
      <w:tabs>
        <w:tab w:val="left" w:pos="780" w:leader="none"/>
      </w:tabs>
      <w:outlineLvl w:val="4"/>
    </w:pPr>
    <w:rPr>
      <w:rFonts w:ascii="宋体"/>
      <w:color w:val="000000"/>
      <w:sz w:val="28"/>
      <w:szCs w:val="28"/>
    </w:rPr>
  </w:style>
  <w:style w:type="paragraph" w:styleId="927" w:customStyle="1">
    <w:name w:val="列表编号 21"/>
    <w:basedOn w:val="700"/>
    <w:uiPriority w:val="99"/>
    <w:unhideWhenUsed/>
    <w:qFormat/>
    <w:pPr>
      <w:numPr>
        <w:ilvl w:val="0"/>
        <w:numId w:val="1"/>
      </w:numPr>
    </w:pPr>
  </w:style>
  <w:style w:type="paragraph" w:styleId="928" w:customStyle="1">
    <w:name w:val="普通(网站)1"/>
    <w:basedOn w:val="700"/>
    <w:uiPriority w:val="99"/>
    <w:qFormat/>
    <w:pPr>
      <w:jc w:val="left"/>
      <w:spacing w:before="100" w:beforeAutospacing="1" w:after="100" w:afterAutospacing="1"/>
      <w:widowControl/>
    </w:pPr>
    <w:rPr>
      <w:rFonts w:ascii="宋体" w:hAnsi="宋体" w:cs="宋体"/>
      <w:sz w:val="24"/>
      <w:szCs w:val="24"/>
    </w:rPr>
  </w:style>
  <w:style w:type="paragraph" w:styleId="929" w:customStyle="1">
    <w:name w:val="标题 61"/>
    <w:basedOn w:val="700"/>
    <w:next w:val="700"/>
    <w:link w:val="942"/>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30" w:customStyle="1">
    <w:name w:val="标题 71"/>
    <w:basedOn w:val="700"/>
    <w:next w:val="700"/>
    <w:link w:val="943"/>
    <w:uiPriority w:val="0"/>
    <w:qFormat/>
    <w:pPr>
      <w:numPr>
        <w:ilvl w:val="6"/>
        <w:numId w:val="2"/>
      </w:numPr>
      <w:keepLines/>
      <w:keepNext/>
      <w:spacing w:before="240" w:after="64" w:line="320" w:lineRule="auto"/>
      <w:outlineLvl w:val="6"/>
    </w:pPr>
    <w:rPr>
      <w:b/>
      <w:bCs/>
      <w:sz w:val="24"/>
      <w:szCs w:val="24"/>
    </w:rPr>
  </w:style>
  <w:style w:type="paragraph" w:styleId="931" w:customStyle="1">
    <w:name w:val="标题 81"/>
    <w:basedOn w:val="700"/>
    <w:next w:val="700"/>
    <w:link w:val="944"/>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32" w:customStyle="1">
    <w:name w:val="标题 91"/>
    <w:basedOn w:val="700"/>
    <w:next w:val="700"/>
    <w:link w:val="945"/>
    <w:uiPriority w:val="0"/>
    <w:qFormat/>
    <w:pPr>
      <w:numPr>
        <w:ilvl w:val="8"/>
        <w:numId w:val="2"/>
      </w:numPr>
      <w:keepLines/>
      <w:keepNext/>
      <w:spacing w:before="240" w:after="64" w:line="320" w:lineRule="auto"/>
      <w:outlineLvl w:val="8"/>
    </w:pPr>
    <w:rPr>
      <w:rFonts w:ascii="Arial" w:hAnsi="Arial" w:eastAsia="黑体"/>
      <w:szCs w:val="21"/>
    </w:rPr>
  </w:style>
  <w:style w:type="character" w:styleId="933" w:customStyle="1">
    <w:name w:val="默认段落字体1"/>
    <w:uiPriority w:val="1"/>
    <w:unhideWhenUsed/>
    <w:qFormat/>
  </w:style>
  <w:style w:type="table" w:styleId="934" w:customStyle="1">
    <w:name w:val="普通表格1"/>
    <w:uiPriority w:val="99"/>
    <w:unhideWhenUsed/>
    <w:qFormat/>
    <w:tblPr>
      <w:tblCellMar>
        <w:left w:w="0" w:type="dxa"/>
        <w:top w:w="0" w:type="dxa"/>
        <w:right w:w="0" w:type="dxa"/>
        <w:bottom w:w="0" w:type="dxa"/>
      </w:tblCellMar>
    </w:tblPr>
  </w:style>
  <w:style w:type="paragraph" w:styleId="935" w:customStyle="1">
    <w:name w:val="正文文本11"/>
    <w:basedOn w:val="700"/>
    <w:next w:val="700"/>
    <w:uiPriority w:val="0"/>
    <w:qFormat/>
    <w:rPr>
      <w:rFonts w:ascii="楷体_GB2312" w:hAnsi="Arial" w:eastAsia="楷体_GB2312"/>
      <w:sz w:val="28"/>
      <w:szCs w:val="28"/>
    </w:rPr>
  </w:style>
  <w:style w:type="character" w:styleId="936" w:customStyle="1">
    <w:name w:val="标题 1 字符"/>
    <w:link w:val="921"/>
    <w:uiPriority w:val="0"/>
    <w:qFormat/>
    <w:rPr>
      <w:rFonts w:ascii="楷体_GB2312" w:hAnsi="Times New Roman" w:eastAsia="楷体_GB2312" w:cs="Times New Roman"/>
      <w:sz w:val="28"/>
      <w:szCs w:val="28"/>
    </w:rPr>
  </w:style>
  <w:style w:type="character" w:styleId="937" w:customStyle="1">
    <w:name w:val="标题 2 字符"/>
    <w:link w:val="922"/>
    <w:uiPriority w:val="0"/>
    <w:qFormat/>
    <w:rPr>
      <w:rFonts w:ascii="Arial" w:hAnsi="Arial" w:eastAsia="幼圆" w:cs="Arial"/>
      <w:b/>
      <w:bCs/>
      <w:sz w:val="44"/>
      <w:szCs w:val="44"/>
    </w:rPr>
  </w:style>
  <w:style w:type="character" w:styleId="938" w:customStyle="1">
    <w:name w:val="正文缩进 字符"/>
    <w:link w:val="923"/>
    <w:uiPriority w:val="0"/>
    <w:qFormat/>
    <w:rPr>
      <w:szCs w:val="21"/>
    </w:rPr>
  </w:style>
  <w:style w:type="character" w:styleId="939" w:customStyle="1">
    <w:name w:val="标题 3 字符"/>
    <w:link w:val="924"/>
    <w:uiPriority w:val="0"/>
    <w:qFormat/>
    <w:rPr>
      <w:rFonts w:ascii="Times New Roman" w:hAnsi="Times New Roman" w:eastAsia="宋体" w:cs="Times New Roman"/>
      <w:b/>
      <w:bCs/>
      <w:sz w:val="32"/>
      <w:szCs w:val="32"/>
    </w:rPr>
  </w:style>
  <w:style w:type="character" w:styleId="940" w:customStyle="1">
    <w:name w:val="标题 4 字符"/>
    <w:link w:val="925"/>
    <w:uiPriority w:val="0"/>
    <w:qFormat/>
    <w:rPr>
      <w:rFonts w:ascii="Arial" w:hAnsi="Arial" w:eastAsia="黑体" w:cs="Arial"/>
      <w:b/>
      <w:bCs/>
      <w:sz w:val="28"/>
      <w:szCs w:val="28"/>
    </w:rPr>
  </w:style>
  <w:style w:type="character" w:styleId="941" w:customStyle="1">
    <w:name w:val="标题 5 字符"/>
    <w:link w:val="926"/>
    <w:uiPriority w:val="0"/>
    <w:qFormat/>
    <w:rPr>
      <w:rFonts w:ascii="宋体" w:hAnsi="Times New Roman" w:eastAsia="宋体" w:cs="Times New Roman"/>
      <w:color w:val="000000"/>
      <w:sz w:val="28"/>
      <w:szCs w:val="28"/>
    </w:rPr>
  </w:style>
  <w:style w:type="character" w:styleId="942" w:customStyle="1">
    <w:name w:val="标题 6 字符"/>
    <w:link w:val="929"/>
    <w:uiPriority w:val="0"/>
    <w:qFormat/>
    <w:rPr>
      <w:rFonts w:ascii="Arial" w:hAnsi="Arial" w:eastAsia="黑体" w:cs="Times New Roman"/>
      <w:b/>
      <w:bCs/>
      <w:sz w:val="24"/>
      <w:szCs w:val="24"/>
    </w:rPr>
  </w:style>
  <w:style w:type="character" w:styleId="943" w:customStyle="1">
    <w:name w:val="标题 7 字符"/>
    <w:link w:val="930"/>
    <w:uiPriority w:val="0"/>
    <w:qFormat/>
    <w:rPr>
      <w:rFonts w:ascii="Times New Roman" w:hAnsi="Times New Roman" w:eastAsia="宋体" w:cs="Times New Roman"/>
      <w:b/>
      <w:bCs/>
      <w:sz w:val="24"/>
      <w:szCs w:val="24"/>
    </w:rPr>
  </w:style>
  <w:style w:type="character" w:styleId="944" w:customStyle="1">
    <w:name w:val="标题 8 字符"/>
    <w:link w:val="931"/>
    <w:uiPriority w:val="0"/>
    <w:qFormat/>
    <w:rPr>
      <w:rFonts w:ascii="Arial" w:hAnsi="Arial" w:eastAsia="黑体" w:cs="Times New Roman"/>
      <w:sz w:val="24"/>
      <w:szCs w:val="24"/>
    </w:rPr>
  </w:style>
  <w:style w:type="character" w:styleId="945" w:customStyle="1">
    <w:name w:val="标题 9 字符"/>
    <w:link w:val="932"/>
    <w:uiPriority w:val="0"/>
    <w:qFormat/>
    <w:rPr>
      <w:rFonts w:ascii="Arial" w:hAnsi="Arial" w:eastAsia="黑体" w:cs="Times New Roman"/>
      <w:szCs w:val="21"/>
    </w:rPr>
  </w:style>
  <w:style w:type="paragraph" w:styleId="946" w:customStyle="1">
    <w:name w:val="列表 31"/>
    <w:basedOn w:val="700"/>
    <w:uiPriority w:val="0"/>
    <w:qFormat/>
    <w:pPr>
      <w:ind w:left="100" w:hanging="200"/>
    </w:pPr>
    <w:rPr>
      <w:szCs w:val="21"/>
    </w:rPr>
  </w:style>
  <w:style w:type="paragraph" w:styleId="947" w:customStyle="1">
    <w:name w:val="文档结构图1"/>
    <w:basedOn w:val="700"/>
    <w:link w:val="948"/>
    <w:uiPriority w:val="0"/>
    <w:semiHidden/>
    <w:qFormat/>
    <w:pPr>
      <w:shd w:val="clear" w:color="auto" w:fill="000080"/>
    </w:pPr>
    <w:rPr>
      <w:szCs w:val="21"/>
    </w:rPr>
  </w:style>
  <w:style w:type="character" w:styleId="948" w:customStyle="1">
    <w:name w:val="文档结构图 字符"/>
    <w:link w:val="947"/>
    <w:uiPriority w:val="0"/>
    <w:semiHidden/>
    <w:qFormat/>
    <w:rPr>
      <w:rFonts w:ascii="Times New Roman" w:hAnsi="Times New Roman" w:eastAsia="宋体" w:cs="Times New Roman"/>
      <w:szCs w:val="21"/>
      <w:shd w:val="clear" w:color="auto" w:fill="000080"/>
    </w:rPr>
  </w:style>
  <w:style w:type="paragraph" w:styleId="949" w:customStyle="1">
    <w:name w:val="批注文字1"/>
    <w:basedOn w:val="700"/>
    <w:link w:val="950"/>
    <w:uiPriority w:val="0"/>
    <w:unhideWhenUsed/>
    <w:pPr>
      <w:jc w:val="left"/>
    </w:pPr>
  </w:style>
  <w:style w:type="character" w:styleId="950" w:customStyle="1">
    <w:name w:val="批注文字 字符"/>
    <w:link w:val="949"/>
    <w:uiPriority w:val="99"/>
    <w:semiHidden/>
  </w:style>
  <w:style w:type="paragraph" w:styleId="951" w:customStyle="1">
    <w:name w:val="正文文本 31"/>
    <w:basedOn w:val="700"/>
    <w:link w:val="952"/>
    <w:uiPriority w:val="0"/>
    <w:rPr>
      <w:rFonts w:ascii="仿宋_GB2312" w:hAnsi="Arial" w:eastAsia="仿宋_GB2312"/>
      <w:sz w:val="32"/>
      <w:szCs w:val="32"/>
    </w:rPr>
  </w:style>
  <w:style w:type="character" w:styleId="952" w:customStyle="1">
    <w:name w:val="正文文本 3 字符"/>
    <w:link w:val="951"/>
    <w:uiPriority w:val="0"/>
    <w:rPr>
      <w:rFonts w:ascii="仿宋_GB2312" w:hAnsi="Arial" w:eastAsia="仿宋_GB2312" w:cs="Times New Roman"/>
      <w:sz w:val="32"/>
      <w:szCs w:val="32"/>
    </w:rPr>
  </w:style>
  <w:style w:type="paragraph" w:styleId="953" w:customStyle="1">
    <w:name w:val="正文文本12"/>
    <w:basedOn w:val="700"/>
    <w:next w:val="700"/>
    <w:link w:val="954"/>
    <w:uiPriority w:val="0"/>
    <w:qFormat/>
    <w:rPr>
      <w:rFonts w:ascii="楷体_GB2312" w:hAnsi="Arial" w:eastAsia="楷体_GB2312"/>
      <w:sz w:val="28"/>
      <w:szCs w:val="28"/>
    </w:rPr>
  </w:style>
  <w:style w:type="character" w:styleId="954" w:customStyle="1">
    <w:name w:val="正文文本 字符"/>
    <w:link w:val="953"/>
    <w:uiPriority w:val="0"/>
    <w:qFormat/>
    <w:rPr>
      <w:rFonts w:ascii="楷体_GB2312" w:hAnsi="Arial" w:eastAsia="楷体_GB2312" w:cs="Times New Roman"/>
      <w:sz w:val="28"/>
      <w:szCs w:val="28"/>
    </w:rPr>
  </w:style>
  <w:style w:type="paragraph" w:styleId="955" w:customStyle="1">
    <w:name w:val="正文文本缩进1"/>
    <w:basedOn w:val="700"/>
    <w:next w:val="956"/>
    <w:link w:val="957"/>
    <w:uiPriority w:val="0"/>
    <w:unhideWhenUsed/>
    <w:qFormat/>
    <w:pPr>
      <w:ind w:left="420"/>
      <w:spacing w:after="120"/>
    </w:pPr>
  </w:style>
  <w:style w:type="paragraph" w:styleId="956" w:customStyle="1">
    <w:name w:val="寄信人地址11"/>
    <w:basedOn w:val="700"/>
    <w:uiPriority w:val="0"/>
    <w:qFormat/>
    <w:rPr>
      <w:rFonts w:ascii="Arial" w:hAnsi="Arial"/>
    </w:rPr>
  </w:style>
  <w:style w:type="character" w:styleId="957" w:customStyle="1">
    <w:name w:val="正文文本缩进 字符"/>
    <w:link w:val="955"/>
    <w:uiPriority w:val="99"/>
    <w:semiHidden/>
    <w:qFormat/>
  </w:style>
  <w:style w:type="paragraph" w:styleId="958" w:customStyle="1">
    <w:name w:val="列表 21"/>
    <w:basedOn w:val="700"/>
    <w:uiPriority w:val="0"/>
    <w:pPr>
      <w:ind w:left="100" w:hanging="200"/>
    </w:pPr>
    <w:rPr>
      <w:szCs w:val="21"/>
    </w:rPr>
  </w:style>
  <w:style w:type="paragraph" w:styleId="959" w:customStyle="1">
    <w:name w:val="纯文本11"/>
    <w:basedOn w:val="700"/>
    <w:link w:val="960"/>
    <w:uiPriority w:val="0"/>
    <w:qFormat/>
    <w:rPr>
      <w:rFonts w:ascii="宋体" w:hAnsi="Courier New" w:cs="Courier New"/>
      <w:szCs w:val="21"/>
    </w:rPr>
  </w:style>
  <w:style w:type="character" w:styleId="960" w:customStyle="1">
    <w:name w:val="纯文本 字符"/>
    <w:link w:val="959"/>
    <w:uiPriority w:val="0"/>
    <w:rPr>
      <w:rFonts w:ascii="宋体" w:hAnsi="Courier New" w:eastAsia="宋体" w:cs="Courier New"/>
      <w:szCs w:val="21"/>
    </w:rPr>
  </w:style>
  <w:style w:type="paragraph" w:styleId="961" w:customStyle="1">
    <w:name w:val="日期1"/>
    <w:basedOn w:val="700"/>
    <w:next w:val="700"/>
    <w:link w:val="962"/>
    <w:uiPriority w:val="0"/>
    <w:rPr>
      <w:sz w:val="24"/>
      <w:szCs w:val="24"/>
    </w:rPr>
  </w:style>
  <w:style w:type="character" w:styleId="962" w:customStyle="1">
    <w:name w:val="日期 字符"/>
    <w:link w:val="961"/>
    <w:uiPriority w:val="0"/>
    <w:qFormat/>
    <w:rPr>
      <w:rFonts w:ascii="Times New Roman" w:hAnsi="Times New Roman" w:eastAsia="宋体" w:cs="Times New Roman"/>
      <w:sz w:val="24"/>
      <w:szCs w:val="24"/>
    </w:rPr>
  </w:style>
  <w:style w:type="paragraph" w:styleId="963" w:customStyle="1">
    <w:name w:val="正文文本缩进 21"/>
    <w:basedOn w:val="700"/>
    <w:link w:val="964"/>
    <w:uiPriority w:val="0"/>
    <w:qFormat/>
    <w:pPr>
      <w:ind w:left="630" w:firstLine="645"/>
    </w:pPr>
    <w:rPr>
      <w:rFonts w:ascii="Arial" w:hAnsi="Arial" w:eastAsia="仿宋_GB2312" w:cs="Arial"/>
      <w:sz w:val="32"/>
      <w:szCs w:val="32"/>
    </w:rPr>
  </w:style>
  <w:style w:type="character" w:styleId="964" w:customStyle="1">
    <w:name w:val="正文文本缩进 2 字符"/>
    <w:link w:val="963"/>
    <w:uiPriority w:val="0"/>
    <w:rPr>
      <w:rFonts w:ascii="Arial" w:hAnsi="Arial" w:eastAsia="仿宋_GB2312" w:cs="Arial"/>
      <w:sz w:val="32"/>
      <w:szCs w:val="32"/>
    </w:rPr>
  </w:style>
  <w:style w:type="paragraph" w:styleId="965" w:customStyle="1">
    <w:name w:val="批注框文本1"/>
    <w:basedOn w:val="700"/>
    <w:link w:val="966"/>
    <w:uiPriority w:val="0"/>
    <w:semiHidden/>
    <w:rPr>
      <w:sz w:val="18"/>
      <w:szCs w:val="18"/>
    </w:rPr>
  </w:style>
  <w:style w:type="character" w:styleId="966" w:customStyle="1">
    <w:name w:val="批注框文本 字符"/>
    <w:link w:val="965"/>
    <w:uiPriority w:val="0"/>
    <w:semiHidden/>
    <w:rPr>
      <w:rFonts w:ascii="Times New Roman" w:hAnsi="Times New Roman" w:eastAsia="宋体" w:cs="Times New Roman"/>
      <w:sz w:val="18"/>
      <w:szCs w:val="18"/>
    </w:rPr>
  </w:style>
  <w:style w:type="paragraph" w:styleId="967" w:customStyle="1">
    <w:name w:val="页脚1"/>
    <w:basedOn w:val="700"/>
    <w:link w:val="968"/>
    <w:uiPriority w:val="99"/>
    <w:pPr>
      <w:jc w:val="left"/>
      <w:tabs>
        <w:tab w:val="center" w:pos="4153" w:leader="none"/>
        <w:tab w:val="right" w:pos="8306" w:leader="none"/>
      </w:tabs>
    </w:pPr>
    <w:rPr>
      <w:sz w:val="18"/>
      <w:szCs w:val="18"/>
    </w:rPr>
  </w:style>
  <w:style w:type="character" w:styleId="968" w:customStyle="1">
    <w:name w:val="页脚 字符"/>
    <w:link w:val="967"/>
    <w:uiPriority w:val="99"/>
    <w:rPr>
      <w:rFonts w:ascii="Times New Roman" w:hAnsi="Times New Roman" w:eastAsia="宋体" w:cs="Times New Roman"/>
      <w:sz w:val="18"/>
      <w:szCs w:val="18"/>
    </w:rPr>
  </w:style>
  <w:style w:type="paragraph" w:styleId="969" w:customStyle="1">
    <w:name w:val="页眉1"/>
    <w:basedOn w:val="700"/>
    <w:link w:val="970"/>
    <w:uiPriority w:val="0"/>
    <w:qFormat/>
    <w:pPr>
      <w:jc w:val="center"/>
      <w:tabs>
        <w:tab w:val="center" w:pos="4153" w:leader="none"/>
        <w:tab w:val="right" w:pos="8306" w:leader="none"/>
      </w:tabs>
      <w:pBdr>
        <w:bottom w:val="single" w:color="000000" w:sz="6" w:space="1"/>
      </w:pBdr>
    </w:pPr>
    <w:rPr>
      <w:sz w:val="18"/>
      <w:szCs w:val="18"/>
    </w:rPr>
  </w:style>
  <w:style w:type="character" w:styleId="970" w:customStyle="1">
    <w:name w:val="页眉 字符"/>
    <w:link w:val="969"/>
    <w:uiPriority w:val="0"/>
    <w:qFormat/>
    <w:rPr>
      <w:rFonts w:ascii="Times New Roman" w:hAnsi="Times New Roman" w:eastAsia="宋体" w:cs="Times New Roman"/>
      <w:sz w:val="18"/>
      <w:szCs w:val="18"/>
    </w:rPr>
  </w:style>
  <w:style w:type="paragraph" w:styleId="971" w:customStyle="1">
    <w:name w:val="列表1"/>
    <w:basedOn w:val="700"/>
    <w:uiPriority w:val="0"/>
    <w:qFormat/>
    <w:pPr>
      <w:ind w:left="200" w:hanging="200"/>
    </w:pPr>
    <w:rPr>
      <w:szCs w:val="21"/>
    </w:rPr>
  </w:style>
  <w:style w:type="paragraph" w:styleId="972" w:customStyle="1">
    <w:name w:val="正文文本缩进 31"/>
    <w:basedOn w:val="700"/>
    <w:link w:val="973"/>
    <w:uiPriority w:val="0"/>
    <w:qFormat/>
    <w:pPr>
      <w:ind w:left="645" w:firstLine="645"/>
    </w:pPr>
    <w:rPr>
      <w:rFonts w:ascii="Arial" w:hAnsi="Arial" w:eastAsia="仿宋_GB2312" w:cs="Arial"/>
      <w:color w:val="ffff00"/>
      <w:sz w:val="32"/>
      <w:szCs w:val="32"/>
    </w:rPr>
  </w:style>
  <w:style w:type="character" w:styleId="973" w:customStyle="1">
    <w:name w:val="正文文本缩进 3 字符"/>
    <w:link w:val="972"/>
    <w:uiPriority w:val="0"/>
    <w:qFormat/>
    <w:rPr>
      <w:rFonts w:ascii="Arial" w:hAnsi="Arial" w:eastAsia="仿宋_GB2312" w:cs="Arial"/>
      <w:color w:val="ffff00"/>
      <w:sz w:val="32"/>
      <w:szCs w:val="32"/>
    </w:rPr>
  </w:style>
  <w:style w:type="paragraph" w:styleId="974" w:customStyle="1">
    <w:name w:val="图表目录1"/>
    <w:basedOn w:val="700"/>
    <w:next w:val="700"/>
    <w:uiPriority w:val="0"/>
    <w:semiHidden/>
    <w:qFormat/>
    <w:pPr>
      <w:ind w:left="840" w:hanging="420"/>
    </w:pPr>
    <w:rPr>
      <w:szCs w:val="21"/>
    </w:rPr>
  </w:style>
  <w:style w:type="paragraph" w:styleId="975" w:customStyle="1">
    <w:name w:val="正文文本 21"/>
    <w:basedOn w:val="700"/>
    <w:link w:val="976"/>
    <w:uiPriority w:val="0"/>
    <w:qFormat/>
    <w:pPr>
      <w:jc w:val="center"/>
      <w:widowControl/>
    </w:pPr>
    <w:rPr>
      <w:rFonts w:ascii="楷体_GB2312" w:eastAsia="楷体_GB2312"/>
      <w:sz w:val="28"/>
      <w:szCs w:val="28"/>
    </w:rPr>
  </w:style>
  <w:style w:type="character" w:styleId="976" w:customStyle="1">
    <w:name w:val="正文文本 2 字符"/>
    <w:link w:val="975"/>
    <w:uiPriority w:val="0"/>
    <w:qFormat/>
    <w:rPr>
      <w:rFonts w:ascii="楷体_GB2312" w:hAnsi="Times New Roman" w:eastAsia="楷体_GB2312" w:cs="Times New Roman"/>
      <w:sz w:val="28"/>
      <w:szCs w:val="28"/>
    </w:rPr>
  </w:style>
  <w:style w:type="paragraph" w:styleId="977" w:customStyle="1">
    <w:name w:val="索引 11"/>
    <w:basedOn w:val="700"/>
    <w:next w:val="700"/>
    <w:uiPriority w:val="0"/>
    <w:semiHidden/>
    <w:qFormat/>
    <w:pPr>
      <w:spacing w:line="240" w:lineRule="atLeast"/>
    </w:pPr>
    <w:rPr>
      <w:b/>
      <w:bCs/>
      <w:szCs w:val="21"/>
    </w:rPr>
  </w:style>
  <w:style w:type="paragraph" w:styleId="978" w:customStyle="1">
    <w:name w:val="批注主题1"/>
    <w:basedOn w:val="949"/>
    <w:next w:val="949"/>
    <w:link w:val="979"/>
    <w:uiPriority w:val="0"/>
    <w:semiHidden/>
    <w:qFormat/>
    <w:rPr>
      <w:b/>
      <w:bCs/>
      <w:szCs w:val="21"/>
    </w:rPr>
  </w:style>
  <w:style w:type="character" w:styleId="979" w:customStyle="1">
    <w:name w:val="批注主题 字符"/>
    <w:link w:val="978"/>
    <w:uiPriority w:val="0"/>
    <w:semiHidden/>
    <w:qFormat/>
    <w:rPr>
      <w:rFonts w:ascii="Times New Roman" w:hAnsi="Times New Roman" w:eastAsia="宋体" w:cs="Times New Roman"/>
      <w:b/>
      <w:bCs/>
      <w:szCs w:val="21"/>
    </w:rPr>
  </w:style>
  <w:style w:type="paragraph" w:styleId="980" w:customStyle="1">
    <w:name w:val="正文文本首行缩进1"/>
    <w:basedOn w:val="700"/>
    <w:link w:val="981"/>
    <w:uiPriority w:val="0"/>
    <w:qFormat/>
    <w:pPr>
      <w:ind w:firstLine="200"/>
      <w:spacing w:line="360" w:lineRule="auto"/>
    </w:pPr>
    <w:rPr>
      <w:rFonts w:ascii="仿宋_GB2312" w:eastAsia="仿宋_GB2312"/>
      <w:sz w:val="30"/>
      <w:szCs w:val="30"/>
    </w:rPr>
  </w:style>
  <w:style w:type="character" w:styleId="981" w:customStyle="1">
    <w:name w:val="正文文本首行缩进 字符"/>
    <w:link w:val="980"/>
    <w:uiPriority w:val="0"/>
    <w:qFormat/>
    <w:rPr>
      <w:rFonts w:ascii="仿宋_GB2312" w:hAnsi="Times New Roman" w:eastAsia="仿宋_GB2312" w:cs="Times New Roman"/>
      <w:sz w:val="30"/>
      <w:szCs w:val="30"/>
    </w:rPr>
  </w:style>
  <w:style w:type="paragraph" w:styleId="982" w:customStyle="1">
    <w:name w:val="正文文本首行缩进 21"/>
    <w:basedOn w:val="955"/>
    <w:link w:val="983"/>
    <w:uiPriority w:val="0"/>
    <w:qFormat/>
    <w:pPr>
      <w:ind w:left="0" w:firstLine="420"/>
      <w:spacing w:after="0" w:line="360" w:lineRule="auto"/>
    </w:pPr>
    <w:rPr>
      <w:rFonts w:ascii="宋体" w:hAnsi="宋体"/>
      <w:szCs w:val="20"/>
    </w:rPr>
  </w:style>
  <w:style w:type="character" w:styleId="983" w:customStyle="1">
    <w:name w:val="正文文本首行缩进 2 字符"/>
    <w:link w:val="982"/>
    <w:uiPriority w:val="0"/>
    <w:qFormat/>
    <w:rPr>
      <w:rFonts w:ascii="宋体" w:hAnsi="宋体" w:eastAsia="宋体" w:cs="Times New Roman"/>
      <w:szCs w:val="20"/>
    </w:rPr>
  </w:style>
  <w:style w:type="table" w:styleId="984" w:customStyle="1">
    <w:name w:val="网格型1"/>
    <w:basedOn w:val="934"/>
    <w:uiPriority w:val="0"/>
    <w:qFormat/>
    <w:pPr>
      <w:jc w:val="both"/>
      <w:widowControl w:val="off"/>
    </w:pPr>
    <w:tblPr/>
  </w:style>
  <w:style w:type="character" w:styleId="985" w:customStyle="1">
    <w:name w:val="要点1"/>
    <w:uiPriority w:val="0"/>
    <w:qFormat/>
    <w:rPr>
      <w:b/>
      <w:bCs/>
    </w:rPr>
  </w:style>
  <w:style w:type="character" w:styleId="986" w:customStyle="1">
    <w:name w:val="页码1"/>
    <w:uiPriority w:val="0"/>
    <w:qFormat/>
  </w:style>
  <w:style w:type="character" w:styleId="987" w:customStyle="1">
    <w:name w:val="访问过的超链接1"/>
    <w:uiPriority w:val="0"/>
    <w:qFormat/>
    <w:rPr>
      <w:color w:val="800080"/>
      <w:u w:val="single"/>
    </w:rPr>
  </w:style>
  <w:style w:type="character" w:styleId="988" w:customStyle="1">
    <w:name w:val="强调1"/>
    <w:uiPriority w:val="0"/>
    <w:qFormat/>
    <w:rPr>
      <w:i/>
    </w:rPr>
  </w:style>
  <w:style w:type="character" w:styleId="989" w:customStyle="1">
    <w:name w:val="超链接1"/>
    <w:uiPriority w:val="0"/>
    <w:qFormat/>
    <w:rPr>
      <w:color w:val="0000ff"/>
      <w:u w:val="single"/>
    </w:rPr>
  </w:style>
  <w:style w:type="character" w:styleId="990" w:customStyle="1">
    <w:name w:val="批注引用1"/>
    <w:uiPriority w:val="0"/>
    <w:semiHidden/>
    <w:qFormat/>
    <w:rPr>
      <w:sz w:val="21"/>
      <w:szCs w:val="21"/>
    </w:rPr>
  </w:style>
  <w:style w:type="paragraph" w:styleId="991" w:customStyle="1">
    <w:name w:val="正文首行缩进 211"/>
    <w:basedOn w:val="992"/>
    <w:next w:val="700"/>
    <w:uiPriority w:val="0"/>
    <w:qFormat/>
    <w:pPr>
      <w:ind w:firstLine="420"/>
      <w:spacing w:line="360" w:lineRule="auto"/>
    </w:pPr>
    <w:rPr>
      <w:rFonts w:ascii="宋体" w:hAnsi="宋体"/>
      <w:szCs w:val="20"/>
    </w:rPr>
  </w:style>
  <w:style w:type="paragraph" w:styleId="992" w:customStyle="1">
    <w:name w:val="正文文本缩进11"/>
    <w:basedOn w:val="700"/>
    <w:next w:val="993"/>
    <w:uiPriority w:val="0"/>
    <w:qFormat/>
    <w:pPr>
      <w:ind w:left="420"/>
      <w:spacing w:after="120"/>
    </w:pPr>
  </w:style>
  <w:style w:type="paragraph" w:styleId="993" w:customStyle="1">
    <w:name w:val="寄信人地址1"/>
    <w:basedOn w:val="700"/>
    <w:uiPriority w:val="0"/>
    <w:qFormat/>
    <w:rPr>
      <w:rFonts w:ascii="Arial" w:hAnsi="Arial" w:cs="宋体"/>
    </w:rPr>
  </w:style>
  <w:style w:type="character" w:styleId="994" w:customStyle="1">
    <w:name w:val="font5 Char"/>
    <w:uiPriority w:val="0"/>
    <w:qFormat/>
    <w:rPr>
      <w:rFonts w:ascii="宋体" w:hAnsi="宋体" w:eastAsia="宋体"/>
      <w:sz w:val="28"/>
      <w:szCs w:val="28"/>
      <w:lang w:val="en-US" w:eastAsia="zh-CN" w:bidi="ar-SA"/>
    </w:rPr>
  </w:style>
  <w:style w:type="character" w:styleId="995" w:customStyle="1">
    <w:name w:val="二级目录 Char"/>
    <w:link w:val="996"/>
    <w:uiPriority w:val="0"/>
    <w:qFormat/>
    <w:rPr>
      <w:b/>
      <w:sz w:val="30"/>
      <w:szCs w:val="28"/>
    </w:rPr>
  </w:style>
  <w:style w:type="paragraph" w:styleId="996" w:customStyle="1">
    <w:name w:val="二级目录"/>
    <w:next w:val="700"/>
    <w:link w:val="99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rPr>
  </w:style>
  <w:style w:type="character" w:styleId="997" w:customStyle="1">
    <w:name w:val="列出段落 Char"/>
    <w:link w:val="998"/>
    <w:uiPriority w:val="0"/>
    <w:qFormat/>
    <w:rPr>
      <w:rFonts w:ascii="Calibri" w:hAnsi="Calibri"/>
      <w:sz w:val="24"/>
      <w:szCs w:val="24"/>
      <w:lang w:eastAsia="en-US" w:bidi="en-US"/>
    </w:rPr>
  </w:style>
  <w:style w:type="paragraph" w:styleId="998" w:customStyle="1">
    <w:name w:val="列出段落1"/>
    <w:basedOn w:val="700"/>
    <w:link w:val="997"/>
    <w:uiPriority w:val="0"/>
    <w:qFormat/>
    <w:pPr>
      <w:contextualSpacing/>
      <w:ind w:left="720"/>
      <w:jc w:val="left"/>
      <w:widowControl/>
    </w:pPr>
    <w:rPr>
      <w:rFonts w:ascii="Calibri" w:hAnsi="Calibri"/>
      <w:sz w:val="24"/>
      <w:szCs w:val="24"/>
      <w:lang w:eastAsia="en-US" w:bidi="en-US"/>
    </w:rPr>
  </w:style>
  <w:style w:type="paragraph" w:styleId="999" w:customStyle="1">
    <w:name w:val="Body Text(ch)"/>
    <w:basedOn w:val="700"/>
    <w:next w:val="953"/>
    <w:uiPriority w:val="0"/>
    <w:qFormat/>
    <w:pPr>
      <w:spacing w:after="120"/>
    </w:pPr>
    <w:rPr>
      <w:rFonts w:ascii="宋体" w:hAnsi="Arial"/>
      <w:bCs/>
      <w:iCs/>
      <w:szCs w:val="24"/>
    </w:rPr>
  </w:style>
  <w:style w:type="paragraph" w:styleId="1000" w:customStyle="1">
    <w:name w:val="xl2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customStyle="1">
    <w:name w:val="Char"/>
    <w:basedOn w:val="700"/>
    <w:uiPriority w:val="0"/>
    <w:qFormat/>
    <w:pPr>
      <w:ind w:firstLine="200"/>
      <w:tabs>
        <w:tab w:val="left" w:pos="360" w:leader="none"/>
      </w:tabs>
    </w:pPr>
    <w:rPr>
      <w:sz w:val="28"/>
      <w:szCs w:val="30"/>
    </w:rPr>
  </w:style>
  <w:style w:type="paragraph" w:styleId="1003" w:customStyle="1">
    <w:name w:val="Char1"/>
    <w:basedOn w:val="947"/>
    <w:uiPriority w:val="0"/>
    <w:qFormat/>
    <w:rPr>
      <w:rFonts w:ascii="Tahoma" w:hAnsi="Tahoma"/>
      <w:sz w:val="24"/>
      <w:szCs w:val="24"/>
    </w:rPr>
  </w:style>
  <w:style w:type="paragraph" w:styleId="1004" w:customStyle="1">
    <w:name w:val="普通正文"/>
    <w:basedOn w:val="1005"/>
    <w:uiPriority w:val="0"/>
    <w:qFormat/>
    <w:pPr>
      <w:ind w:firstLine="480"/>
      <w:jc w:val="left"/>
      <w:spacing w:before="120" w:after="120" w:line="360" w:lineRule="auto"/>
    </w:pPr>
    <w:rPr>
      <w:rFonts w:ascii="Arial" w:hAnsi="Arial"/>
      <w:sz w:val="24"/>
      <w:szCs w:val="24"/>
    </w:rPr>
  </w:style>
  <w:style w:type="paragraph" w:styleId="1005" w:customStyle="1">
    <w:name w:val="正文1"/>
    <w:uiPriority w:val="0"/>
    <w:qFormat/>
    <w:pPr>
      <w:jc w:val="both"/>
      <w:widowControl w:val="off"/>
    </w:pPr>
    <w:rPr>
      <w:rFonts w:hint="default" w:ascii="Times New Roman" w:hAnsi="Times New Roman" w:eastAsia="宋体" w:cs="Times New Roman"/>
      <w:sz w:val="21"/>
      <w:szCs w:val="21"/>
    </w:rPr>
  </w:style>
  <w:style w:type="paragraph" w:styleId="1006" w:customStyle="1">
    <w:name w:val="table_lines"/>
    <w:basedOn w:val="700"/>
    <w:uiPriority w:val="0"/>
    <w:qFormat/>
    <w:pPr>
      <w:jc w:val="left"/>
      <w:widowControl/>
    </w:pPr>
    <w:rPr>
      <w:sz w:val="20"/>
      <w:szCs w:val="20"/>
      <w:lang w:val="de-DE" w:eastAsia="de-DE"/>
    </w:rPr>
  </w:style>
  <w:style w:type="paragraph" w:styleId="1007" w:customStyle="1">
    <w:name w:val="附录1"/>
    <w:uiPriority w:val="0"/>
    <w:qFormat/>
    <w:pPr>
      <w:numPr>
        <w:ilvl w:val="0"/>
        <w:numId w:val="3"/>
      </w:numPr>
      <w:spacing w:before="240" w:line="600" w:lineRule="atLeast"/>
    </w:pPr>
    <w:rPr>
      <w:rFonts w:hint="default" w:ascii="Times New Roman" w:hAnsi="Times New Roman" w:eastAsia="宋体" w:cs="Times New Roman"/>
      <w:b/>
      <w:i/>
      <w:sz w:val="28"/>
    </w:rPr>
  </w:style>
  <w:style w:type="paragraph" w:styleId="1008" w:customStyle="1">
    <w:name w:val="font7"/>
    <w:basedOn w:val="700"/>
    <w:uiPriority w:val="0"/>
    <w:qFormat/>
    <w:pPr>
      <w:jc w:val="left"/>
      <w:spacing w:before="100" w:beforeAutospacing="1" w:after="100" w:afterAutospacing="1"/>
      <w:widowControl/>
    </w:pPr>
    <w:rPr>
      <w:rFonts w:hint="eastAsia" w:ascii="宋体" w:hAnsi="宋体"/>
      <w:sz w:val="18"/>
      <w:szCs w:val="18"/>
    </w:rPr>
  </w:style>
  <w:style w:type="paragraph" w:styleId="1009" w:customStyle="1">
    <w:name w:val="Char Char Char Char"/>
    <w:basedOn w:val="947"/>
    <w:uiPriority w:val="0"/>
    <w:qFormat/>
    <w:pPr>
      <w:spacing w:line="360" w:lineRule="auto"/>
    </w:pPr>
    <w:rPr>
      <w:rFonts w:ascii="Tahoma" w:hAnsi="Tahoma"/>
      <w:sz w:val="24"/>
      <w:szCs w:val="24"/>
    </w:rPr>
  </w:style>
  <w:style w:type="paragraph" w:styleId="1010" w:customStyle="1">
    <w:name w:val="列表段落1"/>
    <w:basedOn w:val="700"/>
    <w:uiPriority w:val="0"/>
    <w:qFormat/>
    <w:pPr>
      <w:contextualSpacing/>
      <w:ind w:left="720"/>
      <w:jc w:val="left"/>
      <w:widowControl/>
    </w:pPr>
    <w:rPr>
      <w:rFonts w:ascii="Calibri" w:hAnsi="Calibri"/>
      <w:sz w:val="24"/>
      <w:szCs w:val="24"/>
      <w:lang w:eastAsia="en-US" w:bidi="en-US"/>
    </w:rPr>
  </w:style>
  <w:style w:type="paragraph" w:styleId="1011" w:customStyle="1">
    <w:name w:val="4"/>
    <w:basedOn w:val="700"/>
    <w:next w:val="972"/>
    <w:uiPriority w:val="0"/>
    <w:qFormat/>
    <w:pPr>
      <w:ind w:firstLine="420"/>
      <w:spacing w:line="360" w:lineRule="auto"/>
    </w:pPr>
    <w:rPr>
      <w:color w:val="ff0000"/>
      <w:sz w:val="24"/>
      <w:szCs w:val="24"/>
    </w:rPr>
  </w:style>
  <w:style w:type="paragraph" w:styleId="1012" w:customStyle="1">
    <w:name w:val="普通 (Web)"/>
    <w:basedOn w:val="700"/>
    <w:uiPriority w:val="0"/>
    <w:qFormat/>
    <w:pPr>
      <w:jc w:val="left"/>
      <w:spacing w:before="100" w:beforeAutospacing="1" w:after="100" w:afterAutospacing="1"/>
      <w:widowControl/>
    </w:pPr>
    <w:rPr>
      <w:rFonts w:ascii="宋体" w:hAnsi="宋体"/>
      <w:sz w:val="24"/>
      <w:szCs w:val="24"/>
    </w:rPr>
  </w:style>
  <w:style w:type="paragraph" w:styleId="1013" w:customStyle="1">
    <w:name w:val="Char Char Char Char Char Char Char Char Char Char"/>
    <w:basedOn w:val="700"/>
    <w:uiPriority w:val="0"/>
    <w:qFormat/>
    <w:pPr>
      <w:spacing w:line="360" w:lineRule="auto"/>
    </w:pPr>
    <w:rPr>
      <w:sz w:val="24"/>
      <w:szCs w:val="20"/>
    </w:rPr>
  </w:style>
  <w:style w:type="paragraph" w:styleId="1014" w:customStyle="1">
    <w:name w:val="样式1"/>
    <w:basedOn w:val="700"/>
    <w:uiPriority w:val="0"/>
    <w:qFormat/>
    <w:pPr>
      <w:numPr>
        <w:ilvl w:val="0"/>
        <w:numId w:val="4"/>
      </w:numPr>
    </w:pPr>
    <w:rPr>
      <w:rFonts w:ascii="宋体" w:hAnsi="宋体"/>
      <w:szCs w:val="21"/>
    </w:rPr>
  </w:style>
  <w:style w:type="paragraph" w:styleId="1015" w:customStyle="1">
    <w:name w:val="font6"/>
    <w:basedOn w:val="700"/>
    <w:uiPriority w:val="0"/>
    <w:qFormat/>
    <w:pPr>
      <w:jc w:val="left"/>
      <w:spacing w:before="100" w:beforeAutospacing="1" w:after="100" w:afterAutospacing="1"/>
      <w:widowControl/>
    </w:pPr>
    <w:rPr>
      <w:rFonts w:hint="eastAsia" w:ascii="宋体" w:hAnsi="宋体"/>
      <w:sz w:val="28"/>
      <w:szCs w:val="28"/>
      <w:u w:val="single"/>
    </w:rPr>
  </w:style>
  <w:style w:type="paragraph" w:styleId="1016"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customStyle="1">
    <w:name w:val="标题3"/>
    <w:basedOn w:val="700"/>
    <w:next w:val="700"/>
    <w:uiPriority w:val="0"/>
    <w:qFormat/>
    <w:pPr>
      <w:ind w:firstLine="624"/>
      <w:spacing w:line="590" w:lineRule="atLeast"/>
    </w:pPr>
    <w:rPr>
      <w:rFonts w:ascii="方正黑体_GBK" w:eastAsia="方正黑体_GBK"/>
      <w:sz w:val="32"/>
      <w:szCs w:val="32"/>
    </w:rPr>
  </w:style>
  <w:style w:type="paragraph" w:styleId="1019" w:customStyle="1">
    <w:name w:val="xl24"/>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xl29"/>
    <w:basedOn w:val="7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1"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022"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customStyle="1">
    <w:name w:val="Char 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1024" w:customStyle="1">
    <w:name w:val="xl30"/>
    <w:basedOn w:val="700"/>
    <w:uiPriority w:val="0"/>
    <w:qFormat/>
    <w:pPr>
      <w:jc w:val="center"/>
      <w:spacing w:before="100" w:beforeAutospacing="1" w:after="100" w:afterAutospacing="1"/>
      <w:widowControl/>
    </w:pPr>
    <w:rPr>
      <w:rFonts w:ascii="宋体" w:hAnsi="宋体"/>
      <w:b/>
      <w:bCs/>
      <w:sz w:val="36"/>
      <w:szCs w:val="36"/>
    </w:rPr>
  </w:style>
  <w:style w:type="paragraph" w:styleId="1025" w:customStyle="1">
    <w:name w:val="Char Char Char Char1"/>
    <w:basedOn w:val="947"/>
    <w:uiPriority w:val="0"/>
    <w:qFormat/>
    <w:pPr>
      <w:spacing w:line="360" w:lineRule="auto"/>
    </w:pPr>
    <w:rPr>
      <w:rFonts w:ascii="Tahoma" w:hAnsi="Tahoma"/>
      <w:sz w:val="24"/>
      <w:szCs w:val="24"/>
    </w:rPr>
  </w:style>
  <w:style w:type="paragraph" w:styleId="1026" w:customStyle="1">
    <w:name w:val="table_1stline"/>
    <w:basedOn w:val="700"/>
    <w:uiPriority w:val="0"/>
    <w:qFormat/>
    <w:pPr>
      <w:jc w:val="left"/>
      <w:spacing w:before="120"/>
      <w:widowControl/>
    </w:pPr>
    <w:rPr>
      <w:bCs/>
      <w:sz w:val="20"/>
      <w:szCs w:val="20"/>
      <w:lang w:val="de-DE" w:eastAsia="de-DE"/>
    </w:rPr>
  </w:style>
  <w:style w:type="paragraph" w:styleId="1027" w:customStyle="1">
    <w:name w:val="font5"/>
    <w:basedOn w:val="700"/>
    <w:uiPriority w:val="0"/>
    <w:qFormat/>
    <w:pPr>
      <w:jc w:val="left"/>
      <w:spacing w:before="100" w:beforeAutospacing="1" w:after="100" w:afterAutospacing="1"/>
      <w:widowControl/>
    </w:pPr>
    <w:rPr>
      <w:rFonts w:hint="eastAsia" w:ascii="宋体" w:hAnsi="宋体"/>
      <w:sz w:val="28"/>
      <w:szCs w:val="28"/>
    </w:rPr>
  </w:style>
  <w:style w:type="paragraph" w:styleId="1028"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修订1"/>
    <w:uiPriority w:val="99"/>
    <w:semiHidden/>
    <w:qFormat/>
    <w:rPr>
      <w:rFonts w:hint="default" w:ascii="Times New Roman" w:hAnsi="Times New Roman" w:eastAsia="宋体" w:cs="Times New Roman"/>
      <w:sz w:val="21"/>
      <w:szCs w:val="21"/>
    </w:rPr>
  </w:style>
  <w:style w:type="paragraph" w:styleId="1030"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1031"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1032" w:customStyle="1">
    <w:name w:val="纯文本1"/>
    <w:basedOn w:val="700"/>
    <w:uiPriority w:val="0"/>
    <w:qFormat/>
    <w:rPr>
      <w:rFonts w:ascii="宋体" w:hAnsi="Courier New" w:cs="Courier New"/>
    </w:r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FE256-8B16-4349-B67D-C0032A49930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施梁</cp:lastModifiedBy>
  <cp:revision>13</cp:revision>
  <dcterms:created xsi:type="dcterms:W3CDTF">2026-06-02T01:59:00Z</dcterms:created>
  <dcterms:modified xsi:type="dcterms:W3CDTF">2026-06-04T01:52:15Z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eyJoZGlkIjoiMWVhMDEzNDg3MjM3ZmJjMTg5MDU3OTA5NDRiN2NiYTEiLCJ1c2VySWQiOiI1OTE4MzYzNzYifQ==</vt:lpwstr>
  </property>
  <property fmtid="{D5CDD505-2E9C-101B-9397-08002B2CF9AE}" pid="3" name="KSOProductBuildVer">
    <vt:lpwstr>2052-12.1.0.26375</vt:lpwstr>
  </property>
  <property fmtid="{D5CDD505-2E9C-101B-9397-08002B2CF9AE}" pid="4" name="ICV">
    <vt:lpwstr>9805A05E949743A291D7DDB64489EF7A_12</vt:lpwstr>
  </property>
</Properties>
</file>