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1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96"/>
        </w:rPr>
        <w:t xml:space="preserve">招 标 文 件</w:t>
      </w:r>
      <w:r/>
    </w:p>
    <w:p>
      <w:pPr>
        <w:ind w:left="0" w:right="0" w:firstLine="0"/>
        <w:jc w:val="center"/>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991"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项目编号：JSZC-320000-JSMS-G2026-0003</w:t>
      </w:r>
      <w:r/>
    </w:p>
    <w:p>
      <w:pPr>
        <w:ind w:left="991"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项目名称：2026-2028年省管高速公路中间过程质量监督检测项目4-2</w:t>
      </w:r>
      <w:r/>
    </w:p>
    <w:p>
      <w:pPr>
        <w:ind w:left="991"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tbl>
      <w:tblPr>
        <w:tblStyle w:val="8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82"/>
        <w:gridCol w:w="240"/>
        <w:gridCol w:w="5494"/>
      </w:tblGrid>
      <w:tr>
        <w:trPr>
          <w:trHeight w:val="56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6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采购人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40" w:type="dxa"/>
            <w:vAlign w:val="center"/>
            <w:textDirection w:val="lrTb"/>
            <w:noWrap w:val="false"/>
          </w:tcPr>
          <w:p>
            <w:pPr>
              <w:ind w:left="-53"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49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江苏省交通运输综合行政执法监督局</w:t>
            </w:r>
            <w:r/>
          </w:p>
        </w:tc>
      </w:tr>
      <w:tr>
        <w:trPr>
          <w:trHeight w:val="53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6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采购代理</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40" w:type="dxa"/>
            <w:vAlign w:val="center"/>
            <w:textDirection w:val="lrTb"/>
            <w:noWrap w:val="false"/>
          </w:tcPr>
          <w:p>
            <w:pPr>
              <w:ind w:left="-53"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49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江苏茂森工程咨询监理有限公司</w:t>
            </w:r>
            <w:r/>
          </w:p>
        </w:tc>
      </w:tr>
    </w:tbl>
    <w:p>
      <w:pPr>
        <w:ind w:left="0" w:right="0" w:firstLine="0"/>
        <w:jc w:val="center"/>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二○二六年五月</w:t>
      </w:r>
      <w:r/>
    </w:p>
    <w:p>
      <w:pPr>
        <w:ind w:left="0" w:right="0" w:firstLine="0"/>
        <w:spacing w:before="0" w:after="0"/>
        <w:pBdr>
          <w:top w:val="none" w:color="000000" w:sz="4" w:space="0"/>
          <w:left w:val="none" w:color="000000" w:sz="4" w:space="0"/>
          <w:bottom w:val="none" w:color="000000" w:sz="4" w:space="0"/>
          <w:right w:val="none" w:color="000000" w:sz="4" w:space="0"/>
        </w:pBdr>
      </w:pPr>
      <w:r>
        <w:rPr>
          <w:sz w:val="28"/>
        </w:rPr>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836"/>
        <w:numPr>
          <w:ilvl w:val="0"/>
          <w:numId w:val="11"/>
        </w:numPr>
        <w:jc w:val="center"/>
        <w:spacing w:before="340" w:after="330" w:line="768"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highlight w:val="white"/>
        </w:rPr>
        <w:t xml:space="preserve"> </w:t>
      </w:r>
      <w:r>
        <w:rPr>
          <w:rFonts w:ascii="SimSun" w:hAnsi="SimSun" w:eastAsia="SimSun" w:cs="SimSun"/>
          <w:b/>
          <w:color w:val="000000"/>
          <w:sz w:val="32"/>
          <w:u w:val="none"/>
        </w:rPr>
        <w:t xml:space="preserve">招标公告</w:t>
      </w:r>
      <w:r/>
    </w:p>
    <w:p>
      <w:pPr>
        <w:ind w:left="0" w:right="0" w:firstLine="482"/>
        <w:jc w:val="both"/>
        <w:spacing w:before="0" w:after="0" w:line="400"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2"/>
        <w:jc w:val="both"/>
        <w:spacing w:before="0" w:after="0" w:line="400" w:lineRule="atLeast"/>
        <w:pBdr>
          <w:top w:val="single" w:color="000000" w:sz="4" w:space="0"/>
          <w:left w:val="single" w:color="000000" w:sz="4" w:space="0"/>
          <w:bottom w:val="single" w:color="000000" w:sz="4" w:space="0"/>
          <w:right w:val="single" w:color="000000" w:sz="4" w:space="0"/>
        </w:pBdr>
      </w:pPr>
      <w:r>
        <w:rPr>
          <w:rFonts w:ascii="SimSun" w:hAnsi="SimSun" w:eastAsia="SimSun" w:cs="SimSun"/>
          <w:b/>
          <w:color w:val="000000"/>
          <w:sz w:val="24"/>
          <w:u w:val="single"/>
        </w:rPr>
        <w:t xml:space="preserve">2026-2028年省管高速公路中间过程质量监督检测项目4-2</w:t>
      </w:r>
      <w:r>
        <w:rPr>
          <w:rFonts w:ascii="SimSun" w:hAnsi="SimSun" w:eastAsia="SimSun" w:cs="SimSun"/>
          <w:color w:val="000000"/>
          <w:sz w:val="24"/>
        </w:rPr>
        <w:t xml:space="preserve">的潜在投标人可在</w:t>
      </w:r>
      <w:r>
        <w:rPr>
          <w:rFonts w:ascii="SimSun" w:hAnsi="SimSun" w:eastAsia="SimSun" w:cs="SimSun"/>
          <w:b/>
          <w:color w:val="000000"/>
          <w:sz w:val="24"/>
          <w:u w:val="single"/>
        </w:rPr>
        <w:t xml:space="preserve">江苏政府采购网（http://www.ccgp-jiangsu.gov.cn/）</w:t>
      </w:r>
      <w:r>
        <w:rPr>
          <w:rFonts w:ascii="SimSun" w:hAnsi="SimSun" w:eastAsia="SimSun" w:cs="SimSun"/>
          <w:color w:val="000000"/>
          <w:sz w:val="24"/>
        </w:rPr>
        <w:t xml:space="preserve">获取招标文件，并于2026年6月12日9时00分（北京时间）前递交投标文件。</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一、项目基本情况</w:t>
      </w:r>
      <w:r/>
    </w:p>
    <w:p>
      <w:pPr>
        <w:ind w:left="0" w:right="0" w:firstLine="48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1.1项目编号：JSZC-320000-JSMS-G2026-0003</w:t>
      </w:r>
      <w:r/>
    </w:p>
    <w:p>
      <w:pPr>
        <w:ind w:left="0" w:right="0" w:firstLine="48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1.2项目名称：2026-2028年省管高速公路中间过程质量监督检测项目4-2</w:t>
      </w:r>
      <w:r/>
    </w:p>
    <w:p>
      <w:pPr>
        <w:ind w:left="0" w:right="0" w:firstLine="48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1.3预算金额：</w:t>
      </w:r>
      <w:r/>
    </w:p>
    <w:p>
      <w:pPr>
        <w:ind w:left="0" w:right="0" w:firstLine="48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分包1：138.7万元</w:t>
      </w:r>
      <w:r/>
    </w:p>
    <w:p>
      <w:pPr>
        <w:ind w:left="0" w:right="0" w:firstLine="48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分包2：170.3万元</w:t>
      </w:r>
      <w:r/>
    </w:p>
    <w:p>
      <w:pPr>
        <w:ind w:left="0" w:right="0" w:firstLine="48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1.4最高限价：</w:t>
      </w:r>
      <w:r/>
    </w:p>
    <w:p>
      <w:pPr>
        <w:ind w:left="0" w:right="0" w:firstLine="48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分包1：138.7万元</w:t>
      </w:r>
      <w:r/>
    </w:p>
    <w:p>
      <w:pPr>
        <w:ind w:left="0" w:right="0" w:firstLine="48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分包2：170.3万元</w:t>
      </w:r>
      <w:r/>
    </w:p>
    <w:p>
      <w:pPr>
        <w:ind w:left="0" w:right="0" w:firstLine="420"/>
        <w:jc w:val="both"/>
        <w:spacing w:before="0" w:after="0" w:line="85" w:lineRule="atLeast"/>
        <w:tabs>
          <w:tab w:val="left" w:pos="567" w:leader="none"/>
          <w:tab w:val="left" w:pos="7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1.5采购需求：</w:t>
      </w:r>
      <w:r/>
    </w:p>
    <w:p>
      <w:pPr>
        <w:ind w:left="0" w:right="0" w:firstLine="420"/>
        <w:jc w:val="both"/>
        <w:spacing w:before="0" w:after="0" w:line="85" w:lineRule="atLeast"/>
        <w:tabs>
          <w:tab w:val="left" w:pos="567" w:leader="none"/>
          <w:tab w:val="left" w:pos="7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（1）项目概况：</w:t>
      </w:r>
      <w:r/>
    </w:p>
    <w:p>
      <w:pPr>
        <w:ind w:left="0" w:right="0" w:firstLine="420"/>
        <w:jc w:val="both"/>
        <w:spacing w:before="0" w:after="0" w:line="85" w:lineRule="atLeast"/>
        <w:tabs>
          <w:tab w:val="left" w:pos="567" w:leader="none"/>
          <w:tab w:val="left" w:pos="7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进一步加强全省在建公路工程质量监督管理，全面掌握在建高速公路质量状况，江苏省交通运输综合行政执法监督局拟开展高速公路中间过程质量监督检测采购工作。本项目拟委托第三方服务机构完成海太长江隧道南北接线项目对应工程路基、路面、桥涵等的中间过程质量监督检查评估、中间过程质量监督检测。</w:t>
      </w:r>
      <w:r/>
    </w:p>
    <w:p>
      <w:pPr>
        <w:numPr>
          <w:ilvl w:val="0"/>
          <w:numId w:val="12"/>
        </w:numPr>
        <w:jc w:val="both"/>
        <w:spacing w:before="0" w:after="0" w:line="85" w:lineRule="atLeast"/>
        <w:tabs>
          <w:tab w:val="left" w:pos="567" w:leader="none"/>
          <w:tab w:val="left" w:pos="7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服务内容：</w:t>
      </w:r>
      <w:r/>
    </w:p>
    <w:tbl>
      <w:tblPr>
        <w:tblStyle w:val="8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01"/>
        <w:gridCol w:w="3685"/>
        <w:gridCol w:w="4157"/>
      </w:tblGrid>
      <w:tr>
        <w:trPr>
          <w:trHeight w:val="32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分包</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包名称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招标范围</w:t>
            </w:r>
            <w:r/>
          </w:p>
        </w:tc>
      </w:tr>
      <w:tr>
        <w:trPr>
          <w:trHeight w:val="6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海太长江隧道南接线中间过程质量检测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对应工程路基、路面、桥涵等的中间过程质量监督检查评估、中间过程质量监督检测。</w:t>
            </w:r>
            <w:r/>
          </w:p>
        </w:tc>
      </w:tr>
      <w:tr>
        <w:trPr>
          <w:trHeight w:val="7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海太长江隧道北接线中间过程质量检测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对应工程路基、路面、桥涵等的中间过程质量监督检查评估、中间过程质量监督检测。</w:t>
            </w:r>
            <w:r/>
          </w:p>
        </w:tc>
      </w:tr>
    </w:tbl>
    <w:p>
      <w:pPr>
        <w:ind w:left="0" w:right="0" w:firstLine="420"/>
        <w:jc w:val="both"/>
        <w:spacing w:before="0" w:after="0" w:line="85" w:lineRule="atLeast"/>
        <w:tabs>
          <w:tab w:val="left" w:pos="567" w:leader="none"/>
          <w:tab w:val="left" w:pos="7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收到委托人的指令后提交工作方案，方案经审查后组织开展相关工作。服务机构须严格按照工作方案规定的内容及工期要求开展工作，确保数据真实、可靠。过程中发现检测数据异常或存在可能影响正常使用的质量或安全问题时，应及时报告委托人。服务结束后提交相应报告。</w:t>
      </w:r>
      <w:r/>
    </w:p>
    <w:p>
      <w:pPr>
        <w:ind w:left="0" w:right="0" w:firstLine="51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1.6合同履行期限：三年</w:t>
      </w:r>
      <w:r/>
    </w:p>
    <w:p>
      <w:pPr>
        <w:ind w:left="0" w:right="0" w:firstLine="51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1.7本项目（是/否）接受联合体投标：否</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二、申请人的资格要求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（1）具有独立承担民事责任的能力（提供法人或者其他组织的营业执照复印件并加盖公章，或者自然人的身份证明）；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提供2024年或2025年度经审计的财务报告，或投标截止时间前六个月（2025年11月-2026年4月）中任意1个月的财务报表（至少包括资产负债表和利润表），或投标截止时间前六个月（2025年11月-2026年4月）内银行出具的资信证明，或财政部门认可的政府采购专业担保机构出具的投标担保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（3）有依法缴纳税收和社会保障资金的良好记录（提供参加本次采购活动前近六个月（2025年11月-2026年4月）内任一月份依法缴纳税收及社会保险的凭据。依法免缴、迟缴的应提供相应文件证明）；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（4）具有履行合同所必需的设备和专业技术能力（根据项目需求提供履行合同所必需的设备和专业技术能力的证明材料或声明函）；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（5）参加本次采购活动前3年内在经营活动中没有重大违法记录（提供参加本次采购活动前3年内在经营活动中没有重大违法记录的书面声明）；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（6）未被“信用中国”网站（www.creditchina.gov.cn）列入失信被执行人、重大税收违法案件当事人名单、政府采购严重失信行为记录名单。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（1）本项目不接受联合体投标，中标后不允许分包、转包（不分包、转包的承诺）；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（2）本项目不接受进口产品投标；</w:t>
      </w:r>
      <w:r/>
    </w:p>
    <w:p>
      <w:pPr>
        <w:ind w:left="0" w:right="0" w:firstLine="48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位负责人为同一人或者存在直接控股、管理关系的不同投标人，不得参加同一分包项下的政府采购活动。为采购项目提供整体设计、规范编制或者项目管理、监理、检测等服务的供应商，不得再参加该采购项目的其他采购活动。</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三、获取招标文件</w:t>
      </w:r>
      <w:r/>
    </w:p>
    <w:p>
      <w:pPr>
        <w:ind w:left="0" w:right="0" w:firstLine="51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时间：自招标文件公告发布之日起5个工作日。</w:t>
      </w:r>
      <w:r/>
    </w:p>
    <w:p>
      <w:pPr>
        <w:ind w:left="0" w:right="0" w:firstLine="51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地点：江苏政府采购网</w:t>
      </w:r>
      <w:r/>
    </w:p>
    <w:p>
      <w:pPr>
        <w:ind w:left="0" w:right="0" w:firstLine="51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方式：在江苏政府采购网（http://www.ccgp-jiangsu.gov.cn/）</w:t>
      </w:r>
      <w:r>
        <w:rPr>
          <w:rFonts w:ascii="SimSun" w:hAnsi="SimSun" w:eastAsia="SimSun" w:cs="SimSun"/>
          <w:color w:val="000000"/>
          <w:sz w:val="24"/>
        </w:rPr>
        <w:t xml:space="preserve">自行免费下载招标文件</w:t>
      </w:r>
      <w:r>
        <w:rPr>
          <w:rFonts w:ascii="SimSun" w:hAnsi="SimSun" w:eastAsia="SimSun" w:cs="SimSun"/>
          <w:color w:val="000000"/>
          <w:spacing w:val="8"/>
          <w:sz w:val="24"/>
        </w:rPr>
        <w:t xml:space="preserve">。</w:t>
      </w:r>
      <w:r/>
    </w:p>
    <w:p>
      <w:pPr>
        <w:ind w:left="0" w:right="0" w:firstLine="51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售价：0.00元。</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四、提交投标文件截止时间、开标时间和地点</w:t>
      </w:r>
      <w:r/>
    </w:p>
    <w:p>
      <w:pPr>
        <w:ind w:left="0" w:right="0" w:firstLine="51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提交投标文件截止时间、开标时间：</w:t>
      </w:r>
      <w:r>
        <w:rPr>
          <w:rFonts w:ascii="SimSun" w:hAnsi="SimSun" w:eastAsia="SimSun" w:cs="SimSun"/>
          <w:b/>
          <w:color w:val="000000"/>
          <w:spacing w:val="8"/>
          <w:sz w:val="24"/>
        </w:rPr>
        <w:t xml:space="preserve">2026年6月12日9时00分（北京时间）</w:t>
      </w:r>
      <w:r/>
    </w:p>
    <w:p>
      <w:pPr>
        <w:ind w:left="0" w:right="0" w:firstLine="51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提交投标文件地点：江苏省政府采购管理交易系统（苏采云）（以下简称“苏采云”）（网址：http://jszfcg.jsczt.cn/）。</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五、公告期限</w:t>
      </w:r>
      <w:r/>
    </w:p>
    <w:p>
      <w:pPr>
        <w:ind w:left="0" w:right="0" w:firstLine="51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自本公告发布之日起5个工作日。</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六、其他补充事宜</w:t>
      </w:r>
      <w:r/>
    </w:p>
    <w:p>
      <w:pPr>
        <w:ind w:left="0" w:right="0" w:firstLine="51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1.公告发布媒体：</w:t>
      </w:r>
      <w:r/>
    </w:p>
    <w:p>
      <w:pPr>
        <w:ind w:left="0" w:right="0" w:firstLine="51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江苏政府采购网（http://www.ccgp-jiangsu.gov.cn）。</w:t>
      </w:r>
      <w:r/>
    </w:p>
    <w:p>
      <w:pPr>
        <w:ind w:left="0" w:right="0" w:firstLine="51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2.政府采购政策</w:t>
      </w:r>
      <w:r/>
    </w:p>
    <w:p>
      <w:pPr>
        <w:ind w:left="0" w:right="0" w:firstLine="51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本项目不属于专门面向中小企业采购的项目。</w:t>
      </w:r>
      <w:r/>
    </w:p>
    <w:p>
      <w:pPr>
        <w:ind w:left="0" w:right="0" w:firstLine="51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3.行业划分：其他未列明行业。</w:t>
      </w:r>
      <w:r/>
    </w:p>
    <w:p>
      <w:pPr>
        <w:ind w:left="0" w:right="0" w:firstLine="51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4.</w:t>
      </w:r>
      <w:r>
        <w:rPr>
          <w:rFonts w:ascii="SimSun" w:hAnsi="SimSun" w:eastAsia="SimSun" w:cs="SimSun"/>
          <w:color w:val="000000"/>
          <w:sz w:val="24"/>
        </w:rPr>
        <w:t xml:space="preserve">本项目分为2个分包，即分包1、分包2。每个投标人在本次招标中最多可对</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个分包投标，允许中</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个分包。</w:t>
      </w:r>
      <w:r/>
    </w:p>
    <w:p>
      <w:pPr>
        <w:ind w:left="0" w:right="0" w:firstLine="48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w:t>
      </w:r>
      <w:r>
        <w:rPr>
          <w:rFonts w:ascii="SimSun" w:hAnsi="SimSun" w:eastAsia="SimSun" w:cs="SimSun"/>
          <w:color w:val="000000"/>
          <w:sz w:val="24"/>
        </w:rPr>
        <w:t xml:space="preserve">3ce9.html。</w:t>
      </w:r>
      <w:r/>
    </w:p>
    <w:p>
      <w:pPr>
        <w:ind w:left="0" w:right="0" w:firstLine="48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6.投标人下载《苏采云系统供应商操作手册》（以下简称《操作手册》）、进行注册并按《操作手册》要求制作、上传电子投标文件。</w:t>
      </w:r>
      <w:r/>
    </w:p>
    <w:p>
      <w:pPr>
        <w:ind w:left="0" w:right="0" w:firstLine="48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7.有关本次招标的事项若存在变动或修改，敬请及时关注在“江苏政府采购网”发布的更正公告。</w:t>
      </w:r>
      <w:r/>
    </w:p>
    <w:p>
      <w:pPr>
        <w:ind w:left="0" w:right="0" w:firstLine="48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8.本次招标不收取投标保证金。</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七、本次招标联系方式</w:t>
      </w:r>
      <w:r/>
    </w:p>
    <w:p>
      <w:pPr>
        <w:ind w:left="0" w:right="0" w:firstLine="51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1.采购人信息</w:t>
      </w:r>
      <w:r/>
    </w:p>
    <w:p>
      <w:pPr>
        <w:ind w:left="0" w:right="0" w:firstLine="51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u w:val="none"/>
        </w:rPr>
        <w:t xml:space="preserve">名</w:t>
      </w:r>
      <w:r>
        <w:rPr>
          <w:rFonts w:ascii="SimSun" w:hAnsi="SimSun" w:eastAsia="SimSun" w:cs="SimSun"/>
          <w:color w:val="000000"/>
          <w:spacing w:val="8"/>
          <w:sz w:val="24"/>
        </w:rPr>
        <w:t xml:space="preserve"> 称：江苏省交通运输综合行政执法监督局</w:t>
      </w:r>
      <w:r/>
    </w:p>
    <w:p>
      <w:pPr>
        <w:ind w:left="0" w:right="0" w:firstLine="51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地  址：石鼓路69号江苏交通大厦</w:t>
      </w:r>
      <w:r/>
    </w:p>
    <w:p>
      <w:pPr>
        <w:ind w:left="0" w:right="0" w:firstLine="51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联系方式：石主任025-84329352</w:t>
      </w:r>
      <w:r/>
    </w:p>
    <w:p>
      <w:pPr>
        <w:ind w:left="0" w:right="0" w:firstLine="51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2.采购代理机构信息</w:t>
      </w:r>
      <w:r/>
    </w:p>
    <w:p>
      <w:pPr>
        <w:ind w:left="0" w:right="0" w:firstLine="51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名称：江苏茂森工程咨询监理有限公司</w:t>
      </w:r>
      <w:r/>
    </w:p>
    <w:p>
      <w:pPr>
        <w:ind w:left="0" w:right="0" w:firstLine="51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地址：南京市丰富路163号民族大厦6楼A座</w:t>
      </w:r>
      <w:r/>
    </w:p>
    <w:p>
      <w:pPr>
        <w:ind w:left="0" w:right="0" w:firstLine="51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联系方式：</w:t>
      </w:r>
      <w:r>
        <w:rPr>
          <w:rFonts w:ascii="SimSun" w:hAnsi="SimSun" w:eastAsia="SimSun" w:cs="SimSun"/>
          <w:color w:val="000000"/>
          <w:spacing w:val="8"/>
          <w:sz w:val="24"/>
          <w:u w:val="none"/>
        </w:rPr>
        <w:t xml:space="preserve">张晗、</w:t>
      </w:r>
      <w:r>
        <w:rPr>
          <w:rFonts w:ascii="SimSun" w:hAnsi="SimSun" w:eastAsia="SimSun" w:cs="SimSun"/>
          <w:color w:val="000000"/>
          <w:spacing w:val="8"/>
          <w:sz w:val="24"/>
        </w:rPr>
        <w:t xml:space="preserve">倪静  025-84462888-201、206</w:t>
      </w:r>
      <w:r/>
    </w:p>
    <w:p>
      <w:pPr>
        <w:ind w:left="0" w:right="0" w:firstLine="51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3.项目联系方式</w:t>
      </w:r>
      <w:r/>
    </w:p>
    <w:p>
      <w:pPr>
        <w:ind w:left="0" w:right="0" w:firstLine="51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项目联系人：张晗、倪静</w:t>
      </w:r>
      <w:r/>
    </w:p>
    <w:p>
      <w:pPr>
        <w:ind w:left="0" w:right="0" w:firstLine="512"/>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电话：025-84462888-201、206</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836"/>
        <w:numPr>
          <w:ilvl w:val="0"/>
          <w:numId w:val="13"/>
        </w:numPr>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投标人须知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投标人须知前附表</w:t>
      </w:r>
      <w:r/>
    </w:p>
    <w:tbl>
      <w:tblPr>
        <w:tblStyle w:val="8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15"/>
        <w:gridCol w:w="7438"/>
      </w:tblGrid>
      <w:tr>
        <w:trPr>
          <w:trHeight w:val="674"/>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center"/>
              <w:spacing w:before="0" w:after="0" w:line="239" w:lineRule="atLeast"/>
              <w:tabs>
                <w:tab w:val="left" w:pos="48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7438" w:type="dxa"/>
            <w:vAlign w:val="center"/>
            <w:textDirection w:val="lrTb"/>
            <w:noWrap w:val="false"/>
          </w:tcPr>
          <w:p>
            <w:pPr>
              <w:ind w:left="0" w:right="0" w:firstLine="0"/>
              <w:jc w:val="center"/>
              <w:spacing w:before="0" w:after="0" w:line="239" w:lineRule="atLeast"/>
              <w:tabs>
                <w:tab w:val="left" w:pos="48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主要内容</w:t>
            </w:r>
            <w:r/>
          </w:p>
        </w:tc>
      </w:tr>
      <w:tr>
        <w:trPr>
          <w:trHeight w:val="1255"/>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7438"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项目名称：2026-2028年省管高速公路中间过程质量监督检测项目4-2</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招标人：江苏省交通运输综合行政执法监督局</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联系人：石主任</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话：025-84329352  </w:t>
            </w:r>
            <w:r/>
          </w:p>
        </w:tc>
      </w:tr>
      <w:tr>
        <w:trPr>
          <w:trHeight w:val="102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7438" w:type="dxa"/>
            <w:vAlign w:val="center"/>
            <w:textDirection w:val="lrTb"/>
            <w:noWrap w:val="false"/>
          </w:tcPr>
          <w:p>
            <w:pPr>
              <w:ind w:left="0" w:right="0" w:firstLine="0"/>
              <w:jc w:val="both"/>
              <w:spacing w:before="0" w:after="0" w:line="239" w:lineRule="atLeast"/>
              <w:tabs>
                <w:tab w:val="left" w:pos="48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招标代理机构：江苏茂森工程咨询监理有限公司</w:t>
            </w:r>
            <w:r/>
          </w:p>
          <w:p>
            <w:pPr>
              <w:ind w:left="0" w:right="0" w:firstLine="0"/>
              <w:jc w:val="both"/>
              <w:spacing w:before="0" w:after="0" w:line="239" w:lineRule="atLeast"/>
              <w:tabs>
                <w:tab w:val="left" w:pos="48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联系方式：张晗、倪静 </w:t>
            </w:r>
            <w:r/>
          </w:p>
          <w:p>
            <w:pPr>
              <w:ind w:left="0" w:right="0" w:firstLine="0"/>
              <w:jc w:val="both"/>
              <w:spacing w:before="0" w:after="0" w:line="239" w:lineRule="atLeast"/>
              <w:tabs>
                <w:tab w:val="left" w:pos="48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话：025-84462888-201、206</w:t>
            </w:r>
            <w:r/>
          </w:p>
        </w:tc>
      </w:tr>
      <w:tr>
        <w:trPr>
          <w:trHeight w:val="379"/>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7438" w:type="dxa"/>
            <w:vAlign w:val="center"/>
            <w:textDirection w:val="lrTb"/>
            <w:noWrap w:val="false"/>
          </w:tcPr>
          <w:p>
            <w:pPr>
              <w:ind w:left="0" w:right="0" w:firstLine="0"/>
              <w:jc w:val="both"/>
              <w:spacing w:before="0" w:after="0" w:line="239" w:lineRule="atLeast"/>
              <w:tabs>
                <w:tab w:val="left" w:pos="48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招标方式：公开招标</w:t>
            </w:r>
            <w:r/>
          </w:p>
        </w:tc>
      </w:tr>
      <w:tr>
        <w:trPr>
          <w:trHeight w:val="52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7438" w:type="dxa"/>
            <w:vAlign w:val="center"/>
            <w:textDirection w:val="lrTb"/>
            <w:noWrap w:val="false"/>
          </w:tcPr>
          <w:p>
            <w:pPr>
              <w:ind w:left="0" w:right="0" w:firstLine="0"/>
              <w:jc w:val="both"/>
              <w:spacing w:before="0" w:after="0" w:line="239" w:lineRule="atLeast"/>
              <w:tabs>
                <w:tab w:val="left" w:pos="48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招标内容：</w:t>
            </w:r>
            <w:r/>
          </w:p>
          <w:p>
            <w:pPr>
              <w:ind w:left="0" w:right="0" w:firstLine="0"/>
              <w:jc w:val="both"/>
              <w:spacing w:before="0" w:after="0" w:line="239" w:lineRule="atLeast"/>
              <w:tabs>
                <w:tab w:val="left" w:pos="48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详见招标公告</w:t>
            </w:r>
            <w:r/>
          </w:p>
        </w:tc>
      </w:tr>
      <w:tr>
        <w:trPr>
          <w:trHeight w:val="484"/>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7438" w:type="dxa"/>
            <w:vAlign w:val="center"/>
            <w:textDirection w:val="lrTb"/>
            <w:noWrap w:val="false"/>
          </w:tcPr>
          <w:p>
            <w:pPr>
              <w:ind w:left="0" w:right="0" w:firstLine="0"/>
              <w:jc w:val="both"/>
              <w:spacing w:before="0" w:after="0" w:line="239" w:lineRule="atLeast"/>
              <w:tabs>
                <w:tab w:val="left" w:pos="48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标前会及现场踏勘：不组织，由投标人自行勘察。</w:t>
            </w:r>
            <w:r/>
          </w:p>
        </w:tc>
      </w:tr>
      <w:tr>
        <w:trPr>
          <w:trHeight w:val="488"/>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7438" w:type="dxa"/>
            <w:vAlign w:val="center"/>
            <w:textDirection w:val="lrTb"/>
            <w:noWrap w:val="false"/>
          </w:tcPr>
          <w:p>
            <w:pPr>
              <w:ind w:left="0" w:right="0" w:firstLine="0"/>
              <w:jc w:val="both"/>
              <w:spacing w:before="0" w:after="0" w:line="239" w:lineRule="atLeast"/>
              <w:tabs>
                <w:tab w:val="left" w:pos="48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投标货币：本次招标只接受人民币报价。投标语言：中文。</w:t>
            </w:r>
            <w:r/>
          </w:p>
        </w:tc>
      </w:tr>
      <w:tr>
        <w:trPr>
          <w:trHeight w:val="535"/>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7438"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投标保证金：本项目不需要保证金</w:t>
            </w:r>
            <w:r/>
          </w:p>
        </w:tc>
      </w:tr>
      <w:tr>
        <w:trPr>
          <w:trHeight w:val="445"/>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7438" w:type="dxa"/>
            <w:vAlign w:val="center"/>
            <w:textDirection w:val="lrTb"/>
            <w:noWrap w:val="false"/>
          </w:tcPr>
          <w:p>
            <w:pPr>
              <w:ind w:left="0" w:right="0" w:firstLine="0"/>
              <w:jc w:val="both"/>
              <w:spacing w:before="0" w:after="0" w:line="239" w:lineRule="atLeast"/>
              <w:tabs>
                <w:tab w:val="left" w:pos="48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投标有效期：投标截止日后90天内</w:t>
            </w:r>
            <w:r/>
          </w:p>
        </w:tc>
      </w:tr>
      <w:tr>
        <w:trPr>
          <w:trHeight w:val="472"/>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7438" w:type="dxa"/>
            <w:vAlign w:val="center"/>
            <w:textDirection w:val="lrTb"/>
            <w:noWrap w:val="false"/>
          </w:tcPr>
          <w:p>
            <w:pPr>
              <w:ind w:left="0" w:right="0" w:firstLine="0"/>
              <w:jc w:val="both"/>
              <w:spacing w:before="0" w:after="0" w:line="239" w:lineRule="atLeast"/>
              <w:tabs>
                <w:tab w:val="left" w:pos="48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投标文件递交截止时间及开标时间：详见招标公告</w:t>
            </w:r>
            <w:r/>
          </w:p>
        </w:tc>
      </w:tr>
      <w:tr>
        <w:trPr>
          <w:trHeight w:val="773"/>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7438" w:type="dxa"/>
            <w:vAlign w:val="center"/>
            <w:textDirection w:val="lrTb"/>
            <w:noWrap w:val="false"/>
          </w:tcPr>
          <w:p>
            <w:pPr>
              <w:ind w:left="0" w:right="0" w:firstLine="0"/>
              <w:jc w:val="both"/>
              <w:spacing w:before="0" w:after="0" w:line="239" w:lineRule="atLeast"/>
              <w:tabs>
                <w:tab w:val="left" w:pos="34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资格审查方式：资格后审，开标后根据招标文件中要求的资格条件对各投标人进行资格审查，不符合招标文件要求的投标人作投标无效处理。</w:t>
            </w:r>
            <w:r/>
          </w:p>
        </w:tc>
      </w:tr>
      <w:tr>
        <w:trPr>
          <w:trHeight w:val="1031"/>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7438" w:type="dxa"/>
            <w:vAlign w:val="center"/>
            <w:textDirection w:val="lrTb"/>
            <w:noWrap w:val="false"/>
          </w:tcPr>
          <w:p>
            <w:pPr>
              <w:ind w:left="0" w:right="0" w:firstLine="0"/>
              <w:jc w:val="both"/>
              <w:spacing w:before="0" w:after="0" w:line="239" w:lineRule="atLeast"/>
              <w:tabs>
                <w:tab w:val="left" w:pos="34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分包1采购预算为人民币138.7万元，最高限价为人民币138.7万元； </w:t>
            </w:r>
            <w:r/>
          </w:p>
          <w:p>
            <w:pPr>
              <w:ind w:left="0" w:right="0" w:firstLine="0"/>
              <w:jc w:val="both"/>
              <w:spacing w:before="0" w:after="0" w:line="239" w:lineRule="atLeast"/>
              <w:tabs>
                <w:tab w:val="left" w:pos="34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分包2采购预算为人民币170.3万元，最高限价为人民币170.3万元；</w:t>
            </w:r>
            <w:r/>
          </w:p>
          <w:p>
            <w:pPr>
              <w:ind w:left="0" w:right="0" w:firstLine="0"/>
              <w:jc w:val="both"/>
              <w:spacing w:before="0" w:after="0" w:line="239" w:lineRule="atLeast"/>
              <w:tabs>
                <w:tab w:val="left" w:pos="34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投标报价超过最高限价的做无效投标处理。</w:t>
            </w:r>
            <w:r/>
          </w:p>
        </w:tc>
      </w:tr>
      <w:tr>
        <w:trPr>
          <w:trHeight w:val="395"/>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7438" w:type="dxa"/>
            <w:vAlign w:val="center"/>
            <w:textDirection w:val="lrTb"/>
            <w:noWrap w:val="false"/>
          </w:tcPr>
          <w:p>
            <w:pPr>
              <w:ind w:left="0" w:right="0" w:firstLine="0"/>
              <w:jc w:val="both"/>
              <w:spacing w:before="0" w:after="0" w:line="239" w:lineRule="atLeast"/>
              <w:tabs>
                <w:tab w:val="left" w:pos="34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评标和定标：本项目采用综合评分法。</w:t>
            </w:r>
            <w:r/>
          </w:p>
        </w:tc>
      </w:tr>
      <w:tr>
        <w:trPr>
          <w:trHeight w:val="685"/>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7438" w:type="dxa"/>
            <w:vAlign w:val="center"/>
            <w:textDirection w:val="lrTb"/>
            <w:noWrap w:val="false"/>
          </w:tcPr>
          <w:p>
            <w:pPr>
              <w:ind w:left="0" w:right="0" w:firstLine="0"/>
              <w:jc w:val="both"/>
              <w:spacing w:before="0" w:after="0" w:line="239" w:lineRule="atLeast"/>
              <w:tabs>
                <w:tab w:val="left" w:pos="34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中标候选人：按最终得分由高到低排序，推荐不多于3名中标候选人。</w:t>
            </w:r>
            <w:r/>
          </w:p>
          <w:p>
            <w:pPr>
              <w:ind w:left="0" w:right="0" w:firstLine="0"/>
              <w:jc w:val="both"/>
              <w:spacing w:before="0" w:after="0" w:line="239" w:lineRule="atLeast"/>
              <w:tabs>
                <w:tab w:val="left" w:pos="34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中标人：1名。</w:t>
            </w:r>
            <w:r/>
          </w:p>
        </w:tc>
      </w:tr>
      <w:tr>
        <w:trPr>
          <w:trHeight w:val="467"/>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7438" w:type="dxa"/>
            <w:vAlign w:val="center"/>
            <w:textDirection w:val="lrTb"/>
            <w:noWrap w:val="false"/>
          </w:tcPr>
          <w:p>
            <w:pPr>
              <w:ind w:left="0" w:right="0" w:firstLine="0"/>
              <w:jc w:val="both"/>
              <w:spacing w:before="0" w:after="0" w:line="239" w:lineRule="atLeast"/>
              <w:tabs>
                <w:tab w:val="left" w:pos="1395" w:leader="none"/>
                <w:tab w:val="left" w:pos="3600" w:leader="none"/>
                <w:tab w:val="left" w:pos="3780" w:leader="none"/>
                <w:tab w:val="left" w:pos="4650" w:leader="none"/>
                <w:tab w:val="left" w:pos="5040" w:leader="none"/>
                <w:tab w:val="left" w:pos="59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合同签订时间：在中标通知书发出后30日之内。</w:t>
            </w:r>
            <w:r/>
          </w:p>
        </w:tc>
      </w:tr>
      <w:tr>
        <w:trPr>
          <w:trHeight w:val="795"/>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7438" w:type="dxa"/>
            <w:vAlign w:val="center"/>
            <w:textDirection w:val="lrTb"/>
            <w:noWrap w:val="false"/>
          </w:tcPr>
          <w:p>
            <w:pPr>
              <w:ind w:left="0" w:right="0" w:firstLine="0"/>
              <w:jc w:val="both"/>
              <w:spacing w:before="0" w:after="0" w:line="239" w:lineRule="atLeast"/>
              <w:tabs>
                <w:tab w:val="left" w:pos="1395" w:leader="none"/>
                <w:tab w:val="left" w:pos="3600" w:leader="none"/>
                <w:tab w:val="left" w:pos="3780" w:leader="none"/>
                <w:tab w:val="left" w:pos="4650" w:leader="none"/>
                <w:tab w:val="left" w:pos="5040" w:leader="none"/>
                <w:tab w:val="left" w:pos="59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代理服务费：各分包按《江苏省政府采购代理服务收费指导意见》（苏政采协[2024]20号）的标准以中标金额*对应费率计取，代理费含在报价中，不单独列项；上述费用由中标人在收到中标通知书后7日内，向采购代理机构一次性支付上述费用。</w:t>
            </w:r>
            <w:r/>
          </w:p>
        </w:tc>
      </w:tr>
      <w:tr>
        <w:trPr>
          <w:trHeight w:val="467"/>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7438" w:type="dxa"/>
            <w:vAlign w:val="center"/>
            <w:textDirection w:val="lrTb"/>
            <w:noWrap w:val="false"/>
          </w:tcPr>
          <w:p>
            <w:pPr>
              <w:ind w:left="0" w:right="0" w:firstLine="0"/>
              <w:jc w:val="both"/>
              <w:spacing w:before="0" w:after="0" w:line="360" w:lineRule="atLeast"/>
              <w:tabs>
                <w:tab w:val="left" w:pos="1395" w:leader="none"/>
                <w:tab w:val="left" w:pos="3600" w:leader="none"/>
                <w:tab w:val="left" w:pos="3780" w:leader="none"/>
                <w:tab w:val="left" w:pos="4650" w:leader="none"/>
                <w:tab w:val="left" w:pos="5040" w:leader="none"/>
                <w:tab w:val="left" w:pos="59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项目类型：服务类</w:t>
            </w:r>
            <w:r/>
          </w:p>
        </w:tc>
      </w:tr>
      <w:tr>
        <w:trPr>
          <w:trHeight w:val="685"/>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7438" w:type="dxa"/>
            <w:vAlign w:val="center"/>
            <w:textDirection w:val="lrTb"/>
            <w:noWrap w:val="false"/>
          </w:tcPr>
          <w:p>
            <w:pPr>
              <w:ind w:left="0" w:right="0" w:firstLine="0"/>
              <w:jc w:val="both"/>
              <w:spacing w:before="0" w:after="0" w:line="360" w:lineRule="atLeast"/>
              <w:tabs>
                <w:tab w:val="left" w:pos="1395" w:leader="none"/>
                <w:tab w:val="left" w:pos="3600" w:leader="none"/>
                <w:tab w:val="left" w:pos="3780" w:leader="none"/>
                <w:tab w:val="left" w:pos="4650" w:leader="none"/>
                <w:tab w:val="left" w:pos="5040" w:leader="none"/>
                <w:tab w:val="left" w:pos="59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拟投入本项目人员须为投标单位正式员工，中标后未经采购人批准不得更换人员。投标文件中提供上述人员</w:t>
            </w:r>
            <w:r>
              <w:rPr>
                <w:rFonts w:ascii="SimSun" w:hAnsi="SimSun" w:eastAsia="SimSun" w:cs="SimSun"/>
                <w:b/>
                <w:color w:val="000000"/>
                <w:sz w:val="21"/>
              </w:rPr>
              <w:t xml:space="preserve">在职证明材料（投标人为其缴纳的近3个月内任意1个月的社保证明，投标人成立不足1个月的提供劳动合同和书面承诺，退休返聘人员提供退休证及返聘合同）</w:t>
            </w:r>
            <w:r>
              <w:rPr>
                <w:rFonts w:ascii="SimSun" w:hAnsi="SimSun" w:eastAsia="SimSun" w:cs="SimSun"/>
                <w:color w:val="000000"/>
                <w:sz w:val="21"/>
              </w:rPr>
              <w:t xml:space="preserve">。</w:t>
            </w:r>
            <w:r/>
          </w:p>
        </w:tc>
      </w:tr>
      <w:tr>
        <w:trPr>
          <w:trHeight w:val="467"/>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7438" w:type="dxa"/>
            <w:vAlign w:val="center"/>
            <w:textDirection w:val="lrTb"/>
            <w:noWrap w:val="false"/>
          </w:tcPr>
          <w:p>
            <w:pPr>
              <w:ind w:left="0" w:right="0" w:firstLine="0"/>
              <w:jc w:val="both"/>
              <w:spacing w:before="0" w:after="0" w:line="360" w:lineRule="atLeast"/>
              <w:tabs>
                <w:tab w:val="left" w:pos="1395" w:leader="none"/>
                <w:tab w:val="left" w:pos="3600" w:leader="none"/>
                <w:tab w:val="left" w:pos="3780" w:leader="none"/>
                <w:tab w:val="left" w:pos="4650" w:leader="none"/>
                <w:tab w:val="left" w:pos="5040" w:leader="none"/>
                <w:tab w:val="left" w:pos="59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本项目验收执行《江苏省政府采购履约验收管理办法》（苏财规〔2024〕7号）。</w:t>
            </w:r>
            <w:r/>
          </w:p>
        </w:tc>
      </w:tr>
      <w:tr>
        <w:trPr>
          <w:trHeight w:val="713"/>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7438" w:type="dxa"/>
            <w:vAlign w:val="center"/>
            <w:textDirection w:val="lrTb"/>
            <w:noWrap w:val="false"/>
          </w:tcPr>
          <w:p>
            <w:pPr>
              <w:ind w:left="0" w:right="0" w:firstLine="0"/>
              <w:jc w:val="both"/>
              <w:spacing w:before="0" w:after="0" w:line="360" w:lineRule="atLeast"/>
              <w:tabs>
                <w:tab w:val="left" w:pos="1395" w:leader="none"/>
                <w:tab w:val="left" w:pos="3600" w:leader="none"/>
                <w:tab w:val="left" w:pos="3780" w:leader="none"/>
                <w:tab w:val="left" w:pos="4650" w:leader="none"/>
                <w:tab w:val="left" w:pos="5040" w:leader="none"/>
                <w:tab w:val="left" w:pos="59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投标人需签署《规范招投标及履约行为提醒单》，将回执单单独密封，与投标人的投标文件一同递交。</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一、总则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1.招标方式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1.1本次招标采取公开招标方式，本招标文件仅适用于招标公告中所述项目。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2.合格的投标人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2.1合格投标人应完全符合招标文件第一章中规定的投标人资格条件。满足本文件实质性条款的规定。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2.2投标人没有按照招标文件要求提供全部资料，或者投标人没有对招标文件在各方面作出实质性响应，可能导致投标被拒绝或评定为无效投标。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3.适用法律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3.1本次招标及由此产生的合同受《中华人民共和国政府采购法》、《中华人民共和国政府采购法实施条例》、《政府采购货物和服务招标投标管理办法》等有关法律、法规、规章的制约和保护。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4.投标费用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4.1投标人应自行承担所有与参加投标有关的费用，无论投标过程中的做法和结果如何，招标人和采购代理在任何情况下均无义务和责任承担这些费用。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5.投标文件的约束力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5.1投标人一旦参加本项目采购活动，即被认为接受了本招标文件的规定和约束。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二、招标文件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招标文件是投标人编制投标文件的依据，是评标委员会评判依据和标准。招标文件也是采购人与中标人签订合同的基础。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6.招标文件构成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6.1招标文件由招标公告、投标人须知、评标标准、采购需求、合同主要条款及格式、投标文件格式等六部分组成。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7.招标文件的澄清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7.1任何要求对招标文件澄清的投标人，均应在法律法规规定的时间内提出，采购代理机构对规定时间内收到的澄清要求予以答复，答复不包括问题的来源。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8.招标文件的修改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采购人或者采购代理机构可以对已发出的招标文件进行必要的澄清或者修改，但不得改变采购标的和资格条件。澄清或者修改应当在原公告发布媒体上发布澄清公告。澄清或者修改的内容为招标文件的组成部分。澄清或者修改的内容可能影响投标文件编制的，采购人或者采购代理机构应当在投标截止时间至少15日前发出，不足15日的，采购人或者采购代理机构应当顺延提交投标文件的截止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采购代理机构发出的所有补充、修改和变更文件均作为招标文件的组成部分，与招标文件具有同等法律效力。投标人应及时在“江苏政府采购网”获取澄清答疑文件（修改后招标文件），如因投标人原因未能及时获取澄清和修改，由此造成的相关责任，由投标人承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三、投标文件</w:t>
      </w:r>
      <w:r>
        <w:rPr>
          <w:rFonts w:ascii="SimSun" w:hAnsi="SimSun" w:eastAsia="SimSun" w:cs="SimSun"/>
          <w:b/>
          <w:color w:val="000000"/>
          <w:sz w:val="24"/>
        </w:rPr>
        <w:t xml:space="preserve">的编制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投标人应当按照招标文件的要求编制投标文件，并对招标文件提出的要求和条件作出实质性响应。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9.投标文件组成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投标文件由第六章“投标文件格式”规定的部分和投标人所作的一切有效补充、修改和承诺等文件组成，投标人应按照第六章“投标文件格式”规定的目录顺序组织编写，否则有可能影响评委对投标文件的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10.联合投标</w:t>
        <w:tab/>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10.1本项目不接受联合投标。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11.投标有效期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11.1投标有效期为投标截止日期后九十天内。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12.投标保证金:无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13.投标文件的签署</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13.1在电子投标文件中，招标文件第六章投标文件格式中规定签字、盖章的地方必须按其规定签字、盖章。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14.投标报价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14.1投标人应严格按照“投标文件格式”中“开标一览表”和“工程量清单”的格式填写报价。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14.2投标人的报价为一次性报价，即在投标有效期内投标价格固定不变。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14.3本项目只接受一个投标报价，有选择的或有条件的报价将不予接受。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本项目合同为固定总价合同。计价清单第1章以总额计的费用在合同实施过程中采用总额包干，不予调整。第2章检测费用采用单价方式，各检测项目单价为按规范要求完成该项检测工作所需的综合单价，结算过程中单价不予调整，检测费用以最终实际发生的检测数量为准，但最终结算费用不超过合同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14.5投标人按所列检测细目填报综合单价，合同实施过程中按照实际检测的工程量及投标人所报单价进行计量与支付。投标人应认真填写检测费用报价清单所有列有数量的工程细目的单价。乙方没有填入单价的工程细目,甲方将不予以支付，并认为该细目的价款已包括在检测费用报价清单其它细目的单价或总额价中。乙方在检测费用报价清单中多报的细目或单价、总额价,甲方将不予接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14.6投标人报价，是指为优质完成本合同所有内容所需的全部费用，应当包括：检测及管理人员费用、检测报告费用、现场费用、安全生产费用（包括交通安全保障措施费、到交警、路政等部门办理相关手续等发生的所有费用）、交通工具及使用费、检测设备、测量仪器费及相关费用、检测方案（大纲）评审费、公司取费、投标及招标代理费、法定税金、利润等，本招标文件明示或暗示的所有风险、责任和义务等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15.修正错误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若投标文件出现计算或表达上的错误，修正错误的原则如下：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15.1投标文件中开标一览表（报价表）内容与投标文件中相应内容不一致的，以开标一览表（报价表）为准；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15.2大写金额和小写金额不一致的，以大写金额为准；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15.3单价金额小数点或者百分比有明显错位的，以开标一览表的总价为准，并修改单价；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15.4总价金额与按单价汇总金额不一致的，以单价金额计算结果为准。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15.5评标委员会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r/>
    </w:p>
    <w:p>
      <w:pPr>
        <w:numPr>
          <w:ilvl w:val="0"/>
          <w:numId w:val="14"/>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投标文件的递交</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16.投标文件的递交</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16.1投标人应当按照《操作手册》规定，在招标公告规定的投标截止时间前制作并上传电子投标文件。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16.2投标人应充分考虑网络环境、网络带宽等因素可能对投标产生的影响，如因投标人自身原因造成的电子投标文件未在规定的投标截止时间前上传的，投标文件将被拒绝接收。</w:t>
      </w:r>
      <w:r>
        <w:rPr>
          <w:rFonts w:ascii="SimSun" w:hAnsi="SimSun" w:eastAsia="SimSun" w:cs="SimSun"/>
          <w:color w:val="000000"/>
          <w:sz w:val="24"/>
          <w:u w:val="none"/>
        </w:rPr>
        <w:t xml:space="preserve">电子投标文件</w:t>
      </w:r>
      <w:r>
        <w:rPr>
          <w:rFonts w:ascii="SimSun" w:hAnsi="SimSun" w:eastAsia="SimSun" w:cs="SimSun"/>
          <w:color w:val="000000"/>
          <w:sz w:val="24"/>
        </w:rPr>
        <w:t xml:space="preserve">未在规定的解密截止时间前成功解密的，视为未递交投标文件文件。</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17.投标文件的撤回和修改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17.1投标人可在投标截止时间前，撤回其电子投标文件，具体操作方法见《操作手册》。投标人撤回电子投标文件，则认为其不再参与本项目投标活动。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17.2投标人可在投标截止时间前，对其电子投标文件进行修改，具体操作方法见《操作手册》。在投标截止时间之后，投标人不得对其电子投标文件作任何修改。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17.3在投标截止时间至招标文件中规定的投标有效期满之间的这段时间内，投标人不得撤回其投标。</w:t>
      </w:r>
      <w:r/>
    </w:p>
    <w:p>
      <w:pPr>
        <w:numPr>
          <w:ilvl w:val="0"/>
          <w:numId w:val="14"/>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开标</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18.1招标代理机构在招标公告中规定的时间和地点组织公开开标。投标人按照《操作手册》规定参加开标活动，并在苏采云系统规定的时间内对投标文件进行解密。苏采云系统公布各投标人名称和投标价格。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18.2投标人在开标过程中涉及到的投标文件解密、开标结果确认等工作，应按照《操作手册》规定执行。</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18.3投标人如果对开标过程和开标结果有疑义，应当根据《操作手册》规定提出，苏采云系统中《开标记录表》公布后5分钟内未提出的，视同认可开标结果。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五、评标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19.评标委员会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19.1评标委员会由采购人代表和有关技术、经济等方面的专家组成，且人员构成符合政府采购有关规定。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19.2评标委员会独立工作，负责评审所有投标文件并确定中标候选人，推荐不多于3名中标候选人。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20.评标过程的保密与公正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20.1公开开标后，直至向中标的投标人授予合同时止，凡是与审查、澄清、评价和比较投标的有关资料以及授标建议等，采购人、评委、代理机构均不得向投标人或与评标无关的其他人员透露。</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20.2在评标过程中，投标人不得以任何行为影响评标过程，否则其投标文件将被作为无效投标文件。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20.3在评标期间，采购代理将设专门人员与投标人联系。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20.4评标委员会不向未中标的投标人解释未中标原因，也不公布评标过程中的相关细节。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21.投标文件的澄清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评标期间，评标委员会对投标文件中含义不明确、同类问题表述不一致或者有明显文字和计算错误的内容，有权要求投标人作出必要的澄清、说明或者补正。投标人的澄清、说明或者补正不得超出投标文件的范围或者改变投标文件的实质性内容。评标委员会并非对每个投标人都做澄清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需要投标人进行澄清、说明和补正的，评标委员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21.3接到评标委员会澄清、说明和补正要求的投标人如未按规定做出澄清、说明和补正，其风险由投标人自行承担。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22.对投标文件的初审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22.1投标文件初审分为资格审查和符合性审查。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22.1.1资格审查：依据法律法规和招标文件的规定，由采购人对投标文件中的资格证明文件进行审查。资格审查的结论，采购人以书面形式向评标委员会进行反馈。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对投标人是否被列入失信被执行人、重大税收违法案件当事人名单、政府采购严重失信行为记录名单情况进行查询，以确定投标人是否具备投标资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22.1.2符合性审查：投标文件有下列情况之一的，不通过符合性审查：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（1）未按照招标文件规定要求签署、盖章的。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（2）投标文件中未提供加盖单位公章的《规范招投标及履约行为提醒单》。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（3）投标人在报价时采用选择性报价的。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（4）投标人的报价超过了采购预算或最高限价的。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（5）投标文件中承诺的投标有效期不满足招标文件中载明的投标有效期的；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（6）不符合招标文件中规定的其他实质性要求和条件的（本招标文件中加</w:t>
      </w:r>
      <w:r>
        <w:rPr>
          <w:rFonts w:ascii="Times New Roman" w:hAnsi="Times New Roman" w:eastAsia="Times New Roman" w:cs="Times New Roman"/>
          <w:b/>
          <w:color w:val="000000"/>
          <w:sz w:val="21"/>
        </w:rPr>
        <w:t xml:space="preserve">★</w:t>
      </w:r>
      <w:r>
        <w:rPr>
          <w:rFonts w:ascii="SimSun" w:hAnsi="SimSun" w:eastAsia="SimSun" w:cs="SimSun"/>
          <w:color w:val="000000"/>
          <w:sz w:val="24"/>
        </w:rPr>
        <w:t xml:space="preserve">号条款为实质性要求）。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（7）投标文件含有采购人不能接受的附加条件的。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（8）现行法律、法规、规章和招标文件规定的其他无效情形。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22.1.3未通过资格审查或符合性审查的投标人，代理机构将在苏采云系统中告知未通过资格审查或符合性审查的原因，评审结束后，采购人将不再告知未通过资格审查或符合性审查的原因。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22.2在详细评标之前，评标委员会将首先审查每份投标文件是否实质性响应了招标文件的要求。实质性响应的投标应该是与招标文件要求的全部条款、条件和规格相符，没有重大偏离或保留的投标。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22.3如果投标文件实质上没有响应招标文件的要求，评标委员会将予以拒绝，投标人不得通过修改或撤销不合要求的偏离或保留而使其投标成为实质性响应的投标。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22.4评标委员会将对确定为实质性响应的投标进行进一步审核，看其是否有计算上或累加上的算术错误，修正错误的原则如下：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22.5评标委员会将按上述修正错误的方法调整投标文件中的投标报价，调整后的价格应对投标人具有约束力。如果投标人不接受修正后的价格，则其投标将被拒绝。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22.6评标委员会将允许修正投标文件中不构成重大偏离的、微小的、非正规的、不一致的或不规则的地方，但这些修改不能影响任何投标人相应的名次排列。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23.无效投标条款和废标条款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23.1无效投标条款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23.1.1投标人不具备招标文件中规定资格要求的。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23.1.2未通过符合性检查的。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23.1.3评标委员会按照本招标文件规定对投标人进行异常低价投标审查后，认为投标人不能证明其报价合理性的。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23.1.4其他法律、法规及本招标文件规定的属无效投标的情形。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23.2废标条款：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23.2.1符合专业条件的投标人或者对招标文件作实质响应的投标人不足三家的。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23.2.2出现影响采购公正的违法、违规行为的。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23.2.3因重大变故，采购任务取消的。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23.2.4评标委员会认定招标文件存在歧义、重大缺陷导致评审工作无法进行。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投标截止时间结束后参加投标的投标人不足三家的处理：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23.3.1如出现投标截止后投标人不足3家或者通过资格审查或符合性审查的投标人不足3家的，除采购任务取消情形外，按政府采购相关规定执行。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24.评标委员会启动异常低价投标审查的情形和具体要求</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24.1评标过程中出现下列情形之一的，评标委员会应当启动异常低价投标审查程序： </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（1）投标报价低于全部通过符合性审查投标人投标报价平均值50%的，即投标报价&lt;全部通过符合性审查投标人投标报价平均值×50%；</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（2）投标报价低于通过符合性审查的次低报价投标人投标报价50%的，即投标报价&lt;通过符合性审查的次低报价投标人投标报价×50%；</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（3）投标报价低于本项目最高限价45%的，即投标报价&lt;本项目最高限价×45%；</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（4）评标委员会基于专业判断，认为投标人报价过低，有可能影响产品质量或者不能诚信履约的其他情形。</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评标委员会启动异常低价投标审查后，属于前述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前述第（3）项情形的，投标人已随投标文件一并提交相关书面说明及必要的证明材料的，在评标现场可不再重复提交。</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24.4异常低价投标审查的启动原因、审查意见和审查结果应当在评标报告中记录，并随投标人提供的相关书面说明及证明材料，以及评标委员会有关互联网浏览、查询历史一并归档。</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六、定标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25.定标原则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25.1采购人或其授权的评标委员会应按照评标报告中推荐的中标候选人排名顺序确定中标人。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26.定标程序</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26.1采购代理机构应当在评标结束后2个工作日内将评标报告送采购人。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26.3采购人或者采购代理机构应当自中标人确定之日起2个工作日内，在江苏政府采购网上公告中标结果。中标公告期限为1个工作日。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27.中标人变更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27.1中标人拒绝与采购人签订合同的，采购人可以按照评标报告推荐的中标候选人顺序，确定排名下一位的候选人为中标人，也可以重新开展政府采购活动。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七、中标通知书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28.采购代理机构将在中标公告发布的同时向中标人发出中标通知书。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29.中标通知书发出后，采购人改变中标结果，或者中标人放弃中标，应当承担相应的法律责任。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八、询问、质疑和投诉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30.询问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30.1投标人对政府采购活动事项有疑问的，可依法提出询问，采购人或者采购代理机构应当在3个工作日内对投标人依法提出的询问作出答复。投标人询问可以是口头或书面形式。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31.1质疑内容、时限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31.1.1招标文件公告期限为采购公告发出之日起五个工作日，投标人对招标文件提出质疑的，应在招标文件公告期限届满之日起七个工作日内以书面形式向采购人、采购代理机构提出，并附相关证明材料。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31.1.2投标人对采购过程提出质疑的，应在各采购程序环节结束之日起七个工作日内以书面形式向采购人、采购代理机构提出，并附相关证明材料。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31.1.3中标结果公告期限为中标结果公告发出之日起一个工作日，投标人对中标结果如有异议的，应当在中标结果公告期限届满之日起七个工作日内以书面形式向采购人或采购代理机构提出质疑，并附相关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31.1.4投标人对招标文件中的投标人特定资格条件、技术质量和商务要求、评审标准有异议的，可向采购代理机构或采购人提出质疑。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32.质疑答复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32.1采购人、采购代理机构应当在收到投标人的书面质疑后七个工作日内作出答复，并以书面形式通知质疑投标人和其他有关投标人。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33.1投标人对采购人、采购代理机构的答复不满意，或者采购人、采购代理机构未在规定时间内答复的，可在答复期满后十五个工作日内按有关规定，向同级财政部门投诉。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33.2在提出投诉时，应附送相关证明材料。投诉书及证明材料为外文的，应同时提供其中文译本；中文与外文意思不一致的，以中文为准。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在确定受理投诉后，财政部门自受理投诉之日起三十个工作日内（进行调查取证或者组织质证时间除外）对投诉事项做出处理决定，并将投诉处理决定书送达投诉人、被投诉人和其他与投诉处理决定有利害关系的政府采购相关当事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九、签订合同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35.采购人应当自中标通知书发出之日起三十日内，按照招标文件和中标人投标文件的约定，与中标人签订书面合同。所签订的合同不得对招标文件和中标人投标文件作实质性修改。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36.招标文件、中标人的投标文件及澄清文件等，均为签订政府采购合同的依据。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37.合同生效条款由供需双方约定，法律、行政法规规定应当办理批准、登记等手续后生效的合同，依照其规定。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十、招标代理服务费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分包按《江苏省政府采购代理服务收费指导意见》（苏政采协[2024]20号）的标准以中标金额*对应费率计取，代理费含在报价中，不单独列项；上述费用由中标人在收到中标通知书后7日内，向采购代理机构一次性支付上述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汇款方式：电汇、网银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账户名称：江苏茂森工程咨询监理有限公司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开户银行：华夏银行南京城南支行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账号：10353000001022204</w:t>
        <w:br w:type="page" w:clear="all"/>
      </w:r>
      <w:r/>
    </w:p>
    <w:p>
      <w:pPr>
        <w:pStyle w:val="836"/>
        <w:numPr>
          <w:ilvl w:val="0"/>
          <w:numId w:val="13"/>
        </w:numPr>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Sun" w:hAnsi="SimSun" w:eastAsia="SimSun" w:cs="SimSun"/>
          <w:b/>
          <w:color w:val="000000"/>
          <w:sz w:val="32"/>
          <w:u w:val="none"/>
        </w:rPr>
        <w:t xml:space="preserve">合同主要条款及格式</w:t>
      </w:r>
      <w:r/>
    </w:p>
    <w:p>
      <w:pPr>
        <w:ind w:left="0" w:right="0" w:firstLine="0"/>
        <w:jc w:val="both"/>
        <w:spacing w:before="0" w:after="0" w:line="57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合同编号:</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723"/>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723"/>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723"/>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0"/>
        <w:jc w:val="center"/>
        <w:spacing w:before="120" w:after="120" w:line="578" w:lineRule="atLeast"/>
        <w:tabs>
          <w:tab w:val="left" w:pos="4476" w:leader="none"/>
          <w:tab w:val="left" w:pos="7335"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52"/>
        </w:rPr>
        <w:t xml:space="preserve">省交通综合执法局政府采购合同</w:t>
      </w:r>
      <w:r/>
    </w:p>
    <w:p>
      <w:pPr>
        <w:ind w:left="0" w:right="0" w:firstLine="0"/>
        <w:jc w:val="center"/>
        <w:spacing w:before="0" w:after="0" w:line="499" w:lineRule="atLeast"/>
        <w:tabs>
          <w:tab w:val="left" w:pos="4476" w:leader="none"/>
          <w:tab w:val="left" w:pos="7335"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（服务类示范文本）</w:t>
      </w:r>
      <w:r/>
    </w:p>
    <w:p>
      <w:pPr>
        <w:ind w:left="0" w:right="0" w:firstLine="0"/>
        <w:jc w:val="center"/>
        <w:spacing w:before="0" w:after="0" w:line="499" w:lineRule="atLeast"/>
        <w:tabs>
          <w:tab w:val="left" w:pos="4476" w:leader="none"/>
          <w:tab w:val="left" w:pos="733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both"/>
        <w:spacing w:before="0" w:after="0" w:line="499" w:lineRule="atLeast"/>
        <w:tabs>
          <w:tab w:val="left" w:pos="8953"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6"/>
        </w:rPr>
        <w:t xml:space="preserve">                           </w:t>
      </w:r>
      <w:r/>
    </w:p>
    <w:p>
      <w:pPr>
        <w:ind w:left="0" w:right="0" w:firstLine="0"/>
        <w:jc w:val="both"/>
        <w:spacing w:before="0" w:after="0" w:line="499" w:lineRule="atLeast"/>
        <w:tabs>
          <w:tab w:val="left" w:pos="8953"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both"/>
        <w:spacing w:before="0" w:after="0" w:line="499" w:lineRule="atLeast"/>
        <w:tabs>
          <w:tab w:val="left" w:pos="8953"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spacing w:before="0" w:after="0" w:line="900" w:lineRule="atLeast"/>
        <w:tabs>
          <w:tab w:val="left" w:pos="8953"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640"/>
        <w:spacing w:before="0" w:after="0" w:line="900" w:lineRule="atLeast"/>
        <w:tabs>
          <w:tab w:val="left" w:pos="895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项 目 名 称 ：</w:t>
      </w:r>
      <w:r/>
    </w:p>
    <w:p>
      <w:pPr>
        <w:ind w:left="0" w:right="0" w:firstLine="0"/>
        <w:jc w:val="both"/>
        <w:spacing w:before="0" w:after="0" w:line="9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甲方（买方）：</w:t>
      </w:r>
      <w:r/>
    </w:p>
    <w:p>
      <w:pPr>
        <w:ind w:left="0" w:right="0" w:firstLine="0"/>
        <w:jc w:val="both"/>
        <w:spacing w:before="0" w:after="0" w:line="9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乙方（卖方）：</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spacing w:before="240" w:after="240" w:line="38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shd w:val="nil"/>
        <w:rPr>
          <w:sz w:val="24"/>
          <w:szCs w:val="24"/>
        </w:rPr>
      </w:pPr>
      <w:r>
        <w:rPr>
          <w:rFonts w:ascii="SimSun" w:hAnsi="SimSun" w:eastAsia="SimSun" w:cs="SimSun"/>
          <w:color w:val="000000"/>
          <w:sz w:val="21"/>
          <w:highlight w:val="none"/>
        </w:rPr>
        <w:br w:type="page" w:clear="all"/>
      </w:r>
      <w:r>
        <w:rPr>
          <w:rFonts w:ascii="SimSun" w:hAnsi="SimSun" w:eastAsia="SimSun" w:cs="SimSun"/>
          <w:color w:val="000000"/>
          <w:sz w:val="21"/>
          <w:highlight w:val="none"/>
        </w:rPr>
      </w:r>
    </w:p>
    <w:p>
      <w:pPr>
        <w:ind w:left="0" w:right="0" w:firstLine="420"/>
        <w:spacing w:before="240" w:after="240" w:line="380" w:lineRule="atLeast"/>
        <w:rPr>
          <w:rFonts w:ascii="SimSun" w:hAnsi="SimSun" w:eastAsia="SimSun" w:cs="SimSun"/>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甲、乙双方根据</w:t>
      </w:r>
      <w:r>
        <w:rPr>
          <w:rFonts w:ascii="SimSun" w:hAnsi="SimSun" w:eastAsia="SimSun" w:cs="SimSun"/>
          <w:color w:val="000000"/>
          <w:sz w:val="21"/>
          <w:u w:val="single"/>
        </w:rPr>
        <w:t xml:space="preserve">                </w:t>
      </w:r>
      <w:r>
        <w:rPr>
          <w:rFonts w:ascii="SimSun" w:hAnsi="SimSun" w:eastAsia="SimSun" w:cs="SimSun"/>
          <w:color w:val="000000"/>
          <w:sz w:val="21"/>
        </w:rPr>
        <w:t xml:space="preserve">（省政府采购中心/委托代理机构）</w:t>
      </w:r>
      <w:r>
        <w:rPr>
          <w:rFonts w:ascii="SimSun" w:hAnsi="SimSun" w:eastAsia="SimSun" w:cs="SimSun"/>
          <w:color w:val="000000"/>
          <w:sz w:val="21"/>
          <w:u w:val="single"/>
        </w:rPr>
        <w:t xml:space="preserve">   </w:t>
      </w:r>
      <w:r>
        <w:rPr>
          <w:rFonts w:ascii="SimSun" w:hAnsi="SimSun" w:eastAsia="SimSun" w:cs="SimSun"/>
          <w:color w:val="000000"/>
          <w:sz w:val="21"/>
        </w:rPr>
        <w:t xml:space="preserve">项目</w:t>
      </w:r>
      <w:r>
        <w:rPr>
          <w:rFonts w:ascii="SimSun" w:hAnsi="SimSun" w:eastAsia="SimSun" w:cs="SimSun"/>
          <w:color w:val="000000"/>
          <w:spacing w:val="-20"/>
          <w:sz w:val="21"/>
        </w:rPr>
        <w:t xml:space="preserve">☐</w:t>
      </w:r>
      <w:r>
        <w:rPr>
          <w:rFonts w:ascii="SimSun" w:hAnsi="SimSun" w:eastAsia="SimSun" w:cs="SimSun"/>
          <w:color w:val="000000"/>
          <w:sz w:val="21"/>
        </w:rPr>
        <w:t xml:space="preserve">公开招标</w:t>
      </w:r>
      <w:r>
        <w:rPr>
          <w:rFonts w:ascii="SimSun" w:hAnsi="SimSun" w:eastAsia="SimSun" w:cs="SimSun"/>
          <w:color w:val="000000"/>
          <w:spacing w:val="-20"/>
          <w:sz w:val="21"/>
        </w:rPr>
        <w:t xml:space="preserve">☐</w:t>
      </w:r>
      <w:r>
        <w:rPr>
          <w:rFonts w:ascii="SimSun" w:hAnsi="SimSun" w:eastAsia="SimSun" w:cs="SimSun"/>
          <w:color w:val="000000"/>
          <w:sz w:val="21"/>
        </w:rPr>
        <w:t xml:space="preserve">竞争性谈判</w:t>
      </w:r>
      <w:r>
        <w:rPr>
          <w:rFonts w:ascii="SimSun" w:hAnsi="SimSun" w:eastAsia="SimSun" w:cs="SimSun"/>
          <w:color w:val="000000"/>
          <w:spacing w:val="-20"/>
          <w:sz w:val="21"/>
        </w:rPr>
        <w:t xml:space="preserve">☐</w:t>
      </w:r>
      <w:r>
        <w:rPr>
          <w:rFonts w:ascii="SimSun" w:hAnsi="SimSun" w:eastAsia="SimSun" w:cs="SimSun"/>
          <w:color w:val="000000"/>
          <w:sz w:val="21"/>
        </w:rPr>
        <w:t xml:space="preserve">竞争性磋商</w:t>
      </w:r>
      <w:r>
        <w:rPr>
          <w:rFonts w:ascii="SimSun" w:hAnsi="SimSun" w:eastAsia="SimSun" w:cs="SimSun"/>
          <w:color w:val="000000"/>
          <w:spacing w:val="-20"/>
          <w:sz w:val="21"/>
        </w:rPr>
        <w:t xml:space="preserve">☐</w:t>
      </w:r>
      <w:r>
        <w:rPr>
          <w:rFonts w:ascii="SimSun" w:hAnsi="SimSun" w:eastAsia="SimSun" w:cs="SimSun"/>
          <w:color w:val="000000"/>
          <w:sz w:val="21"/>
        </w:rPr>
        <w:t xml:space="preserve">单一来源谈判</w:t>
      </w:r>
      <w:r>
        <w:rPr>
          <w:rFonts w:ascii="SimSun" w:hAnsi="SimSun" w:eastAsia="SimSun" w:cs="SimSun"/>
          <w:color w:val="000000"/>
          <w:spacing w:val="-20"/>
          <w:sz w:val="21"/>
        </w:rPr>
        <w:t xml:space="preserve">☐</w:t>
      </w:r>
      <w:r>
        <w:rPr>
          <w:rFonts w:ascii="SimSun" w:hAnsi="SimSun" w:eastAsia="SimSun" w:cs="SimSun"/>
          <w:color w:val="000000"/>
          <w:sz w:val="21"/>
        </w:rPr>
        <w:t xml:space="preserve">询价采购的结果，签署本合同。</w:t>
      </w:r>
      <w:r/>
    </w:p>
    <w:p>
      <w:pPr>
        <w:ind w:left="0" w:right="0" w:firstLine="422"/>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一、采购标的</w:t>
      </w:r>
      <w:r/>
    </w:p>
    <w:p>
      <w:pPr>
        <w:ind w:left="0" w:right="0" w:firstLine="42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服务名称</w:t>
      </w:r>
      <w:r/>
    </w:p>
    <w:p>
      <w:pPr>
        <w:ind w:left="0" w:right="0" w:firstLine="42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服务范围、内容及服务要求</w:t>
      </w:r>
      <w:r/>
    </w:p>
    <w:p>
      <w:pPr>
        <w:ind w:left="0" w:right="0" w:firstLine="42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服务期限按照第</w:t>
      </w:r>
      <w:r>
        <w:rPr>
          <w:rFonts w:ascii="SimSun" w:hAnsi="SimSun" w:eastAsia="SimSun" w:cs="SimSun"/>
          <w:color w:val="000000"/>
          <w:sz w:val="21"/>
          <w:u w:val="single"/>
        </w:rPr>
        <w:t xml:space="preserve">     </w:t>
      </w:r>
      <w:r>
        <w:rPr>
          <w:rFonts w:ascii="SimSun" w:hAnsi="SimSun" w:eastAsia="SimSun" w:cs="SimSun"/>
          <w:color w:val="000000"/>
          <w:sz w:val="21"/>
        </w:rPr>
        <w:t xml:space="preserve">种方式明确</w:t>
      </w:r>
      <w:r/>
    </w:p>
    <w:p>
      <w:pPr>
        <w:ind w:left="0" w:right="0" w:firstLine="42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（1）本合同服务期限自</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日起，至</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日止。</w:t>
      </w:r>
      <w:r/>
    </w:p>
    <w:p>
      <w:pPr>
        <w:ind w:left="0" w:right="0" w:firstLine="42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（2）本合同服务期限自签订合同之日起，至</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日止。</w:t>
      </w:r>
      <w:r/>
    </w:p>
    <w:p>
      <w:pPr>
        <w:ind w:left="0" w:right="0" w:firstLine="42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（3）本合同服务期限自</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日起，至</w:t>
      </w:r>
      <w:r>
        <w:rPr>
          <w:rFonts w:ascii="SimSun" w:hAnsi="SimSun" w:eastAsia="SimSun" w:cs="SimSun"/>
          <w:color w:val="000000"/>
          <w:sz w:val="21"/>
          <w:u w:val="single"/>
        </w:rPr>
        <w:t xml:space="preserve">              </w:t>
      </w:r>
      <w:r>
        <w:rPr>
          <w:rFonts w:ascii="SimSun" w:hAnsi="SimSun" w:eastAsia="SimSun" w:cs="SimSun"/>
          <w:color w:val="000000"/>
          <w:sz w:val="21"/>
        </w:rPr>
        <w:t xml:space="preserve">止。</w:t>
      </w:r>
      <w:r/>
    </w:p>
    <w:p>
      <w:pPr>
        <w:ind w:left="0" w:right="0" w:firstLine="42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1.4服务地点（域）</w:t>
      </w:r>
      <w:r/>
    </w:p>
    <w:p>
      <w:pPr>
        <w:ind w:left="0" w:right="0" w:firstLine="42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本合同约定的服务地点（域）：</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2"/>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二、合同金额</w:t>
      </w:r>
      <w:r/>
    </w:p>
    <w:p>
      <w:pPr>
        <w:ind w:left="0" w:right="0" w:firstLine="42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2.1本合同金额按照第</w:t>
      </w:r>
      <w:r>
        <w:rPr>
          <w:rFonts w:ascii="SimSun" w:hAnsi="SimSun" w:eastAsia="SimSun" w:cs="SimSun"/>
          <w:color w:val="000000"/>
          <w:sz w:val="21"/>
          <w:u w:val="single"/>
        </w:rPr>
        <w:t xml:space="preserve">     </w:t>
      </w:r>
      <w:r>
        <w:rPr>
          <w:rFonts w:ascii="SimSun" w:hAnsi="SimSun" w:eastAsia="SimSun" w:cs="SimSun"/>
          <w:color w:val="000000"/>
          <w:sz w:val="21"/>
        </w:rPr>
        <w:t xml:space="preserve">种方式明确：</w:t>
      </w:r>
      <w:r/>
    </w:p>
    <w:p>
      <w:pPr>
        <w:ind w:left="0" w:right="0" w:firstLine="42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(1)本合同为固定总价合同，合同金额（含税）为人民币</w:t>
      </w:r>
      <w:r>
        <w:rPr>
          <w:rFonts w:ascii="SimSun" w:hAnsi="SimSun" w:eastAsia="SimSun" w:cs="SimSun"/>
          <w:color w:val="000000"/>
          <w:sz w:val="21"/>
          <w:u w:val="single"/>
        </w:rPr>
        <w:t xml:space="preserve">         </w:t>
      </w:r>
      <w:r>
        <w:rPr>
          <w:rFonts w:ascii="SimSun" w:hAnsi="SimSun" w:eastAsia="SimSun" w:cs="SimSun"/>
          <w:color w:val="000000"/>
          <w:sz w:val="21"/>
        </w:rPr>
        <w:t xml:space="preserve">整，（￥</w:t>
      </w:r>
      <w:r>
        <w:rPr>
          <w:rFonts w:ascii="SimSun" w:hAnsi="SimSun" w:eastAsia="SimSun" w:cs="SimSun"/>
          <w:color w:val="000000"/>
          <w:sz w:val="21"/>
          <w:u w:val="single"/>
        </w:rPr>
        <w:t xml:space="preserve">          </w:t>
      </w:r>
      <w:r>
        <w:rPr>
          <w:rFonts w:ascii="SimSun" w:hAnsi="SimSun" w:eastAsia="SimSun" w:cs="SimSun"/>
          <w:color w:val="000000"/>
          <w:sz w:val="21"/>
        </w:rPr>
        <w:t xml:space="preserve">整）。</w:t>
      </w:r>
      <w:r/>
    </w:p>
    <w:p>
      <w:pPr>
        <w:ind w:left="0" w:right="0" w:firstLine="42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(2)本合同为固定单价合同，本项目预算金额为人民币</w:t>
      </w:r>
      <w:r>
        <w:rPr>
          <w:rFonts w:ascii="SimSun" w:hAnsi="SimSun" w:eastAsia="SimSun" w:cs="SimSun"/>
          <w:color w:val="000000"/>
          <w:sz w:val="21"/>
          <w:u w:val="single"/>
        </w:rPr>
        <w:t xml:space="preserve">          </w:t>
      </w:r>
      <w:r>
        <w:rPr>
          <w:rFonts w:ascii="SimSun" w:hAnsi="SimSun" w:eastAsia="SimSun" w:cs="SimSun"/>
          <w:color w:val="000000"/>
          <w:sz w:val="21"/>
        </w:rPr>
        <w:t xml:space="preserve">整（￥</w:t>
      </w:r>
      <w:r>
        <w:rPr>
          <w:rFonts w:ascii="SimSun" w:hAnsi="SimSun" w:eastAsia="SimSun" w:cs="SimSun"/>
          <w:color w:val="000000"/>
          <w:sz w:val="21"/>
          <w:u w:val="single"/>
        </w:rPr>
        <w:t xml:space="preserve">          </w:t>
      </w:r>
      <w:r>
        <w:rPr>
          <w:rFonts w:ascii="SimSun" w:hAnsi="SimSun" w:eastAsia="SimSun" w:cs="SimSun"/>
          <w:color w:val="000000"/>
          <w:sz w:val="21"/>
        </w:rPr>
        <w:t xml:space="preserve">整），合同实施过程中单价不予调整，结算的服务费用以最终实际发生的服务数量为准。服务单价确定方式：</w:t>
      </w:r>
      <w:r>
        <w:rPr>
          <w:rFonts w:ascii="SimSun" w:hAnsi="SimSun" w:eastAsia="SimSun" w:cs="SimSun"/>
          <w:color w:val="000000"/>
          <w:sz w:val="21"/>
          <w:u w:val="single"/>
        </w:rPr>
        <w:t xml:space="preserve">                                                                </w:t>
      </w:r>
      <w:r/>
    </w:p>
    <w:p>
      <w:pPr>
        <w:ind w:left="0" w:right="0" w:firstLine="42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(3)本合同为其他非固定总价合同，本项目预算金额为人民币</w:t>
      </w:r>
      <w:r>
        <w:rPr>
          <w:rFonts w:ascii="SimSun" w:hAnsi="SimSun" w:eastAsia="SimSun" w:cs="SimSun"/>
          <w:color w:val="000000"/>
          <w:sz w:val="21"/>
          <w:u w:val="single"/>
        </w:rPr>
        <w:t xml:space="preserve">          </w:t>
      </w:r>
      <w:r>
        <w:rPr>
          <w:rFonts w:ascii="SimSun" w:hAnsi="SimSun" w:eastAsia="SimSun" w:cs="SimSun"/>
          <w:color w:val="000000"/>
          <w:sz w:val="21"/>
        </w:rPr>
        <w:t xml:space="preserve">整（￥</w:t>
      </w:r>
      <w:r>
        <w:rPr>
          <w:rFonts w:ascii="SimSun" w:hAnsi="SimSun" w:eastAsia="SimSun" w:cs="SimSun"/>
          <w:color w:val="000000"/>
          <w:sz w:val="21"/>
          <w:u w:val="single"/>
        </w:rPr>
        <w:t xml:space="preserve">          </w:t>
      </w:r>
      <w:r>
        <w:rPr>
          <w:rFonts w:ascii="SimSun" w:hAnsi="SimSun" w:eastAsia="SimSun" w:cs="SimSun"/>
          <w:color w:val="000000"/>
          <w:sz w:val="21"/>
        </w:rPr>
        <w:t xml:space="preserve">整），服务费用计算方式：</w:t>
      </w:r>
      <w:r>
        <w:rPr>
          <w:rFonts w:ascii="SimSun" w:hAnsi="SimSun" w:eastAsia="SimSun" w:cs="SimSun"/>
          <w:color w:val="000000"/>
          <w:sz w:val="21"/>
          <w:u w:val="single"/>
        </w:rPr>
        <w:t xml:space="preserve">                                           </w:t>
      </w:r>
      <w:r>
        <w:rPr>
          <w:rFonts w:ascii="SimSun" w:hAnsi="SimSun" w:eastAsia="SimSun" w:cs="SimSun"/>
          <w:color w:val="000000"/>
          <w:sz w:val="21"/>
        </w:rPr>
        <w:t xml:space="preserve">。</w:t>
      </w:r>
      <w:r>
        <w:rPr>
          <w:rFonts w:ascii="SimSun" w:hAnsi="SimSun" w:eastAsia="SimSun" w:cs="SimSun"/>
          <w:color w:val="000000"/>
          <w:sz w:val="21"/>
          <w:u w:val="single"/>
        </w:rPr>
        <w:t xml:space="preserve">                                         </w:t>
      </w:r>
      <w:r/>
    </w:p>
    <w:p>
      <w:pPr>
        <w:ind w:left="0" w:right="0" w:firstLine="42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本合同价款包含所有乙方提供合同约定相关服务的报酬及乙方提供合同中相关服务所支出的必要费用，甲方在上述合同价款之外不再向乙方支付其他任何费用。</w:t>
      </w:r>
      <w:r/>
    </w:p>
    <w:p>
      <w:pPr>
        <w:ind w:left="0" w:right="0" w:firstLine="42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2.2关于合同金额计算的补充约定事项：</w:t>
      </w:r>
      <w:r>
        <w:rPr>
          <w:rFonts w:ascii="SimSun" w:hAnsi="SimSun" w:eastAsia="SimSun" w:cs="SimSun"/>
          <w:color w:val="000000"/>
          <w:sz w:val="21"/>
          <w:u w:val="single"/>
        </w:rPr>
        <w:t xml:space="preserve">                                    </w:t>
      </w:r>
      <w:r/>
    </w:p>
    <w:p>
      <w:pPr>
        <w:ind w:left="0" w:right="0" w:firstLine="422"/>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三、合同履行</w:t>
      </w:r>
      <w:r/>
    </w:p>
    <w:p>
      <w:pPr>
        <w:ind w:left="0" w:right="0" w:firstLine="42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3.1本合同范围内服务的提供参照本项目采购文件以及乙方响应文件承诺的具体要求履行，甲乙双方通过补充条款进行特殊约定的从其约定。</w:t>
      </w:r>
      <w:r/>
    </w:p>
    <w:p>
      <w:pPr>
        <w:ind w:left="0" w:right="0" w:firstLine="42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3.2补充条款：</w:t>
      </w:r>
      <w:r>
        <w:rPr>
          <w:rFonts w:ascii="SimSun" w:hAnsi="SimSun" w:eastAsia="SimSun" w:cs="SimSun"/>
          <w:color w:val="000000"/>
          <w:sz w:val="21"/>
          <w:u w:val="single"/>
        </w:rPr>
        <w:t xml:space="preserve">                                                      </w:t>
      </w:r>
      <w:r/>
    </w:p>
    <w:p>
      <w:pPr>
        <w:ind w:left="0" w:right="0" w:firstLine="422"/>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四、服务成果内容和形式</w:t>
      </w:r>
      <w:r/>
    </w:p>
    <w:p>
      <w:pPr>
        <w:ind w:left="0" w:right="0" w:firstLine="42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4.1本合同应提交的成果内容、完成期限、成果形式及相关要求：</w:t>
      </w:r>
      <w:r/>
    </w:p>
    <w:p>
      <w:pPr>
        <w:ind w:left="0" w:right="0" w:firstLine="42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SimSun" w:hAnsi="SimSun" w:eastAsia="SimSun" w:cs="SimSun"/>
          <w:color w:val="000000"/>
          <w:sz w:val="21"/>
          <w:u w:val="single"/>
        </w:rPr>
        <w:t xml:space="preserve">                                                                         </w:t>
      </w:r>
      <w:r/>
    </w:p>
    <w:p>
      <w:pPr>
        <w:ind w:left="0" w:right="0" w:firstLine="422"/>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五、履约验收</w:t>
      </w:r>
      <w:r/>
    </w:p>
    <w:p>
      <w:pPr>
        <w:ind w:left="0" w:right="0" w:firstLine="4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本合同履约验收要求为（包括但不限于：履约验收的实施主体、验收时间、验收方式、验收内容和验收标准）</w:t>
      </w:r>
      <w:r/>
    </w:p>
    <w:p>
      <w:pPr>
        <w:ind w:left="0" w:right="0" w:firstLine="4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 甲方依据以上验收要求对乙方提供的相关服务进行阶段性验收（如有）及总体验收。</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 经验收不合格的，乙方应当按照甲方要求在指定的合理期限内进行整改和完善，直至符合验收相关标准。逾期不予整改或整改后仍不能符合相关要求，或导致合同目的无法实现，甲方有权依据法律程序解除合同，并追究乙方违约责任。</w:t>
      </w:r>
      <w:r/>
    </w:p>
    <w:p>
      <w:pPr>
        <w:ind w:left="0" w:right="0" w:firstLine="422"/>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六、款项支付 </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本合同款项采用以下第</w:t>
      </w:r>
      <w:r>
        <w:rPr>
          <w:rFonts w:ascii="SimSun" w:hAnsi="SimSun" w:eastAsia="SimSun" w:cs="SimSun"/>
          <w:color w:val="000000"/>
          <w:sz w:val="21"/>
          <w:u w:val="single"/>
        </w:rPr>
        <w:t xml:space="preserve">    </w:t>
      </w:r>
      <w:r>
        <w:rPr>
          <w:rFonts w:ascii="SimSun" w:hAnsi="SimSun" w:eastAsia="SimSun" w:cs="SimSun"/>
          <w:color w:val="000000"/>
          <w:sz w:val="21"/>
        </w:rPr>
        <w:t xml:space="preserve">种方式支付：</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本合同款项分三期支付。支付条件（时间）及支付金额如下：</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第一期:合同签订后</w:t>
      </w:r>
      <w:r>
        <w:rPr>
          <w:rFonts w:ascii="SimSun" w:hAnsi="SimSun" w:eastAsia="SimSun" w:cs="SimSun"/>
          <w:color w:val="000000"/>
          <w:sz w:val="21"/>
          <w:u w:val="single"/>
        </w:rPr>
        <w:t xml:space="preserve">  </w:t>
      </w:r>
      <w:r>
        <w:rPr>
          <w:rFonts w:ascii="SimSun" w:hAnsi="SimSun" w:eastAsia="SimSun" w:cs="SimSun"/>
          <w:color w:val="000000"/>
          <w:sz w:val="21"/>
        </w:rPr>
        <w:t xml:space="preserve">个工作日内支付首付款，付款比例为合同金额的</w:t>
      </w:r>
      <w:r>
        <w:rPr>
          <w:rFonts w:ascii="SimSun" w:hAnsi="SimSun" w:eastAsia="SimSun" w:cs="SimSun"/>
          <w:color w:val="000000"/>
          <w:sz w:val="21"/>
          <w:u w:val="single"/>
        </w:rPr>
        <w:t xml:space="preserve">    </w:t>
      </w:r>
      <w:r>
        <w:rPr>
          <w:rFonts w:ascii="SimSun" w:hAnsi="SimSun" w:eastAsia="SimSun" w:cs="SimSun"/>
          <w:color w:val="000000"/>
          <w:sz w:val="21"/>
        </w:rPr>
        <w:t xml:space="preserve">%,计人民币</w:t>
      </w:r>
      <w:r>
        <w:rPr>
          <w:rFonts w:ascii="SimSun" w:hAnsi="SimSun" w:eastAsia="SimSun" w:cs="SimSun"/>
          <w:color w:val="000000"/>
          <w:sz w:val="21"/>
          <w:u w:val="single"/>
        </w:rPr>
        <w:t xml:space="preserve">                     </w:t>
      </w:r>
      <w:r>
        <w:rPr>
          <w:rFonts w:ascii="SimSun" w:hAnsi="SimSun" w:eastAsia="SimSun" w:cs="SimSun"/>
          <w:color w:val="000000"/>
          <w:sz w:val="21"/>
        </w:rPr>
        <w:t xml:space="preserve">整（￥</w:t>
      </w:r>
      <w:r>
        <w:rPr>
          <w:rFonts w:ascii="SimSun" w:hAnsi="SimSun" w:eastAsia="SimSun" w:cs="SimSun"/>
          <w:color w:val="000000"/>
          <w:sz w:val="21"/>
          <w:u w:val="single"/>
        </w:rPr>
        <w:t xml:space="preserve">             </w:t>
      </w:r>
      <w:r>
        <w:rPr>
          <w:rFonts w:ascii="SimSun" w:hAnsi="SimSun" w:eastAsia="SimSun" w:cs="SimSun"/>
          <w:color w:val="000000"/>
          <w:sz w:val="21"/>
        </w:rPr>
        <w:t xml:space="preserve">整）。</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第二期：当</w:t>
      </w:r>
      <w:r>
        <w:rPr>
          <w:rFonts w:ascii="SimSun" w:hAnsi="SimSun" w:eastAsia="SimSun" w:cs="SimSun"/>
          <w:color w:val="000000"/>
          <w:sz w:val="21"/>
          <w:u w:val="single"/>
        </w:rPr>
        <w:t xml:space="preserve">                         </w:t>
      </w:r>
      <w:r>
        <w:rPr>
          <w:rFonts w:ascii="SimSun" w:hAnsi="SimSun" w:eastAsia="SimSun" w:cs="SimSun"/>
          <w:color w:val="000000"/>
          <w:sz w:val="21"/>
        </w:rPr>
        <w:t xml:space="preserve">时支付第二期款项，付款比例为合同金额的</w:t>
      </w:r>
      <w:r>
        <w:rPr>
          <w:rFonts w:ascii="SimSun" w:hAnsi="SimSun" w:eastAsia="SimSun" w:cs="SimSun"/>
          <w:color w:val="000000"/>
          <w:sz w:val="21"/>
          <w:u w:val="single"/>
        </w:rPr>
        <w:t xml:space="preserve">    </w:t>
      </w:r>
      <w:r>
        <w:rPr>
          <w:rFonts w:ascii="SimSun" w:hAnsi="SimSun" w:eastAsia="SimSun" w:cs="SimSun"/>
          <w:color w:val="000000"/>
          <w:sz w:val="21"/>
        </w:rPr>
        <w:t xml:space="preserve">%,计人民币</w:t>
      </w:r>
      <w:r>
        <w:rPr>
          <w:rFonts w:ascii="SimSun" w:hAnsi="SimSun" w:eastAsia="SimSun" w:cs="SimSun"/>
          <w:color w:val="000000"/>
          <w:sz w:val="21"/>
          <w:u w:val="single"/>
        </w:rPr>
        <w:t xml:space="preserve">              </w:t>
      </w:r>
      <w:r>
        <w:rPr>
          <w:rFonts w:ascii="SimSun" w:hAnsi="SimSun" w:eastAsia="SimSun" w:cs="SimSun"/>
          <w:color w:val="000000"/>
          <w:sz w:val="21"/>
        </w:rPr>
        <w:t xml:space="preserve">整（￥</w:t>
      </w:r>
      <w:r>
        <w:rPr>
          <w:rFonts w:ascii="SimSun" w:hAnsi="SimSun" w:eastAsia="SimSun" w:cs="SimSun"/>
          <w:color w:val="000000"/>
          <w:sz w:val="21"/>
          <w:u w:val="single"/>
        </w:rPr>
        <w:t xml:space="preserve">           </w:t>
      </w:r>
      <w:r>
        <w:rPr>
          <w:rFonts w:ascii="SimSun" w:hAnsi="SimSun" w:eastAsia="SimSun" w:cs="SimSun"/>
          <w:color w:val="000000"/>
          <w:sz w:val="21"/>
        </w:rPr>
        <w:t xml:space="preserve">整）。</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第三期：当乙方提供本合同所有服务成果并经甲方验收通过后</w:t>
      </w:r>
      <w:r>
        <w:rPr>
          <w:rFonts w:ascii="SimSun" w:hAnsi="SimSun" w:eastAsia="SimSun" w:cs="SimSun"/>
          <w:color w:val="000000"/>
          <w:sz w:val="21"/>
          <w:u w:val="single"/>
        </w:rPr>
        <w:t xml:space="preserve">    </w:t>
      </w:r>
      <w:r>
        <w:rPr>
          <w:rFonts w:ascii="SimSun" w:hAnsi="SimSun" w:eastAsia="SimSun" w:cs="SimSun"/>
          <w:color w:val="000000"/>
          <w:sz w:val="21"/>
        </w:rPr>
        <w:t xml:space="preserve">工作日内，支付剩余款项，计人民币</w:t>
      </w:r>
      <w:r>
        <w:rPr>
          <w:rFonts w:ascii="SimSun" w:hAnsi="SimSun" w:eastAsia="SimSun" w:cs="SimSun"/>
          <w:color w:val="000000"/>
          <w:sz w:val="21"/>
          <w:u w:val="single"/>
        </w:rPr>
        <w:t xml:space="preserve">                     </w:t>
      </w:r>
      <w:r>
        <w:rPr>
          <w:rFonts w:ascii="SimSun" w:hAnsi="SimSun" w:eastAsia="SimSun" w:cs="SimSun"/>
          <w:color w:val="000000"/>
          <w:sz w:val="21"/>
        </w:rPr>
        <w:t xml:space="preserve">整（￥</w:t>
      </w:r>
      <w:r>
        <w:rPr>
          <w:rFonts w:ascii="SimSun" w:hAnsi="SimSun" w:eastAsia="SimSun" w:cs="SimSun"/>
          <w:color w:val="000000"/>
          <w:sz w:val="21"/>
          <w:u w:val="single"/>
        </w:rPr>
        <w:t xml:space="preserve">             </w:t>
      </w:r>
      <w:r>
        <w:rPr>
          <w:rFonts w:ascii="SimSun" w:hAnsi="SimSun" w:eastAsia="SimSun" w:cs="SimSun"/>
          <w:color w:val="000000"/>
          <w:sz w:val="21"/>
        </w:rPr>
        <w:t xml:space="preserve">整）。</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本合同款项分两期支付。支付条件（时间）及支付金额如下：</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第一期:合同签订后</w:t>
      </w:r>
      <w:r>
        <w:rPr>
          <w:rFonts w:ascii="SimSun" w:hAnsi="SimSun" w:eastAsia="SimSun" w:cs="SimSun"/>
          <w:color w:val="000000"/>
          <w:sz w:val="21"/>
          <w:u w:val="single"/>
        </w:rPr>
        <w:t xml:space="preserve">  </w:t>
      </w:r>
      <w:r>
        <w:rPr>
          <w:rFonts w:ascii="SimSun" w:hAnsi="SimSun" w:eastAsia="SimSun" w:cs="SimSun"/>
          <w:color w:val="000000"/>
          <w:sz w:val="21"/>
        </w:rPr>
        <w:t xml:space="preserve">个工作日内支付首付款，付款比例为合同金额的</w:t>
      </w:r>
      <w:r>
        <w:rPr>
          <w:rFonts w:ascii="SimSun" w:hAnsi="SimSun" w:eastAsia="SimSun" w:cs="SimSun"/>
          <w:color w:val="000000"/>
          <w:sz w:val="21"/>
          <w:u w:val="single"/>
        </w:rPr>
        <w:t xml:space="preserve">    </w:t>
      </w:r>
      <w:r>
        <w:rPr>
          <w:rFonts w:ascii="SimSun" w:hAnsi="SimSun" w:eastAsia="SimSun" w:cs="SimSun"/>
          <w:color w:val="000000"/>
          <w:sz w:val="21"/>
        </w:rPr>
        <w:t xml:space="preserve">%,计人民币</w:t>
      </w:r>
      <w:r>
        <w:rPr>
          <w:rFonts w:ascii="SimSun" w:hAnsi="SimSun" w:eastAsia="SimSun" w:cs="SimSun"/>
          <w:color w:val="000000"/>
          <w:sz w:val="21"/>
          <w:u w:val="single"/>
        </w:rPr>
        <w:t xml:space="preserve">                     </w:t>
      </w:r>
      <w:r>
        <w:rPr>
          <w:rFonts w:ascii="SimSun" w:hAnsi="SimSun" w:eastAsia="SimSun" w:cs="SimSun"/>
          <w:color w:val="000000"/>
          <w:sz w:val="21"/>
        </w:rPr>
        <w:t xml:space="preserve">整（￥</w:t>
      </w:r>
      <w:r>
        <w:rPr>
          <w:rFonts w:ascii="SimSun" w:hAnsi="SimSun" w:eastAsia="SimSun" w:cs="SimSun"/>
          <w:color w:val="000000"/>
          <w:sz w:val="21"/>
          <w:u w:val="single"/>
        </w:rPr>
        <w:t xml:space="preserve">             </w:t>
      </w:r>
      <w:r>
        <w:rPr>
          <w:rFonts w:ascii="SimSun" w:hAnsi="SimSun" w:eastAsia="SimSun" w:cs="SimSun"/>
          <w:color w:val="000000"/>
          <w:sz w:val="21"/>
        </w:rPr>
        <w:t xml:space="preserve">整）。</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第二期：当乙方提供本合同所有服务成果并经甲方验收通过后</w:t>
      </w:r>
      <w:r>
        <w:rPr>
          <w:rFonts w:ascii="SimSun" w:hAnsi="SimSun" w:eastAsia="SimSun" w:cs="SimSun"/>
          <w:color w:val="000000"/>
          <w:sz w:val="21"/>
          <w:u w:val="single"/>
        </w:rPr>
        <w:t xml:space="preserve">    </w:t>
      </w:r>
      <w:r>
        <w:rPr>
          <w:rFonts w:ascii="SimSun" w:hAnsi="SimSun" w:eastAsia="SimSun" w:cs="SimSun"/>
          <w:color w:val="000000"/>
          <w:sz w:val="21"/>
        </w:rPr>
        <w:t xml:space="preserve">工作日内，支付剩余款项，计人民币</w:t>
      </w:r>
      <w:r>
        <w:rPr>
          <w:rFonts w:ascii="SimSun" w:hAnsi="SimSun" w:eastAsia="SimSun" w:cs="SimSun"/>
          <w:color w:val="000000"/>
          <w:sz w:val="21"/>
          <w:u w:val="single"/>
        </w:rPr>
        <w:t xml:space="preserve">              </w:t>
      </w:r>
      <w:r>
        <w:rPr>
          <w:rFonts w:ascii="SimSun" w:hAnsi="SimSun" w:eastAsia="SimSun" w:cs="SimSun"/>
          <w:color w:val="000000"/>
          <w:sz w:val="21"/>
        </w:rPr>
        <w:t xml:space="preserve">整（￥</w:t>
      </w:r>
      <w:r>
        <w:rPr>
          <w:rFonts w:ascii="SimSun" w:hAnsi="SimSun" w:eastAsia="SimSun" w:cs="SimSun"/>
          <w:color w:val="000000"/>
          <w:sz w:val="21"/>
          <w:u w:val="single"/>
        </w:rPr>
        <w:t xml:space="preserve">             </w:t>
      </w:r>
      <w:r>
        <w:rPr>
          <w:rFonts w:ascii="SimSun" w:hAnsi="SimSun" w:eastAsia="SimSun" w:cs="SimSun"/>
          <w:color w:val="000000"/>
          <w:sz w:val="21"/>
        </w:rPr>
        <w:t xml:space="preserve">整）。</w:t>
      </w:r>
      <w:r/>
    </w:p>
    <w:p>
      <w:pPr>
        <w:numPr>
          <w:ilvl w:val="0"/>
          <w:numId w:val="15"/>
        </w:numPr>
        <w:jc w:val="both"/>
        <w:spacing w:before="0" w:after="0" w:line="380"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乙方无预付款要求的，在</w:t>
      </w:r>
      <w:r>
        <w:rPr>
          <w:rFonts w:ascii="SimSun" w:hAnsi="SimSun" w:eastAsia="SimSun" w:cs="SimSun"/>
          <w:color w:val="000000"/>
          <w:sz w:val="21"/>
          <w:u w:val="single"/>
        </w:rPr>
        <w:t xml:space="preserve">            </w:t>
      </w:r>
      <w:r>
        <w:rPr>
          <w:rFonts w:ascii="SimSun" w:hAnsi="SimSun" w:eastAsia="SimSun" w:cs="SimSun"/>
          <w:color w:val="000000"/>
          <w:sz w:val="21"/>
        </w:rPr>
        <w:t xml:space="preserve">时按乙方实际完成的工作量据实结算。</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(4)合同签订后</w:t>
      </w:r>
      <w:r>
        <w:rPr>
          <w:rFonts w:ascii="SimSun" w:hAnsi="SimSun" w:eastAsia="SimSun" w:cs="SimSun"/>
          <w:color w:val="000000"/>
          <w:sz w:val="21"/>
          <w:u w:val="single"/>
        </w:rPr>
        <w:t xml:space="preserve">  </w:t>
      </w:r>
      <w:r>
        <w:rPr>
          <w:rFonts w:ascii="SimSun" w:hAnsi="SimSun" w:eastAsia="SimSun" w:cs="SimSun"/>
          <w:color w:val="000000"/>
          <w:sz w:val="21"/>
        </w:rPr>
        <w:t xml:space="preserve">个工作日内支付首付款，付款比例为合同金额的</w:t>
      </w:r>
      <w:r>
        <w:rPr>
          <w:rFonts w:ascii="SimSun" w:hAnsi="SimSun" w:eastAsia="SimSun" w:cs="SimSun"/>
          <w:color w:val="000000"/>
          <w:sz w:val="21"/>
          <w:u w:val="single"/>
        </w:rPr>
        <w:t xml:space="preserve">   </w:t>
      </w:r>
      <w:r>
        <w:rPr>
          <w:rFonts w:ascii="SimSun" w:hAnsi="SimSun" w:eastAsia="SimSun" w:cs="SimSun"/>
          <w:color w:val="000000"/>
          <w:sz w:val="21"/>
        </w:rPr>
        <w:t xml:space="preserve">%，计人民币</w:t>
      </w:r>
      <w:r>
        <w:rPr>
          <w:rFonts w:ascii="SimSun" w:hAnsi="SimSun" w:eastAsia="SimSun" w:cs="SimSun"/>
          <w:color w:val="000000"/>
          <w:sz w:val="21"/>
          <w:u w:val="single"/>
        </w:rPr>
        <w:t xml:space="preserve">        </w:t>
      </w:r>
      <w:r>
        <w:rPr>
          <w:rFonts w:ascii="SimSun" w:hAnsi="SimSun" w:eastAsia="SimSun" w:cs="SimSun"/>
          <w:color w:val="000000"/>
          <w:sz w:val="21"/>
        </w:rPr>
        <w:t xml:space="preserve"> 整（￥</w:t>
      </w:r>
      <w:r>
        <w:rPr>
          <w:rFonts w:ascii="SimSun" w:hAnsi="SimSun" w:eastAsia="SimSun" w:cs="SimSun"/>
          <w:color w:val="000000"/>
          <w:sz w:val="21"/>
          <w:u w:val="single"/>
        </w:rPr>
        <w:t xml:space="preserve">       </w:t>
      </w:r>
      <w:r>
        <w:rPr>
          <w:rFonts w:ascii="SimSun" w:hAnsi="SimSun" w:eastAsia="SimSun" w:cs="SimSun"/>
          <w:color w:val="000000"/>
          <w:sz w:val="21"/>
        </w:rPr>
        <w:t xml:space="preserve">整），其余费用</w:t>
      </w:r>
      <w:r>
        <w:rPr>
          <w:rFonts w:ascii="SimSun" w:hAnsi="SimSun" w:eastAsia="SimSun" w:cs="SimSun"/>
          <w:color w:val="000000"/>
          <w:sz w:val="21"/>
          <w:u w:val="single"/>
        </w:rPr>
        <w:t xml:space="preserve">          </w:t>
      </w:r>
      <w:r>
        <w:rPr>
          <w:rFonts w:ascii="SimSun" w:hAnsi="SimSun" w:eastAsia="SimSun" w:cs="SimSun"/>
          <w:color w:val="000000"/>
          <w:sz w:val="21"/>
        </w:rPr>
        <w:t xml:space="preserve">按乙方实际进度工作量据实结算。</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6.2甲方在支付上述款项前，应收到乙方提供的与应付款项等额的税务发票。因乙方未能根据合同提交相应票据和资料，导致甲方未能如期付款的，甲方不承担延期付款责任。</w:t>
      </w:r>
      <w:r/>
    </w:p>
    <w:p>
      <w:pPr>
        <w:ind w:left="0" w:right="0" w:firstLine="422"/>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七、争议与纠纷处理</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本合同执行过程中发生争议或纠纷时，由甲乙双方协商解决，若协商不成，双方一致同意采用以下第</w:t>
      </w:r>
      <w:r>
        <w:rPr>
          <w:rFonts w:ascii="SimSun" w:hAnsi="SimSun" w:eastAsia="SimSun" w:cs="SimSun"/>
          <w:color w:val="000000"/>
          <w:sz w:val="21"/>
          <w:u w:val="single"/>
        </w:rPr>
        <w:t xml:space="preserve">    </w:t>
      </w:r>
      <w:r>
        <w:rPr>
          <w:rFonts w:ascii="SimSun" w:hAnsi="SimSun" w:eastAsia="SimSun" w:cs="SimSun"/>
          <w:color w:val="000000"/>
          <w:sz w:val="21"/>
        </w:rPr>
        <w:t xml:space="preserve">种方式处理：</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（1）申请仲裁，约定向甲方所在地仲裁委员会申请仲裁。</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（2）提起诉讼，约定向甲方所在地法院提起诉讼。</w:t>
      </w:r>
      <w:r/>
    </w:p>
    <w:p>
      <w:pPr>
        <w:ind w:left="0" w:right="0" w:firstLine="422"/>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八、知识产权</w:t>
      </w:r>
      <w:r/>
    </w:p>
    <w:p>
      <w:pPr>
        <w:ind w:left="0" w:right="0" w:firstLine="42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乙方应保证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p>
    <w:p>
      <w:pPr>
        <w:ind w:left="0" w:right="0" w:firstLine="422"/>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九、产权归属</w:t>
      </w:r>
      <w:r/>
    </w:p>
    <w:p>
      <w:pPr>
        <w:ind w:left="0" w:right="0" w:firstLine="42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本项目的成果形成的知识产权归属约定如下：</w:t>
      </w:r>
      <w:r>
        <w:rPr>
          <w:rFonts w:ascii="SimSun" w:hAnsi="SimSun" w:eastAsia="SimSun" w:cs="SimSun"/>
          <w:color w:val="000000"/>
          <w:sz w:val="21"/>
          <w:u w:val="single"/>
        </w:rPr>
        <w:t xml:space="preserve">         </w:t>
      </w:r>
      <w:r>
        <w:rPr>
          <w:rFonts w:ascii="SimSun" w:hAnsi="SimSun" w:eastAsia="SimSun" w:cs="SimSun"/>
          <w:color w:val="000000"/>
          <w:sz w:val="21"/>
        </w:rPr>
        <w:t xml:space="preserve">______________。</w:t>
      </w:r>
      <w:r/>
    </w:p>
    <w:p>
      <w:pPr>
        <w:ind w:left="0" w:right="0" w:firstLine="42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如未约定，产权均归属于甲方。</w:t>
      </w:r>
      <w:r/>
    </w:p>
    <w:p>
      <w:pPr>
        <w:ind w:left="0" w:right="0" w:firstLine="422"/>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十、权利和义务</w:t>
      </w:r>
      <w:r/>
    </w:p>
    <w:p>
      <w:pPr>
        <w:ind w:left="0" w:right="0" w:firstLine="42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甲方权利</w:t>
      </w:r>
      <w:r/>
    </w:p>
    <w:p>
      <w:pPr>
        <w:ind w:left="0" w:right="0" w:firstLine="42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10.1.1甲方有权对乙方依照合同提供的服务进行监督和检查。</w:t>
      </w:r>
      <w:r/>
    </w:p>
    <w:p>
      <w:pPr>
        <w:ind w:left="0" w:right="0" w:firstLine="42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10.1.2甲方有权对所发现的问题进行调查和处理，若发现乙方完成的服务内容与合同约定不符的，甲方有权要求乙方限期整改，若造成甲方损失，还应承担违约责任。</w:t>
      </w:r>
      <w:r/>
    </w:p>
    <w:p>
      <w:pPr>
        <w:ind w:left="0" w:right="0" w:firstLine="42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甲方义务</w:t>
      </w:r>
      <w:r/>
    </w:p>
    <w:p>
      <w:pPr>
        <w:ind w:left="0" w:right="0" w:firstLine="42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10.2.1 在能力范围内，配合乙方履行本合同，尽量为乙方的履约提供必要的支持。</w:t>
      </w:r>
      <w:r/>
    </w:p>
    <w:p>
      <w:pPr>
        <w:ind w:left="0" w:right="0" w:firstLine="42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10.2.2 按照合同约定向乙方支付款项。</w:t>
      </w:r>
      <w:r/>
    </w:p>
    <w:p>
      <w:pPr>
        <w:ind w:left="0" w:right="0" w:firstLine="42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10.2.3 合同履行完毕后，及时组织验收。</w:t>
      </w:r>
      <w:r/>
    </w:p>
    <w:p>
      <w:pPr>
        <w:ind w:left="0" w:right="0" w:firstLine="42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 乙方权利</w:t>
      </w:r>
      <w:r/>
    </w:p>
    <w:p>
      <w:pPr>
        <w:ind w:left="0" w:right="0" w:firstLine="42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10.3.1 乙方有权依约收取费用。</w:t>
      </w:r>
      <w:r/>
    </w:p>
    <w:p>
      <w:pPr>
        <w:ind w:left="0" w:right="0" w:firstLine="42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10.3.2 乙方有权拒绝甲方提出的除合同约定和乙方承诺以外的其他要求。</w:t>
      </w:r>
      <w:r/>
    </w:p>
    <w:p>
      <w:pPr>
        <w:ind w:left="0" w:right="0" w:firstLine="42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10.3.3 乙方有权拒绝甲方在服务过程中的不正当要求和违规行为，并可以依法主张其合法权利。</w:t>
      </w:r>
      <w:r/>
    </w:p>
    <w:p>
      <w:pPr>
        <w:ind w:left="0" w:right="0" w:firstLine="42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 乙方义务</w:t>
      </w:r>
      <w:r/>
    </w:p>
    <w:p>
      <w:pPr>
        <w:ind w:left="0" w:right="0" w:firstLine="42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10.4.1 严格执行国家的法律、法规，守法经营，按章办事，自觉维护甲方的利益。</w:t>
      </w:r>
      <w:r/>
    </w:p>
    <w:p>
      <w:pPr>
        <w:ind w:left="0" w:right="0" w:firstLine="42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10.4.2 接受甲方的检查、监督，严格履行服务承诺，做到诚实、守信。</w:t>
      </w:r>
      <w:r/>
    </w:p>
    <w:p>
      <w:pPr>
        <w:ind w:left="0" w:right="0" w:firstLine="42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10.4.3按照响应文件的承诺以服务进程进行管理与控制，包括制定方案、合理配备工作人员、设施设备，按期组织实施，交付项目成果，保证服务项目质量。</w:t>
      </w:r>
      <w:r/>
    </w:p>
    <w:p>
      <w:pPr>
        <w:ind w:left="0" w:right="0" w:firstLine="42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10.4.4乙方应严格按照安全标准进行本项目服务，并采取必要的安全防护措施。若需上路作业应按规定办理相关手续，确保本项目服务人员、车辆及设备等的安全。乙方在服务过程中发生的任何交通、生产事故造成财产损失或人员伤亡，以及与其他第三方发生的任何纠纷或事故，甲方一律不承担任何责任和费用。</w:t>
      </w:r>
      <w:r/>
    </w:p>
    <w:p>
      <w:pPr>
        <w:ind w:left="0" w:right="0" w:firstLine="422"/>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十一、违约责任</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11.1如乙方未按合同约定，或未按照甲、乙双方最终商定的整改期限内完成本项目，每延期一日(或每发生一次)，甲方有权要求乙方向甲方支付合同总价</w:t>
      </w:r>
      <w:r>
        <w:rPr>
          <w:rFonts w:ascii="SimSun" w:hAnsi="SimSun" w:eastAsia="SimSun" w:cs="SimSun"/>
          <w:color w:val="000000"/>
          <w:sz w:val="21"/>
          <w:u w:val="single"/>
        </w:rPr>
        <w:t xml:space="preserve">   </w:t>
      </w:r>
      <w:r>
        <w:rPr>
          <w:rFonts w:ascii="SimSun" w:hAnsi="SimSun" w:eastAsia="SimSun" w:cs="SimSun"/>
          <w:color w:val="000000"/>
          <w:sz w:val="21"/>
        </w:rPr>
        <w:t xml:space="preserve">‰的违约金，但违约金的总数不超过合同总价的10％。如延期超过</w:t>
      </w:r>
      <w:r>
        <w:rPr>
          <w:rFonts w:ascii="SimSun" w:hAnsi="SimSun" w:eastAsia="SimSun" w:cs="SimSun"/>
          <w:color w:val="000000"/>
          <w:sz w:val="21"/>
          <w:u w:val="single"/>
        </w:rPr>
        <w:t xml:space="preserve">   </w:t>
      </w:r>
      <w:r>
        <w:rPr>
          <w:rFonts w:ascii="SimSun" w:hAnsi="SimSun" w:eastAsia="SimSun" w:cs="SimSun"/>
          <w:color w:val="000000"/>
          <w:sz w:val="21"/>
        </w:rPr>
        <w:t xml:space="preserve">日或者延误服务确认</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1"/>
        </w:rPr>
        <w:t xml:space="preserve">次，甲方有权解除合同，并要求乙方赔偿损失。</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11.2如甲方未按合同约定的期限付款，每延期一日，乙方有权要求甲方支付合同总价</w:t>
      </w:r>
      <w:r>
        <w:rPr>
          <w:rFonts w:ascii="SimSun" w:hAnsi="SimSun" w:eastAsia="SimSun" w:cs="SimSun"/>
          <w:color w:val="000000"/>
          <w:sz w:val="21"/>
          <w:u w:val="single"/>
        </w:rPr>
        <w:t xml:space="preserve">   </w:t>
      </w:r>
      <w:r>
        <w:rPr>
          <w:rFonts w:ascii="SimSun" w:hAnsi="SimSun" w:eastAsia="SimSun" w:cs="SimSun"/>
          <w:color w:val="000000"/>
          <w:sz w:val="21"/>
        </w:rPr>
        <w:t xml:space="preserve">‰的违约金，但违约金的总数不超过合同总价的10％。如延期付款超过</w:t>
      </w:r>
      <w:r>
        <w:rPr>
          <w:rFonts w:ascii="SimSun" w:hAnsi="SimSun" w:eastAsia="SimSun" w:cs="SimSun"/>
          <w:color w:val="000000"/>
          <w:sz w:val="21"/>
          <w:u w:val="single"/>
        </w:rPr>
        <w:t xml:space="preserve">   </w:t>
      </w:r>
      <w:r>
        <w:rPr>
          <w:rFonts w:ascii="SimSun" w:hAnsi="SimSun" w:eastAsia="SimSun" w:cs="SimSun"/>
          <w:color w:val="000000"/>
          <w:sz w:val="21"/>
        </w:rPr>
        <w:t xml:space="preserve">日，乙方有权解除合同，并要求甲方赔偿损失。</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11.3因乙方工作失误而造成的破坏或损失，乙方需承担赔偿或修复完好的责任，由此而发生的相关费用由乙方承担。</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11.4如因乙方服务工作不及时或者质量不能满足合同要求，造成影响的，甲方有权指定第三方进行服务，所发生费用全部由乙方承担。</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11.5如发生违约事件，履约方要求违约方支付违约金时，应当以书面方式通知违约方，内容包括违约事件、违约金、支付时间和方式等，违约方在收到上述通知后，应当于7日内答复对方，并支付违约金。</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11.6其他违约责任约定：</w:t>
      </w:r>
      <w:r>
        <w:rPr>
          <w:rFonts w:ascii="SimSun" w:hAnsi="SimSun" w:eastAsia="SimSun" w:cs="SimSun"/>
          <w:color w:val="000000"/>
          <w:sz w:val="21"/>
          <w:u w:val="single"/>
        </w:rPr>
        <w:t xml:space="preserve">                                               </w:t>
      </w:r>
      <w:r/>
    </w:p>
    <w:p>
      <w:pPr>
        <w:ind w:left="0" w:right="0" w:firstLine="422"/>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十二、保密条款</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12.1乙方在履行合同过程中对获知甲方信息资料均负有保密责任，未经许可不得向第三方泄露。如违反本条款规定，应当承担相应的法律责任，但法定或约定应向司法机关或仲裁机构提供的除外。</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12.2乙方对所获得甲方的保密信息负有保密义务的期限为永久，不受本合同解除的限制，直至保密信息已进入公共渠道或甲方以书面形式明确表示无须再负保密义务为止。</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12.3甲方有特殊保密要求的，应当另行签订保密协议，以保密协议的约定为准。</w:t>
      </w:r>
      <w:r/>
    </w:p>
    <w:p>
      <w:pPr>
        <w:ind w:left="0" w:right="0" w:firstLine="422"/>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十三、转包或分包</w:t>
      </w:r>
      <w:r/>
    </w:p>
    <w:p>
      <w:pPr>
        <w:ind w:left="0" w:right="0" w:firstLine="42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本合同范围内的服务，应由乙方直接组织实施，不得转让他人。</w:t>
      </w:r>
      <w:r/>
    </w:p>
    <w:p>
      <w:pPr>
        <w:ind w:left="0" w:right="0" w:firstLine="42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除非得到甲方的书面同意，乙方不得分包给他人。</w:t>
      </w:r>
      <w:r/>
    </w:p>
    <w:p>
      <w:pPr>
        <w:ind w:left="0" w:right="0" w:firstLine="422"/>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十四、履约担保</w:t>
      </w:r>
      <w:r/>
    </w:p>
    <w:p>
      <w:pPr>
        <w:ind w:left="0" w:right="0" w:firstLine="42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14.1 本合同履约担保按照以下第_____种方式提供：</w:t>
      </w:r>
      <w:r/>
    </w:p>
    <w:p>
      <w:pPr>
        <w:ind w:left="0" w:right="0" w:firstLine="42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乙方不提供履约担保。</w:t>
      </w:r>
      <w:r/>
    </w:p>
    <w:p>
      <w:pPr>
        <w:ind w:left="0" w:right="0" w:firstLine="420"/>
        <w:jc w:val="left"/>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乙方提供银行保函，保函金额为合同金额的</w:t>
      </w:r>
      <w:r>
        <w:rPr>
          <w:rFonts w:ascii="SimSun" w:hAnsi="SimSun" w:eastAsia="SimSun" w:cs="SimSun"/>
          <w:color w:val="000000"/>
          <w:sz w:val="21"/>
          <w:u w:val="single"/>
        </w:rPr>
        <w:t xml:space="preserve">   </w:t>
      </w:r>
      <w:r>
        <w:rPr>
          <w:rFonts w:ascii="SimSun" w:hAnsi="SimSun" w:eastAsia="SimSun" w:cs="SimSun"/>
          <w:color w:val="000000"/>
          <w:sz w:val="21"/>
        </w:rPr>
        <w:t xml:space="preserve">%,计人民币</w:t>
      </w:r>
      <w:r>
        <w:rPr>
          <w:rFonts w:ascii="SimSun" w:hAnsi="SimSun" w:eastAsia="SimSun" w:cs="SimSun"/>
          <w:color w:val="000000"/>
          <w:sz w:val="21"/>
          <w:u w:val="single"/>
        </w:rPr>
        <w:t xml:space="preserve">          </w:t>
      </w:r>
      <w:r>
        <w:rPr>
          <w:rFonts w:ascii="SimSun" w:hAnsi="SimSun" w:eastAsia="SimSun" w:cs="SimSun"/>
          <w:color w:val="000000"/>
          <w:sz w:val="21"/>
        </w:rPr>
        <w:t xml:space="preserve">整，</w:t>
      </w:r>
      <w:r>
        <w:rPr>
          <w:rFonts w:ascii="SimSun" w:hAnsi="SimSun" w:eastAsia="SimSun" w:cs="SimSun"/>
          <w:color w:val="000000"/>
          <w:sz w:val="21"/>
          <w:u w:val="single"/>
        </w:rPr>
        <w:t xml:space="preserve">     </w:t>
      </w:r>
      <w:r>
        <w:rPr>
          <w:rFonts w:ascii="SimSun" w:hAnsi="SimSun" w:eastAsia="SimSun" w:cs="SimSun"/>
          <w:color w:val="000000"/>
          <w:sz w:val="21"/>
        </w:rPr>
        <w:t xml:space="preserve">（￥</w:t>
      </w:r>
      <w:r>
        <w:rPr>
          <w:rFonts w:ascii="SimSun" w:hAnsi="SimSun" w:eastAsia="SimSun" w:cs="SimSun"/>
          <w:color w:val="000000"/>
          <w:sz w:val="21"/>
          <w:u w:val="single"/>
        </w:rPr>
        <w:t xml:space="preserve">        </w:t>
      </w:r>
      <w:r>
        <w:rPr>
          <w:rFonts w:ascii="SimSun" w:hAnsi="SimSun" w:eastAsia="SimSun" w:cs="SimSun"/>
          <w:color w:val="000000"/>
          <w:sz w:val="21"/>
        </w:rPr>
        <w:t xml:space="preserve">整），到期日为_______。</w:t>
      </w:r>
      <w:r/>
    </w:p>
    <w:p>
      <w:pPr>
        <w:ind w:left="0" w:right="0" w:firstLine="42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采用银行汇票、转账支票或电汇方式缴纳履约保证金，金额为人民币__________整，在合同签订前___个工作日内一次性缴纳。合同履行结束后___个工作日内，将履约保证金退还给乙方（无息退还）。如乙方违反合同约定，甲方有权根据合同条款从履约保证金中扣除相应的违约金额。</w:t>
      </w:r>
      <w:r/>
    </w:p>
    <w:p>
      <w:pPr>
        <w:ind w:left="0" w:right="0" w:firstLine="42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若根据合同约定或因其它任何原因使该项履约保证金被甲方扣除或经协商抵扣或用于赔偿甲方及/或第三方损失等情形减少而不足本合同履约保证金规定数目的，乙方应当在该情形出现之日起3个工作日内日内将其补足。</w:t>
      </w:r>
      <w:r/>
    </w:p>
    <w:p>
      <w:pPr>
        <w:ind w:left="0" w:right="0" w:firstLine="422"/>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十五、其他条款</w:t>
      </w:r>
      <w:r/>
    </w:p>
    <w:p>
      <w:pPr>
        <w:ind w:left="0" w:right="0" w:firstLine="4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1"/>
        </w:rPr>
        <w:t xml:space="preserve">。</w:t>
      </w:r>
      <w:r>
        <w:rPr>
          <w:rFonts w:ascii="SimSun" w:hAnsi="SimSun" w:eastAsia="SimSun" w:cs="SimSun"/>
          <w:color w:val="000000"/>
          <w:sz w:val="21"/>
          <w:u w:val="single"/>
        </w:rPr>
        <w:t xml:space="preserve"> </w:t>
      </w:r>
      <w:r/>
    </w:p>
    <w:p>
      <w:pPr>
        <w:ind w:left="0" w:right="0" w:firstLine="422"/>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十六、组成本合同的文件</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合同及附件；</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16.2成交通知书；</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16.3采购文件和乙方的响应文件；</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16.4采购过程中有关补充资料和澄清文件等（如有）；</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16.5 甲乙双方商定的其他必要文件。</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上述文件内容互为补充，如有不明确，由甲方负责解释。</w:t>
      </w:r>
      <w:r/>
    </w:p>
    <w:p>
      <w:pPr>
        <w:ind w:left="0" w:right="0" w:firstLine="422"/>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十七、不可抗力</w:t>
      </w:r>
      <w:r/>
    </w:p>
    <w:p>
      <w:pPr>
        <w:ind w:left="0" w:right="0" w:firstLine="42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17.1当事人一方因不可抗力不能履行合同的，应当及时通知对方，并积极采取措施以减轻或消除可能给对方造成的损失，并在事件结束后7个自然日内提供事实性证明。</w:t>
      </w:r>
      <w:r/>
    </w:p>
    <w:p>
      <w:pPr>
        <w:ind w:left="0" w:right="0" w:firstLine="42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17.2因不可抗力不能履行合同的，根据不可抗力的影响，部分或者全部（由双方协商确定）免除责任，但法律另有规定的除外。当事人迟延履行合同后发生不可抗力的，不能免除责任。</w:t>
      </w:r>
      <w:r/>
    </w:p>
    <w:p>
      <w:pPr>
        <w:ind w:left="0" w:right="0" w:firstLine="42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17.3因不可抗力使合同不能如期履行时，由双方协商确定是否延期履行或终止本合同。</w:t>
      </w:r>
      <w:r/>
    </w:p>
    <w:p>
      <w:pPr>
        <w:ind w:left="0" w:right="0" w:firstLine="422"/>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十八、合同生效及其他</w:t>
      </w:r>
      <w:r/>
    </w:p>
    <w:p>
      <w:pPr>
        <w:ind w:left="0" w:right="0" w:firstLine="42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合同经双方法定代表人或授权委托代表人签字并加盖单位公章后生效。</w:t>
      </w:r>
      <w:r/>
    </w:p>
    <w:p>
      <w:pPr>
        <w:ind w:left="0" w:right="0" w:firstLine="420"/>
        <w:spacing w:before="240" w:after="24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 本合同未尽事宜，遵照国家合同相关法律法规执行。</w:t>
      </w:r>
      <w:r/>
    </w:p>
    <w:p>
      <w:pPr>
        <w:ind w:left="0" w:right="0" w:firstLine="4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 本合同一式六份，具有同等法律效力，中文书写。甲乙双方各执三份。</w:t>
      </w:r>
      <w:r/>
    </w:p>
    <w:p>
      <w:pPr>
        <w:ind w:left="0" w:right="0" w:firstLine="279"/>
        <w:spacing w:before="240" w:after="240" w:line="3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79"/>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79"/>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79"/>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甲方（单位盖章）：                      乙方（单位盖章）：</w:t>
      </w:r>
      <w:r/>
    </w:p>
    <w:p>
      <w:pPr>
        <w:ind w:left="0" w:right="0" w:firstLine="279"/>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79"/>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统一社会信用代码：                      统一社会信用代码：</w:t>
      </w:r>
      <w:r/>
    </w:p>
    <w:p>
      <w:pPr>
        <w:ind w:left="0" w:right="0" w:firstLine="279"/>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79"/>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单位住所地：                            单位住所地：</w:t>
      </w:r>
      <w:r/>
    </w:p>
    <w:p>
      <w:pPr>
        <w:ind w:left="0" w:right="0" w:firstLine="279"/>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79"/>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                  法定代表人或授权代表：</w:t>
      </w:r>
      <w:r/>
    </w:p>
    <w:p>
      <w:pPr>
        <w:ind w:left="0" w:right="0" w:firstLine="279"/>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79"/>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                              联系电话：</w:t>
      </w:r>
      <w:r/>
    </w:p>
    <w:p>
      <w:pPr>
        <w:ind w:left="3009" w:right="0" w:hanging="2730"/>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3009" w:right="0" w:hanging="2730"/>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签订日期：     年   月  日            签订日期：      年   月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合同协议书附件1：廉政承诺书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7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政府采购项目中标单位廉政承诺书</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省交通运输综合行政执法监督局：</w:t>
      </w:r>
      <w:r/>
    </w:p>
    <w:p>
      <w:pPr>
        <w:ind w:left="0" w:right="0" w:firstLine="63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根据党中央全面从严治党战略部署、交通运输部“清廉交通”建设指导意见以及江苏省交通运输行政执法监督局（以下简称“省交通综合执法局”）有关党风廉政建设要求，我方作为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项目名称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（项目编号：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项目编号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的中标单位，为规范本项目履约行为，强化廉政风险防控，坚守廉洁从业底线，自觉接受采购单位及相关部门的监督，切实维护政府采购活动的公开、公平、公正，保障国家利益、公共利益和采购单位合法权益，根据《中华人民共和国政府采购法》《中华人民共和国政府采购法实施条例》《江苏省政府采购履约验收管理办法》等法律法规及相关规定，结合本项目实际，郑重作出如下廉政承诺，自愿接受采购单位及社会各界的监督，如有违反，自愿承担相应法律责任和违约责任。</w:t>
      </w:r>
      <w:r/>
    </w:p>
    <w:p>
      <w:pPr>
        <w:ind w:left="0" w:right="0" w:firstLine="632"/>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一、严格遵守法律法规与政策规定</w:t>
      </w:r>
      <w:r/>
    </w:p>
    <w:p>
      <w:pPr>
        <w:ind w:left="0" w:right="0" w:firstLine="63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方牢固树立“诚信履约、廉洁从业”理念，深刻认识政府采购工作的严肃性和重要性，严格遵守政府采购各项法律法规、行业准则和采购单位的相关规定，全面履行中标合同义务，恪守诚实信用原则，绝不违反合同实质性内容，助力营造风清气正的政府采购环境，配合采购单位推进“清廉交通”建设。</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二、杜绝利益输送等违规行为</w:t>
      </w:r>
      <w:r/>
    </w:p>
    <w:p>
      <w:pPr>
        <w:ind w:left="0" w:right="0" w:firstLine="63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绝不向省交通综合执法局工作人员、采购代理机构、评审专家及其他相关关联人员赠送现金、礼品、有价证券、支付凭证、股权、回扣、好处费、其他财物等不正当利益，绝不安排宴请、旅游、健身、娱乐等可能影响公正履职的活动，绝不为工作人员本人或亲友提供任何形式的便利、帮助或优惠，绝不与工作人员发生借贷、租赁或合伙经营等个人经济关系；</w:t>
      </w:r>
      <w:r/>
    </w:p>
    <w:p>
      <w:pPr>
        <w:ind w:left="0" w:right="0" w:firstLine="63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．绝不与省交通综合执法局工作人员私下协商、背离合同实质性内容签订补充协议；</w:t>
      </w:r>
      <w:r/>
    </w:p>
    <w:p>
      <w:pPr>
        <w:ind w:left="0" w:right="0" w:firstLine="63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．绝不在履约中以次充好、偷工减料、拖延工期；</w:t>
      </w:r>
      <w:r/>
    </w:p>
    <w:p>
      <w:pPr>
        <w:ind w:left="0" w:right="0" w:firstLine="63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绝不将中标项目违法转包、擅自分包，或擅自变更项目负责人、核心技术人员；</w:t>
      </w:r>
      <w:r/>
    </w:p>
    <w:p>
      <w:pPr>
        <w:ind w:left="0" w:right="0" w:firstLine="63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绝不索取、收受省交通综合执法局工作人员、采购代理机构的任何不当利益，也不利用项目实施便利谋取个人或第三方私利；</w:t>
      </w:r>
      <w:r/>
    </w:p>
    <w:p>
      <w:pPr>
        <w:ind w:left="0" w:right="0" w:firstLine="63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严格遵守政府采购保密规定，绝不泄露本项目相关保密信息（包括但不限于采购文件、投标文件、技术参数、验收标准、履约细节等），绝不建立或加入与本项目相关的不正当联络群，杜绝通过不正当渠道传递涉密信息，切实履行保密义务。</w:t>
      </w:r>
      <w:r/>
    </w:p>
    <w:p>
      <w:pPr>
        <w:ind w:left="0" w:right="0" w:firstLine="632"/>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三、规范履约与主动接受监督</w:t>
      </w:r>
      <w:r/>
    </w:p>
    <w:p>
      <w:pPr>
        <w:ind w:left="0" w:right="0" w:firstLine="63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．严格按招标文件、投标文件及中标合同约定履约，严控项目质量、进度与成本，确保项目成果符合采购需求；</w:t>
      </w:r>
      <w:r/>
    </w:p>
    <w:p>
      <w:pPr>
        <w:ind w:left="0" w:right="0" w:firstLine="63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．主动接受省交通综合执法局计划、财务、纪检部门及社会公众的监督检查，如实提供项目资料、财务凭证、沟通记录等相关材料，不拒绝、不阻挠、不隐匿；</w:t>
      </w:r>
      <w:r/>
    </w:p>
    <w:p>
      <w:pPr>
        <w:ind w:left="0" w:right="0" w:firstLine="63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．建立项目廉政台账，加强内部人员廉政教育，对参与项目的团队成员严格管理，杜绝违规行为，若发生相关问题，我方承担全部责任。</w:t>
      </w:r>
      <w:r/>
    </w:p>
    <w:p>
      <w:pPr>
        <w:ind w:left="0" w:right="0" w:firstLine="632"/>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四、违约责任承担</w:t>
      </w:r>
      <w:r/>
    </w:p>
    <w:p>
      <w:pPr>
        <w:ind w:left="0" w:right="0" w:firstLine="63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若我方违反上述任一承诺，自愿承担以下后果：</w:t>
      </w:r>
      <w:r/>
    </w:p>
    <w:p>
      <w:pPr>
        <w:ind w:left="0" w:right="0" w:firstLine="63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．接受省交通综合执法局取消中标资格、没收履约保证金、终止合同、拒付工程款等处理；</w:t>
      </w:r>
      <w:r/>
    </w:p>
    <w:p>
      <w:pPr>
        <w:ind w:left="0" w:right="0" w:firstLine="63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．承担由此给省交通综合执法局、采购代理机构造成的全部经济损失及相应法律责任（含民事、行政乃至刑事责任）。</w:t>
      </w:r>
      <w:r/>
    </w:p>
    <w:p>
      <w:pPr>
        <w:ind w:left="0" w:right="0" w:firstLine="63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本承诺书作为中标合同的有效组成部分，与合同具有同等法律效力，自我方签字盖章之日起生效，持续约束至项目完全履约完毕。</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63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承诺单位（公章）：</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中标单位全称</w:t>
      </w:r>
      <w:r>
        <w:rPr>
          <w:rFonts w:ascii="Times New Roman" w:hAnsi="Times New Roman" w:eastAsia="Times New Roman" w:cs="Times New Roman"/>
          <w:color w:val="000000"/>
          <w:sz w:val="21"/>
        </w:rPr>
        <w:t xml:space="preserve">]</w:t>
      </w:r>
      <w:r/>
    </w:p>
    <w:p>
      <w:pPr>
        <w:ind w:left="0" w:right="0" w:firstLine="63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授权代表（签字）：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签字</w:t>
      </w:r>
      <w:r>
        <w:rPr>
          <w:rFonts w:ascii="Times New Roman" w:hAnsi="Times New Roman" w:eastAsia="Times New Roman" w:cs="Times New Roman"/>
          <w:color w:val="000000"/>
          <w:sz w:val="21"/>
        </w:rPr>
        <w:t xml:space="preserve">]</w:t>
      </w:r>
      <w:r/>
    </w:p>
    <w:p>
      <w:pPr>
        <w:ind w:left="0" w:right="0" w:firstLine="63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统一社会信用代码：</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代码</w:t>
      </w:r>
      <w:r>
        <w:rPr>
          <w:rFonts w:ascii="Times New Roman" w:hAnsi="Times New Roman" w:eastAsia="Times New Roman" w:cs="Times New Roman"/>
          <w:color w:val="000000"/>
          <w:sz w:val="21"/>
        </w:rPr>
        <w:t xml:space="preserve">]</w:t>
      </w:r>
      <w:r/>
    </w:p>
    <w:p>
      <w:pPr>
        <w:ind w:left="0" w:right="0" w:firstLine="63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Times New Roman" w:hAnsi="Times New Roman" w:eastAsia="Times New Roman" w:cs="Times New Roman"/>
          <w:color w:val="000000"/>
          <w:sz w:val="21"/>
        </w:rPr>
        <w:t xml:space="preserve">[YYYY</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MM</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DD</w:t>
      </w:r>
      <w:r>
        <w:rPr>
          <w:rFonts w:ascii="SimSun" w:hAnsi="SimSun" w:eastAsia="SimSun" w:cs="SimSun"/>
          <w:color w:val="000000"/>
          <w:sz w:val="21"/>
        </w:rPr>
        <w:t xml:space="preserve">日</w:t>
      </w:r>
      <w:r>
        <w:rPr>
          <w:rFonts w:ascii="Times New Roman" w:hAnsi="Times New Roman" w:eastAsia="Times New Roman" w:cs="Times New Roman"/>
          <w:color w:val="000000"/>
          <w:sz w:val="21"/>
        </w:rPr>
        <w:t xml:space="preserve">]</w:t>
      </w:r>
      <w:r/>
    </w:p>
    <w:p>
      <w:pPr>
        <w:ind w:left="0" w:right="0" w:firstLine="420"/>
        <w:spacing w:before="0" w:after="0"/>
        <w:tabs>
          <w:tab w:val="left" w:pos="16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820" w:leader="none"/>
          <w:tab w:val="left" w:pos="1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合同协议书附件2：廉政合同</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政府采购项目中标单位廉政合同</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合同编号：</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rPr>
          <w:rFonts w:ascii="Times New Roman" w:hAnsi="Times New Roman" w:eastAsia="Times New Roman" w:cs="Times New Roman"/>
          <w:color w:val="000000"/>
          <w:sz w:val="21"/>
        </w:rPr>
        <w:t xml:space="preserve">______________</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Times New Roman" w:hAnsi="Times New Roman" w:eastAsia="Times New Roman" w:cs="Times New Roman"/>
          <w:color w:val="000000"/>
          <w:sz w:val="21"/>
        </w:rPr>
        <w:t xml:space="preserve">________________________</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签订地点：江苏省南京市</w:t>
      </w:r>
      <w:r>
        <w:rPr>
          <w:rFonts w:ascii="Times New Roman" w:hAnsi="Times New Roman" w:eastAsia="Times New Roman" w:cs="Times New Roman"/>
          <w:color w:val="000000"/>
          <w:sz w:val="21"/>
        </w:rPr>
        <w:t xml:space="preserve">____</w:t>
      </w:r>
      <w:r>
        <w:rPr>
          <w:rFonts w:ascii="SimSun" w:hAnsi="SimSun" w:eastAsia="SimSun" w:cs="SimSun"/>
          <w:color w:val="000000"/>
          <w:sz w:val="21"/>
        </w:rPr>
        <w:t xml:space="preserve">区</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签订时间：</w:t>
      </w:r>
      <w:r>
        <w:rPr>
          <w:rFonts w:ascii="Times New Roman" w:hAnsi="Times New Roman" w:eastAsia="Times New Roman" w:cs="Times New Roman"/>
          <w:color w:val="000000"/>
          <w:sz w:val="21"/>
        </w:rPr>
        <w:t xml:space="preserve">______</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____</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____</w:t>
      </w:r>
      <w:r>
        <w:rPr>
          <w:rFonts w:ascii="SimSun" w:hAnsi="SimSun" w:eastAsia="SimSun" w:cs="SimSun"/>
          <w:color w:val="000000"/>
          <w:sz w:val="21"/>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甲方（采购人）</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w:t>
      </w:r>
      <w:r>
        <w:rPr>
          <w:rFonts w:ascii="Times New Roman" w:hAnsi="Times New Roman" w:eastAsia="Times New Roman" w:cs="Times New Roman"/>
          <w:color w:val="000000"/>
          <w:sz w:val="21"/>
        </w:rPr>
        <w:t xml:space="preserve">________________________</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统一社会信用代码：</w:t>
      </w:r>
      <w:r>
        <w:rPr>
          <w:rFonts w:ascii="Times New Roman" w:hAnsi="Times New Roman" w:eastAsia="Times New Roman" w:cs="Times New Roman"/>
          <w:color w:val="000000"/>
          <w:sz w:val="21"/>
        </w:rPr>
        <w:t xml:space="preserve">________________</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rPr>
          <w:rFonts w:ascii="Times New Roman" w:hAnsi="Times New Roman" w:eastAsia="Times New Roman" w:cs="Times New Roman"/>
          <w:color w:val="000000"/>
          <w:sz w:val="21"/>
        </w:rPr>
        <w:t xml:space="preserve">____________________________</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w:t>
      </w:r>
      <w:r>
        <w:rPr>
          <w:rFonts w:ascii="Times New Roman" w:hAnsi="Times New Roman" w:eastAsia="Times New Roman" w:cs="Times New Roman"/>
          <w:color w:val="000000"/>
          <w:sz w:val="21"/>
        </w:rPr>
        <w:t xml:space="preserve">____________ </w:t>
      </w:r>
      <w:r>
        <w:rPr>
          <w:rFonts w:ascii="SimSun" w:hAnsi="SimSun" w:eastAsia="SimSun" w:cs="SimSun"/>
          <w:color w:val="000000"/>
          <w:sz w:val="21"/>
        </w:rPr>
        <w:t xml:space="preserve">联系电话：</w:t>
      </w:r>
      <w:r>
        <w:rPr>
          <w:rFonts w:ascii="Times New Roman" w:hAnsi="Times New Roman" w:eastAsia="Times New Roman" w:cs="Times New Roman"/>
          <w:color w:val="000000"/>
          <w:sz w:val="21"/>
        </w:rPr>
        <w:t xml:space="preserve">____________</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乙方（中标供应商）</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w:t>
      </w:r>
      <w:r>
        <w:rPr>
          <w:rFonts w:ascii="Times New Roman" w:hAnsi="Times New Roman" w:eastAsia="Times New Roman" w:cs="Times New Roman"/>
          <w:color w:val="000000"/>
          <w:sz w:val="21"/>
        </w:rPr>
        <w:t xml:space="preserve">________________________</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统一社会信用代码：</w:t>
      </w:r>
      <w:r>
        <w:rPr>
          <w:rFonts w:ascii="Times New Roman" w:hAnsi="Times New Roman" w:eastAsia="Times New Roman" w:cs="Times New Roman"/>
          <w:color w:val="000000"/>
          <w:sz w:val="21"/>
        </w:rPr>
        <w:t xml:space="preserve">________________</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rPr>
          <w:rFonts w:ascii="Times New Roman" w:hAnsi="Times New Roman" w:eastAsia="Times New Roman" w:cs="Times New Roman"/>
          <w:color w:val="000000"/>
          <w:sz w:val="21"/>
        </w:rPr>
        <w:t xml:space="preserve">____________________________</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rPr>
          <w:rFonts w:ascii="Times New Roman" w:hAnsi="Times New Roman" w:eastAsia="Times New Roman" w:cs="Times New Roman"/>
          <w:color w:val="000000"/>
          <w:sz w:val="21"/>
        </w:rPr>
        <w:t xml:space="preserve">______________________</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w:t>
      </w:r>
      <w:r>
        <w:rPr>
          <w:rFonts w:ascii="Times New Roman" w:hAnsi="Times New Roman" w:eastAsia="Times New Roman" w:cs="Times New Roman"/>
          <w:color w:val="000000"/>
          <w:sz w:val="21"/>
        </w:rPr>
        <w:t xml:space="preserve">______________________</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Times New Roman" w:hAnsi="Times New Roman" w:eastAsia="Times New Roman" w:cs="Times New Roman"/>
          <w:color w:val="000000"/>
          <w:sz w:val="21"/>
        </w:rPr>
        <w:t xml:space="preserve">________________________</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规范江苏省交通运输综合行政执法监督局（以下简称“甲方”）政府采购项目履约行为，强化政府采购领域廉政风险防控，规范采购行为，维护国家利益、公共利益和甲乙双方合法权益，防范利益输送、围标串标、商业贿赂等违纪违法问题，保障采购项目公开、公平、公正、廉洁实施，依据《中华人民共和国民法典》《中华人民共和国政府采购法》《中华人民共和国政府采购法实施条例》《政府采购需求管理办法》《政府采购货物和服务招标投标管理办法》《江苏省政府采购履约验收管理办法》及江苏省交通运输厅关于政府采购廉政管控相关规定，结合甲方政府采购项目（</w:t>
      </w:r>
      <w:r>
        <w:rPr>
          <w:rFonts w:ascii="SimSun" w:hAnsi="SimSun" w:eastAsia="SimSun" w:cs="SimSun"/>
          <w:color w:val="000000"/>
          <w:sz w:val="21"/>
        </w:rPr>
        <w:t xml:space="preserve">以下简称“本项目”）实际情况，甲乙双方本着平等自愿、权责对等、诚实信用、廉洁自律的原则，经协商一致，订立本廉政合同。</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本合同为上述项目主合同不可分割的组成部分，与主合同具有同等法律效力，主合同无效、被撤销或终止的，本合同关于廉政责任、违约责任、争议解决的条款依然有效。</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第一条 适用范围与期限</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．本合同适用于本项目中标、签约、履约、供货、施工、服务、验收、付款、质保、售后服务全流程、全环节。</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．廉政责任期限：自合同签订之日起，至项目质保期满、款项结清、所有责任履行完毕之日止。</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第二条 乙方（中标单位）廉政责任与禁止行为</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乙方郑重承诺，在项目全过程中严格遵守国家法律法规及政府采购廉政规定，坚决杜绝以下行为：</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．不得以任何形式向甲方工作人员、评审专家、监理、验收人员及上述人员亲属、特定关系人赠送现金、礼金、礼品、有价证券、支付凭证、消费卡、电子红包、土特产、奢侈品等任何财物。</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．不得提供或接受宴请、旅游、健身、娱乐、高消费活动，不得报销任何应由个人支付的费用，不得提供住房装修、车辆使用、家政服务等任何不正当利益。</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．不得违法转包、擅自分包、挂靠经营，不得随意更换项目负责人、技术负责人、核心服务人员。</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．不得在合同约定之外，以任何名义向甲方或相关人员索要、收受回扣、好处费、中介费、感谢费、协调费等不正当利益。</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．不得通过打招呼、递条子、托关系、宴请等方式干预评审、干预验收、干预付款等。</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．不得以次充好、偷工减料、降低标准、拖延工期、虚假履约等方式损害甲方及公共利益。</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．不得拒绝、阻挠、逃避计划、财务、审计、纪检、采购人的监督检查，不得隐匿、伪造、篡改、销毁项目资料、财务凭证、合同文件、往来记录等。</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．不得泄露本项目相关保密信息（包括但不限于采购文件、投标文件、技术参数、验收标准、履约细节等），不得建立或加入与本项目相关的不正当联络群，杜绝通过不正当渠道传递涉密信息。</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第三条 甲方（采购人）廉政责任与禁止行为</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．甲方严格执行政府采购内控制度，坚持集体研究、公开透明，严禁个人擅自决定参数、验收标准及付款事项。</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．甲方工作人员严禁索取、收受、变相收受乙方任何财物、礼品、宴请、消费及不正当利益，严禁利用职权指定品牌、指定供应商、干预中标结果。</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．甲方严禁违规变更合同实质性条款。</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甲方应按规定及时组织验收、按期支付资金，不得无故拖延、刁难、设置不合理门槛，不得利用验收、付款职权谋取私利。</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．甲方与乙方存在利害关系的人员，必须主动申请回避，不得参与项目评审、验收、付款等关键环节。</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第四条 全过程留痕与档案管理</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为落实政府采购全过程可追溯要求，双方严格执行以下留痕制度：</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．乙方须建立项目廉政台账，完整保存其自身履约过程中产生的文件资料，如：合同文件、投标资料、供货记录、施工日志、服务记录、验收单据、财务凭证、发票、往来函件等。</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所有关键环节（需求确认、变更、验收、付款）必须书面确认、签字盖章，严禁口头约定、私下变更。</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．项目档案保存期限不少于</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年，随时接受计划、财务、审计、纪检等部门调阅核查。</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乙方须指定专人负责廉政联络与资料归档，如发生廉政风险线索，</w:t>
      </w: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小时内主动向甲方及纪检部门报告。</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第五条 异议与举报处理</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．乙方如发现甲方或相关人员存在违纪违法、不廉洁行为，有权实名或匿名举报，甲方及监管部门必须严格保密、及时核查反馈。</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．廉政监督举报方式：</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采购人监督电话：</w:t>
      </w:r>
      <w:r>
        <w:rPr>
          <w:rFonts w:ascii="Times New Roman" w:hAnsi="Times New Roman" w:eastAsia="Times New Roman" w:cs="Times New Roman"/>
          <w:color w:val="000000"/>
          <w:sz w:val="21"/>
        </w:rPr>
        <w:t xml:space="preserve">____________________</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计划部门采购监督电话：</w:t>
      </w:r>
      <w:r>
        <w:rPr>
          <w:rFonts w:ascii="Times New Roman" w:hAnsi="Times New Roman" w:eastAsia="Times New Roman" w:cs="Times New Roman"/>
          <w:color w:val="000000"/>
          <w:sz w:val="21"/>
        </w:rPr>
        <w:t xml:space="preserve">______________</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．任何一方不得对举报人员打击报复、刁难设卡、中止履约、恶意扣款，违者承担全部法律责任。</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第六条 违约责任（严格执行政府采购管控条款）</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（一）乙方违约责任</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乙方违反本合同第二条任何一项禁止行为，均视为严重违约，甲方有权立即采取以下一项或多项措施：</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．中止合同履行、暂停所有款项支付；</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．没收全部履约保证金；</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．单方解除主合同与廉政合同，拒付已发生款项，并追究经济损失；</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．追究乙方民事赔偿责任，包括但不限于损失赔偿、违约金、律师费、诉讼费、保全费等；</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．涉嫌违纪违法、商业贿赂、串通投标的，直接移交纪检监察机关、公安机关处理，依法追究刑事责任。</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（二）甲方违约责任</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甲方工作人员违反廉政规定，经查证属实的，由甲方依规依纪处理；给乙方造成损失的，依法予以赔偿。</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第七条 监督管理</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．本合同由双方或双方上级单位的纪检监察机关负责监督。由甲方或甲方上级单位的纪检监察机关约请乙方或乙方上级单位纪检监察机关对本合同履行情况进行检查，提出在本合同规定范围内的裁定意见。</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．甲方定期对项目进行廉政回访与风险排查，乙方须无条件配合。</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．本合同作为项目验收、付款、归档的必备文件，无廉政合同不得启动验收与支付流程。</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第八条 其他约定</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．本合同未尽事宜，按照国家、江苏省关于政府采购廉政管理的最新规定执行。</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．因本合同产生争议，双方先行协商；协商不成的，提交项目所在地人民法院诉讼解决。</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．本合同一式肆份，甲方执贰份，乙方执贰份，具有同等法律效力。</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（以下为签署页，无正文）</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甲方（采购人）：（盖章）</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授权代表（签字）：</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Times New Roman" w:hAnsi="Times New Roman" w:eastAsia="Times New Roman" w:cs="Times New Roman"/>
          <w:color w:val="000000"/>
          <w:sz w:val="21"/>
        </w:rPr>
        <w:t xml:space="preserve">______</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____</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____</w:t>
      </w:r>
      <w:r>
        <w:rPr>
          <w:rFonts w:ascii="SimSun" w:hAnsi="SimSun" w:eastAsia="SimSun" w:cs="SimSun"/>
          <w:color w:val="000000"/>
          <w:sz w:val="21"/>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乙方（中标供应商）：（盖章）</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项目负责人（签字）：</w:t>
      </w:r>
      <w:r/>
    </w:p>
    <w:p>
      <w:pPr>
        <w:ind w:left="0" w:right="0" w:firstLine="0"/>
        <w:spacing w:before="0" w:after="0" w:line="85" w:lineRule="atLeast"/>
        <w:tabs>
          <w:tab w:val="left" w:pos="820" w:leader="none"/>
          <w:tab w:val="left" w:pos="1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Times New Roman" w:hAnsi="Times New Roman" w:eastAsia="Times New Roman" w:cs="Times New Roman"/>
          <w:color w:val="000000"/>
          <w:sz w:val="21"/>
        </w:rPr>
        <w:t xml:space="preserve">______</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____</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____</w:t>
      </w:r>
      <w:r>
        <w:rPr>
          <w:rFonts w:ascii="SimSun" w:hAnsi="SimSun" w:eastAsia="SimSun" w:cs="SimSun"/>
          <w:color w:val="000000"/>
          <w:sz w:val="21"/>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tabs>
          <w:tab w:val="left" w:pos="820" w:leader="none"/>
          <w:tab w:val="left" w:pos="1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合同协议书附件3：安全生产合同</w:t>
      </w:r>
      <w:r/>
    </w:p>
    <w:p>
      <w:pPr>
        <w:ind w:left="126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安全生产合同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为在</w:t>
      </w:r>
      <w:r>
        <w:rPr>
          <w:rFonts w:ascii="SimSun" w:hAnsi="SimSun" w:eastAsia="SimSun" w:cs="SimSun"/>
          <w:color w:val="000000"/>
          <w:sz w:val="21"/>
          <w:u w:val="single"/>
        </w:rPr>
        <w:t xml:space="preserve">             </w:t>
      </w:r>
      <w:r>
        <w:rPr>
          <w:rFonts w:ascii="SimSun" w:hAnsi="SimSun" w:eastAsia="SimSun" w:cs="SimSun"/>
          <w:color w:val="000000"/>
          <w:sz w:val="21"/>
        </w:rPr>
        <w:t xml:space="preserve">（项目名称）合同的实施过程中创造安全、高效的检测环境，切实搞好本项目的安全管理工作，江苏省交通运输综合行政执法监督局（以下称甲方），与*****（以下称乙方），特此签订安全生产合同：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一、甲方职责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1.严格遵守国家有关安全生产的法律法规，认真执行检测合同中的有关安全要求。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2.按照“安全第一、预防为主”和坚持“三管三必须”的原则，做好工程检测项目的安全生产管理工作。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3.协调工程建设指挥部，为试验检测提供必要的检测安全生产条件。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4.对乙方检测现场进行安全生产，监督乙方及时处理发现的各种安全隐患漏洞。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二、乙方职责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应严格遵守《中华人民共和国安全生产法》、《建设工程安全生产管理条例》等国家有关安全生产的法律法规、《公路水运工程安全生产监督管理办法、》《江苏省公路水运建设工程安全监管规定》等有关安全生产的规定，贯彻执行检测合同中的有关安全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坚持“安全第一、预防为主”和“管生产必须管安全”的原则，加强安全生产宣传教育，增强全员安全生产意识，建立健全安全生产的管理组织和安全生产管理制度，配备专职或兼职安全检查人员，有组织有领导地开展安全生产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建立健全全员安全生产责任制。制订项目实施的安全生产方案、应急预案，成立安全领导小组，项目负责人是安全生产的第一责任人，负责项目检测安全领导工作。设立专职安全负责人，协助项目负责人对项目检测安全工作履行监督、检查管理职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4.乙方在任何时候都应采取各种合理的预防措施，防止其员工发生任何违法、违禁、暴力或妨碍治安的行为。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必须具有劳动安全管理部门颁发的安全生产考核合格证书，参加检测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检测现场如出现特种作业无证操作现象时，项目负责人必须承担管理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对于易燃易爆的材料除应专门妥善保管之外，还应配备有足够的消防设施，所有检测人员都应熟悉消防设备的性能和使用方法；乙方不得将任何种类的爆炸物给予、易货或以其他方式转让给任何其他人，或允许、容忍上述同样行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7.操作人员上岗，必须按规定穿戴防护用品。项目负责人和专职安全负责人应随时检查劳动防护用品的穿戴情况，不按规定穿戴防护用品的人员不得上岗。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8.所有检测机具设备和高空作业的设备均应定期检查，并有安全员的签字记录，保证其经常处于完好状态；不合格的机具、设备和劳动保护用品严禁使用。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9.检测中采用新技术、新工艺、新设备、新材料时，必须制定相应的安全技术措施，检测现场必须具有相关的安全标志牌。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乙方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如因甲方或乙方违约造成安全事故，将依法追究责任。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五、本合同作为</w:t>
      </w:r>
      <w:r>
        <w:rPr>
          <w:rFonts w:ascii="SimSun" w:hAnsi="SimSun" w:eastAsia="SimSun" w:cs="SimSun"/>
          <w:color w:val="000000"/>
          <w:sz w:val="21"/>
          <w:u w:val="single"/>
        </w:rPr>
        <w:t xml:space="preserve">         </w:t>
      </w:r>
      <w:r>
        <w:rPr>
          <w:rFonts w:ascii="SimSun" w:hAnsi="SimSun" w:eastAsia="SimSun" w:cs="SimSun"/>
          <w:color w:val="000000"/>
          <w:sz w:val="21"/>
        </w:rPr>
        <w:t xml:space="preserve">（项目名称）合同的附件，与检测服务合同具有同等的法律效力，经合同双方签署立即生效。</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836"/>
        <w:numPr>
          <w:ilvl w:val="0"/>
          <w:numId w:val="13"/>
        </w:numPr>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项目技术需求</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一、招标项目商务需求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（一）采购需求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（1）项目概况：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进一步加强全省在建公路工程质量监督管理，全面掌握在建高速公路质量状况，江苏省交通运输综合行政执法监督局拟开展高速公路中间过程质量监督检测采购工作。本项目拟委托第三方服务机构完成海太长江隧道南北接线项目对应工程路基、路面、桥涵等的中间过程质量监督检查评估、中间过程质量监督检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（2）服务内容：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收到委托人的指令后提交工作方案，方案经审查后组织开展相关工作。服务机构须严格按照工作方案规定的内容及工期要求开展工作，确保数据真实、可靠。过程中发现检测数据异常或存在可能影响正常使用的质量或安全问题时，应及时报告委托人。服务结束后提交相应报告。</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（3）服务要求：投标人具有无人机助力检查的设备和能力。（提供承诺）。</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）交付成果：现场检测（检查）结束后，按要求提交相应检测（检查）报告及电子版。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（二）★企业资质要求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(带“★”的作为实质性条款必须满足，否则作无效投标处理。)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分包1、分包2：</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★（1）投标人应具有交通运输部颁发的公路工程试验检测综合甲级资质或公路水运工程质量检测机构公路工程甲级资质，提供相关证明材料。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★（2）为项目各分包建设单位承担中心实验室的，不得参加相应分包的投标（投标人需提供承诺）；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（三）★项目组人员配备要求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(带“★”的作为实质性条款必须满足，否则作无效投标处理。)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分包1、分包2：</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★（1）项目负责人：具备高级工程师及以上技术职称，且同时具有交通运输部颁发的公路水运工程试验检测师资格证书（道路或桥梁隧道专业）。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★（2）其他检测人员：本项目各分包至少投入3名现场检测人员且具有公路水运工程试验检测师资格证书（道路或桥梁隧道专业）。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（四）报价要求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为固定总价合同，计价清单第1章以总额计的费用在合同实施过程中采用总额包干，不予调整。第2章检测费用采用单价方式，各检测项目单价为按规范要求完成该项检测工作所需的综合单价，结算过程中单价不予调整，检测费用以最终实际发生的检测数量为准，但最终结算费用不超过合同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（2）投标人按所列检测细目填报综合单价，合同实施过程中按照实际检测的工程量及投标人所报单价进行计量与支付。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报价，是指为优质完成本合同所有内容所需的全部费用，应当包括：检测及管理人员费用、检测报告费用、现场费用、安全生产费用（包括交通安全保障措施费、到交警、路政等部门办理相关手续等发生的所有费用）、交通工具及使用费、检测设备、测量仪器费及相关费用、检测方案（大纲）评审费、公司取费、投标及采购代理费、法定税金、利润等，本招标文件明示或暗示的所有风险、责任和义务等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（五）履约期限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本项目履约期限为：三年。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（六）项目付款方式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合同签订后10个工作日内支付首付款，付款比例为合同金额的35%，其余费用每年12月15日前按乙方实际进度工作量据实结算。</w:t>
      </w:r>
      <w:r/>
    </w:p>
    <w:p>
      <w:pPr>
        <w:ind w:left="0" w:right="0" w:firstLine="420"/>
        <w:jc w:val="both"/>
        <w:spacing w:before="0" w:after="0" w:line="85" w:lineRule="atLeast"/>
        <w:tabs>
          <w:tab w:val="left" w:pos="567" w:leader="none"/>
          <w:tab w:val="left" w:pos="7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（七）验收方案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中标人应严格执行《江苏省政府采购履约验收管理办法》苏财规〔2024〕7号规定，服从采购人的检测工作安排。检测成果报告须严格按照相关规范标准要求提交成果。</w:t>
      </w:r>
      <w:r/>
    </w:p>
    <w:p>
      <w:pPr>
        <w:ind w:left="0" w:right="0" w:firstLine="420"/>
        <w:jc w:val="both"/>
        <w:spacing w:before="0" w:after="0" w:line="85" w:lineRule="atLeast"/>
        <w:tabs>
          <w:tab w:val="left" w:pos="567" w:leader="none"/>
          <w:tab w:val="left" w:pos="7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（八）履约考核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本项目依据《交通建设工程质量监督第三方试验检测机构履约评价细则（试行）》，甲方将在合同期间对乙方的履约工作进行质量评价，乙方无正当理由拒不配合考评工作的，视同违约。</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二、技术标准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（一）当使用于质量监督检测的几种标准与规范出现意义不明或不一致时，在引用标准或规范发生分歧时应按以下顺序优先考虑：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1、《江苏省交通建设工程质量和安全生产监督管理条例》（2022年9月29日）；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2、《公路水运工程质量监督管理规定》（2017年第28号令）；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3、《公路工程质量检验评定标准》（JTG F80/1-2017）；</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4、《公路工程竣（交）工验收办法》（交通运输部令2004年第3号）；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5、《公路工程竣(交)工验收办法实施细则的通知》（交公路发〔2010〕第65号）；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6、《江苏省公路水运建设工程质量监督工作程序及标准》（苏交执法质〔2020〕1号）；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7、《江苏省公路工程交（竣）工质量核验（鉴定）工作程序及标准》（苏交执法质〔2020〕2号）；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8、现行的交通运输部的行业标准或规范；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9、中华人民共和国国家标准；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10、相关行业的标准或规范。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（二）技术要求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1、受托方应认真做好检测前期工作，受托方应编制详细的工作大纲、检测操作规程和评定标准，经评审后才可实施；委托方有权在相关规范标准规定范围内提出任何检测要求。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2、在接到委托方要求现场检测的通知后，受托方必须在5日内进场，并做好开展检测工作的一切准备工作。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3、检测报告中至少应包括以下内容：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检测概况：检测项目、检测频率、检测时间、所测桩号、所用仪器、遵照规范等。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检测结果：主要指标统计合格率、质量等级等；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检测结论：检测结果的统计与分析，对存在的质量缺陷提出初步结论及补救措施建议等。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4、工作报告中至少应包括对本次检测实施手段、方法及检测工作质量的总结和评价，本次检测结果与以往类似工程检测结果的对比分析，对检测工程质量状况的分析及建议，检测工作中发现的问题及改进措施。</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836"/>
        <w:numPr>
          <w:ilvl w:val="0"/>
          <w:numId w:val="13"/>
        </w:numPr>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评标标准</w:t>
      </w:r>
      <w:r/>
    </w:p>
    <w:p>
      <w:pPr>
        <w:ind w:left="0" w:right="0" w:firstLine="482"/>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一、评标方法</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评标委员会根据本招标文件规定的评标办法与评标标准独立打分，取评委的算术平均数为投标人的最终得分(保留小数点后两位，小数点后第三位“四舍五入”)，评标结果按评审后得分由高到低顺序排列。得分相同的，按投标报价由低到高顺序排列。得分且投标报价相同的，按技术部分评分由高到低顺序排列。</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评分法是指投标文件满足招标文件全部实质性要求且按照评审因素的量化指标评审得分最高的投标人为中标候选人的评标方法。投标人总得分为价格、商务、技术等评定因素分别按照相应权重值计算分项得分后相加，满分为100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次招标各投标人可同时参与本项目2个分包的投标，只能中标1个包。若同一投标人在分包1、分包2个分包推荐排名均为第一，则推荐其为拟中标金额较大的一个分包的第一中标候选人，其它分包不再被推荐为第一、第二、第三中标候选人，由排名紧靠其后的投标人依次递补。</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二、资格性审查和符合性审查</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资格性审查。公开招标采购项目开标结束后，采购人或采购代理机构应当依法对投标人的资格进行审查，以确定投标人是否具备投标资格。</w:t>
      </w:r>
      <w:r/>
    </w:p>
    <w:tbl>
      <w:tblPr>
        <w:tblStyle w:val="8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5"/>
        <w:gridCol w:w="3344"/>
        <w:gridCol w:w="5365"/>
      </w:tblGrid>
      <w:tr>
        <w:trPr>
          <w:trHeight w:val="52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资格审查内容</w:t>
            </w:r>
            <w:r/>
          </w:p>
        </w:tc>
      </w:tr>
      <w:tr>
        <w:trPr>
          <w:trHeight w:val="18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资格审查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65"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满足《中华人民共和国政府采购法》第二十二条规定：</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）具有独立承担民事责任的能力（提供法人或者其他组织的营业执照复印件并加盖公章，或者自然人的身份证明）；</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）具有良好的商业信誉和健全的财务会计制度（提供</w:t>
            </w:r>
            <w:r>
              <w:rPr>
                <w:rFonts w:ascii="Times New Roman" w:hAnsi="Times New Roman" w:eastAsia="Times New Roman" w:cs="Times New Roman"/>
                <w:color w:val="000000"/>
                <w:sz w:val="21"/>
              </w:rPr>
              <w:t xml:space="preserve">2025</w:t>
            </w:r>
            <w:r>
              <w:rPr>
                <w:rFonts w:ascii="SimSun" w:hAnsi="SimSun" w:eastAsia="SimSun" w:cs="SimSun"/>
                <w:color w:val="000000"/>
                <w:sz w:val="21"/>
              </w:rPr>
              <w:t xml:space="preserve">年或</w:t>
            </w:r>
            <w:r>
              <w:rPr>
                <w:rFonts w:ascii="Times New Roman" w:hAnsi="Times New Roman" w:eastAsia="Times New Roman" w:cs="Times New Roman"/>
                <w:color w:val="000000"/>
                <w:sz w:val="21"/>
              </w:rPr>
              <w:t xml:space="preserve">2024</w:t>
            </w:r>
            <w:r>
              <w:rPr>
                <w:rFonts w:ascii="SimSun" w:hAnsi="SimSun" w:eastAsia="SimSun" w:cs="SimSun"/>
                <w:color w:val="000000"/>
                <w:sz w:val="21"/>
              </w:rPr>
              <w:t xml:space="preserve">年度经审计的财务报告，或截止开标之日起近六个月（</w:t>
            </w:r>
            <w:r>
              <w:rPr>
                <w:rFonts w:ascii="Times New Roman" w:hAnsi="Times New Roman" w:eastAsia="Times New Roman" w:cs="Times New Roman"/>
                <w:color w:val="000000"/>
                <w:sz w:val="21"/>
              </w:rPr>
              <w:t xml:space="preserve">2025</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月）中任意</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个月的财务报表（至少包括资产负债表和利润表），或投标截止时间前六个月（</w:t>
            </w:r>
            <w:r>
              <w:rPr>
                <w:rFonts w:ascii="Times New Roman" w:hAnsi="Times New Roman" w:eastAsia="Times New Roman" w:cs="Times New Roman"/>
                <w:color w:val="000000"/>
                <w:sz w:val="21"/>
              </w:rPr>
              <w:t xml:space="preserve">2025</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月）内银行出具的资信证明，或财政部门认可的政府采购专业担保机构出具的投标担保函；</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）有依法缴纳税收和社会保障资金的良好记录（提供参加本次采购活动前近六个月（</w:t>
            </w:r>
            <w:r>
              <w:rPr>
                <w:rFonts w:ascii="Times New Roman" w:hAnsi="Times New Roman" w:eastAsia="Times New Roman" w:cs="Times New Roman"/>
                <w:color w:val="000000"/>
                <w:sz w:val="21"/>
              </w:rPr>
              <w:t xml:space="preserve">2025</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月）内任一月份依法缴纳税收及社会保险的凭据。依法免缴、迟缴的应提供相应文件证明）；</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）具有履行合同所必需的设备和专业技术能力（根据项目需求提供履行合同所必需的设备和专业技术能力的证明材料或声明函）；</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）参加本次采购活动前</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年内在经营活动中没有重大违法记录（提供参加本次采购活动前</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年内在经营活动中没有重大违法记录的书面声明）；</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）未被“信用中国”网站（</w:t>
            </w:r>
            <w:r>
              <w:rPr>
                <w:rFonts w:ascii="Times New Roman" w:hAnsi="Times New Roman" w:eastAsia="Times New Roman" w:cs="Times New Roman"/>
                <w:color w:val="000000"/>
                <w:sz w:val="21"/>
              </w:rPr>
              <w:t xml:space="preserve">www.creditchina.gov.cn</w:t>
            </w:r>
            <w:r>
              <w:rPr>
                <w:rFonts w:ascii="SimSun" w:hAnsi="SimSun" w:eastAsia="SimSun" w:cs="SimSun"/>
                <w:color w:val="000000"/>
                <w:sz w:val="21"/>
              </w:rPr>
              <w:t xml:space="preserve">）列入失信被执行人、重大税收违法案件当事人名单、政府采购严重失信行为记录名单。</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落实政府采购政策需满足的资格要求：无</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本项目的特定资格要求：</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）本项目不接受联合体投标，中标后不允许分包、转包（不分包、转包的承诺）；</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）本项目不接受进口产品投标；</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单位负责人为同一人或者存在直接控股、管理关系的不同投标人，不得参加同一分包项下的政府采购活动。为采购项目提供整体设计、规范编制或者项目管理、监理、检测等服务的供应商，不得再参加该采购项目的其他采购活动。</w:t>
            </w:r>
            <w:r/>
          </w:p>
        </w:tc>
      </w:tr>
    </w:tbl>
    <w:p>
      <w:pPr>
        <w:numPr>
          <w:ilvl w:val="0"/>
          <w:numId w:val="16"/>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符合性审查。评标委员会依据招标文件的规定，从投标文件的有效性、完整性和对招标文件的响应程度进行审查，以确定是否对招标文件的实质性要求作出响应。</w:t>
      </w:r>
      <w:r/>
    </w:p>
    <w:tbl>
      <w:tblPr>
        <w:tblStyle w:val="8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5"/>
        <w:gridCol w:w="3344"/>
        <w:gridCol w:w="5365"/>
      </w:tblGrid>
      <w:tr>
        <w:trPr>
          <w:trHeight w:val="52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资格审查内容</w:t>
            </w:r>
            <w:r/>
          </w:p>
        </w:tc>
      </w:tr>
      <w:tr>
        <w:trPr>
          <w:trHeight w:val="18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符合性审查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投标文件有下列情况之一的，不通过符合性审查：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）未按照招标文件规定要求签署、盖章的。</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）投标文件中未提供加盖单位公章的《规范招投标及履约行为提醒单》。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）投标人在报价时采用选择性报价的。</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）投标人的报价超过了采购预算或最高限价的。</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）投标文件中承诺的投标有效期不满足招标文件中载明的投标有效期的；</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）不符合招标文件中规定的其他实质性要求和条件的（本招标文件中加★号条款为实质性要求）。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）投标文件含有采购人不能接受的附加条件的。</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）现行法律、法规、规章和招标文件规定的其他无效情形。</w:t>
            </w:r>
            <w:r/>
          </w:p>
        </w:tc>
      </w:tr>
    </w:tbl>
    <w:p>
      <w:pPr>
        <w:numPr>
          <w:ilvl w:val="0"/>
          <w:numId w:val="16"/>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资格性审查和符合性审查中凡有其中任意一项未通过的，评审结果为未通过，未通过资格性审查、符合性审查的投标人按无效投标处理。</w:t>
      </w:r>
      <w:r/>
    </w:p>
    <w:p>
      <w:pPr>
        <w:numPr>
          <w:ilvl w:val="0"/>
          <w:numId w:val="16"/>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评标委员会根据第二章投标人须知第24条的规定，启动异常低价投标审查。</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三、评标标准</w:t>
      </w:r>
      <w:r/>
    </w:p>
    <w:tbl>
      <w:tblPr>
        <w:tblStyle w:val="8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21"/>
        <w:gridCol w:w="1959"/>
        <w:gridCol w:w="5575"/>
      </w:tblGrid>
      <w:tr>
        <w:trPr>
          <w:trHeight w:val="7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center"/>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75" w:type="dxa"/>
            <w:vAlign w:val="center"/>
            <w:textDirection w:val="lrTb"/>
            <w:noWrap w:val="false"/>
          </w:tcPr>
          <w:p>
            <w:pPr>
              <w:ind w:left="0" w:right="0" w:firstLine="0"/>
              <w:jc w:val="center"/>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评分标准</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val="false"/>
          </w:tcPr>
          <w:p>
            <w:pPr>
              <w:ind w:left="0" w:right="0" w:firstLine="0"/>
              <w:jc w:val="center"/>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w:t>
            </w:r>
            <w:r/>
          </w:p>
          <w:p>
            <w:pPr>
              <w:ind w:left="0" w:right="0" w:firstLine="0"/>
              <w:jc w:val="center"/>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75" w:type="dxa"/>
            <w:vAlign w:val="center"/>
            <w:textDirection w:val="lrTb"/>
            <w:noWrap w:val="false"/>
          </w:tcPr>
          <w:p>
            <w:pPr>
              <w:numPr>
                <w:ilvl w:val="0"/>
                <w:numId w:val="17"/>
              </w:numPr>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评标价=投标人开标一览表中报价</w:t>
            </w:r>
            <w:r/>
          </w:p>
          <w:p>
            <w:pPr>
              <w:numPr>
                <w:ilvl w:val="0"/>
                <w:numId w:val="17"/>
              </w:numPr>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评标基准价：所有通过资格性审查、符合性审查及异常低价投标审查（如有）的评标价的最低报价为评标基准价。</w:t>
            </w:r>
            <w:r/>
          </w:p>
          <w:p>
            <w:pPr>
              <w:ind w:left="0" w:right="0" w:firstLine="0"/>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3）投标报价得分＝（评标基准价/评标价）×10。</w:t>
            </w:r>
            <w:r/>
          </w:p>
          <w:p>
            <w:pPr>
              <w:ind w:left="0" w:right="0" w:firstLine="0"/>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（注：保留小数点后两位，小数点后第三位“四舍五入”；对小型和微型企业产品的价格给予10%的扣除，用扣除后的价格参与评审。）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1" w:type="dxa"/>
            <w:vAlign w:val="center"/>
            <w:vMerge w:val="restart"/>
            <w:textDirection w:val="lrTb"/>
            <w:noWrap w:val="false"/>
          </w:tcPr>
          <w:p>
            <w:pPr>
              <w:ind w:left="0" w:right="0" w:firstLine="0"/>
              <w:jc w:val="center"/>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技术响应评分（55分）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9" w:type="dxa"/>
            <w:vAlign w:val="center"/>
            <w:textDirection w:val="lrTb"/>
            <w:noWrap w:val="false"/>
          </w:tcPr>
          <w:p>
            <w:pPr>
              <w:ind w:left="0" w:right="0" w:firstLine="0"/>
              <w:jc w:val="center"/>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重难点分析及对策措施</w:t>
            </w:r>
            <w:r/>
          </w:p>
          <w:p>
            <w:pPr>
              <w:ind w:left="0" w:right="0" w:firstLine="0"/>
              <w:jc w:val="center"/>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75"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对项目重难点分析和对策措施优秀的，得20分；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对项目重难点分析和对策措施合理可行的，得18分；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对项目重难点分析和对策措施较合理可行的，得15分；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对项目重难点分析和对策措施基本合理可行的，得12分；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不提供相关方案不得分。</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9" w:type="dxa"/>
            <w:vAlign w:val="center"/>
            <w:textDirection w:val="lrTb"/>
            <w:noWrap w:val="false"/>
          </w:tcPr>
          <w:p>
            <w:pPr>
              <w:ind w:left="0" w:right="0" w:firstLine="0"/>
              <w:jc w:val="center"/>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工作程序与方法（20分）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75"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根据检测工作的程序、内容、方法、检测频率、检测手段、关键环节等方面进行评分。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准确性、合理性、可行性、针对性和可靠性优秀的，得20分；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准确性、合理性、可行性、针对性和可靠性好的，得18分；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准确性、合理性、可行性、针对性和可靠性较好的，得15分；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准确性、合理性、可行性、针对性和可靠性一般，满足要求的，得12分；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不提供相关方案不得分。</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9" w:type="dxa"/>
            <w:vAlign w:val="center"/>
            <w:textDirection w:val="lrTb"/>
            <w:noWrap w:val="false"/>
          </w:tcPr>
          <w:p>
            <w:pPr>
              <w:ind w:left="0" w:right="0" w:firstLine="0"/>
              <w:jc w:val="center"/>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目标及保证措施（15分）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75"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根据检测工作服务目标，质量与服务保证措施，安全生产管理措施，进度计划保障措施等方面进行评分。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措施科学合理、手段很丰富、内容很完善、保证措施优秀，得15分；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措施科学合理、手段丰富、内容完善，得13分；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措施较科学较合理、手段较丰富、内容较完善，得11分；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措施基本合理、手段基本满足要求、内容基本完善，得9分；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不提供相关方案不得分。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1" w:type="dxa"/>
            <w:vAlign w:val="center"/>
            <w:vMerge w:val="restart"/>
            <w:textDirection w:val="lrTb"/>
            <w:noWrap w:val="false"/>
          </w:tcPr>
          <w:p>
            <w:pPr>
              <w:ind w:left="0" w:right="0" w:firstLine="0"/>
              <w:jc w:val="center"/>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商务响应评分（35分）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9" w:type="dxa"/>
            <w:vAlign w:val="center"/>
            <w:textDirection w:val="lrTb"/>
            <w:noWrap w:val="false"/>
          </w:tcPr>
          <w:p>
            <w:pPr>
              <w:ind w:left="0" w:right="0" w:firstLine="0"/>
              <w:jc w:val="center"/>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项目负责人（9分）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75"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拟投入的项目负责人2021年1月1日至今以来（以签订合同时间为准）具有高速公路中间过程质量检测项目或交（竣）工核验（鉴定）检测的项目负责人或项目技术负责人业绩的，提供一个得3分，本项最多得9分。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同一项目项目负责人和企业业绩不重复计分。提供项目合同复印件（如合同不能体现相关内容的须补充提供业主证明文件或中标通知书等），及其在职证明材料（投标人为其缴纳的近3个月内任意1个月的社保证明，投标人成立不足1个月的提供劳动合同和书面承诺，退休返聘人员提供退休证及返聘合同），并加盖供应商单位公章，资料提供不全或无法证明的不得分。</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9" w:type="dxa"/>
            <w:vAlign w:val="center"/>
            <w:textDirection w:val="lrTb"/>
            <w:noWrap w:val="false"/>
          </w:tcPr>
          <w:p>
            <w:pPr>
              <w:ind w:left="0" w:right="0" w:firstLine="0"/>
              <w:jc w:val="center"/>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项目组成员（14分）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75"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拟投入本项目各分包现场检测人员（不含项目负责人）：</w:t>
            </w:r>
            <w:r/>
          </w:p>
          <w:p>
            <w:pPr>
              <w:numPr>
                <w:ilvl w:val="0"/>
                <w:numId w:val="18"/>
              </w:numP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在本项目各分包要求的3名现场检测人员基础上，每增加1名现场检测人员且具有公路水运工程试验检测师资格证书的得2分，本项最多得8分。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（2）现场检测人员具有1个研究员高级工程师技术职称证书的得2分，具有1个高级工程师技术职称证书的得1.5分，具有1个工程师技术职称证书的得1分，本项最多得6分。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提供人员的职业资格证书、职称证书复印件，及其在职证明材料（投标人为其缴纳的近3个月内任意1个月的社保证明，投标人成立不足1个月的提供劳动合同和书面承诺，退休返聘人员提供退休证及返聘合同），并加盖供应商单位公章，资料提供不全或无法证明的不得分。</w:t>
            </w:r>
            <w:r/>
          </w:p>
        </w:tc>
      </w:tr>
      <w:tr>
        <w:trPr>
          <w:trHeight w:val="63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9" w:type="dxa"/>
            <w:vAlign w:val="center"/>
            <w:textDirection w:val="lrTb"/>
            <w:noWrap w:val="false"/>
          </w:tcPr>
          <w:p>
            <w:pPr>
              <w:ind w:left="0" w:right="0" w:firstLine="0"/>
              <w:jc w:val="center"/>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业绩（12分）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75"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投标人2021年1月1日以来（以签订合同时间为准）具有高速公路中间过程质量检测项目或交（竣）工核验（鉴定）检测项目业绩的，提供一个得3分，本项最多得12分。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注：提供项目合同复印件（如合同不能体现相关内容的须补充提供业主证明文件或中标通知书等），并加盖投标人单位公章，资料提供不全或无法证明的不得分。</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说明：（1）对于专门面向中小企业或小型、微型企业的项目，只面向中小企业或小型、微型企业采购。对于非专门面向中小企业的项目，对小型和微型企业产品的价格给予10%的扣除，用扣除后的价格参与评审。</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以联合体形式参加政府采购活动，联合体各方均为中小企业的，联合体视同中小企业。其中，联合体各方均为小微企业的，联合体视同小微企业。</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（2）参加政府采购活动的中小企业应当提供《中小企业声明函》、由省级以上监狱管理局戒毒管理局(含新疆生产建设兵团)出具的属于监狱企业的证明文件或《残疾人福利性单位声明函》。</w:t>
      </w:r>
      <w:r/>
    </w:p>
    <w:p>
      <w:pPr>
        <w:ind w:left="0" w:right="0" w:firstLine="0"/>
        <w:spacing w:before="0" w:after="0"/>
        <w:rPr>
          <w:rFonts w:ascii="Arial" w:hAnsi="Arial" w:eastAsia="Arial" w:cs="Arial"/>
          <w:color w:val="000000"/>
          <w:sz w:val="21"/>
          <w:szCs w:val="2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shd w:val="nil"/>
        <w:rPr>
          <w:rFonts w:ascii="Times New Roman" w:hAnsi="Times New Roman" w:eastAsia="Times New Roman" w:cs="Times New Roman"/>
          <w:sz w:val="21"/>
          <w:szCs w:val="21"/>
        </w:rPr>
      </w:pPr>
      <w:r>
        <w:rPr>
          <w:rFonts w:ascii="Times New Roman" w:hAnsi="Times New Roman" w:eastAsia="Times New Roman" w:cs="Times New Roman"/>
          <w:sz w:val="21"/>
          <w:szCs w:val="21"/>
        </w:rPr>
        <w:br w:type="page" w:clear="all"/>
      </w:r>
      <w:r>
        <w:rPr>
          <w:rFonts w:ascii="Times New Roman" w:hAnsi="Times New Roman" w:eastAsia="Times New Roman" w:cs="Times New Roman"/>
          <w:sz w:val="21"/>
          <w:szCs w:val="21"/>
        </w:rPr>
      </w:r>
    </w:p>
    <w:p>
      <w:pPr>
        <w:ind w:left="0" w:right="0" w:firstLine="0"/>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1"/>
          <w:highlight w:val="none"/>
        </w:rPr>
      </w:r>
      <w:r>
        <w:rPr>
          <w:rFonts w:ascii="Arial" w:hAnsi="Arial" w:eastAsia="Arial" w:cs="Arial"/>
          <w:color w:val="000000"/>
          <w:sz w:val="21"/>
          <w:highlight w:val="none"/>
        </w:rPr>
      </w:r>
    </w:p>
    <w:p>
      <w:pPr>
        <w:pStyle w:val="836"/>
        <w:numPr>
          <w:ilvl w:val="0"/>
          <w:numId w:val="13"/>
        </w:numPr>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投标文件格式</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single"/>
        </w:rPr>
        <w:t xml:space="preserve">        </w:t>
      </w:r>
      <w:r>
        <w:rPr>
          <w:rFonts w:ascii="SimHei" w:hAnsi="SimHei" w:eastAsia="SimHei" w:cs="SimHei"/>
          <w:color w:val="000000"/>
          <w:sz w:val="28"/>
        </w:rPr>
        <w:t xml:space="preserve">（项目名称）</w:t>
      </w:r>
      <w:r>
        <w:rPr>
          <w:rFonts w:ascii="SimHei" w:hAnsi="SimHei" w:eastAsia="SimHei" w:cs="SimHei"/>
          <w:color w:val="000000"/>
          <w:sz w:val="28"/>
          <w:u w:val="single"/>
        </w:rPr>
        <w:t xml:space="preserve">      </w:t>
      </w:r>
      <w:r>
        <w:rPr>
          <w:rFonts w:ascii="SimHei" w:hAnsi="SimHei" w:eastAsia="SimHei" w:cs="SimHei"/>
          <w:color w:val="000000"/>
          <w:sz w:val="28"/>
        </w:rPr>
        <w:t xml:space="preserve">（分包）</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投标文件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投标人：</w:t>
      </w:r>
      <w:r>
        <w:rPr>
          <w:rFonts w:ascii="SimHei" w:hAnsi="SimHei" w:eastAsia="SimHei" w:cs="SimHei"/>
          <w:color w:val="000000"/>
          <w:sz w:val="28"/>
          <w:u w:val="single"/>
        </w:rPr>
        <w:t xml:space="preserve">      </w:t>
      </w:r>
      <w:r>
        <w:rPr>
          <w:rFonts w:ascii="SimHei" w:hAnsi="SimHei" w:eastAsia="SimHei" w:cs="SimHei"/>
          <w:color w:val="000000"/>
          <w:sz w:val="28"/>
        </w:rPr>
        <w:t xml:space="preserve">（盖单位章）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法定代表人或其委托代理人：</w:t>
      </w:r>
      <w:r>
        <w:rPr>
          <w:rFonts w:ascii="SimHei" w:hAnsi="SimHei" w:eastAsia="SimHei" w:cs="SimHei"/>
          <w:color w:val="000000"/>
          <w:sz w:val="28"/>
          <w:u w:val="single"/>
        </w:rPr>
        <w:t xml:space="preserve">      </w:t>
      </w:r>
      <w:r>
        <w:rPr>
          <w:rFonts w:ascii="SimHei" w:hAnsi="SimHei" w:eastAsia="SimHei" w:cs="SimHei"/>
          <w:color w:val="000000"/>
          <w:sz w:val="28"/>
        </w:rPr>
        <w:t xml:space="preserve">（签字）</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年</w:t>
      </w:r>
      <w:r>
        <w:rPr>
          <w:rFonts w:ascii="Arial" w:hAnsi="Arial" w:eastAsia="Arial" w:cs="Arial"/>
          <w:color w:val="000000"/>
          <w:sz w:val="28"/>
        </w:rPr>
        <w:t xml:space="preserve"> </w:t>
      </w:r>
      <w:r>
        <w:rPr>
          <w:rFonts w:ascii="SimHei" w:hAnsi="SimHei" w:eastAsia="SimHei" w:cs="SimHei"/>
          <w:color w:val="000000"/>
          <w:sz w:val="28"/>
        </w:rPr>
        <w:t xml:space="preserve">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目 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一、经济文件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（一）开标一览表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（二）工程量清单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二、技术文件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（一）技术需求偏离表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（二）检测工作大纲</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三、商务文件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（一）投标函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（二）法定代表人身份证明或法人授权委托书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（三）商务条款偏离表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（四）项目管理及技术人员一览表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（五）投标人和项目负责人业绩</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四、政府采购政策</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五、资格证明文件</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六、规范招投标及履约行为提醒单</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七、其他与项目有关的资料</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一、经济文件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（一）开标一览表（总价）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公章</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供应商名称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项目名称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项目编号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分包号</w:t>
      </w:r>
      <w:r/>
    </w:p>
    <w:tbl>
      <w:tblPr>
        <w:tblStyle w:val="8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36"/>
      </w:tblGrid>
      <w:tr>
        <w:trPr>
          <w:trHeight w:val="6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3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投标总价</w:t>
            </w:r>
            <w:r/>
          </w:p>
        </w:tc>
      </w:tr>
      <w:tr>
        <w:trPr>
          <w:trHeight w:val="11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6"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小写：</w:t>
            </w:r>
            <w:r>
              <w:rPr>
                <w:rFonts w:ascii="SimSun" w:hAnsi="SimSun" w:eastAsia="SimSun" w:cs="SimSun"/>
                <w:color w:val="000000"/>
                <w:sz w:val="21"/>
                <w:u w:val="single"/>
              </w:rPr>
              <w:t xml:space="preserve">           </w:t>
            </w:r>
            <w:r>
              <w:rPr>
                <w:rFonts w:ascii="SimSun" w:hAnsi="SimSun" w:eastAsia="SimSun" w:cs="SimSun"/>
                <w:color w:val="000000"/>
                <w:sz w:val="21"/>
              </w:rPr>
              <w:t xml:space="preserve"> （人民币：元）</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187"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（二）工程量清单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本项目工程量清单为固化格式，详见电子版。投标人不得擅自修改固化清单中项目名称、计量单位、工程数量或运算定义等，否则按无效投标处理。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如投标报价低于采购项目最高限价</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预算</w:t>
      </w:r>
      <w:r>
        <w:rPr>
          <w:rFonts w:ascii="Times New Roman" w:hAnsi="Times New Roman" w:eastAsia="Times New Roman" w:cs="Times New Roman"/>
          <w:b/>
          <w:color w:val="000000"/>
          <w:sz w:val="24"/>
        </w:rPr>
        <w:t xml:space="preserve">)45%</w:t>
      </w:r>
      <w:r>
        <w:rPr>
          <w:rFonts w:ascii="SimSun" w:hAnsi="SimSun" w:eastAsia="SimSun" w:cs="SimSun"/>
          <w:b/>
          <w:color w:val="000000"/>
          <w:sz w:val="24"/>
        </w:rPr>
        <w:t xml:space="preserve">的，应在投标文件工程量清单后提供报价合理性相关书面说明及必要的证明材料。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二、技术文件</w:t>
      </w:r>
      <w:r/>
    </w:p>
    <w:p>
      <w:pPr>
        <w:ind w:left="0" w:right="187"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（一）技术需求偏离表</w:t>
      </w:r>
      <w:r/>
    </w:p>
    <w:p>
      <w:pPr>
        <w:ind w:left="0" w:right="187"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p>
    <w:tbl>
      <w:tblPr>
        <w:tblStyle w:val="8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26"/>
        <w:gridCol w:w="2406"/>
        <w:gridCol w:w="2335"/>
        <w:gridCol w:w="1966"/>
      </w:tblGrid>
      <w:tr>
        <w:trPr>
          <w:trHeight w:val="655"/>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122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40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招标文件技术规格及要求</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33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投标文件技术指标情况</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196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具体说明</w:t>
            </w:r>
            <w:r/>
          </w:p>
        </w:tc>
      </w:tr>
      <w:tr>
        <w:trPr>
          <w:trHeight w:val="611"/>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22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5"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966"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16"/>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22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5"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966"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16"/>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22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5"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966"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16"/>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22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5"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966"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16"/>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22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5"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966"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16"/>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22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5"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966"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16"/>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22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5"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966"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16"/>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22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5"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966"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16"/>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122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40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335"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1966"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187"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187"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rPr>
          <w:rFonts w:ascii="SimSun" w:hAnsi="SimSun" w:eastAsia="SimSun" w:cs="SimSun"/>
          <w:color w:val="000000"/>
          <w:sz w:val="24"/>
          <w:u w:val="single"/>
        </w:rPr>
        <w:t xml:space="preserve">                </w:t>
      </w:r>
      <w:r>
        <w:rPr>
          <w:rFonts w:ascii="SimSun" w:hAnsi="SimSun" w:eastAsia="SimSun" w:cs="SimSun"/>
          <w:color w:val="000000"/>
          <w:sz w:val="24"/>
        </w:rPr>
        <w:t xml:space="preserve">（盖章）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法定代表人或授权代表：</w:t>
      </w:r>
      <w:r>
        <w:rPr>
          <w:rFonts w:ascii="SimSun" w:hAnsi="SimSun" w:eastAsia="SimSun" w:cs="SimSun"/>
          <w:color w:val="000000"/>
          <w:sz w:val="24"/>
          <w:u w:val="single"/>
        </w:rPr>
        <w:t xml:space="preserve">    </w:t>
      </w:r>
      <w:r>
        <w:rPr>
          <w:rFonts w:ascii="SimSun" w:hAnsi="SimSun" w:eastAsia="SimSun" w:cs="SimSun"/>
          <w:color w:val="000000"/>
          <w:sz w:val="24"/>
        </w:rPr>
        <w:t xml:space="preserve">（签字）</w:t>
      </w:r>
      <w:r/>
    </w:p>
    <w:p>
      <w:pPr>
        <w:ind w:left="0" w:right="187"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187"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对于某项指标的数据存在证明文件内容不一致的情况，取指标较低的为准，对于可以用量化形式表示的条款，供应商必须明确回答，或以功能描述回答。</w:t>
      </w:r>
      <w:r/>
    </w:p>
    <w:p>
      <w:pPr>
        <w:ind w:left="0" w:right="187" w:firstLine="435"/>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作为投标文件重要的组成部分，不能通过简单拷贝招标文件技术要求或简单标注“符合”、“满足”。</w:t>
      </w:r>
      <w:r/>
    </w:p>
    <w:p>
      <w:pPr>
        <w:ind w:left="0" w:right="187" w:firstLine="435"/>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投标文件采购需求部分内容响应存在正偏离或负偏离的，请在本表中逐条列出。未列出的，视为响应招标文件要求。如果行数不够，请自行增加。</w:t>
      </w:r>
      <w:r/>
    </w:p>
    <w:p>
      <w:pPr>
        <w:ind w:left="0" w:right="187" w:firstLine="0"/>
        <w:jc w:val="center"/>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187"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（二）检测工作大纲</w:t>
      </w:r>
      <w:r/>
    </w:p>
    <w:p>
      <w:pPr>
        <w:ind w:left="0" w:right="187"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424"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具体但不限于以下内容：</w:t>
      </w:r>
      <w:r/>
    </w:p>
    <w:p>
      <w:pPr>
        <w:ind w:left="424"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一）、项目概述；</w:t>
      </w:r>
      <w:r/>
    </w:p>
    <w:p>
      <w:pPr>
        <w:ind w:left="424"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二）、对招标项目的理解；</w:t>
      </w:r>
      <w:r/>
    </w:p>
    <w:p>
      <w:pPr>
        <w:ind w:left="424"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三）、检测工作的程序与方法；（包括但不限于以下内容）</w:t>
      </w:r>
      <w:r/>
    </w:p>
    <w:p>
      <w:pPr>
        <w:ind w:left="424"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1、检测工作的依据，执行的有关技术标准和要求；</w:t>
      </w:r>
      <w:r/>
    </w:p>
    <w:p>
      <w:pPr>
        <w:ind w:left="424"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2、检测工作的程序；</w:t>
      </w:r>
      <w:r/>
    </w:p>
    <w:p>
      <w:pPr>
        <w:ind w:left="424"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3、检测的内容、方法、检测频率等；</w:t>
      </w:r>
      <w:r/>
    </w:p>
    <w:p>
      <w:pPr>
        <w:ind w:left="424"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4、检测手段、检测资料及分析报告的形成；</w:t>
      </w:r>
      <w:r/>
    </w:p>
    <w:p>
      <w:pPr>
        <w:ind w:left="424"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5、最终报告格式及内容；</w:t>
      </w:r>
      <w:r/>
    </w:p>
    <w:p>
      <w:pPr>
        <w:ind w:left="424"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四）、拟投入检测的主要设备（包括设备性能的评价）、人员计划（人员资质、数量及投入时间）；</w:t>
      </w:r>
      <w:r/>
    </w:p>
    <w:p>
      <w:pPr>
        <w:ind w:left="424"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五）、检测工作服务的目标及保证措施</w:t>
      </w:r>
      <w:r/>
    </w:p>
    <w:p>
      <w:pPr>
        <w:ind w:left="424"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1、检测工作服务的目标；</w:t>
      </w:r>
      <w:r/>
    </w:p>
    <w:p>
      <w:pPr>
        <w:ind w:left="424"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2、保证检测精度的技术措施；</w:t>
      </w:r>
      <w:r/>
    </w:p>
    <w:p>
      <w:pPr>
        <w:ind w:left="424"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3、检测进度计划及保证检测进度的措施；</w:t>
      </w:r>
      <w:r/>
    </w:p>
    <w:p>
      <w:pPr>
        <w:ind w:left="424"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4、检测工作质量与服务保证措施、安全生产管理措施；</w:t>
      </w:r>
      <w:r/>
    </w:p>
    <w:p>
      <w:pPr>
        <w:ind w:left="424"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5、配合、协调工作的要求等其它事项；</w:t>
      </w:r>
      <w:r/>
    </w:p>
    <w:p>
      <w:pPr>
        <w:ind w:left="424"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六）、本项目的重点和难点分析及对策措施</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三、商务文件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（一）投标函</w:t>
      </w:r>
      <w:r/>
    </w:p>
    <w:p>
      <w:pPr>
        <w:ind w:left="0" w:right="0" w:firstLine="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187" w:firstLine="0"/>
        <w:spacing w:before="24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w:t>
      </w:r>
      <w:r>
        <w:rPr>
          <w:rFonts w:ascii="SimSun" w:hAnsi="SimSun" w:eastAsia="SimSun" w:cs="SimSun"/>
          <w:color w:val="000000"/>
          <w:sz w:val="24"/>
          <w:u w:val="single"/>
        </w:rPr>
        <w:t xml:space="preserve">              </w:t>
      </w:r>
      <w:r/>
    </w:p>
    <w:p>
      <w:pPr>
        <w:ind w:left="0" w:right="187"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你们</w:t>
      </w:r>
      <w:r>
        <w:rPr>
          <w:rFonts w:ascii="SimSun" w:hAnsi="SimSun" w:eastAsia="SimSun" w:cs="SimSun"/>
          <w:color w:val="000000"/>
          <w:sz w:val="24"/>
          <w:u w:val="single"/>
        </w:rPr>
        <w:t xml:space="preserve">                </w:t>
      </w:r>
      <w:r>
        <w:rPr>
          <w:rFonts w:ascii="SimSun" w:hAnsi="SimSun" w:eastAsia="SimSun" w:cs="SimSun"/>
          <w:color w:val="000000"/>
          <w:sz w:val="24"/>
        </w:rPr>
        <w:t xml:space="preserve">（项目名称）的招标文件（包括更正通知，如果有的话）收悉，我们经详细审阅和研究，现决定参加投标。</w:t>
      </w:r>
      <w:r/>
    </w:p>
    <w:p>
      <w:pPr>
        <w:ind w:left="0" w:right="187" w:firstLine="555"/>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1．我们郑重承诺：我们是符合《中华人民共和国政府采购法》第二十二条规定的投标人，并严格遵守《中华人民共和国政府采购法》的规定。</w:t>
      </w:r>
      <w:r/>
    </w:p>
    <w:p>
      <w:pPr>
        <w:ind w:left="0" w:right="187" w:firstLine="555"/>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2．我们接受招标文件的所有的条款和规定。</w:t>
      </w:r>
      <w:r/>
    </w:p>
    <w:p>
      <w:pPr>
        <w:ind w:left="0" w:right="187" w:firstLine="555"/>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同意按照招标文件第二章“投标人须知”的规定，本投标文件的有效期为从投标截止日期起计算的九十天，在此期间，本投标文件将始终对我们具有约束力，并可随时被接受。如果我们中标，本投标文件在此期间之后将继续保持有效。</w:t>
      </w:r>
      <w:r/>
    </w:p>
    <w:p>
      <w:pPr>
        <w:ind w:left="0" w:right="187" w:firstLine="555"/>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4．我们同意提供采购人要求的有关本次招标的所有资料。</w:t>
      </w:r>
      <w:r/>
    </w:p>
    <w:p>
      <w:pPr>
        <w:ind w:left="0" w:right="187" w:firstLine="555"/>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5．我们理解，你们无义务必须接受投标价最低的投标，并有权拒绝所有的投标。同时也理解你们不承担我们本次投标的费用。</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6．我方已详细审查全部招标文件，包括有关澄清和补充说明（如果有的话）。我们完全理解并同意放弃对这方面有不明及误解的权力。 </w:t>
      </w:r>
      <w:r/>
    </w:p>
    <w:p>
      <w:pPr>
        <w:ind w:left="0" w:right="187" w:firstLine="555"/>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7．我方将严格履行本投标文件中的全部承诺和责任，并遵守招标文件中对投标人的所有规定。</w:t>
      </w:r>
      <w:r/>
    </w:p>
    <w:p>
      <w:pPr>
        <w:ind w:left="0" w:right="187" w:firstLine="555"/>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8．如果我方中标，我们将按招标文件的规定履行合同责任和义务。</w:t>
      </w:r>
      <w:r/>
    </w:p>
    <w:p>
      <w:pPr>
        <w:ind w:left="0" w:right="187" w:firstLine="555"/>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9．如果我们中标，我们将按招标文件的规定支付中标的有关服务费。</w:t>
      </w:r>
      <w:r/>
    </w:p>
    <w:p>
      <w:pPr>
        <w:ind w:left="0" w:right="187" w:firstLine="525"/>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10.与本次投标有关的一切往来信函请寄：</w:t>
      </w:r>
      <w:r/>
    </w:p>
    <w:p>
      <w:pPr>
        <w:ind w:left="0" w:right="0" w:firstLine="60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   邮编：</w:t>
      </w:r>
      <w:r>
        <w:rPr>
          <w:rFonts w:ascii="SimSun" w:hAnsi="SimSun" w:eastAsia="SimSun" w:cs="SimSun"/>
          <w:color w:val="000000"/>
          <w:sz w:val="24"/>
          <w:u w:val="single"/>
        </w:rPr>
        <w:t xml:space="preserve">           </w:t>
      </w:r>
      <w:r/>
    </w:p>
    <w:p>
      <w:pPr>
        <w:ind w:left="0" w:right="0" w:firstLine="60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   电话：</w:t>
      </w:r>
      <w:r/>
    </w:p>
    <w:p>
      <w:pPr>
        <w:ind w:left="0" w:right="42" w:firstLine="600"/>
        <w:spacing w:before="240" w:after="240" w:line="400" w:lineRule="atLeast"/>
        <w:tabs>
          <w:tab w:val="left" w:pos="5665" w:leader="none"/>
          <w:tab w:val="left" w:pos="8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rPr>
          <w:rFonts w:ascii="SimSun" w:hAnsi="SimSun" w:eastAsia="SimSun" w:cs="SimSun"/>
          <w:color w:val="000000"/>
          <w:sz w:val="24"/>
          <w:u w:val="single"/>
        </w:rPr>
        <w:t xml:space="preserve">                </w:t>
      </w:r>
      <w:r>
        <w:rPr>
          <w:rFonts w:ascii="SimSun" w:hAnsi="SimSun" w:eastAsia="SimSun" w:cs="SimSun"/>
          <w:color w:val="000000"/>
          <w:sz w:val="24"/>
        </w:rPr>
        <w:t xml:space="preserve">（盖章）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法定代表人或授权代表：</w:t>
      </w:r>
      <w:r>
        <w:rPr>
          <w:rFonts w:ascii="SimSun" w:hAnsi="SimSun" w:eastAsia="SimSun" w:cs="SimSun"/>
          <w:color w:val="000000"/>
          <w:sz w:val="24"/>
          <w:u w:val="single"/>
        </w:rPr>
        <w:t xml:space="preserve">    </w:t>
      </w:r>
      <w:r>
        <w:rPr>
          <w:rFonts w:ascii="SimSun" w:hAnsi="SimSun" w:eastAsia="SimSun" w:cs="SimSun"/>
          <w:color w:val="000000"/>
          <w:sz w:val="24"/>
        </w:rPr>
        <w:t xml:space="preserve">（签字）</w:t>
      </w:r>
      <w:r/>
    </w:p>
    <w:p>
      <w:pPr>
        <w:ind w:left="0" w:right="187"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r>
        <w:rPr>
          <w:rFonts w:ascii="SimSun" w:hAnsi="SimSun" w:eastAsia="SimSun" w:cs="SimSun"/>
          <w:b/>
          <w:color w:val="000000"/>
          <w:sz w:val="24"/>
        </w:rPr>
        <w:t xml:space="preserve">（二）法定代表人身份证明</w:t>
      </w:r>
      <w:r/>
      <w:r>
        <w:rPr>
          <w:rFonts w:ascii="Times New Roman" w:hAnsi="Times New Roman" w:eastAsia="Times New Roman" w:cs="Times New Roman"/>
          <w:sz w:val="21"/>
        </w:rPr>
      </w:r>
    </w:p>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rPr>
          <w:rFonts w:ascii="SimSun" w:hAnsi="SimSun" w:eastAsia="SimSun" w:cs="SimSun"/>
          <w:color w:val="000000"/>
          <w:sz w:val="24"/>
          <w:u w:val="single"/>
        </w:rPr>
        <w:t xml:space="preserve">                             </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注册地址：</w:t>
      </w:r>
      <w:r>
        <w:rPr>
          <w:rFonts w:ascii="SimSun" w:hAnsi="SimSun" w:eastAsia="SimSun" w:cs="SimSun"/>
          <w:color w:val="000000"/>
          <w:sz w:val="24"/>
          <w:u w:val="single"/>
        </w:rPr>
        <w:t xml:space="preserve">                               </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成立时间：</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rPr>
          <w:rFonts w:ascii="SimSun" w:hAnsi="SimSun" w:eastAsia="SimSun" w:cs="SimSun"/>
          <w:color w:val="000000"/>
          <w:sz w:val="24"/>
        </w:rPr>
        <w:t xml:space="preserve">性别：</w:t>
      </w:r>
      <w:r>
        <w:rPr>
          <w:rFonts w:ascii="SimSun" w:hAnsi="SimSun" w:eastAsia="SimSun" w:cs="SimSun"/>
          <w:color w:val="000000"/>
          <w:sz w:val="24"/>
          <w:u w:val="single"/>
        </w:rPr>
        <w:t xml:space="preserve">          </w:t>
      </w:r>
      <w:r>
        <w:rPr>
          <w:rFonts w:ascii="SimSun" w:hAnsi="SimSun" w:eastAsia="SimSun" w:cs="SimSun"/>
          <w:color w:val="000000"/>
          <w:sz w:val="24"/>
        </w:rPr>
        <w:t xml:space="preserve">年龄：</w:t>
      </w:r>
      <w:r>
        <w:rPr>
          <w:rFonts w:ascii="SimSun" w:hAnsi="SimSun" w:eastAsia="SimSun" w:cs="SimSun"/>
          <w:color w:val="000000"/>
          <w:sz w:val="24"/>
          <w:u w:val="single"/>
        </w:rPr>
        <w:t xml:space="preserve">        </w:t>
      </w:r>
      <w:r>
        <w:rPr>
          <w:rFonts w:ascii="SimSun" w:hAnsi="SimSun" w:eastAsia="SimSun" w:cs="SimSun"/>
          <w:color w:val="000000"/>
          <w:sz w:val="24"/>
        </w:rPr>
        <w:t xml:space="preserve">职务：</w:t>
      </w:r>
      <w:r>
        <w:rPr>
          <w:rFonts w:ascii="SimSun" w:hAnsi="SimSun" w:eastAsia="SimSun" w:cs="SimSun"/>
          <w:color w:val="000000"/>
          <w:sz w:val="24"/>
          <w:u w:val="single"/>
        </w:rPr>
        <w:t xml:space="preserve">        </w:t>
      </w:r>
      <w:r>
        <w:rPr>
          <w:rFonts w:ascii="SimSun" w:hAnsi="SimSun" w:eastAsia="SimSun" w:cs="SimSun"/>
          <w:color w:val="000000"/>
          <w:sz w:val="24"/>
        </w:rPr>
        <w:t xml:space="preserve">系</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（投标人名称）的法定代表人。</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（法定代表人直接参与的提供，未直接参与的可不提供。另需附法定代表人身份证复印件。）</w:t>
      </w:r>
      <w:r/>
    </w:p>
    <w:p>
      <w:pPr>
        <w:ind w:left="0" w:right="0" w:firstLine="629"/>
        <w:spacing w:before="240" w:after="24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7" w:firstLine="52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rPr>
          <w:rFonts w:ascii="SimSun" w:hAnsi="SimSun" w:eastAsia="SimSun" w:cs="SimSun"/>
          <w:color w:val="000000"/>
          <w:sz w:val="24"/>
          <w:u w:val="single"/>
        </w:rPr>
        <w:t xml:space="preserve">    </w:t>
      </w:r>
      <w:r>
        <w:rPr>
          <w:rFonts w:ascii="SimSun" w:hAnsi="SimSun" w:eastAsia="SimSun" w:cs="SimSun"/>
          <w:color w:val="000000"/>
          <w:sz w:val="24"/>
        </w:rPr>
        <w:t xml:space="preserve">（盖章）</w:t>
      </w:r>
      <w:r/>
    </w:p>
    <w:p>
      <w:pPr>
        <w:ind w:left="0" w:right="187" w:firstLine="52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w:t>
      </w:r>
      <w:r>
        <w:rPr>
          <w:rFonts w:ascii="SimSun" w:hAnsi="SimSun" w:eastAsia="SimSun" w:cs="SimSun"/>
          <w:color w:val="000000"/>
          <w:sz w:val="24"/>
          <w:u w:val="single"/>
        </w:rPr>
        <w:t xml:space="preserve">      </w:t>
      </w:r>
      <w:r/>
    </w:p>
    <w:p>
      <w:pPr>
        <w:ind w:left="0" w:right="0" w:firstLine="0"/>
        <w:jc w:val="right"/>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法人授权委托书</w:t>
      </w:r>
      <w:r/>
    </w:p>
    <w:p>
      <w:pPr>
        <w:ind w:left="0" w:right="187"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87"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致（采购人）：</w:t>
      </w:r>
      <w:r>
        <w:rPr>
          <w:rFonts w:ascii="SimSun" w:hAnsi="SimSun" w:eastAsia="SimSun" w:cs="SimSun"/>
          <w:color w:val="000000"/>
          <w:sz w:val="24"/>
          <w:u w:val="single"/>
        </w:rPr>
        <w:t xml:space="preserve">                </w:t>
      </w:r>
      <w:r/>
    </w:p>
    <w:p>
      <w:pPr>
        <w:ind w:left="0" w:right="187"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本授权书宣告：</w:t>
      </w:r>
      <w:r/>
    </w:p>
    <w:p>
      <w:pPr>
        <w:ind w:left="0" w:right="187"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w:t>
      </w:r>
      <w:r>
        <w:rPr>
          <w:rFonts w:ascii="SimSun" w:hAnsi="SimSun" w:eastAsia="SimSun" w:cs="SimSun"/>
          <w:color w:val="000000"/>
          <w:sz w:val="24"/>
          <w:u w:val="single"/>
        </w:rPr>
        <w:t xml:space="preserve">       </w:t>
      </w: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法定代表人：</w:t>
      </w:r>
      <w:r>
        <w:rPr>
          <w:rFonts w:ascii="SimSun" w:hAnsi="SimSun" w:eastAsia="SimSun" w:cs="SimSun"/>
          <w:color w:val="000000"/>
          <w:sz w:val="24"/>
          <w:u w:val="single"/>
        </w:rPr>
        <w:t xml:space="preserve">      </w:t>
      </w:r>
      <w:r/>
    </w:p>
    <w:p>
      <w:pPr>
        <w:ind w:left="0" w:right="187"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受托人：</w:t>
      </w:r>
      <w:r>
        <w:rPr>
          <w:rFonts w:ascii="SimSun" w:hAnsi="SimSun" w:eastAsia="SimSun" w:cs="SimSun"/>
          <w:color w:val="000000"/>
          <w:sz w:val="24"/>
          <w:u w:val="single"/>
        </w:rPr>
        <w:t xml:space="preserve">             </w:t>
      </w:r>
      <w:r>
        <w:rPr>
          <w:rFonts w:ascii="SimSun" w:hAnsi="SimSun" w:eastAsia="SimSun" w:cs="SimSun"/>
          <w:color w:val="000000"/>
          <w:sz w:val="24"/>
        </w:rPr>
        <w:t xml:space="preserve"> 姓名</w:t>
      </w:r>
      <w:r>
        <w:rPr>
          <w:rFonts w:ascii="SimSun" w:hAnsi="SimSun" w:eastAsia="SimSun" w:cs="SimSun"/>
          <w:color w:val="000000"/>
          <w:sz w:val="24"/>
          <w:u w:val="single"/>
        </w:rPr>
        <w:t xml:space="preserve">     </w:t>
      </w:r>
      <w:r>
        <w:rPr>
          <w:rFonts w:ascii="SimSun" w:hAnsi="SimSun" w:eastAsia="SimSun" w:cs="SimSun"/>
          <w:color w:val="000000"/>
          <w:sz w:val="24"/>
        </w:rPr>
        <w:t xml:space="preserve">性别：</w:t>
      </w:r>
      <w:r>
        <w:rPr>
          <w:rFonts w:ascii="SimSun" w:hAnsi="SimSun" w:eastAsia="SimSun" w:cs="SimSun"/>
          <w:color w:val="000000"/>
          <w:sz w:val="24"/>
          <w:u w:val="single"/>
        </w:rPr>
        <w:t xml:space="preserve">     </w:t>
      </w:r>
      <w:r>
        <w:rPr>
          <w:rFonts w:ascii="SimSun" w:hAnsi="SimSun" w:eastAsia="SimSun" w:cs="SimSun"/>
          <w:color w:val="000000"/>
          <w:sz w:val="24"/>
        </w:rPr>
        <w:t xml:space="preserve">出生日期：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187"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所在单位：</w:t>
      </w:r>
      <w:r>
        <w:rPr>
          <w:rFonts w:ascii="SimSun" w:hAnsi="SimSun" w:eastAsia="SimSun" w:cs="SimSun"/>
          <w:color w:val="000000"/>
          <w:sz w:val="24"/>
          <w:u w:val="single"/>
        </w:rPr>
        <w:t xml:space="preserve">     </w:t>
      </w:r>
      <w:r>
        <w:rPr>
          <w:rFonts w:ascii="SimSun" w:hAnsi="SimSun" w:eastAsia="SimSun" w:cs="SimSun"/>
          <w:color w:val="000000"/>
          <w:sz w:val="24"/>
        </w:rPr>
        <w:t xml:space="preserve">职务：</w:t>
      </w:r>
      <w:r>
        <w:rPr>
          <w:rFonts w:ascii="SimSun" w:hAnsi="SimSun" w:eastAsia="SimSun" w:cs="SimSun"/>
          <w:color w:val="000000"/>
          <w:sz w:val="24"/>
          <w:u w:val="single"/>
        </w:rPr>
        <w:t xml:space="preserve">     </w:t>
      </w:r>
      <w:r/>
    </w:p>
    <w:p>
      <w:pPr>
        <w:ind w:left="0" w:right="187"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身份证号码：</w:t>
      </w:r>
      <w:r>
        <w:rPr>
          <w:rFonts w:ascii="SimSun" w:hAnsi="SimSun" w:eastAsia="SimSun" w:cs="SimSun"/>
          <w:color w:val="000000"/>
          <w:sz w:val="24"/>
          <w:u w:val="single"/>
        </w:rPr>
        <w:t xml:space="preserve">     </w:t>
      </w:r>
      <w:r>
        <w:rPr>
          <w:rFonts w:ascii="SimSun" w:hAnsi="SimSun" w:eastAsia="SimSun" w:cs="SimSun"/>
          <w:color w:val="000000"/>
          <w:sz w:val="24"/>
        </w:rPr>
        <w:t xml:space="preserve">联系方式：</w:t>
      </w:r>
      <w:r>
        <w:rPr>
          <w:rFonts w:ascii="SimSun" w:hAnsi="SimSun" w:eastAsia="SimSun" w:cs="SimSun"/>
          <w:color w:val="000000"/>
          <w:sz w:val="24"/>
          <w:u w:val="single"/>
        </w:rPr>
        <w:t xml:space="preserve">     </w:t>
      </w:r>
      <w:r/>
    </w:p>
    <w:p>
      <w:pPr>
        <w:ind w:left="0" w:right="187"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兹委托受托人</w:t>
      </w:r>
      <w:r>
        <w:rPr>
          <w:rFonts w:ascii="SimSun" w:hAnsi="SimSun" w:eastAsia="SimSun" w:cs="SimSun"/>
          <w:color w:val="000000"/>
          <w:sz w:val="24"/>
          <w:u w:val="single"/>
        </w:rPr>
        <w:t xml:space="preserve">      </w:t>
      </w:r>
      <w:r>
        <w:rPr>
          <w:rFonts w:ascii="SimSun" w:hAnsi="SimSun" w:eastAsia="SimSun" w:cs="SimSun"/>
          <w:color w:val="000000"/>
          <w:sz w:val="24"/>
        </w:rPr>
        <w:t xml:space="preserve">合法地代表我单位参加贵单位组织的</w:t>
      </w:r>
      <w:r>
        <w:rPr>
          <w:rFonts w:ascii="SimSun" w:hAnsi="SimSun" w:eastAsia="SimSun" w:cs="SimSun"/>
          <w:color w:val="000000"/>
          <w:sz w:val="24"/>
          <w:u w:val="single"/>
        </w:rPr>
        <w:t xml:space="preserve">     </w:t>
      </w:r>
      <w:r>
        <w:rPr>
          <w:rFonts w:ascii="SimSun" w:hAnsi="SimSun" w:eastAsia="SimSun" w:cs="SimSun"/>
          <w:color w:val="000000"/>
          <w:sz w:val="24"/>
        </w:rPr>
        <w:t xml:space="preserve">（项目名称），</w:t>
      </w:r>
      <w:r/>
    </w:p>
    <w:p>
      <w:pPr>
        <w:ind w:left="0" w:right="187"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（项目编号）的招标活动，受托人有权在该投标活动中，以我单位的名义签署投标书和投标文件，与采购人协商、澄清、解释，签订合同书并执行一切与此有关的事项。</w:t>
      </w:r>
      <w:r/>
    </w:p>
    <w:p>
      <w:pPr>
        <w:ind w:left="0" w:right="187"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受托人在办理上述事宜过程中以其自己的名义所签署的所有文件我均予以承认。受托人无转委托权。</w:t>
      </w:r>
      <w:r/>
    </w:p>
    <w:p>
      <w:pPr>
        <w:ind w:left="0" w:right="187"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委托期限：至上述事宜处理完毕止。</w:t>
      </w:r>
      <w:r/>
    </w:p>
    <w:p>
      <w:pPr>
        <w:ind w:left="0" w:right="187" w:firstLine="22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7" w:firstLine="22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7" w:firstLine="576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rPr>
          <w:rFonts w:ascii="SimSun" w:hAnsi="SimSun" w:eastAsia="SimSun" w:cs="SimSun"/>
          <w:color w:val="000000"/>
          <w:sz w:val="24"/>
          <w:u w:val="single"/>
        </w:rPr>
        <w:t xml:space="preserve">    </w:t>
      </w:r>
      <w:r>
        <w:rPr>
          <w:rFonts w:ascii="SimSun" w:hAnsi="SimSun" w:eastAsia="SimSun" w:cs="SimSun"/>
          <w:color w:val="000000"/>
          <w:sz w:val="24"/>
        </w:rPr>
        <w:t xml:space="preserve">（盖章）</w:t>
      </w:r>
      <w:r/>
    </w:p>
    <w:p>
      <w:pPr>
        <w:ind w:left="0" w:right="187" w:firstLine="52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w:t>
      </w:r>
      <w:r>
        <w:rPr>
          <w:rFonts w:ascii="SimSun" w:hAnsi="SimSun" w:eastAsia="SimSun" w:cs="SimSun"/>
          <w:color w:val="000000"/>
          <w:sz w:val="24"/>
          <w:u w:val="single"/>
        </w:rPr>
        <w:t xml:space="preserve">      </w:t>
      </w:r>
      <w:r/>
    </w:p>
    <w:p>
      <w:pPr>
        <w:ind w:left="0" w:right="187"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受托人签字：</w:t>
      </w:r>
      <w:r>
        <w:rPr>
          <w:rFonts w:ascii="SimSun" w:hAnsi="SimSun" w:eastAsia="SimSun" w:cs="SimSun"/>
          <w:color w:val="000000"/>
          <w:sz w:val="24"/>
          <w:u w:val="single"/>
        </w:rPr>
        <w:t xml:space="preserve">       </w:t>
      </w:r>
      <w:r/>
    </w:p>
    <w:p>
      <w:pPr>
        <w:ind w:left="0" w:right="187" w:firstLine="120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w:t>
      </w:r>
      <w:r/>
    </w:p>
    <w:p>
      <w:pPr>
        <w:ind w:left="0" w:right="187"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7" w:firstLine="516"/>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（另需同时提供法定代表人和受托人身份证复印件。）</w:t>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（三）商务条款偏离表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项目名称：          项目编号：     </w:t>
      </w:r>
      <w:r/>
    </w:p>
    <w:tbl>
      <w:tblPr>
        <w:tblStyle w:val="8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84"/>
        <w:gridCol w:w="1758"/>
        <w:gridCol w:w="2607"/>
        <w:gridCol w:w="3148"/>
        <w:gridCol w:w="1257"/>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7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6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招标文件的商务条款</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1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投标文件的商务条款</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75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60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14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5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75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60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14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5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75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60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14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5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75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60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14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5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75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60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14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5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75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60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14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5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8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75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60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14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5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187"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rPr>
          <w:rFonts w:ascii="SimSun" w:hAnsi="SimSun" w:eastAsia="SimSun" w:cs="SimSun"/>
          <w:color w:val="000000"/>
          <w:sz w:val="24"/>
          <w:u w:val="single"/>
        </w:rPr>
        <w:t xml:space="preserve">         </w:t>
      </w:r>
      <w:r>
        <w:rPr>
          <w:rFonts w:ascii="SimSun" w:hAnsi="SimSun" w:eastAsia="SimSun" w:cs="SimSun"/>
          <w:color w:val="000000"/>
          <w:sz w:val="24"/>
        </w:rPr>
        <w:t xml:space="preserve">（盖章）</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 </w:t>
      </w:r>
      <w:r>
        <w:rPr>
          <w:rFonts w:ascii="SimSun" w:hAnsi="SimSun" w:eastAsia="SimSun" w:cs="SimSun"/>
          <w:color w:val="000000"/>
          <w:sz w:val="24"/>
          <w:u w:val="single"/>
        </w:rPr>
        <w:t xml:space="preserve">    </w:t>
      </w:r>
      <w:r>
        <w:rPr>
          <w:rFonts w:ascii="SimSun" w:hAnsi="SimSun" w:eastAsia="SimSun" w:cs="SimSun"/>
          <w:color w:val="000000"/>
          <w:sz w:val="24"/>
        </w:rPr>
        <w:t xml:space="preserve">（签字）</w:t>
      </w:r>
      <w:r/>
    </w:p>
    <w:p>
      <w:pPr>
        <w:ind w:left="0" w:right="187"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187"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187"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187"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 如投标人无任何偏离，也需在响应表中注明并在投标文件中递交此表。</w:t>
      </w:r>
      <w:r/>
    </w:p>
    <w:p>
      <w:pPr>
        <w:ind w:left="0" w:right="187"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偏离包括正、负偏离，正偏离指投标人的响应高于招标文件要求，负偏离指投标人的响应低于招标文件要求。</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（四）项目管理及技术人员一览表</w:t>
      </w:r>
      <w:r/>
    </w:p>
    <w:p>
      <w:pPr>
        <w:ind w:left="0" w:right="187"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8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3"/>
        <w:gridCol w:w="1202"/>
        <w:gridCol w:w="2099"/>
        <w:gridCol w:w="873"/>
        <w:gridCol w:w="2099"/>
        <w:gridCol w:w="253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3"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99"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在本项目中担任的职务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99"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专业技术证书名及证书号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38"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主要资历、经验</w:t>
            </w:r>
            <w:r/>
          </w:p>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及承担过的管理项目</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3"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9"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9"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8"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9"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9"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8"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3"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9"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9"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8"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9"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9"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8"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9"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9"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8" w:type="dxa"/>
            <w:vAlign w:val="center"/>
            <w:textDirection w:val="lrTb"/>
            <w:noWrap w:val="false"/>
          </w:tcPr>
          <w:p>
            <w:pPr>
              <w:ind w:left="0" w:right="0" w:firstLine="0"/>
              <w:jc w:val="center"/>
              <w:spacing w:before="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、上表中行数不够可自加；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、其资质证明文件等附后；</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、其他人员包括试验检测工程师、试验员等。</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拟投入本项目人员须为投标单位正式员工，中标后未经采购人批准不得更换人员。本表后附上述人员在职证明材料（投标人为其缴纳的近3个月内任意1个月的社保证明，投标人成立不足1个月的提供劳动合同和书面承诺，退休返聘人员提供退休证及返聘合同，并加盖供应商单位公章。</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（五）投标人和项目负责人业绩</w:t>
      </w:r>
      <w:r/>
    </w:p>
    <w:p>
      <w:pPr>
        <w:ind w:left="0" w:right="0" w:firstLine="482"/>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1、投标人业绩清单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bl>
      <w:tblPr>
        <w:tblStyle w:val="8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36"/>
        <w:gridCol w:w="2166"/>
        <w:gridCol w:w="1284"/>
        <w:gridCol w:w="1284"/>
        <w:gridCol w:w="904"/>
        <w:gridCol w:w="791"/>
        <w:gridCol w:w="791"/>
        <w:gridCol w:w="792"/>
      </w:tblGrid>
      <w:tr>
        <w:trPr>
          <w:trHeight w:val="5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实施内容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合同价格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质量评价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4" w:right="0" w:hanging="6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注：1、项目按照时间顺序排列，排列时请将内容与本次投标吻合度最高、时间最近的排在前；</w:t>
      </w:r>
      <w:r/>
    </w:p>
    <w:p>
      <w:pPr>
        <w:ind w:left="4" w:right="0" w:firstLine="3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2、列出项目为符合资格审查评审条件及本次招标内容的相关业绩，并按招标文件要求附证明材料，无关项目不必罗列。</w:t>
      </w:r>
      <w:r/>
    </w:p>
    <w:p>
      <w:pPr>
        <w:ind w:left="4" w:right="0" w:firstLine="3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3、同一项目项目负责人和企业业绩不重复计分。</w:t>
      </w:r>
      <w:r/>
    </w:p>
    <w:p>
      <w:pPr>
        <w:ind w:left="0" w:right="0" w:firstLine="562"/>
        <w:jc w:val="center"/>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562"/>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2、项目负责人业绩清单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8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9"/>
        <w:gridCol w:w="1571"/>
        <w:gridCol w:w="1192"/>
        <w:gridCol w:w="1192"/>
        <w:gridCol w:w="1192"/>
        <w:gridCol w:w="842"/>
        <w:gridCol w:w="737"/>
        <w:gridCol w:w="737"/>
        <w:gridCol w:w="738"/>
      </w:tblGrid>
      <w:tr>
        <w:trPr>
          <w:trHeight w:val="55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实施内容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所任职务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合同价格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质量评价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3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4" w:right="0" w:hanging="6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注：1、项目按照时间顺序排列，排列时请将内容与本次投标吻合度最高、时间最近的排在前；</w:t>
      </w:r>
      <w:r/>
    </w:p>
    <w:p>
      <w:pPr>
        <w:numPr>
          <w:ilvl w:val="0"/>
          <w:numId w:val="19"/>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列出项目为符合资格审查评审条件及本次招标内容的相关业绩，并按招标文件要求附证明材料，无关项目不必罗列。</w:t>
      </w:r>
      <w:r/>
    </w:p>
    <w:p>
      <w:pPr>
        <w:ind w:left="4" w:right="0" w:firstLine="3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3、同一项目项目负责人和企业业绩不重复计分。</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四、政府采购政策（若有）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（一）政府采购促进中小企业发展政策</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1.企业声明函</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中小企业声明函（工程、服务）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本公司郑重声明，根据《政府采购促进中小企业发展管理办法》（财库﹝2020﹞46 号）的规定，本公司参加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采购活动，工程的施工单位全部为符合政策要求的中小企业（或者：服务全部由符合政策要求的中小企业承接）。相关企业的具体情况如下：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（招标文件中明确的所属行业）</w:t>
      </w:r>
      <w:r>
        <w:rPr>
          <w:rFonts w:ascii="SimSun" w:hAnsi="SimSun" w:eastAsia="SimSun" w:cs="SimSun"/>
          <w:color w:val="000000"/>
          <w:sz w:val="24"/>
        </w:rPr>
        <w:t xml:space="preserve">；承建（承接）企业为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万元，资产总额为万元①，属于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（招标文件中明确的所属行业）</w:t>
      </w:r>
      <w:r>
        <w:rPr>
          <w:rFonts w:ascii="SimSun" w:hAnsi="SimSun" w:eastAsia="SimSun" w:cs="SimSun"/>
          <w:color w:val="000000"/>
          <w:sz w:val="24"/>
        </w:rPr>
        <w:t xml:space="preserve">；承建（承接）企业为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，从业人员人，营业收入为万元，资产总额为万元①，属于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rPr>
          <w:rFonts w:ascii="SimSun" w:hAnsi="SimSun" w:eastAsia="SimSun" w:cs="SimSun"/>
          <w:color w:val="000000"/>
          <w:sz w:val="24"/>
          <w:u w:val="single"/>
        </w:rPr>
        <w:t xml:space="preserve">         </w:t>
      </w:r>
      <w:r>
        <w:rPr>
          <w:rFonts w:ascii="SimSun" w:hAnsi="SimSun" w:eastAsia="SimSun" w:cs="SimSun"/>
          <w:color w:val="000000"/>
          <w:sz w:val="24"/>
        </w:rPr>
        <w:t xml:space="preserve">（盖章）</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 </w:t>
      </w:r>
      <w:r>
        <w:rPr>
          <w:rFonts w:ascii="SimSun" w:hAnsi="SimSun" w:eastAsia="SimSun" w:cs="SimSun"/>
          <w:color w:val="000000"/>
          <w:sz w:val="24"/>
          <w:u w:val="single"/>
        </w:rPr>
        <w:t xml:space="preserve">    </w:t>
      </w:r>
      <w:r>
        <w:rPr>
          <w:rFonts w:ascii="SimSun" w:hAnsi="SimSun" w:eastAsia="SimSun" w:cs="SimSun"/>
          <w:color w:val="000000"/>
          <w:sz w:val="24"/>
        </w:rPr>
        <w:t xml:space="preserve">（签字）</w:t>
      </w:r>
      <w:r/>
    </w:p>
    <w:p>
      <w:pPr>
        <w:ind w:left="0" w:right="187"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注：① 从业人员、营业收入、资产总额填报上一年度数据，无上一年度数据的新成立企业可不填报。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2.残疾人福利性单位声明函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中国残疾人联合会关于促进残疾人就业政府采购政策的通知》（财库〔2018〕 141号）的规定，本单位为符合条件的残疾人福利性单位。本单位参加项目编号为</w:t>
      </w:r>
      <w:r>
        <w:rPr>
          <w:rFonts w:ascii="SimSun" w:hAnsi="SimSun" w:eastAsia="SimSun" w:cs="SimSun"/>
          <w:color w:val="000000"/>
          <w:sz w:val="24"/>
          <w:u w:val="single"/>
        </w:rPr>
        <w:t xml:space="preserve">        </w:t>
      </w:r>
      <w:r>
        <w:rPr>
          <w:rFonts w:ascii="SimSun" w:hAnsi="SimSun" w:eastAsia="SimSun" w:cs="SimSun"/>
          <w:color w:val="000000"/>
          <w:sz w:val="24"/>
        </w:rPr>
        <w:t xml:space="preserve">的</w:t>
      </w:r>
      <w:r>
        <w:rPr>
          <w:rFonts w:ascii="SimSun" w:hAnsi="SimSun" w:eastAsia="SimSun" w:cs="SimSun"/>
          <w:color w:val="000000"/>
          <w:sz w:val="24"/>
          <w:u w:val="single"/>
        </w:rPr>
        <w:t xml:space="preserve">          </w:t>
      </w:r>
      <w:r>
        <w:rPr>
          <w:rFonts w:ascii="SimSun" w:hAnsi="SimSun" w:eastAsia="SimSun" w:cs="SimSun"/>
          <w:color w:val="000000"/>
          <w:sz w:val="24"/>
        </w:rPr>
        <w:t xml:space="preserve">单位的</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项目采购活动提供本单位制造的货物（由本单位承担工程、提供服务），或提供其他残疾人福利性单位制造的货物。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0"/>
        <w:jc w:val="right"/>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rPr>
          <w:rFonts w:ascii="SimSun" w:hAnsi="SimSun" w:eastAsia="SimSun" w:cs="SimSun"/>
          <w:color w:val="000000"/>
          <w:sz w:val="24"/>
          <w:u w:val="single"/>
        </w:rPr>
        <w:t xml:space="preserve">         </w:t>
      </w:r>
      <w:r>
        <w:rPr>
          <w:rFonts w:ascii="SimSun" w:hAnsi="SimSun" w:eastAsia="SimSun" w:cs="SimSun"/>
          <w:color w:val="000000"/>
          <w:sz w:val="24"/>
        </w:rPr>
        <w:t xml:space="preserve">（盖章）</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 </w:t>
      </w:r>
      <w:r>
        <w:rPr>
          <w:rFonts w:ascii="SimSun" w:hAnsi="SimSun" w:eastAsia="SimSun" w:cs="SimSun"/>
          <w:color w:val="000000"/>
          <w:sz w:val="24"/>
          <w:u w:val="single"/>
        </w:rPr>
        <w:t xml:space="preserve">    </w:t>
      </w:r>
      <w:r>
        <w:rPr>
          <w:rFonts w:ascii="SimSun" w:hAnsi="SimSun" w:eastAsia="SimSun" w:cs="SimSun"/>
          <w:color w:val="000000"/>
          <w:sz w:val="24"/>
        </w:rPr>
        <w:t xml:space="preserve">（签字）</w:t>
      </w:r>
      <w:r/>
    </w:p>
    <w:p>
      <w:pPr>
        <w:ind w:left="0" w:right="187"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187"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3.监狱企业证明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五、资格证明文件</w:t>
      </w:r>
      <w:r/>
    </w:p>
    <w:p>
      <w:pPr>
        <w:ind w:left="48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1、具有独立承担民事责任的能力（提供法人或者其他组织的营业执照复印件并加盖公章，或者自然人的身份证明）；</w:t>
      </w:r>
      <w:r/>
    </w:p>
    <w:p>
      <w:pPr>
        <w:ind w:left="48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2、具有良好的商业信誉和健全的财务会计制度（提供</w:t>
      </w:r>
      <w:r>
        <w:rPr>
          <w:rFonts w:ascii="Times New Roman" w:hAnsi="Times New Roman" w:eastAsia="Times New Roman" w:cs="Times New Roman"/>
          <w:color w:val="000000"/>
          <w:sz w:val="24"/>
        </w:rPr>
        <w:t xml:space="preserve">2024</w:t>
      </w:r>
      <w:r>
        <w:rPr>
          <w:rFonts w:ascii="SimSun" w:hAnsi="SimSun" w:eastAsia="SimSun" w:cs="SimSun"/>
          <w:color w:val="000000"/>
          <w:sz w:val="24"/>
        </w:rPr>
        <w:t xml:space="preserve">年或</w:t>
      </w:r>
      <w:r>
        <w:rPr>
          <w:rFonts w:ascii="Times New Roman" w:hAnsi="Times New Roman" w:eastAsia="Times New Roman" w:cs="Times New Roman"/>
          <w:color w:val="000000"/>
          <w:sz w:val="24"/>
        </w:rPr>
        <w:t xml:space="preserve">2025</w:t>
      </w:r>
      <w:r>
        <w:rPr>
          <w:rFonts w:ascii="SimSun" w:hAnsi="SimSun" w:eastAsia="SimSun" w:cs="SimSun"/>
          <w:color w:val="000000"/>
          <w:sz w:val="24"/>
        </w:rPr>
        <w:t xml:space="preserve">年度经审计的财务报告，或截止开标之日起近六个月（</w:t>
      </w:r>
      <w:r>
        <w:rPr>
          <w:rFonts w:ascii="Times New Roman" w:hAnsi="Times New Roman" w:eastAsia="Times New Roman" w:cs="Times New Roman"/>
          <w:color w:val="000000"/>
          <w:sz w:val="24"/>
        </w:rPr>
        <w:t xml:space="preserve">2025</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）中任意</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个月的财务报表（至少包括资产负债表和利润表），或投标截止时间前六个月（</w:t>
      </w:r>
      <w:r>
        <w:rPr>
          <w:rFonts w:ascii="Times New Roman" w:hAnsi="Times New Roman" w:eastAsia="Times New Roman" w:cs="Times New Roman"/>
          <w:color w:val="000000"/>
          <w:sz w:val="24"/>
        </w:rPr>
        <w:t xml:space="preserve">2025</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月）内银行出具的资信证明，或财政部门认可的政府采购专业担保机构出具的投标担保函）；</w:t>
      </w:r>
      <w:r/>
    </w:p>
    <w:p>
      <w:pPr>
        <w:ind w:left="48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3、有依法缴纳税收和社会保障资金的良好记录（提供参加本次采购活动前近六个月（</w:t>
      </w:r>
      <w:r>
        <w:rPr>
          <w:rFonts w:ascii="Times New Roman" w:hAnsi="Times New Roman" w:eastAsia="Times New Roman" w:cs="Times New Roman"/>
          <w:color w:val="000000"/>
          <w:sz w:val="24"/>
        </w:rPr>
        <w:t xml:space="preserve">2025</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月）内任一月份依法缴纳税收及社会保险的凭据。依法免缴、迟缴的应提供相应文件证明）。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187"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、具备履行合同所必需的设备和专业技术能力的书面声明</w:t>
      </w:r>
      <w:r/>
    </w:p>
    <w:p>
      <w:pPr>
        <w:ind w:left="0" w:right="187"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48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具备履行合同所必需的设备和专业技术能力的书面声明</w:t>
      </w:r>
      <w:r/>
    </w:p>
    <w:p>
      <w:pPr>
        <w:ind w:left="0" w:right="187"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我公司郑重声明：我公司具备履行本项采购合同所必需的设备和专业技术能力，为履行本项采购合同我公司具备如下主要设备和主要专业技术能力：</w:t>
      </w:r>
      <w:r/>
    </w:p>
    <w:p>
      <w:pPr>
        <w:ind w:left="0" w:right="187"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187"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187"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right"/>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rPr>
          <w:rFonts w:ascii="SimSun" w:hAnsi="SimSun" w:eastAsia="SimSun" w:cs="SimSun"/>
          <w:color w:val="000000"/>
          <w:sz w:val="24"/>
          <w:u w:val="single"/>
        </w:rPr>
        <w:t xml:space="preserve">         </w:t>
      </w:r>
      <w:r>
        <w:rPr>
          <w:rFonts w:ascii="SimSun" w:hAnsi="SimSun" w:eastAsia="SimSun" w:cs="SimSun"/>
          <w:color w:val="000000"/>
          <w:sz w:val="24"/>
        </w:rPr>
        <w:t xml:space="preserve">（盖章）</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 </w:t>
      </w:r>
      <w:r>
        <w:rPr>
          <w:rFonts w:ascii="SimSun" w:hAnsi="SimSun" w:eastAsia="SimSun" w:cs="SimSun"/>
          <w:color w:val="000000"/>
          <w:sz w:val="24"/>
          <w:u w:val="single"/>
        </w:rPr>
        <w:t xml:space="preserve">    </w:t>
      </w:r>
      <w:r>
        <w:rPr>
          <w:rFonts w:ascii="SimSun" w:hAnsi="SimSun" w:eastAsia="SimSun" w:cs="SimSun"/>
          <w:color w:val="000000"/>
          <w:sz w:val="24"/>
        </w:rPr>
        <w:t xml:space="preserve">（签字）</w:t>
      </w:r>
      <w:r/>
    </w:p>
    <w:p>
      <w:pPr>
        <w:ind w:left="0" w:right="187"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5、参加本政府采购项目前3年内（成立时间不足三年的、自成立时间起）在经营活动中没有重大违法记录的书面声明函。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（自行编写，重大违法记录是指供应商因违法经营受到刑事处罚或责令停产停业、吊销许可证或者执照、较大数额等行政处罚。）</w:t>
      </w:r>
      <w:r/>
    </w:p>
    <w:p>
      <w:pPr>
        <w:ind w:left="48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8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参加政府采购活动前 3 年内在经营活动中</w:t>
      </w:r>
      <w:r/>
    </w:p>
    <w:p>
      <w:pPr>
        <w:ind w:left="48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没有重大违法记录的书面声明(参考格式)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我公司郑重声明：参加本次政府采购活动前 3 年内，我公司在经营活动中没有因违法经营受到刑事处罚或者责令停产停业、吊销许可证或者执照、较大数额罚款等行政处罚。</w:t>
      </w:r>
      <w:r/>
    </w:p>
    <w:p>
      <w:pPr>
        <w:ind w:left="0" w:right="187"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rPr>
          <w:rFonts w:ascii="SimSun" w:hAnsi="SimSun" w:eastAsia="SimSun" w:cs="SimSun"/>
          <w:color w:val="000000"/>
          <w:sz w:val="24"/>
          <w:u w:val="single"/>
        </w:rPr>
        <w:t xml:space="preserve">         </w:t>
      </w:r>
      <w:r>
        <w:rPr>
          <w:rFonts w:ascii="SimSun" w:hAnsi="SimSun" w:eastAsia="SimSun" w:cs="SimSun"/>
          <w:color w:val="000000"/>
          <w:sz w:val="24"/>
        </w:rPr>
        <w:t xml:space="preserve">（盖章）</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 </w:t>
      </w:r>
      <w:r>
        <w:rPr>
          <w:rFonts w:ascii="SimSun" w:hAnsi="SimSun" w:eastAsia="SimSun" w:cs="SimSun"/>
          <w:color w:val="000000"/>
          <w:sz w:val="24"/>
          <w:u w:val="single"/>
        </w:rPr>
        <w:t xml:space="preserve">    </w:t>
      </w:r>
      <w:r>
        <w:rPr>
          <w:rFonts w:ascii="SimSun" w:hAnsi="SimSun" w:eastAsia="SimSun" w:cs="SimSun"/>
          <w:color w:val="000000"/>
          <w:sz w:val="24"/>
        </w:rPr>
        <w:t xml:space="preserve">（签字）</w:t>
      </w:r>
      <w:r/>
    </w:p>
    <w:p>
      <w:pPr>
        <w:ind w:left="0" w:right="187"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六</w:t>
      </w:r>
      <w:r>
        <w:rPr>
          <w:rFonts w:ascii="SimSun" w:hAnsi="SimSun" w:eastAsia="SimSun" w:cs="SimSun"/>
          <w:b/>
          <w:color w:val="000000"/>
          <w:sz w:val="32"/>
        </w:rPr>
        <w:t xml:space="preserve">、规范招投标及履约行为提醒单</w:t>
      </w:r>
      <w:r/>
    </w:p>
    <w:p>
      <w:pPr>
        <w:ind w:left="0" w:right="0" w:firstLine="63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为推进我局招投标及合同履行工作公开、透明、规范运行，现将相关党风廉政要求提醒如下：</w:t>
      </w:r>
      <w:r/>
    </w:p>
    <w:p>
      <w:pPr>
        <w:ind w:left="0" w:right="0" w:firstLine="632"/>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．严格遵守党和国家有关法律法规等相关规定开展招投标和履行合同工作，坚持公开、公正、诚信、透明的原则（除法律认定的商业秘密和合同文件另有规定之外），不得损害国家和集体利益。</w:t>
      </w:r>
      <w:r/>
    </w:p>
    <w:p>
      <w:pPr>
        <w:ind w:left="0" w:right="0" w:firstLine="632"/>
        <w:jc w:val="both"/>
        <w:spacing w:before="0" w:after="0" w:line="499" w:lineRule="atLeast"/>
        <w:tabs>
          <w:tab w:val="left" w:pos="-7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严禁相互串通投标或者与招标人串通投标，不得约定抬高报价、轮流中标、分配中标项目等。严禁以诋毁、诽谤其他供应商，或散布虚假信息、恶意投诉等不正当手段妨碍、排挤竞争对手，干扰正常招标采购秩序，不得损害其他供应商合法权益及国家利益。</w:t>
      </w:r>
      <w:r/>
    </w:p>
    <w:p>
      <w:pPr>
        <w:ind w:left="0" w:right="0" w:firstLine="632"/>
        <w:jc w:val="both"/>
        <w:spacing w:before="0" w:after="0" w:line="499" w:lineRule="atLeast"/>
        <w:tabs>
          <w:tab w:val="left" w:pos="-7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严禁私下接触评审专家、采购项目负责人及关键岗位人员，不得通过打探评审信息、泄露评审内容、私下沟通报价等方式干扰评审工作。严禁通过说情打招呼、递条子、托关系等方式，或利用职权关联、利益输送等手段干预采购流程，不得通过中介、代理人等间接渠道实施上述违规行为。</w:t>
      </w:r>
      <w:r/>
    </w:p>
    <w:p>
      <w:pPr>
        <w:ind w:left="0" w:right="0" w:firstLine="632"/>
        <w:jc w:val="both"/>
        <w:spacing w:before="0" w:after="0" w:line="499" w:lineRule="atLeast"/>
        <w:tabs>
          <w:tab w:val="left" w:pos="-7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 </w:t>
      </w:r>
      <w:r>
        <w:rPr>
          <w:rFonts w:ascii="SimSun" w:hAnsi="SimSun" w:eastAsia="SimSun" w:cs="SimSun"/>
          <w:color w:val="000000"/>
          <w:sz w:val="21"/>
        </w:rPr>
        <w:t xml:space="preserve">严禁弄虚作假，确保投标文件中提供的所有材料（包括资质证书、业绩证明、人员证书、财务报表等）真实、合法、有效，不存在任何伪造、变造、虚假内容；严禁擅自撤回、虚假响应；严禁他人名义投标，不出借、转让资质证书供他人投标；严禁低于成本的报价竞标。</w:t>
      </w:r>
      <w:r/>
    </w:p>
    <w:p>
      <w:pPr>
        <w:ind w:left="0" w:right="0" w:firstLine="632"/>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 </w:t>
      </w:r>
      <w:r>
        <w:rPr>
          <w:rFonts w:ascii="SimSun" w:hAnsi="SimSun" w:eastAsia="SimSun" w:cs="SimSun"/>
          <w:color w:val="000000"/>
          <w:sz w:val="21"/>
        </w:rPr>
        <w:t xml:space="preserve">严禁以任何理由向我局工作人员、代理机构、评审专家行贿或赠送现金、礼品、有价证券、支付凭证、电子红包等不正当利益；不得以任何名义为我局工作人员报销应由我局单位或个人支付的任何费用；不得以任何理由提供宴请、旅游、娱乐、健身等可能影响公正评审的活动安排；不得为我局单位或个人购置或提供通讯工具、交通工具和高档办公用品等。</w:t>
      </w:r>
      <w:r/>
    </w:p>
    <w:p>
      <w:pPr>
        <w:ind w:left="0" w:right="0" w:firstLine="632"/>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 </w:t>
      </w:r>
      <w:r>
        <w:rPr>
          <w:rFonts w:ascii="SimSun" w:hAnsi="SimSun" w:eastAsia="SimSun" w:cs="SimSun"/>
          <w:color w:val="000000"/>
          <w:sz w:val="21"/>
        </w:rPr>
        <w:t xml:space="preserve">若中标，严格按招标文件和投标文件的约定签订合同并履行，严禁无正当理由放弃中标或拒绝签订合同；严格按照合同约定条款履行义务，防止因不及时履约对我局带来的廉政风险。</w:t>
      </w:r>
      <w:r/>
    </w:p>
    <w:p>
      <w:pPr>
        <w:ind w:left="0" w:right="0" w:firstLine="63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请贵单位认真遵守相关法律法规开展工作，如发现我局在业务活动中有违反廉政规定的行为，应及时提醒纠正，向局机关纪委反映。</w:t>
      </w:r>
      <w:r/>
    </w:p>
    <w:p>
      <w:pPr>
        <w:ind w:left="0" w:right="0" w:firstLine="63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我局对贵单位开展情况将进行全过程监督，一旦发现贵单位有违反党和国家有关法律法规的，将视情取消资格并移送相关部门处理。局机关纪委联系人：杭平，电话：</w:t>
      </w:r>
      <w:r>
        <w:rPr>
          <w:rFonts w:ascii="Times New Roman" w:hAnsi="Times New Roman" w:eastAsia="Times New Roman" w:cs="Times New Roman"/>
          <w:color w:val="000000"/>
          <w:sz w:val="21"/>
        </w:rPr>
        <w:t xml:space="preserve">025-84329738</w:t>
      </w:r>
      <w:r>
        <w:rPr>
          <w:rFonts w:ascii="SimSun" w:hAnsi="SimSun" w:eastAsia="SimSun" w:cs="SimSun"/>
          <w:color w:val="000000"/>
          <w:sz w:val="21"/>
        </w:rPr>
        <w:t xml:space="preserve">。</w:t>
      </w:r>
      <w:r/>
    </w:p>
    <w:p>
      <w:pPr>
        <w:ind w:left="0" w:right="0" w:firstLine="632"/>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632"/>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3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江苏省交通运输综合行政执法监督局</w:t>
      </w:r>
      <w:r/>
    </w:p>
    <w:p>
      <w:pPr>
        <w:ind w:left="0" w:right="0" w:firstLine="632"/>
        <w:jc w:val="both"/>
        <w:spacing w:before="0" w:after="0" w:line="499" w:lineRule="atLeast"/>
        <w:pBdr>
          <w:top w:val="none" w:color="000000" w:sz="4" w:space="0"/>
          <w:left w:val="none" w:color="000000" w:sz="4" w:space="0"/>
          <w:bottom w:val="single" w:color="000000" w:sz="6"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                   </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      </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x</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xx</w:t>
      </w:r>
      <w:r>
        <w:rPr>
          <w:rFonts w:ascii="SimSun" w:hAnsi="SimSun" w:eastAsia="SimSun" w:cs="SimSun"/>
          <w:color w:val="000000"/>
          <w:sz w:val="21"/>
        </w:rPr>
        <w:t xml:space="preserve">日</w:t>
      </w:r>
      <w:r/>
    </w:p>
    <w:p>
      <w:pPr>
        <w:ind w:left="0" w:right="0" w:firstLine="632"/>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参与单位承诺：</w:t>
      </w:r>
      <w:r/>
    </w:p>
    <w:p>
      <w:pPr>
        <w:ind w:left="0" w:right="0" w:firstLine="63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我单位已阅知并接受上述提醒，并保证在本项目投标和履约过程中认真遵守相关法律法规和你单位廉政规定。</w:t>
      </w:r>
      <w:r/>
    </w:p>
    <w:p>
      <w:pPr>
        <w:ind w:left="0" w:right="0" w:firstLine="632"/>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单位（签章）：</w:t>
      </w:r>
      <w:r>
        <w:rPr>
          <w:rFonts w:ascii="Times New Roman" w:hAnsi="Times New Roman" w:eastAsia="Times New Roman" w:cs="Times New Roman"/>
          <w:color w:val="000000"/>
          <w:sz w:val="21"/>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七、其他与项目有关的资料</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1、为本项目各分包建设单位承担中心实验室的，不得参加相应分包的投标（提供承诺书）。</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应具有交通运输部颁发的公路工程试验检测综合甲级资质或公路水运工程质量检测机构公路工程甲级资质（如投标人不具有以上资质、证书，其下属不具有独立法人资格的检测机构具有的，视为满足要求，提供相关证明材料）。</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3、中标后，不分包、不转包的承诺。</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4、投标人需具有无人机助力检查的设备和能力（提供承诺，自拟）。</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5、根据招标文件和评标办法提供其他材料。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r/>
      <w:r/>
    </w:p>
    <w:sectPr>
      <w:footerReference w:type="default" r:id="rId9"/>
      <w:footnotePr/>
      <w:endnotePr/>
      <w:type w:val="nextPage"/>
      <w:pgSz w:w="11906" w:h="16838" w:orient="portrait"/>
      <w:pgMar w:top="1440" w:right="1800" w:bottom="1440" w:left="16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Arial Unicode MS">
    <w:panose1 w:val="020B0604020202020204"/>
  </w:font>
  <w:font w:name="Symbol">
    <w:panose1 w:val="05050102010706020507"/>
  </w:font>
  <w:font w:name="Wingdings">
    <w:panose1 w:val="05000000000000000000"/>
  </w:font>
  <w:font w:name="Courier New">
    <w:panose1 w:val="02070309020205020404"/>
  </w:font>
  <w:font w:name="Tahoma">
    <w:panose1 w:val="020B0604030504040204"/>
  </w:font>
  <w:font w:name="华文细黑">
    <w:panose1 w:val="02010600040101010101"/>
  </w:font>
  <w:font w:name="KNLe">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SimSun">
    <w:panose1 w:val="02010600030101010101"/>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1"/>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pPr>
                            <w:pStyle w:val="101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1"/>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pPr>
                      <w:pStyle w:val="101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pStyle w:val="1013"/>
        <w:ind w:left="0" w:firstLine="0"/>
        <w:tabs>
          <w:tab w:val="num" w:pos="312" w:leader="none"/>
        </w:tabs>
      </w:pPr>
    </w:lvl>
    <w:lvl w:ilvl="1">
      <w:start w:val="1"/>
      <w:numFmt w:val="decimal"/>
      <w:isLgl w:val="false"/>
      <w:suff w:val="tab"/>
      <w:lvlText w:val="%2."/>
      <w:lvlJc w:val="left"/>
      <w:pPr>
        <w:pStyle w:val="1013"/>
        <w:ind w:left="1440" w:hanging="360"/>
        <w:tabs>
          <w:tab w:val="num" w:pos="1440" w:leader="none"/>
        </w:tabs>
      </w:pPr>
    </w:lvl>
    <w:lvl w:ilvl="2">
      <w:start w:val="1"/>
      <w:numFmt w:val="decimal"/>
      <w:isLgl w:val="false"/>
      <w:suff w:val="tab"/>
      <w:lvlText w:val="%3."/>
      <w:lvlJc w:val="left"/>
      <w:pPr>
        <w:pStyle w:val="1013"/>
        <w:ind w:left="2160" w:hanging="360"/>
        <w:tabs>
          <w:tab w:val="num" w:pos="2160" w:leader="none"/>
        </w:tabs>
      </w:pPr>
    </w:lvl>
    <w:lvl w:ilvl="3">
      <w:start w:val="1"/>
      <w:numFmt w:val="decimal"/>
      <w:isLgl w:val="false"/>
      <w:suff w:val="tab"/>
      <w:lvlText w:val="%4."/>
      <w:lvlJc w:val="left"/>
      <w:pPr>
        <w:pStyle w:val="1013"/>
        <w:ind w:left="2880" w:hanging="360"/>
        <w:tabs>
          <w:tab w:val="num" w:pos="2880" w:leader="none"/>
        </w:tabs>
      </w:pPr>
    </w:lvl>
    <w:lvl w:ilvl="4">
      <w:start w:val="1"/>
      <w:numFmt w:val="decimal"/>
      <w:isLgl w:val="false"/>
      <w:suff w:val="tab"/>
      <w:lvlText w:val="%5."/>
      <w:lvlJc w:val="left"/>
      <w:pPr>
        <w:pStyle w:val="1013"/>
        <w:ind w:left="3600" w:hanging="360"/>
        <w:tabs>
          <w:tab w:val="num" w:pos="3600" w:leader="none"/>
        </w:tabs>
      </w:pPr>
    </w:lvl>
    <w:lvl w:ilvl="5">
      <w:start w:val="1"/>
      <w:numFmt w:val="decimal"/>
      <w:isLgl w:val="false"/>
      <w:suff w:val="tab"/>
      <w:lvlText w:val="%6."/>
      <w:lvlJc w:val="left"/>
      <w:pPr>
        <w:pStyle w:val="1013"/>
        <w:ind w:left="4320" w:hanging="360"/>
        <w:tabs>
          <w:tab w:val="num" w:pos="4320" w:leader="none"/>
        </w:tabs>
      </w:pPr>
    </w:lvl>
    <w:lvl w:ilvl="6">
      <w:start w:val="1"/>
      <w:numFmt w:val="decimal"/>
      <w:isLgl w:val="false"/>
      <w:suff w:val="tab"/>
      <w:lvlText w:val="%7."/>
      <w:lvlJc w:val="left"/>
      <w:pPr>
        <w:pStyle w:val="1013"/>
        <w:ind w:left="5040" w:hanging="360"/>
        <w:tabs>
          <w:tab w:val="num" w:pos="5040" w:leader="none"/>
        </w:tabs>
      </w:pPr>
    </w:lvl>
    <w:lvl w:ilvl="7">
      <w:start w:val="1"/>
      <w:numFmt w:val="decimal"/>
      <w:isLgl w:val="false"/>
      <w:suff w:val="tab"/>
      <w:lvlText w:val="%8."/>
      <w:lvlJc w:val="left"/>
      <w:pPr>
        <w:pStyle w:val="1013"/>
        <w:ind w:left="5760" w:hanging="360"/>
        <w:tabs>
          <w:tab w:val="num" w:pos="5760" w:leader="none"/>
        </w:tabs>
      </w:pPr>
    </w:lvl>
    <w:lvl w:ilvl="8">
      <w:start w:val="1"/>
      <w:numFmt w:val="decimal"/>
      <w:isLgl w:val="false"/>
      <w:suff w:val="tab"/>
      <w:lvlText w:val="%9."/>
      <w:lvlJc w:val="left"/>
      <w:pPr>
        <w:pStyle w:val="1013"/>
        <w:ind w:left="6480" w:hanging="360"/>
        <w:tabs>
          <w:tab w:val="num" w:pos="6480" w:leader="none"/>
        </w:tabs>
      </w:pPr>
    </w:lvl>
  </w:abstractNum>
  <w:abstractNum w:abstractNumId="1">
    <w:multiLevelType w:val="hybridMultilevel"/>
    <w:lvl w:ilvl="0">
      <w:start w:val="1"/>
      <w:numFmt w:val="decimal"/>
      <w:isLgl w:val="false"/>
      <w:suff w:val="nothing"/>
      <w:lvlText w:val="（%1）"/>
      <w:lvlJc w:val="left"/>
      <w:pPr>
        <w:pStyle w:val="1013"/>
      </w:pPr>
    </w:lvl>
    <w:lvl w:ilvl="1">
      <w:start w:val="1"/>
      <w:numFmt w:val="bullet"/>
      <w:isLgl w:val="false"/>
      <w:suff w:val="tab"/>
      <w:lvlText w:val="o"/>
      <w:lvlJc w:val="left"/>
      <w:pPr>
        <w:pStyle w:val="1013"/>
        <w:ind w:left="1440" w:hanging="360"/>
      </w:pPr>
      <w:rPr>
        <w:rFonts w:ascii="Courier New" w:hAnsi="Courier New" w:eastAsia="Courier New" w:cs="Courier New"/>
      </w:rPr>
    </w:lvl>
    <w:lvl w:ilvl="2">
      <w:start w:val="1"/>
      <w:numFmt w:val="bullet"/>
      <w:isLgl w:val="false"/>
      <w:suff w:val="tab"/>
      <w:lvlText w:val="§"/>
      <w:lvlJc w:val="left"/>
      <w:pPr>
        <w:pStyle w:val="1013"/>
        <w:ind w:left="2160" w:hanging="360"/>
      </w:pPr>
      <w:rPr>
        <w:rFonts w:ascii="Wingdings" w:hAnsi="Wingdings" w:eastAsia="Wingdings" w:cs="Wingdings"/>
      </w:rPr>
    </w:lvl>
    <w:lvl w:ilvl="3">
      <w:start w:val="1"/>
      <w:numFmt w:val="bullet"/>
      <w:isLgl w:val="false"/>
      <w:suff w:val="tab"/>
      <w:lvlText w:val="·"/>
      <w:lvlJc w:val="left"/>
      <w:pPr>
        <w:pStyle w:val="1013"/>
        <w:ind w:left="2880" w:hanging="360"/>
      </w:pPr>
      <w:rPr>
        <w:rFonts w:ascii="Symbol" w:hAnsi="Symbol" w:eastAsia="Symbol" w:cs="Symbol"/>
      </w:rPr>
    </w:lvl>
    <w:lvl w:ilvl="4">
      <w:start w:val="1"/>
      <w:numFmt w:val="bullet"/>
      <w:isLgl w:val="false"/>
      <w:suff w:val="tab"/>
      <w:lvlText w:val="o"/>
      <w:lvlJc w:val="left"/>
      <w:pPr>
        <w:pStyle w:val="1013"/>
        <w:ind w:left="3600" w:hanging="360"/>
      </w:pPr>
      <w:rPr>
        <w:rFonts w:ascii="Courier New" w:hAnsi="Courier New" w:eastAsia="Courier New" w:cs="Courier New"/>
      </w:rPr>
    </w:lvl>
    <w:lvl w:ilvl="5">
      <w:start w:val="1"/>
      <w:numFmt w:val="bullet"/>
      <w:isLgl w:val="false"/>
      <w:suff w:val="tab"/>
      <w:lvlText w:val="§"/>
      <w:lvlJc w:val="left"/>
      <w:pPr>
        <w:pStyle w:val="1013"/>
        <w:ind w:left="4320" w:hanging="360"/>
      </w:pPr>
      <w:rPr>
        <w:rFonts w:ascii="Wingdings" w:hAnsi="Wingdings" w:eastAsia="Wingdings" w:cs="Wingdings"/>
      </w:rPr>
    </w:lvl>
    <w:lvl w:ilvl="6">
      <w:start w:val="1"/>
      <w:numFmt w:val="bullet"/>
      <w:isLgl w:val="false"/>
      <w:suff w:val="tab"/>
      <w:lvlText w:val="·"/>
      <w:lvlJc w:val="left"/>
      <w:pPr>
        <w:pStyle w:val="1013"/>
        <w:ind w:left="5040" w:hanging="360"/>
      </w:pPr>
      <w:rPr>
        <w:rFonts w:ascii="Symbol" w:hAnsi="Symbol" w:eastAsia="Symbol" w:cs="Symbol"/>
      </w:rPr>
    </w:lvl>
    <w:lvl w:ilvl="7">
      <w:start w:val="1"/>
      <w:numFmt w:val="bullet"/>
      <w:isLgl w:val="false"/>
      <w:suff w:val="tab"/>
      <w:lvlText w:val="o"/>
      <w:lvlJc w:val="left"/>
      <w:pPr>
        <w:pStyle w:val="1013"/>
        <w:ind w:left="5760" w:hanging="360"/>
      </w:pPr>
      <w:rPr>
        <w:rFonts w:ascii="Courier New" w:hAnsi="Courier New" w:eastAsia="Courier New" w:cs="Courier New"/>
      </w:rPr>
    </w:lvl>
    <w:lvl w:ilvl="8">
      <w:start w:val="1"/>
      <w:numFmt w:val="bullet"/>
      <w:isLgl w:val="false"/>
      <w:suff w:val="tab"/>
      <w:lvlText w:val="§"/>
      <w:lvlJc w:val="left"/>
      <w:pPr>
        <w:pStyle w:val="1013"/>
        <w:ind w:left="6480" w:hanging="360"/>
      </w:pPr>
      <w:rPr>
        <w:rFonts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101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1014"/>
      <w:isLgl w:val="false"/>
      <w:suff w:val="nothing"/>
      <w:lvlText w:val="第%1章"/>
      <w:lvlJc w:val="left"/>
      <w:pPr>
        <w:pStyle w:val="1013"/>
        <w:ind w:left="0" w:firstLine="0"/>
      </w:pPr>
    </w:lvl>
    <w:lvl w:ilvl="1">
      <w:start w:val="1"/>
      <w:numFmt w:val="decimal"/>
      <w:pStyle w:val="1015"/>
      <w:isLgl w:val="false"/>
      <w:suff w:val="nothing"/>
      <w:lvlText w:val=""/>
      <w:lvlJc w:val="left"/>
      <w:pPr>
        <w:pStyle w:val="1013"/>
        <w:ind w:left="0" w:firstLine="0"/>
      </w:pPr>
    </w:lvl>
    <w:lvl w:ilvl="2">
      <w:start w:val="1"/>
      <w:numFmt w:val="decimal"/>
      <w:pStyle w:val="1016"/>
      <w:isLgl w:val="false"/>
      <w:suff w:val="nothing"/>
      <w:lvlText w:val=""/>
      <w:lvlJc w:val="left"/>
      <w:pPr>
        <w:pStyle w:val="1013"/>
        <w:ind w:left="0" w:firstLine="0"/>
      </w:pPr>
    </w:lvl>
    <w:lvl w:ilvl="3">
      <w:start w:val="1"/>
      <w:numFmt w:val="decimal"/>
      <w:pStyle w:val="1017"/>
      <w:isLgl w:val="false"/>
      <w:suff w:val="nothing"/>
      <w:lvlText w:val=""/>
      <w:lvlJc w:val="left"/>
      <w:pPr>
        <w:pStyle w:val="1013"/>
        <w:ind w:left="0" w:firstLine="0"/>
      </w:pPr>
    </w:lvl>
    <w:lvl w:ilvl="4">
      <w:start w:val="1"/>
      <w:numFmt w:val="decimal"/>
      <w:pStyle w:val="1018"/>
      <w:isLgl w:val="false"/>
      <w:suff w:val="nothing"/>
      <w:lvlText w:val=""/>
      <w:lvlJc w:val="left"/>
      <w:pPr>
        <w:pStyle w:val="1013"/>
        <w:ind w:left="0" w:firstLine="0"/>
      </w:pPr>
    </w:lvl>
    <w:lvl w:ilvl="5">
      <w:start w:val="1"/>
      <w:numFmt w:val="decimal"/>
      <w:pStyle w:val="1019"/>
      <w:isLgl w:val="false"/>
      <w:suff w:val="nothing"/>
      <w:lvlText w:val=""/>
      <w:lvlJc w:val="left"/>
      <w:pPr>
        <w:pStyle w:val="1013"/>
        <w:ind w:left="0" w:firstLine="0"/>
      </w:pPr>
    </w:lvl>
    <w:lvl w:ilvl="6">
      <w:start w:val="1"/>
      <w:numFmt w:val="decimal"/>
      <w:pStyle w:val="1020"/>
      <w:isLgl w:val="false"/>
      <w:suff w:val="nothing"/>
      <w:lvlText w:val=""/>
      <w:lvlJc w:val="left"/>
      <w:pPr>
        <w:pStyle w:val="1013"/>
        <w:ind w:left="0" w:firstLine="0"/>
      </w:pPr>
    </w:lvl>
    <w:lvl w:ilvl="7">
      <w:start w:val="1"/>
      <w:numFmt w:val="decimal"/>
      <w:pStyle w:val="1021"/>
      <w:isLgl w:val="false"/>
      <w:suff w:val="nothing"/>
      <w:lvlText w:val=""/>
      <w:lvlJc w:val="left"/>
      <w:pPr>
        <w:pStyle w:val="1013"/>
        <w:ind w:left="0" w:firstLine="0"/>
      </w:pPr>
    </w:lvl>
    <w:lvl w:ilvl="8">
      <w:start w:val="1"/>
      <w:numFmt w:val="decimal"/>
      <w:pStyle w:val="1022"/>
      <w:isLgl w:val="false"/>
      <w:suff w:val="nothing"/>
      <w:lvlText w:val=""/>
      <w:lvlJc w:val="left"/>
      <w:pPr>
        <w:pStyle w:val="1013"/>
        <w:ind w:left="0" w:firstLine="0"/>
      </w:pPr>
    </w:lvl>
  </w:abstractNum>
  <w:abstractNum w:abstractNumId="4">
    <w:multiLevelType w:val="hybridMultilevel"/>
    <w:lvl w:ilvl="0">
      <w:start w:val="1"/>
      <w:numFmt w:val="chineseCountingThousand"/>
      <w:pStyle w:val="1159"/>
      <w:isLgl w:val="false"/>
      <w:suff w:val="tab"/>
      <w:lvlText w:val="%1"/>
      <w:lvlJc w:val="left"/>
      <w:pPr>
        <w:pStyle w:val="1013"/>
        <w:ind w:left="425" w:hanging="425"/>
      </w:pPr>
      <w:rPr>
        <w:rFonts w:hint="eastAsia" w:ascii="Arial Unicode MS" w:hAnsi="Arial Unicode MS" w:eastAsia="微软雅黑"/>
        <w:b/>
        <w:i w:val="0"/>
        <w:lang w:val="en-US"/>
      </w:rPr>
    </w:lvl>
    <w:lvl w:ilvl="1">
      <w:start w:val="1"/>
      <w:numFmt w:val="decimal"/>
      <w:isLgl w:val="false"/>
      <w:suff w:val="tab"/>
      <w:lvlText w:val="%1.%2"/>
      <w:lvlJc w:val="left"/>
      <w:pPr>
        <w:pStyle w:val="1013"/>
        <w:ind w:left="425" w:hanging="425"/>
      </w:pPr>
      <w:rPr>
        <w:rFonts w:hint="eastAsia" w:ascii="Arial Unicode MS" w:hAnsi="Arial Unicode MS" w:eastAsia="微软雅黑"/>
        <w:b/>
        <w:i w:val="0"/>
      </w:rPr>
    </w:lvl>
    <w:lvl w:ilvl="2">
      <w:start w:val="1"/>
      <w:numFmt w:val="decimal"/>
      <w:isLgl w:val="false"/>
      <w:suff w:val="tab"/>
      <w:lvlText w:val="%1.%2.%3"/>
      <w:lvlJc w:val="left"/>
      <w:pPr>
        <w:pStyle w:val="1013"/>
        <w:ind w:left="425" w:hanging="425"/>
      </w:pPr>
      <w:rPr>
        <w:rFonts w:hint="eastAsia" w:ascii="Arial Unicode MS" w:hAnsi="Arial Unicode MS" w:eastAsia="微软雅黑"/>
        <w:b/>
        <w:i w:val="0"/>
      </w:rPr>
    </w:lvl>
    <w:lvl w:ilvl="3">
      <w:start w:val="1"/>
      <w:numFmt w:val="decimal"/>
      <w:isLgl w:val="false"/>
      <w:suff w:val="tab"/>
      <w:lvlText w:val="%1.%2.%3.%4"/>
      <w:lvlJc w:val="left"/>
      <w:pPr>
        <w:pStyle w:val="1013"/>
        <w:ind w:left="425" w:hanging="425"/>
      </w:pPr>
      <w:rPr>
        <w:rFonts w:hint="eastAsia" w:ascii="Arial Unicode MS" w:hAnsi="Arial Unicode MS" w:eastAsia="微软雅黑"/>
        <w:b/>
        <w:i w:val="0"/>
      </w:rPr>
    </w:lvl>
    <w:lvl w:ilvl="4">
      <w:start w:val="1"/>
      <w:numFmt w:val="decimal"/>
      <w:isLgl w:val="false"/>
      <w:suff w:val="tab"/>
      <w:lvlText w:val="%1.%2.%3.%4.%5"/>
      <w:lvlJc w:val="left"/>
      <w:pPr>
        <w:pStyle w:val="1013"/>
        <w:ind w:left="425" w:hanging="425"/>
      </w:pPr>
      <w:rPr>
        <w:rFonts w:hint="eastAsia" w:ascii="Arial Unicode MS" w:hAnsi="Arial Unicode MS" w:eastAsia="微软雅黑"/>
        <w:b/>
        <w:i w:val="0"/>
      </w:rPr>
    </w:lvl>
    <w:lvl w:ilvl="5">
      <w:start w:val="1"/>
      <w:numFmt w:val="decimal"/>
      <w:isLgl w:val="false"/>
      <w:suff w:val="tab"/>
      <w:lvlText w:val="%1.%2.%3.%4.%5.%6"/>
      <w:lvlJc w:val="left"/>
      <w:pPr>
        <w:pStyle w:val="1013"/>
        <w:ind w:left="425" w:hanging="425"/>
      </w:pPr>
      <w:rPr>
        <w:rFonts w:hint="eastAsia"/>
      </w:rPr>
    </w:lvl>
    <w:lvl w:ilvl="6">
      <w:start w:val="1"/>
      <w:numFmt w:val="decimal"/>
      <w:isLgl w:val="false"/>
      <w:suff w:val="tab"/>
      <w:lvlText w:val="%1.%2.%3.%4.%5.%6.%7"/>
      <w:lvlJc w:val="left"/>
      <w:pPr>
        <w:pStyle w:val="1013"/>
        <w:ind w:left="425" w:hanging="425"/>
      </w:pPr>
      <w:rPr>
        <w:rFonts w:hint="eastAsia"/>
      </w:rPr>
    </w:lvl>
    <w:lvl w:ilvl="7">
      <w:start w:val="1"/>
      <w:numFmt w:val="decimal"/>
      <w:isLgl w:val="false"/>
      <w:suff w:val="tab"/>
      <w:lvlText w:val="%1.%2.%3.%4.%5.%6.%7.%8"/>
      <w:lvlJc w:val="left"/>
      <w:pPr>
        <w:pStyle w:val="1013"/>
        <w:ind w:left="425" w:hanging="425"/>
      </w:pPr>
      <w:rPr>
        <w:rFonts w:hint="eastAsia"/>
      </w:rPr>
    </w:lvl>
    <w:lvl w:ilvl="8">
      <w:start w:val="1"/>
      <w:numFmt w:val="decimal"/>
      <w:isLgl w:val="false"/>
      <w:suff w:val="tab"/>
      <w:lvlText w:val="%1.%2.%3.%4.%5.%6.%7.%8.%9"/>
      <w:lvlJc w:val="left"/>
      <w:pPr>
        <w:pStyle w:val="1013"/>
        <w:ind w:left="425" w:hanging="425"/>
      </w:pPr>
      <w:rPr>
        <w:rFonts w:hint="eastAsia"/>
      </w:rPr>
    </w:lvl>
  </w:abstractNum>
  <w:abstractNum w:abstractNumId="5">
    <w:multiLevelType w:val="hybridMultilevel"/>
    <w:lvl w:ilvl="0">
      <w:start w:val="2"/>
      <w:numFmt w:val="decimal"/>
      <w:isLgl w:val="false"/>
      <w:suff w:val="space"/>
      <w:lvlText w:val="%1."/>
      <w:lvlJc w:val="left"/>
      <w:pPr>
        <w:pStyle w:val="1013"/>
      </w:pPr>
    </w:lvl>
    <w:lvl w:ilvl="1">
      <w:start w:val="1"/>
      <w:numFmt w:val="bullet"/>
      <w:isLgl w:val="false"/>
      <w:suff w:val="tab"/>
      <w:lvlText w:val="o"/>
      <w:lvlJc w:val="left"/>
      <w:pPr>
        <w:pStyle w:val="1013"/>
        <w:ind w:left="1440" w:hanging="360"/>
      </w:pPr>
      <w:rPr>
        <w:rFonts w:ascii="Courier New" w:hAnsi="Courier New" w:eastAsia="Courier New" w:cs="Courier New"/>
      </w:rPr>
    </w:lvl>
    <w:lvl w:ilvl="2">
      <w:start w:val="1"/>
      <w:numFmt w:val="bullet"/>
      <w:isLgl w:val="false"/>
      <w:suff w:val="tab"/>
      <w:lvlText w:val="§"/>
      <w:lvlJc w:val="left"/>
      <w:pPr>
        <w:pStyle w:val="1013"/>
        <w:ind w:left="2160" w:hanging="360"/>
      </w:pPr>
      <w:rPr>
        <w:rFonts w:ascii="Wingdings" w:hAnsi="Wingdings" w:eastAsia="Wingdings" w:cs="Wingdings"/>
      </w:rPr>
    </w:lvl>
    <w:lvl w:ilvl="3">
      <w:start w:val="1"/>
      <w:numFmt w:val="bullet"/>
      <w:isLgl w:val="false"/>
      <w:suff w:val="tab"/>
      <w:lvlText w:val="·"/>
      <w:lvlJc w:val="left"/>
      <w:pPr>
        <w:pStyle w:val="1013"/>
        <w:ind w:left="2880" w:hanging="360"/>
      </w:pPr>
      <w:rPr>
        <w:rFonts w:ascii="Symbol" w:hAnsi="Symbol" w:eastAsia="Symbol" w:cs="Symbol"/>
      </w:rPr>
    </w:lvl>
    <w:lvl w:ilvl="4">
      <w:start w:val="1"/>
      <w:numFmt w:val="bullet"/>
      <w:isLgl w:val="false"/>
      <w:suff w:val="tab"/>
      <w:lvlText w:val="o"/>
      <w:lvlJc w:val="left"/>
      <w:pPr>
        <w:pStyle w:val="1013"/>
        <w:ind w:left="3600" w:hanging="360"/>
      </w:pPr>
      <w:rPr>
        <w:rFonts w:ascii="Courier New" w:hAnsi="Courier New" w:eastAsia="Courier New" w:cs="Courier New"/>
      </w:rPr>
    </w:lvl>
    <w:lvl w:ilvl="5">
      <w:start w:val="1"/>
      <w:numFmt w:val="bullet"/>
      <w:isLgl w:val="false"/>
      <w:suff w:val="tab"/>
      <w:lvlText w:val="§"/>
      <w:lvlJc w:val="left"/>
      <w:pPr>
        <w:pStyle w:val="1013"/>
        <w:ind w:left="4320" w:hanging="360"/>
      </w:pPr>
      <w:rPr>
        <w:rFonts w:ascii="Wingdings" w:hAnsi="Wingdings" w:eastAsia="Wingdings" w:cs="Wingdings"/>
      </w:rPr>
    </w:lvl>
    <w:lvl w:ilvl="6">
      <w:start w:val="1"/>
      <w:numFmt w:val="bullet"/>
      <w:isLgl w:val="false"/>
      <w:suff w:val="tab"/>
      <w:lvlText w:val="·"/>
      <w:lvlJc w:val="left"/>
      <w:pPr>
        <w:pStyle w:val="1013"/>
        <w:ind w:left="5040" w:hanging="360"/>
      </w:pPr>
      <w:rPr>
        <w:rFonts w:ascii="Symbol" w:hAnsi="Symbol" w:eastAsia="Symbol" w:cs="Symbol"/>
      </w:rPr>
    </w:lvl>
    <w:lvl w:ilvl="7">
      <w:start w:val="1"/>
      <w:numFmt w:val="bullet"/>
      <w:isLgl w:val="false"/>
      <w:suff w:val="tab"/>
      <w:lvlText w:val="o"/>
      <w:lvlJc w:val="left"/>
      <w:pPr>
        <w:pStyle w:val="1013"/>
        <w:ind w:left="5760" w:hanging="360"/>
      </w:pPr>
      <w:rPr>
        <w:rFonts w:ascii="Courier New" w:hAnsi="Courier New" w:eastAsia="Courier New" w:cs="Courier New"/>
      </w:rPr>
    </w:lvl>
    <w:lvl w:ilvl="8">
      <w:start w:val="1"/>
      <w:numFmt w:val="bullet"/>
      <w:isLgl w:val="false"/>
      <w:suff w:val="tab"/>
      <w:lvlText w:val="§"/>
      <w:lvlJc w:val="left"/>
      <w:pPr>
        <w:pStyle w:val="1013"/>
        <w:ind w:left="6480" w:hanging="360"/>
      </w:pPr>
      <w:rPr>
        <w:rFonts w:ascii="Wingdings" w:hAnsi="Wingdings" w:eastAsia="Wingdings" w:cs="Wingdings"/>
      </w:rPr>
    </w:lvl>
  </w:abstractNum>
  <w:abstractNum w:abstractNumId="6">
    <w:multiLevelType w:val="hybridMultilevel"/>
    <w:lvl w:ilvl="0">
      <w:start w:val="4"/>
      <w:numFmt w:val="chineseCounting"/>
      <w:isLgl w:val="false"/>
      <w:suff w:val="nothing"/>
      <w:lvlText w:val="%1、"/>
      <w:lvlJc w:val="left"/>
      <w:pPr>
        <w:pStyle w:val="101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101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chineseCounting"/>
      <w:isLgl w:val="false"/>
      <w:suff w:val="space"/>
      <w:lvlText w:val="第%1章"/>
      <w:lvlJc w:val="left"/>
      <w:pPr>
        <w:pStyle w:val="101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nothing"/>
      <w:lvlText w:val="%1、"/>
      <w:lvlJc w:val="left"/>
      <w:pPr>
        <w:pStyle w:val="1013"/>
      </w:pPr>
    </w:lvl>
    <w:lvl w:ilvl="1">
      <w:start w:val="1"/>
      <w:numFmt w:val="bullet"/>
      <w:isLgl w:val="false"/>
      <w:suff w:val="tab"/>
      <w:lvlText w:val="o"/>
      <w:lvlJc w:val="left"/>
      <w:pPr>
        <w:pStyle w:val="1013"/>
        <w:ind w:left="1440" w:hanging="360"/>
      </w:pPr>
      <w:rPr>
        <w:rFonts w:ascii="Courier New" w:hAnsi="Courier New" w:eastAsia="Courier New" w:cs="Courier New"/>
      </w:rPr>
    </w:lvl>
    <w:lvl w:ilvl="2">
      <w:start w:val="1"/>
      <w:numFmt w:val="bullet"/>
      <w:isLgl w:val="false"/>
      <w:suff w:val="tab"/>
      <w:lvlText w:val="§"/>
      <w:lvlJc w:val="left"/>
      <w:pPr>
        <w:pStyle w:val="1013"/>
        <w:ind w:left="2160" w:hanging="360"/>
      </w:pPr>
      <w:rPr>
        <w:rFonts w:ascii="Wingdings" w:hAnsi="Wingdings" w:eastAsia="Wingdings" w:cs="Wingdings"/>
      </w:rPr>
    </w:lvl>
    <w:lvl w:ilvl="3">
      <w:start w:val="1"/>
      <w:numFmt w:val="bullet"/>
      <w:isLgl w:val="false"/>
      <w:suff w:val="tab"/>
      <w:lvlText w:val="·"/>
      <w:lvlJc w:val="left"/>
      <w:pPr>
        <w:pStyle w:val="1013"/>
        <w:ind w:left="2880" w:hanging="360"/>
      </w:pPr>
      <w:rPr>
        <w:rFonts w:ascii="Symbol" w:hAnsi="Symbol" w:eastAsia="Symbol" w:cs="Symbol"/>
      </w:rPr>
    </w:lvl>
    <w:lvl w:ilvl="4">
      <w:start w:val="1"/>
      <w:numFmt w:val="bullet"/>
      <w:isLgl w:val="false"/>
      <w:suff w:val="tab"/>
      <w:lvlText w:val="o"/>
      <w:lvlJc w:val="left"/>
      <w:pPr>
        <w:pStyle w:val="1013"/>
        <w:ind w:left="3600" w:hanging="360"/>
      </w:pPr>
      <w:rPr>
        <w:rFonts w:ascii="Courier New" w:hAnsi="Courier New" w:eastAsia="Courier New" w:cs="Courier New"/>
      </w:rPr>
    </w:lvl>
    <w:lvl w:ilvl="5">
      <w:start w:val="1"/>
      <w:numFmt w:val="bullet"/>
      <w:isLgl w:val="false"/>
      <w:suff w:val="tab"/>
      <w:lvlText w:val="§"/>
      <w:lvlJc w:val="left"/>
      <w:pPr>
        <w:pStyle w:val="1013"/>
        <w:ind w:left="4320" w:hanging="360"/>
      </w:pPr>
      <w:rPr>
        <w:rFonts w:ascii="Wingdings" w:hAnsi="Wingdings" w:eastAsia="Wingdings" w:cs="Wingdings"/>
      </w:rPr>
    </w:lvl>
    <w:lvl w:ilvl="6">
      <w:start w:val="1"/>
      <w:numFmt w:val="bullet"/>
      <w:isLgl w:val="false"/>
      <w:suff w:val="tab"/>
      <w:lvlText w:val="·"/>
      <w:lvlJc w:val="left"/>
      <w:pPr>
        <w:pStyle w:val="1013"/>
        <w:ind w:left="5040" w:hanging="360"/>
      </w:pPr>
      <w:rPr>
        <w:rFonts w:ascii="Symbol" w:hAnsi="Symbol" w:eastAsia="Symbol" w:cs="Symbol"/>
      </w:rPr>
    </w:lvl>
    <w:lvl w:ilvl="7">
      <w:start w:val="1"/>
      <w:numFmt w:val="bullet"/>
      <w:isLgl w:val="false"/>
      <w:suff w:val="tab"/>
      <w:lvlText w:val="o"/>
      <w:lvlJc w:val="left"/>
      <w:pPr>
        <w:pStyle w:val="1013"/>
        <w:ind w:left="5760" w:hanging="360"/>
      </w:pPr>
      <w:rPr>
        <w:rFonts w:ascii="Courier New" w:hAnsi="Courier New" w:eastAsia="Courier New" w:cs="Courier New"/>
      </w:rPr>
    </w:lvl>
    <w:lvl w:ilvl="8">
      <w:start w:val="1"/>
      <w:numFmt w:val="bullet"/>
      <w:isLgl w:val="false"/>
      <w:suff w:val="tab"/>
      <w:lvlText w:val="§"/>
      <w:lvlJc w:val="left"/>
      <w:pPr>
        <w:pStyle w:val="1013"/>
        <w:ind w:left="6480" w:hanging="360"/>
      </w:pPr>
      <w:rPr>
        <w:rFonts w:ascii="Wingdings" w:hAnsi="Wingdings" w:eastAsia="Wingdings" w:cs="Wingdings"/>
      </w:rPr>
    </w:lvl>
  </w:abstractNum>
  <w:abstractNum w:abstractNumId="10">
    <w:multiLevelType w:val="hybridMultilevel"/>
    <w:lvl w:ilvl="0">
      <w:start w:val="1"/>
      <w:numFmt w:val="decimal"/>
      <w:isLgl w:val="false"/>
      <w:suff w:val="tab"/>
      <w:lvlText w:val="第%1章"/>
      <w:lvlJc w:val="left"/>
      <w:pPr>
        <w:ind w:left="0" w:firstLine="0"/>
      </w:pPr>
    </w:lvl>
    <w:lvl w:ilvl="1">
      <w:start w:val="1"/>
      <w:numFmt w:val="bullet"/>
      <w:isLgl w:val="false"/>
      <w:suff w:val="tab"/>
      <w:lvlText w:val="o"/>
      <w:lvlJc w:val="left"/>
      <w:pPr>
        <w:ind w:left="1440" w:hanging="360"/>
      </w:pPr>
    </w:lvl>
    <w:lvl w:ilvl="2">
      <w:start w:val="1"/>
      <w:numFmt w:val="bullet"/>
      <w:isLgl w:val="false"/>
      <w:suff w:val="tab"/>
      <w:lvlText w:val="§"/>
      <w:lvlJc w:val="left"/>
      <w:pPr>
        <w:ind w:left="2160" w:hanging="360"/>
      </w:pPr>
    </w:lvl>
    <w:lvl w:ilvl="3">
      <w:start w:val="1"/>
      <w:numFmt w:val="bullet"/>
      <w:isLgl w:val="false"/>
      <w:suff w:val="tab"/>
      <w:lvlText w:val="·"/>
      <w:lvlJc w:val="left"/>
      <w:pPr>
        <w:ind w:left="2880" w:hanging="360"/>
      </w:pPr>
    </w:lvl>
    <w:lvl w:ilvl="4">
      <w:start w:val="1"/>
      <w:numFmt w:val="bullet"/>
      <w:isLgl w:val="false"/>
      <w:suff w:val="tab"/>
      <w:lvlText w:val="o"/>
      <w:lvlJc w:val="left"/>
      <w:pPr>
        <w:ind w:left="3600" w:hanging="360"/>
      </w:pPr>
    </w:lvl>
    <w:lvl w:ilvl="5">
      <w:start w:val="1"/>
      <w:numFmt w:val="bullet"/>
      <w:isLgl w:val="false"/>
      <w:suff w:val="tab"/>
      <w:lvlText w:val="§"/>
      <w:lvlJc w:val="left"/>
      <w:pPr>
        <w:ind w:left="4320" w:hanging="360"/>
      </w:pPr>
    </w:lvl>
    <w:lvl w:ilvl="6">
      <w:start w:val="1"/>
      <w:numFmt w:val="bullet"/>
      <w:isLgl w:val="false"/>
      <w:suff w:val="tab"/>
      <w:lvlText w:val="·"/>
      <w:lvlJc w:val="left"/>
      <w:pPr>
        <w:ind w:left="5040" w:hanging="360"/>
      </w:pPr>
    </w:lvl>
    <w:lvl w:ilvl="7">
      <w:start w:val="1"/>
      <w:numFmt w:val="bullet"/>
      <w:isLgl w:val="false"/>
      <w:suff w:val="tab"/>
      <w:lvlText w:val="o"/>
      <w:lvlJc w:val="left"/>
      <w:pPr>
        <w:ind w:left="5760" w:hanging="360"/>
      </w:pPr>
    </w:lvl>
    <w:lvl w:ilvl="8">
      <w:start w:val="1"/>
      <w:numFmt w:val="bullet"/>
      <w:isLgl w:val="false"/>
      <w:suff w:val="tab"/>
      <w:lvlText w:val="§"/>
      <w:lvlJc w:val="left"/>
      <w:pPr>
        <w:ind w:left="6480" w:hanging="360"/>
      </w:pPr>
    </w:lvl>
  </w:abstractNum>
  <w:abstractNum w:abstractNumId="11">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3"/>
      <w:numFmt w:val="decimal"/>
      <w:isLgl w:val="false"/>
      <w:suff w:val="tab"/>
      <w:lvlText w:val="(%1)"/>
      <w:lvlJc w:val="left"/>
      <w:pPr>
        <w:ind w:left="0" w:firstLine="0"/>
      </w:pPr>
    </w:lvl>
    <w:lvl w:ilvl="1">
      <w:start w:val="1"/>
      <w:numFmt w:val="decimal"/>
      <w:isLgl w:val="false"/>
      <w:suff w:val="tab"/>
      <w:lvlText w:val="%2."/>
      <w:lvlJc w:val="left"/>
      <w:pPr>
        <w:ind w:left="1440" w:hanging="360"/>
      </w:pPr>
    </w:lvl>
    <w:lvl w:ilvl="2">
      <w:start w:val="1"/>
      <w:numFmt w:val="decimal"/>
      <w:isLgl w:val="false"/>
      <w:suff w:val="tab"/>
      <w:lvlText w:val="%3."/>
      <w:lvlJc w:val="left"/>
      <w:pPr>
        <w:ind w:left="2160" w:hanging="360"/>
      </w:pPr>
    </w:lvl>
    <w:lvl w:ilvl="3">
      <w:start w:val="1"/>
      <w:numFmt w:val="decimal"/>
      <w:isLgl w:val="false"/>
      <w:suff w:val="tab"/>
      <w:lvlText w:val="%4."/>
      <w:lvlJc w:val="left"/>
      <w:pPr>
        <w:ind w:left="2880" w:hanging="360"/>
      </w:pPr>
    </w:lvl>
    <w:lvl w:ilvl="4">
      <w:start w:val="1"/>
      <w:numFmt w:val="decimal"/>
      <w:isLgl w:val="false"/>
      <w:suff w:val="tab"/>
      <w:lvlText w:val="%5."/>
      <w:lvlJc w:val="left"/>
      <w:pPr>
        <w:ind w:left="3600" w:hanging="360"/>
      </w:pPr>
    </w:lvl>
    <w:lvl w:ilvl="5">
      <w:start w:val="1"/>
      <w:numFmt w:val="decimal"/>
      <w:isLgl w:val="false"/>
      <w:suff w:val="tab"/>
      <w:lvlText w:val="%6."/>
      <w:lvlJc w:val="left"/>
      <w:pPr>
        <w:ind w:left="4320" w:hanging="360"/>
      </w:pPr>
    </w:lvl>
    <w:lvl w:ilvl="6">
      <w:start w:val="1"/>
      <w:numFmt w:val="decimal"/>
      <w:isLgl w:val="false"/>
      <w:suff w:val="tab"/>
      <w:lvlText w:val="%7."/>
      <w:lvlJc w:val="left"/>
      <w:pPr>
        <w:ind w:left="5040" w:hanging="360"/>
      </w:pPr>
    </w:lvl>
    <w:lvl w:ilvl="7">
      <w:start w:val="1"/>
      <w:numFmt w:val="decimal"/>
      <w:isLgl w:val="false"/>
      <w:suff w:val="tab"/>
      <w:lvlText w:val="%8."/>
      <w:lvlJc w:val="left"/>
      <w:pPr>
        <w:ind w:left="5760" w:hanging="360"/>
      </w:pPr>
    </w:lvl>
    <w:lvl w:ilvl="8">
      <w:start w:val="1"/>
      <w:numFmt w:val="decimal"/>
      <w:isLgl w:val="false"/>
      <w:suff w:val="tab"/>
      <w:lvlText w:val="%9."/>
      <w:lvlJc w:val="left"/>
      <w:pPr>
        <w:ind w:left="6480" w:hanging="360"/>
      </w:pPr>
    </w:lvl>
  </w:abstractNum>
  <w:abstractNum w:abstractNumId="15">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8">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3"/>
  </w:num>
  <w:num w:numId="2">
    <w:abstractNumId w:val="4"/>
  </w:num>
  <w:num w:numId="3">
    <w:abstractNumId w:val="2"/>
  </w:num>
  <w:num w:numId="4">
    <w:abstractNumId w:val="8"/>
  </w:num>
  <w:num w:numId="5">
    <w:abstractNumId w:val="6"/>
  </w:num>
  <w:num w:numId="6">
    <w:abstractNumId w:val="0"/>
  </w:num>
  <w:num w:numId="7">
    <w:abstractNumId w:val="5"/>
  </w:num>
  <w:num w:numId="8">
    <w:abstractNumId w:val="7"/>
  </w:num>
  <w:num w:numId="9">
    <w:abstractNumId w:val="1"/>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6">
    <w:name w:val="Heading 1"/>
    <w:basedOn w:val="1013"/>
    <w:next w:val="1013"/>
    <w:link w:val="837"/>
    <w:uiPriority w:val="9"/>
    <w:qFormat/>
    <w:pPr>
      <w:keepLines/>
      <w:keepNext/>
      <w:spacing w:before="480" w:after="200"/>
      <w:outlineLvl w:val="0"/>
    </w:pPr>
    <w:rPr>
      <w:rFonts w:ascii="Arial" w:hAnsi="Arial" w:eastAsia="Arial" w:cs="Arial"/>
      <w:sz w:val="40"/>
      <w:szCs w:val="40"/>
    </w:rPr>
  </w:style>
  <w:style w:type="character" w:styleId="837">
    <w:name w:val="Heading 1 Char"/>
    <w:link w:val="836"/>
    <w:uiPriority w:val="9"/>
    <w:rPr>
      <w:rFonts w:ascii="Arial" w:hAnsi="Arial" w:eastAsia="Arial" w:cs="Arial"/>
      <w:sz w:val="40"/>
      <w:szCs w:val="40"/>
    </w:rPr>
  </w:style>
  <w:style w:type="paragraph" w:styleId="838">
    <w:name w:val="Heading 2"/>
    <w:basedOn w:val="1013"/>
    <w:next w:val="1013"/>
    <w:link w:val="839"/>
    <w:uiPriority w:val="9"/>
    <w:unhideWhenUsed/>
    <w:qFormat/>
    <w:pPr>
      <w:keepLines/>
      <w:keepNext/>
      <w:spacing w:before="360" w:after="200"/>
      <w:outlineLvl w:val="1"/>
    </w:pPr>
    <w:rPr>
      <w:rFonts w:ascii="Arial" w:hAnsi="Arial" w:eastAsia="Arial" w:cs="Arial"/>
      <w:sz w:val="34"/>
    </w:rPr>
  </w:style>
  <w:style w:type="character" w:styleId="839">
    <w:name w:val="Heading 2 Char"/>
    <w:link w:val="838"/>
    <w:uiPriority w:val="9"/>
    <w:rPr>
      <w:rFonts w:ascii="Arial" w:hAnsi="Arial" w:eastAsia="Arial" w:cs="Arial"/>
      <w:sz w:val="34"/>
    </w:rPr>
  </w:style>
  <w:style w:type="paragraph" w:styleId="840">
    <w:name w:val="Heading 3"/>
    <w:basedOn w:val="1013"/>
    <w:next w:val="1013"/>
    <w:link w:val="841"/>
    <w:uiPriority w:val="9"/>
    <w:unhideWhenUsed/>
    <w:qFormat/>
    <w:pPr>
      <w:keepLines/>
      <w:keepNext/>
      <w:spacing w:before="320" w:after="200"/>
      <w:outlineLvl w:val="2"/>
    </w:pPr>
    <w:rPr>
      <w:rFonts w:ascii="Arial" w:hAnsi="Arial" w:eastAsia="Arial" w:cs="Arial"/>
      <w:sz w:val="30"/>
      <w:szCs w:val="30"/>
    </w:rPr>
  </w:style>
  <w:style w:type="character" w:styleId="841">
    <w:name w:val="Heading 3 Char"/>
    <w:link w:val="840"/>
    <w:uiPriority w:val="9"/>
    <w:rPr>
      <w:rFonts w:ascii="Arial" w:hAnsi="Arial" w:eastAsia="Arial" w:cs="Arial"/>
      <w:sz w:val="30"/>
      <w:szCs w:val="30"/>
    </w:rPr>
  </w:style>
  <w:style w:type="paragraph" w:styleId="842">
    <w:name w:val="Heading 4"/>
    <w:basedOn w:val="1013"/>
    <w:next w:val="1013"/>
    <w:link w:val="843"/>
    <w:uiPriority w:val="9"/>
    <w:unhideWhenUsed/>
    <w:qFormat/>
    <w:pPr>
      <w:keepLines/>
      <w:keepNext/>
      <w:spacing w:before="320" w:after="200"/>
      <w:outlineLvl w:val="3"/>
    </w:pPr>
    <w:rPr>
      <w:rFonts w:ascii="Arial" w:hAnsi="Arial" w:eastAsia="Arial" w:cs="Arial"/>
      <w:b/>
      <w:bCs/>
      <w:sz w:val="26"/>
      <w:szCs w:val="26"/>
    </w:rPr>
  </w:style>
  <w:style w:type="character" w:styleId="843">
    <w:name w:val="Heading 4 Char"/>
    <w:link w:val="842"/>
    <w:uiPriority w:val="9"/>
    <w:rPr>
      <w:rFonts w:ascii="Arial" w:hAnsi="Arial" w:eastAsia="Arial" w:cs="Arial"/>
      <w:b/>
      <w:bCs/>
      <w:sz w:val="26"/>
      <w:szCs w:val="26"/>
    </w:rPr>
  </w:style>
  <w:style w:type="paragraph" w:styleId="844">
    <w:name w:val="Heading 5"/>
    <w:basedOn w:val="1013"/>
    <w:next w:val="1013"/>
    <w:link w:val="845"/>
    <w:uiPriority w:val="9"/>
    <w:unhideWhenUsed/>
    <w:qFormat/>
    <w:pPr>
      <w:keepLines/>
      <w:keepNext/>
      <w:spacing w:before="320" w:after="200"/>
      <w:outlineLvl w:val="4"/>
    </w:pPr>
    <w:rPr>
      <w:rFonts w:ascii="Arial" w:hAnsi="Arial" w:eastAsia="Arial" w:cs="Arial"/>
      <w:b/>
      <w:bCs/>
      <w:sz w:val="24"/>
      <w:szCs w:val="24"/>
    </w:rPr>
  </w:style>
  <w:style w:type="character" w:styleId="845">
    <w:name w:val="Heading 5 Char"/>
    <w:link w:val="844"/>
    <w:uiPriority w:val="9"/>
    <w:rPr>
      <w:rFonts w:ascii="Arial" w:hAnsi="Arial" w:eastAsia="Arial" w:cs="Arial"/>
      <w:b/>
      <w:bCs/>
      <w:sz w:val="24"/>
      <w:szCs w:val="24"/>
    </w:rPr>
  </w:style>
  <w:style w:type="paragraph" w:styleId="846">
    <w:name w:val="Heading 6"/>
    <w:basedOn w:val="1013"/>
    <w:next w:val="1013"/>
    <w:link w:val="847"/>
    <w:uiPriority w:val="9"/>
    <w:unhideWhenUsed/>
    <w:qFormat/>
    <w:pPr>
      <w:keepLines/>
      <w:keepNext/>
      <w:spacing w:before="320" w:after="200"/>
      <w:outlineLvl w:val="5"/>
    </w:pPr>
    <w:rPr>
      <w:rFonts w:ascii="Arial" w:hAnsi="Arial" w:eastAsia="Arial" w:cs="Arial"/>
      <w:b/>
      <w:bCs/>
      <w:sz w:val="22"/>
      <w:szCs w:val="22"/>
    </w:rPr>
  </w:style>
  <w:style w:type="character" w:styleId="847">
    <w:name w:val="Heading 6 Char"/>
    <w:link w:val="846"/>
    <w:uiPriority w:val="9"/>
    <w:rPr>
      <w:rFonts w:ascii="Arial" w:hAnsi="Arial" w:eastAsia="Arial" w:cs="Arial"/>
      <w:b/>
      <w:bCs/>
      <w:sz w:val="22"/>
      <w:szCs w:val="22"/>
    </w:rPr>
  </w:style>
  <w:style w:type="paragraph" w:styleId="848">
    <w:name w:val="Heading 7"/>
    <w:basedOn w:val="1013"/>
    <w:next w:val="1013"/>
    <w:link w:val="849"/>
    <w:uiPriority w:val="9"/>
    <w:unhideWhenUsed/>
    <w:qFormat/>
    <w:pPr>
      <w:keepLines/>
      <w:keepNext/>
      <w:spacing w:before="320" w:after="200"/>
      <w:outlineLvl w:val="6"/>
    </w:pPr>
    <w:rPr>
      <w:rFonts w:ascii="Arial" w:hAnsi="Arial" w:eastAsia="Arial" w:cs="Arial"/>
      <w:b/>
      <w:bCs/>
      <w:i/>
      <w:iCs/>
      <w:sz w:val="22"/>
      <w:szCs w:val="22"/>
    </w:rPr>
  </w:style>
  <w:style w:type="character" w:styleId="849">
    <w:name w:val="Heading 7 Char"/>
    <w:link w:val="848"/>
    <w:uiPriority w:val="9"/>
    <w:rPr>
      <w:rFonts w:ascii="Arial" w:hAnsi="Arial" w:eastAsia="Arial" w:cs="Arial"/>
      <w:b/>
      <w:bCs/>
      <w:i/>
      <w:iCs/>
      <w:sz w:val="22"/>
      <w:szCs w:val="22"/>
    </w:rPr>
  </w:style>
  <w:style w:type="paragraph" w:styleId="850">
    <w:name w:val="Heading 8"/>
    <w:basedOn w:val="1013"/>
    <w:next w:val="1013"/>
    <w:link w:val="851"/>
    <w:uiPriority w:val="9"/>
    <w:unhideWhenUsed/>
    <w:qFormat/>
    <w:pPr>
      <w:keepLines/>
      <w:keepNext/>
      <w:spacing w:before="320" w:after="200"/>
      <w:outlineLvl w:val="7"/>
    </w:pPr>
    <w:rPr>
      <w:rFonts w:ascii="Arial" w:hAnsi="Arial" w:eastAsia="Arial" w:cs="Arial"/>
      <w:i/>
      <w:iCs/>
      <w:sz w:val="22"/>
      <w:szCs w:val="22"/>
    </w:rPr>
  </w:style>
  <w:style w:type="character" w:styleId="851">
    <w:name w:val="Heading 8 Char"/>
    <w:link w:val="850"/>
    <w:uiPriority w:val="9"/>
    <w:rPr>
      <w:rFonts w:ascii="Arial" w:hAnsi="Arial" w:eastAsia="Arial" w:cs="Arial"/>
      <w:i/>
      <w:iCs/>
      <w:sz w:val="22"/>
      <w:szCs w:val="22"/>
    </w:rPr>
  </w:style>
  <w:style w:type="paragraph" w:styleId="852">
    <w:name w:val="Heading 9"/>
    <w:basedOn w:val="1013"/>
    <w:next w:val="1013"/>
    <w:link w:val="853"/>
    <w:uiPriority w:val="9"/>
    <w:unhideWhenUsed/>
    <w:qFormat/>
    <w:pPr>
      <w:keepLines/>
      <w:keepNext/>
      <w:spacing w:before="320" w:after="200"/>
      <w:outlineLvl w:val="8"/>
    </w:pPr>
    <w:rPr>
      <w:rFonts w:ascii="Arial" w:hAnsi="Arial" w:eastAsia="Arial" w:cs="Arial"/>
      <w:i/>
      <w:iCs/>
      <w:sz w:val="21"/>
      <w:szCs w:val="21"/>
    </w:rPr>
  </w:style>
  <w:style w:type="character" w:styleId="853">
    <w:name w:val="Heading 9 Char"/>
    <w:link w:val="852"/>
    <w:uiPriority w:val="9"/>
    <w:rPr>
      <w:rFonts w:ascii="Arial" w:hAnsi="Arial" w:eastAsia="Arial" w:cs="Arial"/>
      <w:i/>
      <w:iCs/>
      <w:sz w:val="21"/>
      <w:szCs w:val="21"/>
    </w:rPr>
  </w:style>
  <w:style w:type="paragraph" w:styleId="854">
    <w:name w:val="No Spacing"/>
    <w:uiPriority w:val="1"/>
    <w:qFormat/>
    <w:pPr>
      <w:spacing w:before="0" w:after="0" w:line="240" w:lineRule="auto"/>
    </w:pPr>
  </w:style>
  <w:style w:type="paragraph" w:styleId="855">
    <w:name w:val="Title"/>
    <w:basedOn w:val="1013"/>
    <w:next w:val="1013"/>
    <w:link w:val="856"/>
    <w:uiPriority w:val="10"/>
    <w:qFormat/>
    <w:pPr>
      <w:contextualSpacing/>
      <w:spacing w:before="300" w:after="200"/>
    </w:pPr>
    <w:rPr>
      <w:sz w:val="48"/>
      <w:szCs w:val="48"/>
    </w:rPr>
  </w:style>
  <w:style w:type="character" w:styleId="856">
    <w:name w:val="Title Char"/>
    <w:link w:val="855"/>
    <w:uiPriority w:val="10"/>
    <w:rPr>
      <w:sz w:val="48"/>
      <w:szCs w:val="48"/>
    </w:rPr>
  </w:style>
  <w:style w:type="paragraph" w:styleId="857">
    <w:name w:val="Subtitle"/>
    <w:basedOn w:val="1013"/>
    <w:next w:val="1013"/>
    <w:link w:val="858"/>
    <w:uiPriority w:val="11"/>
    <w:qFormat/>
    <w:pPr>
      <w:spacing w:before="200" w:after="200"/>
    </w:pPr>
    <w:rPr>
      <w:sz w:val="24"/>
      <w:szCs w:val="24"/>
    </w:rPr>
  </w:style>
  <w:style w:type="character" w:styleId="858">
    <w:name w:val="Subtitle Char"/>
    <w:link w:val="857"/>
    <w:uiPriority w:val="11"/>
    <w:rPr>
      <w:sz w:val="24"/>
      <w:szCs w:val="24"/>
    </w:rPr>
  </w:style>
  <w:style w:type="paragraph" w:styleId="859">
    <w:name w:val="Quote"/>
    <w:basedOn w:val="1013"/>
    <w:next w:val="1013"/>
    <w:link w:val="860"/>
    <w:uiPriority w:val="29"/>
    <w:qFormat/>
    <w:pPr>
      <w:ind w:left="720" w:right="720"/>
    </w:pPr>
    <w:rPr>
      <w:i/>
    </w:rPr>
  </w:style>
  <w:style w:type="character" w:styleId="860">
    <w:name w:val="Quote Char"/>
    <w:link w:val="859"/>
    <w:uiPriority w:val="29"/>
    <w:rPr>
      <w:i/>
    </w:rPr>
  </w:style>
  <w:style w:type="paragraph" w:styleId="861">
    <w:name w:val="Intense Quote"/>
    <w:basedOn w:val="1013"/>
    <w:next w:val="1013"/>
    <w:link w:val="8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2">
    <w:name w:val="Intense Quote Char"/>
    <w:link w:val="861"/>
    <w:uiPriority w:val="30"/>
    <w:rPr>
      <w:i/>
    </w:rPr>
  </w:style>
  <w:style w:type="paragraph" w:styleId="863">
    <w:name w:val="Header"/>
    <w:basedOn w:val="1013"/>
    <w:link w:val="864"/>
    <w:uiPriority w:val="99"/>
    <w:unhideWhenUsed/>
    <w:pPr>
      <w:spacing w:after="0" w:line="240" w:lineRule="auto"/>
      <w:tabs>
        <w:tab w:val="center" w:pos="7143" w:leader="none"/>
        <w:tab w:val="right" w:pos="14287" w:leader="none"/>
      </w:tabs>
    </w:pPr>
  </w:style>
  <w:style w:type="character" w:styleId="864">
    <w:name w:val="Header Char"/>
    <w:link w:val="863"/>
    <w:uiPriority w:val="99"/>
  </w:style>
  <w:style w:type="paragraph" w:styleId="865">
    <w:name w:val="Footer"/>
    <w:basedOn w:val="1013"/>
    <w:link w:val="868"/>
    <w:uiPriority w:val="99"/>
    <w:unhideWhenUsed/>
    <w:pPr>
      <w:spacing w:after="0" w:line="240" w:lineRule="auto"/>
      <w:tabs>
        <w:tab w:val="center" w:pos="7143" w:leader="none"/>
        <w:tab w:val="right" w:pos="14287" w:leader="none"/>
      </w:tabs>
    </w:pPr>
  </w:style>
  <w:style w:type="character" w:styleId="866">
    <w:name w:val="Footer Char"/>
    <w:link w:val="865"/>
    <w:uiPriority w:val="99"/>
  </w:style>
  <w:style w:type="paragraph" w:styleId="867">
    <w:name w:val="Caption"/>
    <w:basedOn w:val="1013"/>
    <w:next w:val="1013"/>
    <w:uiPriority w:val="35"/>
    <w:semiHidden/>
    <w:unhideWhenUsed/>
    <w:qFormat/>
    <w:pPr>
      <w:spacing w:line="276" w:lineRule="auto"/>
    </w:pPr>
    <w:rPr>
      <w:b/>
      <w:bCs/>
      <w:color w:val="4f81bd" w:themeColor="accent1"/>
      <w:sz w:val="18"/>
      <w:szCs w:val="18"/>
    </w:rPr>
  </w:style>
  <w:style w:type="character" w:styleId="868">
    <w:name w:val="Caption Char"/>
    <w:basedOn w:val="867"/>
    <w:link w:val="865"/>
    <w:uiPriority w:val="99"/>
  </w:style>
  <w:style w:type="table" w:styleId="86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5">
    <w:name w:val="Hyperlink"/>
    <w:uiPriority w:val="99"/>
    <w:unhideWhenUsed/>
    <w:rPr>
      <w:color w:val="0000ff" w:themeColor="hyperlink"/>
      <w:u w:val="single"/>
    </w:rPr>
  </w:style>
  <w:style w:type="paragraph" w:styleId="996">
    <w:name w:val="footnote text"/>
    <w:basedOn w:val="1013"/>
    <w:link w:val="997"/>
    <w:uiPriority w:val="99"/>
    <w:semiHidden/>
    <w:unhideWhenUsed/>
    <w:pPr>
      <w:spacing w:after="40" w:line="240" w:lineRule="auto"/>
    </w:pPr>
    <w:rPr>
      <w:sz w:val="18"/>
    </w:rPr>
  </w:style>
  <w:style w:type="character" w:styleId="997">
    <w:name w:val="Footnote Text Char"/>
    <w:link w:val="996"/>
    <w:uiPriority w:val="99"/>
    <w:rPr>
      <w:sz w:val="18"/>
    </w:rPr>
  </w:style>
  <w:style w:type="character" w:styleId="998">
    <w:name w:val="footnote reference"/>
    <w:uiPriority w:val="99"/>
    <w:unhideWhenUsed/>
    <w:rPr>
      <w:vertAlign w:val="superscript"/>
    </w:rPr>
  </w:style>
  <w:style w:type="paragraph" w:styleId="999">
    <w:name w:val="endnote text"/>
    <w:basedOn w:val="1013"/>
    <w:link w:val="1000"/>
    <w:uiPriority w:val="99"/>
    <w:semiHidden/>
    <w:unhideWhenUsed/>
    <w:pPr>
      <w:spacing w:after="0" w:line="240" w:lineRule="auto"/>
    </w:pPr>
    <w:rPr>
      <w:sz w:val="20"/>
    </w:rPr>
  </w:style>
  <w:style w:type="character" w:styleId="1000">
    <w:name w:val="Endnote Text Char"/>
    <w:link w:val="999"/>
    <w:uiPriority w:val="99"/>
    <w:rPr>
      <w:sz w:val="20"/>
    </w:rPr>
  </w:style>
  <w:style w:type="character" w:styleId="1001">
    <w:name w:val="endnote reference"/>
    <w:uiPriority w:val="99"/>
    <w:semiHidden/>
    <w:unhideWhenUsed/>
    <w:rPr>
      <w:vertAlign w:val="superscript"/>
    </w:rPr>
  </w:style>
  <w:style w:type="paragraph" w:styleId="1002">
    <w:name w:val="toc 1"/>
    <w:basedOn w:val="1013"/>
    <w:next w:val="1013"/>
    <w:uiPriority w:val="39"/>
    <w:unhideWhenUsed/>
    <w:pPr>
      <w:ind w:left="0" w:right="0" w:firstLine="0"/>
      <w:spacing w:after="57"/>
    </w:pPr>
  </w:style>
  <w:style w:type="paragraph" w:styleId="1003">
    <w:name w:val="toc 2"/>
    <w:basedOn w:val="1013"/>
    <w:next w:val="1013"/>
    <w:uiPriority w:val="39"/>
    <w:unhideWhenUsed/>
    <w:pPr>
      <w:ind w:left="283" w:right="0" w:firstLine="0"/>
      <w:spacing w:after="57"/>
    </w:pPr>
  </w:style>
  <w:style w:type="paragraph" w:styleId="1004">
    <w:name w:val="toc 3"/>
    <w:basedOn w:val="1013"/>
    <w:next w:val="1013"/>
    <w:uiPriority w:val="39"/>
    <w:unhideWhenUsed/>
    <w:pPr>
      <w:ind w:left="567" w:right="0" w:firstLine="0"/>
      <w:spacing w:after="57"/>
    </w:pPr>
  </w:style>
  <w:style w:type="paragraph" w:styleId="1005">
    <w:name w:val="toc 4"/>
    <w:basedOn w:val="1013"/>
    <w:next w:val="1013"/>
    <w:uiPriority w:val="39"/>
    <w:unhideWhenUsed/>
    <w:pPr>
      <w:ind w:left="850" w:right="0" w:firstLine="0"/>
      <w:spacing w:after="57"/>
    </w:pPr>
  </w:style>
  <w:style w:type="paragraph" w:styleId="1006">
    <w:name w:val="toc 5"/>
    <w:basedOn w:val="1013"/>
    <w:next w:val="1013"/>
    <w:uiPriority w:val="39"/>
    <w:unhideWhenUsed/>
    <w:pPr>
      <w:ind w:left="1134" w:right="0" w:firstLine="0"/>
      <w:spacing w:after="57"/>
    </w:pPr>
  </w:style>
  <w:style w:type="paragraph" w:styleId="1007">
    <w:name w:val="toc 6"/>
    <w:basedOn w:val="1013"/>
    <w:next w:val="1013"/>
    <w:uiPriority w:val="39"/>
    <w:unhideWhenUsed/>
    <w:pPr>
      <w:ind w:left="1417" w:right="0" w:firstLine="0"/>
      <w:spacing w:after="57"/>
    </w:pPr>
  </w:style>
  <w:style w:type="paragraph" w:styleId="1008">
    <w:name w:val="toc 7"/>
    <w:basedOn w:val="1013"/>
    <w:next w:val="1013"/>
    <w:uiPriority w:val="39"/>
    <w:unhideWhenUsed/>
    <w:pPr>
      <w:ind w:left="1701" w:right="0" w:firstLine="0"/>
      <w:spacing w:after="57"/>
    </w:pPr>
  </w:style>
  <w:style w:type="paragraph" w:styleId="1009">
    <w:name w:val="toc 8"/>
    <w:basedOn w:val="1013"/>
    <w:next w:val="1013"/>
    <w:uiPriority w:val="39"/>
    <w:unhideWhenUsed/>
    <w:pPr>
      <w:ind w:left="1984" w:right="0" w:firstLine="0"/>
      <w:spacing w:after="57"/>
    </w:pPr>
  </w:style>
  <w:style w:type="paragraph" w:styleId="1010">
    <w:name w:val="toc 9"/>
    <w:basedOn w:val="1013"/>
    <w:next w:val="1013"/>
    <w:uiPriority w:val="39"/>
    <w:unhideWhenUsed/>
    <w:pPr>
      <w:ind w:left="2268" w:right="0" w:firstLine="0"/>
      <w:spacing w:after="57"/>
    </w:pPr>
  </w:style>
  <w:style w:type="paragraph" w:styleId="1011">
    <w:name w:val="TOC Heading"/>
    <w:uiPriority w:val="39"/>
    <w:unhideWhenUsed/>
  </w:style>
  <w:style w:type="paragraph" w:styleId="1012">
    <w:name w:val="table of figures"/>
    <w:basedOn w:val="1013"/>
    <w:next w:val="1013"/>
    <w:uiPriority w:val="99"/>
    <w:unhideWhenUsed/>
    <w:pPr>
      <w:spacing w:after="0" w:afterAutospacing="0"/>
    </w:pPr>
  </w:style>
  <w:style w:type="paragraph" w:styleId="1013" w:default="1">
    <w:name w:val="Normal"/>
    <w:next w:val="1013"/>
    <w:link w:val="1013"/>
    <w:qFormat/>
    <w:pPr>
      <w:jc w:val="both"/>
      <w:widowControl w:val="off"/>
    </w:pPr>
    <w:rPr>
      <w:rFonts w:ascii="Times New Roman" w:hAnsi="Times New Roman" w:eastAsia="宋体" w:cs="Times New Roman"/>
      <w:sz w:val="21"/>
      <w:szCs w:val="24"/>
      <w:lang w:val="en-US" w:eastAsia="zh-CN" w:bidi="ar-SA"/>
    </w:rPr>
  </w:style>
  <w:style w:type="paragraph" w:styleId="1014">
    <w:name w:val="标题 1"/>
    <w:basedOn w:val="1013"/>
    <w:next w:val="1013"/>
    <w:link w:val="1025"/>
    <w:qFormat/>
    <w:pPr>
      <w:numPr>
        <w:ilvl w:val="0"/>
        <w:numId w:val="1"/>
      </w:numPr>
      <w:jc w:val="center"/>
      <w:keepLines/>
      <w:keepNext/>
      <w:spacing w:before="340" w:after="330" w:line="578" w:lineRule="auto"/>
      <w:outlineLvl w:val="0"/>
    </w:pPr>
    <w:rPr>
      <w:b/>
      <w:bCs/>
      <w:sz w:val="32"/>
      <w:szCs w:val="44"/>
    </w:rPr>
  </w:style>
  <w:style w:type="paragraph" w:styleId="1015">
    <w:name w:val="标题 2"/>
    <w:basedOn w:val="1013"/>
    <w:next w:val="1013"/>
    <w:link w:val="1026"/>
    <w:qFormat/>
    <w:pPr>
      <w:numPr>
        <w:ilvl w:val="1"/>
        <w:numId w:val="1"/>
      </w:numPr>
      <w:keepLines/>
      <w:keepNext/>
      <w:spacing w:before="260" w:after="260" w:line="416" w:lineRule="auto"/>
      <w:outlineLvl w:val="1"/>
    </w:pPr>
    <w:rPr>
      <w:rFonts w:ascii="Cambria" w:hAnsi="Cambria"/>
      <w:b/>
      <w:bCs/>
      <w:sz w:val="32"/>
      <w:szCs w:val="32"/>
    </w:rPr>
  </w:style>
  <w:style w:type="paragraph" w:styleId="1016">
    <w:name w:val="标题 3"/>
    <w:basedOn w:val="1013"/>
    <w:next w:val="1013"/>
    <w:link w:val="1027"/>
    <w:qFormat/>
    <w:pPr>
      <w:numPr>
        <w:ilvl w:val="2"/>
        <w:numId w:val="1"/>
      </w:numPr>
      <w:keepLines/>
      <w:keepNext/>
      <w:spacing w:before="260" w:after="260" w:line="416" w:lineRule="auto"/>
      <w:outlineLvl w:val="2"/>
    </w:pPr>
    <w:rPr>
      <w:b/>
      <w:bCs/>
      <w:sz w:val="32"/>
      <w:szCs w:val="32"/>
    </w:rPr>
  </w:style>
  <w:style w:type="paragraph" w:styleId="1017">
    <w:name w:val="标题 4"/>
    <w:basedOn w:val="1013"/>
    <w:next w:val="1013"/>
    <w:link w:val="1028"/>
    <w:qFormat/>
    <w:pPr>
      <w:numPr>
        <w:ilvl w:val="3"/>
        <w:numId w:val="1"/>
      </w:numPr>
      <w:keepLines/>
      <w:keepNext/>
      <w:spacing w:before="280" w:after="290" w:line="376" w:lineRule="auto"/>
      <w:outlineLvl w:val="3"/>
    </w:pPr>
    <w:rPr>
      <w:rFonts w:ascii="Cambria" w:hAnsi="Cambria"/>
      <w:b/>
      <w:bCs/>
      <w:sz w:val="28"/>
      <w:szCs w:val="28"/>
    </w:rPr>
  </w:style>
  <w:style w:type="paragraph" w:styleId="1018">
    <w:name w:val="标题 5"/>
    <w:basedOn w:val="1013"/>
    <w:next w:val="1013"/>
    <w:link w:val="1029"/>
    <w:qFormat/>
    <w:pPr>
      <w:numPr>
        <w:ilvl w:val="4"/>
        <w:numId w:val="1"/>
      </w:numPr>
      <w:keepLines/>
      <w:keepNext/>
      <w:spacing w:before="280" w:after="290" w:line="376" w:lineRule="auto"/>
      <w:outlineLvl w:val="4"/>
    </w:pPr>
    <w:rPr>
      <w:b/>
      <w:bCs/>
      <w:sz w:val="28"/>
      <w:szCs w:val="28"/>
    </w:rPr>
  </w:style>
  <w:style w:type="paragraph" w:styleId="1019">
    <w:name w:val="标题 6"/>
    <w:basedOn w:val="1013"/>
    <w:next w:val="1013"/>
    <w:link w:val="1030"/>
    <w:qFormat/>
    <w:pPr>
      <w:numPr>
        <w:ilvl w:val="5"/>
        <w:numId w:val="1"/>
      </w:numPr>
      <w:keepLines/>
      <w:keepNext/>
      <w:spacing w:before="240" w:after="64" w:line="320" w:lineRule="auto"/>
      <w:outlineLvl w:val="5"/>
    </w:pPr>
    <w:rPr>
      <w:rFonts w:ascii="Cambria" w:hAnsi="Cambria"/>
      <w:b/>
      <w:bCs/>
      <w:sz w:val="24"/>
    </w:rPr>
  </w:style>
  <w:style w:type="paragraph" w:styleId="1020">
    <w:name w:val="标题 7"/>
    <w:basedOn w:val="1013"/>
    <w:next w:val="1013"/>
    <w:link w:val="1031"/>
    <w:qFormat/>
    <w:pPr>
      <w:numPr>
        <w:ilvl w:val="6"/>
        <w:numId w:val="1"/>
      </w:numPr>
      <w:keepLines/>
      <w:keepNext/>
      <w:spacing w:before="240" w:after="64" w:line="320" w:lineRule="auto"/>
      <w:outlineLvl w:val="6"/>
    </w:pPr>
    <w:rPr>
      <w:b/>
      <w:bCs/>
      <w:sz w:val="24"/>
    </w:rPr>
  </w:style>
  <w:style w:type="paragraph" w:styleId="1021">
    <w:name w:val="标题 8"/>
    <w:basedOn w:val="1013"/>
    <w:next w:val="1013"/>
    <w:link w:val="1032"/>
    <w:qFormat/>
    <w:pPr>
      <w:numPr>
        <w:ilvl w:val="7"/>
        <w:numId w:val="1"/>
      </w:numPr>
      <w:keepLines/>
      <w:keepNext/>
      <w:spacing w:before="240" w:after="64" w:line="320" w:lineRule="auto"/>
      <w:outlineLvl w:val="7"/>
    </w:pPr>
    <w:rPr>
      <w:rFonts w:ascii="Cambria" w:hAnsi="Cambria"/>
      <w:sz w:val="24"/>
    </w:rPr>
  </w:style>
  <w:style w:type="paragraph" w:styleId="1022">
    <w:name w:val="标题 9"/>
    <w:basedOn w:val="1013"/>
    <w:next w:val="1013"/>
    <w:link w:val="1033"/>
    <w:qFormat/>
    <w:pPr>
      <w:numPr>
        <w:ilvl w:val="8"/>
        <w:numId w:val="1"/>
      </w:numPr>
      <w:keepLines/>
      <w:keepNext/>
      <w:spacing w:before="240" w:after="64" w:line="320" w:lineRule="auto"/>
      <w:outlineLvl w:val="8"/>
    </w:pPr>
    <w:rPr>
      <w:rFonts w:ascii="Cambria" w:hAnsi="Cambria"/>
      <w:szCs w:val="21"/>
    </w:rPr>
  </w:style>
  <w:style w:type="character" w:styleId="1023">
    <w:name w:val="默认段落字体"/>
    <w:next w:val="1023"/>
    <w:link w:val="1013"/>
    <w:uiPriority w:val="1"/>
    <w:unhideWhenUsed/>
    <w:qFormat/>
  </w:style>
  <w:style w:type="table" w:styleId="1024">
    <w:name w:val="普通表格"/>
    <w:next w:val="1024"/>
    <w:link w:val="1013"/>
    <w:uiPriority w:val="99"/>
    <w:unhideWhenUsed/>
    <w:qFormat/>
    <w:tblPr/>
  </w:style>
  <w:style w:type="character" w:styleId="1025">
    <w:name w:val="标题 1 字符"/>
    <w:next w:val="1025"/>
    <w:link w:val="1014"/>
    <w:qFormat/>
    <w:rPr>
      <w:rFonts w:ascii="Times New Roman" w:hAnsi="Times New Roman" w:eastAsia="宋体" w:cs="Times New Roman"/>
      <w:b/>
      <w:bCs/>
      <w:sz w:val="32"/>
      <w:szCs w:val="44"/>
    </w:rPr>
  </w:style>
  <w:style w:type="character" w:styleId="1026">
    <w:name w:val="标题 2 字符"/>
    <w:next w:val="1026"/>
    <w:link w:val="1015"/>
    <w:qFormat/>
    <w:rPr>
      <w:rFonts w:ascii="Cambria" w:hAnsi="Cambria"/>
      <w:b/>
      <w:bCs/>
      <w:sz w:val="32"/>
      <w:szCs w:val="32"/>
    </w:rPr>
  </w:style>
  <w:style w:type="character" w:styleId="1027">
    <w:name w:val="标题 3 字符"/>
    <w:next w:val="1027"/>
    <w:link w:val="1016"/>
    <w:qFormat/>
    <w:rPr>
      <w:b/>
      <w:bCs/>
      <w:sz w:val="32"/>
      <w:szCs w:val="32"/>
    </w:rPr>
  </w:style>
  <w:style w:type="character" w:styleId="1028">
    <w:name w:val="标题 4 字符"/>
    <w:next w:val="1028"/>
    <w:link w:val="1017"/>
    <w:qFormat/>
    <w:rPr>
      <w:rFonts w:ascii="Cambria" w:hAnsi="Cambria" w:eastAsia="宋体" w:cs="Times New Roman"/>
      <w:b/>
      <w:bCs/>
      <w:sz w:val="28"/>
      <w:szCs w:val="28"/>
    </w:rPr>
  </w:style>
  <w:style w:type="character" w:styleId="1029">
    <w:name w:val="标题 5 字符"/>
    <w:next w:val="1029"/>
    <w:link w:val="1018"/>
    <w:qFormat/>
    <w:rPr>
      <w:b/>
      <w:bCs/>
      <w:sz w:val="28"/>
      <w:szCs w:val="28"/>
    </w:rPr>
  </w:style>
  <w:style w:type="character" w:styleId="1030">
    <w:name w:val="标题 6 字符"/>
    <w:next w:val="1030"/>
    <w:link w:val="1019"/>
    <w:qFormat/>
    <w:rPr>
      <w:rFonts w:ascii="Cambria" w:hAnsi="Cambria" w:eastAsia="宋体" w:cs="Times New Roman"/>
      <w:b/>
      <w:bCs/>
      <w:sz w:val="24"/>
      <w:szCs w:val="24"/>
    </w:rPr>
  </w:style>
  <w:style w:type="character" w:styleId="1031">
    <w:name w:val="标题 7 字符"/>
    <w:next w:val="1031"/>
    <w:link w:val="1020"/>
    <w:qFormat/>
    <w:rPr>
      <w:b/>
      <w:bCs/>
      <w:sz w:val="24"/>
      <w:szCs w:val="24"/>
    </w:rPr>
  </w:style>
  <w:style w:type="character" w:styleId="1032">
    <w:name w:val="标题 8 字符"/>
    <w:next w:val="1032"/>
    <w:link w:val="1021"/>
    <w:qFormat/>
    <w:rPr>
      <w:rFonts w:ascii="Cambria" w:hAnsi="Cambria" w:eastAsia="宋体" w:cs="Times New Roman"/>
      <w:sz w:val="24"/>
      <w:szCs w:val="24"/>
    </w:rPr>
  </w:style>
  <w:style w:type="character" w:styleId="1033">
    <w:name w:val="标题 9 字符"/>
    <w:next w:val="1033"/>
    <w:link w:val="1022"/>
    <w:qFormat/>
    <w:rPr>
      <w:rFonts w:ascii="Cambria" w:hAnsi="Cambria" w:eastAsia="宋体" w:cs="Times New Roman"/>
      <w:sz w:val="21"/>
      <w:szCs w:val="21"/>
    </w:rPr>
  </w:style>
  <w:style w:type="paragraph" w:styleId="1034">
    <w:name w:val="列表 3"/>
    <w:basedOn w:val="1013"/>
    <w:next w:val="1034"/>
    <w:link w:val="1013"/>
    <w:uiPriority w:val="99"/>
    <w:unhideWhenUsed/>
    <w:qFormat/>
    <w:pPr>
      <w:ind w:left="1260" w:hanging="420"/>
      <w:spacing w:before="100" w:beforeAutospacing="1" w:after="100" w:afterAutospacing="1"/>
    </w:pPr>
    <w:rPr>
      <w:szCs w:val="21"/>
    </w:rPr>
  </w:style>
  <w:style w:type="paragraph" w:styleId="1035">
    <w:name w:val="目录 7"/>
    <w:basedOn w:val="1013"/>
    <w:next w:val="1013"/>
    <w:link w:val="1013"/>
    <w:uiPriority w:val="39"/>
    <w:unhideWhenUsed/>
    <w:qFormat/>
    <w:pPr>
      <w:ind w:left="2520"/>
    </w:pPr>
    <w:rPr>
      <w:rFonts w:ascii="Calibri" w:hAnsi="Calibri"/>
      <w:szCs w:val="22"/>
    </w:rPr>
  </w:style>
  <w:style w:type="paragraph" w:styleId="1036">
    <w:name w:val="正文缩进"/>
    <w:basedOn w:val="1013"/>
    <w:next w:val="1036"/>
    <w:link w:val="1013"/>
    <w:qFormat/>
    <w:pPr>
      <w:ind w:firstLine="420"/>
    </w:pPr>
    <w:rPr>
      <w:b/>
      <w:sz w:val="24"/>
      <w:szCs w:val="20"/>
    </w:rPr>
  </w:style>
  <w:style w:type="paragraph" w:styleId="1037">
    <w:name w:val="题注"/>
    <w:basedOn w:val="1013"/>
    <w:next w:val="1013"/>
    <w:link w:val="1013"/>
    <w:qFormat/>
    <w:rPr>
      <w:rFonts w:ascii="Cambria" w:hAnsi="Cambria" w:eastAsia="黑体"/>
      <w:sz w:val="20"/>
      <w:szCs w:val="22"/>
    </w:rPr>
  </w:style>
  <w:style w:type="paragraph" w:styleId="1038">
    <w:name w:val="文档结构图"/>
    <w:basedOn w:val="1013"/>
    <w:next w:val="1038"/>
    <w:link w:val="1039"/>
    <w:qFormat/>
    <w:rPr>
      <w:rFonts w:ascii="宋体"/>
      <w:sz w:val="18"/>
      <w:szCs w:val="18"/>
    </w:rPr>
  </w:style>
  <w:style w:type="character" w:styleId="1039">
    <w:name w:val="文档结构图 字符"/>
    <w:next w:val="1039"/>
    <w:link w:val="1038"/>
    <w:qFormat/>
    <w:rPr>
      <w:rFonts w:ascii="宋体"/>
      <w:sz w:val="18"/>
      <w:szCs w:val="18"/>
    </w:rPr>
  </w:style>
  <w:style w:type="paragraph" w:styleId="1040">
    <w:name w:val="批注文字"/>
    <w:basedOn w:val="1013"/>
    <w:next w:val="1040"/>
    <w:link w:val="1041"/>
    <w:uiPriority w:val="99"/>
    <w:qFormat/>
    <w:pPr>
      <w:jc w:val="left"/>
    </w:pPr>
  </w:style>
  <w:style w:type="character" w:styleId="1041">
    <w:name w:val="批注文字 字符"/>
    <w:next w:val="1041"/>
    <w:link w:val="1040"/>
    <w:uiPriority w:val="99"/>
    <w:qFormat/>
    <w:rPr>
      <w:sz w:val="21"/>
      <w:szCs w:val="24"/>
    </w:rPr>
  </w:style>
  <w:style w:type="paragraph" w:styleId="1042">
    <w:name w:val="正文文本 3"/>
    <w:basedOn w:val="1013"/>
    <w:next w:val="1042"/>
    <w:link w:val="1043"/>
    <w:qFormat/>
    <w:rPr>
      <w:rFonts w:ascii="宋体"/>
      <w:sz w:val="24"/>
      <w:szCs w:val="20"/>
    </w:rPr>
  </w:style>
  <w:style w:type="character" w:styleId="1043">
    <w:name w:val="正文文本 3 字符"/>
    <w:next w:val="1043"/>
    <w:link w:val="1042"/>
    <w:qFormat/>
    <w:rPr>
      <w:rFonts w:ascii="宋体"/>
      <w:sz w:val="24"/>
    </w:rPr>
  </w:style>
  <w:style w:type="paragraph" w:styleId="1044">
    <w:name w:val="正文文本"/>
    <w:basedOn w:val="1013"/>
    <w:next w:val="1044"/>
    <w:link w:val="1045"/>
    <w:qFormat/>
    <w:pPr>
      <w:jc w:val="center"/>
    </w:pPr>
    <w:rPr>
      <w:rFonts w:eastAsia="幼圆"/>
      <w:b/>
      <w:bCs/>
      <w:sz w:val="44"/>
    </w:rPr>
  </w:style>
  <w:style w:type="character" w:styleId="1045">
    <w:name w:val="正文文本 字符"/>
    <w:next w:val="1045"/>
    <w:link w:val="1044"/>
    <w:qFormat/>
    <w:rPr>
      <w:rFonts w:eastAsia="幼圆"/>
      <w:b/>
      <w:bCs/>
      <w:sz w:val="44"/>
      <w:szCs w:val="24"/>
    </w:rPr>
  </w:style>
  <w:style w:type="paragraph" w:styleId="1046">
    <w:name w:val="正文文本缩进"/>
    <w:basedOn w:val="1013"/>
    <w:next w:val="1048"/>
    <w:link w:val="1047"/>
    <w:qFormat/>
    <w:pPr>
      <w:ind w:left="420"/>
      <w:spacing w:after="120"/>
    </w:pPr>
  </w:style>
  <w:style w:type="character" w:styleId="1047">
    <w:name w:val="正文文本缩进 字符"/>
    <w:next w:val="1047"/>
    <w:link w:val="1046"/>
    <w:qFormat/>
    <w:rPr>
      <w:sz w:val="21"/>
      <w:szCs w:val="24"/>
    </w:rPr>
  </w:style>
  <w:style w:type="paragraph" w:styleId="1048">
    <w:name w:val="寄信人地址"/>
    <w:basedOn w:val="1013"/>
    <w:next w:val="1048"/>
    <w:link w:val="1013"/>
    <w:qFormat/>
    <w:rPr>
      <w:rFonts w:ascii="Arial" w:hAnsi="Arial"/>
    </w:rPr>
  </w:style>
  <w:style w:type="paragraph" w:styleId="1049">
    <w:name w:val="索引 4"/>
    <w:basedOn w:val="1013"/>
    <w:next w:val="1013"/>
    <w:link w:val="1013"/>
    <w:qFormat/>
    <w:pPr>
      <w:ind w:left="600"/>
    </w:pPr>
    <w:rPr>
      <w:rFonts w:ascii="Calibri" w:hAnsi="Calibri"/>
    </w:rPr>
  </w:style>
  <w:style w:type="paragraph" w:styleId="1050">
    <w:name w:val="目录 5"/>
    <w:basedOn w:val="1013"/>
    <w:next w:val="1013"/>
    <w:link w:val="1013"/>
    <w:uiPriority w:val="39"/>
    <w:unhideWhenUsed/>
    <w:qFormat/>
    <w:pPr>
      <w:ind w:left="1680"/>
    </w:pPr>
    <w:rPr>
      <w:rFonts w:ascii="Calibri" w:hAnsi="Calibri"/>
      <w:szCs w:val="22"/>
    </w:rPr>
  </w:style>
  <w:style w:type="paragraph" w:styleId="1051">
    <w:name w:val="目录 3"/>
    <w:basedOn w:val="1013"/>
    <w:next w:val="1013"/>
    <w:link w:val="1013"/>
    <w:uiPriority w:val="39"/>
    <w:qFormat/>
    <w:pPr>
      <w:ind w:left="840"/>
    </w:pPr>
    <w:rPr>
      <w:rFonts w:ascii="Calibri" w:hAnsi="Calibri"/>
      <w:szCs w:val="22"/>
    </w:rPr>
  </w:style>
  <w:style w:type="paragraph" w:styleId="1052">
    <w:name w:val="纯文本"/>
    <w:basedOn w:val="1013"/>
    <w:next w:val="1052"/>
    <w:link w:val="1053"/>
    <w:qFormat/>
    <w:rPr>
      <w:rFonts w:ascii="Ari"/>
    </w:rPr>
  </w:style>
  <w:style w:type="character" w:styleId="1053">
    <w:name w:val="纯文本 字符"/>
    <w:next w:val="1053"/>
    <w:link w:val="1052"/>
    <w:qFormat/>
    <w:rPr>
      <w:rFonts w:ascii="Ari"/>
      <w:lang w:val="en-US" w:eastAsia="zh-CN" w:bidi="ar-SA"/>
    </w:rPr>
  </w:style>
  <w:style w:type="paragraph" w:styleId="1054">
    <w:name w:val="目录 8"/>
    <w:basedOn w:val="1013"/>
    <w:next w:val="1013"/>
    <w:link w:val="1013"/>
    <w:uiPriority w:val="39"/>
    <w:unhideWhenUsed/>
    <w:qFormat/>
    <w:pPr>
      <w:ind w:left="2940"/>
    </w:pPr>
    <w:rPr>
      <w:rFonts w:ascii="Calibri" w:hAnsi="Calibri"/>
      <w:szCs w:val="22"/>
    </w:rPr>
  </w:style>
  <w:style w:type="paragraph" w:styleId="1055">
    <w:name w:val="日期"/>
    <w:basedOn w:val="1013"/>
    <w:next w:val="1013"/>
    <w:link w:val="1056"/>
    <w:unhideWhenUsed/>
    <w:qFormat/>
  </w:style>
  <w:style w:type="character" w:styleId="1056">
    <w:name w:val="日期 字符"/>
    <w:next w:val="1056"/>
    <w:link w:val="1055"/>
    <w:qFormat/>
    <w:rPr>
      <w:sz w:val="21"/>
      <w:szCs w:val="24"/>
    </w:rPr>
  </w:style>
  <w:style w:type="paragraph" w:styleId="1057">
    <w:name w:val="正文文本缩进 2"/>
    <w:basedOn w:val="1013"/>
    <w:next w:val="1057"/>
    <w:link w:val="1058"/>
    <w:uiPriority w:val="99"/>
    <w:unhideWhenUsed/>
    <w:qFormat/>
    <w:pPr>
      <w:ind w:firstLine="525"/>
      <w:spacing w:line="420" w:lineRule="exact"/>
    </w:pPr>
    <w:rPr>
      <w:rFonts w:ascii="宋体"/>
      <w:sz w:val="20"/>
      <w:szCs w:val="20"/>
    </w:rPr>
  </w:style>
  <w:style w:type="character" w:styleId="1058">
    <w:name w:val="正文文本缩进 2 字符"/>
    <w:next w:val="1058"/>
    <w:link w:val="1057"/>
    <w:uiPriority w:val="99"/>
    <w:qFormat/>
    <w:rPr>
      <w:rFonts w:ascii="宋体"/>
    </w:rPr>
  </w:style>
  <w:style w:type="paragraph" w:styleId="1059">
    <w:name w:val="批注框文本"/>
    <w:basedOn w:val="1013"/>
    <w:next w:val="1059"/>
    <w:link w:val="1060"/>
    <w:qFormat/>
    <w:rPr>
      <w:sz w:val="18"/>
      <w:szCs w:val="18"/>
    </w:rPr>
  </w:style>
  <w:style w:type="character" w:styleId="1060">
    <w:name w:val="批注框文本 字符"/>
    <w:next w:val="1060"/>
    <w:link w:val="1059"/>
    <w:qFormat/>
    <w:rPr>
      <w:sz w:val="18"/>
      <w:szCs w:val="18"/>
    </w:rPr>
  </w:style>
  <w:style w:type="paragraph" w:styleId="1061">
    <w:name w:val="页脚"/>
    <w:basedOn w:val="1013"/>
    <w:next w:val="1061"/>
    <w:link w:val="1062"/>
    <w:uiPriority w:val="99"/>
    <w:qFormat/>
    <w:pPr>
      <w:jc w:val="left"/>
      <w:tabs>
        <w:tab w:val="center" w:pos="4153" w:leader="none"/>
        <w:tab w:val="right" w:pos="8306" w:leader="none"/>
      </w:tabs>
    </w:pPr>
    <w:rPr>
      <w:sz w:val="18"/>
      <w:szCs w:val="18"/>
    </w:rPr>
  </w:style>
  <w:style w:type="character" w:styleId="1062">
    <w:name w:val="页脚 字符"/>
    <w:next w:val="1062"/>
    <w:link w:val="1061"/>
    <w:uiPriority w:val="99"/>
    <w:qFormat/>
    <w:rPr>
      <w:sz w:val="18"/>
      <w:szCs w:val="18"/>
    </w:rPr>
  </w:style>
  <w:style w:type="paragraph" w:styleId="1063">
    <w:name w:val="页眉"/>
    <w:basedOn w:val="1013"/>
    <w:next w:val="1063"/>
    <w:link w:val="1064"/>
    <w:qFormat/>
    <w:pPr>
      <w:jc w:val="center"/>
      <w:tabs>
        <w:tab w:val="center" w:pos="4153" w:leader="none"/>
        <w:tab w:val="right" w:pos="8306" w:leader="none"/>
      </w:tabs>
      <w:pBdr>
        <w:bottom w:val="single" w:color="000000" w:sz="6" w:space="1"/>
      </w:pBdr>
    </w:pPr>
    <w:rPr>
      <w:sz w:val="18"/>
      <w:szCs w:val="18"/>
    </w:rPr>
  </w:style>
  <w:style w:type="character" w:styleId="1064">
    <w:name w:val="页眉 字符"/>
    <w:next w:val="1064"/>
    <w:link w:val="1063"/>
    <w:qFormat/>
    <w:rPr>
      <w:sz w:val="18"/>
      <w:szCs w:val="18"/>
    </w:rPr>
  </w:style>
  <w:style w:type="paragraph" w:styleId="1065">
    <w:name w:val="目录 1"/>
    <w:basedOn w:val="1013"/>
    <w:next w:val="1013"/>
    <w:link w:val="1013"/>
    <w:uiPriority w:val="39"/>
    <w:qFormat/>
  </w:style>
  <w:style w:type="paragraph" w:styleId="1066">
    <w:name w:val="目录 4"/>
    <w:basedOn w:val="1013"/>
    <w:next w:val="1013"/>
    <w:link w:val="1013"/>
    <w:uiPriority w:val="39"/>
    <w:unhideWhenUsed/>
    <w:qFormat/>
    <w:pPr>
      <w:ind w:left="1260"/>
    </w:pPr>
    <w:rPr>
      <w:rFonts w:ascii="Calibri" w:hAnsi="Calibri"/>
      <w:szCs w:val="22"/>
    </w:rPr>
  </w:style>
  <w:style w:type="paragraph" w:styleId="1067">
    <w:name w:val="副标题"/>
    <w:basedOn w:val="1013"/>
    <w:next w:val="1013"/>
    <w:link w:val="1068"/>
    <w:qFormat/>
    <w:pPr>
      <w:jc w:val="center"/>
      <w:spacing w:before="240" w:after="60" w:line="312" w:lineRule="auto"/>
      <w:outlineLvl w:val="1"/>
    </w:pPr>
    <w:rPr>
      <w:rFonts w:ascii="Cambria" w:hAnsi="Cambria"/>
      <w:b/>
      <w:bCs/>
      <w:sz w:val="32"/>
      <w:szCs w:val="32"/>
    </w:rPr>
  </w:style>
  <w:style w:type="character" w:styleId="1068">
    <w:name w:val="副标题 字符"/>
    <w:next w:val="1068"/>
    <w:link w:val="1067"/>
    <w:qFormat/>
    <w:rPr>
      <w:rFonts w:ascii="Cambria" w:hAnsi="Cambria"/>
      <w:b/>
      <w:bCs/>
      <w:sz w:val="32"/>
      <w:szCs w:val="32"/>
    </w:rPr>
  </w:style>
  <w:style w:type="paragraph" w:styleId="1069">
    <w:name w:val="目录 6"/>
    <w:basedOn w:val="1013"/>
    <w:next w:val="1013"/>
    <w:link w:val="1013"/>
    <w:uiPriority w:val="39"/>
    <w:unhideWhenUsed/>
    <w:qFormat/>
    <w:pPr>
      <w:ind w:left="2100"/>
    </w:pPr>
    <w:rPr>
      <w:rFonts w:ascii="Calibri" w:hAnsi="Calibri"/>
      <w:szCs w:val="22"/>
    </w:rPr>
  </w:style>
  <w:style w:type="paragraph" w:styleId="1070">
    <w:name w:val="正文文本缩进 3"/>
    <w:basedOn w:val="1013"/>
    <w:next w:val="1070"/>
    <w:link w:val="1071"/>
    <w:qFormat/>
    <w:pPr>
      <w:ind w:left="420"/>
      <w:spacing w:after="120"/>
    </w:pPr>
    <w:rPr>
      <w:sz w:val="16"/>
      <w:szCs w:val="20"/>
    </w:rPr>
  </w:style>
  <w:style w:type="character" w:styleId="1071">
    <w:name w:val="正文文本缩进 3 字符"/>
    <w:next w:val="1071"/>
    <w:link w:val="1070"/>
    <w:qFormat/>
    <w:rPr>
      <w:sz w:val="16"/>
    </w:rPr>
  </w:style>
  <w:style w:type="paragraph" w:styleId="1072">
    <w:name w:val="目录 2"/>
    <w:basedOn w:val="1013"/>
    <w:next w:val="1013"/>
    <w:link w:val="1013"/>
    <w:uiPriority w:val="39"/>
    <w:qFormat/>
    <w:pPr>
      <w:ind w:left="420"/>
    </w:pPr>
    <w:rPr>
      <w:rFonts w:ascii="Calibri" w:hAnsi="Calibri"/>
      <w:szCs w:val="22"/>
    </w:rPr>
  </w:style>
  <w:style w:type="paragraph" w:styleId="1073">
    <w:name w:val="目录 9"/>
    <w:basedOn w:val="1013"/>
    <w:next w:val="1013"/>
    <w:link w:val="1013"/>
    <w:uiPriority w:val="39"/>
    <w:unhideWhenUsed/>
    <w:qFormat/>
    <w:pPr>
      <w:ind w:left="3360"/>
    </w:pPr>
    <w:rPr>
      <w:rFonts w:ascii="Calibri" w:hAnsi="Calibri"/>
      <w:szCs w:val="22"/>
    </w:rPr>
  </w:style>
  <w:style w:type="paragraph" w:styleId="1074">
    <w:name w:val="HTML 预设格式"/>
    <w:basedOn w:val="1013"/>
    <w:next w:val="1074"/>
    <w:link w:val="1013"/>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075">
    <w:name w:val="普通(网站)"/>
    <w:basedOn w:val="1013"/>
    <w:next w:val="1075"/>
    <w:link w:val="1013"/>
    <w:uiPriority w:val="99"/>
    <w:qFormat/>
    <w:pPr>
      <w:jc w:val="left"/>
      <w:spacing w:before="100" w:beforeAutospacing="1" w:after="100" w:afterAutospacing="1"/>
      <w:widowControl/>
    </w:pPr>
    <w:rPr>
      <w:rFonts w:ascii="宋体" w:hAnsi="宋体" w:cs="宋体"/>
      <w:sz w:val="24"/>
    </w:rPr>
  </w:style>
  <w:style w:type="paragraph" w:styleId="1076">
    <w:name w:val="索引 1"/>
    <w:basedOn w:val="1013"/>
    <w:next w:val="1013"/>
    <w:link w:val="1013"/>
    <w:qFormat/>
    <w:pPr>
      <w:jc w:val="center"/>
      <w:spacing w:line="220" w:lineRule="exact"/>
    </w:pPr>
    <w:rPr>
      <w:rFonts w:ascii="仿宋_GB2312" w:hAnsi="Calibri" w:eastAsia="仿宋_GB2312"/>
      <w:szCs w:val="22"/>
    </w:rPr>
  </w:style>
  <w:style w:type="paragraph" w:styleId="1077">
    <w:name w:val="标题"/>
    <w:basedOn w:val="1013"/>
    <w:next w:val="1077"/>
    <w:link w:val="1078"/>
    <w:qFormat/>
    <w:pPr>
      <w:jc w:val="center"/>
      <w:spacing w:before="240" w:after="60" w:line="420" w:lineRule="atLeast"/>
      <w:outlineLvl w:val="0"/>
    </w:pPr>
    <w:rPr>
      <w:rFonts w:ascii="Arial" w:hAnsi="Arial"/>
      <w:b/>
      <w:sz w:val="32"/>
      <w:szCs w:val="20"/>
    </w:rPr>
  </w:style>
  <w:style w:type="character" w:styleId="1078">
    <w:name w:val="标题 字符"/>
    <w:next w:val="1078"/>
    <w:link w:val="1077"/>
    <w:qFormat/>
    <w:rPr>
      <w:rFonts w:ascii="Arial" w:hAnsi="Arial"/>
      <w:b/>
      <w:sz w:val="32"/>
    </w:rPr>
  </w:style>
  <w:style w:type="paragraph" w:styleId="1079">
    <w:name w:val="批注主题"/>
    <w:basedOn w:val="1040"/>
    <w:next w:val="1040"/>
    <w:link w:val="1080"/>
    <w:qFormat/>
    <w:rPr>
      <w:b/>
      <w:bCs/>
    </w:rPr>
  </w:style>
  <w:style w:type="character" w:styleId="1080">
    <w:name w:val="批注主题 字符"/>
    <w:next w:val="1080"/>
    <w:link w:val="1079"/>
    <w:qFormat/>
    <w:rPr>
      <w:b/>
      <w:bCs/>
      <w:sz w:val="21"/>
      <w:szCs w:val="24"/>
    </w:rPr>
  </w:style>
  <w:style w:type="paragraph" w:styleId="1081">
    <w:name w:val="正文首行缩进"/>
    <w:basedOn w:val="1044"/>
    <w:next w:val="1081"/>
    <w:link w:val="1013"/>
    <w:qFormat/>
    <w:pPr>
      <w:ind w:firstLine="420"/>
    </w:pPr>
    <w:rPr>
      <w:rFonts w:eastAsia="宋体"/>
    </w:rPr>
  </w:style>
  <w:style w:type="paragraph" w:styleId="1082">
    <w:name w:val="正文首行缩进 2"/>
    <w:basedOn w:val="1046"/>
    <w:next w:val="1013"/>
    <w:link w:val="1013"/>
    <w:qFormat/>
    <w:pPr>
      <w:ind w:firstLine="420"/>
      <w:spacing w:line="360" w:lineRule="auto"/>
    </w:pPr>
    <w:rPr>
      <w:szCs w:val="20"/>
    </w:rPr>
  </w:style>
  <w:style w:type="table" w:styleId="1083">
    <w:name w:val="网格型"/>
    <w:basedOn w:val="1024"/>
    <w:next w:val="1083"/>
    <w:link w:val="1013"/>
    <w:uiPriority w:val="99"/>
    <w:qFormat/>
    <w:tblPr/>
  </w:style>
  <w:style w:type="character" w:styleId="1084">
    <w:name w:val="要点"/>
    <w:next w:val="1084"/>
    <w:link w:val="1013"/>
    <w:qFormat/>
    <w:rPr>
      <w:rFonts w:cs="Times New Roman"/>
      <w:b/>
    </w:rPr>
  </w:style>
  <w:style w:type="character" w:styleId="1085">
    <w:name w:val="页码"/>
    <w:next w:val="1085"/>
    <w:link w:val="1013"/>
    <w:qFormat/>
    <w:rPr>
      <w:rFonts w:eastAsia="宋体"/>
      <w:b/>
      <w:spacing w:val="0"/>
      <w:sz w:val="24"/>
      <w:szCs w:val="24"/>
      <w:vertAlign w:val="baseline"/>
      <w:lang w:val="en-US" w:eastAsia="zh-CN" w:bidi="ar-SA"/>
    </w:rPr>
  </w:style>
  <w:style w:type="character" w:styleId="1086">
    <w:name w:val="已访问的超链接"/>
    <w:next w:val="1086"/>
    <w:link w:val="1013"/>
    <w:qFormat/>
    <w:rPr>
      <w:color w:val="800080"/>
      <w:u w:val="single"/>
    </w:rPr>
  </w:style>
  <w:style w:type="character" w:styleId="1087">
    <w:name w:val="强调"/>
    <w:next w:val="1087"/>
    <w:link w:val="1013"/>
    <w:qFormat/>
    <w:rPr>
      <w:color w:val="cc0000"/>
    </w:rPr>
  </w:style>
  <w:style w:type="character" w:styleId="1088">
    <w:name w:val="超链接"/>
    <w:next w:val="1088"/>
    <w:link w:val="1013"/>
    <w:uiPriority w:val="99"/>
    <w:qFormat/>
    <w:rPr>
      <w:color w:val="0000ff"/>
      <w:u w:val="single"/>
    </w:rPr>
  </w:style>
  <w:style w:type="character" w:styleId="1089">
    <w:name w:val="批注引用"/>
    <w:next w:val="1089"/>
    <w:link w:val="1013"/>
    <w:uiPriority w:val="99"/>
    <w:qFormat/>
    <w:rPr>
      <w:sz w:val="21"/>
      <w:szCs w:val="21"/>
    </w:rPr>
  </w:style>
  <w:style w:type="character" w:styleId="1090">
    <w:name w:val="HTML 引文"/>
    <w:next w:val="1090"/>
    <w:link w:val="1013"/>
    <w:qFormat/>
    <w:rPr>
      <w:color w:val="008000"/>
    </w:rPr>
  </w:style>
  <w:style w:type="paragraph" w:styleId="1091">
    <w:name w:val="Default"/>
    <w:next w:val="1091"/>
    <w:link w:val="1013"/>
    <w:qFormat/>
    <w:pPr>
      <w:widowControl w:val="off"/>
    </w:pPr>
    <w:rPr>
      <w:rFonts w:ascii="宋体" w:hAnsi="Times New Roman" w:eastAsia="宋体" w:cs="宋体"/>
      <w:color w:val="000000"/>
      <w:sz w:val="24"/>
      <w:szCs w:val="24"/>
      <w:lang w:val="en-US" w:eastAsia="zh-CN" w:bidi="ar-SA"/>
    </w:rPr>
  </w:style>
  <w:style w:type="paragraph" w:styleId="1092">
    <w:name w:val="列表段落1"/>
    <w:basedOn w:val="1013"/>
    <w:next w:val="1092"/>
    <w:link w:val="1013"/>
    <w:uiPriority w:val="99"/>
    <w:qFormat/>
    <w:pPr>
      <w:ind w:firstLine="420"/>
    </w:pPr>
    <w:rPr>
      <w:szCs w:val="20"/>
    </w:rPr>
  </w:style>
  <w:style w:type="character" w:styleId="1093">
    <w:name w:val="明显强调1"/>
    <w:next w:val="1093"/>
    <w:link w:val="1013"/>
    <w:qFormat/>
    <w:rPr>
      <w:b/>
      <w:bCs/>
      <w:i/>
      <w:iCs/>
      <w:color w:val="4f81bd"/>
    </w:rPr>
  </w:style>
  <w:style w:type="character" w:styleId="1094">
    <w:name w:val="批注文字 Char2"/>
    <w:next w:val="1094"/>
    <w:link w:val="1013"/>
    <w:qFormat/>
    <w:rPr>
      <w:sz w:val="21"/>
    </w:rPr>
  </w:style>
  <w:style w:type="character" w:styleId="1095">
    <w:name w:val="标题 3 Char_0"/>
    <w:next w:val="1095"/>
    <w:link w:val="1096"/>
    <w:qFormat/>
    <w:rPr>
      <w:b/>
      <w:bCs/>
      <w:sz w:val="32"/>
      <w:szCs w:val="32"/>
    </w:rPr>
  </w:style>
  <w:style w:type="paragraph" w:styleId="1096">
    <w:name w:val="标题 3_0"/>
    <w:basedOn w:val="1097"/>
    <w:next w:val="1097"/>
    <w:link w:val="1095"/>
    <w:qFormat/>
    <w:pPr>
      <w:keepLines/>
      <w:keepNext/>
      <w:spacing w:before="260" w:after="260" w:line="416" w:lineRule="auto"/>
      <w:outlineLvl w:val="2"/>
    </w:pPr>
    <w:rPr>
      <w:b/>
      <w:bCs/>
      <w:sz w:val="32"/>
      <w:szCs w:val="32"/>
    </w:rPr>
  </w:style>
  <w:style w:type="paragraph" w:styleId="1097">
    <w:name w:val="正文_0"/>
    <w:next w:val="1097"/>
    <w:link w:val="1013"/>
    <w:qFormat/>
    <w:pPr>
      <w:jc w:val="both"/>
      <w:widowControl w:val="off"/>
    </w:pPr>
    <w:rPr>
      <w:rFonts w:ascii="Times New Roman" w:hAnsi="Times New Roman" w:eastAsia="宋体" w:cs="Times New Roman"/>
      <w:sz w:val="21"/>
      <w:szCs w:val="24"/>
      <w:lang w:val="en-US" w:eastAsia="zh-CN" w:bidi="ar-SA"/>
    </w:rPr>
  </w:style>
  <w:style w:type="character" w:styleId="1098">
    <w:name w:val="正文文本 Char2"/>
    <w:next w:val="1098"/>
    <w:link w:val="1013"/>
    <w:uiPriority w:val="99"/>
    <w:semiHidden/>
    <w:qFormat/>
    <w:rPr>
      <w:rFonts w:ascii="Calibri" w:hAnsi="Calibri" w:eastAsia="宋体" w:cs="Times New Roman"/>
    </w:rPr>
  </w:style>
  <w:style w:type="character" w:styleId="1099">
    <w:name w:val="页脚 Char1"/>
    <w:next w:val="1099"/>
    <w:link w:val="1013"/>
    <w:uiPriority w:val="99"/>
    <w:semiHidden/>
    <w:qFormat/>
    <w:rPr>
      <w:rFonts w:ascii="Calibri" w:hAnsi="Calibri" w:eastAsia="宋体" w:cs="Times New Roman"/>
      <w:sz w:val="18"/>
      <w:szCs w:val="18"/>
    </w:rPr>
  </w:style>
  <w:style w:type="character" w:styleId="1100">
    <w:name w:val="明显引用 Char2"/>
    <w:next w:val="1100"/>
    <w:link w:val="1013"/>
    <w:uiPriority w:val="99"/>
    <w:qFormat/>
    <w:rPr>
      <w:b/>
      <w:bCs/>
      <w:i/>
      <w:iCs/>
      <w:color w:val="4f81bd"/>
      <w:sz w:val="21"/>
      <w:szCs w:val="24"/>
    </w:rPr>
  </w:style>
  <w:style w:type="character" w:styleId="1101">
    <w:name w:val="引用 Char"/>
    <w:next w:val="1101"/>
    <w:link w:val="1102"/>
    <w:qFormat/>
    <w:rPr>
      <w:i/>
      <w:iCs/>
      <w:color w:val="000000"/>
    </w:rPr>
  </w:style>
  <w:style w:type="paragraph" w:styleId="1102">
    <w:name w:val="引用1"/>
    <w:basedOn w:val="1013"/>
    <w:next w:val="1013"/>
    <w:link w:val="1101"/>
    <w:qFormat/>
    <w:rPr>
      <w:i/>
      <w:iCs/>
      <w:color w:val="000000"/>
      <w:sz w:val="20"/>
      <w:szCs w:val="20"/>
    </w:rPr>
  </w:style>
  <w:style w:type="character" w:styleId="1103">
    <w:name w:val="标题 1 Char_0"/>
    <w:next w:val="1103"/>
    <w:link w:val="1104"/>
    <w:qFormat/>
    <w:rPr>
      <w:b/>
      <w:bCs/>
      <w:sz w:val="44"/>
      <w:szCs w:val="44"/>
    </w:rPr>
  </w:style>
  <w:style w:type="paragraph" w:styleId="1104">
    <w:name w:val="标题 1_0"/>
    <w:basedOn w:val="1097"/>
    <w:next w:val="1097"/>
    <w:link w:val="1103"/>
    <w:qFormat/>
    <w:pPr>
      <w:keepLines/>
      <w:keepNext/>
      <w:spacing w:before="340" w:after="330" w:line="578" w:lineRule="auto"/>
      <w:outlineLvl w:val="0"/>
    </w:pPr>
    <w:rPr>
      <w:b/>
      <w:bCs/>
      <w:sz w:val="44"/>
      <w:szCs w:val="44"/>
    </w:rPr>
  </w:style>
  <w:style w:type="character" w:styleId="1105">
    <w:name w:val="正文文本缩进 3 Char1"/>
    <w:next w:val="1105"/>
    <w:link w:val="1013"/>
    <w:uiPriority w:val="99"/>
    <w:semiHidden/>
    <w:qFormat/>
    <w:rPr>
      <w:sz w:val="16"/>
      <w:szCs w:val="16"/>
    </w:rPr>
  </w:style>
  <w:style w:type="character" w:styleId="1106">
    <w:name w:val="引用 Char1"/>
    <w:next w:val="1106"/>
    <w:link w:val="1013"/>
    <w:uiPriority w:val="29"/>
    <w:qFormat/>
    <w:rPr>
      <w:i/>
      <w:iCs/>
      <w:color w:val="000000"/>
      <w:sz w:val="21"/>
    </w:rPr>
  </w:style>
  <w:style w:type="character" w:styleId="1107">
    <w:name w:val="font161"/>
    <w:next w:val="1107"/>
    <w:link w:val="1013"/>
    <w:qFormat/>
    <w:rPr>
      <w:b/>
      <w:sz w:val="32"/>
    </w:rPr>
  </w:style>
  <w:style w:type="character" w:styleId="1108">
    <w:name w:val="标题 4 Char_0"/>
    <w:next w:val="1108"/>
    <w:link w:val="1109"/>
    <w:qFormat/>
    <w:rPr>
      <w:rFonts w:ascii="Arial" w:hAnsi="Arial" w:eastAsia="黑体"/>
      <w:b/>
      <w:bCs/>
      <w:sz w:val="28"/>
      <w:szCs w:val="28"/>
    </w:rPr>
  </w:style>
  <w:style w:type="paragraph" w:styleId="1109">
    <w:name w:val="标题 4_0"/>
    <w:basedOn w:val="1097"/>
    <w:next w:val="1097"/>
    <w:link w:val="1108"/>
    <w:qFormat/>
    <w:pPr>
      <w:keepLines/>
      <w:keepNext/>
      <w:spacing w:before="280" w:after="290" w:line="376" w:lineRule="auto"/>
      <w:outlineLvl w:val="3"/>
    </w:pPr>
    <w:rPr>
      <w:rFonts w:ascii="Arial" w:hAnsi="Arial" w:eastAsia="黑体"/>
      <w:b/>
      <w:bCs/>
      <w:sz w:val="28"/>
      <w:szCs w:val="28"/>
    </w:rPr>
  </w:style>
  <w:style w:type="character" w:styleId="1110">
    <w:name w:val="引用 Char2"/>
    <w:next w:val="1110"/>
    <w:link w:val="1013"/>
    <w:uiPriority w:val="99"/>
    <w:qFormat/>
    <w:rPr>
      <w:i/>
      <w:iCs/>
      <w:color w:val="000000"/>
      <w:sz w:val="21"/>
      <w:szCs w:val="24"/>
    </w:rPr>
  </w:style>
  <w:style w:type="character" w:styleId="1111">
    <w:name w:val="rvts11"/>
    <w:next w:val="1111"/>
    <w:link w:val="1013"/>
    <w:qFormat/>
    <w:rPr>
      <w:rFonts w:ascii="KNLe" w:hAnsi="KNLe"/>
      <w:sz w:val="24"/>
      <w:szCs w:val="24"/>
      <w:u w:val="single"/>
    </w:rPr>
  </w:style>
  <w:style w:type="character" w:styleId="1112">
    <w:name w:val="标题5 Char Char"/>
    <w:next w:val="1112"/>
    <w:link w:val="1113"/>
    <w:qFormat/>
    <w:rPr>
      <w:rFonts w:ascii="Arial" w:hAnsi="Arial"/>
      <w:b/>
      <w:bCs/>
      <w:sz w:val="24"/>
      <w:szCs w:val="32"/>
    </w:rPr>
  </w:style>
  <w:style w:type="paragraph" w:styleId="1113">
    <w:name w:val="标题5"/>
    <w:basedOn w:val="1016"/>
    <w:next w:val="1113"/>
    <w:link w:val="1112"/>
    <w:qFormat/>
    <w:pPr>
      <w:numPr>
        <w:ilvl w:val="0"/>
        <w:numId w:val="0"/>
      </w:numPr>
      <w:spacing w:line="413" w:lineRule="auto"/>
    </w:pPr>
    <w:rPr>
      <w:rFonts w:ascii="Arial" w:hAnsi="Arial"/>
      <w:sz w:val="24"/>
    </w:rPr>
  </w:style>
  <w:style w:type="character" w:styleId="1114">
    <w:name w:val="副标题 Char2"/>
    <w:next w:val="1114"/>
    <w:link w:val="1013"/>
    <w:uiPriority w:val="11"/>
    <w:qFormat/>
    <w:rPr>
      <w:rFonts w:ascii="Cambria" w:hAnsi="Cambria" w:cs="Times New Roman"/>
      <w:b/>
      <w:bCs/>
      <w:sz w:val="32"/>
      <w:szCs w:val="32"/>
    </w:rPr>
  </w:style>
  <w:style w:type="character" w:styleId="1115">
    <w:name w:val="批注主题 Char1"/>
    <w:next w:val="1115"/>
    <w:link w:val="1013"/>
    <w:qFormat/>
    <w:rPr>
      <w:b/>
      <w:bCs/>
      <w:sz w:val="21"/>
      <w:szCs w:val="22"/>
    </w:rPr>
  </w:style>
  <w:style w:type="character" w:styleId="1116">
    <w:name w:val="font31"/>
    <w:next w:val="1116"/>
    <w:link w:val="1013"/>
    <w:qFormat/>
    <w:rPr>
      <w:rFonts w:hint="eastAsia" w:ascii="宋体" w:hAnsi="宋体" w:eastAsia="宋体" w:cs="宋体"/>
      <w:color w:val="000000"/>
      <w:sz w:val="20"/>
      <w:szCs w:val="20"/>
      <w:u w:val="none"/>
    </w:rPr>
  </w:style>
  <w:style w:type="character" w:styleId="1117">
    <w:name w:val="明显引用 Char"/>
    <w:next w:val="1117"/>
    <w:link w:val="1118"/>
    <w:qFormat/>
    <w:rPr>
      <w:b/>
      <w:bCs/>
      <w:i/>
      <w:iCs/>
      <w:color w:val="4f81bd"/>
    </w:rPr>
  </w:style>
  <w:style w:type="paragraph" w:styleId="1118">
    <w:name w:val="明显引用1"/>
    <w:basedOn w:val="1013"/>
    <w:next w:val="1013"/>
    <w:link w:val="1117"/>
    <w:qFormat/>
    <w:pPr>
      <w:ind w:left="936" w:right="936"/>
      <w:spacing w:before="200" w:after="280"/>
      <w:pBdr>
        <w:bottom w:val="single" w:color="4F81BD" w:sz="4" w:space="4"/>
      </w:pBdr>
    </w:pPr>
    <w:rPr>
      <w:b/>
      <w:bCs/>
      <w:i/>
      <w:iCs/>
      <w:color w:val="4f81bd"/>
      <w:sz w:val="20"/>
      <w:szCs w:val="20"/>
    </w:rPr>
  </w:style>
  <w:style w:type="character" w:styleId="1119">
    <w:name w:val="日期 Char1"/>
    <w:next w:val="1119"/>
    <w:link w:val="1013"/>
    <w:qFormat/>
    <w:rPr>
      <w:rFonts w:ascii="Calibri" w:hAnsi="Calibri" w:eastAsia="宋体" w:cs="Times New Roman"/>
    </w:rPr>
  </w:style>
  <w:style w:type="character" w:styleId="1120">
    <w:name w:val="批注框文本 Char1"/>
    <w:next w:val="1120"/>
    <w:link w:val="1013"/>
    <w:qFormat/>
    <w:rPr>
      <w:sz w:val="18"/>
      <w:szCs w:val="18"/>
    </w:rPr>
  </w:style>
  <w:style w:type="character" w:styleId="1121">
    <w:name w:val="标题 Char1"/>
    <w:next w:val="1121"/>
    <w:link w:val="1013"/>
    <w:uiPriority w:val="10"/>
    <w:qFormat/>
    <w:rPr>
      <w:rFonts w:ascii="Cambria" w:hAnsi="Cambria" w:eastAsia="宋体" w:cs="Times New Roman"/>
      <w:b/>
      <w:bCs/>
      <w:sz w:val="32"/>
      <w:szCs w:val="32"/>
    </w:rPr>
  </w:style>
  <w:style w:type="character" w:styleId="1122">
    <w:name w:val="不明显参考1"/>
    <w:next w:val="1122"/>
    <w:link w:val="1013"/>
    <w:qFormat/>
    <w:rPr>
      <w:smallCaps/>
      <w:color w:val="c0504d"/>
      <w:u w:val="single"/>
    </w:rPr>
  </w:style>
  <w:style w:type="character" w:styleId="1123">
    <w:name w:val="批注文字 Char1"/>
    <w:next w:val="1123"/>
    <w:link w:val="1013"/>
    <w:qFormat/>
    <w:rPr>
      <w:rFonts w:ascii="Calibri" w:hAnsi="Calibri" w:eastAsia="宋体" w:cs="Times New Roman"/>
    </w:rPr>
  </w:style>
  <w:style w:type="character" w:styleId="1124">
    <w:name w:val="标题 Char2"/>
    <w:next w:val="1124"/>
    <w:link w:val="1013"/>
    <w:uiPriority w:val="10"/>
    <w:qFormat/>
    <w:rPr>
      <w:rFonts w:ascii="Cambria" w:hAnsi="Cambria" w:cs="Times New Roman"/>
      <w:b/>
      <w:bCs/>
      <w:sz w:val="32"/>
      <w:szCs w:val="32"/>
    </w:rPr>
  </w:style>
  <w:style w:type="character" w:styleId="1125">
    <w:name w:val="正文文本 3 Char1"/>
    <w:next w:val="1125"/>
    <w:link w:val="1013"/>
    <w:uiPriority w:val="99"/>
    <w:semiHidden/>
    <w:qFormat/>
    <w:rPr>
      <w:sz w:val="16"/>
      <w:szCs w:val="16"/>
    </w:rPr>
  </w:style>
  <w:style w:type="character" w:styleId="1126">
    <w:name w:val="批注主题 Char2"/>
    <w:next w:val="1126"/>
    <w:link w:val="1013"/>
    <w:qFormat/>
    <w:rPr>
      <w:b/>
      <w:bCs/>
      <w:sz w:val="21"/>
    </w:rPr>
  </w:style>
  <w:style w:type="character" w:styleId="1127">
    <w:name w:val="正文文本 Char_0"/>
    <w:next w:val="1127"/>
    <w:link w:val="1128"/>
    <w:qFormat/>
    <w:rPr>
      <w:szCs w:val="24"/>
    </w:rPr>
  </w:style>
  <w:style w:type="paragraph" w:styleId="1128">
    <w:name w:val="正文文本_0"/>
    <w:basedOn w:val="1097"/>
    <w:next w:val="1128"/>
    <w:link w:val="1127"/>
    <w:qFormat/>
    <w:pPr>
      <w:spacing w:after="120"/>
    </w:pPr>
    <w:rPr>
      <w:sz w:val="20"/>
    </w:rPr>
  </w:style>
  <w:style w:type="character" w:styleId="1129">
    <w:name w:val="bookmark"/>
    <w:basedOn w:val="1023"/>
    <w:next w:val="1129"/>
    <w:link w:val="1013"/>
    <w:qFormat/>
  </w:style>
  <w:style w:type="character" w:styleId="1130">
    <w:name w:val="标题 5 Char_0"/>
    <w:next w:val="1130"/>
    <w:link w:val="1131"/>
    <w:qFormat/>
    <w:rPr>
      <w:rFonts w:ascii="Calibri" w:hAnsi="Calibri"/>
      <w:b/>
      <w:bCs/>
      <w:sz w:val="28"/>
      <w:szCs w:val="28"/>
    </w:rPr>
  </w:style>
  <w:style w:type="paragraph" w:styleId="1131">
    <w:name w:val="标题 5_0"/>
    <w:basedOn w:val="1097"/>
    <w:next w:val="1097"/>
    <w:link w:val="1130"/>
    <w:qFormat/>
    <w:pPr>
      <w:keepLines/>
      <w:keepNext/>
      <w:spacing w:before="280" w:after="290" w:line="372" w:lineRule="auto"/>
      <w:outlineLvl w:val="4"/>
    </w:pPr>
    <w:rPr>
      <w:rFonts w:ascii="Calibri" w:hAnsi="Calibri"/>
      <w:b/>
      <w:bCs/>
      <w:sz w:val="28"/>
      <w:szCs w:val="28"/>
    </w:rPr>
  </w:style>
  <w:style w:type="character" w:styleId="1132">
    <w:name w:val="font11"/>
    <w:next w:val="1132"/>
    <w:link w:val="1013"/>
    <w:qFormat/>
    <w:rPr>
      <w:rFonts w:hint="eastAsia" w:ascii="宋体" w:hAnsi="宋体" w:eastAsia="宋体" w:cs="宋体"/>
      <w:color w:val="000000"/>
      <w:sz w:val="20"/>
      <w:szCs w:val="20"/>
      <w:u w:val="none"/>
    </w:rPr>
  </w:style>
  <w:style w:type="character" w:styleId="1133">
    <w:name w:val="明显参考1"/>
    <w:next w:val="1133"/>
    <w:link w:val="1013"/>
    <w:qFormat/>
    <w:rPr>
      <w:b/>
      <w:bCs/>
      <w:smallCaps/>
      <w:color w:val="c0504d"/>
      <w:spacing w:val="5"/>
      <w:u w:val="single"/>
    </w:rPr>
  </w:style>
  <w:style w:type="character" w:styleId="1134">
    <w:name w:val="超链接_0"/>
    <w:next w:val="1134"/>
    <w:link w:val="1013"/>
    <w:uiPriority w:val="99"/>
    <w:qFormat/>
    <w:rPr>
      <w:rFonts w:ascii="Calibri" w:hAnsi="Calibri"/>
      <w:color w:val="0000ff"/>
      <w:u w:val="single"/>
    </w:rPr>
  </w:style>
  <w:style w:type="character" w:styleId="1135">
    <w:name w:val="文档结构图 Char2"/>
    <w:next w:val="1135"/>
    <w:link w:val="1013"/>
    <w:uiPriority w:val="99"/>
    <w:semiHidden/>
    <w:qFormat/>
    <w:rPr>
      <w:rFonts w:ascii="宋体" w:hAnsi="Calibri" w:eastAsia="宋体" w:cs="Times New Roman"/>
      <w:sz w:val="18"/>
      <w:szCs w:val="18"/>
    </w:rPr>
  </w:style>
  <w:style w:type="character" w:styleId="1136">
    <w:name w:val="textcontents"/>
    <w:next w:val="1136"/>
    <w:link w:val="1013"/>
    <w:qFormat/>
    <w:rPr>
      <w:rFonts w:cs="Times New Roman"/>
    </w:rPr>
  </w:style>
  <w:style w:type="character" w:styleId="1137">
    <w:name w:val="标题 1 Char"/>
    <w:next w:val="1137"/>
    <w:link w:val="1013"/>
    <w:qFormat/>
    <w:rPr>
      <w:b/>
      <w:bCs/>
      <w:sz w:val="32"/>
      <w:szCs w:val="44"/>
    </w:rPr>
  </w:style>
  <w:style w:type="character" w:styleId="1138">
    <w:name w:val="副标题 Char1"/>
    <w:next w:val="1138"/>
    <w:link w:val="1013"/>
    <w:uiPriority w:val="11"/>
    <w:qFormat/>
    <w:rPr>
      <w:rFonts w:ascii="Cambria" w:hAnsi="Cambria" w:cs="Times New Roman"/>
      <w:b/>
      <w:bCs/>
      <w:sz w:val="32"/>
      <w:szCs w:val="32"/>
    </w:rPr>
  </w:style>
  <w:style w:type="character" w:styleId="1139">
    <w:name w:val="书籍标题1"/>
    <w:next w:val="1139"/>
    <w:link w:val="1013"/>
    <w:qFormat/>
    <w:rPr>
      <w:b/>
      <w:bCs/>
      <w:smallCaps/>
      <w:spacing w:val="5"/>
    </w:rPr>
  </w:style>
  <w:style w:type="character" w:styleId="1140">
    <w:name w:val="标题4 Char Char"/>
    <w:next w:val="1140"/>
    <w:link w:val="1141"/>
    <w:qFormat/>
    <w:rPr>
      <w:rFonts w:ascii="Arial" w:hAnsi="Arial"/>
      <w:b/>
      <w:bCs/>
      <w:sz w:val="24"/>
      <w:szCs w:val="32"/>
    </w:rPr>
  </w:style>
  <w:style w:type="paragraph" w:styleId="1141">
    <w:name w:val="标题4"/>
    <w:basedOn w:val="1015"/>
    <w:next w:val="1049"/>
    <w:link w:val="1140"/>
    <w:qFormat/>
    <w:pPr>
      <w:numPr>
        <w:ilvl w:val="0"/>
        <w:numId w:val="0"/>
      </w:numPr>
      <w:spacing w:line="413" w:lineRule="auto"/>
    </w:pPr>
    <w:rPr>
      <w:rFonts w:ascii="Arial" w:hAnsi="Arial"/>
      <w:sz w:val="24"/>
    </w:rPr>
  </w:style>
  <w:style w:type="character" w:styleId="1142">
    <w:name w:val="正文文本 Char1"/>
    <w:next w:val="1142"/>
    <w:link w:val="1013"/>
    <w:qFormat/>
    <w:rPr>
      <w:rFonts w:ascii="Calibri" w:hAnsi="Calibri" w:eastAsia="宋体" w:cs="Times New Roman"/>
    </w:rPr>
  </w:style>
  <w:style w:type="character" w:styleId="1143">
    <w:name w:val="明显引用 Char1"/>
    <w:next w:val="1143"/>
    <w:link w:val="1013"/>
    <w:uiPriority w:val="30"/>
    <w:qFormat/>
    <w:rPr>
      <w:b/>
      <w:bCs/>
      <w:i/>
      <w:iCs/>
      <w:color w:val="4f81bd"/>
      <w:sz w:val="21"/>
    </w:rPr>
  </w:style>
  <w:style w:type="character" w:styleId="1144">
    <w:name w:val="页眉 Char1"/>
    <w:next w:val="1144"/>
    <w:link w:val="1013"/>
    <w:uiPriority w:val="99"/>
    <w:semiHidden/>
    <w:qFormat/>
    <w:rPr>
      <w:rFonts w:ascii="Calibri" w:hAnsi="Calibri" w:eastAsia="宋体" w:cs="Times New Roman"/>
      <w:sz w:val="18"/>
      <w:szCs w:val="18"/>
    </w:rPr>
  </w:style>
  <w:style w:type="character" w:styleId="1145">
    <w:name w:val="不明显强调1"/>
    <w:next w:val="1145"/>
    <w:link w:val="1013"/>
    <w:qFormat/>
    <w:rPr>
      <w:i/>
      <w:iCs/>
      <w:color w:val="808080"/>
    </w:rPr>
  </w:style>
  <w:style w:type="character" w:styleId="1146">
    <w:name w:val="font21"/>
    <w:next w:val="1146"/>
    <w:link w:val="1013"/>
    <w:qFormat/>
    <w:rPr>
      <w:rFonts w:hint="eastAsia" w:ascii="宋体" w:hAnsi="宋体" w:eastAsia="宋体" w:cs="宋体"/>
      <w:color w:val="000000"/>
      <w:sz w:val="20"/>
      <w:szCs w:val="20"/>
      <w:u w:val="none"/>
    </w:rPr>
  </w:style>
  <w:style w:type="character" w:styleId="1147">
    <w:name w:val="文档结构图 Char1"/>
    <w:next w:val="1147"/>
    <w:link w:val="1013"/>
    <w:qFormat/>
    <w:rPr>
      <w:rFonts w:ascii="宋体" w:hAnsi="Calibri" w:eastAsia="宋体" w:cs="Times New Roman"/>
      <w:sz w:val="18"/>
      <w:szCs w:val="18"/>
    </w:rPr>
  </w:style>
  <w:style w:type="character" w:styleId="1148">
    <w:name w:val="标题 2 Char_0"/>
    <w:next w:val="1148"/>
    <w:link w:val="1149"/>
    <w:qFormat/>
    <w:rPr>
      <w:rFonts w:ascii="Cambria" w:hAnsi="Cambria"/>
      <w:b/>
      <w:bCs/>
      <w:sz w:val="32"/>
      <w:szCs w:val="32"/>
    </w:rPr>
  </w:style>
  <w:style w:type="paragraph" w:styleId="1149">
    <w:name w:val="标题 2_0"/>
    <w:basedOn w:val="1097"/>
    <w:next w:val="1097"/>
    <w:link w:val="1148"/>
    <w:unhideWhenUsed/>
    <w:qFormat/>
    <w:pPr>
      <w:keepLines/>
      <w:keepNext/>
      <w:spacing w:before="260" w:after="260" w:line="416" w:lineRule="auto"/>
      <w:outlineLvl w:val="1"/>
    </w:pPr>
    <w:rPr>
      <w:rFonts w:ascii="Cambria" w:hAnsi="Cambria"/>
      <w:b/>
      <w:bCs/>
      <w:sz w:val="32"/>
      <w:szCs w:val="32"/>
    </w:rPr>
  </w:style>
  <w:style w:type="character" w:styleId="1150">
    <w:name w:val="日期 Char2"/>
    <w:next w:val="1150"/>
    <w:link w:val="1013"/>
    <w:uiPriority w:val="99"/>
    <w:semiHidden/>
    <w:qFormat/>
    <w:rPr>
      <w:rFonts w:ascii="Calibri" w:hAnsi="Calibri" w:eastAsia="宋体" w:cs="Times New Roman"/>
    </w:rPr>
  </w:style>
  <w:style w:type="character" w:styleId="1151">
    <w:name w:val="批注框文本 Char2"/>
    <w:next w:val="1151"/>
    <w:link w:val="1013"/>
    <w:uiPriority w:val="99"/>
    <w:semiHidden/>
    <w:qFormat/>
    <w:rPr>
      <w:rFonts w:ascii="Calibri" w:hAnsi="Calibri" w:eastAsia="宋体" w:cs="Times New Roman"/>
      <w:sz w:val="18"/>
      <w:szCs w:val="18"/>
    </w:rPr>
  </w:style>
  <w:style w:type="character" w:styleId="1152">
    <w:name w:val="列出段落 Char"/>
    <w:next w:val="1152"/>
    <w:link w:val="1153"/>
    <w:uiPriority w:val="99"/>
    <w:qFormat/>
    <w:rPr>
      <w:sz w:val="21"/>
      <w:szCs w:val="24"/>
    </w:rPr>
  </w:style>
  <w:style w:type="paragraph" w:styleId="1153">
    <w:name w:val="List Paragraph1"/>
    <w:basedOn w:val="1013"/>
    <w:next w:val="1153"/>
    <w:link w:val="1152"/>
    <w:uiPriority w:val="99"/>
    <w:qFormat/>
    <w:pPr>
      <w:ind w:firstLine="420"/>
    </w:pPr>
  </w:style>
  <w:style w:type="paragraph" w:styleId="1154">
    <w:name w:val="样式 标题 3 + (中文) 黑体 小四 非加粗 段前: 7.8 磅 段后: 0 磅 行距: 固定值 20 磅"/>
    <w:basedOn w:val="1016"/>
    <w:next w:val="1013"/>
    <w:link w:val="1013"/>
    <w:qFormat/>
    <w:pPr>
      <w:spacing w:before="0" w:after="0" w:line="400" w:lineRule="exact"/>
    </w:pPr>
    <w:rPr>
      <w:rFonts w:eastAsia="黑体" w:cs="宋体"/>
      <w:b w:val="0"/>
      <w:bCs w:val="0"/>
      <w:sz w:val="24"/>
      <w:szCs w:val="20"/>
    </w:rPr>
  </w:style>
  <w:style w:type="paragraph" w:styleId="1155">
    <w:name w:val="_Style 34"/>
    <w:next w:val="1013"/>
    <w:link w:val="1013"/>
    <w:qFormat/>
    <w:pPr>
      <w:jc w:val="both"/>
      <w:widowControl w:val="off"/>
    </w:pPr>
    <w:rPr>
      <w:rFonts w:ascii="Times New Roman" w:hAnsi="Times New Roman" w:eastAsia="宋体" w:cs="Times New Roman"/>
      <w:sz w:val="21"/>
      <w:lang w:val="en-US" w:eastAsia="zh-CN" w:bidi="ar-SA"/>
    </w:rPr>
  </w:style>
  <w:style w:type="paragraph" w:styleId="1156">
    <w:name w:val="正文_3"/>
    <w:next w:val="1156"/>
    <w:link w:val="1013"/>
    <w:qFormat/>
    <w:pPr>
      <w:jc w:val="both"/>
      <w:widowControl w:val="off"/>
    </w:pPr>
    <w:rPr>
      <w:rFonts w:ascii="Times New Roman" w:hAnsi="Times New Roman" w:eastAsia="宋体" w:cs="Times New Roman"/>
      <w:sz w:val="21"/>
      <w:szCs w:val="22"/>
      <w:lang w:val="en-US" w:eastAsia="zh-CN" w:bidi="ar-SA"/>
    </w:rPr>
  </w:style>
  <w:style w:type="paragraph" w:styleId="1157">
    <w:name w:val="_Style 36"/>
    <w:next w:val="1013"/>
    <w:link w:val="1013"/>
    <w:qFormat/>
    <w:pPr>
      <w:jc w:val="both"/>
      <w:widowControl w:val="off"/>
    </w:pPr>
    <w:rPr>
      <w:rFonts w:ascii="Times New Roman" w:hAnsi="Times New Roman" w:eastAsia="宋体" w:cs="Times New Roman"/>
      <w:sz w:val="21"/>
      <w:lang w:val="en-US" w:eastAsia="zh-CN" w:bidi="ar-SA"/>
    </w:rPr>
  </w:style>
  <w:style w:type="paragraph" w:styleId="1158">
    <w:name w:val="空半行"/>
    <w:basedOn w:val="1013"/>
    <w:next w:val="1158"/>
    <w:link w:val="1013"/>
    <w:qFormat/>
    <w:pPr>
      <w:spacing w:line="120" w:lineRule="exact"/>
    </w:pPr>
    <w:rPr>
      <w:rFonts w:ascii="Calibri" w:hAnsi="Calibri" w:eastAsia="仿宋_GB2312"/>
      <w:color w:val="ffffff"/>
      <w:sz w:val="30"/>
      <w:szCs w:val="22"/>
    </w:rPr>
  </w:style>
  <w:style w:type="paragraph" w:styleId="1159">
    <w:name w:val="1方案格式1"/>
    <w:basedOn w:val="1014"/>
    <w:next w:val="1159"/>
    <w:link w:val="1013"/>
    <w:qFormat/>
    <w:pPr>
      <w:numPr>
        <w:numId w:val="2"/>
      </w:numPr>
      <w:ind w:left="0" w:firstLine="0"/>
      <w:spacing w:line="360" w:lineRule="auto"/>
      <w:tabs>
        <w:tab w:val="left" w:pos="360" w:leader="none"/>
      </w:tabs>
    </w:pPr>
    <w:rPr>
      <w:rFonts w:eastAsia="微软雅黑"/>
      <w:bCs w:val="0"/>
      <w:sz w:val="48"/>
    </w:rPr>
  </w:style>
  <w:style w:type="paragraph" w:styleId="1160">
    <w:name w:val="格式３"/>
    <w:basedOn w:val="1013"/>
    <w:next w:val="1160"/>
    <w:link w:val="1013"/>
    <w:qFormat/>
    <w:pPr>
      <w:ind w:left="600" w:hanging="600"/>
      <w:spacing w:line="420" w:lineRule="exact"/>
    </w:pPr>
    <w:rPr>
      <w:rFonts w:ascii="宋体" w:hAnsi="宋体"/>
      <w:color w:val="000000"/>
      <w:sz w:val="24"/>
      <w:szCs w:val="20"/>
    </w:rPr>
  </w:style>
  <w:style w:type="paragraph" w:styleId="1161">
    <w:name w:val="正文1"/>
    <w:next w:val="1161"/>
    <w:link w:val="1013"/>
    <w:qFormat/>
    <w:pPr>
      <w:jc w:val="both"/>
      <w:widowControl w:val="off"/>
    </w:pPr>
    <w:rPr>
      <w:rFonts w:ascii="Calibri" w:hAnsi="Calibri" w:eastAsia="宋体" w:cs="Times New Roman"/>
      <w:lang w:val="en-US" w:eastAsia="zh-CN" w:bidi="ar-SA"/>
    </w:rPr>
  </w:style>
  <w:style w:type="paragraph" w:styleId="1162">
    <w:name w:val="列出段落1"/>
    <w:basedOn w:val="1013"/>
    <w:next w:val="1162"/>
    <w:link w:val="1013"/>
    <w:uiPriority w:val="99"/>
    <w:qFormat/>
    <w:pPr>
      <w:contextualSpacing/>
      <w:ind w:left="720"/>
      <w:jc w:val="left"/>
      <w:widowControl/>
    </w:pPr>
    <w:rPr>
      <w:rFonts w:ascii="Arial" w:hAnsi="Arial" w:eastAsia="黑体"/>
      <w:sz w:val="24"/>
      <w:lang w:eastAsia="en-US"/>
    </w:rPr>
  </w:style>
  <w:style w:type="paragraph" w:styleId="1163">
    <w:name w:val="正文空2字"/>
    <w:basedOn w:val="1013"/>
    <w:next w:val="1163"/>
    <w:link w:val="1013"/>
    <w:qFormat/>
    <w:pPr>
      <w:ind w:firstLine="200"/>
      <w:spacing w:line="360" w:lineRule="auto"/>
    </w:pPr>
    <w:rPr>
      <w:sz w:val="24"/>
      <w:lang w:bidi="en-US"/>
    </w:rPr>
  </w:style>
  <w:style w:type="paragraph" w:styleId="1164">
    <w:name w:val="正文_0_0_0"/>
    <w:next w:val="1164"/>
    <w:link w:val="1013"/>
    <w:qFormat/>
    <w:pPr>
      <w:jc w:val="both"/>
      <w:widowControl w:val="off"/>
    </w:pPr>
    <w:rPr>
      <w:rFonts w:ascii="Times New Roman" w:hAnsi="Times New Roman" w:eastAsia="宋体" w:cs="Times New Roman"/>
      <w:lang w:val="en-US" w:eastAsia="zh-CN" w:bidi="ar-SA"/>
    </w:rPr>
  </w:style>
  <w:style w:type="paragraph" w:styleId="1165">
    <w:name w:val="目录 5_0"/>
    <w:basedOn w:val="1097"/>
    <w:next w:val="1097"/>
    <w:link w:val="1013"/>
    <w:uiPriority w:val="39"/>
    <w:qFormat/>
    <w:pPr>
      <w:ind w:left="1680"/>
    </w:pPr>
    <w:rPr>
      <w:rFonts w:ascii="Calibri" w:hAnsi="Calibri"/>
    </w:rPr>
  </w:style>
  <w:style w:type="paragraph" w:styleId="1166">
    <w:name w:val="修订1"/>
    <w:next w:val="1166"/>
    <w:link w:val="1013"/>
    <w:qFormat/>
    <w:rPr>
      <w:rFonts w:ascii="Times New Roman" w:hAnsi="Times New Roman" w:eastAsia="宋体" w:cs="Times New Roman"/>
      <w:sz w:val="21"/>
      <w:szCs w:val="24"/>
      <w:lang w:val="en-US" w:eastAsia="zh-CN" w:bidi="ar-SA"/>
    </w:rPr>
  </w:style>
  <w:style w:type="paragraph" w:styleId="1167">
    <w:name w:val="标题 11"/>
    <w:basedOn w:val="1161"/>
    <w:next w:val="1161"/>
    <w:link w:val="1013"/>
    <w:qFormat/>
    <w:pPr>
      <w:keepLines/>
      <w:keepNext/>
      <w:spacing w:before="340" w:after="330" w:line="576" w:lineRule="auto"/>
      <w:outlineLvl w:val="0"/>
    </w:pPr>
    <w:rPr>
      <w:rFonts w:ascii="Times New Roman" w:hAnsi="Times New Roman" w:eastAsia="Times New Roman"/>
      <w:b/>
      <w:sz w:val="44"/>
      <w:lang w:val="zh-CN"/>
    </w:rPr>
  </w:style>
  <w:style w:type="paragraph" w:styleId="1168">
    <w:name w:val="正文 + 行距: 固定值 20 磅"/>
    <w:basedOn w:val="1013"/>
    <w:next w:val="1168"/>
    <w:link w:val="1013"/>
    <w:qFormat/>
    <w:pPr>
      <w:ind w:firstLine="716"/>
      <w:spacing w:line="400" w:lineRule="exact"/>
    </w:pPr>
    <w:rPr>
      <w:rFonts w:ascii="Calibri" w:hAnsi="Calibri"/>
      <w:szCs w:val="22"/>
    </w:rPr>
  </w:style>
  <w:style w:type="paragraph" w:styleId="1169">
    <w:name w:val="TOC 标题1"/>
    <w:basedOn w:val="1014"/>
    <w:next w:val="1013"/>
    <w:link w:val="1013"/>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1170">
    <w:name w:val="表格文字"/>
    <w:basedOn w:val="1013"/>
    <w:next w:val="1170"/>
    <w:link w:val="1171"/>
    <w:qFormat/>
    <w:pPr>
      <w:jc w:val="left"/>
      <w:spacing w:line="420" w:lineRule="atLeast"/>
    </w:pPr>
    <w:rPr>
      <w:rFonts w:ascii="Calibri" w:hAnsi="Calibri"/>
      <w:szCs w:val="22"/>
    </w:rPr>
  </w:style>
  <w:style w:type="character" w:styleId="1171">
    <w:name w:val="表格文字 字符"/>
    <w:next w:val="1171"/>
    <w:link w:val="1170"/>
    <w:qFormat/>
    <w:rPr>
      <w:rFonts w:ascii="Calibri" w:hAnsi="Calibri" w:eastAsia="宋体" w:cs="Times New Roman"/>
      <w:sz w:val="21"/>
      <w:szCs w:val="22"/>
    </w:rPr>
  </w:style>
  <w:style w:type="paragraph" w:styleId="1172">
    <w:name w:val="flNote"/>
    <w:basedOn w:val="1013"/>
    <w:next w:val="1172"/>
    <w:link w:val="1013"/>
    <w:qFormat/>
    <w:pPr>
      <w:jc w:val="center"/>
      <w:spacing w:before="320" w:after="160" w:line="360" w:lineRule="atLeast"/>
    </w:pPr>
    <w:rPr>
      <w:rFonts w:ascii="Arial" w:hAnsi="Calibri" w:eastAsia="黑体"/>
      <w:sz w:val="30"/>
      <w:szCs w:val="22"/>
    </w:rPr>
  </w:style>
  <w:style w:type="paragraph" w:styleId="1173">
    <w:name w:val="文章正文"/>
    <w:basedOn w:val="1013"/>
    <w:next w:val="1173"/>
    <w:link w:val="1013"/>
    <w:uiPriority w:val="99"/>
    <w:qFormat/>
    <w:pPr>
      <w:ind w:firstLine="480"/>
      <w:spacing w:line="360" w:lineRule="auto"/>
    </w:pPr>
    <w:rPr>
      <w:rFonts w:ascii="仿宋_GB2312" w:hAnsi="宋体" w:eastAsia="仿宋_GB2312"/>
      <w:color w:val="ff0000"/>
      <w:sz w:val="24"/>
    </w:rPr>
  </w:style>
  <w:style w:type="paragraph" w:styleId="1174">
    <w:name w:val="表格"/>
    <w:basedOn w:val="1013"/>
    <w:next w:val="1174"/>
    <w:link w:val="1013"/>
    <w:qFormat/>
    <w:pPr>
      <w:jc w:val="center"/>
    </w:pPr>
    <w:rPr>
      <w:rFonts w:ascii="华文细黑" w:hAnsi="华文细黑"/>
      <w:szCs w:val="22"/>
    </w:rPr>
  </w:style>
  <w:style w:type="paragraph" w:styleId="1175">
    <w:name w:val="Char"/>
    <w:basedOn w:val="1013"/>
    <w:next w:val="1175"/>
    <w:link w:val="1013"/>
    <w:qFormat/>
    <w:pPr>
      <w:jc w:val="left"/>
      <w:spacing w:after="160" w:line="240" w:lineRule="exact"/>
      <w:widowControl/>
    </w:pPr>
    <w:rPr>
      <w:rFonts w:ascii="Verdana" w:hAnsi="Verdana"/>
      <w:sz w:val="20"/>
      <w:szCs w:val="20"/>
      <w:lang w:eastAsia="en-US"/>
    </w:rPr>
  </w:style>
  <w:style w:type="paragraph" w:styleId="1176">
    <w:name w:val="列出段落2"/>
    <w:basedOn w:val="1013"/>
    <w:next w:val="1176"/>
    <w:link w:val="1013"/>
    <w:uiPriority w:val="99"/>
    <w:qFormat/>
    <w:pPr>
      <w:ind w:firstLine="420"/>
    </w:pPr>
  </w:style>
  <w:style w:type="paragraph" w:styleId="1177">
    <w:name w:val="6'"/>
    <w:basedOn w:val="1013"/>
    <w:next w:val="1177"/>
    <w:link w:val="1013"/>
    <w:qFormat/>
    <w:pPr>
      <w:jc w:val="center"/>
      <w:spacing w:line="320" w:lineRule="exact"/>
    </w:pPr>
    <w:rPr>
      <w:rFonts w:ascii="Calibri" w:hAnsi="Calibri"/>
      <w:spacing w:val="20"/>
      <w:szCs w:val="22"/>
    </w:rPr>
  </w:style>
  <w:style w:type="paragraph" w:styleId="1178">
    <w:name w:val="Char Char Char Char Char Char Char"/>
    <w:basedOn w:val="1013"/>
    <w:next w:val="1178"/>
    <w:link w:val="1013"/>
    <w:qFormat/>
    <w:pPr>
      <w:spacing w:line="360" w:lineRule="auto"/>
    </w:pPr>
    <w:rPr>
      <w:sz w:val="24"/>
      <w:szCs w:val="20"/>
    </w:rPr>
  </w:style>
  <w:style w:type="paragraph" w:styleId="1179">
    <w:name w:val="2方案格式2"/>
    <w:basedOn w:val="1159"/>
    <w:next w:val="1179"/>
    <w:link w:val="1013"/>
    <w:qFormat/>
    <w:pPr>
      <w:numPr>
        <w:ilvl w:val="1"/>
      </w:numPr>
      <w:spacing w:before="50" w:after="50" w:line="240" w:lineRule="auto"/>
      <w:tabs>
        <w:tab w:val="left" w:pos="360" w:leader="none"/>
      </w:tabs>
      <w:outlineLvl w:val="1"/>
    </w:pPr>
    <w:rPr>
      <w:sz w:val="44"/>
    </w:rPr>
  </w:style>
  <w:style w:type="paragraph" w:styleId="1180">
    <w:name w:val="无间隔1"/>
    <w:next w:val="1180"/>
    <w:link w:val="1013"/>
    <w:qFormat/>
    <w:pPr>
      <w:jc w:val="both"/>
      <w:widowControl w:val="off"/>
    </w:pPr>
    <w:rPr>
      <w:rFonts w:ascii="Calibri" w:hAnsi="Calibri" w:eastAsia="宋体" w:cs="Times New Roman"/>
      <w:sz w:val="21"/>
      <w:szCs w:val="22"/>
      <w:lang w:val="en-US" w:eastAsia="zh-CN" w:bidi="ar-SA"/>
    </w:rPr>
  </w:style>
  <w:style w:type="paragraph" w:styleId="1181">
    <w:name w:val="文档正文"/>
    <w:basedOn w:val="1013"/>
    <w:next w:val="1181"/>
    <w:link w:val="1013"/>
    <w:qFormat/>
    <w:pPr>
      <w:ind w:firstLine="567"/>
      <w:spacing w:line="480" w:lineRule="atLeast"/>
    </w:pPr>
    <w:rPr>
      <w:rFonts w:ascii="Ari" w:eastAsia="Ari"/>
      <w:sz w:val="28"/>
      <w:szCs w:val="20"/>
    </w:rPr>
  </w:style>
  <w:style w:type="paragraph" w:styleId="1182">
    <w:name w:val="txt"/>
    <w:basedOn w:val="1013"/>
    <w:next w:val="1182"/>
    <w:link w:val="1013"/>
    <w:qFormat/>
    <w:pPr>
      <w:jc w:val="left"/>
      <w:spacing w:before="100" w:beforeAutospacing="1" w:after="100" w:afterAutospacing="1"/>
      <w:widowControl/>
    </w:pPr>
    <w:rPr>
      <w:rFonts w:ascii="宋体" w:hAnsi="宋体" w:cs="宋体"/>
      <w:sz w:val="24"/>
    </w:rPr>
  </w:style>
  <w:style w:type="paragraph" w:styleId="1183">
    <w:name w:val="目录 4_0"/>
    <w:basedOn w:val="1097"/>
    <w:next w:val="1097"/>
    <w:link w:val="1013"/>
    <w:uiPriority w:val="39"/>
    <w:qFormat/>
    <w:pPr>
      <w:ind w:left="1260"/>
    </w:pPr>
    <w:rPr>
      <w:rFonts w:ascii="Calibri" w:hAnsi="Calibri"/>
    </w:rPr>
  </w:style>
  <w:style w:type="paragraph" w:styleId="1184">
    <w:name w:val="目录 3_0"/>
    <w:basedOn w:val="1097"/>
    <w:next w:val="1097"/>
    <w:link w:val="1013"/>
    <w:uiPriority w:val="39"/>
    <w:qFormat/>
    <w:pPr>
      <w:ind w:left="840"/>
    </w:pPr>
    <w:rPr>
      <w:rFonts w:ascii="Calibri" w:hAnsi="Calibri"/>
    </w:rPr>
  </w:style>
  <w:style w:type="paragraph" w:styleId="1185">
    <w:name w:val="样式 标题 1 + 黑体 三号 非加粗 居中 段前: 6 磅 段后: 6 磅 行距: 固定值 20 磅"/>
    <w:basedOn w:val="1014"/>
    <w:next w:val="1185"/>
    <w:link w:val="1013"/>
    <w:qFormat/>
    <w:pPr>
      <w:numPr>
        <w:ilvl w:val="0"/>
        <w:numId w:val="0"/>
      </w:numPr>
      <w:spacing w:before="120" w:after="120" w:line="400" w:lineRule="exact"/>
    </w:pPr>
    <w:rPr>
      <w:rFonts w:ascii="黑体" w:hAnsi="黑体" w:eastAsia="黑体"/>
      <w:b w:val="0"/>
      <w:bCs w:val="0"/>
      <w:szCs w:val="20"/>
    </w:rPr>
  </w:style>
  <w:style w:type="paragraph" w:styleId="1186">
    <w:name w:val="1"/>
    <w:basedOn w:val="1013"/>
    <w:next w:val="1013"/>
    <w:link w:val="1013"/>
    <w:qFormat/>
    <w:rPr>
      <w:rFonts w:ascii="Calibri" w:hAnsi="Calibri"/>
      <w:szCs w:val="22"/>
    </w:rPr>
  </w:style>
  <w:style w:type="paragraph" w:styleId="1187">
    <w:name w:val="Blockquote_0"/>
    <w:basedOn w:val="1097"/>
    <w:next w:val="1187"/>
    <w:link w:val="1013"/>
    <w:qFormat/>
    <w:pPr>
      <w:ind w:left="360" w:right="360"/>
      <w:jc w:val="left"/>
      <w:spacing w:before="100" w:after="100"/>
    </w:pPr>
    <w:rPr>
      <w:rFonts w:ascii="Calibri" w:hAnsi="Calibri" w:eastAsia="Times New Roman"/>
      <w:sz w:val="24"/>
      <w:szCs w:val="20"/>
    </w:rPr>
  </w:style>
  <w:style w:type="paragraph" w:styleId="1188">
    <w:name w:val="列出段落11"/>
    <w:basedOn w:val="1013"/>
    <w:next w:val="1188"/>
    <w:link w:val="1013"/>
    <w:qFormat/>
    <w:pPr>
      <w:contextualSpacing/>
      <w:ind w:left="720"/>
      <w:jc w:val="left"/>
      <w:widowControl/>
    </w:pPr>
    <w:rPr>
      <w:rFonts w:ascii="Arial" w:hAnsi="Arial" w:eastAsia="黑体"/>
      <w:sz w:val="24"/>
      <w:lang w:eastAsia="en-US"/>
    </w:rPr>
  </w:style>
  <w:style w:type="paragraph" w:styleId="1189">
    <w:name w:val="样式 标题 2 + Times New Roman 四号 非加粗 段前: 5 磅 段后: 0 磅 行距: 固定值 20..._0"/>
    <w:basedOn w:val="1013"/>
    <w:next w:val="1189"/>
    <w:link w:val="1013"/>
    <w:qFormat/>
    <w:pPr>
      <w:keepLines/>
      <w:keepNext/>
      <w:spacing w:before="100" w:line="360" w:lineRule="auto"/>
      <w:outlineLvl w:val="1"/>
    </w:pPr>
    <w:rPr>
      <w:rFonts w:eastAsia="Times New Roman" w:cs="宋体"/>
      <w:sz w:val="28"/>
      <w:szCs w:val="20"/>
    </w:rPr>
  </w:style>
  <w:style w:type="paragraph" w:styleId="1190">
    <w:name w:val="op_mapdots_left"/>
    <w:basedOn w:val="1013"/>
    <w:next w:val="1190"/>
    <w:link w:val="1013"/>
    <w:qFormat/>
    <w:pPr>
      <w:jc w:val="left"/>
      <w:spacing w:before="100" w:beforeAutospacing="1" w:after="100" w:afterAutospacing="1"/>
      <w:widowControl/>
    </w:pPr>
    <w:rPr>
      <w:rFonts w:ascii="宋体" w:hAnsi="宋体" w:cs="宋体"/>
      <w:sz w:val="24"/>
    </w:rPr>
  </w:style>
  <w:style w:type="paragraph" w:styleId="1191">
    <w:name w:val="p0"/>
    <w:basedOn w:val="1013"/>
    <w:next w:val="1191"/>
    <w:link w:val="1013"/>
    <w:qFormat/>
    <w:pPr>
      <w:widowControl/>
    </w:pPr>
    <w:rPr>
      <w:b/>
      <w:bCs/>
      <w:sz w:val="24"/>
    </w:rPr>
  </w:style>
  <w:style w:type="paragraph" w:styleId="1192">
    <w:name w:val="Blockquote"/>
    <w:basedOn w:val="1013"/>
    <w:next w:val="1192"/>
    <w:link w:val="1013"/>
    <w:qFormat/>
    <w:pPr>
      <w:ind w:left="360" w:right="360"/>
      <w:jc w:val="left"/>
      <w:spacing w:before="100" w:after="100"/>
    </w:pPr>
    <w:rPr>
      <w:rFonts w:ascii="Calibri" w:hAnsi="Calibri"/>
      <w:sz w:val="24"/>
      <w:szCs w:val="22"/>
    </w:rPr>
  </w:style>
  <w:style w:type="paragraph" w:styleId="1193">
    <w:name w:val="3方案格式3"/>
    <w:basedOn w:val="1179"/>
    <w:next w:val="1193"/>
    <w:link w:val="1013"/>
    <w:qFormat/>
    <w:pPr>
      <w:numPr>
        <w:ilvl w:val="2"/>
      </w:numPr>
      <w:tabs>
        <w:tab w:val="left" w:pos="360" w:leader="none"/>
      </w:tabs>
      <w:outlineLvl w:val="2"/>
    </w:pPr>
    <w:rPr>
      <w:sz w:val="32"/>
    </w:rPr>
  </w:style>
  <w:style w:type="paragraph" w:styleId="1194">
    <w:name w:val="样式 标题 2 + Times New Roman 四号 非加粗 段前: 5 磅 段后: 0 磅 行距: 固定值 20..."/>
    <w:basedOn w:val="1015"/>
    <w:next w:val="1194"/>
    <w:link w:val="1013"/>
    <w:qFormat/>
    <w:pPr>
      <w:numPr>
        <w:ilvl w:val="0"/>
        <w:numId w:val="0"/>
      </w:numPr>
      <w:spacing w:before="100" w:after="0" w:line="400" w:lineRule="exact"/>
    </w:pPr>
    <w:rPr>
      <w:rFonts w:ascii="Times New Roman" w:hAnsi="Times New Roman" w:eastAsia="黑体"/>
      <w:b w:val="0"/>
      <w:bCs w:val="0"/>
      <w:sz w:val="28"/>
      <w:szCs w:val="20"/>
    </w:rPr>
  </w:style>
  <w:style w:type="paragraph" w:styleId="1195">
    <w:name w:val="标题2"/>
    <w:basedOn w:val="1015"/>
    <w:next w:val="1044"/>
    <w:link w:val="1013"/>
    <w:qFormat/>
    <w:pPr>
      <w:spacing w:before="156" w:after="156" w:line="360" w:lineRule="auto"/>
    </w:pPr>
    <w:rPr>
      <w:bCs w:val="0"/>
      <w:sz w:val="24"/>
    </w:rPr>
  </w:style>
  <w:style w:type="paragraph" w:styleId="1196">
    <w:name w:val="普通正文"/>
    <w:basedOn w:val="1013"/>
    <w:next w:val="1196"/>
    <w:link w:val="1013"/>
    <w:qFormat/>
    <w:pPr>
      <w:ind w:firstLine="480"/>
      <w:jc w:val="left"/>
      <w:spacing w:before="120" w:after="120" w:line="360" w:lineRule="auto"/>
    </w:pPr>
    <w:rPr>
      <w:rFonts w:ascii="Arial" w:hAnsi="Arial"/>
      <w:sz w:val="24"/>
    </w:rPr>
  </w:style>
  <w:style w:type="paragraph" w:styleId="1197">
    <w:name w:val="正文11"/>
    <w:next w:val="1197"/>
    <w:link w:val="1013"/>
    <w:qFormat/>
    <w:rPr>
      <w:rFonts w:ascii="Calibri" w:hAnsi="Calibri" w:eastAsia="宋体" w:cs="Calibri"/>
      <w:sz w:val="24"/>
      <w:szCs w:val="24"/>
      <w:lang w:val="en-US" w:eastAsia="zh-CN" w:bidi="ar-SA"/>
    </w:rPr>
  </w:style>
  <w:style w:type="paragraph" w:styleId="1198">
    <w:name w:val="正文2"/>
    <w:next w:val="1198"/>
    <w:link w:val="1013"/>
    <w:qFormat/>
    <w:rPr>
      <w:rFonts w:ascii="Times New Roman" w:hAnsi="Times New Roman" w:eastAsia="微软雅黑" w:cs="Times New Roman"/>
      <w:sz w:val="24"/>
      <w:szCs w:val="24"/>
      <w:lang w:val="en-US" w:eastAsia="zh-CN" w:bidi="ar-SA"/>
    </w:rPr>
  </w:style>
  <w:style w:type="paragraph" w:styleId="1199">
    <w:name w:val="列出段落3"/>
    <w:basedOn w:val="1013"/>
    <w:next w:val="1199"/>
    <w:link w:val="1013"/>
    <w:qFormat/>
    <w:pPr>
      <w:ind w:firstLine="420"/>
      <w:jc w:val="left"/>
      <w:spacing w:after="200"/>
      <w:widowControl/>
    </w:pPr>
    <w:rPr>
      <w:rFonts w:ascii="Tahoma" w:hAnsi="Tahoma" w:eastAsia="微软雅黑"/>
      <w:sz w:val="22"/>
      <w:szCs w:val="22"/>
    </w:rPr>
  </w:style>
  <w:style w:type="paragraph" w:styleId="1200">
    <w:name w:val="纯文本2"/>
    <w:basedOn w:val="1013"/>
    <w:next w:val="1200"/>
    <w:link w:val="1013"/>
    <w:qFormat/>
    <w:pPr>
      <w:jc w:val="left"/>
    </w:pPr>
    <w:rPr>
      <w:rFonts w:hint="eastAsia" w:ascii="宋体" w:hAnsi="宋体" w:cs="Courier New"/>
      <w:sz w:val="24"/>
      <w:szCs w:val="20"/>
      <w:lang w:bidi="hi-IN"/>
    </w:rPr>
  </w:style>
  <w:style w:type="paragraph" w:styleId="1201">
    <w:name w:val="List Paragraph"/>
    <w:basedOn w:val="1013"/>
    <w:next w:val="1201"/>
    <w:link w:val="1013"/>
    <w:uiPriority w:val="99"/>
    <w:qFormat/>
    <w:pPr>
      <w:ind w:firstLine="420"/>
    </w:pPr>
  </w:style>
  <w:style w:type="paragraph" w:styleId="1202">
    <w:name w:val="trs_editor"/>
    <w:basedOn w:val="1013"/>
    <w:next w:val="1202"/>
    <w:link w:val="1013"/>
    <w:qFormat/>
    <w:pPr>
      <w:jc w:val="left"/>
      <w:spacing w:before="100" w:beforeAutospacing="1" w:after="100" w:afterAutospacing="1"/>
      <w:widowControl/>
    </w:pPr>
    <w:rPr>
      <w:rFonts w:ascii="宋体" w:hAnsi="宋体" w:cs="宋体"/>
      <w:sz w:val="24"/>
    </w:rPr>
  </w:style>
  <w:style w:type="paragraph" w:styleId="1203">
    <w:name w:val="图例"/>
    <w:basedOn w:val="1013"/>
    <w:next w:val="1203"/>
    <w:link w:val="1013"/>
    <w:qFormat/>
    <w:pPr>
      <w:jc w:val="center"/>
      <w:spacing w:before="120" w:after="120" w:line="360" w:lineRule="auto"/>
    </w:pPr>
    <w:rPr>
      <w:rFonts w:eastAsia="仿宋_GB2312"/>
      <w:b/>
      <w:sz w:val="24"/>
      <w:szCs w:val="20"/>
    </w:rPr>
  </w:style>
  <w:style w:type="paragraph" w:styleId="1204">
    <w:name w:val="正文文本缩进1"/>
    <w:basedOn w:val="1013"/>
    <w:next w:val="1205"/>
    <w:link w:val="1013"/>
    <w:qFormat/>
    <w:pPr>
      <w:ind w:firstLine="420"/>
      <w:spacing w:line="360" w:lineRule="auto"/>
    </w:pPr>
    <w:rPr>
      <w:rFonts w:ascii="宋体"/>
      <w:sz w:val="24"/>
      <w:szCs w:val="20"/>
    </w:rPr>
  </w:style>
  <w:style w:type="paragraph" w:styleId="1205">
    <w:name w:val="寄信人地址1"/>
    <w:basedOn w:val="1013"/>
    <w:next w:val="1205"/>
    <w:link w:val="1013"/>
    <w:qFormat/>
    <w:rPr>
      <w:rFonts w:ascii="Arial" w:hAnsi="Arial"/>
    </w:rPr>
  </w:style>
  <w:style w:type="paragraph" w:styleId="1206">
    <w:name w:val="标题 111"/>
    <w:basedOn w:val="1013"/>
    <w:next w:val="1013"/>
    <w:link w:val="1013"/>
    <w:qFormat/>
    <w:pPr>
      <w:jc w:val="center"/>
      <w:keepLines/>
      <w:keepNext/>
      <w:spacing w:before="340" w:after="330" w:line="578" w:lineRule="auto"/>
      <w:outlineLvl w:val="0"/>
    </w:pPr>
    <w:rPr>
      <w:b/>
      <w:bCs/>
      <w:sz w:val="52"/>
      <w:szCs w:val="44"/>
    </w:rPr>
  </w:style>
  <w:style w:type="paragraph" w:styleId="1207">
    <w:name w:val="标题 21"/>
    <w:basedOn w:val="1013"/>
    <w:next w:val="1013"/>
    <w:link w:val="1013"/>
    <w:qFormat/>
    <w:pPr>
      <w:keepLines/>
      <w:keepNext/>
      <w:spacing w:before="260" w:after="260" w:line="416" w:lineRule="auto"/>
      <w:outlineLvl w:val="1"/>
    </w:pPr>
    <w:rPr>
      <w:rFonts w:ascii="Cambria" w:hAnsi="Cambria"/>
      <w:b/>
      <w:bCs/>
      <w:sz w:val="32"/>
      <w:szCs w:val="32"/>
    </w:rPr>
  </w:style>
  <w:style w:type="paragraph" w:styleId="1208">
    <w:name w:val="正文缩进1"/>
    <w:basedOn w:val="1013"/>
    <w:next w:val="1208"/>
    <w:link w:val="1013"/>
    <w:qFormat/>
    <w:pPr>
      <w:ind w:firstLine="420"/>
    </w:pPr>
    <w:rPr>
      <w:b/>
      <w:sz w:val="24"/>
      <w:szCs w:val="20"/>
    </w:rPr>
  </w:style>
  <w:style w:type="paragraph" w:styleId="1209">
    <w:name w:val="列出段落"/>
    <w:basedOn w:val="1013"/>
    <w:next w:val="1209"/>
    <w:link w:val="1013"/>
    <w:uiPriority w:val="34"/>
    <w:qFormat/>
    <w:pPr>
      <w:ind w:firstLine="420"/>
    </w:pPr>
  </w:style>
  <w:style w:type="paragraph" w:styleId="1210">
    <w:name w:val="纯文本1"/>
    <w:basedOn w:val="1013"/>
    <w:next w:val="1210"/>
    <w:link w:val="1013"/>
    <w:uiPriority w:val="99"/>
    <w:qFormat/>
    <w:rPr>
      <w:rFonts w:ascii="宋体" w:hAnsi="Courier New"/>
      <w:sz w:val="20"/>
      <w:szCs w:val="20"/>
    </w:rPr>
  </w:style>
  <w:style w:type="character" w:styleId="1211">
    <w:name w:val="批注引用1"/>
    <w:next w:val="1211"/>
    <w:link w:val="1013"/>
    <w:unhideWhenUsed/>
    <w:qFormat/>
    <w:rPr>
      <w:rFonts w:ascii="Times New Roman" w:hAnsi="Times New Roman" w:eastAsia="宋体" w:cs="Times New Roman"/>
      <w:sz w:val="21"/>
      <w:szCs w:val="24"/>
      <w:lang w:val="en-US" w:eastAsia="zh-CN" w:bidi="ar-SA"/>
    </w:rPr>
  </w:style>
  <w:style w:type="paragraph" w:styleId="1212">
    <w:name w:val="正文_1_0_0"/>
    <w:next w:val="1212"/>
    <w:link w:val="1013"/>
    <w:qFormat/>
    <w:pPr>
      <w:jc w:val="both"/>
      <w:widowControl w:val="off"/>
    </w:pPr>
    <w:rPr>
      <w:rFonts w:ascii="Times New Roman" w:hAnsi="Times New Roman" w:eastAsia="宋体" w:cs="Times New Roman"/>
      <w:sz w:val="21"/>
      <w:lang w:val="en-US" w:eastAsia="zh-CN" w:bidi="ar-SA"/>
    </w:rPr>
  </w:style>
  <w:style w:type="paragraph" w:styleId="1213">
    <w:name w:val="正文_0_0_0_0"/>
    <w:next w:val="1213"/>
    <w:link w:val="1013"/>
    <w:qFormat/>
    <w:pPr>
      <w:jc w:val="both"/>
      <w:widowControl w:val="off"/>
    </w:pPr>
    <w:rPr>
      <w:rFonts w:ascii="Times New Roman" w:hAnsi="Times New Roman" w:eastAsia="宋体" w:cs="Times New Roman"/>
      <w:sz w:val="21"/>
      <w:szCs w:val="24"/>
      <w:lang w:val="en-US" w:eastAsia="zh-CN" w:bidi="ar-SA"/>
    </w:rPr>
  </w:style>
  <w:style w:type="paragraph" w:styleId="1214">
    <w:name w:val="正文_0_0_0_0_0"/>
    <w:next w:val="1214"/>
    <w:link w:val="1013"/>
    <w:qFormat/>
    <w:pPr>
      <w:jc w:val="both"/>
      <w:widowControl w:val="off"/>
    </w:pPr>
    <w:rPr>
      <w:rFonts w:ascii="Times New Roman" w:hAnsi="Times New Roman" w:eastAsia="宋体" w:cs="Times New Roman"/>
      <w:sz w:val="21"/>
      <w:szCs w:val="22"/>
      <w:lang w:val="en-US" w:eastAsia="zh-CN" w:bidi="ar-SA"/>
    </w:rPr>
  </w:style>
  <w:style w:type="paragraph" w:styleId="1215">
    <w:name w:val="正文_16"/>
    <w:next w:val="1215"/>
    <w:link w:val="1013"/>
    <w:qFormat/>
    <w:pPr>
      <w:jc w:val="both"/>
      <w:widowControl w:val="off"/>
    </w:pPr>
    <w:rPr>
      <w:rFonts w:ascii="Calibri" w:hAnsi="Calibri" w:eastAsia="宋体" w:cs="Times New Roman"/>
      <w:sz w:val="21"/>
      <w:szCs w:val="22"/>
      <w:lang w:val="en-US" w:eastAsia="zh-CN" w:bidi="ar-SA"/>
    </w:rPr>
  </w:style>
  <w:style w:type="paragraph" w:styleId="1216">
    <w:name w:val="纯文本_0_0"/>
    <w:basedOn w:val="1217"/>
    <w:next w:val="1216"/>
    <w:link w:val="1013"/>
    <w:qFormat/>
    <w:rPr>
      <w:rFonts w:ascii="宋体" w:hAnsi="Courier New"/>
      <w:szCs w:val="21"/>
    </w:rPr>
  </w:style>
  <w:style w:type="paragraph" w:styleId="1217">
    <w:name w:val="正文_7_1_0"/>
    <w:next w:val="1217"/>
    <w:link w:val="1013"/>
    <w:qFormat/>
    <w:pPr>
      <w:jc w:val="both"/>
      <w:widowControl w:val="off"/>
    </w:pPr>
    <w:rPr>
      <w:rFonts w:ascii="Times New Roman" w:hAnsi="Times New Roman" w:eastAsia="宋体" w:cs="Times New Roman"/>
      <w:sz w:val="21"/>
      <w:szCs w:val="22"/>
      <w:lang w:val="en-US" w:eastAsia="zh-CN" w:bidi="ar-SA"/>
    </w:rPr>
  </w:style>
  <w:style w:type="table" w:styleId="1218">
    <w:name w:val="网格型1"/>
    <w:basedOn w:val="1024"/>
    <w:next w:val="1218"/>
    <w:link w:val="1013"/>
    <w:uiPriority w:val="39"/>
    <w:qFormat/>
    <w:tblPr/>
  </w:style>
  <w:style w:type="paragraph" w:styleId="1219">
    <w:name w:val="Table Paragraph"/>
    <w:basedOn w:val="1013"/>
    <w:next w:val="1219"/>
    <w:link w:val="1013"/>
    <w:uiPriority w:val="1"/>
    <w:qFormat/>
    <w:pPr>
      <w:jc w:val="left"/>
    </w:pPr>
    <w:rPr>
      <w:rFonts w:ascii="宋体" w:cs="宋体"/>
      <w:sz w:val="24"/>
    </w:rPr>
  </w:style>
  <w:style w:type="paragraph" w:styleId="1220">
    <w:name w:val="表号 图号"/>
    <w:basedOn w:val="1013"/>
    <w:next w:val="1220"/>
    <w:link w:val="1013"/>
    <w:qFormat/>
    <w:pPr>
      <w:jc w:val="center"/>
      <w:spacing w:line="520" w:lineRule="exact"/>
    </w:pPr>
    <w:rPr>
      <w:rFonts w:eastAsia="黑体"/>
      <w:bCs/>
      <w:sz w:val="24"/>
      <w:szCs w:val="32"/>
    </w:rPr>
  </w:style>
  <w:style w:type="character" w:styleId="1221">
    <w:name w:val="font81"/>
    <w:basedOn w:val="1023"/>
    <w:next w:val="1221"/>
    <w:link w:val="1013"/>
    <w:qFormat/>
    <w:rPr>
      <w:rFonts w:hint="eastAsia" w:ascii="宋体" w:hAnsi="宋体" w:eastAsia="宋体" w:cs="宋体"/>
      <w:color w:val="000000"/>
      <w:sz w:val="20"/>
      <w:szCs w:val="20"/>
      <w:u w:val="single"/>
    </w:rPr>
  </w:style>
  <w:style w:type="character" w:styleId="1222">
    <w:name w:val="font71"/>
    <w:basedOn w:val="1023"/>
    <w:next w:val="1222"/>
    <w:link w:val="1013"/>
    <w:qFormat/>
    <w:rPr>
      <w:rFonts w:hint="eastAsia" w:ascii="宋体" w:hAnsi="宋体" w:eastAsia="宋体" w:cs="宋体"/>
      <w:color w:val="000000"/>
      <w:sz w:val="20"/>
      <w:szCs w:val="20"/>
      <w:u w:val="none"/>
    </w:rPr>
  </w:style>
  <w:style w:type="character" w:styleId="1223">
    <w:name w:val="font41"/>
    <w:basedOn w:val="1023"/>
    <w:next w:val="1223"/>
    <w:link w:val="1013"/>
    <w:qFormat/>
    <w:rPr>
      <w:rFonts w:hint="eastAsia" w:ascii="宋体" w:hAnsi="宋体" w:eastAsia="宋体" w:cs="宋体"/>
      <w:color w:val="000000"/>
      <w:sz w:val="20"/>
      <w:szCs w:val="20"/>
      <w:u w:val="none"/>
    </w:rPr>
  </w:style>
  <w:style w:type="character" w:styleId="1224">
    <w:name w:val="font61"/>
    <w:basedOn w:val="1023"/>
    <w:next w:val="1224"/>
    <w:link w:val="1013"/>
    <w:qFormat/>
    <w:rPr>
      <w:rFonts w:hint="eastAsia" w:ascii="宋体" w:hAnsi="宋体" w:eastAsia="宋体" w:cs="宋体"/>
      <w:color w:val="000000"/>
      <w:sz w:val="20"/>
      <w:szCs w:val="20"/>
      <w:u w:val="none"/>
    </w:rPr>
  </w:style>
  <w:style w:type="paragraph" w:styleId="1225">
    <w:name w:val="Revision"/>
    <w:next w:val="1225"/>
    <w:link w:val="1013"/>
    <w:uiPriority w:val="99"/>
    <w:unhideWhenUsed/>
    <w:qFormat/>
    <w:rPr>
      <w:rFonts w:ascii="Times New Roman" w:hAnsi="Times New Roman" w:eastAsia="宋体" w:cs="Times New Roman"/>
      <w:sz w:val="21"/>
      <w:szCs w:val="24"/>
      <w:lang w:val="en-US" w:eastAsia="zh-CN" w:bidi="ar-SA"/>
    </w:rPr>
  </w:style>
  <w:style w:type="paragraph" w:styleId="1226">
    <w:name w:val="索引 41"/>
    <w:basedOn w:val="1013"/>
    <w:next w:val="1013"/>
    <w:link w:val="1013"/>
    <w:qFormat/>
    <w:pPr>
      <w:ind w:left="600"/>
    </w:pPr>
  </w:style>
  <w:style w:type="paragraph" w:styleId="1227">
    <w:name w:val="正文首行缩进 21"/>
    <w:basedOn w:val="1204"/>
    <w:next w:val="1013"/>
    <w:link w:val="1013"/>
    <w:unhideWhenUsed/>
    <w:qFormat/>
    <w:pPr>
      <w:ind w:left="420" w:firstLine="200"/>
      <w:spacing w:after="120" w:line="240" w:lineRule="auto"/>
    </w:pPr>
    <w:rPr>
      <w:rFonts w:ascii="Times New Roman"/>
      <w:sz w:val="21"/>
      <w:szCs w:val="24"/>
    </w:rPr>
  </w:style>
  <w:style w:type="character" w:styleId="1228">
    <w:name w:val="active16"/>
    <w:basedOn w:val="1023"/>
    <w:next w:val="1228"/>
    <w:link w:val="1013"/>
    <w:qFormat/>
    <w:rPr>
      <w:color w:val="ffffff"/>
      <w:shd w:val="clear" w:color="auto" w:fill="0f5bb9"/>
    </w:rPr>
  </w:style>
  <w:style w:type="paragraph" w:styleId="1229">
    <w:name w:val="msolistparagraph"/>
    <w:basedOn w:val="1013"/>
    <w:next w:val="1229"/>
    <w:link w:val="1013"/>
    <w:qFormat/>
    <w:pPr>
      <w:ind w:left="0" w:right="0" w:firstLine="420"/>
      <w:jc w:val="both"/>
      <w:keepLines w:val="0"/>
      <w:keepNext w:val="0"/>
      <w:spacing w:before="0" w:beforeAutospacing="0" w:after="0" w:afterAutospacing="0"/>
      <w:widowControl w:val="off"/>
      <w:suppressLineNumbers w:val="0"/>
    </w:pPr>
    <w:rPr>
      <w:rFonts w:ascii="Calibri" w:hAnsi="Calibri" w:eastAsia="宋体" w:cs="Times New Roman"/>
      <w:sz w:val="21"/>
      <w:szCs w:val="22"/>
      <w:lang w:val="en-US" w:eastAsia="zh-CN" w:bidi="ar"/>
    </w:rPr>
  </w:style>
  <w:style w:type="character" w:styleId="1230" w:default="1">
    <w:name w:val="Default Paragraph Font"/>
    <w:uiPriority w:val="1"/>
    <w:semiHidden/>
    <w:unhideWhenUsed/>
  </w:style>
  <w:style w:type="numbering" w:styleId="1231" w:default="1">
    <w:name w:val="No List"/>
    <w:uiPriority w:val="99"/>
    <w:semiHidden/>
    <w:unhideWhenUsed/>
  </w:style>
  <w:style w:type="table" w:styleId="123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Lenovo</dc:creator>
  <cp:lastModifiedBy>倪静</cp:lastModifiedBy>
  <cp:revision>5</cp:revision>
  <dcterms:created xsi:type="dcterms:W3CDTF">2026-04-21T10:17:00Z</dcterms:created>
  <dcterms:modified xsi:type="dcterms:W3CDTF">2026-05-21T03:03:10Z</dcterms:modified>
</cp:coreProperties>
</file>