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tabs>
          <w:tab w:val="right" w:pos="9094" w:leader="dot"/>
        </w:tabs>
        <w:rPr>
          <w:b/>
          <w:bCs/>
          <w:color w:val="auto"/>
          <w:sz w:val="36"/>
          <w:szCs w:val="36"/>
          <w:highlight w:val="none"/>
        </w:rPr>
      </w:pPr>
      <w:r>
        <w:rPr>
          <w:b/>
          <w:bCs/>
          <w:color w:val="auto"/>
          <w:sz w:val="36"/>
          <w:szCs w:val="36"/>
          <w:highlight w:val="none"/>
        </w:rPr>
      </w:r>
      <w:r>
        <w:rPr>
          <w:highlight w:val="none"/>
        </w:rPr>
      </w:r>
      <w:r/>
    </w:p>
    <w:p>
      <w:pPr>
        <w:pStyle w:val="965"/>
        <w:jc w:val="center"/>
        <w:tabs>
          <w:tab w:val="right" w:pos="9094" w:leader="dot"/>
        </w:tabs>
        <w:rPr>
          <w:b/>
          <w:bCs/>
          <w:color w:val="auto"/>
          <w:sz w:val="36"/>
          <w:szCs w:val="36"/>
          <w:highlight w:val="none"/>
        </w:rPr>
      </w:pPr>
      <w:r>
        <w:rPr>
          <w:b/>
          <w:bCs/>
          <w:color w:val="auto"/>
          <w:sz w:val="36"/>
          <w:szCs w:val="36"/>
          <w:highlight w:val="none"/>
        </w:rPr>
      </w:r>
      <w:r>
        <w:rPr>
          <w:highlight w:val="none"/>
        </w:rPr>
      </w:r>
      <w:r/>
    </w:p>
    <w:p>
      <w:pPr>
        <w:pStyle w:val="965"/>
        <w:jc w:val="center"/>
        <w:tabs>
          <w:tab w:val="right" w:pos="9094" w:leader="dot"/>
        </w:tabs>
        <w:rPr>
          <w:rFonts w:hint="eastAsia"/>
          <w:b/>
          <w:color w:val="auto"/>
          <w:sz w:val="36"/>
          <w:szCs w:val="36"/>
          <w:highlight w:val="none"/>
        </w:rPr>
      </w:pPr>
      <w:r>
        <w:rPr>
          <w:rFonts w:hint="eastAsia"/>
          <w:b/>
          <w:color w:val="auto"/>
          <w:sz w:val="36"/>
          <w:szCs w:val="36"/>
          <w:highlight w:val="none"/>
          <w:lang w:eastAsia="zh-CN"/>
        </w:rPr>
      </w:r>
      <w:r>
        <w:rPr>
          <w:highlight w:val="none"/>
        </w:rPr>
      </w:r>
      <w:r/>
    </w:p>
    <w:p>
      <w:pPr>
        <w:pStyle w:val="965"/>
        <w:jc w:val="center"/>
        <w:tabs>
          <w:tab w:val="right" w:pos="9094" w:leader="dot"/>
        </w:tabs>
        <w:rPr>
          <w:rFonts w:hint="eastAsia" w:eastAsia="宋体"/>
          <w:b/>
          <w:bCs/>
          <w:color w:val="auto"/>
          <w:sz w:val="36"/>
          <w:szCs w:val="36"/>
          <w:highlight w:val="none"/>
        </w:rPr>
      </w:pPr>
      <w:r>
        <w:rPr>
          <w:rFonts w:hint="eastAsia"/>
          <w:b/>
          <w:color w:val="auto"/>
          <w:sz w:val="32"/>
          <w:szCs w:val="32"/>
          <w:highlight w:val="none"/>
          <w:lang w:eastAsia="zh-CN"/>
        </w:rPr>
        <w:t xml:space="preserve">靖江市人民医院基于AI的卒中（胸痛）一体化救治和调度平台</w:t>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jc w:val="center"/>
        <w:rPr>
          <w:rFonts w:ascii="方正小标宋简体" w:hAnsi="方正小标宋简体" w:eastAsia="方正小标宋简体" w:cs="方正小标宋简体"/>
          <w:color w:val="auto"/>
          <w:sz w:val="72"/>
          <w:szCs w:val="72"/>
          <w:highlight w:val="none"/>
        </w:rPr>
      </w:pPr>
      <w:r>
        <w:rPr>
          <w:rFonts w:ascii="方正小标宋简体" w:hAnsi="方正小标宋简体" w:eastAsia="方正小标宋简体" w:cs="方正小标宋简体"/>
          <w:color w:val="auto"/>
          <w:sz w:val="72"/>
          <w:szCs w:val="72"/>
          <w:highlight w:val="none"/>
        </w:rPr>
      </w:r>
      <w:r>
        <w:rPr>
          <w:highlight w:val="none"/>
        </w:rPr>
      </w:r>
      <w:r/>
    </w:p>
    <w:p>
      <w:pPr>
        <w:jc w:val="center"/>
        <w:rPr>
          <w:rFonts w:ascii="方正小标宋简体" w:hAnsi="方正小标宋简体" w:eastAsia="方正小标宋简体" w:cs="方正小标宋简体"/>
          <w:color w:val="auto"/>
          <w:sz w:val="72"/>
          <w:szCs w:val="72"/>
          <w:highlight w:val="none"/>
        </w:rPr>
      </w:pPr>
      <w:r>
        <w:rPr>
          <w:rFonts w:ascii="方正小标宋简体" w:hAnsi="方正小标宋简体" w:eastAsia="方正小标宋简体" w:cs="方正小标宋简体"/>
          <w:color w:val="auto"/>
          <w:sz w:val="72"/>
          <w:szCs w:val="72"/>
          <w:highlight w:val="none"/>
        </w:rPr>
      </w:r>
      <w:r>
        <w:rPr>
          <w:highlight w:val="none"/>
        </w:rPr>
      </w:r>
      <w:r/>
    </w:p>
    <w:p>
      <w:pPr>
        <w:jc w:val="center"/>
        <w:rPr>
          <w:rFonts w:ascii="方正小标宋简体" w:hAnsi="方正小标宋简体" w:eastAsia="方正小标宋简体" w:cs="方正小标宋简体"/>
          <w:color w:val="auto"/>
          <w:sz w:val="72"/>
          <w:szCs w:val="72"/>
          <w:highlight w:val="none"/>
        </w:rPr>
      </w:pPr>
      <w:r>
        <w:rPr>
          <w:rFonts w:hint="eastAsia" w:ascii="方正小标宋简体" w:hAnsi="方正小标宋简体" w:eastAsia="方正小标宋简体" w:cs="方正小标宋简体"/>
          <w:color w:val="auto"/>
          <w:sz w:val="72"/>
          <w:szCs w:val="72"/>
          <w:highlight w:val="none"/>
        </w:rPr>
        <w:t xml:space="preserve">招  标  文  件</w:t>
      </w:r>
      <w:r>
        <w:rPr>
          <w:highlight w:val="none"/>
        </w:rPr>
      </w:r>
      <w:r/>
    </w:p>
    <w:p>
      <w:pPr>
        <w:ind w:firstLine="320"/>
        <w:spacing w:line="360" w:lineRule="auto"/>
        <w:rPr>
          <w:color w:val="auto"/>
          <w:sz w:val="32"/>
          <w:szCs w:val="32"/>
          <w:highlight w:val="none"/>
        </w:rPr>
      </w:pPr>
      <w:r>
        <w:rPr>
          <w:color w:val="auto"/>
          <w:sz w:val="32"/>
          <w:szCs w:val="32"/>
          <w:highlight w:val="none"/>
        </w:rPr>
      </w:r>
      <w:r>
        <w:rPr>
          <w:highlight w:val="none"/>
        </w:rPr>
      </w:r>
      <w:r/>
    </w:p>
    <w:p>
      <w:pPr>
        <w:ind w:firstLine="1120"/>
        <w:spacing w:line="360" w:lineRule="auto"/>
        <w:rPr>
          <w:color w:val="auto"/>
          <w:sz w:val="32"/>
          <w:szCs w:val="32"/>
          <w:highlight w:val="none"/>
        </w:rPr>
      </w:pPr>
      <w:r>
        <w:rPr>
          <w:color w:val="auto"/>
          <w:sz w:val="32"/>
          <w:szCs w:val="32"/>
          <w:highlight w:val="none"/>
        </w:rPr>
      </w:r>
      <w:r>
        <w:rPr>
          <w:highlight w:val="none"/>
        </w:rPr>
      </w:r>
      <w:r/>
    </w:p>
    <w:p>
      <w:pPr>
        <w:pStyle w:val="950"/>
        <w:rPr>
          <w:color w:val="auto"/>
          <w:highlight w:val="none"/>
        </w:rPr>
      </w:pPr>
      <w:r>
        <w:rPr>
          <w:color w:val="auto"/>
          <w:highlight w:val="none"/>
        </w:rPr>
      </w:r>
      <w:r>
        <w:rPr>
          <w:highlight w:val="none"/>
        </w:rPr>
      </w:r>
      <w:r/>
    </w:p>
    <w:p>
      <w:pPr>
        <w:pStyle w:val="950"/>
        <w:rPr>
          <w:color w:val="auto"/>
          <w:highlight w:val="none"/>
        </w:rPr>
      </w:pPr>
      <w:r>
        <w:rPr>
          <w:color w:val="auto"/>
          <w:highlight w:val="none"/>
        </w:rPr>
      </w:r>
      <w:r>
        <w:rPr>
          <w:highlight w:val="none"/>
        </w:rPr>
      </w:r>
      <w:r/>
    </w:p>
    <w:p>
      <w:pPr>
        <w:pStyle w:val="950"/>
        <w:rPr>
          <w:color w:val="auto"/>
          <w:highlight w:val="none"/>
        </w:rPr>
      </w:pPr>
      <w:r>
        <w:rPr>
          <w:color w:val="auto"/>
          <w:highlight w:val="none"/>
        </w:rPr>
      </w:r>
      <w:r>
        <w:rPr>
          <w:highlight w:val="none"/>
        </w:rPr>
      </w:r>
      <w:r/>
    </w:p>
    <w:p>
      <w:pPr>
        <w:ind w:firstLine="560"/>
        <w:spacing w:before="156" w:after="156"/>
        <w:rPr>
          <w:rFonts w:ascii="宋体" w:hAnsi="宋体"/>
          <w:color w:val="auto"/>
          <w:sz w:val="28"/>
          <w:szCs w:val="28"/>
          <w:highlight w:val="none"/>
        </w:rPr>
      </w:pPr>
      <w:r>
        <w:rPr>
          <w:rFonts w:ascii="宋体" w:hAnsi="宋体"/>
          <w:color w:val="auto"/>
          <w:sz w:val="28"/>
          <w:szCs w:val="28"/>
          <w:highlight w:val="none"/>
        </w:rPr>
      </w:r>
      <w:r>
        <w:rPr>
          <w:highlight w:val="none"/>
        </w:rPr>
      </w:r>
      <w:r/>
    </w:p>
    <w:p>
      <w:pPr>
        <w:ind w:firstLine="560"/>
        <w:spacing w:before="156" w:after="156"/>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rPr>
          <w:highlight w:val="none"/>
        </w:rPr>
      </w:r>
      <w:r/>
    </w:p>
    <w:p>
      <w:pPr>
        <w:ind w:firstLine="560"/>
        <w:spacing w:before="156" w:after="156"/>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rPr>
          <w:rFonts w:hint="eastAsia" w:ascii="宋体" w:hAnsi="宋体"/>
          <w:color w:val="auto"/>
          <w:sz w:val="28"/>
          <w:szCs w:val="28"/>
          <w:highlight w:val="none"/>
          <w:u w:val="single"/>
        </w:rPr>
      </w:r>
      <w:r/>
    </w:p>
    <w:p>
      <w:pPr>
        <w:ind w:firstLine="560"/>
        <w:spacing w:before="156" w:after="156"/>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rPr>
          <w:rFonts w:hint="eastAsia" w:ascii="宋体" w:hAnsi="宋体"/>
          <w:color w:val="auto"/>
          <w:sz w:val="28"/>
          <w:szCs w:val="28"/>
          <w:highlight w:val="none"/>
          <w:u w:val="single"/>
        </w:rPr>
      </w:r>
      <w:r/>
    </w:p>
    <w:p>
      <w:pPr>
        <w:ind w:firstLine="560"/>
        <w:spacing w:before="156" w:after="156"/>
        <w:rPr>
          <w:rFonts w:hint="eastAsia" w:ascii="宋体" w:hAnsi="宋体"/>
          <w:color w:val="auto"/>
          <w:sz w:val="28"/>
          <w:szCs w:val="28"/>
          <w:highlight w:val="none"/>
          <w:u w:val="single"/>
        </w:rPr>
      </w:pPr>
      <w:r>
        <w:rPr>
          <w:rFonts w:hint="eastAsia" w:ascii="宋体" w:hAnsi="宋体"/>
          <w:color w:val="auto"/>
          <w:sz w:val="28"/>
          <w:szCs w:val="28"/>
          <w:highlight w:val="none"/>
          <w:u w:val="single"/>
        </w:rPr>
      </w:r>
      <w:r>
        <w:rPr>
          <w:rFonts w:hint="eastAsia" w:ascii="宋体" w:hAnsi="宋体"/>
          <w:color w:val="auto"/>
          <w:sz w:val="28"/>
          <w:szCs w:val="28"/>
          <w:highlight w:val="none"/>
          <w:u w:val="single"/>
        </w:rPr>
      </w:r>
      <w:r/>
    </w:p>
    <w:p>
      <w:pPr>
        <w:ind w:firstLine="560"/>
        <w:spacing w:before="156" w:after="156"/>
        <w:rPr>
          <w:rFonts w:hint="eastAsia" w:ascii="宋体" w:hAnsi="宋体"/>
          <w:color w:val="auto"/>
          <w:sz w:val="28"/>
          <w:szCs w:val="28"/>
          <w:highlight w:val="none"/>
          <w:u w:val="single"/>
        </w:rPr>
      </w:pPr>
      <w:r>
        <w:rPr>
          <w:rFonts w:hint="eastAsia" w:ascii="宋体" w:hAnsi="宋体"/>
          <w:color w:val="auto"/>
          <w:sz w:val="28"/>
          <w:szCs w:val="28"/>
          <w:highlight w:val="none"/>
        </w:rPr>
        <w:t xml:space="preserve">招   标   人（盖章）：</w:t>
      </w:r>
      <w:r>
        <w:rPr>
          <w:rFonts w:hint="eastAsia" w:ascii="宋体" w:hAnsi="宋体"/>
          <w:color w:val="auto"/>
          <w:sz w:val="28"/>
          <w:szCs w:val="28"/>
          <w:highlight w:val="none"/>
          <w:u w:val="single"/>
        </w:rPr>
        <w:t xml:space="preserve">    靖江市人民医院               </w:t>
      </w:r>
      <w:r>
        <w:rPr>
          <w:highlight w:val="none"/>
        </w:rPr>
      </w:r>
      <w:r/>
    </w:p>
    <w:p>
      <w:pPr>
        <w:pStyle w:val="950"/>
        <w:rPr>
          <w:color w:val="auto"/>
          <w:highlight w:val="none"/>
        </w:rPr>
      </w:pPr>
      <w:r>
        <w:rPr>
          <w:color w:val="auto"/>
          <w:highlight w:val="none"/>
        </w:rPr>
      </w:r>
      <w:r>
        <w:rPr>
          <w:highlight w:val="none"/>
        </w:rPr>
      </w:r>
      <w:r/>
    </w:p>
    <w:p>
      <w:pPr>
        <w:ind w:firstLine="560"/>
        <w:spacing w:before="156" w:after="156"/>
        <w:rPr>
          <w:rFonts w:ascii="宋体" w:hAnsi="宋体"/>
          <w:color w:val="auto"/>
          <w:sz w:val="28"/>
          <w:szCs w:val="28"/>
          <w:highlight w:val="none"/>
        </w:rPr>
      </w:pPr>
      <w:r>
        <w:rPr>
          <w:highlight w:val="none"/>
        </w:rPr>
      </w:r>
      <w:bookmarkStart w:id="0" w:name="_Toc2344"/>
      <w:r>
        <w:rPr>
          <w:highlight w:val="none"/>
        </w:rPr>
      </w:r>
      <w:r/>
    </w:p>
    <w:p>
      <w:pPr>
        <w:ind w:firstLine="560"/>
        <w:spacing w:before="156" w:after="156"/>
        <w:rPr>
          <w:rFonts w:ascii="宋体" w:hAnsi="宋体"/>
          <w:color w:val="auto"/>
          <w:sz w:val="28"/>
          <w:szCs w:val="28"/>
          <w:highlight w:val="none"/>
        </w:rPr>
      </w:pPr>
      <w:r>
        <w:rPr>
          <w:rFonts w:ascii="宋体" w:hAnsi="宋体"/>
          <w:color w:val="auto"/>
          <w:sz w:val="28"/>
          <w:szCs w:val="28"/>
          <w:highlight w:val="none"/>
        </w:rPr>
      </w:r>
      <w:r>
        <w:rPr>
          <w:highlight w:val="none"/>
        </w:rPr>
      </w:r>
      <w:r/>
    </w:p>
    <w:p>
      <w:pPr>
        <w:ind w:firstLine="560"/>
        <w:spacing w:before="156" w:after="156"/>
        <w:rPr>
          <w:rFonts w:hint="eastAsia" w:ascii="宋体" w:hAnsi="宋体"/>
          <w:color w:val="auto"/>
          <w:sz w:val="28"/>
          <w:szCs w:val="28"/>
          <w:highlight w:val="none"/>
        </w:rPr>
      </w:pPr>
      <w:r>
        <w:rPr>
          <w:rFonts w:hint="eastAsia" w:ascii="宋体" w:hAnsi="宋体"/>
          <w:color w:val="auto"/>
          <w:sz w:val="28"/>
          <w:szCs w:val="28"/>
          <w:highlight w:val="none"/>
        </w:rPr>
        <w:t xml:space="preserve">采购代理机构（盖章）：</w:t>
      </w:r>
      <w:bookmarkEnd w:id="0"/>
      <w:r>
        <w:rPr>
          <w:rFonts w:hint="eastAsia" w:ascii="宋体" w:hAnsi="宋体"/>
          <w:color w:val="auto"/>
          <w:sz w:val="28"/>
          <w:szCs w:val="28"/>
          <w:highlight w:val="none"/>
          <w:u w:val="single"/>
        </w:rPr>
        <w:t xml:space="preserve"> </w:t>
      </w:r>
      <w:bookmarkStart w:id="1" w:name="OLE_LINK6"/>
      <w:r>
        <w:rPr>
          <w:highlight w:val="none"/>
        </w:rPr>
      </w:r>
      <w:bookmarkStart w:id="2" w:name="OLE_LINK7"/>
      <w:r>
        <w:rPr>
          <w:rFonts w:hint="eastAsia" w:ascii="宋体" w:hAnsi="宋体"/>
          <w:color w:val="auto"/>
          <w:sz w:val="28"/>
          <w:szCs w:val="28"/>
          <w:highlight w:val="none"/>
          <w:u w:val="single"/>
        </w:rPr>
        <w:t xml:space="preserve">江苏智汇锡建工程项目管理有限公司</w:t>
      </w:r>
      <w:bookmarkEnd w:id="1"/>
      <w:r>
        <w:rPr>
          <w:highlight w:val="none"/>
        </w:rPr>
      </w:r>
      <w:bookmarkEnd w:id="2"/>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r>
        <w:rPr>
          <w:highlight w:val="none"/>
        </w:rPr>
      </w:r>
      <w:r/>
    </w:p>
    <w:p>
      <w:pPr>
        <w:pStyle w:val="965"/>
        <w:jc w:val="center"/>
        <w:tabs>
          <w:tab w:val="right" w:pos="9094" w:leader="dot"/>
        </w:tabs>
        <w:rPr>
          <w:rFonts w:ascii="宋体" w:hAnsi="宋体"/>
          <w:b/>
          <w:color w:val="auto"/>
          <w:sz w:val="32"/>
          <w:szCs w:val="32"/>
          <w:highlight w:val="none"/>
        </w:rPr>
      </w:pPr>
      <w:r>
        <w:rPr>
          <w:rFonts w:hint="eastAsia" w:ascii="宋体" w:hAnsi="宋体"/>
          <w:b/>
          <w:color w:val="auto"/>
          <w:sz w:val="32"/>
          <w:szCs w:val="32"/>
          <w:highlight w:val="none"/>
        </w:rPr>
        <w:t xml:space="preserve"> </w:t>
      </w:r>
      <w:bookmarkStart w:id="3" w:name="_Toc21097"/>
      <w:r>
        <w:rPr>
          <w:highlight w:val="none"/>
        </w:rPr>
      </w:r>
      <w:r/>
    </w:p>
    <w:p>
      <w:pPr>
        <w:pStyle w:val="965"/>
        <w:jc w:val="center"/>
        <w:tabs>
          <w:tab w:val="right" w:pos="9094" w:leader="dot"/>
        </w:tabs>
        <w:rPr>
          <w:rFonts w:ascii="宋体" w:hAnsi="宋体"/>
          <w:color w:val="auto"/>
          <w:sz w:val="32"/>
          <w:szCs w:val="32"/>
          <w:highlight w:val="none"/>
        </w:rPr>
      </w:pPr>
      <w:r>
        <w:rPr>
          <w:rFonts w:hint="eastAsia" w:ascii="宋体" w:hAnsi="宋体"/>
          <w:color w:val="auto"/>
          <w:sz w:val="32"/>
          <w:szCs w:val="32"/>
          <w:highlight w:val="none"/>
        </w:rPr>
        <w:t xml:space="preserve">20</w:t>
      </w:r>
      <w:bookmarkStart w:id="4" w:name="_Toc7487"/>
      <w:r>
        <w:rPr>
          <w:highlight w:val="none"/>
        </w:rPr>
      </w:r>
      <w:bookmarkStart w:id="5" w:name="_Toc23445"/>
      <w:r>
        <w:rPr>
          <w:highlight w:val="none"/>
        </w:rPr>
      </w:r>
      <w:bookmarkStart w:id="6" w:name="_Toc6218"/>
      <w:r>
        <w:rPr>
          <w:rFonts w:hint="eastAsia" w:ascii="宋体" w:hAnsi="宋体"/>
          <w:color w:val="auto"/>
          <w:sz w:val="32"/>
          <w:szCs w:val="32"/>
          <w:highlight w:val="none"/>
        </w:rPr>
        <w:t xml:space="preserve">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05</w:t>
      </w:r>
      <w:r>
        <w:rPr>
          <w:rFonts w:hint="eastAsia" w:ascii="宋体" w:hAnsi="宋体"/>
          <w:color w:val="auto"/>
          <w:sz w:val="32"/>
          <w:szCs w:val="32"/>
          <w:highlight w:val="none"/>
        </w:rPr>
        <w:t xml:space="preserve">月</w:t>
      </w:r>
      <w:bookmarkEnd w:id="3"/>
      <w:r>
        <w:rPr>
          <w:highlight w:val="none"/>
        </w:rPr>
      </w:r>
      <w:bookmarkEnd w:id="4"/>
      <w:r>
        <w:rPr>
          <w:highlight w:val="none"/>
        </w:rPr>
      </w:r>
      <w:bookmarkEnd w:id="5"/>
      <w:r>
        <w:rPr>
          <w:highlight w:val="none"/>
        </w:rPr>
      </w:r>
      <w:bookmarkEnd w:id="6"/>
      <w:r>
        <w:rPr>
          <w:highlight w:val="none"/>
        </w:rPr>
      </w:r>
      <w:r/>
    </w:p>
    <w:p>
      <w:pPr>
        <w:rPr>
          <w:highlight w:val="none"/>
        </w:rPr>
      </w:pPr>
      <w:r>
        <w:rPr>
          <w:highlight w:val="none"/>
        </w:rPr>
      </w:r>
      <w:r>
        <w:rPr>
          <w:highlight w:val="none"/>
        </w:rPr>
      </w:r>
      <w:r/>
    </w:p>
    <w:p>
      <w:pPr>
        <w:rPr>
          <w:highlight w:val="none"/>
        </w:rPr>
      </w:pPr>
      <w:r>
        <w:rPr>
          <w:highlight w:val="none"/>
        </w:rPr>
      </w:r>
      <w:r>
        <w:rPr>
          <w:highlight w:val="none"/>
        </w:rPr>
      </w:r>
      <w:r/>
    </w:p>
    <w:p>
      <w:pPr>
        <w:rPr>
          <w:color w:val="auto"/>
          <w:highlight w:val="none"/>
        </w:rPr>
      </w:pPr>
      <w:r>
        <w:rPr>
          <w:color w:val="auto"/>
          <w:highlight w:val="none"/>
        </w:rPr>
      </w:r>
      <w:r>
        <w:rPr>
          <w:highlight w:val="none"/>
        </w:rPr>
      </w:r>
      <w:r/>
    </w:p>
    <w:p>
      <w:pPr>
        <w:pStyle w:val="965"/>
        <w:jc w:val="center"/>
        <w:tabs>
          <w:tab w:val="right" w:pos="9094" w:leader="dot"/>
        </w:tabs>
        <w:rPr>
          <w:b/>
          <w:bCs/>
          <w:color w:val="auto"/>
          <w:sz w:val="36"/>
          <w:szCs w:val="36"/>
          <w:highlight w:val="none"/>
        </w:rPr>
      </w:pPr>
      <w:r>
        <w:rPr>
          <w:rFonts w:hint="eastAsia"/>
          <w:b/>
          <w:bCs/>
          <w:color w:val="auto"/>
          <w:sz w:val="36"/>
          <w:szCs w:val="36"/>
          <w:highlight w:val="none"/>
        </w:rPr>
        <w:t xml:space="preserve">目    录</w:t>
      </w:r>
      <w:r>
        <w:rPr>
          <w:highlight w:val="none"/>
        </w:rPr>
      </w:r>
      <w:r/>
    </w:p>
    <w:p>
      <w:pPr>
        <w:pStyle w:val="965"/>
        <w:spacing w:line="480" w:lineRule="auto"/>
        <w:tabs>
          <w:tab w:val="right" w:pos="9094" w:leader="dot"/>
        </w:tabs>
        <w:rPr>
          <w:color w:val="auto"/>
          <w:sz w:val="36"/>
          <w:szCs w:val="36"/>
          <w:highlight w:val="none"/>
        </w:rPr>
      </w:pPr>
      <w:r>
        <w:rPr>
          <w:color w:val="auto"/>
          <w:sz w:val="36"/>
          <w:szCs w:val="36"/>
          <w:highlight w:val="none"/>
        </w:rPr>
      </w:r>
      <w:r>
        <w:rPr>
          <w:highlight w:val="none"/>
        </w:rPr>
      </w:r>
      <w:r/>
    </w:p>
    <w:p>
      <w:pPr>
        <w:pStyle w:val="965"/>
        <w:ind w:firstLine="480"/>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中宋" w:hAnsi="华文中宋" w:eastAsia="华文中宋" w:cs="华文中宋"/>
          <w:b/>
          <w:bCs/>
          <w:color w:val="auto"/>
          <w:sz w:val="24"/>
          <w:highlight w:val="none"/>
        </w:rPr>
        <w:fldChar w:fldCharType="begin"/>
      </w:r>
      <w:r>
        <w:rPr>
          <w:rFonts w:hint="eastAsia" w:ascii="华文中宋" w:hAnsi="华文中宋" w:eastAsia="华文中宋" w:cs="华文中宋"/>
          <w:b/>
          <w:bCs/>
          <w:color w:val="auto"/>
          <w:sz w:val="24"/>
          <w:highlight w:val="none"/>
        </w:rPr>
        <w:instrText xml:space="preserve"> TOC \o "1-1" \h \z \u </w:instrText>
      </w:r>
      <w:r>
        <w:rPr>
          <w:rFonts w:hint="eastAsia" w:ascii="华文中宋" w:hAnsi="华文中宋" w:eastAsia="华文中宋" w:cs="华文中宋"/>
          <w:b/>
          <w:bCs/>
          <w:color w:val="auto"/>
          <w:sz w:val="24"/>
          <w:highlight w:val="none"/>
        </w:rPr>
        <w:fldChar w:fldCharType="separate"/>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"_Toc152268436"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供应商CA数字证书和电子签章办理特别提醒</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_Toc152268436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3</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"_Toc152268437"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关于政府采购线上合同信用融资功能告知提醒</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_Toc152268437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4</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"_Toc152268438"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第一章  招标公告</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_Toc152268438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6</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"_Toc152268439"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第二章 投标人须知</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_Toc152268439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9</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"_Toc152268440"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第三章 资格审查办法</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_Toc152268440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21</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"_Toc152268441"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第四章 评标办法</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_Toc152268441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23</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"_Toc152268442"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第五章 合同格式及条款</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_Toc152268442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28</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hint="eastAsia" w:ascii="华文宋体" w:hAnsi="华文宋体" w:eastAsia="华文宋体" w:cs="华文宋体"/>
          <w:b/>
          <w:bCs/>
          <w:color w:val="auto"/>
          <w:sz w:val="28"/>
          <w:szCs w:val="28"/>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"_Toc152268447"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第六章 项目采购需求</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_Toc152268447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32</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firstLine="561"/>
        <w:keepLines w:val="0"/>
        <w:keepNext w:val="0"/>
        <w:pageBreakBefore w:val="0"/>
        <w:spacing w:line="480" w:lineRule="auto"/>
        <w:widowControl w:val="off"/>
        <w:tabs>
          <w:tab w:val="right" w:pos="8296" w:leader="dot"/>
        </w:tabs>
        <w:rPr>
          <w:rFonts w:ascii="华文中宋" w:hAnsi="华文中宋" w:eastAsia="华文中宋" w:cs="华文中宋"/>
          <w:color w:val="auto"/>
          <w:sz w:val="24"/>
          <w:highlight w:val="none"/>
        </w:rPr>
      </w:pP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HYPERLINK \l "_Toc152268448" </w:instrText>
      </w:r>
      <w:r>
        <w:rPr>
          <w:rFonts w:hint="eastAsia" w:ascii="华文宋体" w:hAnsi="华文宋体" w:eastAsia="华文宋体" w:cs="华文宋体"/>
          <w:b/>
          <w:bCs/>
          <w:color w:val="auto"/>
          <w:sz w:val="28"/>
          <w:szCs w:val="28"/>
          <w:highlight w:val="none"/>
        </w:rPr>
        <w:fldChar w:fldCharType="separate"/>
      </w:r>
      <w:r>
        <w:rPr>
          <w:rStyle w:val="982"/>
          <w:rFonts w:hint="eastAsia" w:ascii="华文宋体" w:hAnsi="华文宋体" w:eastAsia="华文宋体" w:cs="华文宋体"/>
          <w:b/>
          <w:bCs/>
          <w:color w:val="auto"/>
          <w:sz w:val="28"/>
          <w:szCs w:val="28"/>
          <w:highlight w:val="none"/>
        </w:rPr>
        <w:t xml:space="preserve">第七章 电子投标文件格式</w:t>
      </w:r>
      <w:r>
        <w:rPr>
          <w:rFonts w:hint="eastAsia" w:ascii="华文宋体" w:hAnsi="华文宋体" w:eastAsia="华文宋体" w:cs="华文宋体"/>
          <w:b/>
          <w:bCs/>
          <w:color w:val="auto"/>
          <w:sz w:val="28"/>
          <w:szCs w:val="28"/>
          <w:highlight w:val="none"/>
        </w:rPr>
        <w:tab/>
      </w:r>
      <w:r>
        <w:rPr>
          <w:rFonts w:hint="eastAsia" w:ascii="华文宋体" w:hAnsi="华文宋体" w:eastAsia="华文宋体" w:cs="华文宋体"/>
          <w:b/>
          <w:bCs/>
          <w:color w:val="auto"/>
          <w:sz w:val="28"/>
          <w:szCs w:val="28"/>
          <w:highlight w:val="none"/>
        </w:rPr>
        <w:fldChar w:fldCharType="begin"/>
      </w:r>
      <w:r>
        <w:rPr>
          <w:rFonts w:hint="eastAsia" w:ascii="华文宋体" w:hAnsi="华文宋体" w:eastAsia="华文宋体" w:cs="华文宋体"/>
          <w:b/>
          <w:bCs/>
          <w:color w:val="auto"/>
          <w:sz w:val="28"/>
          <w:szCs w:val="28"/>
          <w:highlight w:val="none"/>
        </w:rPr>
        <w:instrText xml:space="preserve"> PAGEREF _Toc152268448 \h </w:instrText>
      </w:r>
      <w:r>
        <w:rPr>
          <w:rFonts w:hint="eastAsia" w:ascii="华文宋体" w:hAnsi="华文宋体" w:eastAsia="华文宋体" w:cs="华文宋体"/>
          <w:b/>
          <w:bCs/>
          <w:color w:val="auto"/>
          <w:sz w:val="28"/>
          <w:szCs w:val="28"/>
          <w:highlight w:val="none"/>
        </w:rPr>
        <w:fldChar w:fldCharType="separate"/>
      </w:r>
      <w:r>
        <w:rPr>
          <w:rFonts w:hint="eastAsia" w:ascii="华文宋体" w:hAnsi="华文宋体" w:eastAsia="华文宋体" w:cs="华文宋体"/>
          <w:b/>
          <w:bCs/>
          <w:color w:val="auto"/>
          <w:sz w:val="28"/>
          <w:szCs w:val="28"/>
          <w:highlight w:val="none"/>
        </w:rPr>
        <w:t xml:space="preserve">37</w:t>
      </w:r>
      <w:r>
        <w:rPr>
          <w:rFonts w:hint="eastAsia" w:ascii="华文宋体" w:hAnsi="华文宋体" w:eastAsia="华文宋体" w:cs="华文宋体"/>
          <w:b/>
          <w:bCs/>
          <w:color w:val="auto"/>
          <w:sz w:val="28"/>
          <w:szCs w:val="28"/>
          <w:highlight w:val="none"/>
        </w:rPr>
        <w:fldChar w:fldCharType="end"/>
      </w:r>
      <w:r>
        <w:rPr>
          <w:rFonts w:hint="eastAsia" w:ascii="华文宋体" w:hAnsi="华文宋体" w:eastAsia="华文宋体" w:cs="华文宋体"/>
          <w:b/>
          <w:bCs/>
          <w:color w:val="auto"/>
          <w:sz w:val="28"/>
          <w:szCs w:val="28"/>
          <w:highlight w:val="none"/>
        </w:rPr>
        <w:fldChar w:fldCharType="end"/>
      </w:r>
      <w:r>
        <w:rPr>
          <w:highlight w:val="none"/>
        </w:rPr>
      </w:r>
      <w:r/>
    </w:p>
    <w:p>
      <w:pPr>
        <w:pStyle w:val="965"/>
        <w:ind w:right="420"/>
        <w:spacing w:line="360" w:lineRule="auto"/>
        <w:tabs>
          <w:tab w:val="right" w:pos="9151" w:leader="dot"/>
        </w:tabs>
        <w:rPr>
          <w:rFonts w:ascii="华文中宋" w:hAnsi="华文中宋" w:eastAsia="华文中宋" w:cs="华文中宋"/>
          <w:color w:val="auto"/>
          <w:sz w:val="28"/>
          <w:szCs w:val="28"/>
          <w:highlight w:val="none"/>
        </w:rPr>
      </w:pPr>
      <w:r>
        <w:rPr>
          <w:rFonts w:hint="eastAsia" w:ascii="华文中宋" w:hAnsi="华文中宋" w:eastAsia="华文中宋" w:cs="华文中宋"/>
          <w:bCs/>
          <w:color w:val="auto"/>
          <w:sz w:val="24"/>
          <w:highlight w:val="none"/>
        </w:rPr>
        <w:fldChar w:fldCharType="end"/>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pStyle w:val="936"/>
        <w:jc w:val="center"/>
        <w:spacing w:before="0" w:after="0" w:line="240" w:lineRule="auto"/>
        <w:rPr>
          <w:rFonts w:ascii="微软雅黑" w:hAnsi="微软雅黑" w:eastAsia="微软雅黑" w:cs="微软雅黑"/>
          <w:b w:val="0"/>
          <w:bCs w:val="0"/>
          <w:color w:val="auto"/>
          <w:sz w:val="32"/>
          <w:szCs w:val="36"/>
          <w:highlight w:val="none"/>
        </w:rPr>
      </w:pPr>
      <w:r>
        <w:rPr>
          <w:highlight w:val="none"/>
        </w:rPr>
      </w:r>
      <w:bookmarkStart w:id="7" w:name="_Toc152268436"/>
      <w:r>
        <w:rPr>
          <w:highlight w:val="none"/>
        </w:rPr>
      </w:r>
      <w:bookmarkStart w:id="8" w:name="_Toc150280159"/>
      <w:r>
        <w:rPr>
          <w:rFonts w:hint="eastAsia" w:ascii="微软雅黑" w:hAnsi="微软雅黑" w:eastAsia="微软雅黑" w:cs="微软雅黑"/>
          <w:b w:val="0"/>
          <w:bCs w:val="0"/>
          <w:color w:val="auto"/>
          <w:sz w:val="32"/>
          <w:szCs w:val="36"/>
          <w:highlight w:val="none"/>
        </w:rPr>
        <w:t xml:space="preserve">供应商CA数字证书和电子签章办理特别提醒</w:t>
      </w:r>
      <w:bookmarkEnd w:id="7"/>
      <w:r>
        <w:rPr>
          <w:highlight w:val="none"/>
        </w:rPr>
      </w:r>
      <w:bookmarkEnd w:id="8"/>
      <w:r>
        <w:rPr>
          <w:highlight w:val="none"/>
        </w:rPr>
      </w:r>
      <w:r/>
    </w:p>
    <w:p>
      <w:pPr>
        <w:ind w:firstLine="47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按照《关于更换全省政府采购交易系统CA数字证书和电子签章的通知》（苏财购[2023]101号）要求，“苏采云”系统目前使用的CA及电子签章更换为江苏省电子政务证书认证中心CA（由江苏意源科技有限公司提供服务）及方正国际软件（北京）有限公司电子签章。“CA数字证书”的获取与更换:</w:t>
      </w:r>
      <w:r>
        <w:rPr>
          <w:highlight w:val="none"/>
        </w:rPr>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1.供应商需办理“CA数字证书”，“苏采云”系统仅支持江苏省电子政务证书认证中心CA(由江苏意源科技有限公司提供服务)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rPr>
          <w:highlight w:val="none"/>
        </w:rPr>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rPr>
          <w:highlight w:val="none"/>
        </w:rPr>
      </w:r>
      <w:r/>
    </w:p>
    <w:p>
      <w:pPr>
        <w:ind w:firstLine="48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 “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rPr>
          <w:highlight w:val="none"/>
        </w:rPr>
      </w:r>
      <w:r/>
    </w:p>
    <w:p>
      <w:pPr>
        <w:ind w:firstLine="480"/>
        <w:spacing w:line="520" w:lineRule="exact"/>
        <w:rPr>
          <w:rStyle w:val="982"/>
          <w:rFonts w:ascii="宋体" w:hAnsi="宋体" w:cs="宋体"/>
          <w:color w:val="auto"/>
          <w:sz w:val="24"/>
          <w:szCs w:val="24"/>
          <w:highlight w:val="none"/>
        </w:rPr>
      </w:pPr>
      <w:r>
        <w:rPr>
          <w:rFonts w:hint="eastAsia" w:ascii="宋体" w:hAnsi="宋体" w:cs="宋体"/>
          <w:color w:val="auto"/>
          <w:sz w:val="24"/>
          <w:szCs w:val="24"/>
          <w:highlight w:val="none"/>
        </w:rPr>
        <w:t xml:space="preserve">4. “CA数字证书”的办理、注册、安装、解绑，详见供应商操作指南，具体网址：“江苏政府采购网”-“办事指南”-“资料下载”-“江苏省政府采购管理交易系统（苏采云）供应商操作指南”。</w:t>
      </w:r>
      <w:r>
        <w:rPr>
          <w:highlight w:val="none"/>
        </w:rPr>
      </w:r>
      <w:r/>
    </w:p>
    <w:p>
      <w:pPr>
        <w:rPr>
          <w:color w:val="auto"/>
          <w:sz w:val="36"/>
          <w:szCs w:val="36"/>
          <w:highlight w:val="none"/>
        </w:rPr>
      </w:pPr>
      <w:r>
        <w:rPr>
          <w:rFonts w:hint="eastAsia" w:ascii="微软雅黑" w:hAnsi="微软雅黑" w:eastAsia="微软雅黑" w:cs="微软雅黑"/>
          <w:b/>
          <w:bCs/>
          <w:color w:val="auto"/>
          <w:sz w:val="24"/>
          <w:highlight w:val="none"/>
        </w:rPr>
        <w:t xml:space="preserve">如潜在供应商未按上述要求操作，将自行承担所产生的风险。</w:t>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rPr>
          <w:color w:val="auto"/>
          <w:sz w:val="36"/>
          <w:szCs w:val="36"/>
          <w:highlight w:val="none"/>
        </w:rPr>
      </w:pPr>
      <w:r>
        <w:rPr>
          <w:color w:val="auto"/>
          <w:sz w:val="36"/>
          <w:szCs w:val="36"/>
          <w:highlight w:val="none"/>
        </w:rPr>
      </w:r>
      <w:r>
        <w:rPr>
          <w:highlight w:val="none"/>
        </w:rPr>
      </w:r>
      <w:r/>
    </w:p>
    <w:p>
      <w:pPr>
        <w:pStyle w:val="936"/>
        <w:jc w:val="center"/>
        <w:spacing w:before="0" w:after="0" w:line="360" w:lineRule="auto"/>
        <w:rPr>
          <w:rFonts w:ascii="黑体" w:hAnsi="黑体" w:eastAsia="黑体"/>
          <w:bCs w:val="0"/>
          <w:color w:val="auto"/>
          <w:sz w:val="28"/>
          <w:szCs w:val="28"/>
          <w:highlight w:val="none"/>
        </w:rPr>
      </w:pPr>
      <w:r>
        <w:rPr>
          <w:highlight w:val="none"/>
        </w:rPr>
      </w:r>
      <w:bookmarkStart w:id="9" w:name="_Toc152268437"/>
      <w:r>
        <w:rPr>
          <w:rFonts w:ascii="微软雅黑" w:hAnsi="微软雅黑" w:eastAsia="微软雅黑" w:cs="微软雅黑"/>
          <w:b w:val="0"/>
          <w:bCs w:val="0"/>
          <w:color w:val="auto"/>
          <w:sz w:val="32"/>
          <w:szCs w:val="36"/>
          <w:highlight w:val="none"/>
        </w:rPr>
        <w:t xml:space="preserve">关于政府采购线上合同信用融资功能告知提醒</w:t>
      </w:r>
      <w:bookmarkEnd w:id="9"/>
      <w:r>
        <w:rPr>
          <w:highlight w:val="none"/>
        </w:rPr>
      </w:r>
      <w:r/>
    </w:p>
    <w:p>
      <w:pPr>
        <w:pStyle w:val="947"/>
        <w:ind w:firstLine="0"/>
        <w:spacing w:line="360" w:lineRule="auto"/>
        <w:rPr>
          <w:rFonts w:ascii="华文中宋" w:hAnsi="华文中宋" w:eastAsia="华文中宋"/>
          <w:color w:val="auto"/>
          <w:sz w:val="24"/>
          <w:szCs w:val="28"/>
          <w:highlight w:val="none"/>
        </w:rPr>
      </w:pPr>
      <w:r>
        <w:rPr>
          <w:rFonts w:ascii="华文中宋" w:hAnsi="华文中宋" w:eastAsia="华文中宋"/>
          <w:color w:val="auto"/>
          <w:sz w:val="24"/>
          <w:szCs w:val="28"/>
          <w:highlight w:val="none"/>
        </w:rPr>
        <w:t xml:space="preserve">各政府采购供应商：</w:t>
      </w:r>
      <w:r>
        <w:rPr>
          <w:highlight w:val="none"/>
        </w:rPr>
      </w:r>
      <w:r/>
    </w:p>
    <w:p>
      <w:pPr>
        <w:pStyle w:val="947"/>
        <w:ind w:firstLine="480"/>
        <w:spacing w:line="360" w:lineRule="auto"/>
        <w:rPr>
          <w:rFonts w:ascii="华文中宋" w:hAnsi="华文中宋" w:eastAsia="华文中宋"/>
          <w:color w:val="auto"/>
          <w:sz w:val="24"/>
          <w:szCs w:val="28"/>
          <w:highlight w:val="none"/>
        </w:rPr>
      </w:pPr>
      <w:r>
        <w:rPr>
          <w:rFonts w:ascii="华文中宋" w:hAnsi="华文中宋" w:eastAsia="华文中宋"/>
          <w:color w:val="auto"/>
          <w:sz w:val="24"/>
          <w:szCs w:val="28"/>
          <w:highlight w:val="none"/>
        </w:rPr>
        <w:t xml:space="preserve">今年我市已正式启用“苏采云”系统，目前已全面开通政府采购线上合同信用融资（以下简称“政采贷”）功能。成交供应商可凭政府采购合同在中征平台发起贷款申请贷款。</w:t>
      </w:r>
      <w:r>
        <w:rPr>
          <w:highlight w:val="none"/>
        </w:rPr>
      </w:r>
      <w:r/>
    </w:p>
    <w:p>
      <w:pPr>
        <w:pStyle w:val="947"/>
        <w:ind w:firstLine="480"/>
        <w:spacing w:line="360" w:lineRule="auto"/>
        <w:rPr>
          <w:rFonts w:ascii="华文中宋" w:hAnsi="华文中宋" w:eastAsia="华文中宋"/>
          <w:color w:val="auto"/>
          <w:sz w:val="24"/>
          <w:szCs w:val="28"/>
          <w:highlight w:val="none"/>
        </w:rPr>
      </w:pPr>
      <w:r>
        <w:rPr>
          <w:rFonts w:ascii="华文中宋" w:hAnsi="华文中宋" w:eastAsia="华文中宋"/>
          <w:color w:val="auto"/>
          <w:sz w:val="24"/>
          <w:szCs w:val="28"/>
          <w:highlight w:val="none"/>
        </w:rPr>
        <w:t xml:space="preserve">“政采贷”业务流程</w:t>
      </w:r>
      <w:r>
        <w:rPr>
          <w:highlight w:val="none"/>
        </w:rPr>
      </w:r>
      <w:r/>
    </w:p>
    <w:p>
      <w:pPr>
        <w:pStyle w:val="947"/>
        <w:ind w:firstLine="560"/>
        <w:jc w:val="center"/>
        <w:spacing w:line="360" w:lineRule="auto"/>
        <w:rPr>
          <w:rFonts w:eastAsia="仿宋"/>
          <w:color w:val="auto"/>
          <w:sz w:val="28"/>
          <w:szCs w:val="28"/>
          <w:highlight w:val="none"/>
        </w:rPr>
      </w:pPr>
      <w:r>
        <w:rPr>
          <w:rFonts w:eastAsia="仿宋"/>
          <w:color w:val="auto"/>
          <w:sz w:val="28"/>
          <w:szCs w:val="28"/>
          <w:highlight w:val="none"/>
        </w:rPr>
        <mc:AlternateContent>
          <mc:Choice Requires="wpg">
            <w:drawing>
              <wp:inline xmlns:wp="http://schemas.openxmlformats.org/drawingml/2006/wordprocessingDrawing" distT="0" distB="0" distL="0" distR="0">
                <wp:extent cx="4576445" cy="17449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4576534" cy="17450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0.3pt;height:137.4pt;mso-wrap-distance-left:0.0pt;mso-wrap-distance-top:0.0pt;mso-wrap-distance-right:0.0pt;mso-wrap-distance-bottom:0.0pt;" stroked="f">
                <v:path textboxrect="0,0,0,0"/>
                <v:imagedata r:id="rId12" o:title=""/>
              </v:shape>
            </w:pict>
          </mc:Fallback>
        </mc:AlternateConten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常见问题</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Q1：哪些企业能申请“政采贷”？</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答：江苏省内采用国库集中支付的政府采购项目的中标供应商，可凭政府采购合同申请"政采贷"。</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Q2：供应商在哪里申请“政采贷”？</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答：中标供应商在“中征应收账款融资服务平台”（简称“中征平台”）上向意向银行发起融资申请</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Q3：中标供应商要注意什么？</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答：中标供应商要加强和采购单位的沟通协调，尽早确定融资需求。需要“政采贷”融资的，政府采购合同付款账号应当空置。</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Q4：采购单位要做什么？</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Q5：“政采贷”融资失败怎么办？</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答：经合作银行审核后不予放款，或者贷款审核时间超过10个工作日的，视为融资失败，该项目回到财政预算管理一体化系统中支付资金。融资失败的，无法重新线上申请“政采贷”。</w:t>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ascii="华文中宋" w:hAnsi="华文中宋" w:eastAsia="华文中宋"/>
          <w:color w:val="auto"/>
          <w:sz w:val="24"/>
          <w:highlight w:val="none"/>
        </w:rPr>
        <w:t xml:space="preserve">http://www.ccgp-jiangsu.gov.cn/jiangsu/paying.html</w:t>
      </w:r>
      <w:r>
        <w:rPr>
          <w:rFonts w:ascii="华文中宋" w:hAnsi="华文中宋" w:eastAsia="华文中宋"/>
          <w:color w:val="auto"/>
          <w:sz w:val="24"/>
          <w:highlight w:val="none"/>
        </w:rPr>
        <w:fldChar w:fldCharType="end"/>
      </w:r>
      <w:r>
        <w:rPr>
          <w:highlight w:val="none"/>
        </w:rPr>
      </w:r>
      <w:r/>
    </w:p>
    <w:p>
      <w:pPr>
        <w:pStyle w:val="947"/>
        <w:ind w:firstLine="480"/>
        <w:spacing w:line="360" w:lineRule="auto"/>
        <w:rPr>
          <w:rFonts w:ascii="华文中宋" w:hAnsi="华文中宋" w:eastAsia="华文中宋"/>
          <w:color w:val="auto"/>
          <w:sz w:val="24"/>
          <w:highlight w:val="none"/>
        </w:rPr>
      </w:pPr>
      <w:r>
        <w:rPr>
          <w:rFonts w:ascii="华文中宋" w:hAnsi="华文中宋" w:eastAsia="华文中宋"/>
          <w:color w:val="auto"/>
          <w:sz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ascii="华文中宋" w:hAnsi="华文中宋" w:eastAsia="华文中宋"/>
          <w:color w:val="auto"/>
          <w:sz w:val="24"/>
          <w:highlight w:val="none"/>
        </w:rPr>
        <w:t xml:space="preserve">https://www.crcrfsp.com/</w:t>
      </w:r>
      <w:r>
        <w:rPr>
          <w:rFonts w:ascii="华文中宋" w:hAnsi="华文中宋" w:eastAsia="华文中宋"/>
          <w:color w:val="auto"/>
          <w:sz w:val="24"/>
          <w:highlight w:val="none"/>
        </w:rPr>
        <w:fldChar w:fldCharType="end"/>
      </w:r>
      <w:r>
        <w:rPr>
          <w:highlight w:val="none"/>
        </w:rPr>
      </w:r>
      <w:r/>
    </w:p>
    <w:p>
      <w:pPr>
        <w:pStyle w:val="947"/>
        <w:ind w:firstLine="480"/>
        <w:spacing w:line="360" w:lineRule="auto"/>
        <w:rPr>
          <w:rFonts w:ascii="华文中宋" w:hAnsi="华文中宋" w:eastAsia="华文中宋"/>
          <w:b/>
          <w:bCs/>
          <w:color w:val="auto"/>
          <w:sz w:val="24"/>
          <w:highlight w:val="none"/>
        </w:rPr>
      </w:pPr>
      <w:r>
        <w:rPr>
          <w:rFonts w:ascii="华文中宋" w:hAnsi="华文中宋" w:eastAsia="华文中宋"/>
          <w:color w:val="auto"/>
          <w:sz w:val="24"/>
          <w:highlight w:val="none"/>
        </w:rPr>
        <w:t xml:space="preserve">联系电话：0523-84821917</w:t>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rPr>
          <w:color w:val="auto"/>
          <w:sz w:val="24"/>
          <w:szCs w:val="24"/>
          <w:highlight w:val="none"/>
        </w:rPr>
      </w:pPr>
      <w:r>
        <w:rPr>
          <w:color w:val="auto"/>
          <w:sz w:val="24"/>
          <w:szCs w:val="24"/>
          <w:highlight w:val="none"/>
        </w:rPr>
      </w:r>
      <w:r>
        <w:rPr>
          <w:highlight w:val="none"/>
        </w:rPr>
      </w:r>
      <w:r/>
    </w:p>
    <w:p>
      <w:pPr>
        <w:pStyle w:val="936"/>
        <w:jc w:val="center"/>
        <w:spacing w:before="0" w:after="0" w:line="240" w:lineRule="auto"/>
        <w:rPr>
          <w:color w:val="auto"/>
          <w:sz w:val="36"/>
          <w:szCs w:val="36"/>
          <w:highlight w:val="none"/>
        </w:rPr>
      </w:pPr>
      <w:r>
        <w:rPr>
          <w:highlight w:val="none"/>
        </w:rPr>
      </w:r>
      <w:bookmarkStart w:id="10" w:name="_Toc152268438"/>
      <w:r>
        <w:rPr>
          <w:highlight w:val="none"/>
        </w:rPr>
      </w:r>
      <w:bookmarkStart w:id="11" w:name="_Toc4915"/>
      <w:r>
        <w:rPr>
          <w:rFonts w:hint="eastAsia" w:ascii="微软雅黑" w:hAnsi="微软雅黑" w:eastAsia="微软雅黑" w:cs="微软雅黑"/>
          <w:b w:val="0"/>
          <w:bCs w:val="0"/>
          <w:color w:val="auto"/>
          <w:sz w:val="36"/>
          <w:szCs w:val="36"/>
          <w:highlight w:val="none"/>
        </w:rPr>
        <w:t xml:space="preserve">第一章  招标公告</w:t>
      </w:r>
      <w:bookmarkEnd w:id="10"/>
      <w:r>
        <w:rPr>
          <w:highlight w:val="none"/>
        </w:rPr>
      </w:r>
      <w:bookmarkEnd w:id="11"/>
      <w:r>
        <w:rPr>
          <w:highlight w:val="none"/>
        </w:rPr>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4"/>
      </w:tblGrid>
      <w:tr>
        <w:trPr>
          <w:jc w:val="center"/>
          <w:trHeight w:val="1273"/>
        </w:trPr>
        <w:tc>
          <w:tcPr>
            <w:tcW w:w="9044" w:type="dxa"/>
            <w:textDirection w:val="lrTb"/>
            <w:noWrap w:val="false"/>
          </w:tcPr>
          <w:p>
            <w:pPr>
              <w:ind w:firstLine="442"/>
              <w:jc w:val="left"/>
              <w:spacing w:line="360" w:lineRule="auto"/>
              <w:rPr>
                <w:color w:val="auto"/>
                <w:sz w:val="24"/>
                <w:szCs w:val="28"/>
                <w:highlight w:val="none"/>
              </w:rPr>
            </w:pPr>
            <w:r>
              <w:rPr>
                <w:rFonts w:hint="eastAsia"/>
                <w:sz w:val="24"/>
                <w:szCs w:val="28"/>
                <w:highlight w:val="none"/>
                <w:lang w:eastAsia="zh-CN"/>
              </w:rPr>
              <w:t xml:space="preserve">靖江市人民医院基于AI的卒中（胸痛）一体化救治和调度平台</w:t>
            </w:r>
            <w:r>
              <w:rPr>
                <w:sz w:val="24"/>
                <w:szCs w:val="28"/>
                <w:highlight w:val="none"/>
              </w:rPr>
              <w:t xml:space="preserve"> </w:t>
            </w:r>
            <w:r>
              <w:rPr>
                <w:sz w:val="24"/>
                <w:szCs w:val="28"/>
                <w:highlight w:val="none"/>
              </w:rPr>
              <w:t xml:space="preserve">JSZC-321282-JSZH-G2026-</w:t>
            </w:r>
            <w:r>
              <w:rPr>
                <w:rFonts w:hint="eastAsia"/>
                <w:sz w:val="24"/>
                <w:szCs w:val="28"/>
                <w:highlight w:val="none"/>
              </w:rPr>
              <w:t xml:space="preserve">0040</w:t>
            </w:r>
            <w:r>
              <w:rPr>
                <w:rFonts w:hint="eastAsia"/>
                <w:sz w:val="24"/>
                <w:szCs w:val="28"/>
                <w:highlight w:val="none"/>
                <w:lang w:val="en-US" w:eastAsia="zh-CN"/>
              </w:rPr>
              <w:t xml:space="preserve"> </w:t>
            </w:r>
            <w:r>
              <w:rPr>
                <w:sz w:val="24"/>
                <w:szCs w:val="28"/>
                <w:highlight w:val="none"/>
              </w:rPr>
              <w:t xml:space="preserve"> </w:t>
            </w:r>
            <w:r>
              <w:rPr>
                <w:sz w:val="24"/>
                <w:szCs w:val="28"/>
                <w:highlight w:val="none"/>
              </w:rPr>
              <w:t xml:space="preserve">招标项目的潜在投标人应在“苏采云”系统（http://jszfcg.jsczt.cn） 获取招标文件，并于</w:t>
            </w:r>
            <w:r>
              <w:rPr>
                <w:sz w:val="24"/>
                <w:szCs w:val="28"/>
                <w:highlight w:val="none"/>
              </w:rPr>
              <w:t xml:space="preserve">2026-0</w:t>
            </w:r>
            <w:r>
              <w:rPr>
                <w:rFonts w:hint="eastAsia"/>
                <w:sz w:val="24"/>
                <w:szCs w:val="28"/>
                <w:highlight w:val="none"/>
                <w:lang w:val="en-US" w:eastAsia="zh-CN"/>
              </w:rPr>
              <w:t xml:space="preserve">6</w:t>
            </w:r>
            <w:r>
              <w:rPr>
                <w:sz w:val="24"/>
                <w:szCs w:val="28"/>
                <w:highlight w:val="none"/>
              </w:rPr>
              <w:t xml:space="preserve">-</w:t>
            </w:r>
            <w:r>
              <w:rPr>
                <w:sz w:val="24"/>
                <w:szCs w:val="28"/>
                <w:highlight w:val="none"/>
              </w:rPr>
              <w:t xml:space="preserve">18</w:t>
            </w:r>
            <w:r>
              <w:rPr>
                <w:sz w:val="24"/>
                <w:szCs w:val="28"/>
                <w:highlight w:val="none"/>
              </w:rPr>
              <w:t xml:space="preserve"> 14:00 （北京时间）前递交投标文件。</w:t>
            </w:r>
            <w:r>
              <w:rPr>
                <w:highlight w:val="none"/>
              </w:rPr>
            </w:r>
            <w:r/>
          </w:p>
        </w:tc>
      </w:tr>
    </w:tbl>
    <w:p>
      <w:pPr>
        <w:ind w:firstLine="482"/>
        <w:spacing w:line="360" w:lineRule="auto"/>
        <w:rPr>
          <w:rFonts w:ascii="黑体" w:hAnsi="黑体" w:eastAsia="黑体" w:cs="黑体"/>
          <w:b/>
          <w:bCs/>
          <w:color w:val="auto"/>
          <w:sz w:val="24"/>
          <w:szCs w:val="24"/>
          <w:highlight w:val="none"/>
        </w:rPr>
      </w:pPr>
      <w:r>
        <w:rPr>
          <w:rFonts w:ascii="黑体" w:hAnsi="黑体" w:eastAsia="黑体" w:cs="黑体"/>
          <w:b/>
          <w:bCs/>
          <w:color w:val="auto"/>
          <w:sz w:val="24"/>
          <w:szCs w:val="24"/>
          <w:highlight w:val="none"/>
        </w:rPr>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一、项目基本情况</w:t>
      </w:r>
      <w:r>
        <w:rPr>
          <w:highlight w:val="none"/>
        </w:rPr>
      </w:r>
      <w:r/>
    </w:p>
    <w:p>
      <w:pPr>
        <w:ind w:firstLine="480"/>
        <w:jc w:val="left"/>
        <w:spacing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bookmarkStart w:id="12" w:name="OLE_LINK2"/>
      <w:r>
        <w:rPr>
          <w:highlight w:val="none"/>
        </w:rPr>
      </w:r>
      <w:bookmarkStart w:id="13" w:name="OLE_LINK3"/>
      <w:r>
        <w:rPr>
          <w:rFonts w:hint="eastAsia" w:asciiTheme="minorEastAsia" w:hAnsiTheme="minorEastAsia" w:eastAsiaTheme="minorEastAsia" w:cstheme="minorEastAsia"/>
          <w:color w:val="auto"/>
          <w:sz w:val="24"/>
          <w:szCs w:val="24"/>
          <w:highlight w:val="none"/>
        </w:rPr>
        <w:t xml:space="preserve">JSZC-321282-JSZH-G</w:t>
      </w:r>
      <w:r>
        <w:rPr>
          <w:rFonts w:hint="eastAsia" w:asciiTheme="minorEastAsia" w:hAnsiTheme="minorEastAsia" w:eastAsiaTheme="minorEastAsia" w:cstheme="minorEastAsia"/>
          <w:color w:val="auto"/>
          <w:sz w:val="24"/>
          <w:szCs w:val="24"/>
          <w:highlight w:val="none"/>
          <w:lang w:eastAsia="zh-CN"/>
        </w:rPr>
        <w:t xml:space="preserve">2026-0040</w:t>
      </w:r>
      <w:r>
        <w:rPr>
          <w:rFonts w:hint="eastAsia" w:asciiTheme="minorEastAsia" w:hAnsiTheme="minorEastAsia" w:eastAsiaTheme="minorEastAsia" w:cstheme="minorEastAsia"/>
          <w:color w:val="auto"/>
          <w:sz w:val="24"/>
          <w:szCs w:val="24"/>
          <w:highlight w:val="none"/>
        </w:rPr>
        <w:t xml:space="preserve"> </w:t>
      </w:r>
      <w:bookmarkEnd w:id="12"/>
      <w:r>
        <w:rPr>
          <w:highlight w:val="none"/>
        </w:rPr>
      </w:r>
      <w:bookmarkEnd w:id="13"/>
      <w:r>
        <w:rPr>
          <w:highlight w:val="none"/>
        </w:rPr>
      </w:r>
      <w:r/>
    </w:p>
    <w:p>
      <w:pPr>
        <w:ind w:firstLine="480"/>
        <w:jc w:val="left"/>
        <w:spacing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rFonts w:hint="eastAsia" w:eastAsiaTheme="minorEastAsia"/>
          <w:sz w:val="24"/>
          <w:szCs w:val="28"/>
          <w:highlight w:val="none"/>
          <w:lang w:eastAsia="zh-CN"/>
        </w:rPr>
        <w:t xml:space="preserve">靖江市人民医院基于AI的卒中（胸痛）一体化救治和调度平台</w:t>
      </w:r>
      <w:r>
        <w:rPr>
          <w:rFonts w:hint="eastAsia" w:asciiTheme="minorEastAsia" w:hAnsiTheme="minorEastAsia" w:eastAsiaTheme="minorEastAsia" w:cstheme="minorEastAsia"/>
          <w:color w:val="auto"/>
          <w:sz w:val="24"/>
          <w:szCs w:val="24"/>
          <w:highlight w:val="none"/>
        </w:rPr>
        <w:t xml:space="preserve"> </w:t>
      </w:r>
      <w:r>
        <w:rPr>
          <w:highlight w:val="none"/>
        </w:rPr>
      </w:r>
      <w:r/>
    </w:p>
    <w:p>
      <w:pPr>
        <w:ind w:firstLine="480"/>
        <w:jc w:val="left"/>
        <w:spacing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预算金额：</w:t>
      </w:r>
      <w:r>
        <w:rPr>
          <w:rFonts w:hint="eastAsia" w:asciiTheme="minorEastAsia" w:hAnsiTheme="minorEastAsia" w:eastAsiaTheme="minorEastAsia" w:cstheme="minorEastAsia"/>
          <w:color w:val="auto"/>
          <w:sz w:val="24"/>
          <w:szCs w:val="24"/>
          <w:highlight w:val="none"/>
          <w:lang w:val="en-US" w:eastAsia="zh-CN"/>
        </w:rPr>
        <w:t xml:space="preserve">255</w:t>
      </w:r>
      <w:r>
        <w:rPr>
          <w:rFonts w:hint="eastAsia" w:asciiTheme="minorEastAsia" w:hAnsiTheme="minorEastAsia" w:eastAsiaTheme="minorEastAsia" w:cstheme="minorEastAsia"/>
          <w:color w:val="auto"/>
          <w:sz w:val="24"/>
          <w:szCs w:val="24"/>
          <w:highlight w:val="none"/>
        </w:rPr>
        <w:t xml:space="preserve">万元 </w:t>
      </w:r>
      <w:r>
        <w:rPr>
          <w:highlight w:val="none"/>
        </w:rPr>
      </w:r>
      <w:r/>
    </w:p>
    <w:p>
      <w:pPr>
        <w:ind w:firstLine="480"/>
        <w:jc w:val="left"/>
        <w:spacing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最高限价（如有）：</w:t>
      </w:r>
      <w:r>
        <w:rPr>
          <w:rFonts w:hint="eastAsia" w:asciiTheme="minorEastAsia" w:hAnsiTheme="minorEastAsia" w:eastAsiaTheme="minorEastAsia" w:cstheme="minorEastAsia"/>
          <w:color w:val="auto"/>
          <w:sz w:val="24"/>
          <w:szCs w:val="24"/>
          <w:highlight w:val="none"/>
          <w:lang w:val="en-US" w:eastAsia="zh-CN"/>
        </w:rPr>
        <w:t xml:space="preserve">255</w:t>
      </w:r>
      <w:r>
        <w:rPr>
          <w:rFonts w:hint="eastAsia" w:asciiTheme="minorEastAsia" w:hAnsiTheme="minorEastAsia" w:eastAsiaTheme="minorEastAsia" w:cstheme="minorEastAsia"/>
          <w:color w:val="auto"/>
          <w:sz w:val="24"/>
          <w:szCs w:val="24"/>
          <w:highlight w:val="none"/>
        </w:rPr>
        <w:t xml:space="preserve">万元</w:t>
      </w:r>
      <w:r>
        <w:rPr>
          <w:highlight w:val="none"/>
        </w:rPr>
      </w:r>
      <w:r/>
    </w:p>
    <w:p>
      <w:pPr>
        <w:ind w:firstLine="480"/>
        <w:jc w:val="left"/>
        <w:spacing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采购需求：</w:t>
      </w:r>
      <w:r>
        <w:rPr>
          <w:highlight w:val="none"/>
        </w:rPr>
      </w:r>
      <w:r/>
    </w:p>
    <w:tbl>
      <w:tblPr>
        <w:tblStyle w:val="681"/>
        <w:tblW w:w="4796" w:type="pct"/>
        <w:tblInd w:w="3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3564"/>
        <w:gridCol w:w="976"/>
        <w:gridCol w:w="991"/>
        <w:gridCol w:w="1309"/>
        <w:gridCol w:w="1453"/>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761" w:type="pct"/>
            <w:vAlign w:val="center"/>
            <w:textDirection w:val="lrTb"/>
            <w:noWrap/>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核心产品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41"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w:t>
            </w:r>
            <w:r>
              <w:rPr>
                <w:highlight w:val="none"/>
              </w:rPr>
            </w:r>
            <w:r/>
          </w:p>
          <w:p>
            <w:pPr>
              <w:jc w:val="center"/>
              <w:keepLines w:val="0"/>
              <w:keepNext w:val="0"/>
              <w:widowControl/>
              <w:rPr>
                <w:rFonts w:hint="default"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进口产品</w:t>
            </w:r>
            <w:r>
              <w:rPr>
                <w:highlight w:val="none"/>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卒中胸痛急救智能体平台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color w:val="000000"/>
                <w:sz w:val="24"/>
                <w:szCs w:val="24"/>
                <w:highlight w:val="none"/>
                <w:lang w:val="en-US" w:eastAsia="zh-CN" w:bidi="ar"/>
              </w:rPr>
              <w:t xml:space="preserve">是</w:t>
            </w:r>
            <w:r>
              <w:rPr>
                <w:highlight w:val="none"/>
              </w:rPr>
            </w:r>
            <w:r/>
          </w:p>
        </w:tc>
        <w:tc>
          <w:tcPr>
            <w:shd w:val="clear" w:color="auto" w:fill="auto"/>
            <w:tcBorders>
              <w:top w:val="single" w:color="000000" w:sz="4" w:space="0"/>
              <w:left w:val="single" w:color="auto" w:sz="4" w:space="0"/>
              <w:right w:val="single" w:color="000000" w:sz="4" w:space="0"/>
            </w:tcBorders>
            <w:tcW w:w="841" w:type="pct"/>
            <w:vAlign w:val="center"/>
            <w:vMerge w:val="restart"/>
            <w:textDirection w:val="lrTb"/>
            <w:noWrap/>
          </w:tcPr>
          <w:p>
            <w:pPr>
              <w:jc w:val="center"/>
              <w:rPr>
                <w:rFonts w:hint="default"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急救车急诊智能病历生成系统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841"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智算模块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841"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数据可视化显示仪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841"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5"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急救车载PAD</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8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6</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61"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bottom w:val="single" w:color="000000" w:sz="4" w:space="0"/>
              <w:right w:val="single" w:color="000000" w:sz="4" w:space="0"/>
            </w:tcBorders>
            <w:tcW w:w="841"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bl>
    <w:p>
      <w:pPr>
        <w:ind w:firstLine="480"/>
        <w:jc w:val="left"/>
        <w:spacing w:before="120"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合同履行期限：</w:t>
      </w:r>
      <w:r>
        <w:rPr>
          <w:rFonts w:hint="eastAsia" w:asciiTheme="minorEastAsia" w:hAnsiTheme="minorEastAsia" w:eastAsiaTheme="minorEastAsia" w:cstheme="minorEastAsia"/>
          <w:color w:val="auto"/>
          <w:sz w:val="24"/>
          <w:szCs w:val="24"/>
          <w:highlight w:val="none"/>
          <w:lang w:eastAsia="zh-CN"/>
        </w:rPr>
        <w:t xml:space="preserve">120日历天</w:t>
      </w:r>
      <w:r>
        <w:rPr>
          <w:rFonts w:hint="eastAsia" w:asciiTheme="minorEastAsia" w:hAnsiTheme="minorEastAsia" w:eastAsiaTheme="minorEastAsia" w:cstheme="minorEastAsia"/>
          <w:color w:val="auto"/>
          <w:sz w:val="24"/>
          <w:szCs w:val="24"/>
          <w:highlight w:val="none"/>
        </w:rPr>
        <w:t xml:space="preserve">。</w:t>
      </w:r>
      <w:r>
        <w:rPr>
          <w:highlight w:val="none"/>
        </w:rPr>
      </w:r>
      <w:r/>
    </w:p>
    <w:p>
      <w:pPr>
        <w:ind w:firstLine="480"/>
        <w:jc w:val="left"/>
        <w:spacing w:before="120" w:line="360" w:lineRule="auto"/>
        <w:widowControl/>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本项目（是/否）接受联合体投标：否。</w:t>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二、申请人资格条件</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（一）满足《中华人民共和国政府采购法》第二十二条规定：</w:t>
      </w:r>
      <w:r>
        <w:rPr>
          <w:highlight w:val="none"/>
        </w:rPr>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1.具有独立承担民事责任的能力（提供有效的法人或者其他组织的营业执照等证明文件原件扫描件）；</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2.具有《政府采购法》第二十二条第（二）、（三）、（四）、（五）项规定的基本资格条件（按投标文件格式要求提供了《基本资格条件声明函》）。</w:t>
      </w:r>
      <w:r>
        <w:rPr>
          <w:highlight w:val="none"/>
        </w:rPr>
      </w:r>
      <w:r/>
    </w:p>
    <w:p>
      <w:pPr>
        <w:ind w:firstLine="480"/>
        <w:spacing w:line="360" w:lineRule="auto"/>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（二）落实政府采购政策需满足的资格要求：</w:t>
      </w:r>
      <w:r>
        <w:rPr>
          <w:rFonts w:hint="eastAsia" w:asciiTheme="minorEastAsia" w:hAnsiTheme="minorEastAsia" w:eastAsiaTheme="minorEastAsia" w:cstheme="minorEastAsia"/>
          <w:b/>
          <w:bCs/>
          <w:color w:val="auto"/>
          <w:sz w:val="24"/>
          <w:szCs w:val="24"/>
          <w:highlight w:val="none"/>
        </w:rPr>
        <w:t xml:space="preserve">无。</w:t>
      </w:r>
      <w:r>
        <w:rPr>
          <w:highlight w:val="none"/>
        </w:rPr>
      </w:r>
      <w:r/>
    </w:p>
    <w:p>
      <w:pPr>
        <w:ind w:firstLine="48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（三）本项目的特定资格要求：</w:t>
      </w:r>
      <w:r>
        <w:rPr>
          <w:rFonts w:hint="eastAsia" w:asciiTheme="minorEastAsia" w:hAnsiTheme="minorEastAsia" w:eastAsiaTheme="minorEastAsia" w:cstheme="minorEastAsia"/>
          <w:b/>
          <w:bCs/>
          <w:color w:val="auto"/>
          <w:sz w:val="24"/>
          <w:szCs w:val="24"/>
          <w:highlight w:val="none"/>
          <w:lang w:val="en-US" w:eastAsia="zh-CN"/>
        </w:rPr>
        <w:t xml:space="preserve">无</w:t>
      </w:r>
      <w:r>
        <w:rPr>
          <w:rFonts w:hint="eastAsia" w:asciiTheme="minorEastAsia" w:hAnsiTheme="minorEastAsia" w:eastAsiaTheme="minorEastAsia" w:cstheme="minorEastAsia"/>
          <w:b/>
          <w:bCs/>
          <w:color w:val="auto"/>
          <w:sz w:val="24"/>
          <w:szCs w:val="24"/>
          <w:highlight w:val="none"/>
          <w:lang w:eastAsia="zh-CN"/>
        </w:rPr>
        <w:t xml:space="preserve">。</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（四）投标截止时间当日，投标人有下列情形之一的，不得参加本采购项目招标投标活动：</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1.单位负责人为同一人或者存在直接控股、管理关系的不同投标人；</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2.被各级财政主管部门取消采购项目所在地的投标资格且处于有效期内；</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3.被责令停业，暂扣或吊销营业执照，或吊销资质证书；</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4.进入清算程序，或被宣告破产，或其他丧失履约能力的情形；</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5.在“中国政府采购网(www.ccgp.gov.cn)”中被列入“政府采购严重违法失信行为记录名单》”（以采购人或采购代理机构在资格审查时，通过相关网站查询为准）；</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6.在“信用中国（http://www.creditchina.gov.cn/）”网站中被列入“失信被执行人名单”或“税收违法黑名单”（以采购人或采购代理机构在资格审查时，通过相关网站查询为准）；</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7.为采购项目提供整体设计、规范编制或者项目管理、监理、检测等服务的；</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8.法律、法规规定的其他情形。</w:t>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三、获取招标文件</w:t>
      </w:r>
      <w:r>
        <w:rPr>
          <w:highlight w:val="none"/>
        </w:rPr>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时间：自招标文件公告发布之日起5个工作日 </w:t>
      </w:r>
      <w:r>
        <w:rPr>
          <w:highlight w:val="none"/>
        </w:rPr>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地点：“苏采云”系统（http://jszfcg.jsczt.cn） </w:t>
      </w:r>
      <w:r>
        <w:rPr>
          <w:highlight w:val="none"/>
        </w:rPr>
      </w:r>
      <w:r/>
    </w:p>
    <w:p>
      <w:pPr>
        <w:ind w:firstLine="480"/>
        <w:spacing w:line="360" w:lineRule="auto"/>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方式：“苏采云”系统（http://jszfcg.jsczt.cn） </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售价：0.00元 </w:t>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四、提交投标文件截止时间、开标时间和地点</w:t>
      </w:r>
      <w:r>
        <w:rPr>
          <w:highlight w:val="none"/>
        </w:rPr>
      </w:r>
      <w:r/>
    </w:p>
    <w:p>
      <w:pPr>
        <w:ind w:firstLine="480"/>
        <w:spacing w:line="360" w:lineRule="auto"/>
        <w:rPr>
          <w:highlight w:val="none"/>
        </w:rPr>
      </w:pPr>
      <w:r>
        <w:rPr>
          <w:rFonts w:hint="eastAsia" w:asciiTheme="minorEastAsia" w:hAnsiTheme="minorEastAsia" w:eastAsiaTheme="minorEastAsia" w:cstheme="minorEastAsia"/>
          <w:color w:val="auto"/>
          <w:sz w:val="24"/>
          <w:szCs w:val="24"/>
          <w:highlight w:val="none"/>
        </w:rPr>
        <w:t xml:space="preserve">2026-0</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18   </w:t>
      </w:r>
      <w:r>
        <w:rPr>
          <w:rFonts w:hint="eastAsia" w:asciiTheme="minorEastAsia" w:hAnsiTheme="minorEastAsia" w:eastAsiaTheme="minorEastAsia" w:cstheme="minorEastAsia"/>
          <w:color w:val="auto"/>
          <w:sz w:val="24"/>
          <w:szCs w:val="24"/>
          <w:highlight w:val="none"/>
        </w:rPr>
        <w:t xml:space="preserve"> 14:00 （北京时间）</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地点：“苏采云”系统（http://jszfcg.jsczt.cn）</w:t>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五、公告期限</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自本公告发布之日起5个工作日</w:t>
      </w:r>
      <w:r>
        <w:rPr>
          <w:highlight w:val="none"/>
        </w:rPr>
      </w:r>
      <w:r/>
    </w:p>
    <w:p>
      <w:pPr>
        <w:ind w:firstLine="482"/>
        <w:spacing w:line="360" w:lineRule="auto"/>
        <w:rPr>
          <w:rFonts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六、其他补充事宜</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1.本项目采用全流程电子化方式，潜在投标人访问电子招标投标交易平台的网络地址和方法：</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（1）登录 http://jszfcg.jsczt.cn/，点击“苏采云”进入系统；</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（2）投标客户端工具及供应商操作手册可访问江苏省政府采购网，选中“业务工作”，“下载专区”进行下载《江苏省政府采购管理交易系统（苏采云）供应商操作手册及政府采购客户端》。</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2.采购代理机构将数据电文形式的招标文件加载至电子招标投标交易平台，供潜在投标人下载或者查阅。如果项目采购文件变更并发布更正公告，需要重新下载采购文件。</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3.如在制作电子投标文件中有任何疑问，请拨打电子化政府采购技术支持电话：0523-86897512。</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4.如潜在投标人未按上述要求操作，将自行承担所产生的风险。</w:t>
      </w:r>
      <w:r>
        <w:rPr>
          <w:highlight w:val="none"/>
        </w:rPr>
      </w:r>
      <w:r/>
    </w:p>
    <w:p>
      <w:pPr>
        <w:ind w:firstLine="482"/>
        <w:spacing w:line="360" w:lineRule="auto"/>
        <w:rPr>
          <w:rFonts w:ascii="华文中宋" w:hAnsi="华文中宋" w:eastAsia="华文中宋" w:cs="华文中宋"/>
          <w:color w:val="auto"/>
          <w:sz w:val="24"/>
          <w:szCs w:val="24"/>
          <w:highlight w:val="none"/>
        </w:rPr>
      </w:pPr>
      <w:r>
        <w:rPr>
          <w:rFonts w:hint="eastAsia" w:ascii="黑体" w:hAnsi="黑体" w:eastAsia="黑体" w:cs="黑体"/>
          <w:b/>
          <w:bCs/>
          <w:color w:val="auto"/>
          <w:sz w:val="24"/>
          <w:szCs w:val="24"/>
          <w:highlight w:val="none"/>
        </w:rPr>
        <w:t xml:space="preserve">七、凡对本次采购提出询问，请按以下方式联系。</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1.采购人信息</w:t>
      </w:r>
      <w:r>
        <w:rPr>
          <w:highlight w:val="none"/>
        </w:rPr>
      </w:r>
      <w:r/>
    </w:p>
    <w:p>
      <w:pPr>
        <w:ind w:firstLine="480"/>
        <w:spacing w:line="360" w:lineRule="auto"/>
        <w:tabs>
          <w:tab w:val="left" w:pos="846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单位名称：靖江市人民医院</w:t>
      </w:r>
      <w:r>
        <w:rPr>
          <w:highlight w:val="none"/>
        </w:rPr>
      </w:r>
      <w:r/>
    </w:p>
    <w:p>
      <w:pPr>
        <w:ind w:firstLine="480"/>
        <w:spacing w:line="360" w:lineRule="auto"/>
        <w:tabs>
          <w:tab w:val="left" w:pos="846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单位地址：靖江市中洲东路28号</w:t>
      </w:r>
      <w:r>
        <w:rPr>
          <w:highlight w:val="none"/>
        </w:rPr>
      </w:r>
      <w:r/>
    </w:p>
    <w:p>
      <w:pPr>
        <w:ind w:firstLine="480"/>
        <w:spacing w:line="360" w:lineRule="auto"/>
        <w:tabs>
          <w:tab w:val="left" w:pos="846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联系人：王先生</w:t>
      </w:r>
      <w:r>
        <w:rPr>
          <w:highlight w:val="none"/>
        </w:rPr>
      </w:r>
      <w:r/>
    </w:p>
    <w:p>
      <w:pPr>
        <w:ind w:firstLine="480"/>
        <w:spacing w:line="360" w:lineRule="auto"/>
        <w:tabs>
          <w:tab w:val="left" w:pos="8460" w:leader="none"/>
        </w:tabs>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联系电话：0523-84995920</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2.采购代理机构信息（如有）</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单位名称：江苏智汇锡建工程项目管理有限公司</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单位地址：靖江市体育中心办税服务厅四楼8405室</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联系人：闻先生</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联系电话：13809011110</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3.项目联系方式</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项目联系人：闻先生</w:t>
      </w:r>
      <w:r>
        <w:rPr>
          <w:highlight w:val="none"/>
        </w:rPr>
      </w:r>
      <w:r/>
    </w:p>
    <w:p>
      <w:pPr>
        <w:ind w:firstLine="480"/>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电话：13809011110</w:t>
      </w:r>
      <w:r>
        <w:rPr>
          <w:highlight w:val="none"/>
        </w:rPr>
      </w:r>
      <w:r/>
    </w:p>
    <w:p>
      <w:pPr>
        <w:ind w:firstLine="440"/>
        <w:spacing w:line="440" w:lineRule="exact"/>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728"/>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ind w:firstLine="440"/>
        <w:spacing w:line="440" w:lineRule="exact"/>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pStyle w:val="936"/>
        <w:jc w:val="center"/>
        <w:spacing w:before="0" w:after="0" w:line="360" w:lineRule="auto"/>
        <w:rPr>
          <w:rFonts w:ascii="微软雅黑" w:hAnsi="微软雅黑" w:eastAsia="微软雅黑" w:cs="微软雅黑"/>
          <w:b w:val="0"/>
          <w:bCs w:val="0"/>
          <w:color w:val="auto"/>
          <w:sz w:val="36"/>
          <w:szCs w:val="36"/>
          <w:highlight w:val="none"/>
        </w:rPr>
      </w:pPr>
      <w:r>
        <w:rPr>
          <w:highlight w:val="none"/>
        </w:rPr>
      </w:r>
      <w:bookmarkStart w:id="14" w:name="_Toc2936"/>
      <w:r>
        <w:rPr>
          <w:highlight w:val="none"/>
        </w:rPr>
      </w:r>
      <w:bookmarkStart w:id="15" w:name="_Toc152268439"/>
      <w:r>
        <w:rPr>
          <w:highlight w:val="none"/>
        </w:rPr>
      </w:r>
      <w:bookmarkStart w:id="16" w:name="_Toc6770"/>
      <w:r>
        <w:rPr>
          <w:highlight w:val="none"/>
        </w:rPr>
      </w:r>
      <w:bookmarkStart w:id="17" w:name="_Toc387526281"/>
      <w:r>
        <w:rPr>
          <w:highlight w:val="none"/>
        </w:rPr>
      </w:r>
      <w:bookmarkStart w:id="18" w:name="_Toc387526177"/>
      <w:r>
        <w:rPr>
          <w:highlight w:val="none"/>
        </w:rPr>
      </w:r>
      <w:bookmarkStart w:id="19" w:name="_Toc184635069"/>
      <w:r>
        <w:rPr>
          <w:highlight w:val="none"/>
        </w:rPr>
      </w:r>
      <w:bookmarkStart w:id="20" w:name="_Toc387526373"/>
      <w:r>
        <w:rPr>
          <w:highlight w:val="none"/>
        </w:rPr>
      </w:r>
      <w:bookmarkStart w:id="21" w:name="_Toc369077558"/>
      <w:r>
        <w:rPr>
          <w:highlight w:val="none"/>
        </w:rPr>
      </w:r>
      <w:bookmarkStart w:id="22" w:name="_Toc6984"/>
      <w:r>
        <w:rPr>
          <w:highlight w:val="none"/>
        </w:rPr>
      </w:r>
      <w:bookmarkStart w:id="23" w:name="_Toc368759512"/>
      <w:r>
        <w:rPr>
          <w:highlight w:val="none"/>
        </w:rPr>
      </w:r>
      <w:bookmarkStart w:id="24" w:name="_Toc363326679"/>
      <w:r>
        <w:rPr>
          <w:rFonts w:hint="eastAsia" w:ascii="微软雅黑" w:hAnsi="微软雅黑" w:eastAsia="微软雅黑" w:cs="微软雅黑"/>
          <w:b w:val="0"/>
          <w:bCs w:val="0"/>
          <w:color w:val="auto"/>
          <w:sz w:val="36"/>
          <w:szCs w:val="36"/>
          <w:highlight w:val="none"/>
        </w:rPr>
        <w:t xml:space="preserve">第二章 投标人须知</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r/>
    </w:p>
    <w:p>
      <w:pPr>
        <w:pStyle w:val="940"/>
        <w:ind w:firstLine="118"/>
        <w:jc w:val="center"/>
        <w:spacing w:before="0" w:after="0" w:line="360" w:lineRule="auto"/>
        <w:rPr>
          <w:color w:val="auto"/>
          <w:sz w:val="28"/>
          <w:szCs w:val="21"/>
          <w:highlight w:val="none"/>
        </w:rPr>
      </w:pPr>
      <w:r>
        <w:rPr>
          <w:highlight w:val="none"/>
        </w:rPr>
      </w:r>
      <w:bookmarkStart w:id="25" w:name="_Toc387526374"/>
      <w:r>
        <w:rPr>
          <w:highlight w:val="none"/>
        </w:rPr>
      </w:r>
      <w:bookmarkStart w:id="26" w:name="_Toc16205"/>
      <w:r>
        <w:rPr>
          <w:highlight w:val="none"/>
        </w:rPr>
      </w:r>
      <w:bookmarkStart w:id="27" w:name="_Toc369077559"/>
      <w:r>
        <w:rPr>
          <w:highlight w:val="none"/>
        </w:rPr>
      </w:r>
      <w:bookmarkStart w:id="28" w:name="_Toc387526282"/>
      <w:r>
        <w:rPr>
          <w:highlight w:val="none"/>
        </w:rPr>
      </w:r>
      <w:bookmarkStart w:id="29" w:name="_Toc3882"/>
      <w:r>
        <w:rPr>
          <w:highlight w:val="none"/>
        </w:rPr>
      </w:r>
      <w:bookmarkStart w:id="30" w:name="_Toc387526178"/>
      <w:r>
        <w:rPr>
          <w:highlight w:val="none"/>
        </w:rPr>
      </w:r>
      <w:bookmarkStart w:id="31" w:name="_Toc9578"/>
      <w:r>
        <w:rPr>
          <w:rFonts w:hint="eastAsia"/>
          <w:color w:val="auto"/>
          <w:sz w:val="28"/>
          <w:szCs w:val="21"/>
          <w:highlight w:val="none"/>
        </w:rPr>
        <w:t xml:space="preserve">投标人须知前附表</w:t>
      </w:r>
      <w:bookmarkEnd w:id="25"/>
      <w:r>
        <w:rPr>
          <w:highlight w:val="none"/>
        </w:rPr>
      </w:r>
      <w:bookmarkEnd w:id="26"/>
      <w:r>
        <w:rPr>
          <w:highlight w:val="none"/>
        </w:rPr>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r/>
    </w:p>
    <w:tbl>
      <w:tblPr>
        <w:tblStyle w:val="681"/>
        <w:tblW w:w="9322"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3"/>
        <w:gridCol w:w="2560"/>
        <w:gridCol w:w="5629"/>
      </w:tblGrid>
      <w:tr>
        <w:trPr>
          <w:trHeight w:val="710"/>
        </w:trPr>
        <w:tc>
          <w:tcPr>
            <w:tcW w:w="1133" w:type="dxa"/>
            <w:vAlign w:val="center"/>
            <w:textDirection w:val="lrTb"/>
            <w:noWrap w:val="false"/>
          </w:tcPr>
          <w:p>
            <w:pPr>
              <w:jc w:val="center"/>
              <w:spacing w:line="4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条款号</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条款名称</w:t>
            </w:r>
            <w:r>
              <w:rPr>
                <w:highlight w:val="none"/>
              </w:rPr>
            </w:r>
            <w:r/>
          </w:p>
        </w:tc>
        <w:tc>
          <w:tcPr>
            <w:tcW w:w="5629" w:type="dxa"/>
            <w:vAlign w:val="center"/>
            <w:textDirection w:val="lrTb"/>
            <w:noWrap w:val="false"/>
          </w:tcPr>
          <w:p>
            <w:pPr>
              <w:jc w:val="center"/>
              <w:spacing w:line="4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编列内容</w:t>
            </w:r>
            <w:r>
              <w:rPr>
                <w:highlight w:val="none"/>
              </w:rPr>
            </w:r>
            <w:r/>
          </w:p>
        </w:tc>
      </w:tr>
      <w:tr>
        <w:trPr>
          <w:trHeight w:val="90"/>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名称：靖江市人民医院</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  址：靖江市中洲路28号</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联系人：王先生</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w:t>
            </w:r>
            <w:r>
              <w:rPr>
                <w:rFonts w:hint="eastAsia" w:asciiTheme="minorEastAsia" w:hAnsiTheme="minorEastAsia" w:eastAsiaTheme="minorEastAsia" w:cstheme="minorEastAsia"/>
                <w:color w:val="auto"/>
                <w:sz w:val="24"/>
                <w:szCs w:val="24"/>
                <w:highlight w:val="none"/>
                <w:lang w:val="zh-CN"/>
              </w:rPr>
              <w:t xml:space="preserve">0523-84995920</w:t>
            </w:r>
            <w:r>
              <w:rPr>
                <w:highlight w:val="none"/>
              </w:rPr>
            </w:r>
            <w:r/>
          </w:p>
        </w:tc>
      </w:tr>
      <w:tr>
        <w:trPr>
          <w:trHeight w:val="1421"/>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采购代理机构</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名称：江苏智汇锡建工程项目管理有限公司</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地址：靖江市体育中心办税服务厅8405室</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 系 人：闻先生</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联系方式：13809011110　　</w:t>
            </w:r>
            <w:r>
              <w:rPr>
                <w:highlight w:val="none"/>
              </w:rPr>
            </w:r>
            <w:r/>
          </w:p>
        </w:tc>
      </w:tr>
      <w:tr>
        <w:trPr>
          <w:trHeight w:val="703"/>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项目名称</w:t>
            </w:r>
            <w:r>
              <w:rPr>
                <w:highlight w:val="none"/>
              </w:rPr>
            </w:r>
            <w:r/>
          </w:p>
        </w:tc>
        <w:tc>
          <w:tcPr>
            <w:tcW w:w="5629" w:type="dxa"/>
            <w:vAlign w:val="center"/>
            <w:textDirection w:val="lrTb"/>
            <w:noWrap w:val="false"/>
          </w:tcPr>
          <w:p>
            <w:pPr>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靖江市人民医院基于AI的卒中（胸痛）一体化救治和调度平台</w:t>
            </w:r>
            <w:r>
              <w:rPr>
                <w:highlight w:val="none"/>
              </w:rPr>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项目编号</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JSZC-321282-JSZH-G</w:t>
            </w:r>
            <w:r>
              <w:rPr>
                <w:rFonts w:hint="eastAsia" w:asciiTheme="minorEastAsia" w:hAnsiTheme="minorEastAsia" w:eastAsiaTheme="minorEastAsia" w:cstheme="minorEastAsia"/>
                <w:color w:val="auto"/>
                <w:sz w:val="24"/>
                <w:szCs w:val="24"/>
                <w:highlight w:val="none"/>
                <w:lang w:eastAsia="zh-CN"/>
              </w:rPr>
              <w:t xml:space="preserve">2026-0040</w:t>
            </w:r>
            <w:bookmarkStart w:id="144" w:name="_GoBack"/>
            <w:r>
              <w:rPr>
                <w:highlight w:val="none"/>
              </w:rPr>
            </w:r>
            <w:bookmarkEnd w:id="144"/>
            <w:r>
              <w:rPr>
                <w:rFonts w:hint="eastAsia" w:asciiTheme="minorEastAsia" w:hAnsiTheme="minorEastAsia" w:eastAsiaTheme="minorEastAsia" w:cstheme="minorEastAsia"/>
                <w:color w:val="auto"/>
                <w:sz w:val="24"/>
                <w:szCs w:val="24"/>
                <w:highlight w:val="none"/>
              </w:rPr>
              <w:t xml:space="preserve">   </w:t>
            </w:r>
            <w:r>
              <w:rPr>
                <w:highlight w:val="none"/>
              </w:rPr>
            </w:r>
            <w:r/>
          </w:p>
        </w:tc>
      </w:tr>
      <w:tr>
        <w:trPr>
          <w:trHeight w:val="606"/>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1.1.6</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采购预算</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u w:val="single"/>
                <w:lang w:val="en-US" w:eastAsia="zh-CN"/>
              </w:rPr>
              <w:t xml:space="preserve">255</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 xml:space="preserve">万元</w:t>
            </w:r>
            <w:r>
              <w:rPr>
                <w:highlight w:val="none"/>
              </w:rPr>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1.1.7</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最高限价</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b/>
                <w:bCs/>
                <w:color w:val="auto"/>
                <w:sz w:val="24"/>
                <w:szCs w:val="24"/>
                <w:highlight w:val="none"/>
                <w:u w:val="single"/>
              </w:rPr>
            </w:pPr>
            <w:r>
              <w:rPr>
                <w:rFonts w:hint="eastAsia" w:asciiTheme="minorEastAsia" w:hAnsiTheme="minorEastAsia" w:eastAsiaTheme="minorEastAsia" w:cstheme="minorEastAsia"/>
                <w:b/>
                <w:bCs/>
                <w:color w:val="auto"/>
                <w:sz w:val="24"/>
                <w:szCs w:val="24"/>
                <w:highlight w:val="none"/>
                <w:u w:val="single"/>
                <w:lang w:val="en-US" w:eastAsia="zh-CN"/>
              </w:rPr>
              <w:t xml:space="preserve"> 255 </w:t>
            </w:r>
            <w:r>
              <w:rPr>
                <w:rFonts w:hint="eastAsia" w:asciiTheme="minorEastAsia" w:hAnsiTheme="minorEastAsia" w:eastAsiaTheme="minorEastAsia" w:cstheme="minorEastAsia"/>
                <w:b/>
                <w:bCs/>
                <w:color w:val="auto"/>
                <w:sz w:val="24"/>
                <w:szCs w:val="24"/>
                <w:highlight w:val="none"/>
              </w:rPr>
              <w:t xml:space="preserve">万元</w:t>
            </w:r>
            <w:r>
              <w:rPr>
                <w:highlight w:val="none"/>
              </w:rPr>
            </w:r>
            <w:r/>
          </w:p>
        </w:tc>
      </w:tr>
      <w:tr>
        <w:trPr>
          <w:trHeight w:val="678"/>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1.1.8</w:t>
            </w:r>
            <w:r>
              <w:rPr>
                <w:highlight w:val="none"/>
              </w:rPr>
            </w:r>
            <w:r/>
          </w:p>
        </w:tc>
        <w:tc>
          <w:tcPr>
            <w:tcW w:w="2560"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是否接受进口</w:t>
            </w:r>
            <w:r>
              <w:rPr>
                <w:highlight w:val="none"/>
              </w:rPr>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产品投标</w:t>
            </w:r>
            <w:r>
              <w:rPr>
                <w:highlight w:val="none"/>
              </w:rPr>
            </w:r>
            <w:r/>
          </w:p>
        </w:tc>
        <w:tc>
          <w:tcPr>
            <w:tcW w:w="5629" w:type="dxa"/>
            <w:vAlign w:val="center"/>
            <w:textDirection w:val="lrTb"/>
            <w:noWrap w:val="false"/>
          </w:tcPr>
          <w:p>
            <w:pPr>
              <w:ind w:right="113"/>
              <w:jc w:val="left"/>
              <w:rPr>
                <w:rFonts w:hint="eastAsia" w:asciiTheme="minorEastAsia" w:hAnsiTheme="minorEastAsia" w:eastAsiaTheme="minorEastAsia" w:cstheme="minorEastAsia"/>
                <w:b/>
                <w:bCs/>
                <w:color w:val="auto"/>
                <w:sz w:val="24"/>
                <w:szCs w:val="24"/>
                <w:highlight w:val="none"/>
              </w:rPr>
            </w:pPr>
            <w:r>
              <w:rPr>
                <w:rFonts w:ascii="宋体" w:hAnsi="宋体" w:eastAsia="宋体" w:cs="宋体"/>
                <w:color w:val="000000"/>
                <w:sz w:val="24"/>
                <w:highlight w:val="none"/>
              </w:rPr>
              <w:t xml:space="preserve">□</w:t>
            </w:r>
            <w:r>
              <w:rPr>
                <w:rFonts w:hint="eastAsia" w:asciiTheme="minorEastAsia" w:hAnsiTheme="minorEastAsia" w:eastAsiaTheme="minorEastAsia" w:cstheme="minorEastAsia"/>
                <w:b/>
                <w:color w:val="auto"/>
                <w:sz w:val="24"/>
                <w:szCs w:val="24"/>
                <w:highlight w:val="none"/>
              </w:rPr>
              <w:t xml:space="preserve">接受</w:t>
            </w:r>
            <w:r>
              <w:rPr>
                <w:highlight w:val="none"/>
              </w:rPr>
            </w:r>
            <w:r/>
          </w:p>
          <w:p>
            <w:pPr>
              <w:ind w:right="113"/>
              <w:jc w:val="left"/>
              <w:rPr>
                <w:rFonts w:asciiTheme="minorEastAsia" w:hAnsiTheme="minorEastAsia" w:eastAsiaTheme="minorEastAsia" w:cstheme="minorEastAsia"/>
                <w:b/>
                <w:bCs/>
                <w:color w:val="auto"/>
                <w:sz w:val="24"/>
                <w:szCs w:val="24"/>
                <w:highlight w:val="none"/>
                <w:u w:val="single"/>
              </w:rPr>
            </w:pPr>
            <w:r>
              <w:rPr>
                <w:rFonts w:ascii="宋体" w:hAnsi="宋体" w:eastAsia="宋体" w:cs="宋体"/>
                <w:color w:val="000000"/>
                <w:sz w:val="24"/>
                <w:highlight w:val="none"/>
              </w:rPr>
              <w:t xml:space="preserve">☑不</w:t>
            </w:r>
            <w:r>
              <w:rPr>
                <w:rFonts w:hint="eastAsia" w:asciiTheme="minorEastAsia" w:hAnsiTheme="minorEastAsia" w:eastAsiaTheme="minorEastAsia" w:cstheme="minorEastAsia"/>
                <w:b/>
                <w:color w:val="auto"/>
                <w:sz w:val="24"/>
                <w:szCs w:val="24"/>
                <w:highlight w:val="none"/>
              </w:rPr>
              <w:t xml:space="preserve">接受</w:t>
            </w:r>
            <w:r>
              <w:rPr>
                <w:highlight w:val="none"/>
              </w:rPr>
            </w:r>
            <w:r/>
          </w:p>
        </w:tc>
      </w:tr>
      <w:tr>
        <w:trPr>
          <w:trHeight w:val="666"/>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合同履行期限</w:t>
            </w:r>
            <w:r>
              <w:rPr>
                <w:highlight w:val="none"/>
              </w:rPr>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u w:val="single"/>
                <w:lang w:val="en-US" w:eastAsia="zh-CN"/>
              </w:rPr>
              <w:t xml:space="preserve"> 120 </w:t>
            </w:r>
            <w:r>
              <w:rPr>
                <w:rFonts w:hint="eastAsia" w:asciiTheme="minorEastAsia" w:hAnsiTheme="minorEastAsia" w:eastAsiaTheme="minorEastAsia" w:cstheme="minorEastAsia"/>
                <w:color w:val="auto"/>
                <w:sz w:val="24"/>
                <w:szCs w:val="24"/>
                <w:highlight w:val="none"/>
              </w:rPr>
              <w:t xml:space="preserve">日历天</w:t>
            </w:r>
            <w:r>
              <w:rPr>
                <w:highlight w:val="none"/>
              </w:rPr>
            </w:r>
            <w:r/>
          </w:p>
        </w:tc>
      </w:tr>
      <w:tr>
        <w:trPr>
          <w:trHeight w:val="642"/>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验收要求</w:t>
            </w:r>
            <w:r>
              <w:rPr>
                <w:highlight w:val="none"/>
              </w:rPr>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符合招标文件要求。</w:t>
            </w:r>
            <w:r>
              <w:rPr>
                <w:highlight w:val="none"/>
              </w:rPr>
            </w:r>
            <w:r/>
          </w:p>
        </w:tc>
      </w:tr>
      <w:tr>
        <w:trPr>
          <w:trHeight w:val="647"/>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本项目核心产品</w:t>
            </w:r>
            <w:r>
              <w:rPr>
                <w:highlight w:val="none"/>
              </w:rPr>
            </w:r>
            <w:r/>
          </w:p>
        </w:tc>
        <w:tc>
          <w:tcPr>
            <w:tcW w:w="5629" w:type="dxa"/>
            <w:vAlign w:val="center"/>
            <w:textDirection w:val="lrTb"/>
            <w:noWrap w:val="false"/>
          </w:tcPr>
          <w:p>
            <w:pPr>
              <w:jc w:val="left"/>
              <w:spacing w:line="400" w:lineRule="exact"/>
              <w:rPr>
                <w:rFonts w:hint="eastAsia"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lang w:eastAsia="zh-CN"/>
              </w:rPr>
              <w:t xml:space="preserve">卒中胸痛急救智能体平台</w:t>
            </w:r>
            <w:r>
              <w:rPr>
                <w:highlight w:val="none"/>
              </w:rPr>
            </w:r>
            <w:r/>
          </w:p>
        </w:tc>
      </w:tr>
      <w:tr>
        <w:trPr>
          <w:trHeight w:val="484"/>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1.3.2</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本项目标的所属行业</w:t>
            </w:r>
            <w:r>
              <w:rPr>
                <w:highlight w:val="none"/>
              </w:rPr>
            </w:r>
            <w:r/>
          </w:p>
        </w:tc>
        <w:tc>
          <w:tcPr>
            <w:tcW w:w="5629" w:type="dxa"/>
            <w:vAlign w:val="center"/>
            <w:textDirection w:val="lrTb"/>
            <w:noWrap w:val="false"/>
          </w:tcPr>
          <w:p>
            <w:pPr>
              <w:jc w:val="left"/>
              <w:spacing w:line="400" w:lineRule="exact"/>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rPr>
              <w:t xml:space="preserve">（1）卒中胸痛急救智能体平台</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single"/>
                <w:lang w:val="en-US" w:eastAsia="zh-CN"/>
              </w:rPr>
              <w:t xml:space="preserve">软件和信息技术服务业</w:t>
            </w:r>
            <w:r>
              <w:rPr>
                <w:rFonts w:hint="eastAsia" w:asciiTheme="minorEastAsia" w:hAnsiTheme="minorEastAsia" w:eastAsiaTheme="minorEastAsia" w:cstheme="minorEastAsia"/>
                <w:b/>
                <w:color w:val="auto"/>
                <w:sz w:val="24"/>
                <w:szCs w:val="24"/>
                <w:highlight w:val="none"/>
                <w:u w:val="single"/>
              </w:rPr>
              <w:t xml:space="preserve"> </w:t>
            </w:r>
            <w:r>
              <w:rPr>
                <w:highlight w:val="none"/>
              </w:rPr>
            </w:r>
            <w:r/>
          </w:p>
          <w:p>
            <w:pPr>
              <w:jc w:val="left"/>
              <w:spacing w:line="400" w:lineRule="exact"/>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lang w:val="en-US" w:eastAsia="zh-CN"/>
              </w:rPr>
              <w:t xml:space="preserve">2</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rPr>
              <w:t xml:space="preserve">急救车急诊智能病历生成系统</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软件和信息技术服务业 </w:t>
            </w:r>
            <w:r>
              <w:rPr>
                <w:highlight w:val="none"/>
              </w:rPr>
            </w:r>
            <w:r/>
          </w:p>
          <w:p>
            <w:pPr>
              <w:jc w:val="left"/>
              <w:spacing w:line="400" w:lineRule="exact"/>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lang w:val="en-US" w:eastAsia="zh-CN"/>
              </w:rPr>
              <w:t xml:space="preserve">3</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rPr>
              <w:t xml:space="preserve">智算模块</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  工业  </w:t>
            </w:r>
            <w:r>
              <w:rPr>
                <w:highlight w:val="none"/>
              </w:rPr>
            </w:r>
            <w:r/>
          </w:p>
          <w:p>
            <w:pPr>
              <w:jc w:val="left"/>
              <w:spacing w:line="400" w:lineRule="exact"/>
              <w:rPr>
                <w:rFonts w:hint="eastAsia" w:asciiTheme="minorEastAsia" w:hAnsiTheme="minorEastAsia" w:eastAsiaTheme="minorEastAsia" w:cstheme="minorEastAsia"/>
                <w:b/>
                <w:color w:val="auto"/>
                <w:sz w:val="24"/>
                <w:szCs w:val="24"/>
                <w:highlight w:val="none"/>
                <w:u w:val="none"/>
              </w:rPr>
            </w:pP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lang w:val="en-US" w:eastAsia="zh-CN"/>
              </w:rPr>
              <w:t xml:space="preserve">4</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rPr>
              <w:t xml:space="preserve">数据可视化显示仪</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single"/>
              </w:rPr>
              <w:t xml:space="preserve">  工业  </w:t>
            </w:r>
            <w:r>
              <w:rPr>
                <w:highlight w:val="none"/>
              </w:rPr>
            </w:r>
            <w:r/>
          </w:p>
          <w:p>
            <w:pPr>
              <w:jc w:val="left"/>
              <w:spacing w:line="40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lang w:val="en-US" w:eastAsia="zh-CN"/>
              </w:rPr>
              <w:t xml:space="preserve">5</w:t>
            </w:r>
            <w:r>
              <w:rPr>
                <w:rFonts w:hint="eastAsia" w:asciiTheme="minorEastAsia" w:hAnsiTheme="minorEastAsia" w:eastAsiaTheme="minorEastAsia" w:cstheme="minorEastAsia"/>
                <w:b/>
                <w:color w:val="auto"/>
                <w:sz w:val="24"/>
                <w:szCs w:val="24"/>
                <w:highlight w:val="none"/>
                <w:u w:val="none"/>
                <w:lang w:eastAsia="zh-CN"/>
              </w:rPr>
              <w:t xml:space="preserve">）</w:t>
            </w:r>
            <w:r>
              <w:rPr>
                <w:rFonts w:hint="eastAsia" w:asciiTheme="minorEastAsia" w:hAnsiTheme="minorEastAsia" w:eastAsiaTheme="minorEastAsia" w:cstheme="minorEastAsia"/>
                <w:b/>
                <w:color w:val="auto"/>
                <w:sz w:val="24"/>
                <w:szCs w:val="24"/>
                <w:highlight w:val="none"/>
                <w:u w:val="none"/>
              </w:rPr>
              <w:t xml:space="preserve">急救车载PAD：</w:t>
            </w:r>
            <w:r>
              <w:rPr>
                <w:rFonts w:hint="eastAsia" w:asciiTheme="minorEastAsia" w:hAnsiTheme="minorEastAsia" w:eastAsiaTheme="minorEastAsia" w:cstheme="minorEastAsia"/>
                <w:b/>
                <w:color w:val="auto"/>
                <w:sz w:val="24"/>
                <w:szCs w:val="24"/>
                <w:highlight w:val="none"/>
                <w:u w:val="single"/>
              </w:rPr>
              <w:t xml:space="preserve">  工业  </w:t>
            </w:r>
            <w:r>
              <w:rPr>
                <w:highlight w:val="none"/>
              </w:rPr>
            </w:r>
            <w:r/>
          </w:p>
        </w:tc>
      </w:tr>
      <w:tr>
        <w:trPr>
          <w:trHeight w:val="618"/>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基本资格条件</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见《第一章招标公告》</w:t>
            </w:r>
            <w:r>
              <w:rPr>
                <w:highlight w:val="none"/>
              </w:rPr>
            </w:r>
            <w:r/>
          </w:p>
        </w:tc>
      </w:tr>
      <w:tr>
        <w:trPr>
          <w:trHeight w:val="594"/>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1.4.2</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特定资格条件</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见《第一章招标公告》</w:t>
            </w:r>
            <w:r>
              <w:rPr>
                <w:highlight w:val="none"/>
              </w:rPr>
            </w:r>
            <w:r/>
          </w:p>
        </w:tc>
      </w:tr>
      <w:tr>
        <w:trPr>
          <w:trHeight w:val="833"/>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1.4.4</w:t>
            </w:r>
            <w:r>
              <w:rPr>
                <w:highlight w:val="none"/>
              </w:rPr>
            </w:r>
            <w:r/>
          </w:p>
        </w:tc>
        <w:tc>
          <w:tcPr>
            <w:tcW w:w="2560"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是否接受联合体投标</w:t>
            </w:r>
            <w:r>
              <w:rPr>
                <w:highlight w:val="none"/>
              </w:rPr>
            </w:r>
            <w:r/>
          </w:p>
        </w:tc>
        <w:tc>
          <w:tcPr>
            <w:tcW w:w="5629" w:type="dxa"/>
            <w:vAlign w:val="center"/>
            <w:textDirection w:val="lrTb"/>
            <w:noWrap w:val="false"/>
          </w:tcPr>
          <w:p>
            <w:pPr>
              <w:ind w:right="113"/>
              <w:jc w:val="left"/>
              <w:rPr>
                <w:rFonts w:hint="eastAsia" w:asciiTheme="minorEastAsia" w:hAnsiTheme="minorEastAsia" w:eastAsiaTheme="minorEastAsia" w:cstheme="minorEastAsia"/>
                <w:color w:val="auto"/>
                <w:sz w:val="24"/>
                <w:szCs w:val="24"/>
                <w:highlight w:val="none"/>
              </w:rPr>
            </w:pPr>
            <w:r>
              <w:rPr>
                <w:rFonts w:ascii="宋体" w:hAnsi="宋体" w:eastAsia="宋体" w:cs="宋体"/>
                <w:color w:val="000000"/>
                <w:sz w:val="24"/>
                <w:highlight w:val="none"/>
              </w:rPr>
              <w:t xml:space="preserve">□</w:t>
            </w:r>
            <w:r>
              <w:rPr>
                <w:rFonts w:hint="eastAsia" w:asciiTheme="minorEastAsia" w:hAnsiTheme="minorEastAsia" w:eastAsiaTheme="minorEastAsia" w:cstheme="minorEastAsia"/>
                <w:color w:val="auto"/>
                <w:sz w:val="24"/>
                <w:szCs w:val="24"/>
                <w:highlight w:val="none"/>
              </w:rPr>
              <w:t xml:space="preserve">接受</w:t>
            </w:r>
            <w:r>
              <w:rPr>
                <w:highlight w:val="none"/>
              </w:rPr>
            </w:r>
            <w:r/>
          </w:p>
          <w:p>
            <w:pPr>
              <w:ind w:right="113"/>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☑不接受</w:t>
            </w:r>
            <w:r>
              <w:rPr>
                <w:highlight w:val="none"/>
              </w:rPr>
            </w:r>
            <w:r/>
          </w:p>
        </w:tc>
      </w:tr>
      <w:tr>
        <w:trPr>
          <w:trHeight w:val="425"/>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投标人提交</w:t>
            </w:r>
            <w:r>
              <w:rPr>
                <w:highlight w:val="none"/>
              </w:rPr>
            </w:r>
            <w:r/>
          </w:p>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询问截止时间</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202</w:t>
            </w:r>
            <w:r>
              <w:rPr>
                <w:rFonts w:hint="eastAsia" w:asciiTheme="minorEastAsia" w:hAnsiTheme="minorEastAsia" w:eastAsiaTheme="minorEastAsia" w:cstheme="minorEastAsia"/>
                <w:b/>
                <w:color w:val="auto"/>
                <w:sz w:val="24"/>
                <w:szCs w:val="24"/>
                <w:highlight w:val="none"/>
                <w:lang w:val="en-US" w:eastAsia="zh-CN"/>
              </w:rPr>
              <w:t xml:space="preserve">6</w:t>
            </w:r>
            <w:r>
              <w:rPr>
                <w:rFonts w:hint="eastAsia" w:asciiTheme="minorEastAsia" w:hAnsiTheme="minorEastAsia" w:eastAsiaTheme="minorEastAsia" w:cstheme="minorEastAsia"/>
                <w:b/>
                <w:color w:val="auto"/>
                <w:sz w:val="24"/>
                <w:szCs w:val="24"/>
                <w:highlight w:val="none"/>
              </w:rPr>
              <w:t xml:space="preserve">年</w:t>
            </w:r>
            <w:r>
              <w:rPr>
                <w:rFonts w:hint="eastAsia" w:asciiTheme="minorEastAsia" w:hAnsiTheme="minorEastAsia" w:eastAsiaTheme="minorEastAsia" w:cstheme="minorEastAsia"/>
                <w:b/>
                <w:color w:val="auto"/>
                <w:sz w:val="24"/>
                <w:szCs w:val="24"/>
                <w:highlight w:val="none"/>
                <w:u w:val="single"/>
                <w:lang w:val="en-US" w:eastAsia="zh-CN"/>
              </w:rPr>
              <w:t xml:space="preserve"> 06 </w:t>
            </w:r>
            <w:r>
              <w:rPr>
                <w:rFonts w:hint="eastAsia" w:asciiTheme="minorEastAsia" w:hAnsiTheme="minorEastAsia" w:eastAsiaTheme="minorEastAsia" w:cstheme="minorEastAsia"/>
                <w:b/>
                <w:color w:val="auto"/>
                <w:sz w:val="24"/>
                <w:szCs w:val="24"/>
                <w:highlight w:val="none"/>
              </w:rPr>
              <w:t xml:space="preserve">月</w:t>
            </w:r>
            <w:r>
              <w:rPr>
                <w:rFonts w:hint="eastAsia" w:asciiTheme="minorEastAsia" w:hAnsiTheme="minorEastAsia" w:eastAsiaTheme="minorEastAsia" w:cstheme="minorEastAsia"/>
                <w:b/>
                <w:color w:val="auto"/>
                <w:sz w:val="24"/>
                <w:szCs w:val="24"/>
                <w:highlight w:val="none"/>
                <w:u w:val="single"/>
              </w:rPr>
              <w:t xml:space="preserve"> 03</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rPr>
              <w:t xml:space="preserve">日</w:t>
            </w:r>
            <w:r>
              <w:rPr>
                <w:rFonts w:hint="eastAsia" w:asciiTheme="minorEastAsia" w:hAnsiTheme="minorEastAsia" w:eastAsiaTheme="minorEastAsia" w:cstheme="minorEastAsia"/>
                <w:b/>
                <w:color w:val="auto"/>
                <w:sz w:val="24"/>
                <w:szCs w:val="24"/>
                <w:highlight w:val="none"/>
                <w:u w:val="single"/>
              </w:rPr>
              <w:t xml:space="preserve">17:30</w:t>
            </w:r>
            <w:r>
              <w:rPr>
                <w:rFonts w:hint="eastAsia" w:asciiTheme="minorEastAsia" w:hAnsiTheme="minorEastAsia" w:eastAsiaTheme="minorEastAsia" w:cstheme="minorEastAsia"/>
                <w:b/>
                <w:color w:val="auto"/>
                <w:sz w:val="24"/>
                <w:szCs w:val="24"/>
                <w:highlight w:val="none"/>
              </w:rPr>
              <w:t xml:space="preserve">时</w:t>
            </w:r>
            <w:r>
              <w:rPr>
                <w:highlight w:val="none"/>
              </w:rPr>
            </w:r>
            <w:r/>
          </w:p>
        </w:tc>
      </w:tr>
      <w:tr>
        <w:trPr>
          <w:trHeight w:val="650"/>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投标有效期</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lang w:val="en-US" w:eastAsia="zh-CN"/>
              </w:rPr>
              <w:t xml:space="preserve">90</w:t>
            </w:r>
            <w:r>
              <w:rPr>
                <w:rFonts w:hint="eastAsia" w:asciiTheme="minorEastAsia" w:hAnsiTheme="minorEastAsia" w:eastAsiaTheme="minorEastAsia" w:cstheme="minorEastAsia"/>
                <w:b/>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val="zh-CN"/>
              </w:rPr>
              <w:t xml:space="preserve">日（从投标截止日起算）</w:t>
            </w:r>
            <w:r>
              <w:rPr>
                <w:highlight w:val="none"/>
              </w:rPr>
            </w:r>
            <w:r/>
          </w:p>
        </w:tc>
      </w:tr>
      <w:tr>
        <w:trPr>
          <w:trHeight w:val="470"/>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投标文件提交</w:t>
            </w:r>
            <w:r>
              <w:rPr>
                <w:highlight w:val="none"/>
              </w:rPr>
            </w:r>
            <w:r/>
          </w:p>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截止时间</w:t>
            </w:r>
            <w:r>
              <w:rPr>
                <w:highlight w:val="none"/>
              </w:rPr>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时间：</w:t>
            </w:r>
            <w:r>
              <w:rPr>
                <w:rFonts w:hint="eastAsia" w:asciiTheme="minorEastAsia" w:hAnsiTheme="minorEastAsia" w:eastAsiaTheme="minorEastAsia" w:cstheme="minorEastAsia"/>
                <w:b/>
                <w:color w:val="auto"/>
                <w:sz w:val="24"/>
                <w:szCs w:val="24"/>
                <w:highlight w:val="none"/>
                <w:u w:val="single"/>
              </w:rPr>
              <w:t xml:space="preserve">见招标公告</w:t>
            </w:r>
            <w:r>
              <w:rPr>
                <w:highlight w:val="none"/>
              </w:rPr>
            </w:r>
            <w:r/>
          </w:p>
          <w:p>
            <w:pPr>
              <w:jc w:val="left"/>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地点：</w:t>
            </w:r>
            <w:r>
              <w:rPr>
                <w:rFonts w:hint="eastAsia" w:asciiTheme="minorEastAsia" w:hAnsiTheme="minorEastAsia" w:eastAsiaTheme="minorEastAsia" w:cstheme="minorEastAsia"/>
                <w:b/>
                <w:color w:val="auto"/>
                <w:sz w:val="24"/>
                <w:szCs w:val="24"/>
                <w:highlight w:val="none"/>
                <w:u w:val="single"/>
              </w:rPr>
              <w:t xml:space="preserve">见招标公告</w:t>
            </w:r>
            <w:r>
              <w:rPr>
                <w:highlight w:val="none"/>
              </w:rPr>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开标时间和地点</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开标时间：</w:t>
            </w:r>
            <w:r>
              <w:rPr>
                <w:rFonts w:hint="eastAsia" w:asciiTheme="minorEastAsia" w:hAnsiTheme="minorEastAsia" w:eastAsiaTheme="minorEastAsia" w:cstheme="minorEastAsia"/>
                <w:b/>
                <w:color w:val="auto"/>
                <w:sz w:val="24"/>
                <w:szCs w:val="24"/>
                <w:highlight w:val="none"/>
                <w:u w:val="single"/>
              </w:rPr>
              <w:t xml:space="preserve">同投标文件提交截止时间</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开标地点：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同投标文件提交地点 </w:t>
            </w:r>
            <w:r>
              <w:rPr>
                <w:highlight w:val="none"/>
              </w:rPr>
            </w:r>
            <w:r/>
          </w:p>
        </w:tc>
      </w:tr>
      <w:tr>
        <w:trPr>
          <w:trHeight w:val="690"/>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5.1.3</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解密时长</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30</w:t>
            </w:r>
            <w:r>
              <w:rPr>
                <w:rFonts w:hint="eastAsia" w:asciiTheme="minorEastAsia" w:hAnsiTheme="minorEastAsia" w:eastAsiaTheme="minorEastAsia" w:cstheme="minorEastAsia"/>
                <w:color w:val="auto"/>
                <w:sz w:val="24"/>
                <w:szCs w:val="24"/>
                <w:highlight w:val="none"/>
              </w:rPr>
              <w:t xml:space="preserve">分钟</w:t>
            </w:r>
            <w:r>
              <w:rPr>
                <w:highlight w:val="none"/>
              </w:rPr>
            </w:r>
            <w:r/>
          </w:p>
        </w:tc>
      </w:tr>
      <w:tr>
        <w:trPr>
          <w:trHeight w:val="635"/>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评标委员会成员</w:t>
            </w:r>
            <w:r>
              <w:rPr>
                <w:highlight w:val="none"/>
              </w:rPr>
            </w:r>
            <w:r/>
          </w:p>
        </w:tc>
        <w:tc>
          <w:tcPr>
            <w:tcW w:w="5629" w:type="dxa"/>
            <w:vAlign w:val="center"/>
            <w:textDirection w:val="lrTb"/>
            <w:noWrap w:val="false"/>
          </w:tcPr>
          <w:p>
            <w:pPr>
              <w:jc w:val="left"/>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评标委员会人数：</w:t>
            </w:r>
            <w:r>
              <w:rPr>
                <w:rFonts w:hint="eastAsia" w:asciiTheme="minorEastAsia" w:hAnsiTheme="minorEastAsia" w:eastAsiaTheme="minorEastAsia" w:cstheme="minorEastAsia"/>
                <w:b/>
                <w:color w:val="auto"/>
                <w:sz w:val="24"/>
                <w:szCs w:val="24"/>
                <w:highlight w:val="none"/>
                <w:u w:val="single"/>
              </w:rPr>
              <w:t xml:space="preserve"> 5 </w:t>
            </w:r>
            <w:r>
              <w:rPr>
                <w:rFonts w:hint="eastAsia" w:asciiTheme="minorEastAsia" w:hAnsiTheme="minorEastAsia" w:eastAsiaTheme="minorEastAsia" w:cstheme="minorEastAsia"/>
                <w:color w:val="auto"/>
                <w:sz w:val="24"/>
                <w:szCs w:val="24"/>
                <w:highlight w:val="none"/>
              </w:rPr>
              <w:t xml:space="preserve">人；其中：采购人代表</w:t>
            </w:r>
            <w:r>
              <w:rPr>
                <w:rFonts w:hint="eastAsia" w:asciiTheme="minorEastAsia" w:hAnsiTheme="minorEastAsia" w:eastAsiaTheme="minorEastAsia" w:cstheme="minorEastAsia"/>
                <w:b/>
                <w:color w:val="auto"/>
                <w:sz w:val="24"/>
                <w:szCs w:val="24"/>
                <w:highlight w:val="none"/>
                <w:u w:val="single"/>
              </w:rPr>
              <w:t xml:space="preserve"> 1</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人，评审专家</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4 </w:t>
            </w:r>
            <w:r>
              <w:rPr>
                <w:rFonts w:hint="eastAsia" w:asciiTheme="minorEastAsia" w:hAnsiTheme="minorEastAsia" w:eastAsiaTheme="minorEastAsia" w:cstheme="minorEastAsia"/>
                <w:color w:val="auto"/>
                <w:sz w:val="24"/>
                <w:szCs w:val="24"/>
                <w:highlight w:val="none"/>
              </w:rPr>
              <w:t xml:space="preserve">人；或</w:t>
            </w:r>
            <w:r>
              <w:rPr>
                <w:rFonts w:hint="eastAsia" w:asciiTheme="minorEastAsia" w:hAnsiTheme="minorEastAsia" w:eastAsiaTheme="minorEastAsia" w:cstheme="minorEastAsia"/>
                <w:color w:val="auto"/>
                <w:sz w:val="24"/>
                <w:szCs w:val="24"/>
                <w:highlight w:val="none"/>
                <w:u w:val="single"/>
              </w:rPr>
              <w:t xml:space="preserve">全部由评审专家</w:t>
            </w:r>
            <w:r>
              <w:rPr>
                <w:rFonts w:hint="eastAsia" w:asciiTheme="minorEastAsia" w:hAnsiTheme="minorEastAsia" w:eastAsiaTheme="minorEastAsia" w:cstheme="minorEastAsia"/>
                <w:color w:val="auto"/>
                <w:sz w:val="24"/>
                <w:szCs w:val="24"/>
                <w:highlight w:val="none"/>
              </w:rPr>
              <w:t xml:space="preserve">组成。 </w:t>
            </w:r>
            <w:r>
              <w:rPr>
                <w:highlight w:val="none"/>
              </w:rPr>
            </w:r>
            <w:r/>
          </w:p>
        </w:tc>
      </w:tr>
      <w:tr>
        <w:trPr>
          <w:trHeight w:val="684"/>
        </w:trPr>
        <w:tc>
          <w:tcPr>
            <w:tcW w:w="1133"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5.4.2</w:t>
            </w:r>
            <w:r>
              <w:rPr>
                <w:highlight w:val="none"/>
              </w:rPr>
            </w:r>
            <w:r/>
          </w:p>
        </w:tc>
        <w:tc>
          <w:tcPr>
            <w:tcW w:w="2560"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评标委员会确定的</w:t>
            </w:r>
            <w:r>
              <w:rPr>
                <w:highlight w:val="none"/>
              </w:rPr>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中标候选人名单数量</w:t>
            </w:r>
            <w:r>
              <w:rPr>
                <w:highlight w:val="none"/>
              </w:rPr>
            </w:r>
            <w:r/>
          </w:p>
        </w:tc>
        <w:tc>
          <w:tcPr>
            <w:tcW w:w="5629" w:type="dxa"/>
            <w:vAlign w:val="center"/>
            <w:textDirection w:val="lrTb"/>
            <w:noWrap w:val="false"/>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u w:val="single"/>
              </w:rPr>
              <w:t xml:space="preserve"> 3 </w:t>
            </w:r>
            <w:r>
              <w:rPr>
                <w:rFonts w:hint="eastAsia" w:asciiTheme="minorEastAsia" w:hAnsiTheme="minorEastAsia" w:eastAsiaTheme="minorEastAsia" w:cstheme="minorEastAsia"/>
                <w:color w:val="auto"/>
                <w:sz w:val="24"/>
                <w:szCs w:val="24"/>
                <w:highlight w:val="none"/>
              </w:rPr>
              <w:t xml:space="preserve">名</w:t>
            </w:r>
            <w:r>
              <w:rPr>
                <w:highlight w:val="none"/>
              </w:rPr>
            </w:r>
            <w:r/>
          </w:p>
        </w:tc>
      </w:tr>
      <w:tr>
        <w:trPr>
          <w:trHeight w:val="728"/>
        </w:trPr>
        <w:tc>
          <w:tcPr>
            <w:tcW w:w="1133"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6.1.2</w:t>
            </w:r>
            <w:r>
              <w:rPr>
                <w:highlight w:val="none"/>
              </w:rPr>
            </w:r>
            <w:r/>
          </w:p>
        </w:tc>
        <w:tc>
          <w:tcPr>
            <w:tcW w:w="2560" w:type="dxa"/>
            <w:vAlign w:val="center"/>
            <w:textDirection w:val="lrTb"/>
            <w:noWrap w:val="false"/>
          </w:tcPr>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是否委托评标委员会</w:t>
            </w:r>
            <w:r>
              <w:rPr>
                <w:highlight w:val="none"/>
              </w:rPr>
            </w:r>
            <w:r/>
          </w:p>
          <w:p>
            <w:pPr>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直接确定中标人</w:t>
            </w:r>
            <w:r>
              <w:rPr>
                <w:highlight w:val="none"/>
              </w:rPr>
            </w:r>
            <w:r/>
          </w:p>
        </w:tc>
        <w:tc>
          <w:tcPr>
            <w:tcW w:w="5629" w:type="dxa"/>
            <w:vAlign w:val="center"/>
            <w:textDirection w:val="lrTb"/>
            <w:noWrap w:val="false"/>
          </w:tcPr>
          <w:p>
            <w:pPr>
              <w:ind w:right="113"/>
              <w:jc w:val="left"/>
              <w:rPr>
                <w:highlight w:val="none"/>
              </w:rPr>
            </w:pPr>
            <w:r>
              <w:rPr>
                <w:rFonts w:ascii="宋体" w:hAnsi="宋体" w:eastAsia="宋体" w:cs="宋体"/>
                <w:color w:val="000000"/>
                <w:sz w:val="24"/>
                <w:highlight w:val="none"/>
              </w:rPr>
              <w:t xml:space="preserve">□</w:t>
            </w:r>
            <w:r>
              <w:rPr>
                <w:rFonts w:hint="eastAsia" w:asciiTheme="minorEastAsia" w:hAnsiTheme="minorEastAsia" w:eastAsiaTheme="minorEastAsia" w:cstheme="minorEastAsia"/>
                <w:color w:val="auto"/>
                <w:sz w:val="24"/>
                <w:szCs w:val="24"/>
                <w:highlight w:val="none"/>
              </w:rPr>
              <w:t xml:space="preserve">是</w:t>
            </w:r>
            <w:r>
              <w:rPr>
                <w:highlight w:val="none"/>
              </w:rPr>
            </w:r>
            <w:r/>
          </w:p>
          <w:p>
            <w:pPr>
              <w:ind w:right="113"/>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☑否</w:t>
            </w:r>
            <w:r>
              <w:rPr>
                <w:highlight w:val="none"/>
              </w:rPr>
            </w:r>
            <w:r/>
          </w:p>
        </w:tc>
      </w:tr>
      <w:tr>
        <w:trPr>
          <w:trHeight w:val="925"/>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7.2.8</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投诉受理部门</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名称：靖江市财政局</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地址：靖江市政务服务中心4楼</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电话：0523-89182489</w:t>
            </w:r>
            <w:r>
              <w:rPr>
                <w:highlight w:val="none"/>
              </w:rPr>
            </w:r>
            <w:r/>
          </w:p>
        </w:tc>
      </w:tr>
      <w:tr>
        <w:trPr>
          <w:trHeight w:val="185"/>
        </w:trPr>
        <w:tc>
          <w:tcPr>
            <w:tcW w:w="1133"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8.1.1</w:t>
            </w:r>
            <w:r>
              <w:rPr>
                <w:highlight w:val="none"/>
              </w:rPr>
            </w:r>
            <w:r/>
          </w:p>
        </w:tc>
        <w:tc>
          <w:tcPr>
            <w:tcW w:w="2560" w:type="dxa"/>
            <w:vAlign w:val="center"/>
            <w:textDirection w:val="lrTb"/>
            <w:noWrap w:val="false"/>
          </w:tcPr>
          <w:p>
            <w:pPr>
              <w:jc w:val="cente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招标代理费</w:t>
            </w:r>
            <w:r>
              <w:rPr>
                <w:highlight w:val="none"/>
              </w:rPr>
            </w:r>
            <w:r/>
          </w:p>
        </w:tc>
        <w:tc>
          <w:tcPr>
            <w:tcW w:w="5629" w:type="dxa"/>
            <w:vAlign w:val="center"/>
            <w:textDirection w:val="lrTb"/>
            <w:noWrap w:val="false"/>
          </w:tcPr>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（1）根据采购人与招标代理人签订的《委托代理合同》的约定，本项目招标代理服务费用由中标人承担。标准为苏政采协[2024]20号文标准的55%。</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（2）招标代理费不单独列项，无论投标人如何报价，均视为包含在投标人投标报价中。</w:t>
            </w:r>
            <w:r>
              <w:rPr>
                <w:highlight w:val="none"/>
              </w:rPr>
            </w:r>
            <w:r/>
          </w:p>
          <w:p>
            <w:pPr>
              <w:spacing w:line="40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（3）中标人在领取中标通知书前需将招标代理费用一次性支付给招标代理人。</w:t>
            </w:r>
            <w:r>
              <w:rPr>
                <w:highlight w:val="none"/>
              </w:rPr>
            </w:r>
            <w:r/>
          </w:p>
        </w:tc>
      </w:tr>
    </w:tbl>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rFonts w:ascii="宋体" w:hAnsi="宋体" w:cs="宋体"/>
          <w:b/>
          <w:bCs/>
          <w:color w:val="auto"/>
          <w:sz w:val="32"/>
          <w:szCs w:val="32"/>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32"/>
          <w:szCs w:val="32"/>
          <w:highlight w:val="none"/>
        </w:rPr>
      </w:pPr>
      <w:r>
        <w:rPr>
          <w:rFonts w:ascii="宋体" w:hAnsi="宋体" w:cs="宋体"/>
          <w:b/>
          <w:bCs/>
          <w:color w:val="auto"/>
          <w:sz w:val="32"/>
          <w:szCs w:val="32"/>
          <w:highlight w:val="none"/>
        </w:rPr>
      </w:r>
      <w:r>
        <w:rPr>
          <w:highlight w:val="none"/>
        </w:rPr>
      </w:r>
      <w:r/>
    </w:p>
    <w:p>
      <w:pPr>
        <w:jc w:val="center"/>
        <w:spacing w:line="440" w:lineRule="exact"/>
        <w:rPr>
          <w:rFonts w:ascii="宋体" w:hAnsi="宋体" w:cs="宋体"/>
          <w:b/>
          <w:bCs/>
          <w:color w:val="auto"/>
          <w:sz w:val="24"/>
          <w:highlight w:val="none"/>
        </w:rPr>
      </w:pPr>
      <w:r>
        <w:rPr>
          <w:rFonts w:hint="eastAsia" w:ascii="宋体" w:hAnsi="宋体" w:cs="宋体"/>
          <w:b/>
          <w:bCs/>
          <w:color w:val="auto"/>
          <w:sz w:val="32"/>
          <w:szCs w:val="32"/>
          <w:highlight w:val="none"/>
        </w:rPr>
        <w:t xml:space="preserve">投标人须知</w:t>
      </w:r>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一、总则</w:t>
      </w:r>
      <w:r>
        <w:rPr>
          <w:highlight w:val="none"/>
        </w:rPr>
      </w:r>
      <w:r/>
    </w:p>
    <w:p>
      <w:pPr>
        <w:pStyle w:val="940"/>
        <w:ind w:firstLine="482"/>
        <w:spacing w:before="0" w:after="0" w:line="440" w:lineRule="exact"/>
        <w:rPr>
          <w:b/>
          <w:bCs/>
          <w:color w:val="auto"/>
          <w:szCs w:val="24"/>
          <w:highlight w:val="none"/>
        </w:rPr>
      </w:pPr>
      <w:r>
        <w:rPr>
          <w:highlight w:val="none"/>
        </w:rPr>
      </w:r>
      <w:bookmarkStart w:id="32" w:name="_Toc387526284"/>
      <w:r>
        <w:rPr>
          <w:highlight w:val="none"/>
        </w:rPr>
      </w:r>
      <w:bookmarkStart w:id="33" w:name="_Toc387526376"/>
      <w:r>
        <w:rPr>
          <w:highlight w:val="none"/>
        </w:rPr>
      </w:r>
      <w:bookmarkStart w:id="34" w:name="_Toc3629"/>
      <w:r>
        <w:rPr>
          <w:highlight w:val="none"/>
        </w:rPr>
      </w:r>
      <w:bookmarkStart w:id="35" w:name="_Toc29754"/>
      <w:r>
        <w:rPr>
          <w:highlight w:val="none"/>
        </w:rPr>
      </w:r>
      <w:bookmarkStart w:id="36" w:name="_Toc3640"/>
      <w:r>
        <w:rPr>
          <w:highlight w:val="none"/>
        </w:rPr>
      </w:r>
      <w:bookmarkStart w:id="37" w:name="_Toc9727"/>
      <w:r>
        <w:rPr>
          <w:highlight w:val="none"/>
        </w:rPr>
      </w:r>
      <w:bookmarkStart w:id="38" w:name="_Toc8645"/>
      <w:r>
        <w:rPr>
          <w:highlight w:val="none"/>
        </w:rPr>
      </w:r>
      <w:bookmarkStart w:id="39" w:name="_Toc387526180"/>
      <w:r>
        <w:rPr>
          <w:highlight w:val="none"/>
        </w:rPr>
      </w:r>
      <w:bookmarkStart w:id="40" w:name="_Toc5365"/>
      <w:r>
        <w:rPr>
          <w:rFonts w:hint="eastAsia"/>
          <w:b/>
          <w:bCs/>
          <w:color w:val="auto"/>
          <w:szCs w:val="24"/>
          <w:highlight w:val="none"/>
        </w:rPr>
        <w:t xml:space="preserve">1.1 项目概况</w:t>
      </w:r>
      <w:bookmarkEnd w:id="32"/>
      <w:r>
        <w:rPr>
          <w:highlight w:val="none"/>
        </w:rPr>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bookmarkEnd w:id="39"/>
      <w:r>
        <w:rPr>
          <w:highlight w:val="none"/>
        </w:rPr>
      </w:r>
      <w:bookmarkEnd w:id="40"/>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1.1.1 根据《中华人民共和国政府采购法》、《中华人民共和国政府采购法实施条例》等有关法律、法规和规章的规定，现对本项目进行公开招标采购。</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1.1.2采购人：见投标人须知前附表。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1.1.3采购代理机构：见投标人须知前附表。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1.1.4项目名称：见投标人须知前附表。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1.1.5项目编号：见投标人须知前附表。</w:t>
      </w:r>
      <w:bookmarkStart w:id="41" w:name="_Toc30088"/>
      <w:r>
        <w:rPr>
          <w:highlight w:val="none"/>
        </w:rPr>
      </w:r>
      <w:bookmarkStart w:id="42" w:name="_Toc12333"/>
      <w:r>
        <w:rPr>
          <w:highlight w:val="none"/>
        </w:rPr>
      </w:r>
      <w:bookmarkStart w:id="43" w:name="_Toc10060"/>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1.1.6采购预算：见投标人须知前附表。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1.1.7最高限价：见投标人须知前附表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1.1.8是否接受进口产品投标：见投标人须知前附表。进口产品是指通过中国海关报关验放进入中国境内且产自关境外的产品。</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1.2</w:t>
      </w:r>
      <w:bookmarkEnd w:id="41"/>
      <w:r>
        <w:rPr>
          <w:highlight w:val="none"/>
        </w:rPr>
      </w:r>
      <w:bookmarkEnd w:id="42"/>
      <w:r>
        <w:rPr>
          <w:highlight w:val="none"/>
        </w:rPr>
      </w:r>
      <w:bookmarkEnd w:id="43"/>
      <w:r>
        <w:rPr>
          <w:rFonts w:hint="eastAsia" w:ascii="黑体" w:cs="黑体"/>
          <w:b/>
          <w:bCs/>
          <w:color w:val="auto"/>
          <w:szCs w:val="24"/>
          <w:highlight w:val="none"/>
        </w:rPr>
        <w:t xml:space="preserve">合同履行期限及验收要求</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1.2.1合同履行期限：见投标须知前附表。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1.2.2 验收要求：见投标须知前附表。</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44" w:name="_Toc23392"/>
      <w:r>
        <w:rPr>
          <w:highlight w:val="none"/>
        </w:rPr>
      </w:r>
      <w:bookmarkStart w:id="45" w:name="_Toc10223"/>
      <w:r>
        <w:rPr>
          <w:highlight w:val="none"/>
        </w:rPr>
      </w:r>
      <w:bookmarkStart w:id="46" w:name="_Toc19315"/>
      <w:r>
        <w:rPr>
          <w:rFonts w:hint="eastAsia" w:ascii="黑体" w:cs="黑体"/>
          <w:b/>
          <w:bCs/>
          <w:color w:val="auto"/>
          <w:szCs w:val="24"/>
          <w:highlight w:val="none"/>
        </w:rPr>
        <w:t xml:space="preserve">1.3 本项目核心产品及所属行业</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1.3.1 本项目核心产品：见投标人须知前附表。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1.3.2 本项目所属行业：见投标人须知前附表。</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1.4 投标人的资格条件</w:t>
      </w:r>
      <w:bookmarkEnd w:id="44"/>
      <w:r>
        <w:rPr>
          <w:highlight w:val="none"/>
        </w:rPr>
      </w:r>
      <w:bookmarkEnd w:id="45"/>
      <w:r>
        <w:rPr>
          <w:highlight w:val="none"/>
        </w:rPr>
      </w:r>
      <w:bookmarkEnd w:id="46"/>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1.4.1 参加本次政府采购活动的投标人应当具备的资格条件：见“投标人须知前附表”。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1.4.2 参加本次政府采购活动的投标人应当具备的特定资格条件：见“投标人须知前附表”。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1.4.3 投标截止时间当日，投标人有下列情形之一的，不得参加本采购项目招标投标活动：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（1）单位负责人为同一人或者存在直接控股、管理关系的不同投标人；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（2）被各级财政主管部门取消采购项目所在地的投标资格且处于有效期内；</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（3）被责令停业，暂扣或吊销营业执照，或吊销资质证书；</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（4）进入清算程序，或被宣告破产，或其他丧失履约能力的情形；</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（5）在“中国政府采购网(www.ccgp.gov.cn)”中被列入“政府采购严重违法失信行为记录名单》” （由采购人或采购代理机构在资格审查时，通过相关网站查询为准）；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（6）在“信用中国（http://www.creditchina.gov.cn/）”网站中被列入“失信被执行人名单”或“税收违法黑名单”（由采购人或采购代理机构在资格审查时，通过相关网站查询为准）；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（7）为采购项目提供整体设计、规范编制或者项目管理、监理、检测等服务的投标人，不得再参加该采购项目的其他采购活动；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（8）法律、法规规定的其他情形。</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1.4.4 本项目是否接受联合体投标：见供应商须知前附表。</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47" w:name="_Toc9211"/>
      <w:r>
        <w:rPr>
          <w:highlight w:val="none"/>
        </w:rPr>
      </w:r>
      <w:bookmarkStart w:id="48" w:name="_Toc2634"/>
      <w:r>
        <w:rPr>
          <w:highlight w:val="none"/>
        </w:rPr>
      </w:r>
      <w:bookmarkStart w:id="49" w:name="_Toc4763"/>
      <w:r>
        <w:rPr>
          <w:rFonts w:hint="eastAsia" w:ascii="黑体" w:cs="黑体"/>
          <w:b/>
          <w:bCs/>
          <w:color w:val="auto"/>
          <w:szCs w:val="24"/>
          <w:highlight w:val="none"/>
        </w:rPr>
        <w:t xml:space="preserve">1.5 投标费用</w:t>
      </w:r>
      <w:bookmarkEnd w:id="47"/>
      <w:r>
        <w:rPr>
          <w:highlight w:val="none"/>
        </w:rPr>
      </w:r>
      <w:bookmarkEnd w:id="48"/>
      <w:r>
        <w:rPr>
          <w:highlight w:val="none"/>
        </w:rPr>
      </w:r>
      <w:bookmarkEnd w:id="49"/>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投标人应自行承担所有与编写、提交投标文件等有关费用。采购人和采购人代理人在任何情况下均无义务和责任承担这些费用。</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50" w:name="_Toc11299"/>
      <w:r>
        <w:rPr>
          <w:highlight w:val="none"/>
        </w:rPr>
      </w:r>
      <w:bookmarkStart w:id="51" w:name="_Toc14340"/>
      <w:r>
        <w:rPr>
          <w:highlight w:val="none"/>
        </w:rPr>
      </w:r>
      <w:bookmarkStart w:id="52" w:name="_Toc27420"/>
      <w:r>
        <w:rPr>
          <w:rFonts w:hint="eastAsia" w:ascii="黑体" w:cs="黑体"/>
          <w:b/>
          <w:bCs/>
          <w:color w:val="auto"/>
          <w:szCs w:val="24"/>
          <w:highlight w:val="none"/>
        </w:rPr>
        <w:t xml:space="preserve">1.6</w:t>
      </w:r>
      <w:bookmarkEnd w:id="50"/>
      <w:r>
        <w:rPr>
          <w:rFonts w:hint="eastAsia" w:ascii="黑体" w:cs="黑体"/>
          <w:b/>
          <w:bCs/>
          <w:color w:val="auto"/>
          <w:szCs w:val="24"/>
          <w:highlight w:val="none"/>
        </w:rPr>
        <w:t xml:space="preserve"> </w:t>
      </w:r>
      <w:bookmarkEnd w:id="51"/>
      <w:r>
        <w:rPr>
          <w:highlight w:val="none"/>
        </w:rPr>
      </w:r>
      <w:bookmarkEnd w:id="52"/>
      <w:r>
        <w:rPr>
          <w:rFonts w:hint="eastAsia" w:ascii="黑体" w:cs="黑体"/>
          <w:b/>
          <w:bCs/>
          <w:color w:val="auto"/>
          <w:szCs w:val="24"/>
          <w:highlight w:val="none"/>
        </w:rPr>
        <w:t xml:space="preserve">政府采购政策功能落实</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1.6.1 中小企业</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（1）根据《政府采购促进中小企业发展管理办法》（财库〔2020〕46号）规定，在政府采购活动中，供应商提供的服务全部由中小企业承接，享受中小企业扶持政策：</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（2）采购人、采购代理机构将对符合规定的小微企业报价给予10%的价格扣除，用扣除后的价格参与评审。</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（3）中小企业参加政府采购活动，应当出具《中小企业声明函》。否则不得享受相关中小企业扶持政策。</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1.6.2 残疾人福利性单位</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根据《关于促进残疾人就业政府采购政策的通知》（财库〔2017〕141号）的规定，残疾人福利性单位视同小型、微型企业,享受评审中价格扣除政策。残疾人福利性单位属于小型、微型企业的，不重复享受政策。</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（2）残疾人福利性单位在参加政府采购活动时，应当按招标文件要求提供《残疾人福利性单位声明函》，并对声明的真实性负责。否则不得享受相关中小企业扶持政策。</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1.6.3 监狱企业</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（1）根据《财政部 司法部关于政府采购支持监狱企业发展有关问题的通知》（财库〔2014〕68号）的规定，监狱企业视同小型、微型企业，享受评审中价格扣除政策。监狱企业属于小型、微型企业的，不重复享受政策。</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（2）监狱企业参加政府采购活动时，应当提供由省级以上监狱管理局、戒毒管理局（含新疆生产建设兵团）出具的属于监狱企业的证明文件。否则不得享受相关中小企业扶持政策。</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1.6.4 采购本国产品</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（2）当采购项目或者采购包中含有多种产品，投标人为该采购项目或者采购包提供的符合本国产品标准的产品成本之和占该投标人提供的全部产品成本之和的比例达到80%（投标人需在“第七章 投标文件格式”的“投标分项报价表”中填写比例数值）以上时，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（3）投标人需按照招标文件的要求提供《关于符合本国产品标准的声明函》，如不提供将不享受本国产品价格评审优惠。</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4）投标人需在《关于符合本国产品标准的声明函》中逐一、准确填写产品名称、厂名、生产厂址三项信息（《关于符合本国产品标准的声明函》中用斜线划除的地方无需填写），三项信息中任意一项未填写的视为该项产品不符合本国产品标准，不享受本国产品价格评审优惠。</w:t>
      </w:r>
      <w:r>
        <w:rPr>
          <w:highlight w:val="none"/>
        </w:rPr>
      </w:r>
      <w:r/>
    </w:p>
    <w:p>
      <w:pPr>
        <w:ind w:firstLine="480"/>
        <w:spacing w:line="440" w:lineRule="exact"/>
        <w:rPr>
          <w:rFonts w:hint="default"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val="en-US" w:eastAsia="zh-CN"/>
        </w:rPr>
        <w:t xml:space="preserve">（5）评标过程中，如发现投标人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53" w:name="_Toc11883"/>
      <w:r>
        <w:rPr>
          <w:highlight w:val="none"/>
        </w:rPr>
      </w:r>
      <w:bookmarkStart w:id="54" w:name="_Toc20762"/>
      <w:r>
        <w:rPr>
          <w:highlight w:val="none"/>
        </w:rPr>
      </w:r>
      <w:bookmarkStart w:id="55" w:name="_Toc1291"/>
      <w:r>
        <w:rPr>
          <w:rFonts w:hint="eastAsia" w:ascii="黑体" w:cs="黑体"/>
          <w:b/>
          <w:bCs/>
          <w:color w:val="auto"/>
          <w:szCs w:val="24"/>
          <w:highlight w:val="none"/>
        </w:rPr>
        <w:t xml:space="preserve">1.7 相同品牌产品投标 </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1.7.3 非单一产品采购项目，采购人确定的核心产品见投标须知前附表。多家供应商提供的核心产品品牌相同的，按本章第1.7.1款、第1.7.2款规定处理。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1.7.4 如按上述办法认定后的合格供应商数量少于3家的，将予以废标。</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1.8 投标语言及计量单位</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1.8.1 投标人提交的投标文件以及投标人就有关投标的所有来往函电均应使用中文。投标人可以在投标文件中提交用其他语言打印的数据或资料，但是必须提供由专业翻译机构出具的中文译文，并以中文译文为准，否则视同未提供该数据或资料。</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1.8.2 投标文件中所使用的计量单位，除招标文件有特殊规定外，应使用中华人民共和国法定计量单位。</w:t>
      </w:r>
      <w:bookmarkEnd w:id="53"/>
      <w:r>
        <w:rPr>
          <w:highlight w:val="none"/>
        </w:rPr>
      </w:r>
      <w:bookmarkEnd w:id="54"/>
      <w:r>
        <w:rPr>
          <w:highlight w:val="none"/>
        </w:rPr>
      </w:r>
      <w:bookmarkEnd w:id="55"/>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二、招标文件</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56" w:name="_Toc20640"/>
      <w:r>
        <w:rPr>
          <w:highlight w:val="none"/>
        </w:rPr>
      </w:r>
      <w:bookmarkStart w:id="57" w:name="_Toc23238"/>
      <w:r>
        <w:rPr>
          <w:highlight w:val="none"/>
        </w:rPr>
      </w:r>
      <w:bookmarkStart w:id="58" w:name="_Toc27315"/>
      <w:r>
        <w:rPr>
          <w:rFonts w:hint="eastAsia" w:ascii="黑体" w:cs="黑体"/>
          <w:b/>
          <w:bCs/>
          <w:color w:val="auto"/>
          <w:szCs w:val="24"/>
          <w:highlight w:val="none"/>
        </w:rPr>
        <w:t xml:space="preserve">2.1 招标文件构成</w:t>
      </w:r>
      <w:bookmarkEnd w:id="56"/>
      <w:r>
        <w:rPr>
          <w:highlight w:val="none"/>
        </w:rPr>
      </w:r>
      <w:bookmarkEnd w:id="57"/>
      <w:r>
        <w:rPr>
          <w:highlight w:val="none"/>
        </w:rPr>
      </w:r>
      <w:bookmarkEnd w:id="58"/>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2.1.1 本招标文件包括（但并不仅限于）：</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第一章 招标公告</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第二章 投标人须知及前附表</w:t>
      </w:r>
      <w:r>
        <w:rPr>
          <w:highlight w:val="none"/>
        </w:rPr>
      </w:r>
      <w:r/>
    </w:p>
    <w:p>
      <w:pPr>
        <w:ind w:firstLine="480"/>
        <w:spacing w:line="440" w:lineRule="exact"/>
        <w:rPr>
          <w:rFonts w:hint="eastAsia"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第三章 资格审查办法</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第四章 评标办法</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第五章 合同格式及条款</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第六章 采购项目需求</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第七章 投标文件格式</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2.1.2 对采购文件所作的答疑、澄清、修改，构成招标文件的组成部分。当上述文件相互之间发生矛盾时，以后发出的文件为准。</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59" w:name="_Toc19552"/>
      <w:r>
        <w:rPr>
          <w:highlight w:val="none"/>
        </w:rPr>
      </w:r>
      <w:bookmarkStart w:id="60" w:name="_Toc1392"/>
      <w:r>
        <w:rPr>
          <w:highlight w:val="none"/>
        </w:rPr>
      </w:r>
      <w:bookmarkStart w:id="61" w:name="_Toc17142"/>
      <w:r>
        <w:rPr>
          <w:rFonts w:hint="eastAsia" w:ascii="黑体" w:cs="黑体"/>
          <w:b/>
          <w:bCs/>
          <w:color w:val="auto"/>
          <w:szCs w:val="24"/>
          <w:highlight w:val="none"/>
        </w:rPr>
        <w:t xml:space="preserve">2.2 招标文件的澄清</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2.2.1 投标人对已依法获取的招标文件发现问题、或产生疑问，应当在投标须知前附表规定的截止时间前，采用书面形式向采购人或采购代理机构提出询问或澄清要求。</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2.2.2招标文件的澄清将通过“江苏政府采购网（http://www.ccgp-jiangsu.gov.cn/）”公开发布。澄清是构成招标文件的组成部分。</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2.2.3 如果澄清的内容影响投标文件编制且不能满足投标人编制投标文件时间，采购人将视情况可能适当延长投标截止时间。</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2.2.4投标人应及时通过“江苏政府采购网（http://www.ccgp-jiangsu.gov.cn/）”查询和下载澄清文件，查询和下载如有遗漏，其风险由投标人自行承担。</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2.3 招标文件的修改</w:t>
      </w:r>
      <w:bookmarkEnd w:id="59"/>
      <w:r>
        <w:rPr>
          <w:highlight w:val="none"/>
        </w:rPr>
      </w:r>
      <w:bookmarkEnd w:id="60"/>
      <w:r>
        <w:rPr>
          <w:highlight w:val="none"/>
        </w:rPr>
      </w:r>
      <w:bookmarkEnd w:id="61"/>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2.3.1 采购人或者采购代理机构可以对已发出的招标文件进行必要的修改。招标文件的修改将通过“江苏政府采购网（http://www.ccgp-jiangsu.gov.cn/）”公开发布。招标文件的修改是构成招标文件的组成部分。</w:t>
      </w:r>
      <w:r>
        <w:rPr>
          <w:highlight w:val="none"/>
        </w:rPr>
      </w:r>
      <w:r/>
    </w:p>
    <w:p>
      <w:pPr>
        <w:ind w:firstLine="480"/>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2.3.2 如果修改内容影响投标文件编制且不能满足投标人编制投标文件时间，采购人将视情况可能适当延长投标截止时间。</w:t>
      </w:r>
      <w:r>
        <w:rPr>
          <w:highlight w:val="none"/>
        </w:rPr>
      </w:r>
      <w:r/>
    </w:p>
    <w:p>
      <w:pPr>
        <w:ind w:firstLine="480"/>
        <w:jc w:val="left"/>
        <w:spacing w:line="440" w:lineRule="exact"/>
        <w:rPr>
          <w:rFonts w:ascii="华文中宋" w:hAnsi="华文中宋" w:eastAsia="华文中宋" w:cs="华文中宋"/>
          <w:color w:val="auto"/>
          <w:sz w:val="24"/>
          <w:szCs w:val="24"/>
          <w:highlight w:val="none"/>
        </w:rPr>
      </w:pPr>
      <w:r>
        <w:rPr>
          <w:rFonts w:hint="eastAsia" w:ascii="华文中宋" w:hAnsi="华文中宋" w:eastAsia="华文中宋" w:cs="华文中宋"/>
          <w:color w:val="auto"/>
          <w:sz w:val="24"/>
          <w:szCs w:val="24"/>
          <w:highlight w:val="none"/>
        </w:rPr>
        <w:t xml:space="preserve">2.3.3投标人应及时通过“江苏政府采购网（http://www.ccgp-jiangsu.gov.cn/）”查询和下载招标文件的修改，查询和下载如有遗漏，其风险由投标人自行承担。</w:t>
      </w:r>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三、投标文件</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62" w:name="_Toc32403"/>
      <w:r>
        <w:rPr>
          <w:highlight w:val="none"/>
        </w:rPr>
      </w:r>
      <w:bookmarkStart w:id="63" w:name="_Toc19018"/>
      <w:r>
        <w:rPr>
          <w:highlight w:val="none"/>
        </w:rPr>
      </w:r>
      <w:bookmarkStart w:id="64" w:name="_Toc23314"/>
      <w:r>
        <w:rPr>
          <w:rFonts w:hint="eastAsia" w:ascii="黑体" w:cs="黑体"/>
          <w:b/>
          <w:bCs/>
          <w:color w:val="auto"/>
          <w:szCs w:val="24"/>
          <w:highlight w:val="none"/>
        </w:rPr>
        <w:t xml:space="preserve">3.1 投标文件构成</w:t>
      </w:r>
      <w:bookmarkEnd w:id="62"/>
      <w:r>
        <w:rPr>
          <w:highlight w:val="none"/>
        </w:rPr>
      </w:r>
      <w:bookmarkEnd w:id="63"/>
      <w:r>
        <w:rPr>
          <w:highlight w:val="none"/>
        </w:rPr>
      </w:r>
      <w:bookmarkEnd w:id="64"/>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3.1.1 投标人编写的投标文件应包括资格证明文件、实质性要求响应及偏离表、投标分项报价表、技术要求响应及偏离表、商务要求响应及偏离表、其他证明文件、投标函、开标一览表等部分。</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3.1.2 如标书制作工具中格式和内容与“江苏政府采购网”发布的招标文件不一致，请以“江苏政府采购网”发布的招标文件为准。</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3.1.3 评标过程中，投标人根据评标委员会要求作出的澄清、修改，构成投标文件的组成部分。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3.1.4 第七章“投标文件格式”中要求提供相关证明材料作为附件的，投标人应按要求在投标文件中提供相应证明材料。否则，不予认可。</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65" w:name="_Toc10094"/>
      <w:r>
        <w:rPr>
          <w:highlight w:val="none"/>
        </w:rPr>
      </w:r>
      <w:bookmarkStart w:id="66" w:name="_Toc25754"/>
      <w:r>
        <w:rPr>
          <w:highlight w:val="none"/>
        </w:rPr>
      </w:r>
      <w:bookmarkStart w:id="67" w:name="_Toc11397"/>
      <w:r>
        <w:rPr>
          <w:rFonts w:hint="eastAsia" w:ascii="黑体" w:cs="黑体"/>
          <w:b/>
          <w:bCs/>
          <w:color w:val="auto"/>
          <w:szCs w:val="24"/>
          <w:highlight w:val="none"/>
        </w:rPr>
        <w:t xml:space="preserve">3.2.投标报价</w:t>
      </w:r>
      <w:bookmarkEnd w:id="65"/>
      <w:r>
        <w:rPr>
          <w:highlight w:val="none"/>
        </w:rPr>
      </w:r>
      <w:bookmarkEnd w:id="66"/>
      <w:r>
        <w:rPr>
          <w:highlight w:val="none"/>
        </w:rPr>
      </w:r>
      <w:bookmarkEnd w:id="67"/>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3.2.1投标报价应包括所投货物（包含与货物相关的服务）费用、安装调试费、测试验收费、培训费、</w:t>
      </w:r>
      <w:r>
        <w:rPr>
          <w:rFonts w:hint="eastAsia" w:ascii="华文中宋" w:hAnsi="华文中宋" w:eastAsia="华文中宋" w:cs="宋体"/>
          <w:color w:val="auto"/>
          <w:sz w:val="24"/>
          <w:szCs w:val="24"/>
          <w:highlight w:val="none"/>
          <w:lang w:val="en-US" w:eastAsia="zh-CN"/>
        </w:rPr>
        <w:t xml:space="preserve">管理费、利润、</w:t>
      </w:r>
      <w:r>
        <w:rPr>
          <w:rFonts w:hint="eastAsia" w:ascii="华文中宋" w:hAnsi="华文中宋" w:eastAsia="华文中宋" w:cs="宋体"/>
          <w:color w:val="auto"/>
          <w:sz w:val="24"/>
          <w:szCs w:val="24"/>
          <w:highlight w:val="none"/>
        </w:rPr>
        <w:t xml:space="preserve">税金、运输保险、开证（如果有）及其他有关的为完成本项目发生的所有费用，招标文件中另有规定的除外。</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3.2.2 投标报价为一次不得更改报价，投标人只有一次报价的机会。投标报价不得有选择性报价和附有条件的报价，否则其投标无效。</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3.2.3 投标人应按招标文件要求填写“投标分项报价表”。对于采用货币报价的项目，开标一览表中的投标总报价应与投标分项报价表中的投标总报价一致，如不一致，不作为无效投标处理，但评标时按开标一览表中价格为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3.2.4 在合同实施期间，中标供应商的中标</w:t>
      </w:r>
      <w:r>
        <w:rPr>
          <w:rFonts w:hint="eastAsia" w:ascii="华文中宋" w:hAnsi="华文中宋" w:eastAsia="华文中宋" w:cs="宋体"/>
          <w:color w:val="auto"/>
          <w:sz w:val="24"/>
          <w:szCs w:val="24"/>
          <w:highlight w:val="none"/>
          <w:lang w:val="en-US" w:eastAsia="zh-CN"/>
        </w:rPr>
        <w:t xml:space="preserve">单价</w:t>
      </w:r>
      <w:r>
        <w:rPr>
          <w:rFonts w:hint="eastAsia" w:ascii="华文中宋" w:hAnsi="华文中宋" w:eastAsia="华文中宋" w:cs="宋体"/>
          <w:color w:val="auto"/>
          <w:sz w:val="24"/>
          <w:szCs w:val="24"/>
          <w:highlight w:val="none"/>
        </w:rPr>
        <w:t xml:space="preserve">不因任何因素变化而调整。以可调整中标价格的投标文件，评标委员会将否决其投标。</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68" w:name="_Toc27515"/>
      <w:r>
        <w:rPr>
          <w:highlight w:val="none"/>
        </w:rPr>
      </w:r>
      <w:bookmarkStart w:id="69" w:name="_Toc15276"/>
      <w:r>
        <w:rPr>
          <w:highlight w:val="none"/>
        </w:rPr>
      </w:r>
      <w:bookmarkStart w:id="70" w:name="_Toc10338"/>
      <w:r>
        <w:rPr>
          <w:highlight w:val="none"/>
        </w:rPr>
      </w:r>
      <w:bookmarkStart w:id="71" w:name="_Toc21868"/>
      <w:r>
        <w:rPr>
          <w:highlight w:val="none"/>
        </w:rPr>
      </w:r>
      <w:bookmarkStart w:id="72" w:name="_Toc17381"/>
      <w:r>
        <w:rPr>
          <w:highlight w:val="none"/>
        </w:rPr>
      </w:r>
      <w:bookmarkStart w:id="73" w:name="_Toc5062"/>
      <w:r>
        <w:rPr>
          <w:highlight w:val="none"/>
        </w:rPr>
      </w:r>
      <w:bookmarkStart w:id="74" w:name="_Toc11258"/>
      <w:r>
        <w:rPr>
          <w:rFonts w:hint="eastAsia" w:ascii="黑体" w:cs="黑体"/>
          <w:b/>
          <w:bCs/>
          <w:color w:val="auto"/>
          <w:szCs w:val="24"/>
          <w:highlight w:val="none"/>
        </w:rPr>
        <w:t xml:space="preserve">3.3 投标有效期</w:t>
      </w:r>
      <w:bookmarkEnd w:id="68"/>
      <w:r>
        <w:rPr>
          <w:highlight w:val="none"/>
        </w:rPr>
      </w:r>
      <w:bookmarkEnd w:id="69"/>
      <w:r>
        <w:rPr>
          <w:highlight w:val="none"/>
        </w:rPr>
      </w:r>
      <w:bookmarkEnd w:id="70"/>
      <w:r>
        <w:rPr>
          <w:highlight w:val="none"/>
        </w:rPr>
      </w:r>
      <w:bookmarkEnd w:id="71"/>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3.3.1 在投标须知前附表规定的有效期内，投标文件应保持有效。有效期短于该规定期限的投标，将作为无效投标处理。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3.3.2 在特殊情况下，在原投标有效期期满之前，采购人可与投标人协商延长投标文件的有效期。这种要求和答复都应以书面形式进行。投标人可以拒绝接受延期要求。同意延长有效期的投标人除按照采购人要求修改投标文件有效期外，不得修改投标文件的其他内容。</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75" w:name="_Toc15008"/>
      <w:r>
        <w:rPr>
          <w:rFonts w:hint="eastAsia" w:ascii="黑体" w:cs="黑体"/>
          <w:b/>
          <w:bCs/>
          <w:color w:val="auto"/>
          <w:szCs w:val="24"/>
          <w:highlight w:val="none"/>
        </w:rPr>
        <w:t xml:space="preserve">3.</w:t>
      </w:r>
      <w:r>
        <w:rPr>
          <w:rFonts w:hint="eastAsia" w:ascii="黑体" w:cs="黑体"/>
          <w:b/>
          <w:bCs/>
          <w:color w:val="auto"/>
          <w:szCs w:val="24"/>
          <w:highlight w:val="none"/>
          <w:lang w:val="en-US" w:eastAsia="zh-CN"/>
        </w:rPr>
        <w:t xml:space="preserve">4</w:t>
      </w:r>
      <w:r>
        <w:rPr>
          <w:rFonts w:hint="eastAsia" w:ascii="黑体" w:cs="黑体"/>
          <w:b/>
          <w:bCs/>
          <w:color w:val="auto"/>
          <w:szCs w:val="24"/>
          <w:highlight w:val="none"/>
        </w:rPr>
        <w:t xml:space="preserve"> 投标文件的编制</w:t>
      </w:r>
      <w:bookmarkEnd w:id="75"/>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w:t>
      </w:r>
      <w:r>
        <w:rPr>
          <w:rFonts w:hint="eastAsia" w:ascii="华文中宋" w:hAnsi="华文中宋" w:eastAsia="华文中宋" w:cs="宋体"/>
          <w:color w:val="auto"/>
          <w:sz w:val="24"/>
          <w:szCs w:val="24"/>
          <w:highlight w:val="none"/>
          <w:lang w:val="en-US" w:eastAsia="zh-CN"/>
        </w:rPr>
        <w:t xml:space="preserve">4</w:t>
      </w:r>
      <w:r>
        <w:rPr>
          <w:rFonts w:hint="eastAsia" w:ascii="华文中宋" w:hAnsi="华文中宋" w:eastAsia="华文中宋" w:cs="宋体"/>
          <w:color w:val="auto"/>
          <w:sz w:val="24"/>
          <w:szCs w:val="24"/>
          <w:highlight w:val="none"/>
        </w:rPr>
        <w:t xml:space="preserve">.1 投标人应将下载的采购文件导入“政府采购客户端”，并按照《苏采云平台供应商操作手册》和第七章“投标文件格式”的要求制作投标文件。</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w:t>
      </w:r>
      <w:r>
        <w:rPr>
          <w:rFonts w:hint="eastAsia" w:ascii="华文中宋" w:hAnsi="华文中宋" w:eastAsia="华文中宋" w:cs="宋体"/>
          <w:color w:val="auto"/>
          <w:sz w:val="24"/>
          <w:szCs w:val="24"/>
          <w:highlight w:val="none"/>
          <w:lang w:val="en-US" w:eastAsia="zh-CN"/>
        </w:rPr>
        <w:t xml:space="preserve">4</w:t>
      </w:r>
      <w:r>
        <w:rPr>
          <w:rFonts w:hint="eastAsia" w:ascii="华文中宋" w:hAnsi="华文中宋" w:eastAsia="华文中宋" w:cs="宋体"/>
          <w:color w:val="auto"/>
          <w:sz w:val="24"/>
          <w:szCs w:val="24"/>
          <w:highlight w:val="none"/>
        </w:rPr>
        <w:t xml:space="preserve">.2 投标文件制作完成后导出投标文件（文件后缀为 zip）用于上传。</w:t>
      </w:r>
      <w:bookmarkEnd w:id="72"/>
      <w:r>
        <w:rPr>
          <w:highlight w:val="none"/>
        </w:rPr>
      </w:r>
      <w:bookmarkEnd w:id="73"/>
      <w:r>
        <w:rPr>
          <w:highlight w:val="none"/>
        </w:rPr>
      </w:r>
      <w:bookmarkEnd w:id="74"/>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四、投标文件的提交</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76" w:name="_Toc24836"/>
      <w:r>
        <w:rPr>
          <w:highlight w:val="none"/>
        </w:rPr>
      </w:r>
      <w:bookmarkStart w:id="77" w:name="_Toc16990"/>
      <w:r>
        <w:rPr>
          <w:highlight w:val="none"/>
        </w:rPr>
      </w:r>
      <w:bookmarkStart w:id="78" w:name="_Toc11648"/>
      <w:r>
        <w:rPr>
          <w:highlight w:val="none"/>
        </w:rPr>
      </w:r>
      <w:bookmarkStart w:id="79" w:name="_Toc17014"/>
      <w:r>
        <w:rPr>
          <w:rFonts w:hint="eastAsia" w:ascii="黑体" w:cs="黑体"/>
          <w:b/>
          <w:bCs/>
          <w:color w:val="auto"/>
          <w:szCs w:val="24"/>
          <w:highlight w:val="none"/>
        </w:rPr>
        <w:t xml:space="preserve">4.1</w:t>
      </w:r>
      <w:bookmarkEnd w:id="76"/>
      <w:r>
        <w:rPr>
          <w:highlight w:val="none"/>
        </w:rPr>
      </w:r>
      <w:bookmarkStart w:id="80" w:name="_Toc19436"/>
      <w:r>
        <w:rPr>
          <w:rFonts w:hint="eastAsia" w:ascii="黑体" w:cs="黑体"/>
          <w:b/>
          <w:bCs/>
          <w:color w:val="auto"/>
          <w:szCs w:val="24"/>
          <w:highlight w:val="none"/>
        </w:rPr>
        <w:t xml:space="preserve">投标文件的</w:t>
      </w:r>
      <w:bookmarkEnd w:id="80"/>
      <w:r>
        <w:rPr>
          <w:rFonts w:hint="eastAsia" w:ascii="黑体" w:cs="黑体"/>
          <w:b/>
          <w:bCs/>
          <w:color w:val="auto"/>
          <w:szCs w:val="24"/>
          <w:highlight w:val="none"/>
        </w:rPr>
        <w:t xml:space="preserve">提交</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4.1.1 投标人必须在投标须知前附表规定的提交投标文件截止时间前，进入“参与详情”页面，点击“上传文件”，上传已制作完成的投标文件，等待开标。</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4.1.2 投标人有下列情形之一的，采购人将拒绝接受其投标文件：</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（1）投标截止时间后上传的投标文件；</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（2）未上传至指定系统的投标文件。</w:t>
      </w:r>
      <w:bookmarkEnd w:id="77"/>
      <w:r>
        <w:rPr>
          <w:highlight w:val="none"/>
        </w:rPr>
      </w:r>
      <w:bookmarkEnd w:id="78"/>
      <w:r>
        <w:rPr>
          <w:highlight w:val="none"/>
        </w:rPr>
      </w:r>
      <w:bookmarkEnd w:id="79"/>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81" w:name="_Toc15834"/>
      <w:r>
        <w:rPr>
          <w:highlight w:val="none"/>
        </w:rPr>
      </w:r>
      <w:bookmarkStart w:id="82" w:name="_Toc4761"/>
      <w:r>
        <w:rPr>
          <w:highlight w:val="none"/>
        </w:rPr>
      </w:r>
      <w:bookmarkStart w:id="83" w:name="_Toc13169"/>
      <w:r>
        <w:rPr>
          <w:rFonts w:hint="eastAsia" w:ascii="黑体" w:cs="黑体"/>
          <w:b/>
          <w:bCs/>
          <w:color w:val="auto"/>
          <w:szCs w:val="24"/>
          <w:highlight w:val="none"/>
        </w:rPr>
        <w:t xml:space="preserve">4.2 投标文件的修改和撤回</w:t>
      </w:r>
      <w:bookmarkEnd w:id="81"/>
      <w:r>
        <w:rPr>
          <w:highlight w:val="none"/>
        </w:rPr>
      </w:r>
      <w:bookmarkEnd w:id="82"/>
      <w:r>
        <w:rPr>
          <w:highlight w:val="none"/>
        </w:rPr>
      </w:r>
      <w:bookmarkEnd w:id="83"/>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4.2.1 投标人在投标截止时间前，可以对所提交的投标文件进行补充、修改或者撤回。</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4.2.2 如果投标文件在客户端重新修改过了，需要重新导出和上传新投标文件。可将原先上传的投标文件撤回，撤回后，重新上传新投标文件。</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4.2.3 在投标有效期内，投标人不得撤回投标文件。投标人之间恶意串通而撤回投标的，将受到根据政府采购法律法规的有关规定做出的处理。</w:t>
      </w:r>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五、开标、评标</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84" w:name="_Toc21656"/>
      <w:r>
        <w:rPr>
          <w:highlight w:val="none"/>
        </w:rPr>
      </w:r>
      <w:bookmarkStart w:id="85" w:name="_Toc5282"/>
      <w:r>
        <w:rPr>
          <w:highlight w:val="none"/>
        </w:rPr>
      </w:r>
      <w:bookmarkStart w:id="86" w:name="_Toc26293"/>
      <w:r>
        <w:rPr>
          <w:rFonts w:hint="eastAsia" w:ascii="黑体" w:cs="黑体"/>
          <w:b/>
          <w:bCs/>
          <w:color w:val="auto"/>
          <w:szCs w:val="24"/>
          <w:highlight w:val="none"/>
        </w:rPr>
        <w:t xml:space="preserve">5.1 开标</w:t>
      </w:r>
      <w:bookmarkEnd w:id="84"/>
      <w:r>
        <w:rPr>
          <w:highlight w:val="none"/>
        </w:rPr>
      </w:r>
      <w:bookmarkEnd w:id="85"/>
      <w:r>
        <w:rPr>
          <w:highlight w:val="none"/>
        </w:rPr>
      </w:r>
      <w:bookmarkEnd w:id="86"/>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5.1.1 采购人或采购代理机构在投标人须知前附表规定的开标时间和地点公开开标。投标人不足3家的，不得开标。</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5.1.2 投标人应当按照《操作手册》规定，参加开标活动和在苏采云系统规定的时间内对投标文件进行解密。投标人在开、评标全过程中应保持通讯畅通，及时登录苏采云系统查阅、答复相关信息，并安排专人与采购人及评标委员会联系。</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5.1.3 开标程序：</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lang w:val="en-US" w:eastAsia="zh-CN"/>
        </w:rPr>
        <w:t xml:space="preserve">1</w:t>
      </w: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rPr>
        <w:t xml:space="preserve">登录苏采云系统，点击“工作台”，选中“开标大厅”，选择对应项目；</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lang w:val="en-US" w:eastAsia="zh-CN"/>
        </w:rPr>
        <w:t xml:space="preserve">2</w:t>
      </w: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rPr>
        <w:t xml:space="preserve">开标流程进入【解锁】环节点击【解锁】图标，并在投标须知前附表规定的解密时长内，使用CA证书进行标书解密，解锁完成后及时关注开标大厅，等待后续多次报价、答疑澄清等提示；在解密时长倒计时结束前，投标人可进行解密操作，当剩余时间为0后，投标人则不可以进行解密操作，系统会自动进入下一节点【唱标】</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lang w:val="en-US" w:eastAsia="zh-CN"/>
        </w:rPr>
        <w:t xml:space="preserve">3</w:t>
      </w: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rPr>
        <w:t xml:space="preserve">投标人在倒计时结束前点击【唱标确认】按钮进行开标记录确认，倒计时结束后系统将会视为已确认；</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lang w:val="en-US" w:eastAsia="zh-CN"/>
        </w:rPr>
        <w:t xml:space="preserve">4</w:t>
      </w:r>
      <w:r>
        <w:rPr>
          <w:rFonts w:hint="eastAsia" w:ascii="华文中宋" w:hAnsi="华文中宋" w:eastAsia="华文中宋" w:cs="宋体"/>
          <w:color w:val="auto"/>
          <w:sz w:val="24"/>
          <w:szCs w:val="24"/>
          <w:highlight w:val="none"/>
          <w:lang w:eastAsia="zh-CN"/>
        </w:rPr>
        <w:t xml:space="preserve">）</w:t>
      </w:r>
      <w:r>
        <w:rPr>
          <w:rFonts w:hint="eastAsia" w:ascii="华文中宋" w:hAnsi="华文中宋" w:eastAsia="华文中宋" w:cs="宋体"/>
          <w:color w:val="auto"/>
          <w:sz w:val="24"/>
          <w:szCs w:val="24"/>
          <w:highlight w:val="none"/>
        </w:rPr>
        <w:t xml:space="preserve">开标会议结束。</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5.1.4 开标时，投标文件中“开标一览表”内容与投标文件中相应内容不一致的，以“开标一览表”为准；大写金额与小写金额不一致的，以大写金额为准。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5.1.5 投标人代表对开标过程和开标记录有疑义，以及认为采购人、采购代理机构相关工作人员有需要回避的情形的，可通过【留言板】功能进行提出；请供应商谨慎发言以免被禁言。采购人或采购代理机构对投标人代表提出的询问或者回避申请应当及时处理。</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87" w:name="_Toc15880"/>
      <w:r>
        <w:rPr>
          <w:highlight w:val="none"/>
        </w:rPr>
      </w:r>
      <w:bookmarkStart w:id="88" w:name="_Toc31967"/>
      <w:r>
        <w:rPr>
          <w:highlight w:val="none"/>
        </w:rPr>
      </w:r>
      <w:bookmarkStart w:id="89" w:name="_Toc3693"/>
      <w:r>
        <w:rPr>
          <w:rFonts w:hint="eastAsia" w:ascii="黑体" w:cs="黑体"/>
          <w:b/>
          <w:bCs/>
          <w:color w:val="auto"/>
          <w:szCs w:val="24"/>
          <w:highlight w:val="none"/>
        </w:rPr>
        <w:t xml:space="preserve">5.2 资格</w:t>
      </w:r>
      <w:bookmarkEnd w:id="87"/>
      <w:r>
        <w:rPr>
          <w:highlight w:val="none"/>
        </w:rPr>
      </w:r>
      <w:bookmarkEnd w:id="88"/>
      <w:r>
        <w:rPr>
          <w:rFonts w:hint="eastAsia" w:ascii="黑体" w:cs="黑体"/>
          <w:b/>
          <w:bCs/>
          <w:color w:val="auto"/>
          <w:szCs w:val="24"/>
          <w:highlight w:val="none"/>
        </w:rPr>
        <w:t xml:space="preserve">评审</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5.2.1开标结束后，采购人或者采购代理机构依法对投标人的资格进行审查。</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5.2.2采购人或者采购代理机构应当按照第三章“资格审查办法”规定的资格评审标准对投标文件进行资格评审。</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5.2.3 资格评审结束后，合格投标人不足3家的，不得评标。</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90" w:name="_Toc26733"/>
      <w:r>
        <w:rPr>
          <w:highlight w:val="none"/>
        </w:rPr>
      </w:r>
      <w:bookmarkStart w:id="91" w:name="_Toc27848"/>
      <w:r>
        <w:rPr>
          <w:rFonts w:hint="eastAsia" w:ascii="黑体" w:cs="黑体"/>
          <w:b/>
          <w:bCs/>
          <w:color w:val="auto"/>
          <w:szCs w:val="24"/>
          <w:highlight w:val="none"/>
        </w:rPr>
        <w:t xml:space="preserve">5.3 评标</w:t>
      </w:r>
      <w:bookmarkEnd w:id="89"/>
      <w:r>
        <w:rPr>
          <w:highlight w:val="none"/>
        </w:rPr>
      </w:r>
      <w:bookmarkEnd w:id="90"/>
      <w:r>
        <w:rPr>
          <w:highlight w:val="none"/>
        </w:rPr>
      </w:r>
      <w:bookmarkEnd w:id="91"/>
      <w:r>
        <w:rPr>
          <w:rFonts w:hint="eastAsia" w:ascii="黑体" w:cs="黑体"/>
          <w:b/>
          <w:bCs/>
          <w:color w:val="auto"/>
          <w:szCs w:val="24"/>
          <w:highlight w:val="none"/>
        </w:rPr>
        <w:t xml:space="preserve">委员会</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5.3.1 评标委员会由采购人代表和评审专家组成，成员人数见投标须知前附表。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5.3.2 评标委员会成员有下列情形之一的，应当回避；已经进入的，应当退出: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（1）投标人或者投标人主要负责人的近亲属；</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（2）项目主管部门或者行政监督部门的人员；</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（3）与投标人有经济利益关系；</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（4）曾因在招标、评标以及其他与招标投标有关系活动中从事违法行为而受到行政处罚或者刑事处罚的；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（5）与投标人有其他利害关系与投标人有利害关系。</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5.3.3 特殊情况处置</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（1）评标活动终止</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fldChar w:fldCharType="begin"/>
      </w:r>
      <w:r>
        <w:rPr>
          <w:rFonts w:hint="eastAsia" w:ascii="华文中宋" w:hAnsi="华文中宋" w:eastAsia="华文中宋" w:cs="宋体"/>
          <w:color w:val="auto"/>
          <w:sz w:val="24"/>
          <w:szCs w:val="24"/>
          <w:highlight w:val="none"/>
        </w:rPr>
        <w:instrText xml:space="preserve"> = 1 \* GB3 \* MERGEFORMAT </w:instrText>
      </w:r>
      <w:r>
        <w:rPr>
          <w:rFonts w:hint="eastAsia" w:ascii="华文中宋" w:hAnsi="华文中宋" w:eastAsia="华文中宋" w:cs="宋体"/>
          <w:color w:val="auto"/>
          <w:sz w:val="24"/>
          <w:szCs w:val="24"/>
          <w:highlight w:val="none"/>
        </w:rPr>
        <w:fldChar w:fldCharType="separate"/>
      </w:r>
      <w:r>
        <w:rPr>
          <w:rFonts w:hint="eastAsia" w:ascii="华文中宋" w:hAnsi="华文中宋" w:eastAsia="华文中宋" w:cs="宋体"/>
          <w:color w:val="auto"/>
          <w:sz w:val="24"/>
          <w:szCs w:val="24"/>
          <w:highlight w:val="none"/>
        </w:rPr>
        <w:t xml:space="preserve">①</w:t>
      </w:r>
      <w:r>
        <w:rPr>
          <w:rFonts w:hint="eastAsia" w:ascii="华文中宋" w:hAnsi="华文中宋" w:eastAsia="华文中宋" w:cs="宋体"/>
          <w:color w:val="auto"/>
          <w:sz w:val="24"/>
          <w:szCs w:val="24"/>
          <w:highlight w:val="none"/>
        </w:rPr>
        <w:fldChar w:fldCharType="end"/>
      </w:r>
      <w:r>
        <w:rPr>
          <w:rFonts w:hint="eastAsia" w:ascii="华文中宋" w:hAnsi="华文中宋" w:eastAsia="华文中宋" w:cs="宋体"/>
          <w:color w:val="auto"/>
          <w:sz w:val="24"/>
          <w:szCs w:val="24"/>
          <w:highlight w:val="none"/>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fldChar w:fldCharType="begin"/>
      </w:r>
      <w:r>
        <w:rPr>
          <w:rFonts w:hint="eastAsia" w:ascii="华文中宋" w:hAnsi="华文中宋" w:eastAsia="华文中宋" w:cs="宋体"/>
          <w:color w:val="auto"/>
          <w:sz w:val="24"/>
          <w:szCs w:val="24"/>
          <w:highlight w:val="none"/>
        </w:rPr>
        <w:instrText xml:space="preserve"> = 2 \* GB3 \* MERGEFORMAT </w:instrText>
      </w:r>
      <w:r>
        <w:rPr>
          <w:rFonts w:hint="eastAsia" w:ascii="华文中宋" w:hAnsi="华文中宋" w:eastAsia="华文中宋" w:cs="宋体"/>
          <w:color w:val="auto"/>
          <w:sz w:val="24"/>
          <w:szCs w:val="24"/>
          <w:highlight w:val="none"/>
        </w:rPr>
        <w:fldChar w:fldCharType="separate"/>
      </w:r>
      <w:r>
        <w:rPr>
          <w:rFonts w:hint="eastAsia" w:ascii="华文中宋" w:hAnsi="华文中宋" w:eastAsia="华文中宋" w:cs="宋体"/>
          <w:color w:val="auto"/>
          <w:sz w:val="24"/>
          <w:szCs w:val="24"/>
          <w:highlight w:val="none"/>
        </w:rPr>
        <w:t xml:space="preserve">②</w:t>
      </w:r>
      <w:r>
        <w:rPr>
          <w:rFonts w:hint="eastAsia" w:ascii="华文中宋" w:hAnsi="华文中宋" w:eastAsia="华文中宋" w:cs="宋体"/>
          <w:color w:val="auto"/>
          <w:sz w:val="24"/>
          <w:szCs w:val="24"/>
          <w:highlight w:val="none"/>
        </w:rPr>
        <w:fldChar w:fldCharType="end"/>
      </w:r>
      <w:r>
        <w:rPr>
          <w:rFonts w:hint="eastAsia" w:ascii="华文中宋" w:hAnsi="华文中宋" w:eastAsia="华文中宋" w:cs="宋体"/>
          <w:color w:val="auto"/>
          <w:sz w:val="24"/>
          <w:szCs w:val="24"/>
          <w:highlight w:val="none"/>
        </w:rPr>
        <w:t xml:space="preserve">发生下列情况之一的，评标委员会应终止评标并按照废标处理：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a.发生了不可抗力事件；</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b.评标委员会名单泄密或者评标委员成员无法中途更换的；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c.发生评标信息泄露或者出现非法干预评审、谈判工作的；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d.监督人员现场发现评标委员会或者成员未按照招标文件规定评审或者存在违反法律法规规定行为，且拒绝改正的。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出现上述情形的，评标委员会有权予以废标或者建议采购人和采购代理机构封存招标文件和所有投标或投标文件，择期重新组建评标委员会进行评审。</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(2)评标委员会中途更换成员</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fldChar w:fldCharType="begin"/>
      </w:r>
      <w:r>
        <w:rPr>
          <w:rFonts w:hint="eastAsia" w:ascii="华文中宋" w:hAnsi="华文中宋" w:eastAsia="华文中宋" w:cs="宋体"/>
          <w:color w:val="auto"/>
          <w:sz w:val="24"/>
          <w:szCs w:val="24"/>
          <w:highlight w:val="none"/>
        </w:rPr>
        <w:instrText xml:space="preserve"> = 1 \* GB3 \* MERGEFORMAT </w:instrText>
      </w:r>
      <w:r>
        <w:rPr>
          <w:rFonts w:hint="eastAsia" w:ascii="华文中宋" w:hAnsi="华文中宋" w:eastAsia="华文中宋" w:cs="宋体"/>
          <w:color w:val="auto"/>
          <w:sz w:val="24"/>
          <w:szCs w:val="24"/>
          <w:highlight w:val="none"/>
        </w:rPr>
        <w:fldChar w:fldCharType="separate"/>
      </w:r>
      <w:r>
        <w:rPr>
          <w:rFonts w:hint="eastAsia" w:ascii="华文中宋" w:hAnsi="华文中宋" w:eastAsia="华文中宋" w:cs="宋体"/>
          <w:color w:val="auto"/>
          <w:sz w:val="24"/>
          <w:szCs w:val="24"/>
          <w:highlight w:val="none"/>
        </w:rPr>
        <w:t xml:space="preserve">①</w:t>
      </w:r>
      <w:r>
        <w:rPr>
          <w:rFonts w:hint="eastAsia" w:ascii="华文中宋" w:hAnsi="华文中宋" w:eastAsia="华文中宋" w:cs="宋体"/>
          <w:color w:val="auto"/>
          <w:sz w:val="24"/>
          <w:szCs w:val="24"/>
          <w:highlight w:val="none"/>
        </w:rPr>
        <w:fldChar w:fldCharType="end"/>
      </w:r>
      <w:r>
        <w:rPr>
          <w:rFonts w:hint="eastAsia" w:ascii="华文中宋" w:hAnsi="华文中宋" w:eastAsia="华文中宋" w:cs="宋体"/>
          <w:color w:val="auto"/>
          <w:sz w:val="24"/>
          <w:szCs w:val="24"/>
          <w:highlight w:val="none"/>
        </w:rPr>
        <w:t xml:space="preserve">除非发生下列情况之一，评标委员会成员不得中途更换：</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a.因不可抗拒的客观原因，不能到场或者需在评标过程中退出评标活动；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b.根据法律法规规定，某个或者某几个评标委员会成员需要回避；</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fldChar w:fldCharType="begin"/>
      </w:r>
      <w:r>
        <w:rPr>
          <w:rFonts w:hint="eastAsia" w:ascii="华文中宋" w:hAnsi="华文中宋" w:eastAsia="华文中宋" w:cs="宋体"/>
          <w:color w:val="auto"/>
          <w:sz w:val="24"/>
          <w:szCs w:val="24"/>
          <w:highlight w:val="none"/>
        </w:rPr>
        <w:instrText xml:space="preserve"> = 2 \* GB3 \* MERGEFORMAT </w:instrText>
      </w:r>
      <w:r>
        <w:rPr>
          <w:rFonts w:hint="eastAsia" w:ascii="华文中宋" w:hAnsi="华文中宋" w:eastAsia="华文中宋" w:cs="宋体"/>
          <w:color w:val="auto"/>
          <w:sz w:val="24"/>
          <w:szCs w:val="24"/>
          <w:highlight w:val="none"/>
        </w:rPr>
        <w:fldChar w:fldCharType="separate"/>
      </w:r>
      <w:r>
        <w:rPr>
          <w:rFonts w:hint="eastAsia" w:ascii="华文中宋" w:hAnsi="华文中宋" w:eastAsia="华文中宋" w:cs="宋体"/>
          <w:color w:val="auto"/>
          <w:sz w:val="24"/>
          <w:szCs w:val="24"/>
          <w:highlight w:val="none"/>
        </w:rPr>
        <w:t xml:space="preserve">②</w:t>
      </w:r>
      <w:r>
        <w:rPr>
          <w:rFonts w:hint="eastAsia" w:ascii="华文中宋" w:hAnsi="华文中宋" w:eastAsia="华文中宋" w:cs="宋体"/>
          <w:color w:val="auto"/>
          <w:sz w:val="24"/>
          <w:szCs w:val="24"/>
          <w:highlight w:val="none"/>
        </w:rPr>
        <w:fldChar w:fldCharType="end"/>
      </w:r>
      <w:r>
        <w:rPr>
          <w:rFonts w:hint="eastAsia" w:ascii="华文中宋" w:hAnsi="华文中宋" w:eastAsia="华文中宋" w:cs="宋体"/>
          <w:color w:val="auto"/>
          <w:sz w:val="24"/>
          <w:szCs w:val="24"/>
          <w:highlight w:val="none"/>
        </w:rPr>
        <w:t xml:space="preserve">退出评标委员会的成员，其已完成的评审行为无效。由采购人向财政监督人员提出更换评标委员会成员意见并获准后，根据本招标文件规定的评标委员会成员产生方式另行确定替代者进行评标。</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(3)评委争议</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5.4 评标</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5.4.1评标委员会对符合资格的投标人的投标文件，按照第四章“评标办法”规定的评标方法、评审因素、标准和程序对投标文件进行评审。</w:t>
      </w:r>
      <w:r>
        <w:rPr>
          <w:highlight w:val="none"/>
        </w:rPr>
      </w:r>
      <w:r/>
    </w:p>
    <w:p>
      <w:pPr>
        <w:ind w:firstLine="480"/>
        <w:spacing w:line="440" w:lineRule="exact"/>
        <w:rPr>
          <w:rFonts w:hint="eastAsia"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5.4.2 未通过资格审查或符合性审查的投标人，采购人或采购代理机构将在苏采云系统中告知未通过资格审查或符合性审查的原因；评审结束后，采购人或采购代理机构将不再告知未通过资格审查或符合性审查的原因。</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5.4.3 评标完成后，评标委员会根据全体评标成员签字的原始评标记录和评标结果编写评标报告。评标委员会推荐的中标候选人名单数量见投标人须知前附表。</w:t>
      </w:r>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六、中标和合同</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92" w:name="_Toc8673"/>
      <w:r>
        <w:rPr>
          <w:highlight w:val="none"/>
        </w:rPr>
      </w:r>
      <w:bookmarkStart w:id="93" w:name="_Toc29521"/>
      <w:r>
        <w:rPr>
          <w:highlight w:val="none"/>
        </w:rPr>
      </w:r>
      <w:bookmarkStart w:id="94" w:name="_Toc29296"/>
      <w:r>
        <w:rPr>
          <w:highlight w:val="none"/>
        </w:rPr>
      </w:r>
      <w:bookmarkStart w:id="95" w:name="_Toc11984"/>
      <w:r>
        <w:rPr>
          <w:highlight w:val="none"/>
        </w:rPr>
      </w:r>
      <w:bookmarkStart w:id="96" w:name="_Toc1623"/>
      <w:r>
        <w:rPr>
          <w:highlight w:val="none"/>
        </w:rPr>
      </w:r>
      <w:bookmarkStart w:id="97" w:name="_Toc21641"/>
      <w:r>
        <w:rPr>
          <w:rFonts w:hint="eastAsia" w:ascii="黑体" w:cs="黑体"/>
          <w:b/>
          <w:bCs/>
          <w:color w:val="auto"/>
          <w:szCs w:val="24"/>
          <w:highlight w:val="none"/>
        </w:rPr>
        <w:t xml:space="preserve">6.1 定标</w:t>
      </w:r>
      <w:bookmarkEnd w:id="92"/>
      <w:r>
        <w:rPr>
          <w:highlight w:val="none"/>
        </w:rPr>
      </w:r>
      <w:bookmarkEnd w:id="93"/>
      <w:r>
        <w:rPr>
          <w:highlight w:val="none"/>
        </w:rPr>
      </w:r>
      <w:bookmarkEnd w:id="94"/>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6.1.1采购代理机构应当在评标结束后2个工作日内将评标报告送采购人。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6.1.2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采购人在收到评标报告5个工作日内未按评标报告推荐的中标候选人顺序确定中标人，又不能说明合法理由的，视同按评标报告推荐的顺序确定排名第一的中标候选人为中标人。</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6.2 中标通知</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6.2.2 采购人或者采购代理机构在公告中标结果的同时，采购人或者采购代理机构应当向中标人发出中标通知书；采用综合评分法的项目，未中标的投标人可于中标结果公告期限届满之日起通过苏采云系统查看自己的评审得分及排序情况。</w:t>
      </w:r>
      <w:r>
        <w:rPr>
          <w:highlight w:val="none"/>
        </w:rPr>
      </w:r>
      <w:r/>
    </w:p>
    <w:p>
      <w:pPr>
        <w:pStyle w:val="940"/>
        <w:ind w:firstLine="482"/>
        <w:spacing w:before="0" w:after="0" w:line="440" w:lineRule="exact"/>
        <w:rPr>
          <w:rFonts w:ascii="黑体" w:cs="黑体"/>
          <w:b/>
          <w:bCs/>
          <w:color w:val="auto"/>
          <w:szCs w:val="24"/>
          <w:highlight w:val="none"/>
        </w:rPr>
      </w:pPr>
      <w:r>
        <w:rPr>
          <w:rFonts w:hint="eastAsia" w:ascii="黑体" w:cs="黑体"/>
          <w:b/>
          <w:bCs/>
          <w:color w:val="auto"/>
          <w:szCs w:val="24"/>
          <w:highlight w:val="none"/>
        </w:rPr>
        <w:t xml:space="preserve">6.3 签订合同</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6.3.1采购人或者采购代理机构应当自中标通知书发出之日起三十日内，按照招标文件和中标人投标文件的规定，与中标人签订书面合同。所签订的合同不得对招标文件和中标人投标文件作实质性修改。</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6.3.3 中标人拒绝与采购人签订合同的，采购人可以按照评审报告推荐的中标候选人名单排序，确定下一候选人为中标人，也可以重新开展政府采购活动。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6.3.4采购人不得向中标人提出任何不合理的要求，作为签订合同的条件，不得与中标人私下订立背离合同实质性内容的协议。</w:t>
      </w:r>
      <w:r>
        <w:rPr>
          <w:highlight w:val="none"/>
        </w:rPr>
      </w:r>
      <w:r/>
    </w:p>
    <w:p>
      <w:pPr>
        <w:ind w:firstLine="480"/>
        <w:spacing w:line="440" w:lineRule="exact"/>
        <w:rPr>
          <w:rFonts w:ascii="宋体" w:hAnsi="宋体" w:cs="宋体"/>
          <w:color w:val="auto"/>
          <w:sz w:val="24"/>
          <w:szCs w:val="24"/>
          <w:highlight w:val="none"/>
        </w:rPr>
      </w:pPr>
      <w:r>
        <w:rPr>
          <w:rFonts w:hint="eastAsia" w:ascii="华文中宋" w:hAnsi="华文中宋" w:eastAsia="华文中宋" w:cs="宋体"/>
          <w:color w:val="auto"/>
          <w:sz w:val="24"/>
          <w:szCs w:val="24"/>
          <w:highlight w:val="none"/>
        </w:rPr>
        <w:t xml:space="preserve">6.3.5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bookmarkEnd w:id="95"/>
      <w:r>
        <w:rPr>
          <w:highlight w:val="none"/>
        </w:rPr>
      </w:r>
      <w:bookmarkEnd w:id="96"/>
      <w:r>
        <w:rPr>
          <w:highlight w:val="none"/>
        </w:rPr>
      </w:r>
      <w:bookmarkEnd w:id="97"/>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七、废标、质疑与投诉</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98" w:name="_Toc10664"/>
      <w:r>
        <w:rPr>
          <w:highlight w:val="none"/>
        </w:rPr>
      </w:r>
      <w:bookmarkStart w:id="99" w:name="_Toc2774"/>
      <w:r>
        <w:rPr>
          <w:highlight w:val="none"/>
        </w:rPr>
      </w:r>
      <w:bookmarkStart w:id="100" w:name="_Toc22258"/>
      <w:r>
        <w:rPr>
          <w:rFonts w:hint="eastAsia" w:ascii="黑体" w:cs="黑体"/>
          <w:b/>
          <w:bCs/>
          <w:color w:val="auto"/>
          <w:szCs w:val="24"/>
          <w:highlight w:val="none"/>
        </w:rPr>
        <w:t xml:space="preserve">7.1 废标</w:t>
      </w:r>
      <w:bookmarkEnd w:id="98"/>
      <w:r>
        <w:rPr>
          <w:highlight w:val="none"/>
        </w:rPr>
      </w:r>
      <w:bookmarkEnd w:id="99"/>
      <w:r>
        <w:rPr>
          <w:highlight w:val="none"/>
        </w:rPr>
      </w:r>
      <w:bookmarkEnd w:id="100"/>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7.1.1 在招标采购过程中，有下列情况之一时，采购人应当予以废标，并将理由通知所有投标人：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（1）符合专业条件的投标人或招标文件作实质响应的投标人不足三家的；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（2）出现影响采购公正的违法、违规行为的；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（3）投标人的报价均超过了采购预算，采购人不能支付的；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（4）因重大变故，采购任务取消的。</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7.1.2 废标后，除采购任务取消情形外，招标采购单位应当重新组织招标；需要采取其他采购方式的，应当在采购活动开始前获得财政部门的批准。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7.1.3 公开招标数额标准以上的采购项目，投标截止后投标人不足3家或者招标文件作实质响应的投标人不足3家的，除采购任务取消情形外，按照以下方式处理：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（1）招标文件存在不合理条款或者招标程序不符合规定的，采购人、采购代理机构改正后依法重新招标；</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（2）招标文件没有不合理条款、招标程序符合规定，需要采用其他采购方式采购的，采购人应当依法报财政部门批准。</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101" w:name="_Toc8333"/>
      <w:r>
        <w:rPr>
          <w:highlight w:val="none"/>
        </w:rPr>
      </w:r>
      <w:bookmarkStart w:id="102" w:name="_Toc30375"/>
      <w:r>
        <w:rPr>
          <w:highlight w:val="none"/>
        </w:rPr>
      </w:r>
      <w:bookmarkStart w:id="103" w:name="_Toc26328"/>
      <w:r>
        <w:rPr>
          <w:rFonts w:hint="eastAsia" w:ascii="黑体" w:cs="黑体"/>
          <w:b/>
          <w:bCs/>
          <w:color w:val="auto"/>
          <w:szCs w:val="24"/>
          <w:highlight w:val="none"/>
        </w:rPr>
        <w:t xml:space="preserve">7.2 质疑</w:t>
      </w:r>
      <w:bookmarkEnd w:id="101"/>
      <w:r>
        <w:rPr>
          <w:highlight w:val="none"/>
        </w:rPr>
      </w:r>
      <w:bookmarkEnd w:id="102"/>
      <w:r>
        <w:rPr>
          <w:highlight w:val="none"/>
        </w:rPr>
      </w:r>
      <w:bookmarkEnd w:id="103"/>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7.2.2 提出质疑的投标人应当是参与本项目采购活动的投标人。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（1）对采购文件提出质疑的，潜在投标人应当在按规定获取采购文件之日起7个工作日内提出。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（2）对采购过程提出质疑的，应在各采购程序环节结束之日起7个工作日内提出。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（3）对中标结果提出质疑的，应当在中标结果公告届满之日起7个工作日内提出。</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7.2.3 投标人提出质疑应当提交质疑函和必要的证明材料。质疑函应当包括下列内容：</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（1）投标人的姓名或者名称、地址、邮编、联系人及联系电话；</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（2）质疑项目的名称、编号；</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（3）具体、明确的质疑事项和与质疑事项相关的请求；</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（4）事实依据；</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（5）必要的法律依据；</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（6）提出质疑的日期。</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7.2.5 除书面形式外，其他任何方式的质疑，采购人或者采购代理机构均不予接收和答复。</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7.2.6 采购人、采购代理机构在收到质疑函后七个工作日内做出答复，并以书面形式通知质疑人和其他有关投标人；但质疑答复的内容不得涉及商业秘密。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7.2.7 采购人、采购代理机构认为投标人质疑不成立，或者成立但未对中标结果构成影响的，继续开展采购活动；认为投标人质疑成立且影响或者可能影响中标结果的，按照下列情况处理：</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（1）对采购文件提出的质疑，依法通过澄清或者修改可以继续开展采购活动的，澄清或者修改采购文件后继续开展采购活动；否则应当修改采购文件后重新开展采购活动。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（2）对采购过程、中标结果提出的质疑，合格投标人符合法定数量时，可以从合格的中标候选人中另行确定中标人的，应当依法另行确定中标人；否则应当重新开展采购活动。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质疑答复导致中标结果改变的，采购人或者采购代理机构应当将有关情况书面报告本级财政部门。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7.2.8质疑人对采购人、采购代理机构的答复不满意，或者采购人、采购代理机构未在规定的时间内做出答复的，可以在答复期满后15个工作日内，向投标人须知前附表规定的财政部门提起投诉。</w:t>
      </w:r>
      <w:r>
        <w:rPr>
          <w:highlight w:val="none"/>
        </w:rPr>
      </w:r>
      <w:r/>
    </w:p>
    <w:p>
      <w:pPr>
        <w:jc w:val="center"/>
        <w:spacing w:before="160" w:after="160"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八、其他事宜</w:t>
      </w:r>
      <w:r>
        <w:rPr>
          <w:highlight w:val="none"/>
        </w:rPr>
      </w:r>
      <w:r/>
    </w:p>
    <w:p>
      <w:pPr>
        <w:pStyle w:val="940"/>
        <w:ind w:firstLine="482"/>
        <w:spacing w:before="0" w:after="0" w:line="440" w:lineRule="exact"/>
        <w:rPr>
          <w:rFonts w:ascii="黑体" w:cs="黑体"/>
          <w:b/>
          <w:bCs/>
          <w:color w:val="auto"/>
          <w:szCs w:val="24"/>
          <w:highlight w:val="none"/>
        </w:rPr>
      </w:pPr>
      <w:r>
        <w:rPr>
          <w:highlight w:val="none"/>
        </w:rPr>
      </w:r>
      <w:bookmarkStart w:id="104" w:name="_Toc6452"/>
      <w:r>
        <w:rPr>
          <w:highlight w:val="none"/>
        </w:rPr>
      </w:r>
      <w:bookmarkStart w:id="105" w:name="_Toc21692"/>
      <w:r>
        <w:rPr>
          <w:highlight w:val="none"/>
        </w:rPr>
      </w:r>
      <w:bookmarkStart w:id="106" w:name="_Toc10386"/>
      <w:r>
        <w:rPr>
          <w:rFonts w:hint="eastAsia" w:ascii="黑体" w:cs="黑体"/>
          <w:b/>
          <w:bCs/>
          <w:color w:val="auto"/>
          <w:szCs w:val="24"/>
          <w:highlight w:val="none"/>
        </w:rPr>
        <w:t xml:space="preserve">8.1 </w:t>
      </w:r>
      <w:bookmarkEnd w:id="104"/>
      <w:r>
        <w:rPr>
          <w:highlight w:val="none"/>
        </w:rPr>
      </w:r>
      <w:bookmarkEnd w:id="105"/>
      <w:r>
        <w:rPr>
          <w:highlight w:val="none"/>
        </w:rPr>
      </w:r>
      <w:bookmarkEnd w:id="106"/>
      <w:r>
        <w:rPr>
          <w:rFonts w:hint="eastAsia" w:ascii="黑体" w:cs="黑体"/>
          <w:b/>
          <w:bCs/>
          <w:color w:val="auto"/>
          <w:szCs w:val="24"/>
          <w:highlight w:val="none"/>
        </w:rPr>
        <w:t xml:space="preserve">补充的其他内容</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8.1.1 采购人需要补充的其他内容：见投标人须知前附表</w:t>
      </w:r>
      <w:r>
        <w:rPr>
          <w:highlight w:val="none"/>
        </w:rPr>
      </w:r>
      <w:r/>
    </w:p>
    <w:p>
      <w:pPr>
        <w:ind w:firstLine="480"/>
        <w:spacing w:line="440" w:lineRule="exact"/>
        <w:rPr>
          <w:rFonts w:ascii="华文中宋" w:hAnsi="华文中宋" w:eastAsia="华文中宋" w:cs="宋体"/>
          <w:color w:val="auto"/>
          <w:sz w:val="24"/>
          <w:szCs w:val="24"/>
          <w:highlight w:val="none"/>
        </w:rPr>
      </w:pPr>
      <w:r>
        <w:rPr>
          <w:rFonts w:hint="eastAsia" w:ascii="华文中宋" w:hAnsi="华文中宋" w:eastAsia="华文中宋" w:cs="宋体"/>
          <w:color w:val="auto"/>
          <w:sz w:val="24"/>
          <w:szCs w:val="24"/>
          <w:highlight w:val="none"/>
        </w:rPr>
        <w:t xml:space="preserve">8.1.2 其他未尽事宜按照《中华人民共和国政府采购法》及相关法律、法规、规章的有关规定执行。</w:t>
      </w:r>
      <w:r>
        <w:rPr>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rPr>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rPr>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rPr>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rPr>
          <w:highlight w:val="none"/>
        </w:rPr>
      </w:r>
      <w:r/>
    </w:p>
    <w:p>
      <w:pPr>
        <w:ind w:firstLine="420"/>
        <w:spacing w:line="440" w:lineRule="exact"/>
        <w:rPr>
          <w:rFonts w:ascii="宋体" w:hAnsi="宋体" w:cs="宋体"/>
          <w:color w:val="auto"/>
          <w:highlight w:val="none"/>
        </w:rPr>
      </w:pPr>
      <w:r>
        <w:rPr>
          <w:rFonts w:ascii="宋体" w:hAnsi="宋体" w:cs="宋体"/>
          <w:color w:val="auto"/>
          <w:highlight w:val="none"/>
        </w:rPr>
      </w:r>
      <w:r>
        <w:rPr>
          <w:highlight w:val="none"/>
        </w:rPr>
      </w:r>
      <w:r/>
    </w:p>
    <w:p>
      <w:pPr>
        <w:pStyle w:val="683"/>
        <w:rPr>
          <w:rFonts w:ascii="宋体" w:hAnsi="宋体" w:cs="宋体"/>
          <w:color w:val="auto"/>
          <w:highlight w:val="none"/>
        </w:rPr>
      </w:pPr>
      <w:r>
        <w:rPr>
          <w:rFonts w:ascii="宋体" w:hAnsi="宋体" w:cs="宋体"/>
          <w:color w:val="auto"/>
          <w:highlight w:val="none"/>
        </w:rPr>
      </w:r>
      <w:r>
        <w:rPr>
          <w:highlight w:val="none"/>
        </w:rPr>
      </w:r>
      <w:r/>
    </w:p>
    <w:p>
      <w:pPr>
        <w:pStyle w:val="683"/>
        <w:rPr>
          <w:rFonts w:ascii="宋体" w:hAnsi="宋体" w:cs="宋体"/>
          <w:color w:val="auto"/>
          <w:highlight w:val="none"/>
        </w:rPr>
      </w:pPr>
      <w:r>
        <w:rPr>
          <w:rFonts w:ascii="宋体" w:hAnsi="宋体" w:cs="宋体"/>
          <w:color w:val="auto"/>
          <w:highlight w:val="none"/>
        </w:rPr>
      </w:r>
      <w:r>
        <w:rPr>
          <w:highlight w:val="none"/>
        </w:rPr>
      </w:r>
      <w:r/>
    </w:p>
    <w:p>
      <w:pPr>
        <w:pStyle w:val="683"/>
        <w:rPr>
          <w:rFonts w:ascii="宋体" w:hAnsi="宋体" w:cs="宋体"/>
          <w:color w:val="auto"/>
          <w:highlight w:val="none"/>
        </w:rPr>
      </w:pPr>
      <w:r>
        <w:rPr>
          <w:rFonts w:ascii="宋体" w:hAnsi="宋体" w:cs="宋体"/>
          <w:color w:val="auto"/>
          <w:highlight w:val="none"/>
        </w:rPr>
      </w:r>
      <w:r>
        <w:rPr>
          <w:highlight w:val="none"/>
        </w:rPr>
      </w:r>
      <w:r/>
    </w:p>
    <w:p>
      <w:pPr>
        <w:pStyle w:val="683"/>
        <w:rPr>
          <w:highlight w:val="none"/>
        </w:rPr>
      </w:pPr>
      <w:r>
        <w:rPr>
          <w:highlight w:val="none"/>
        </w:rPr>
      </w:r>
      <w:r>
        <w:rPr>
          <w:highlight w:val="none"/>
        </w:rPr>
      </w:r>
      <w:r/>
    </w:p>
    <w:p>
      <w:pPr>
        <w:pStyle w:val="936"/>
        <w:jc w:val="center"/>
        <w:pageBreakBefore w:val="0"/>
        <w:spacing w:after="20" w:line="360" w:lineRule="auto"/>
        <w:widowControl w:val="off"/>
        <w:rPr>
          <w:rFonts w:ascii="微软雅黑" w:hAnsi="微软雅黑" w:eastAsia="微软雅黑" w:cs="微软雅黑"/>
          <w:b w:val="0"/>
          <w:bCs w:val="0"/>
          <w:color w:val="auto"/>
          <w:sz w:val="36"/>
          <w:szCs w:val="36"/>
          <w:highlight w:val="none"/>
        </w:rPr>
      </w:pPr>
      <w:r>
        <w:rPr>
          <w:highlight w:val="none"/>
        </w:rPr>
      </w:r>
      <w:bookmarkStart w:id="107" w:name="_Toc152268440"/>
      <w:r>
        <w:rPr>
          <w:highlight w:val="none"/>
        </w:rPr>
      </w:r>
      <w:bookmarkStart w:id="108" w:name="_Toc765"/>
      <w:r>
        <w:rPr>
          <w:rFonts w:hint="eastAsia" w:ascii="微软雅黑" w:hAnsi="微软雅黑" w:eastAsia="微软雅黑" w:cs="微软雅黑"/>
          <w:b w:val="0"/>
          <w:bCs w:val="0"/>
          <w:color w:val="auto"/>
          <w:sz w:val="36"/>
          <w:szCs w:val="36"/>
          <w:highlight w:val="none"/>
        </w:rPr>
        <w:t xml:space="preserve">第三章 资格审查办法</w:t>
      </w:r>
      <w:bookmarkEnd w:id="107"/>
      <w:r>
        <w:rPr>
          <w:highlight w:val="none"/>
        </w:rPr>
      </w:r>
      <w:bookmarkEnd w:id="108"/>
      <w:r>
        <w:rPr>
          <w:highlight w:val="none"/>
        </w:rPr>
      </w:r>
      <w:r/>
    </w:p>
    <w:p>
      <w:pPr>
        <w:ind w:firstLine="0"/>
        <w:pageBreakBefore w:val="0"/>
        <w:spacing w:line="360" w:lineRule="auto"/>
        <w:widowControl w:val="off"/>
        <w:rPr>
          <w:rFonts w:ascii="黑体" w:hAnsi="黑体" w:eastAsia="黑体" w:cs="宋体"/>
          <w:b/>
          <w:bCs/>
          <w:color w:val="auto"/>
          <w:sz w:val="22"/>
          <w:szCs w:val="22"/>
          <w:highlight w:val="none"/>
        </w:rPr>
      </w:pPr>
      <w:r>
        <w:rPr>
          <w:highlight w:val="none"/>
        </w:rPr>
      </w:r>
      <w:bookmarkStart w:id="109" w:name="_Toc152047234"/>
      <w:r>
        <w:rPr>
          <w:highlight w:val="none"/>
        </w:rPr>
      </w:r>
      <w:bookmarkStart w:id="110" w:name="_Toc144974438"/>
      <w:r>
        <w:rPr>
          <w:highlight w:val="none"/>
        </w:rPr>
      </w:r>
      <w:bookmarkStart w:id="111" w:name="_Toc179715727"/>
      <w:r>
        <w:rPr>
          <w:highlight w:val="none"/>
        </w:rPr>
      </w:r>
      <w:bookmarkStart w:id="112" w:name="_Toc4791"/>
      <w:r>
        <w:rPr>
          <w:highlight w:val="none"/>
        </w:rPr>
      </w:r>
      <w:bookmarkStart w:id="113" w:name="_Toc28292"/>
      <w:r>
        <w:rPr>
          <w:highlight w:val="none"/>
        </w:rPr>
      </w:r>
      <w:bookmarkStart w:id="114" w:name="_Toc234382664"/>
      <w:r>
        <w:rPr>
          <w:rFonts w:hint="eastAsia" w:ascii="黑体" w:hAnsi="黑体" w:eastAsia="黑体" w:cs="宋体"/>
          <w:b/>
          <w:bCs/>
          <w:color w:val="auto"/>
          <w:sz w:val="22"/>
          <w:szCs w:val="22"/>
          <w:highlight w:val="none"/>
        </w:rPr>
        <w:t xml:space="preserve">1.审查方法</w:t>
      </w:r>
      <w:bookmarkEnd w:id="109"/>
      <w:r>
        <w:rPr>
          <w:highlight w:val="none"/>
        </w:rPr>
      </w:r>
      <w:bookmarkEnd w:id="110"/>
      <w:r>
        <w:rPr>
          <w:highlight w:val="none"/>
        </w:rPr>
      </w:r>
      <w:bookmarkEnd w:id="111"/>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资格审查由采购人或者采购代理机构组成的评审小组依法对供应商的资格进行审查。</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凡符合本章资格审查标准的供应商均通过资格审查，并进入评标。</w:t>
      </w:r>
      <w:r>
        <w:rPr>
          <w:highlight w:val="none"/>
        </w:rPr>
      </w:r>
      <w:r/>
    </w:p>
    <w:p>
      <w:pPr>
        <w:ind w:firstLine="0"/>
        <w:pageBreakBefore w:val="0"/>
        <w:spacing w:line="360" w:lineRule="auto"/>
        <w:widowControl w:val="off"/>
        <w:rPr>
          <w:rFonts w:ascii="黑体" w:hAnsi="黑体" w:eastAsia="黑体" w:cs="宋体"/>
          <w:b/>
          <w:bCs/>
          <w:color w:val="auto"/>
          <w:sz w:val="22"/>
          <w:szCs w:val="22"/>
          <w:highlight w:val="none"/>
        </w:rPr>
      </w:pPr>
      <w:r>
        <w:rPr>
          <w:highlight w:val="none"/>
        </w:rPr>
      </w:r>
      <w:bookmarkStart w:id="115" w:name="_Toc152047235"/>
      <w:r>
        <w:rPr>
          <w:highlight w:val="none"/>
        </w:rPr>
      </w:r>
      <w:bookmarkStart w:id="116" w:name="_Toc144974439"/>
      <w:r>
        <w:rPr>
          <w:highlight w:val="none"/>
        </w:rPr>
      </w:r>
      <w:bookmarkStart w:id="117" w:name="_Toc179715728"/>
      <w:r>
        <w:rPr>
          <w:rFonts w:hint="eastAsia" w:ascii="黑体" w:hAnsi="黑体" w:eastAsia="黑体" w:cs="宋体"/>
          <w:b/>
          <w:bCs/>
          <w:color w:val="auto"/>
          <w:sz w:val="22"/>
          <w:szCs w:val="22"/>
          <w:highlight w:val="none"/>
        </w:rPr>
        <w:t xml:space="preserve">2.审查标准</w:t>
      </w:r>
      <w:bookmarkEnd w:id="115"/>
      <w:r>
        <w:rPr>
          <w:highlight w:val="none"/>
        </w:rPr>
      </w:r>
      <w:bookmarkEnd w:id="116"/>
      <w:r>
        <w:rPr>
          <w:highlight w:val="none"/>
        </w:rPr>
      </w:r>
      <w:bookmarkEnd w:id="117"/>
      <w:r>
        <w:rPr>
          <w:highlight w:val="none"/>
        </w:rPr>
      </w:r>
      <w:r/>
    </w:p>
    <w:p>
      <w:pPr>
        <w:ind w:firstLine="442"/>
        <w:keepLines w:val="0"/>
        <w:keepNext w:val="0"/>
        <w:pageBreakBefore w:val="0"/>
        <w:spacing w:line="360" w:lineRule="auto"/>
        <w:widowControl w:val="off"/>
        <w:rPr>
          <w:rFonts w:ascii="黑体" w:hAnsi="黑体" w:eastAsia="黑体" w:cs="宋体"/>
          <w:b/>
          <w:bCs/>
          <w:color w:val="auto"/>
          <w:sz w:val="22"/>
          <w:highlight w:val="none"/>
        </w:rPr>
      </w:pPr>
      <w:r>
        <w:rPr>
          <w:rFonts w:hint="eastAsia" w:ascii="宋体" w:hAnsi="宋体" w:cs="宋体"/>
          <w:b/>
          <w:bCs/>
          <w:color w:val="auto"/>
          <w:sz w:val="22"/>
          <w:szCs w:val="22"/>
          <w:highlight w:val="none"/>
        </w:rPr>
        <w:t xml:space="preserve">2.1 供应商有不符合下列情形之一的，不能通过资格审查，其投标无效：</w:t>
      </w:r>
      <w:r>
        <w:rPr>
          <w:highlight w:val="none"/>
        </w:rPr>
      </w:r>
      <w:r/>
    </w:p>
    <w:tbl>
      <w:tblPr>
        <w:tblStyle w:val="681"/>
        <w:tblW w:w="8930" w:type="dxa"/>
        <w:tblInd w:w="284"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753"/>
        <w:gridCol w:w="4468"/>
      </w:tblGrid>
      <w:tr>
        <w:trPr>
          <w:trHeight w:val="640"/>
        </w:trPr>
        <w:tc>
          <w:tcPr>
            <w:tcW w:w="709" w:type="dxa"/>
            <w:vAlign w:val="center"/>
            <w:textDirection w:val="lrTb"/>
            <w:noWrap w:val="false"/>
          </w:tcPr>
          <w:p>
            <w:pPr>
              <w:ind w:firstLine="0"/>
              <w:jc w:val="center"/>
              <w:pageBreakBefore w:val="0"/>
              <w:spacing w:line="240" w:lineRule="atLeast"/>
              <w:widowControl w:val="off"/>
              <w:rPr>
                <w:rFonts w:ascii="宋体" w:hAnsi="宋体" w:cs="宋体"/>
                <w:b/>
                <w:color w:val="auto"/>
                <w:sz w:val="22"/>
                <w:szCs w:val="22"/>
                <w:highlight w:val="none"/>
              </w:rPr>
            </w:pPr>
            <w:r>
              <w:rPr>
                <w:rFonts w:hint="eastAsia" w:ascii="宋体" w:hAnsi="宋体" w:cs="宋体"/>
                <w:b/>
                <w:color w:val="auto"/>
                <w:sz w:val="22"/>
                <w:szCs w:val="22"/>
                <w:highlight w:val="none"/>
              </w:rPr>
              <w:t xml:space="preserve">序号</w:t>
            </w:r>
            <w:r>
              <w:rPr>
                <w:highlight w:val="none"/>
              </w:rPr>
            </w:r>
            <w:r/>
          </w:p>
        </w:tc>
        <w:tc>
          <w:tcPr>
            <w:tcW w:w="3753" w:type="dxa"/>
            <w:vAlign w:val="center"/>
            <w:textDirection w:val="lrTb"/>
            <w:noWrap w:val="false"/>
          </w:tcPr>
          <w:p>
            <w:pPr>
              <w:ind w:firstLine="0"/>
              <w:jc w:val="center"/>
              <w:pageBreakBefore w:val="0"/>
              <w:spacing w:line="240" w:lineRule="atLeast"/>
              <w:widowControl w:val="off"/>
              <w:rPr>
                <w:rFonts w:ascii="宋体" w:hAnsi="宋体" w:cs="宋体"/>
                <w:b/>
                <w:color w:val="auto"/>
                <w:sz w:val="22"/>
                <w:szCs w:val="22"/>
                <w:highlight w:val="none"/>
              </w:rPr>
            </w:pPr>
            <w:r>
              <w:rPr>
                <w:rFonts w:hint="eastAsia" w:ascii="宋体" w:hAnsi="宋体" w:cs="宋体"/>
                <w:b/>
                <w:color w:val="auto"/>
                <w:sz w:val="22"/>
                <w:szCs w:val="22"/>
                <w:highlight w:val="none"/>
              </w:rPr>
              <w:t xml:space="preserve">评审因素</w:t>
            </w:r>
            <w:r>
              <w:rPr>
                <w:highlight w:val="none"/>
              </w:rPr>
            </w:r>
            <w:r/>
          </w:p>
        </w:tc>
        <w:tc>
          <w:tcPr>
            <w:tcW w:w="4468" w:type="dxa"/>
            <w:vAlign w:val="center"/>
            <w:textDirection w:val="lrTb"/>
            <w:noWrap w:val="false"/>
          </w:tcPr>
          <w:p>
            <w:pPr>
              <w:ind w:firstLine="0"/>
              <w:jc w:val="center"/>
              <w:keepLines/>
              <w:keepNext/>
              <w:pageBreakBefore w:val="0"/>
              <w:spacing w:line="240" w:lineRule="atLeast"/>
              <w:widowControl w:val="off"/>
              <w:rPr>
                <w:rFonts w:ascii="宋体" w:hAnsi="宋体" w:cs="宋体"/>
                <w:b/>
                <w:color w:val="auto"/>
                <w:sz w:val="22"/>
                <w:szCs w:val="22"/>
                <w:highlight w:val="none"/>
              </w:rPr>
              <w:outlineLvl w:val="2"/>
            </w:pPr>
            <w:r>
              <w:rPr>
                <w:rFonts w:hint="eastAsia" w:ascii="宋体" w:hAnsi="宋体" w:cs="宋体"/>
                <w:b/>
                <w:color w:val="auto"/>
                <w:sz w:val="22"/>
                <w:szCs w:val="22"/>
                <w:highlight w:val="none"/>
              </w:rPr>
              <w:t xml:space="preserve">评审标准</w:t>
            </w:r>
            <w:r>
              <w:rPr>
                <w:highlight w:val="none"/>
              </w:rPr>
            </w:r>
            <w:r/>
          </w:p>
        </w:tc>
      </w:tr>
      <w:tr>
        <w:trPr>
          <w:trHeight w:val="640"/>
        </w:trPr>
        <w:tc>
          <w:tcPr>
            <w:tcW w:w="709" w:type="dxa"/>
            <w:vAlign w:val="center"/>
            <w:textDirection w:val="lrTb"/>
            <w:noWrap w:val="false"/>
          </w:tcPr>
          <w:p>
            <w:pPr>
              <w:ind w:firstLine="0"/>
              <w:jc w:val="center"/>
              <w:pageBreakBefore w:val="0"/>
              <w:spacing w:line="240" w:lineRule="atLeast"/>
              <w:widowControl w:val="off"/>
              <w:rPr>
                <w:rFonts w:ascii="宋体" w:hAnsi="宋体" w:cs="宋体"/>
                <w:b/>
                <w:color w:val="auto"/>
                <w:sz w:val="22"/>
                <w:szCs w:val="22"/>
                <w:highlight w:val="none"/>
              </w:rPr>
            </w:pPr>
            <w:r>
              <w:rPr>
                <w:rFonts w:hint="eastAsia" w:ascii="宋体" w:hAnsi="宋体" w:cs="宋体"/>
                <w:b/>
                <w:color w:val="auto"/>
                <w:sz w:val="22"/>
                <w:szCs w:val="22"/>
                <w:highlight w:val="none"/>
              </w:rPr>
              <w:t xml:space="preserve">1</w:t>
            </w:r>
            <w:r>
              <w:rPr>
                <w:highlight w:val="none"/>
              </w:rPr>
            </w:r>
            <w:r/>
          </w:p>
        </w:tc>
        <w:tc>
          <w:tcPr>
            <w:tcW w:w="3753" w:type="dxa"/>
            <w:vAlign w:val="center"/>
            <w:textDirection w:val="lrTb"/>
            <w:noWrap w:val="false"/>
          </w:tcPr>
          <w:p>
            <w:pPr>
              <w:ind w:firstLine="0"/>
              <w:jc w:val="center"/>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营业执照或事业单位法人登记证书</w:t>
            </w:r>
            <w:r>
              <w:rPr>
                <w:highlight w:val="none"/>
              </w:rPr>
            </w:r>
            <w:r/>
          </w:p>
        </w:tc>
        <w:tc>
          <w:tcPr>
            <w:tcW w:w="4468" w:type="dxa"/>
            <w:vAlign w:val="center"/>
            <w:textDirection w:val="lrTb"/>
            <w:noWrap w:val="false"/>
          </w:tcPr>
          <w:p>
            <w:pPr>
              <w:ind w:firstLine="0"/>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提供了有效的营业执照或事业单位法人登记证书原件扫描件。</w:t>
            </w:r>
            <w:r>
              <w:rPr>
                <w:highlight w:val="none"/>
              </w:rPr>
            </w:r>
            <w:r/>
          </w:p>
        </w:tc>
      </w:tr>
      <w:tr>
        <w:trPr>
          <w:trHeight w:val="640"/>
        </w:trPr>
        <w:tc>
          <w:tcPr>
            <w:tcW w:w="709" w:type="dxa"/>
            <w:vAlign w:val="center"/>
            <w:textDirection w:val="lrTb"/>
            <w:noWrap w:val="false"/>
          </w:tcPr>
          <w:p>
            <w:pPr>
              <w:ind w:firstLine="0"/>
              <w:jc w:val="center"/>
              <w:pageBreakBefore w:val="0"/>
              <w:spacing w:line="240" w:lineRule="atLeast"/>
              <w:widowControl w:val="off"/>
              <w:rPr>
                <w:rFonts w:ascii="宋体" w:hAnsi="宋体" w:cs="宋体"/>
                <w:b/>
                <w:color w:val="auto"/>
                <w:sz w:val="22"/>
                <w:szCs w:val="22"/>
                <w:highlight w:val="none"/>
              </w:rPr>
            </w:pPr>
            <w:r>
              <w:rPr>
                <w:rFonts w:hint="eastAsia" w:ascii="宋体" w:hAnsi="宋体" w:cs="宋体"/>
                <w:b/>
                <w:color w:val="auto"/>
                <w:sz w:val="22"/>
                <w:szCs w:val="22"/>
                <w:highlight w:val="none"/>
              </w:rPr>
              <w:t xml:space="preserve">2</w:t>
            </w:r>
            <w:r>
              <w:rPr>
                <w:highlight w:val="none"/>
              </w:rPr>
            </w:r>
            <w:r/>
          </w:p>
        </w:tc>
        <w:tc>
          <w:tcPr>
            <w:tcW w:w="3753" w:type="dxa"/>
            <w:vAlign w:val="center"/>
            <w:textDirection w:val="lrTb"/>
            <w:noWrap w:val="false"/>
          </w:tcPr>
          <w:p>
            <w:pPr>
              <w:ind w:firstLine="0"/>
              <w:jc w:val="center"/>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基本资格条件声明函</w:t>
            </w:r>
            <w:r>
              <w:rPr>
                <w:highlight w:val="none"/>
              </w:rPr>
            </w:r>
            <w:r/>
          </w:p>
        </w:tc>
        <w:tc>
          <w:tcPr>
            <w:tcW w:w="4468" w:type="dxa"/>
            <w:vAlign w:val="center"/>
            <w:textDirection w:val="lrTb"/>
            <w:noWrap w:val="false"/>
          </w:tcPr>
          <w:p>
            <w:pPr>
              <w:ind w:firstLine="0"/>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按投标文件格式要求提供了《基本资格条件声明函》。</w:t>
            </w:r>
            <w:r>
              <w:rPr>
                <w:highlight w:val="none"/>
              </w:rPr>
            </w:r>
            <w:r/>
          </w:p>
        </w:tc>
      </w:tr>
      <w:tr>
        <w:trPr>
          <w:trHeight w:val="640"/>
        </w:trPr>
        <w:tc>
          <w:tcPr>
            <w:tcW w:w="709" w:type="dxa"/>
            <w:vAlign w:val="center"/>
            <w:vMerge w:val="restart"/>
            <w:textDirection w:val="lrTb"/>
            <w:noWrap w:val="false"/>
          </w:tcPr>
          <w:p>
            <w:pPr>
              <w:ind w:firstLine="0"/>
              <w:jc w:val="center"/>
              <w:pageBreakBefore w:val="0"/>
              <w:spacing w:line="240" w:lineRule="atLeast"/>
              <w:widowControl w:val="off"/>
              <w:rPr>
                <w:rFonts w:hint="eastAsia" w:ascii="宋体" w:hAnsi="宋体" w:eastAsia="宋体" w:cs="宋体"/>
                <w:b/>
                <w:color w:val="auto"/>
                <w:sz w:val="22"/>
                <w:szCs w:val="22"/>
                <w:highlight w:val="none"/>
              </w:rPr>
            </w:pPr>
            <w:r>
              <w:rPr>
                <w:rFonts w:hint="eastAsia" w:ascii="宋体" w:hAnsi="宋体" w:cs="宋体"/>
                <w:b/>
                <w:color w:val="auto"/>
                <w:sz w:val="22"/>
                <w:szCs w:val="22"/>
                <w:highlight w:val="none"/>
                <w:lang w:val="en-US" w:eastAsia="zh-CN"/>
              </w:rPr>
              <w:t xml:space="preserve">3</w:t>
            </w:r>
            <w:r>
              <w:rPr>
                <w:highlight w:val="none"/>
              </w:rPr>
            </w:r>
            <w:r/>
          </w:p>
        </w:tc>
        <w:tc>
          <w:tcPr>
            <w:tcW w:w="3753" w:type="dxa"/>
            <w:vAlign w:val="center"/>
            <w:vMerge w:val="restart"/>
            <w:textDirection w:val="lrTb"/>
            <w:noWrap w:val="false"/>
          </w:tcPr>
          <w:p>
            <w:pPr>
              <w:ind w:firstLine="0"/>
              <w:jc w:val="center"/>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其他条件</w:t>
            </w:r>
            <w:r>
              <w:rPr>
                <w:highlight w:val="none"/>
              </w:rPr>
            </w:r>
            <w:r/>
          </w:p>
        </w:tc>
        <w:tc>
          <w:tcPr>
            <w:tcW w:w="4468" w:type="dxa"/>
            <w:vAlign w:val="center"/>
            <w:textDirection w:val="lrTb"/>
            <w:noWrap w:val="false"/>
          </w:tcPr>
          <w:p>
            <w:pPr>
              <w:ind w:firstLine="0"/>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按投标文件格式要求提供了《非联合体投标声明函》。</w:t>
            </w:r>
            <w:r>
              <w:rPr>
                <w:highlight w:val="none"/>
              </w:rPr>
            </w:r>
            <w:r/>
          </w:p>
        </w:tc>
      </w:tr>
      <w:tr>
        <w:trPr>
          <w:trHeight w:val="640"/>
        </w:trPr>
        <w:tc>
          <w:tcPr>
            <w:tcW w:w="709" w:type="dxa"/>
            <w:vAlign w:val="center"/>
            <w:vMerge w:val="continue"/>
            <w:textDirection w:val="lrTb"/>
            <w:noWrap w:val="false"/>
          </w:tcPr>
          <w:p>
            <w:pPr>
              <w:ind w:firstLine="0"/>
              <w:jc w:val="center"/>
              <w:pageBreakBefore w:val="0"/>
              <w:spacing w:line="240" w:lineRule="atLeast"/>
              <w:widowControl w:val="off"/>
              <w:rPr>
                <w:rFonts w:ascii="宋体" w:hAnsi="宋体" w:cs="宋体"/>
                <w:b/>
                <w:sz w:val="22"/>
                <w:szCs w:val="22"/>
              </w:rPr>
            </w:pPr>
            <w:r>
              <w:rPr>
                <w:rFonts w:ascii="宋体" w:hAnsi="宋体" w:cs="宋体"/>
                <w:b/>
                <w:sz w:val="22"/>
                <w:szCs w:val="22"/>
              </w:rPr>
            </w:r>
            <w:r/>
          </w:p>
        </w:tc>
        <w:tc>
          <w:tcPr>
            <w:tcW w:w="3753" w:type="dxa"/>
            <w:vAlign w:val="center"/>
            <w:vMerge w:val="continue"/>
            <w:textDirection w:val="lrTb"/>
            <w:noWrap w:val="false"/>
          </w:tcPr>
          <w:p>
            <w:pPr>
              <w:ind w:firstLine="0"/>
              <w:jc w:val="center"/>
              <w:keepLines/>
              <w:keepNext/>
              <w:pageBreakBefore w:val="0"/>
              <w:spacing w:line="240" w:lineRule="atLeast"/>
              <w:widowControl w:val="off"/>
              <w:rPr>
                <w:rFonts w:ascii="宋体" w:hAnsi="宋体" w:cs="宋体"/>
                <w:b/>
                <w:bCs/>
                <w:sz w:val="22"/>
                <w:szCs w:val="22"/>
              </w:rPr>
              <w:outlineLvl w:val="2"/>
            </w:pPr>
            <w:r>
              <w:rPr>
                <w:rFonts w:ascii="宋体" w:hAnsi="宋体" w:cs="宋体"/>
                <w:b/>
                <w:bCs/>
                <w:sz w:val="22"/>
                <w:szCs w:val="22"/>
              </w:rPr>
            </w:r>
            <w:r/>
          </w:p>
        </w:tc>
        <w:tc>
          <w:tcPr>
            <w:tcW w:w="4468" w:type="dxa"/>
            <w:vAlign w:val="center"/>
            <w:textDirection w:val="lrTb"/>
            <w:noWrap w:val="false"/>
          </w:tcPr>
          <w:p>
            <w:pPr>
              <w:ind w:firstLine="0"/>
              <w:keepLines/>
              <w:keepNext/>
              <w:pageBreakBefore w:val="0"/>
              <w:spacing w:line="240" w:lineRule="atLeast"/>
              <w:widowControl w:val="off"/>
              <w:rPr>
                <w:rFonts w:ascii="宋体" w:hAnsi="宋体" w:cs="宋体"/>
                <w:b/>
                <w:bCs/>
                <w:color w:val="auto"/>
                <w:sz w:val="22"/>
                <w:szCs w:val="22"/>
                <w:highlight w:val="none"/>
              </w:rPr>
              <w:outlineLvl w:val="2"/>
            </w:pPr>
            <w:r>
              <w:rPr>
                <w:rFonts w:hint="eastAsia" w:ascii="宋体" w:hAnsi="宋体" w:cs="宋体"/>
                <w:b/>
                <w:bCs/>
                <w:color w:val="auto"/>
                <w:sz w:val="22"/>
                <w:szCs w:val="22"/>
                <w:highlight w:val="none"/>
              </w:rPr>
              <w:t xml:space="preserve">按投标文件格式要求提供了《诚信投标承诺书》。</w:t>
            </w:r>
            <w:r>
              <w:rPr>
                <w:highlight w:val="none"/>
              </w:rPr>
            </w:r>
            <w:r/>
          </w:p>
        </w:tc>
      </w:tr>
    </w:tbl>
    <w:p>
      <w:pPr>
        <w:ind w:firstLine="442"/>
        <w:keepLines w:val="0"/>
        <w:keepNext w:val="0"/>
        <w:pageBreakBefore w:val="0"/>
        <w:spacing w:line="360" w:lineRule="auto"/>
        <w:widowControl w:val="off"/>
        <w:rPr>
          <w:rFonts w:ascii="黑体" w:hAnsi="黑体" w:eastAsia="黑体" w:cs="宋体"/>
          <w:b/>
          <w:bCs/>
          <w:color w:val="auto"/>
          <w:sz w:val="22"/>
          <w:highlight w:val="none"/>
        </w:rPr>
      </w:pPr>
      <w:r>
        <w:rPr>
          <w:rFonts w:hint="eastAsia" w:ascii="黑体" w:hAnsi="黑体" w:eastAsia="黑体" w:cs="宋体"/>
          <w:b/>
          <w:bCs/>
          <w:color w:val="auto"/>
          <w:sz w:val="22"/>
          <w:highlight w:val="none"/>
        </w:rPr>
        <w:t xml:space="preserve">2.2 未能通过资格审查的供应商投标文件作无效投标文件处理，其投标文件不再提交评标委员会进行评标。</w:t>
      </w:r>
      <w:r>
        <w:rPr>
          <w:highlight w:val="none"/>
        </w:rPr>
      </w:r>
      <w:r/>
    </w:p>
    <w:p>
      <w:pPr>
        <w:ind w:firstLine="0"/>
        <w:keepLines w:val="0"/>
        <w:keepNext w:val="0"/>
        <w:pageBreakBefore w:val="0"/>
        <w:spacing w:line="360" w:lineRule="auto"/>
        <w:widowControl w:val="off"/>
        <w:rPr>
          <w:rFonts w:ascii="黑体" w:hAnsi="黑体" w:eastAsia="黑体" w:cs="宋体"/>
          <w:b/>
          <w:bCs/>
          <w:color w:val="auto"/>
          <w:sz w:val="22"/>
          <w:highlight w:val="none"/>
        </w:rPr>
      </w:pPr>
      <w:r>
        <w:rPr>
          <w:rFonts w:hint="eastAsia" w:ascii="黑体" w:hAnsi="黑体" w:eastAsia="黑体" w:cs="宋体"/>
          <w:b/>
          <w:bCs/>
          <w:color w:val="auto"/>
          <w:sz w:val="22"/>
          <w:highlight w:val="none"/>
        </w:rPr>
        <w:t xml:space="preserve">3．澄清、说明或者补正</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3.1在资格审查过程中，资格评审小组可以通过【询标】按钮要求投标人对所提交的资格证明文件中不明确的内容进行必要的澄清、说明或者补正。</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3.2.2 投标人在收到【询问函】后，应在规定的时长内完成【询问反馈】并签章。投标人的澄清、说明或者补正不得超出投标文件的范围或者改变投标文件的实质性内容。澄清、说明或者补正不得改变资格证明文件的实质性内容。投标人的澄清、说明或者补正内容属于投标文件的组成部分。</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3.2 资格评审小组不接受投标人主动提出的澄清、说明或者补正。投标人不按资格评审小组的要求澄清、说明或补正的，资格评审小组将否决其投标。</w:t>
      </w:r>
      <w:r>
        <w:rPr>
          <w:highlight w:val="none"/>
        </w:rPr>
      </w:r>
      <w:r/>
    </w:p>
    <w:p>
      <w:pPr>
        <w:ind w:firstLine="0"/>
        <w:keepLines w:val="0"/>
        <w:keepNext w:val="0"/>
        <w:pageBreakBefore w:val="0"/>
        <w:spacing w:line="360" w:lineRule="auto"/>
        <w:widowControl w:val="off"/>
        <w:rPr>
          <w:rFonts w:ascii="黑体" w:hAnsi="黑体" w:eastAsia="黑体" w:cs="宋体"/>
          <w:b/>
          <w:bCs/>
          <w:color w:val="auto"/>
          <w:sz w:val="22"/>
          <w:highlight w:val="none"/>
        </w:rPr>
      </w:pPr>
      <w:r>
        <w:rPr>
          <w:rFonts w:hint="eastAsia" w:ascii="黑体" w:hAnsi="黑体" w:eastAsia="黑体" w:cs="宋体"/>
          <w:b/>
          <w:bCs/>
          <w:color w:val="auto"/>
          <w:sz w:val="22"/>
          <w:highlight w:val="none"/>
        </w:rPr>
        <w:t xml:space="preserve">4.审查结果</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4.1 资格评审小组完成资格审查后，确定通过资格审查的投标人名单，并编制书面资格审查报告。</w:t>
      </w:r>
      <w:r>
        <w:rPr>
          <w:highlight w:val="none"/>
        </w:rPr>
      </w:r>
      <w:r/>
    </w:p>
    <w:p>
      <w:pPr>
        <w:ind w:firstLine="440"/>
        <w:keepLines w:val="0"/>
        <w:keepNext w:val="0"/>
        <w:pageBreakBefore w:val="0"/>
        <w:spacing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4.2 通过资格审查的投标人数量不足3个的，不再进行评标。 </w:t>
      </w:r>
      <w:r>
        <w:rPr>
          <w:highlight w:val="none"/>
        </w:rPr>
      </w:r>
      <w:r/>
    </w:p>
    <w:p>
      <w:pPr>
        <w:ind w:firstLine="0"/>
        <w:pageBreakBefore w:val="0"/>
        <w:spacing w:line="520" w:lineRule="exact"/>
        <w:widowControl w:val="off"/>
        <w:rPr>
          <w:rFonts w:ascii="宋体" w:hAnsi="宋体" w:cs="宋体"/>
          <w:color w:val="auto"/>
          <w:sz w:val="22"/>
          <w:highlight w:val="none"/>
        </w:rPr>
      </w:pPr>
      <w:r>
        <w:rPr>
          <w:rFonts w:ascii="宋体" w:hAnsi="宋体" w:cs="宋体"/>
          <w:color w:val="auto"/>
          <w:sz w:val="22"/>
          <w:highlight w:val="none"/>
        </w:rPr>
      </w:r>
      <w:r>
        <w:rPr>
          <w:highlight w:val="none"/>
        </w:rPr>
      </w:r>
      <w:r/>
    </w:p>
    <w:p>
      <w:pPr>
        <w:ind w:firstLine="440"/>
        <w:spacing w:line="480" w:lineRule="exact"/>
        <w:rPr>
          <w:rFonts w:ascii="宋体" w:hAnsi="宋体" w:cs="宋体"/>
          <w:color w:val="auto"/>
          <w:sz w:val="22"/>
          <w:highlight w:val="none"/>
        </w:rPr>
      </w:pPr>
      <w:r>
        <w:rPr>
          <w:rFonts w:ascii="宋体" w:hAnsi="宋体" w:cs="宋体"/>
          <w:color w:val="auto"/>
          <w:sz w:val="22"/>
          <w:highlight w:val="none"/>
        </w:rPr>
      </w:r>
      <w:r>
        <w:rPr>
          <w:highlight w:val="none"/>
        </w:rPr>
      </w:r>
      <w:r/>
    </w:p>
    <w:p>
      <w:pPr>
        <w:pStyle w:val="936"/>
        <w:jc w:val="center"/>
        <w:spacing w:after="20" w:line="240" w:lineRule="auto"/>
        <w:rPr>
          <w:rFonts w:ascii="微软雅黑" w:hAnsi="微软雅黑" w:eastAsia="微软雅黑" w:cs="微软雅黑"/>
          <w:b w:val="0"/>
          <w:bCs w:val="0"/>
          <w:color w:val="auto"/>
          <w:sz w:val="36"/>
          <w:szCs w:val="36"/>
          <w:highlight w:val="none"/>
        </w:rPr>
      </w:pPr>
      <w:r>
        <w:rPr>
          <w:highlight w:val="none"/>
        </w:rPr>
      </w:r>
      <w:bookmarkStart w:id="118" w:name="_Toc152268441"/>
      <w:r>
        <w:rPr>
          <w:rFonts w:hint="eastAsia" w:ascii="微软雅黑" w:hAnsi="微软雅黑" w:eastAsia="微软雅黑" w:cs="微软雅黑"/>
          <w:b w:val="0"/>
          <w:bCs w:val="0"/>
          <w:color w:val="auto"/>
          <w:sz w:val="36"/>
          <w:szCs w:val="36"/>
          <w:highlight w:val="none"/>
        </w:rPr>
        <w:t xml:space="preserve">第四章 评标办法</w:t>
      </w:r>
      <w:bookmarkEnd w:id="118"/>
      <w:r>
        <w:rPr>
          <w:highlight w:val="none"/>
        </w:rPr>
      </w:r>
      <w:r/>
    </w:p>
    <w:p>
      <w:pPr>
        <w:pStyle w:val="940"/>
        <w:ind w:firstLine="0"/>
        <w:jc w:val="center"/>
        <w:spacing w:before="0" w:after="0" w:line="360" w:lineRule="auto"/>
        <w:rPr>
          <w:color w:val="auto"/>
          <w:sz w:val="28"/>
          <w:szCs w:val="21"/>
          <w:highlight w:val="none"/>
        </w:rPr>
      </w:pPr>
      <w:r>
        <w:rPr>
          <w:rFonts w:hint="eastAsia"/>
          <w:color w:val="auto"/>
          <w:sz w:val="28"/>
          <w:szCs w:val="21"/>
          <w:highlight w:val="none"/>
        </w:rPr>
        <w:t xml:space="preserve">评标办法前附表</w:t>
      </w:r>
      <w:r>
        <w:rPr>
          <w:highlight w:val="none"/>
        </w:rPr>
      </w:r>
      <w:r/>
    </w:p>
    <w:tbl>
      <w:tblPr>
        <w:tblStyle w:val="681"/>
        <w:tblW w:w="92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770"/>
        <w:gridCol w:w="6598"/>
      </w:tblGrid>
      <w:tr>
        <w:trPr>
          <w:trHeight w:val="568"/>
        </w:trPr>
        <w:tc>
          <w:tcPr>
            <w:gridSpan w:val="2"/>
            <w:tcW w:w="267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条款号</w:t>
            </w:r>
            <w:r>
              <w:rPr>
                <w:highlight w:val="none"/>
              </w:rPr>
            </w:r>
            <w:r/>
          </w:p>
        </w:tc>
        <w:tc>
          <w:tcPr>
            <w:tcW w:w="6598" w:type="dxa"/>
            <w:vAlign w:val="center"/>
            <w:textDirection w:val="lrTb"/>
            <w:noWrap w:val="false"/>
          </w:tcPr>
          <w:p>
            <w:pPr>
              <w:ind w:firstLine="480"/>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评审因素与评审标准</w:t>
            </w:r>
            <w:r>
              <w:rPr>
                <w:highlight w:val="none"/>
              </w:rPr>
            </w:r>
            <w:r/>
          </w:p>
        </w:tc>
      </w:tr>
      <w:tr>
        <w:trPr>
          <w:trHeight w:val="3424"/>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2.1.1</w:t>
            </w:r>
            <w:r>
              <w:rPr>
                <w:highlight w:val="none"/>
              </w:rPr>
            </w:r>
            <w:r/>
          </w:p>
        </w:tc>
        <w:tc>
          <w:tcPr>
            <w:tcW w:w="1770" w:type="dxa"/>
            <w:vAlign w:val="center"/>
            <w:textDirection w:val="lrTb"/>
            <w:noWrap w:val="false"/>
          </w:tcPr>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符</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合</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性</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评</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审</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标</w:t>
            </w:r>
            <w:r>
              <w:rPr>
                <w:highlight w:val="none"/>
              </w:rPr>
            </w:r>
            <w:r/>
          </w:p>
          <w:p>
            <w:pPr>
              <w:jc w:val="cente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eastAsia="宋体" w:cs="宋体"/>
                <w:b/>
                <w:bCs/>
                <w:sz w:val="22"/>
                <w:highlight w:val="none"/>
              </w:rPr>
              <w:t xml:space="preserve">准</w:t>
            </w:r>
            <w:r>
              <w:rPr>
                <w:highlight w:val="none"/>
              </w:rPr>
            </w:r>
            <w:r/>
          </w:p>
        </w:tc>
        <w:tc>
          <w:tcPr>
            <w:tcW w:w="6598" w:type="dxa"/>
            <w:vAlign w:val="top"/>
            <w:textDirection w:val="lrTb"/>
            <w:noWrap w:val="false"/>
          </w:tcPr>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（1）投标文件组成齐全，格式、内容按招标文件的规定，字迹清晰可辩：</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（2）投标文件中单位和个人电子签章齐全，符合招标文件规定；</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（3）投标报价为唯一报价，且未提交选择性报价；</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（4）投标报价未高于采购人的最高限价；</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（5）投标人未提交可调价格的投标报价；</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（6）商务条款响应表中未出现负偏离；</w:t>
            </w:r>
            <w:r>
              <w:rPr>
                <w:highlight w:val="none"/>
              </w:rPr>
            </w:r>
            <w:r/>
          </w:p>
          <w:p>
            <w:pPr>
              <w:keepLines/>
              <w:keepNext/>
              <w:pageBreakBefore w:val="0"/>
              <w:spacing w:line="320" w:lineRule="exact"/>
              <w:widowControl w:val="off"/>
              <w:rPr>
                <w:rFonts w:hint="eastAsia" w:ascii="宋体" w:hAnsi="宋体" w:eastAsia="宋体" w:cs="宋体"/>
                <w:sz w:val="22"/>
                <w:highlight w:val="none"/>
              </w:rPr>
              <w:outlineLvl w:val="2"/>
            </w:pPr>
            <w:r>
              <w:rPr>
                <w:rFonts w:hint="eastAsia" w:ascii="宋体" w:hAnsi="宋体" w:eastAsia="宋体" w:cs="宋体"/>
                <w:sz w:val="22"/>
                <w:highlight w:val="none"/>
              </w:rPr>
              <w:t xml:space="preserve">（7）投标报价分项表中产品品牌、规格/型号</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国别</w:t>
            </w:r>
            <w:r>
              <w:rPr>
                <w:rFonts w:hint="eastAsia" w:ascii="宋体" w:hAnsi="宋体" w:eastAsia="宋体" w:cs="宋体"/>
                <w:sz w:val="22"/>
                <w:highlight w:val="none"/>
              </w:rPr>
              <w:t xml:space="preserve">及制造商名称填写完整、有效</w:t>
            </w:r>
            <w:r>
              <w:rPr>
                <w:rFonts w:hint="eastAsia" w:ascii="宋体" w:hAnsi="宋体" w:cs="宋体"/>
                <w:sz w:val="22"/>
                <w:highlight w:val="none"/>
                <w:lang w:eastAsia="zh-CN"/>
              </w:rPr>
              <w:t xml:space="preserve">；</w:t>
            </w:r>
            <w:r>
              <w:rPr>
                <w:highlight w:val="none"/>
              </w:rPr>
            </w:r>
            <w:r/>
          </w:p>
          <w:p>
            <w:pPr>
              <w:keepLines/>
              <w:keepNext/>
              <w:pageBreakBefore w:val="0"/>
              <w:spacing w:line="320" w:lineRule="exact"/>
              <w:widowControl w:val="off"/>
              <w:rPr>
                <w:rFonts w:hint="eastAsia" w:ascii="宋体" w:hAnsi="宋体" w:eastAsia="宋体" w:cs="宋体"/>
                <w:b/>
                <w:bCs/>
                <w:sz w:val="22"/>
                <w:highlight w:val="none"/>
              </w:rPr>
              <w:outlineLvl w:val="2"/>
            </w:pP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8</w:t>
            </w:r>
            <w:r>
              <w:rPr>
                <w:rFonts w:hint="eastAsia" w:ascii="宋体" w:hAnsi="宋体" w:cs="宋体"/>
                <w:sz w:val="22"/>
                <w:highlight w:val="none"/>
                <w:lang w:eastAsia="zh-CN"/>
              </w:rPr>
              <w:t xml:space="preserve">）</w:t>
            </w:r>
            <w:r>
              <w:rPr>
                <w:rFonts w:hint="eastAsia" w:ascii="宋体" w:hAnsi="宋体" w:eastAsia="宋体" w:cs="宋体"/>
                <w:sz w:val="22"/>
                <w:highlight w:val="none"/>
              </w:rPr>
              <w:t xml:space="preserve">投标文件未附有采购人不能接受的条件。</w:t>
            </w:r>
            <w:r>
              <w:rPr>
                <w:highlight w:val="none"/>
              </w:rPr>
            </w:r>
            <w:r/>
          </w:p>
        </w:tc>
      </w:tr>
      <w:tr>
        <w:trPr>
          <w:trHeight w:val="490"/>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条款号</w:t>
            </w:r>
            <w:r>
              <w:rPr>
                <w:highlight w:val="none"/>
              </w:rPr>
            </w:r>
            <w:r/>
          </w:p>
        </w:tc>
        <w:tc>
          <w:tcPr>
            <w:tcW w:w="1770"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条款内容</w:t>
            </w:r>
            <w:r>
              <w:rPr>
                <w:highlight w:val="none"/>
              </w:rPr>
            </w:r>
            <w:r/>
          </w:p>
        </w:tc>
        <w:tc>
          <w:tcPr>
            <w:tcW w:w="6598"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编列内容</w:t>
            </w:r>
            <w:r>
              <w:rPr>
                <w:highlight w:val="none"/>
              </w:rPr>
            </w:r>
            <w:r/>
          </w:p>
        </w:tc>
      </w:tr>
      <w:tr>
        <w:trPr>
          <w:trHeight w:val="978"/>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2.2.1</w:t>
            </w:r>
            <w:r>
              <w:rPr>
                <w:highlight w:val="none"/>
              </w:rPr>
            </w:r>
            <w:r/>
          </w:p>
        </w:tc>
        <w:tc>
          <w:tcPr>
            <w:tcW w:w="1770"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分值构成</w:t>
            </w:r>
            <w:r>
              <w:rPr>
                <w:highlight w:val="none"/>
              </w:rPr>
            </w:r>
            <w:r/>
          </w:p>
          <w:p>
            <w:pP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（总分100分）</w:t>
            </w:r>
            <w:r>
              <w:rPr>
                <w:highlight w:val="none"/>
              </w:rPr>
            </w:r>
            <w:r/>
          </w:p>
        </w:tc>
        <w:tc>
          <w:tcPr>
            <w:tcW w:w="6598" w:type="dxa"/>
            <w:vAlign w:val="center"/>
            <w:textDirection w:val="lrTb"/>
            <w:noWrap w:val="false"/>
          </w:tcPr>
          <w:p>
            <w:pPr>
              <w:jc w:val="left"/>
              <w:pageBreakBefore w:val="0"/>
              <w:spacing w:line="320" w:lineRule="exact"/>
              <w:widowControl w:val="off"/>
              <w:rPr>
                <w:rFonts w:hint="eastAsia" w:ascii="宋体" w:hAnsi="宋体" w:eastAsia="宋体" w:cs="宋体"/>
                <w:sz w:val="22"/>
                <w:highlight w:val="none"/>
              </w:rPr>
            </w:pPr>
            <w:r>
              <w:rPr>
                <w:rFonts w:hint="eastAsia" w:ascii="宋体" w:hAnsi="宋体" w:cs="宋体"/>
                <w:sz w:val="22"/>
                <w:highlight w:val="none"/>
                <w:lang w:val="en-US" w:eastAsia="zh-CN"/>
              </w:rPr>
              <w:t xml:space="preserve">项目</w:t>
            </w:r>
            <w:r>
              <w:rPr>
                <w:rFonts w:hint="eastAsia" w:ascii="宋体" w:hAnsi="宋体" w:eastAsia="宋体" w:cs="宋体"/>
                <w:sz w:val="22"/>
                <w:highlight w:val="none"/>
                <w:lang w:val="en-US" w:eastAsia="zh-CN"/>
              </w:rPr>
              <w:t xml:space="preserve">总体理解</w:t>
            </w:r>
            <w:r>
              <w:rPr>
                <w:rFonts w:hint="eastAsia" w:ascii="宋体" w:hAnsi="宋体" w:cs="宋体"/>
                <w:sz w:val="22"/>
                <w:highlight w:val="none"/>
                <w:lang w:val="en-US" w:eastAsia="zh-CN"/>
              </w:rPr>
              <w:t xml:space="preserve">：5</w:t>
            </w:r>
            <w:r>
              <w:rPr>
                <w:rFonts w:hint="eastAsia" w:ascii="宋体" w:hAnsi="宋体" w:eastAsia="宋体" w:cs="宋体"/>
                <w:sz w:val="22"/>
                <w:highlight w:val="none"/>
                <w:lang w:val="en-US" w:eastAsia="zh-CN"/>
              </w:rPr>
              <w:t xml:space="preserve">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关键技术方案</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5分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项目实施方案</w:t>
            </w:r>
            <w:r>
              <w:rPr>
                <w:rFonts w:hint="eastAsia" w:ascii="宋体" w:hAnsi="宋体" w:cs="宋体"/>
                <w:sz w:val="22"/>
                <w:highlight w:val="none"/>
                <w:lang w:val="en-US" w:eastAsia="zh-CN"/>
              </w:rPr>
              <w:t xml:space="preserve">：5</w:t>
            </w:r>
            <w:r>
              <w:rPr>
                <w:rFonts w:hint="eastAsia" w:ascii="宋体" w:hAnsi="宋体" w:eastAsia="宋体" w:cs="宋体"/>
                <w:sz w:val="22"/>
                <w:highlight w:val="none"/>
                <w:lang w:val="en-US" w:eastAsia="zh-CN"/>
              </w:rPr>
              <w:t xml:space="preserve">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培训服务方案</w:t>
            </w:r>
            <w:r>
              <w:rPr>
                <w:rFonts w:hint="eastAsia" w:ascii="宋体" w:hAnsi="宋体" w:cs="宋体"/>
                <w:sz w:val="22"/>
                <w:highlight w:val="none"/>
                <w:lang w:val="en-US" w:eastAsia="zh-CN"/>
              </w:rPr>
              <w:t xml:space="preserve">：5</w:t>
            </w:r>
            <w:r>
              <w:rPr>
                <w:rFonts w:hint="eastAsia" w:ascii="宋体" w:hAnsi="宋体" w:eastAsia="宋体" w:cs="宋体"/>
                <w:sz w:val="22"/>
                <w:highlight w:val="none"/>
                <w:lang w:val="en-US" w:eastAsia="zh-CN"/>
              </w:rPr>
              <w:t xml:space="preserve">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售后服务方案</w:t>
            </w:r>
            <w:r>
              <w:rPr>
                <w:rFonts w:hint="eastAsia" w:ascii="宋体" w:hAnsi="宋体" w:cs="宋体"/>
                <w:sz w:val="22"/>
                <w:highlight w:val="none"/>
                <w:lang w:val="en-US" w:eastAsia="zh-CN"/>
              </w:rPr>
              <w:t xml:space="preserve">：4</w:t>
            </w:r>
            <w:r>
              <w:rPr>
                <w:rFonts w:hint="eastAsia" w:ascii="宋体" w:hAnsi="宋体" w:eastAsia="宋体" w:cs="宋体"/>
                <w:sz w:val="22"/>
                <w:highlight w:val="none"/>
                <w:lang w:val="en-US" w:eastAsia="zh-CN"/>
              </w:rPr>
              <w:t xml:space="preserve">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技术响应</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2</w:t>
            </w:r>
            <w:r>
              <w:rPr>
                <w:rFonts w:hint="eastAsia" w:ascii="宋体" w:hAnsi="宋体" w:cs="宋体"/>
                <w:sz w:val="22"/>
                <w:highlight w:val="none"/>
                <w:lang w:val="en-US" w:eastAsia="zh-CN"/>
              </w:rPr>
              <w:t xml:space="preserve">3</w:t>
            </w:r>
            <w:r>
              <w:rPr>
                <w:rFonts w:hint="eastAsia" w:ascii="宋体" w:hAnsi="宋体" w:eastAsia="宋体" w:cs="宋体"/>
                <w:sz w:val="22"/>
                <w:highlight w:val="none"/>
                <w:lang w:val="en-US" w:eastAsia="zh-CN"/>
              </w:rPr>
              <w:t xml:space="preserve">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体系认证</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3分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软件著作权</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2分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项目团队</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5分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系统演示</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10分</w:t>
            </w:r>
            <w:r>
              <w:rPr>
                <w:highlight w:val="none"/>
              </w:rPr>
            </w:r>
            <w:r/>
          </w:p>
          <w:p>
            <w:pPr>
              <w:jc w:val="left"/>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sz w:val="22"/>
                <w:highlight w:val="none"/>
                <w:lang w:val="en-US" w:eastAsia="zh-CN"/>
              </w:rPr>
              <w:t xml:space="preserve">类似业绩</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3分</w:t>
            </w:r>
            <w:r>
              <w:rPr>
                <w:highlight w:val="none"/>
              </w:rPr>
            </w:r>
            <w:r/>
          </w:p>
          <w:p>
            <w:pPr>
              <w:jc w:val="left"/>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sz w:val="22"/>
                <w:highlight w:val="none"/>
                <w:lang w:val="en-US" w:eastAsia="zh-CN"/>
              </w:rPr>
              <w:t xml:space="preserve">投标价格</w:t>
            </w:r>
            <w:r>
              <w:rPr>
                <w:rFonts w:hint="eastAsia" w:ascii="宋体" w:hAnsi="宋体" w:cs="宋体"/>
                <w:sz w:val="22"/>
                <w:highlight w:val="none"/>
                <w:lang w:val="en-US" w:eastAsia="zh-CN"/>
              </w:rPr>
              <w:t xml:space="preserve">：</w:t>
            </w:r>
            <w:r>
              <w:rPr>
                <w:rFonts w:hint="eastAsia" w:ascii="宋体" w:hAnsi="宋体" w:eastAsia="宋体" w:cs="宋体"/>
                <w:sz w:val="22"/>
                <w:highlight w:val="none"/>
                <w:lang w:val="en-US" w:eastAsia="zh-CN"/>
              </w:rPr>
              <w:t xml:space="preserve">30分</w:t>
            </w:r>
            <w:r>
              <w:rPr>
                <w:highlight w:val="none"/>
              </w:rPr>
            </w:r>
            <w:r/>
          </w:p>
        </w:tc>
      </w:tr>
      <w:tr>
        <w:trPr>
          <w:trHeight w:val="570"/>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条款号</w:t>
            </w:r>
            <w:r>
              <w:rPr>
                <w:highlight w:val="none"/>
              </w:rPr>
            </w:r>
            <w:r/>
          </w:p>
        </w:tc>
        <w:tc>
          <w:tcPr>
            <w:tcW w:w="1770"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评分因素</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及分值</w:t>
            </w:r>
            <w:r>
              <w:rPr>
                <w:highlight w:val="none"/>
              </w:rPr>
            </w:r>
            <w:r/>
          </w:p>
        </w:tc>
        <w:tc>
          <w:tcPr>
            <w:tcW w:w="6598"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评分标准</w:t>
            </w:r>
            <w:r>
              <w:rPr>
                <w:highlight w:val="none"/>
              </w:rPr>
            </w:r>
            <w:r/>
          </w:p>
        </w:tc>
      </w:tr>
      <w:tr>
        <w:trPr>
          <w:trHeight w:val="246"/>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（1）</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项目</w:t>
            </w:r>
            <w:r>
              <w:rPr>
                <w:rFonts w:hint="eastAsia" w:ascii="宋体" w:hAnsi="宋体" w:eastAsia="宋体" w:cs="宋体"/>
                <w:b/>
                <w:bCs/>
                <w:sz w:val="22"/>
                <w:highlight w:val="none"/>
              </w:rPr>
              <w:t xml:space="preserve">总体理解</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5</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1116"/>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根据投标人对项目的总体理解程度（包括：项目背景与建设目标、项目建设范围与功能需求分析、项目实施的重点与难点分析、项目整体风险识别与应对策略）进行评审：</w:t>
            </w:r>
            <w:r>
              <w:rPr>
                <w:highlight w:val="none"/>
              </w:rPr>
            </w:r>
            <w:r/>
          </w:p>
          <w:p>
            <w:pPr>
              <w:pStyle w:val="1116"/>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（1）项目背景理解深刻，建设目标描述准确，功能需求分析全面且完全满足项目需要，重点与难点识别精准，风险识别全面且应对策略切实可行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5</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（2）项目背景理解较清晰，建设目标描述较准确，功能需求分析基本满足项目需要，重点与难点识别基本正确，风险识别较全面且应对策略基本可行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4</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（3）项目背景理解不够深入，建设目标描述不够准确，功能需求分析不够全面，重点与难点识别不够到位，风险识别不够全面或应对策略可行性一般</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（4）</w:t>
            </w:r>
            <w:r>
              <w:rPr>
                <w:rFonts w:hint="eastAsia" w:ascii="宋体" w:hAnsi="宋体" w:eastAsia="宋体" w:cs="宋体"/>
                <w:b w:val="0"/>
                <w:bCs w:val="0"/>
                <w:spacing w:val="-10"/>
                <w:sz w:val="22"/>
                <w:szCs w:val="22"/>
                <w:highlight w:val="none"/>
                <w:lang w:val="en-US" w:eastAsia="zh-CN"/>
              </w:rPr>
              <w:t xml:space="preserve">未编制项目总体理解的0分</w:t>
            </w:r>
            <w:r>
              <w:rPr>
                <w:rFonts w:hint="eastAsia" w:ascii="宋体" w:hAnsi="宋体" w:eastAsia="宋体" w:cs="宋体"/>
                <w:b w:val="0"/>
                <w:bCs w:val="0"/>
                <w:spacing w:val="-10"/>
                <w:sz w:val="22"/>
                <w:szCs w:val="22"/>
                <w:highlight w:val="none"/>
                <w:lang w:eastAsia="zh-CN"/>
              </w:rPr>
              <w:t xml:space="preserve">。</w:t>
            </w:r>
            <w:r>
              <w:rPr>
                <w:highlight w:val="none"/>
              </w:rPr>
            </w:r>
            <w:r/>
          </w:p>
        </w:tc>
      </w:tr>
      <w:tr>
        <w:trPr>
          <w:trHeight w:val="1652"/>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关键技术方案</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eastAsia="宋体" w:cs="宋体"/>
                <w:b/>
                <w:bCs/>
                <w:sz w:val="22"/>
                <w:highlight w:val="none"/>
                <w:lang w:val="en-US" w:eastAsia="zh-CN"/>
              </w:rPr>
              <w:t xml:space="preserve">5</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根据投标人针对项目关键技术难点所提供的解决方案（包括：系统总体架构设计、关键技术选型与实现方案、系统集成与接口设计方案、数据安全与系统安全防护方案）进行评审：</w:t>
            </w:r>
            <w:r>
              <w:rPr>
                <w:rFonts w:hint="eastAsia" w:ascii="宋体" w:hAnsi="宋体" w:eastAsia="宋体" w:cs="宋体"/>
                <w:b w:val="0"/>
                <w:bCs w:val="0"/>
                <w:spacing w:val="-10"/>
                <w:sz w:val="22"/>
                <w:szCs w:val="22"/>
                <w:highlight w:val="none"/>
                <w:lang w:eastAsia="zh-CN"/>
              </w:rPr>
              <w:br/>
            </w:r>
            <w:r>
              <w:rPr>
                <w:rFonts w:hint="eastAsia" w:ascii="宋体" w:hAnsi="宋体" w:eastAsia="宋体" w:cs="宋体"/>
                <w:b w:val="0"/>
                <w:bCs w:val="0"/>
                <w:spacing w:val="-10"/>
                <w:sz w:val="22"/>
                <w:szCs w:val="22"/>
                <w:highlight w:val="none"/>
                <w:lang w:eastAsia="zh-CN"/>
              </w:rPr>
              <w:t xml:space="preserve">（1）系统架构设计科学合理，关键技术选型先进且实现方案成熟可靠，系统集成与接口设计清晰完整，安全防护方案完善，整体技术方案可行性高</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eastAsia="宋体" w:cs="宋体"/>
                <w:b w:val="0"/>
                <w:bCs w:val="0"/>
                <w:spacing w:val="-10"/>
                <w:sz w:val="22"/>
                <w:szCs w:val="22"/>
                <w:highlight w:val="none"/>
                <w:lang w:val="en-US" w:eastAsia="zh-CN"/>
              </w:rPr>
              <w:t xml:space="preserve">5</w:t>
            </w:r>
            <w:r>
              <w:rPr>
                <w:rFonts w:hint="eastAsia" w:ascii="宋体" w:hAnsi="宋体" w:eastAsia="宋体" w:cs="宋体"/>
                <w:b w:val="0"/>
                <w:bCs w:val="0"/>
                <w:spacing w:val="-10"/>
                <w:sz w:val="22"/>
                <w:szCs w:val="22"/>
                <w:highlight w:val="none"/>
                <w:lang w:eastAsia="zh-CN"/>
              </w:rPr>
              <w:t xml:space="preserve">分；</w:t>
            </w:r>
            <w:r>
              <w:rPr>
                <w:rFonts w:hint="eastAsia" w:ascii="宋体" w:hAnsi="宋体" w:eastAsia="宋体" w:cs="宋体"/>
                <w:b w:val="0"/>
                <w:bCs w:val="0"/>
                <w:spacing w:val="-10"/>
                <w:sz w:val="22"/>
                <w:szCs w:val="22"/>
                <w:highlight w:val="none"/>
                <w:lang w:eastAsia="zh-CN"/>
              </w:rPr>
              <w:br/>
            </w:r>
            <w:r>
              <w:rPr>
                <w:rFonts w:hint="eastAsia" w:ascii="宋体" w:hAnsi="宋体" w:eastAsia="宋体" w:cs="宋体"/>
                <w:b w:val="0"/>
                <w:bCs w:val="0"/>
                <w:spacing w:val="-10"/>
                <w:sz w:val="22"/>
                <w:szCs w:val="22"/>
                <w:highlight w:val="none"/>
                <w:lang w:eastAsia="zh-CN"/>
              </w:rPr>
              <w:t xml:space="preserve">（2）系统架构设计较合理，关键技术选型较先进且实现方案基本可靠，系统集成与接口设计较清晰，安全防护方案较完善，整体技术方案基本可行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eastAsia="宋体" w:cs="宋体"/>
                <w:b w:val="0"/>
                <w:bCs w:val="0"/>
                <w:spacing w:val="-10"/>
                <w:sz w:val="22"/>
                <w:szCs w:val="22"/>
                <w:highlight w:val="none"/>
                <w:lang w:val="en-US" w:eastAsia="zh-CN"/>
              </w:rPr>
              <w:t xml:space="preserve">4</w:t>
            </w:r>
            <w:r>
              <w:rPr>
                <w:rFonts w:hint="eastAsia" w:ascii="宋体" w:hAnsi="宋体" w:eastAsia="宋体" w:cs="宋体"/>
                <w:b w:val="0"/>
                <w:bCs w:val="0"/>
                <w:spacing w:val="-10"/>
                <w:sz w:val="22"/>
                <w:szCs w:val="22"/>
                <w:highlight w:val="none"/>
                <w:lang w:eastAsia="zh-CN"/>
              </w:rPr>
              <w:t xml:space="preserve">分；</w:t>
            </w:r>
            <w:r>
              <w:rPr>
                <w:rFonts w:hint="eastAsia" w:ascii="宋体" w:hAnsi="宋体" w:eastAsia="宋体" w:cs="宋体"/>
                <w:b w:val="0"/>
                <w:bCs w:val="0"/>
                <w:spacing w:val="-10"/>
                <w:sz w:val="22"/>
                <w:szCs w:val="22"/>
                <w:highlight w:val="none"/>
                <w:lang w:eastAsia="zh-CN"/>
              </w:rPr>
              <w:br/>
            </w:r>
            <w:r>
              <w:rPr>
                <w:rFonts w:hint="eastAsia" w:ascii="宋体" w:hAnsi="宋体" w:eastAsia="宋体" w:cs="宋体"/>
                <w:b w:val="0"/>
                <w:bCs w:val="0"/>
                <w:spacing w:val="-10"/>
                <w:sz w:val="22"/>
                <w:szCs w:val="22"/>
                <w:highlight w:val="none"/>
                <w:lang w:eastAsia="zh-CN"/>
              </w:rPr>
              <w:t xml:space="preserve">（3）系统架构设计一般，关键技术选型及实现方案一般，系统集成与接口设计不够清晰，安全防护方案不够完善，整体技术方案可行性一般</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eastAsia="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分；</w:t>
            </w:r>
            <w:r>
              <w:rPr>
                <w:rFonts w:hint="eastAsia" w:ascii="宋体" w:hAnsi="宋体" w:eastAsia="宋体" w:cs="宋体"/>
                <w:b w:val="0"/>
                <w:bCs w:val="0"/>
                <w:spacing w:val="-10"/>
                <w:sz w:val="22"/>
                <w:szCs w:val="22"/>
                <w:highlight w:val="none"/>
                <w:lang w:eastAsia="zh-CN"/>
              </w:rPr>
              <w:br/>
            </w:r>
            <w:r>
              <w:rPr>
                <w:rFonts w:hint="eastAsia" w:ascii="宋体" w:hAnsi="宋体" w:eastAsia="宋体" w:cs="宋体"/>
                <w:b w:val="0"/>
                <w:bCs w:val="0"/>
                <w:spacing w:val="-10"/>
                <w:sz w:val="22"/>
                <w:szCs w:val="22"/>
                <w:highlight w:val="none"/>
                <w:lang w:eastAsia="zh-CN"/>
              </w:rPr>
              <w:t xml:space="preserve">（4）</w:t>
            </w:r>
            <w:r>
              <w:rPr>
                <w:rFonts w:hint="eastAsia" w:ascii="宋体" w:hAnsi="宋体" w:eastAsia="宋体" w:cs="宋体"/>
                <w:b w:val="0"/>
                <w:bCs w:val="0"/>
                <w:spacing w:val="-10"/>
                <w:sz w:val="22"/>
                <w:szCs w:val="22"/>
                <w:highlight w:val="none"/>
                <w:lang w:val="en-US" w:eastAsia="zh-CN"/>
              </w:rPr>
              <w:t xml:space="preserve">未编制关键技术方案的0分</w:t>
            </w:r>
            <w:r>
              <w:rPr>
                <w:rFonts w:hint="eastAsia" w:ascii="宋体" w:hAnsi="宋体" w:eastAsia="宋体" w:cs="宋体"/>
                <w:b w:val="0"/>
                <w:bCs w:val="0"/>
                <w:spacing w:val="-10"/>
                <w:sz w:val="22"/>
                <w:szCs w:val="22"/>
                <w:highlight w:val="none"/>
                <w:lang w:eastAsia="zh-CN"/>
              </w:rPr>
              <w:t xml:space="preserve">。</w:t>
            </w:r>
            <w:r>
              <w:rPr>
                <w:highlight w:val="none"/>
              </w:rPr>
            </w:r>
            <w:r/>
          </w:p>
        </w:tc>
      </w:tr>
      <w:tr>
        <w:trPr>
          <w:trHeight w:val="1808"/>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3</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项目实施方案</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5</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根据投标人提供的项目实施方案（包括：安装方案、质量保障措施、组织调试方案、团队人员配置）进行评审：</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（1）供货安装方案合理可行，质量保障措施完善，组织调试方案方案具体详细，团队人员配置完善，整体项目实施方案可行性高</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5</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（2）供货安装方案较合理可行，质量保障措施较完善，组织调试方案较具体详细，团队人员配置较完善，整体项目实施方案基本可行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4</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（3）供货安装方案不够合理，质量保障措施不够完善，组织调试方案不够具体，团队人员配置不够完善，整体项目实施方案可行性低</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（4）</w:t>
            </w:r>
            <w:r>
              <w:rPr>
                <w:rFonts w:hint="eastAsia" w:ascii="宋体" w:hAnsi="宋体" w:eastAsia="宋体" w:cs="宋体"/>
                <w:b w:val="0"/>
                <w:bCs w:val="0"/>
                <w:spacing w:val="-10"/>
                <w:sz w:val="22"/>
                <w:szCs w:val="22"/>
                <w:highlight w:val="none"/>
                <w:lang w:val="en-US" w:eastAsia="zh-CN"/>
              </w:rPr>
              <w:t xml:space="preserve">未编制</w:t>
            </w:r>
            <w:r>
              <w:rPr>
                <w:rFonts w:hint="eastAsia" w:ascii="宋体" w:hAnsi="宋体" w:eastAsia="宋体" w:cs="宋体"/>
                <w:b w:val="0"/>
                <w:bCs w:val="0"/>
                <w:spacing w:val="-10"/>
                <w:sz w:val="22"/>
                <w:szCs w:val="22"/>
                <w:highlight w:val="none"/>
                <w:lang w:eastAsia="zh-CN"/>
              </w:rPr>
              <w:t xml:space="preserve">项目实施方案</w:t>
            </w:r>
            <w:r>
              <w:rPr>
                <w:rFonts w:hint="eastAsia" w:ascii="宋体" w:hAnsi="宋体" w:eastAsia="宋体" w:cs="宋体"/>
                <w:b w:val="0"/>
                <w:bCs w:val="0"/>
                <w:spacing w:val="-10"/>
                <w:sz w:val="22"/>
                <w:szCs w:val="22"/>
                <w:highlight w:val="none"/>
                <w:lang w:val="en-US" w:eastAsia="zh-CN"/>
              </w:rPr>
              <w:t xml:space="preserve">的0分</w:t>
            </w:r>
            <w:r>
              <w:rPr>
                <w:rFonts w:hint="eastAsia" w:ascii="宋体" w:hAnsi="宋体" w:eastAsia="宋体" w:cs="宋体"/>
                <w:b w:val="0"/>
                <w:bCs w:val="0"/>
                <w:spacing w:val="-10"/>
                <w:sz w:val="22"/>
                <w:szCs w:val="22"/>
                <w:highlight w:val="none"/>
                <w:lang w:eastAsia="zh-CN"/>
              </w:rPr>
              <w:t xml:space="preserve">。</w:t>
            </w:r>
            <w:r>
              <w:rPr>
                <w:highlight w:val="none"/>
              </w:rPr>
            </w:r>
            <w:r/>
          </w:p>
        </w:tc>
      </w:tr>
      <w:tr>
        <w:trPr>
          <w:trHeight w:val="1925"/>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4</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培训服务方案</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5</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根据投标人提供的培训方案（包括：培训计划、培训内容）进行评审：</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（1）培训方案全面具体，具有针对性，方案可直接全面执行，有效保障本项目实施</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5</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（2）培训方案内容基本完整，具备一定执行性，基本保障本项目服务实施</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4</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（3）培训方案不够全面，方案可行较低，难以保障本项目服务实施，得</w:t>
            </w:r>
            <w:r>
              <w:rPr>
                <w:rFonts w:hint="eastAsia" w:ascii="宋体" w:hAnsi="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（4）</w:t>
            </w:r>
            <w:r>
              <w:rPr>
                <w:rFonts w:hint="eastAsia" w:ascii="宋体" w:hAnsi="宋体" w:eastAsia="宋体" w:cs="宋体"/>
                <w:b w:val="0"/>
                <w:bCs w:val="0"/>
                <w:spacing w:val="-10"/>
                <w:sz w:val="22"/>
                <w:szCs w:val="22"/>
                <w:highlight w:val="none"/>
                <w:lang w:val="en-US" w:eastAsia="zh-CN"/>
              </w:rPr>
              <w:t xml:space="preserve">未编制</w:t>
            </w:r>
            <w:r>
              <w:rPr>
                <w:rFonts w:hint="eastAsia" w:ascii="宋体" w:hAnsi="宋体" w:eastAsia="宋体" w:cs="宋体"/>
                <w:b w:val="0"/>
                <w:bCs w:val="0"/>
                <w:spacing w:val="-10"/>
                <w:sz w:val="22"/>
                <w:szCs w:val="22"/>
                <w:highlight w:val="none"/>
                <w:lang w:eastAsia="zh-CN"/>
              </w:rPr>
              <w:t xml:space="preserve">培训服务方案</w:t>
            </w:r>
            <w:r>
              <w:rPr>
                <w:rFonts w:hint="eastAsia" w:ascii="宋体" w:hAnsi="宋体" w:eastAsia="宋体" w:cs="宋体"/>
                <w:b w:val="0"/>
                <w:bCs w:val="0"/>
                <w:spacing w:val="-10"/>
                <w:sz w:val="22"/>
                <w:szCs w:val="22"/>
                <w:highlight w:val="none"/>
                <w:lang w:val="en-US" w:eastAsia="zh-CN"/>
              </w:rPr>
              <w:t xml:space="preserve">的0分</w:t>
            </w:r>
            <w:r>
              <w:rPr>
                <w:rFonts w:hint="eastAsia" w:ascii="宋体" w:hAnsi="宋体" w:eastAsia="宋体" w:cs="宋体"/>
                <w:b w:val="0"/>
                <w:bCs w:val="0"/>
                <w:spacing w:val="-10"/>
                <w:sz w:val="22"/>
                <w:szCs w:val="22"/>
                <w:highlight w:val="none"/>
                <w:lang w:eastAsia="zh-CN"/>
              </w:rPr>
              <w:t xml:space="preserve">。</w:t>
            </w:r>
            <w:r>
              <w:rPr>
                <w:highlight w:val="none"/>
              </w:rPr>
            </w:r>
            <w:r/>
          </w:p>
        </w:tc>
      </w:tr>
      <w:tr>
        <w:trPr>
          <w:trHeight w:val="2700"/>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5</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售后服务方案</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4</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根据投标人提供的售后服务方案（包括：服务承诺、保障措施）进行评审：</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（1）售后服务方案详尽，服务承诺合理，保障措施可行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4</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（2）售后服务方案基本详尽，服务承诺基本合理，保障措施基本可行</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（3）售后服务方案不够详尽，服务承诺不够合理，保障措施可行性一般</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w:t>
            </w:r>
            <w:r>
              <w:rPr>
                <w:rFonts w:hint="eastAsia" w:ascii="宋体" w:hAnsi="宋体" w:cs="宋体"/>
                <w:b w:val="0"/>
                <w:bCs w:val="0"/>
                <w:spacing w:val="-10"/>
                <w:sz w:val="22"/>
                <w:szCs w:val="22"/>
                <w:highlight w:val="none"/>
                <w:lang w:val="en-US" w:eastAsia="zh-CN"/>
              </w:rPr>
              <w:t xml:space="preserve">2</w:t>
            </w:r>
            <w:r>
              <w:rPr>
                <w:rFonts w:hint="eastAsia" w:ascii="宋体" w:hAnsi="宋体" w:eastAsia="宋体" w:cs="宋体"/>
                <w:b w:val="0"/>
                <w:bCs w:val="0"/>
                <w:spacing w:val="-10"/>
                <w:sz w:val="22"/>
                <w:szCs w:val="22"/>
                <w:highlight w:val="none"/>
                <w:lang w:eastAsia="zh-CN"/>
              </w:rPr>
              <w:t xml:space="preserve">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（4）未编制售后服务方案的0分。</w:t>
            </w:r>
            <w:r>
              <w:rPr>
                <w:highlight w:val="none"/>
              </w:rPr>
            </w:r>
            <w:r/>
          </w:p>
        </w:tc>
      </w:tr>
      <w:tr>
        <w:trPr>
          <w:trHeight w:val="749"/>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6</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技术响应</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eastAsia="宋体" w:cs="宋体"/>
                <w:b/>
                <w:bCs/>
                <w:sz w:val="22"/>
                <w:highlight w:val="none"/>
                <w:lang w:val="en-US" w:eastAsia="zh-CN"/>
              </w:rPr>
              <w:t xml:space="preserve">2</w:t>
            </w:r>
            <w:r>
              <w:rPr>
                <w:rFonts w:hint="eastAsia" w:ascii="宋体" w:hAnsi="宋体" w:cs="宋体"/>
                <w:b/>
                <w:bCs/>
                <w:sz w:val="22"/>
                <w:highlight w:val="none"/>
                <w:lang w:val="en-US" w:eastAsia="zh-CN"/>
              </w:rPr>
              <w:t xml:space="preserve">3</w:t>
            </w:r>
            <w:r>
              <w:rPr>
                <w:rFonts w:hint="eastAsia" w:ascii="宋体" w:hAnsi="宋体" w:eastAsia="宋体" w:cs="宋体"/>
                <w:b/>
                <w:bCs/>
                <w:sz w:val="22"/>
                <w:highlight w:val="none"/>
              </w:rPr>
              <w:t xml:space="preserve">分）</w:t>
            </w:r>
            <w:r>
              <w:rPr>
                <w:highlight w:val="none"/>
              </w:rPr>
            </w:r>
            <w:r/>
          </w:p>
        </w:tc>
        <w:tc>
          <w:tcPr>
            <w:shd w:val="clear" w:color="auto" w:fill="auto"/>
            <w:tcW w:w="6598" w:type="dxa"/>
            <w:vAlign w:val="center"/>
            <w:textDirection w:val="lrTb"/>
            <w:noWrap w:val="false"/>
          </w:tcPr>
          <w:p>
            <w:pPr>
              <w:pStyle w:val="1116"/>
              <w:keepLines w:val="0"/>
              <w:keepNext w:val="0"/>
              <w:pageBreakBefore w:val="0"/>
              <w:spacing w:before="0" w:after="0" w:line="320" w:lineRule="exact"/>
              <w:widowControl w:val="off"/>
              <w:rPr>
                <w:rFonts w:hint="eastAsia" w:ascii="宋体" w:hAnsi="宋体" w:cs="宋体"/>
                <w:b w:val="0"/>
                <w:bCs w:val="0"/>
                <w:spacing w:val="-10"/>
                <w:sz w:val="22"/>
                <w:szCs w:val="22"/>
                <w:highlight w:val="none"/>
              </w:rPr>
            </w:pPr>
            <w:r>
              <w:rPr>
                <w:rFonts w:hint="eastAsia" w:ascii="宋体" w:hAnsi="宋体" w:eastAsia="宋体" w:cs="宋体"/>
                <w:b w:val="0"/>
                <w:bCs w:val="0"/>
                <w:spacing w:val="-10"/>
                <w:sz w:val="22"/>
                <w:szCs w:val="22"/>
                <w:highlight w:val="none"/>
                <w:lang w:val="en-US" w:eastAsia="zh-CN"/>
              </w:rPr>
              <w:t xml:space="preserve">《技术响应表》中加“▲”号技术要求满足招标要求的得</w:t>
            </w:r>
            <w:r>
              <w:rPr>
                <w:rFonts w:hint="eastAsia" w:ascii="宋体" w:hAnsi="宋体" w:cs="宋体"/>
                <w:b w:val="0"/>
                <w:bCs w:val="0"/>
                <w:spacing w:val="-10"/>
                <w:sz w:val="22"/>
                <w:szCs w:val="22"/>
                <w:highlight w:val="none"/>
                <w:lang w:val="en-US" w:eastAsia="zh-CN"/>
              </w:rPr>
              <w:t xml:space="preserve">0.5</w:t>
            </w:r>
            <w:r>
              <w:rPr>
                <w:rFonts w:hint="eastAsia" w:ascii="宋体" w:hAnsi="宋体" w:eastAsia="宋体" w:cs="宋体"/>
                <w:b w:val="0"/>
                <w:bCs w:val="0"/>
                <w:spacing w:val="-10"/>
                <w:sz w:val="22"/>
                <w:szCs w:val="22"/>
                <w:highlight w:val="none"/>
                <w:lang w:val="en-US" w:eastAsia="zh-CN"/>
              </w:rPr>
              <w:t xml:space="preserve">分/项【共1</w:t>
            </w:r>
            <w:r>
              <w:rPr>
                <w:rFonts w:hint="eastAsia" w:ascii="宋体" w:hAnsi="宋体" w:cs="宋体"/>
                <w:b w:val="0"/>
                <w:bCs w:val="0"/>
                <w:spacing w:val="-10"/>
                <w:sz w:val="22"/>
                <w:szCs w:val="22"/>
                <w:highlight w:val="none"/>
                <w:lang w:val="en-US" w:eastAsia="zh-CN"/>
              </w:rPr>
              <w:t xml:space="preserve">2</w:t>
            </w:r>
            <w:r>
              <w:rPr>
                <w:rFonts w:hint="eastAsia" w:ascii="宋体" w:hAnsi="宋体" w:eastAsia="宋体" w:cs="宋体"/>
                <w:b w:val="0"/>
                <w:bCs w:val="0"/>
                <w:spacing w:val="-10"/>
                <w:sz w:val="22"/>
                <w:szCs w:val="22"/>
                <w:highlight w:val="none"/>
                <w:lang w:val="en-US" w:eastAsia="zh-CN"/>
              </w:rPr>
              <w:t xml:space="preserve">项</w:t>
            </w:r>
            <w:r>
              <w:rPr>
                <w:rFonts w:hint="eastAsia" w:ascii="宋体" w:hAnsi="宋体" w:cs="宋体"/>
                <w:b w:val="0"/>
                <w:bCs w:val="0"/>
                <w:spacing w:val="-10"/>
                <w:sz w:val="22"/>
                <w:szCs w:val="22"/>
                <w:highlight w:val="none"/>
                <w:lang w:val="en-US" w:eastAsia="zh-CN"/>
              </w:rPr>
              <w:t xml:space="preserve">6</w:t>
            </w:r>
            <w:r>
              <w:rPr>
                <w:rFonts w:hint="eastAsia" w:ascii="宋体" w:hAnsi="宋体" w:eastAsia="宋体" w:cs="宋体"/>
                <w:b w:val="0"/>
                <w:bCs w:val="0"/>
                <w:spacing w:val="-10"/>
                <w:sz w:val="22"/>
                <w:szCs w:val="22"/>
                <w:highlight w:val="none"/>
                <w:lang w:val="en-US" w:eastAsia="zh-CN"/>
              </w:rPr>
              <w:t xml:space="preserve">分】；非“▲”号技术要求满足招标要求的得0.</w:t>
            </w:r>
            <w:r>
              <w:rPr>
                <w:rFonts w:hint="eastAsia" w:ascii="宋体" w:hAnsi="宋体" w:cs="宋体"/>
                <w:b w:val="0"/>
                <w:bCs w:val="0"/>
                <w:spacing w:val="-10"/>
                <w:sz w:val="22"/>
                <w:szCs w:val="22"/>
                <w:highlight w:val="none"/>
                <w:lang w:val="en-US" w:eastAsia="zh-CN"/>
              </w:rPr>
              <w:t xml:space="preserve">2</w:t>
            </w:r>
            <w:r>
              <w:rPr>
                <w:rFonts w:hint="eastAsia" w:ascii="宋体" w:hAnsi="宋体" w:eastAsia="宋体" w:cs="宋体"/>
                <w:b w:val="0"/>
                <w:bCs w:val="0"/>
                <w:spacing w:val="-10"/>
                <w:sz w:val="22"/>
                <w:szCs w:val="22"/>
                <w:highlight w:val="none"/>
                <w:lang w:val="en-US" w:eastAsia="zh-CN"/>
              </w:rPr>
              <w:t xml:space="preserve">分【共85项17分】。本项满分</w:t>
            </w:r>
            <w:r>
              <w:rPr>
                <w:rFonts w:hint="eastAsia" w:ascii="宋体" w:hAnsi="宋体" w:cs="宋体"/>
                <w:b w:val="0"/>
                <w:bCs w:val="0"/>
                <w:spacing w:val="-10"/>
                <w:sz w:val="22"/>
                <w:szCs w:val="22"/>
                <w:highlight w:val="none"/>
                <w:lang w:val="en-US" w:eastAsia="zh-CN"/>
              </w:rPr>
              <w:t xml:space="preserve">23</w:t>
            </w:r>
            <w:r>
              <w:rPr>
                <w:rFonts w:hint="eastAsia" w:ascii="宋体" w:hAnsi="宋体" w:eastAsia="宋体" w:cs="宋体"/>
                <w:b w:val="0"/>
                <w:bCs w:val="0"/>
                <w:spacing w:val="-10"/>
                <w:sz w:val="22"/>
                <w:szCs w:val="22"/>
                <w:highlight w:val="none"/>
                <w:lang w:val="en-US" w:eastAsia="zh-CN"/>
              </w:rPr>
              <w:t xml:space="preserve">分。</w:t>
            </w:r>
            <w:r>
              <w:rPr>
                <w:highlight w:val="none"/>
              </w:rPr>
            </w:r>
            <w:r/>
          </w:p>
        </w:tc>
      </w:tr>
      <w:tr>
        <w:trPr>
          <w:trHeight w:val="200"/>
        </w:trPr>
        <w:tc>
          <w:tcPr>
            <w:shd w:val="clear" w:color="auto" w:fill="auto"/>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szCs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7</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lang w:val="en-US" w:eastAsia="zh-CN"/>
              </w:rPr>
              <w:t xml:space="preserve">体系认证</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（3分）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根据投标人取得的</w:t>
            </w:r>
            <w:r>
              <w:rPr>
                <w:rFonts w:hint="eastAsia" w:ascii="宋体" w:hAnsi="宋体" w:eastAsia="宋体" w:cs="宋体"/>
                <w:b w:val="0"/>
                <w:bCs w:val="0"/>
                <w:spacing w:val="-10"/>
                <w:sz w:val="22"/>
                <w:szCs w:val="22"/>
                <w:highlight w:val="none"/>
                <w:lang w:val="en-US" w:eastAsia="zh-CN"/>
              </w:rPr>
              <w:t xml:space="preserve">体系认证</w:t>
            </w:r>
            <w:r>
              <w:rPr>
                <w:rFonts w:hint="eastAsia" w:ascii="宋体" w:hAnsi="宋体" w:eastAsia="宋体" w:cs="宋体"/>
                <w:b w:val="0"/>
                <w:bCs w:val="0"/>
                <w:spacing w:val="-10"/>
                <w:sz w:val="22"/>
                <w:szCs w:val="22"/>
                <w:highlight w:val="none"/>
                <w:lang w:eastAsia="zh-CN"/>
              </w:rPr>
              <w:t xml:space="preserve">证书情况进行评审：</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w:t>
            </w:r>
            <w:r>
              <w:rPr>
                <w:rFonts w:hint="eastAsia" w:ascii="宋体" w:hAnsi="宋体" w:eastAsia="宋体" w:cs="宋体"/>
                <w:b w:val="0"/>
                <w:bCs w:val="0"/>
                <w:spacing w:val="-10"/>
                <w:sz w:val="22"/>
                <w:szCs w:val="22"/>
                <w:highlight w:val="none"/>
                <w:lang w:val="en-US" w:eastAsia="zh-CN"/>
              </w:rPr>
              <w:t xml:space="preserve">1</w:t>
            </w:r>
            <w:r>
              <w:rPr>
                <w:rFonts w:hint="eastAsia" w:ascii="宋体" w:hAnsi="宋体" w:eastAsia="宋体" w:cs="宋体"/>
                <w:b w:val="0"/>
                <w:bCs w:val="0"/>
                <w:spacing w:val="-10"/>
                <w:sz w:val="22"/>
                <w:szCs w:val="22"/>
                <w:highlight w:val="none"/>
                <w:lang w:eastAsia="zh-CN"/>
              </w:rPr>
              <w:t xml:space="preserve">）具有有效的ISO9001质量管理体系认证证书，得1分；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w:t>
            </w:r>
            <w:r>
              <w:rPr>
                <w:rFonts w:hint="eastAsia" w:ascii="宋体" w:hAnsi="宋体" w:eastAsia="宋体" w:cs="宋体"/>
                <w:b w:val="0"/>
                <w:bCs w:val="0"/>
                <w:spacing w:val="-10"/>
                <w:sz w:val="22"/>
                <w:szCs w:val="22"/>
                <w:highlight w:val="none"/>
                <w:lang w:val="en-US" w:eastAsia="zh-CN"/>
              </w:rPr>
              <w:t xml:space="preserve">2</w:t>
            </w:r>
            <w:r>
              <w:rPr>
                <w:rFonts w:hint="eastAsia" w:ascii="宋体" w:hAnsi="宋体" w:eastAsia="宋体" w:cs="宋体"/>
                <w:b w:val="0"/>
                <w:bCs w:val="0"/>
                <w:spacing w:val="-10"/>
                <w:sz w:val="22"/>
                <w:szCs w:val="22"/>
                <w:highlight w:val="none"/>
                <w:lang w:eastAsia="zh-CN"/>
              </w:rPr>
              <w:t xml:space="preserve">）具有有效的ISO27001信息安全体系认证证书，得1分；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w:t>
            </w:r>
            <w:r>
              <w:rPr>
                <w:rFonts w:hint="eastAsia" w:ascii="宋体" w:hAnsi="宋体" w:eastAsia="宋体" w:cs="宋体"/>
                <w:b w:val="0"/>
                <w:bCs w:val="0"/>
                <w:spacing w:val="-10"/>
                <w:sz w:val="22"/>
                <w:szCs w:val="22"/>
                <w:highlight w:val="none"/>
                <w:lang w:val="en-US" w:eastAsia="zh-CN"/>
              </w:rPr>
              <w:t xml:space="preserve">3</w:t>
            </w:r>
            <w:r>
              <w:rPr>
                <w:rFonts w:hint="eastAsia" w:ascii="宋体" w:hAnsi="宋体" w:eastAsia="宋体" w:cs="宋体"/>
                <w:b w:val="0"/>
                <w:bCs w:val="0"/>
                <w:spacing w:val="-10"/>
                <w:sz w:val="22"/>
                <w:szCs w:val="22"/>
                <w:highlight w:val="none"/>
                <w:lang w:eastAsia="zh-CN"/>
              </w:rPr>
              <w:t xml:space="preserve">）具有有效的ISO20000 IT服务管理体系认证证书证书，得1分。</w:t>
            </w:r>
            <w:r>
              <w:rPr>
                <w:highlight w:val="none"/>
              </w:rPr>
            </w:r>
            <w:r/>
          </w:p>
          <w:p>
            <w:pPr>
              <w:pStyle w:val="1116"/>
              <w:jc w:val="left"/>
              <w:keepLines w:val="0"/>
              <w:keepNext w:val="0"/>
              <w:pageBreakBefore w:val="0"/>
              <w:spacing w:before="0" w:after="0" w:line="320" w:lineRule="exact"/>
              <w:widowControl w:val="off"/>
              <w:rPr>
                <w:rFonts w:hint="default"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注：</w:t>
            </w:r>
            <w:r>
              <w:rPr>
                <w:rFonts w:hint="eastAsia" w:ascii="宋体" w:hAnsi="宋体" w:eastAsia="宋体" w:cs="宋体"/>
                <w:b w:val="0"/>
                <w:bCs w:val="0"/>
                <w:spacing w:val="-10"/>
                <w:sz w:val="22"/>
                <w:szCs w:val="22"/>
                <w:highlight w:val="none"/>
                <w:lang w:val="en-US" w:eastAsia="zh-CN"/>
              </w:rPr>
              <w:t xml:space="preserve">需</w:t>
            </w:r>
            <w:r>
              <w:rPr>
                <w:rFonts w:hint="eastAsia" w:ascii="宋体" w:hAnsi="宋体" w:eastAsia="宋体" w:cs="宋体"/>
                <w:b w:val="0"/>
                <w:bCs w:val="0"/>
                <w:spacing w:val="-10"/>
                <w:sz w:val="22"/>
                <w:szCs w:val="22"/>
                <w:highlight w:val="none"/>
                <w:lang w:eastAsia="zh-CN"/>
              </w:rPr>
              <w:t xml:space="preserve">提供有效的相关证书</w:t>
            </w:r>
            <w:r>
              <w:rPr>
                <w:rFonts w:hint="eastAsia" w:ascii="宋体" w:hAnsi="宋体" w:eastAsia="宋体" w:cs="宋体"/>
                <w:b w:val="0"/>
                <w:bCs w:val="0"/>
                <w:spacing w:val="-10"/>
                <w:sz w:val="22"/>
                <w:szCs w:val="22"/>
                <w:highlight w:val="none"/>
                <w:lang w:val="en-US" w:eastAsia="zh-CN"/>
              </w:rPr>
              <w:t xml:space="preserve">原件扫描件</w:t>
            </w:r>
            <w:r>
              <w:rPr>
                <w:rFonts w:hint="eastAsia" w:ascii="宋体" w:hAnsi="宋体" w:eastAsia="宋体" w:cs="宋体"/>
                <w:b w:val="0"/>
                <w:bCs w:val="0"/>
                <w:spacing w:val="-10"/>
                <w:sz w:val="22"/>
                <w:szCs w:val="22"/>
                <w:highlight w:val="none"/>
                <w:lang w:eastAsia="zh-CN"/>
              </w:rPr>
              <w:t xml:space="preserve">及在国家认证认可监督管理委员会官网（http://www.cnca.gov.cn/）查询的结果截图（查询结果须为“有效”状态，已失效、撤销的不得分）。 </w:t>
            </w:r>
            <w:r>
              <w:rPr>
                <w:highlight w:val="none"/>
              </w:rPr>
            </w:r>
            <w:r/>
          </w:p>
        </w:tc>
      </w:tr>
      <w:tr>
        <w:trPr>
          <w:trHeight w:val="200"/>
        </w:trPr>
        <w:tc>
          <w:tcPr>
            <w:shd w:val="clear" w:color="auto" w:fill="auto"/>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szCs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8</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软件著作权</w:t>
            </w:r>
            <w:r>
              <w:rPr>
                <w:highlight w:val="none"/>
              </w:rPr>
            </w:r>
            <w:r/>
          </w:p>
          <w:p>
            <w:pPr>
              <w:ind w:left="0" w:right="0" w:firstLine="0"/>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（2分）</w:t>
            </w:r>
            <w:r>
              <w:rPr>
                <w:highlight w:val="none"/>
              </w:rPr>
            </w:r>
            <w:r/>
          </w:p>
        </w:tc>
        <w:tc>
          <w:tcPr>
            <w:tcW w:w="6598" w:type="dxa"/>
            <w:vAlign w:val="center"/>
            <w:textDirection w:val="lrTb"/>
            <w:noWrap w:val="false"/>
          </w:tcPr>
          <w:p>
            <w:pPr>
              <w:jc w:val="left"/>
              <w:widowControl/>
              <w:rPr>
                <w:sz w:val="24"/>
                <w:szCs w:val="24"/>
                <w:highlight w:val="none"/>
              </w:rPr>
            </w:pPr>
            <w:r>
              <w:rPr>
                <w:rStyle w:val="1118"/>
                <w:rFonts w:hint="eastAsia"/>
                <w:b w:val="0"/>
                <w:bCs w:val="0"/>
                <w:highlight w:val="none"/>
              </w:rPr>
              <w:t xml:space="preserve">根据投标人或软件开发服务商</w:t>
            </w:r>
            <w:r>
              <w:rPr>
                <w:rStyle w:val="1118"/>
                <w:rFonts w:hint="eastAsia"/>
                <w:b w:val="0"/>
                <w:bCs w:val="0"/>
                <w:highlight w:val="none"/>
                <w:lang w:val="en-US" w:eastAsia="zh-CN"/>
              </w:rPr>
              <w:t xml:space="preserve">取得的</w:t>
            </w:r>
            <w:r>
              <w:rPr>
                <w:rStyle w:val="1118"/>
                <w:rFonts w:hint="eastAsia"/>
                <w:b w:val="0"/>
                <w:bCs w:val="0"/>
                <w:highlight w:val="none"/>
              </w:rPr>
              <w:t xml:space="preserve">大模型医疗软件相关计算机软件著作权登记证书进行评审：</w:t>
            </w:r>
            <w:r>
              <w:rPr>
                <w:highlight w:val="none"/>
              </w:rPr>
            </w:r>
            <w:r/>
          </w:p>
          <w:p>
            <w:pPr>
              <w:rPr>
                <w:rStyle w:val="1118"/>
                <w:rFonts w:hint="eastAsia"/>
                <w:b w:val="0"/>
                <w:bCs w:val="0"/>
                <w:highlight w:val="none"/>
              </w:rPr>
            </w:pPr>
            <w:r>
              <w:rPr>
                <w:rStyle w:val="1118"/>
                <w:rFonts w:hint="eastAsia"/>
                <w:b w:val="0"/>
                <w:bCs w:val="0"/>
                <w:highlight w:val="none"/>
              </w:rPr>
              <w:t xml:space="preserve">具有大模型医疗软件相关计算机软件著作权登记证书，包括：</w:t>
            </w:r>
            <w:r>
              <w:rPr>
                <w:rStyle w:val="1118"/>
                <w:b w:val="0"/>
                <w:bCs w:val="0"/>
                <w:highlight w:val="none"/>
              </w:rPr>
              <w:t xml:space="preserve">“</w:t>
            </w:r>
            <w:r>
              <w:rPr>
                <w:rStyle w:val="1118"/>
                <w:rFonts w:hint="eastAsia"/>
                <w:b w:val="0"/>
                <w:bCs w:val="0"/>
                <w:highlight w:val="none"/>
              </w:rPr>
              <w:t xml:space="preserve">大模型病历生成</w:t>
            </w:r>
            <w:r>
              <w:rPr>
                <w:rStyle w:val="1118"/>
                <w:b w:val="0"/>
                <w:bCs w:val="0"/>
                <w:highlight w:val="none"/>
              </w:rPr>
              <w:t xml:space="preserve">”</w:t>
            </w:r>
            <w:r>
              <w:rPr>
                <w:rStyle w:val="1118"/>
                <w:rFonts w:hint="eastAsia"/>
                <w:b w:val="0"/>
                <w:bCs w:val="0"/>
                <w:highlight w:val="none"/>
              </w:rPr>
              <w:t xml:space="preserve">类、</w:t>
            </w:r>
            <w:r>
              <w:rPr>
                <w:rStyle w:val="1118"/>
                <w:b w:val="0"/>
                <w:bCs w:val="0"/>
                <w:highlight w:val="none"/>
              </w:rPr>
              <w:t xml:space="preserve">“</w:t>
            </w:r>
            <w:r>
              <w:rPr>
                <w:rStyle w:val="1118"/>
                <w:rFonts w:hint="eastAsia"/>
                <w:b w:val="0"/>
                <w:bCs w:val="0"/>
                <w:highlight w:val="none"/>
              </w:rPr>
              <w:t xml:space="preserve">大模型数据基座</w:t>
            </w:r>
            <w:r>
              <w:rPr>
                <w:rStyle w:val="1118"/>
                <w:b w:val="0"/>
                <w:bCs w:val="0"/>
                <w:highlight w:val="none"/>
              </w:rPr>
              <w:t xml:space="preserve">”</w:t>
            </w:r>
            <w:r>
              <w:rPr>
                <w:rStyle w:val="1118"/>
                <w:rFonts w:hint="eastAsia"/>
                <w:b w:val="0"/>
                <w:bCs w:val="0"/>
                <w:highlight w:val="none"/>
              </w:rPr>
              <w:t xml:space="preserve">类每提供一项得</w:t>
            </w:r>
            <w:r>
              <w:rPr>
                <w:rStyle w:val="1118"/>
                <w:b w:val="0"/>
                <w:bCs w:val="0"/>
                <w:highlight w:val="none"/>
              </w:rPr>
              <w:t xml:space="preserve">1</w:t>
            </w:r>
            <w:r>
              <w:rPr>
                <w:rStyle w:val="1118"/>
                <w:rFonts w:hint="eastAsia"/>
                <w:b w:val="0"/>
                <w:bCs w:val="0"/>
                <w:highlight w:val="none"/>
              </w:rPr>
              <w:t xml:space="preserve">分，最高得</w:t>
            </w:r>
            <w:r>
              <w:rPr>
                <w:rStyle w:val="1118"/>
                <w:b w:val="0"/>
                <w:bCs w:val="0"/>
                <w:highlight w:val="none"/>
              </w:rPr>
              <w:t xml:space="preserve">2</w:t>
            </w:r>
            <w:r>
              <w:rPr>
                <w:rStyle w:val="1118"/>
                <w:rFonts w:hint="eastAsia"/>
                <w:b w:val="0"/>
                <w:bCs w:val="0"/>
                <w:highlight w:val="none"/>
              </w:rPr>
              <w:t xml:space="preserve">分。</w:t>
            </w:r>
            <w:r>
              <w:rPr>
                <w:highlight w:val="none"/>
              </w:rPr>
            </w:r>
            <w:r/>
          </w:p>
          <w:p>
            <w:pPr>
              <w:rPr>
                <w:rStyle w:val="1118"/>
                <w:rFonts w:hint="eastAsia" w:eastAsia="宋体"/>
                <w:b w:val="0"/>
                <w:bCs w:val="0"/>
                <w:highlight w:val="none"/>
              </w:rPr>
            </w:pPr>
            <w:r>
              <w:rPr>
                <w:rStyle w:val="1118"/>
                <w:rFonts w:hint="eastAsia"/>
                <w:b w:val="0"/>
                <w:bCs w:val="0"/>
                <w:highlight w:val="none"/>
                <w:lang w:val="en-US" w:eastAsia="zh-CN"/>
              </w:rPr>
              <w:t xml:space="preserve">注：需提供国家版权局颁发的相关软件著作权登记证书原件的扫描件。</w:t>
            </w:r>
            <w:r>
              <w:rPr>
                <w:highlight w:val="none"/>
              </w:rPr>
            </w:r>
            <w:r/>
          </w:p>
        </w:tc>
      </w:tr>
      <w:tr>
        <w:trPr>
          <w:trHeight w:val="200"/>
        </w:trPr>
        <w:tc>
          <w:tcPr>
            <w:shd w:val="clear" w:color="auto" w:fill="auto"/>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szCs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9</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pStyle w:val="1116"/>
              <w:jc w:val="center"/>
              <w:keepLines w:val="0"/>
              <w:keepNext w:val="0"/>
              <w:spacing w:before="0" w:after="0" w:line="320" w:lineRule="exact"/>
              <w:rPr>
                <w:rFonts w:ascii="宋体" w:hAnsi="宋体" w:cs="宋体"/>
                <w:spacing w:val="-10"/>
                <w:sz w:val="22"/>
                <w:szCs w:val="22"/>
                <w:highlight w:val="none"/>
              </w:rPr>
            </w:pPr>
            <w:r>
              <w:rPr>
                <w:rFonts w:hint="eastAsia" w:ascii="宋体" w:hAnsi="宋体" w:cs="宋体"/>
                <w:spacing w:val="-10"/>
                <w:sz w:val="22"/>
                <w:szCs w:val="22"/>
                <w:highlight w:val="none"/>
              </w:rPr>
              <w:t xml:space="preserve">项目团队</w:t>
            </w:r>
            <w:r>
              <w:rPr>
                <w:highlight w:val="none"/>
              </w:rPr>
            </w:r>
            <w:r/>
          </w:p>
          <w:p>
            <w:pPr>
              <w:pStyle w:val="1116"/>
              <w:jc w:val="center"/>
              <w:keepLines w:val="0"/>
              <w:keepNext w:val="0"/>
              <w:spacing w:before="0" w:after="0" w:line="320" w:lineRule="exact"/>
              <w:rPr>
                <w:rFonts w:hint="eastAsia" w:ascii="宋体" w:hAnsi="宋体" w:eastAsia="宋体" w:cs="宋体"/>
                <w:b/>
                <w:bCs/>
                <w:sz w:val="22"/>
                <w:highlight w:val="none"/>
              </w:rPr>
            </w:pPr>
            <w:r>
              <w:rPr>
                <w:rFonts w:hint="eastAsia" w:ascii="宋体" w:hAnsi="宋体" w:cs="宋体"/>
                <w:spacing w:val="-10"/>
                <w:sz w:val="22"/>
                <w:szCs w:val="22"/>
                <w:highlight w:val="none"/>
              </w:rPr>
              <w:t xml:space="preserve">（5分）</w:t>
            </w:r>
            <w:r>
              <w:rPr>
                <w:highlight w:val="none"/>
              </w:rPr>
            </w:r>
            <w:r/>
          </w:p>
        </w:tc>
        <w:tc>
          <w:tcPr>
            <w:tcW w:w="6598" w:type="dxa"/>
            <w:vAlign w:val="center"/>
            <w:textDirection w:val="lrTb"/>
            <w:noWrap w:val="false"/>
          </w:tcPr>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w:t>
            </w:r>
            <w:r>
              <w:rPr>
                <w:rFonts w:hint="eastAsia" w:ascii="宋体" w:hAnsi="宋体" w:eastAsia="宋体" w:cs="宋体"/>
                <w:b w:val="0"/>
                <w:bCs w:val="0"/>
                <w:spacing w:val="-10"/>
                <w:sz w:val="22"/>
                <w:szCs w:val="22"/>
                <w:highlight w:val="none"/>
                <w:lang w:val="en-US" w:eastAsia="zh-CN"/>
              </w:rPr>
              <w:t xml:space="preserve">1</w:t>
            </w:r>
            <w:r>
              <w:rPr>
                <w:rFonts w:hint="eastAsia" w:ascii="宋体" w:hAnsi="宋体" w:eastAsia="宋体" w:cs="宋体"/>
                <w:b w:val="0"/>
                <w:bCs w:val="0"/>
                <w:spacing w:val="-10"/>
                <w:sz w:val="22"/>
                <w:szCs w:val="22"/>
                <w:highlight w:val="none"/>
                <w:lang w:eastAsia="zh-CN"/>
              </w:rPr>
              <w:t xml:space="preserve">）项目负责人：拟投入本项目的项目负责人具备高级项目管理师证书得2分。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w:t>
            </w:r>
            <w:r>
              <w:rPr>
                <w:rFonts w:hint="eastAsia" w:ascii="宋体" w:hAnsi="宋体" w:eastAsia="宋体" w:cs="宋体"/>
                <w:b w:val="0"/>
                <w:bCs w:val="0"/>
                <w:spacing w:val="-10"/>
                <w:sz w:val="22"/>
                <w:szCs w:val="22"/>
                <w:highlight w:val="none"/>
                <w:lang w:val="en-US" w:eastAsia="zh-CN"/>
              </w:rPr>
              <w:t xml:space="preserve">2</w:t>
            </w:r>
            <w:r>
              <w:rPr>
                <w:rFonts w:hint="eastAsia" w:ascii="宋体" w:hAnsi="宋体" w:eastAsia="宋体" w:cs="宋体"/>
                <w:b w:val="0"/>
                <w:bCs w:val="0"/>
                <w:spacing w:val="-10"/>
                <w:sz w:val="22"/>
                <w:szCs w:val="22"/>
                <w:highlight w:val="none"/>
                <w:lang w:eastAsia="zh-CN"/>
              </w:rPr>
              <w:t xml:space="preserve">）除项目负责人外，其他团队人员具有系统集成项目管理工程师或PMP证书</w:t>
            </w:r>
            <w:r>
              <w:rPr>
                <w:rFonts w:hint="eastAsia" w:ascii="宋体" w:hAnsi="宋体" w:eastAsia="宋体" w:cs="宋体"/>
                <w:b w:val="0"/>
                <w:bCs w:val="0"/>
                <w:spacing w:val="-10"/>
                <w:sz w:val="22"/>
                <w:szCs w:val="22"/>
                <w:highlight w:val="none"/>
                <w:lang w:val="en-US" w:eastAsia="zh-CN"/>
              </w:rPr>
              <w:t xml:space="preserve">的</w:t>
            </w:r>
            <w:r>
              <w:rPr>
                <w:rFonts w:hint="eastAsia" w:ascii="宋体" w:hAnsi="宋体" w:eastAsia="宋体" w:cs="宋体"/>
                <w:b w:val="0"/>
                <w:bCs w:val="0"/>
                <w:spacing w:val="-10"/>
                <w:sz w:val="22"/>
                <w:szCs w:val="22"/>
                <w:highlight w:val="none"/>
                <w:lang w:eastAsia="zh-CN"/>
              </w:rPr>
              <w:t xml:space="preserve">得 1分</w:t>
            </w:r>
            <w:r>
              <w:rPr>
                <w:rFonts w:hint="eastAsia" w:ascii="宋体" w:hAnsi="宋体" w:eastAsia="宋体" w:cs="宋体"/>
                <w:b w:val="0"/>
                <w:bCs w:val="0"/>
                <w:spacing w:val="-10"/>
                <w:sz w:val="22"/>
                <w:szCs w:val="22"/>
                <w:highlight w:val="none"/>
                <w:lang w:val="en-US" w:eastAsia="zh-CN"/>
              </w:rPr>
              <w:t xml:space="preserve">/人</w:t>
            </w:r>
            <w:r>
              <w:rPr>
                <w:rFonts w:hint="eastAsia" w:ascii="宋体" w:hAnsi="宋体" w:eastAsia="宋体" w:cs="宋体"/>
                <w:b w:val="0"/>
                <w:bCs w:val="0"/>
                <w:spacing w:val="-10"/>
                <w:sz w:val="22"/>
                <w:szCs w:val="22"/>
                <w:highlight w:val="none"/>
                <w:lang w:eastAsia="zh-CN"/>
              </w:rPr>
              <w:t xml:space="preserve">，最多得3分。</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eastAsia" w:ascii="宋体" w:hAnsi="宋体" w:eastAsia="宋体" w:cs="宋体"/>
                <w:b w:val="0"/>
                <w:bCs w:val="0"/>
                <w:spacing w:val="-10"/>
                <w:sz w:val="22"/>
                <w:szCs w:val="22"/>
                <w:highlight w:val="none"/>
                <w:lang w:eastAsia="zh-CN"/>
              </w:rPr>
              <w:t xml:space="preserve">注：</w:t>
            </w:r>
            <w:r>
              <w:rPr>
                <w:highlight w:val="none"/>
              </w:rPr>
            </w:r>
            <w:r/>
          </w:p>
          <w:p>
            <w:pPr>
              <w:pStyle w:val="1116"/>
              <w:jc w:val="left"/>
              <w:keepLines w:val="0"/>
              <w:keepNext w:val="0"/>
              <w:pageBreakBefore w:val="0"/>
              <w:spacing w:before="0" w:after="0" w:line="320" w:lineRule="exact"/>
              <w:widowControl w:val="off"/>
              <w:rPr>
                <w:rFonts w:hint="default" w:ascii="宋体" w:hAnsi="宋体" w:eastAsia="宋体" w:cs="宋体"/>
                <w:b w:val="0"/>
                <w:bCs w:val="0"/>
                <w:spacing w:val="-10"/>
                <w:sz w:val="22"/>
                <w:szCs w:val="22"/>
                <w:highlight w:val="none"/>
              </w:rPr>
            </w:pPr>
            <w:r>
              <w:rPr>
                <w:rFonts w:hint="default" w:ascii="宋体" w:hAnsi="宋体" w:eastAsia="宋体" w:cs="宋体"/>
                <w:b w:val="0"/>
                <w:bCs w:val="0"/>
                <w:spacing w:val="-10"/>
                <w:sz w:val="22"/>
                <w:szCs w:val="22"/>
                <w:highlight w:val="none"/>
                <w:lang w:eastAsia="zh-CN"/>
              </w:rPr>
              <w:t xml:space="preserve">①</w:t>
            </w:r>
            <w:r>
              <w:rPr>
                <w:rFonts w:hint="eastAsia" w:ascii="宋体" w:hAnsi="宋体" w:eastAsia="宋体" w:cs="宋体"/>
                <w:b w:val="0"/>
                <w:bCs w:val="0"/>
                <w:spacing w:val="-10"/>
                <w:sz w:val="22"/>
                <w:szCs w:val="22"/>
                <w:highlight w:val="none"/>
                <w:lang w:val="en-US" w:eastAsia="zh-CN"/>
              </w:rPr>
              <w:t xml:space="preserve">需提供相关证书原件的扫描件；</w:t>
            </w:r>
            <w:r>
              <w:rPr>
                <w:highlight w:val="none"/>
              </w:rPr>
            </w:r>
            <w:r/>
          </w:p>
          <w:p>
            <w:pPr>
              <w:pStyle w:val="1116"/>
              <w:jc w:val="left"/>
              <w:keepLines w:val="0"/>
              <w:keepNext w:val="0"/>
              <w:pageBreakBefore w:val="0"/>
              <w:spacing w:before="0" w:after="0" w:line="320" w:lineRule="exact"/>
              <w:widowControl w:val="off"/>
              <w:rPr>
                <w:rFonts w:hint="eastAsia" w:ascii="宋体" w:hAnsi="宋体" w:eastAsia="宋体" w:cs="宋体"/>
                <w:b w:val="0"/>
                <w:bCs w:val="0"/>
                <w:spacing w:val="-10"/>
                <w:sz w:val="22"/>
                <w:szCs w:val="22"/>
                <w:highlight w:val="none"/>
              </w:rPr>
            </w:pPr>
            <w:r>
              <w:rPr>
                <w:rFonts w:hint="default" w:ascii="宋体" w:hAnsi="宋体" w:eastAsia="宋体" w:cs="宋体"/>
                <w:b w:val="0"/>
                <w:bCs w:val="0"/>
                <w:spacing w:val="-10"/>
                <w:sz w:val="22"/>
                <w:szCs w:val="22"/>
                <w:highlight w:val="none"/>
                <w:lang w:val="en-US" w:eastAsia="zh-CN"/>
              </w:rPr>
              <w:t xml:space="preserve">②</w:t>
            </w:r>
            <w:r>
              <w:rPr>
                <w:rFonts w:hint="eastAsia" w:ascii="宋体" w:hAnsi="宋体" w:eastAsia="宋体" w:cs="宋体"/>
                <w:b w:val="0"/>
                <w:bCs w:val="0"/>
                <w:spacing w:val="-10"/>
                <w:sz w:val="22"/>
                <w:szCs w:val="22"/>
                <w:highlight w:val="none"/>
                <w:lang w:val="en-US" w:eastAsia="zh-CN"/>
              </w:rPr>
              <w:t xml:space="preserve">需提供投标截止日当月或上月，投标人为其缴纳的养老保险证明扫描件（养老保险证明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highlight w:val="none"/>
              </w:rPr>
            </w:r>
            <w:r/>
          </w:p>
        </w:tc>
      </w:tr>
      <w:tr>
        <w:trPr>
          <w:trHeight w:val="200"/>
        </w:trPr>
        <w:tc>
          <w:tcPr>
            <w:shd w:val="clear" w:color="auto" w:fill="auto"/>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szCs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10</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pStyle w:val="1116"/>
              <w:jc w:val="center"/>
              <w:keepLines w:val="0"/>
              <w:keepNext w:val="0"/>
              <w:spacing w:before="0" w:after="0" w:line="320" w:lineRule="exact"/>
              <w:rPr>
                <w:rFonts w:ascii="宋体" w:hAnsi="宋体" w:cs="宋体"/>
                <w:spacing w:val="-10"/>
                <w:sz w:val="22"/>
                <w:szCs w:val="22"/>
                <w:highlight w:val="none"/>
              </w:rPr>
            </w:pPr>
            <w:r>
              <w:rPr>
                <w:rFonts w:hint="eastAsia" w:ascii="宋体" w:hAnsi="宋体" w:cs="宋体"/>
                <w:spacing w:val="-10"/>
                <w:sz w:val="22"/>
                <w:szCs w:val="22"/>
                <w:highlight w:val="none"/>
              </w:rPr>
              <w:t xml:space="preserve">系统演示</w:t>
            </w:r>
            <w:r>
              <w:rPr>
                <w:highlight w:val="none"/>
              </w:rPr>
            </w:r>
            <w:r/>
          </w:p>
          <w:p>
            <w:pPr>
              <w:pStyle w:val="1116"/>
              <w:jc w:val="center"/>
              <w:keepLines w:val="0"/>
              <w:keepNext w:val="0"/>
              <w:spacing w:before="0" w:after="0" w:line="320" w:lineRule="exact"/>
              <w:rPr>
                <w:rFonts w:hint="eastAsia" w:ascii="宋体" w:hAnsi="宋体" w:cs="宋体"/>
                <w:spacing w:val="-10"/>
                <w:sz w:val="22"/>
                <w:szCs w:val="22"/>
                <w:highlight w:val="none"/>
              </w:rPr>
            </w:pPr>
            <w:r>
              <w:rPr>
                <w:rFonts w:hint="eastAsia" w:ascii="宋体" w:hAnsi="宋体" w:cs="宋体"/>
                <w:spacing w:val="-10"/>
                <w:sz w:val="22"/>
                <w:szCs w:val="22"/>
                <w:highlight w:val="none"/>
              </w:rPr>
              <w:t xml:space="preserve">（10分）</w:t>
            </w:r>
            <w:r>
              <w:rPr>
                <w:highlight w:val="none"/>
              </w:rPr>
            </w:r>
            <w:r/>
          </w:p>
        </w:tc>
        <w:tc>
          <w:tcPr>
            <w:tcW w:w="6598" w:type="dxa"/>
            <w:vAlign w:val="center"/>
            <w:textDirection w:val="lrTb"/>
            <w:noWrap w:val="false"/>
          </w:tcPr>
          <w:p>
            <w:pPr>
              <w:pStyle w:val="1116"/>
              <w:keepLines w:val="0"/>
              <w:keepNext w:val="0"/>
              <w:spacing w:before="0" w:after="0" w:line="320" w:lineRule="exact"/>
              <w:rPr>
                <w:rFonts w:hint="default" w:ascii="宋体" w:hAnsi="宋体" w:eastAsia="宋体" w:cs="宋体"/>
                <w:b w:val="0"/>
                <w:bCs w:val="0"/>
                <w:spacing w:val="-10"/>
                <w:sz w:val="22"/>
                <w:szCs w:val="22"/>
                <w:highlight w:val="none"/>
              </w:rPr>
            </w:pPr>
            <w:r>
              <w:rPr>
                <w:rFonts w:hint="eastAsia" w:ascii="宋体" w:hAnsi="宋体" w:eastAsia="宋体" w:cs="宋体"/>
                <w:b w:val="0"/>
                <w:bCs w:val="0"/>
                <w:sz w:val="21"/>
                <w:szCs w:val="21"/>
                <w:highlight w:val="none"/>
                <w:lang w:val="en-US" w:eastAsia="zh-CN"/>
              </w:rPr>
              <w:t xml:space="preserve">根据投标人提供的模拟系统演示进行评分，演示点流程和内容完整的2分/个，本项共10分</w:t>
            </w:r>
            <w:r>
              <w:rPr>
                <w:rFonts w:hint="eastAsia" w:ascii="华文中宋" w:hAnsi="华文中宋" w:eastAsia="华文中宋" w:cs="华文中宋"/>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系统演示必须模拟现场录制，录制视频必须采用*MP4文件格式，且视频文件压缩包(ZIP格式)不得超过50M（否则，无法上传）。未上传系统演示文件的或仅以PPT演示的或视频未采用MP4格式的或未能演示或演示不完整的均不得分）</w:t>
            </w:r>
            <w:r>
              <w:rPr>
                <w:rFonts w:hint="eastAsia" w:ascii="华文中宋" w:hAnsi="华文中宋" w:eastAsia="华文中宋" w:cs="华文中宋"/>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。具体演示流程和内容详见附页。</w:t>
            </w:r>
            <w:r>
              <w:rPr>
                <w:highlight w:val="none"/>
              </w:rPr>
            </w:r>
            <w:r/>
          </w:p>
        </w:tc>
      </w:tr>
      <w:tr>
        <w:trPr>
          <w:trHeight w:val="1314"/>
        </w:trPr>
        <w:tc>
          <w:tcPr>
            <w:shd w:val="clear" w:color="auto" w:fill="auto"/>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szCs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11</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类似业绩</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3</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942"/>
              <w:keepLines w:val="0"/>
              <w:keepNext w:val="0"/>
              <w:pageBreakBefore w:val="0"/>
              <w:spacing w:before="0" w:after="0" w:line="320" w:lineRule="exact"/>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投标人或软件开发服务商自2023年1月1日（以合同签订时间为准）</w:t>
            </w:r>
            <w:r>
              <w:rPr>
                <w:rFonts w:hint="eastAsia" w:ascii="宋体" w:hAnsi="宋体" w:eastAsia="宋体" w:cs="宋体"/>
                <w:b w:val="0"/>
                <w:bCs w:val="0"/>
                <w:sz w:val="22"/>
                <w:szCs w:val="22"/>
                <w:highlight w:val="none"/>
                <w:lang w:val="en-US" w:eastAsia="zh-CN"/>
              </w:rPr>
              <w:t xml:space="preserve">以来，</w:t>
            </w:r>
            <w:r>
              <w:rPr>
                <w:rFonts w:hint="eastAsia" w:ascii="宋体" w:hAnsi="宋体" w:eastAsia="宋体" w:cs="宋体"/>
                <w:b w:val="0"/>
                <w:bCs w:val="0"/>
                <w:sz w:val="22"/>
                <w:szCs w:val="22"/>
                <w:highlight w:val="none"/>
              </w:rPr>
              <w:t xml:space="preserve">具有病历生成</w:t>
            </w:r>
            <w:r>
              <w:rPr>
                <w:rFonts w:hint="eastAsia" w:ascii="宋体" w:hAnsi="宋体" w:cs="宋体"/>
                <w:b w:val="0"/>
                <w:bCs w:val="0"/>
                <w:sz w:val="22"/>
                <w:szCs w:val="22"/>
                <w:highlight w:val="none"/>
                <w:lang w:val="en-US" w:eastAsia="zh-CN"/>
              </w:rPr>
              <w:t xml:space="preserve">或</w:t>
            </w:r>
            <w:r>
              <w:rPr>
                <w:rFonts w:hint="eastAsia" w:ascii="宋体" w:hAnsi="宋体" w:eastAsia="宋体" w:cs="宋体"/>
                <w:b w:val="0"/>
                <w:bCs w:val="0"/>
                <w:sz w:val="22"/>
                <w:szCs w:val="22"/>
                <w:highlight w:val="none"/>
              </w:rPr>
              <w:t xml:space="preserve">智能体同类型建设项目业绩的，每提供一项业绩得1分，最高得3分。</w:t>
            </w:r>
            <w:r>
              <w:rPr>
                <w:highlight w:val="none"/>
              </w:rPr>
            </w:r>
            <w:r/>
          </w:p>
          <w:p>
            <w:pPr>
              <w:pStyle w:val="942"/>
              <w:keepLines w:val="0"/>
              <w:keepNext w:val="0"/>
              <w:pageBreakBefore w:val="0"/>
              <w:spacing w:before="0" w:after="0" w:line="320" w:lineRule="exact"/>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注：提供合同关键页</w:t>
            </w:r>
            <w:r>
              <w:rPr>
                <w:rFonts w:hint="eastAsia" w:ascii="宋体" w:hAnsi="宋体" w:eastAsia="宋体" w:cs="宋体"/>
                <w:b w:val="0"/>
                <w:bCs w:val="0"/>
                <w:sz w:val="22"/>
                <w:szCs w:val="22"/>
                <w:highlight w:val="none"/>
                <w:lang w:val="en-US" w:eastAsia="zh-CN"/>
              </w:rPr>
              <w:t xml:space="preserve">原件</w:t>
            </w:r>
            <w:r>
              <w:rPr>
                <w:rFonts w:hint="eastAsia" w:ascii="宋体" w:hAnsi="宋体" w:eastAsia="宋体" w:cs="宋体"/>
                <w:b w:val="0"/>
                <w:bCs w:val="0"/>
                <w:sz w:val="22"/>
                <w:szCs w:val="22"/>
                <w:highlight w:val="none"/>
              </w:rPr>
              <w:t xml:space="preserve">扫描件。</w:t>
            </w:r>
            <w:r>
              <w:rPr>
                <w:highlight w:val="none"/>
              </w:rPr>
            </w:r>
            <w:r/>
          </w:p>
        </w:tc>
      </w:tr>
      <w:tr>
        <w:trPr/>
        <w:tc>
          <w:tcPr>
            <w:tcW w:w="903"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2.2.2</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cs="宋体"/>
                <w:b/>
                <w:bCs/>
                <w:sz w:val="22"/>
                <w:highlight w:val="none"/>
                <w:lang w:val="en-US" w:eastAsia="zh-CN"/>
              </w:rPr>
              <w:t xml:space="preserve">12</w:t>
            </w:r>
            <w:r>
              <w:rPr>
                <w:rFonts w:hint="eastAsia" w:ascii="宋体" w:hAnsi="宋体" w:eastAsia="宋体" w:cs="宋体"/>
                <w:b/>
                <w:bCs/>
                <w:sz w:val="22"/>
                <w:highlight w:val="none"/>
              </w:rPr>
              <w:t xml:space="preserve">）</w:t>
            </w:r>
            <w:r>
              <w:rPr>
                <w:highlight w:val="none"/>
              </w:rPr>
            </w:r>
            <w:r/>
          </w:p>
        </w:tc>
        <w:tc>
          <w:tcPr>
            <w:tcW w:w="1770" w:type="dxa"/>
            <w:vAlign w:val="center"/>
            <w:textDirection w:val="lrTb"/>
            <w:noWrap w:val="false"/>
          </w:tcPr>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投标价格</w:t>
            </w:r>
            <w:r>
              <w:rPr>
                <w:highlight w:val="none"/>
              </w:rPr>
            </w:r>
            <w:r/>
          </w:p>
          <w:p>
            <w:pPr>
              <w:jc w:val="center"/>
              <w:pageBreakBefore w:val="0"/>
              <w:spacing w:line="320" w:lineRule="exact"/>
              <w:widowControl w:val="off"/>
              <w:rPr>
                <w:rFonts w:hint="eastAsia" w:ascii="宋体" w:hAnsi="宋体" w:eastAsia="宋体" w:cs="宋体"/>
                <w:b/>
                <w:bCs/>
                <w:sz w:val="22"/>
                <w:highlight w:val="none"/>
              </w:rPr>
            </w:pPr>
            <w:r>
              <w:rPr>
                <w:rFonts w:hint="eastAsia" w:ascii="宋体" w:hAnsi="宋体" w:eastAsia="宋体" w:cs="宋体"/>
                <w:b/>
                <w:bCs/>
                <w:sz w:val="22"/>
                <w:highlight w:val="none"/>
              </w:rPr>
              <w:t xml:space="preserve">（</w:t>
            </w:r>
            <w:r>
              <w:rPr>
                <w:rFonts w:hint="eastAsia" w:ascii="宋体" w:hAnsi="宋体" w:eastAsia="宋体" w:cs="宋体"/>
                <w:b/>
                <w:bCs/>
                <w:sz w:val="22"/>
                <w:highlight w:val="none"/>
                <w:lang w:val="en-US" w:eastAsia="zh-CN"/>
              </w:rPr>
              <w:t xml:space="preserve">30</w:t>
            </w:r>
            <w:r>
              <w:rPr>
                <w:rFonts w:hint="eastAsia" w:ascii="宋体" w:hAnsi="宋体" w:eastAsia="宋体" w:cs="宋体"/>
                <w:b/>
                <w:bCs/>
                <w:sz w:val="22"/>
                <w:highlight w:val="none"/>
              </w:rPr>
              <w:t xml:space="preserve">分）</w:t>
            </w:r>
            <w:r>
              <w:rPr>
                <w:highlight w:val="none"/>
              </w:rPr>
            </w:r>
            <w:r/>
          </w:p>
        </w:tc>
        <w:tc>
          <w:tcPr>
            <w:tcW w:w="6598" w:type="dxa"/>
            <w:vAlign w:val="center"/>
            <w:textDirection w:val="lrTb"/>
            <w:noWrap w:val="false"/>
          </w:tcPr>
          <w:p>
            <w:pPr>
              <w:pStyle w:val="942"/>
              <w:keepLines w:val="0"/>
              <w:keepNext w:val="0"/>
              <w:pageBreakBefore w:val="0"/>
              <w:spacing w:before="0" w:after="0" w:line="320" w:lineRule="exact"/>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价格分采用低价优先法计算，即满足招标文件要求且投标价格最低的投标报价为评标基准价，其价格分为满分。其他投标人的价格分统一按照下列公式计算： </w:t>
            </w:r>
            <w:r>
              <w:rPr>
                <w:highlight w:val="none"/>
              </w:rPr>
            </w:r>
            <w:r/>
          </w:p>
          <w:p>
            <w:pPr>
              <w:pStyle w:val="942"/>
              <w:ind w:firstLine="210"/>
              <w:keepLines w:val="0"/>
              <w:keepNext w:val="0"/>
              <w:pageBreakBefore w:val="0"/>
              <w:spacing w:before="0" w:after="0" w:line="320" w:lineRule="exact"/>
              <w:widowControl w:val="off"/>
              <w:rPr>
                <w:rFonts w:hint="eastAsia" w:ascii="宋体" w:hAnsi="宋体" w:eastAsia="宋体" w:cs="宋体"/>
                <w:b w:val="0"/>
                <w:bCs w:val="0"/>
                <w:sz w:val="22"/>
                <w:szCs w:val="22"/>
                <w:highlight w:val="none"/>
              </w:rPr>
            </w:pPr>
            <w:r>
              <w:rPr>
                <w:rFonts w:hint="eastAsia" w:ascii="宋体" w:hAnsi="宋体" w:eastAsia="宋体" w:cs="宋体"/>
                <w:b w:val="0"/>
                <w:bCs w:val="0"/>
                <w:sz w:val="22"/>
                <w:szCs w:val="22"/>
                <w:highlight w:val="none"/>
              </w:rPr>
              <w:t xml:space="preserve">投标报价得分=（评标基准价/投标报价）×</w:t>
            </w:r>
            <w:r>
              <w:rPr>
                <w:rFonts w:hint="eastAsia" w:ascii="宋体" w:hAnsi="宋体" w:eastAsia="宋体" w:cs="宋体"/>
                <w:b w:val="0"/>
                <w:bCs w:val="0"/>
                <w:sz w:val="22"/>
                <w:szCs w:val="22"/>
                <w:highlight w:val="none"/>
                <w:lang w:val="en-US" w:eastAsia="zh-CN"/>
              </w:rPr>
              <w:t xml:space="preserve">30</w:t>
            </w:r>
            <w:r>
              <w:rPr>
                <w:rFonts w:hint="eastAsia" w:ascii="宋体" w:hAnsi="宋体" w:eastAsia="宋体" w:cs="宋体"/>
                <w:b w:val="0"/>
                <w:bCs w:val="0"/>
                <w:sz w:val="22"/>
                <w:szCs w:val="22"/>
                <w:highlight w:val="none"/>
              </w:rPr>
              <w:t xml:space="preserve">。</w:t>
            </w:r>
            <w:r>
              <w:rPr>
                <w:highlight w:val="none"/>
              </w:rPr>
            </w:r>
            <w:r/>
          </w:p>
          <w:p>
            <w:pPr>
              <w:pStyle w:val="950"/>
              <w:pageBreakBefore w:val="0"/>
              <w:spacing w:after="0" w:line="32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sz w:val="22"/>
                <w:szCs w:val="22"/>
                <w:highlight w:val="none"/>
              </w:rPr>
              <w:t xml:space="preserve">注：</w:t>
            </w:r>
            <w:r>
              <w:rPr>
                <w:highlight w:val="none"/>
              </w:rPr>
            </w:r>
            <w:r/>
          </w:p>
          <w:p>
            <w:pPr>
              <w:pStyle w:val="950"/>
              <w:numPr>
                <w:ilvl w:val="0"/>
                <w:numId w:val="1"/>
              </w:numPr>
              <w:ind w:firstLine="442"/>
              <w:keepLines w:val="0"/>
              <w:keepNext w:val="0"/>
              <w:pageBreakBefore w:val="0"/>
              <w:spacing w:after="0" w:line="32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对符合条件的小型企业或微型企业或残疾人福利性企业或监狱企业，以投标报价扣除10%后的价格</w:t>
            </w:r>
            <w:r>
              <w:rPr>
                <w:rFonts w:hint="eastAsia" w:ascii="宋体" w:hAnsi="宋体" w:eastAsia="宋体" w:cs="宋体"/>
                <w:b/>
                <w:bCs/>
                <w:color w:val="auto"/>
                <w:sz w:val="22"/>
                <w:szCs w:val="22"/>
                <w:highlight w:val="none"/>
                <w:lang w:val="en-US" w:eastAsia="zh-CN"/>
              </w:rPr>
              <w:t xml:space="preserve">参与评审</w:t>
            </w:r>
            <w:r>
              <w:rPr>
                <w:rFonts w:hint="eastAsia" w:ascii="宋体" w:hAnsi="宋体" w:eastAsia="宋体" w:cs="宋体"/>
                <w:b/>
                <w:bCs/>
                <w:color w:val="auto"/>
                <w:sz w:val="22"/>
                <w:szCs w:val="22"/>
                <w:highlight w:val="none"/>
                <w:lang w:eastAsia="zh-CN"/>
              </w:rPr>
              <w:t xml:space="preserve">。</w:t>
            </w:r>
            <w:r>
              <w:rPr>
                <w:highlight w:val="none"/>
              </w:rPr>
            </w:r>
            <w:r/>
          </w:p>
          <w:p>
            <w:pPr>
              <w:pStyle w:val="942"/>
              <w:ind w:firstLine="442"/>
              <w:keepLines w:val="0"/>
              <w:keepNext w:val="0"/>
              <w:pageBreakBefore w:val="0"/>
              <w:spacing w:before="0" w:after="0" w:line="320" w:lineRule="exact"/>
              <w:widowControl w:val="off"/>
              <w:rPr>
                <w:rFonts w:hint="eastAsia" w:ascii="宋体" w:hAnsi="宋体" w:eastAsia="宋体" w:cs="宋体"/>
                <w:b w:val="0"/>
                <w:bCs w:val="0"/>
                <w:sz w:val="22"/>
                <w:szCs w:val="22"/>
                <w:highlight w:val="none"/>
              </w:rPr>
            </w:pPr>
            <w:r>
              <w:rPr>
                <w:rFonts w:hint="eastAsia" w:ascii="宋体" w:hAnsi="宋体" w:cs="宋体"/>
                <w:b/>
                <w:bCs/>
                <w:color w:val="auto"/>
                <w:sz w:val="22"/>
                <w:szCs w:val="22"/>
                <w:highlight w:val="none"/>
                <w:lang w:eastAsia="zh-CN"/>
              </w:rPr>
              <w:t xml:space="preserve">（</w:t>
            </w:r>
            <w:r>
              <w:rPr>
                <w:rFonts w:hint="eastAsia" w:ascii="宋体" w:hAnsi="宋体" w:cs="宋体"/>
                <w:b/>
                <w:bCs/>
                <w:color w:val="auto"/>
                <w:sz w:val="22"/>
                <w:szCs w:val="22"/>
                <w:highlight w:val="none"/>
                <w:lang w:val="en-US" w:eastAsia="zh-CN"/>
              </w:rPr>
              <w:t xml:space="preserve">2</w:t>
            </w:r>
            <w:r>
              <w:rPr>
                <w:rFonts w:hint="eastAsia" w:ascii="宋体" w:hAnsi="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rPr>
              <w:t xml:space="preserve">对符合本国产品标准的产品</w:t>
            </w:r>
            <w:r>
              <w:rPr>
                <w:rFonts w:hint="eastAsia" w:ascii="宋体" w:hAnsi="宋体" w:eastAsia="宋体" w:cs="宋体"/>
                <w:b/>
                <w:bCs/>
                <w:color w:val="auto"/>
                <w:sz w:val="22"/>
                <w:szCs w:val="22"/>
                <w:highlight w:val="none"/>
                <w:lang w:val="en-US" w:eastAsia="zh-CN"/>
              </w:rPr>
              <w:t xml:space="preserve">，对该投标人提供的全部产品的总报价给予20%的价格扣除，用扣除后的价格参与评审</w:t>
            </w:r>
            <w:r>
              <w:rPr>
                <w:rFonts w:hint="eastAsia" w:ascii="宋体" w:hAnsi="宋体" w:eastAsia="宋体" w:cs="宋体"/>
                <w:b/>
                <w:bCs/>
                <w:color w:val="auto"/>
                <w:sz w:val="22"/>
                <w:szCs w:val="22"/>
                <w:highlight w:val="none"/>
              </w:rPr>
              <w:t xml:space="preserve">。</w:t>
            </w:r>
            <w:r>
              <w:rPr>
                <w:highlight w:val="none"/>
              </w:rPr>
            </w:r>
            <w:r/>
          </w:p>
        </w:tc>
      </w:tr>
    </w:tbl>
    <w:p>
      <w:pPr>
        <w:rPr>
          <w:color w:val="auto"/>
          <w:highlight w:val="none"/>
        </w:rPr>
      </w:pPr>
      <w:r>
        <w:rPr>
          <w:color w:val="auto"/>
          <w:highlight w:val="none"/>
        </w:rPr>
      </w:r>
      <w:r>
        <w:rPr>
          <w:highlight w:val="none"/>
        </w:rPr>
      </w:r>
      <w:r/>
    </w:p>
    <w:p>
      <w:pPr>
        <w:rPr>
          <w:b/>
          <w:bCs/>
          <w:sz w:val="24"/>
          <w:szCs w:val="24"/>
          <w:highlight w:val="none"/>
        </w:rPr>
      </w:pPr>
      <w:r>
        <w:rPr>
          <w:rFonts w:hint="eastAsia" w:ascii="黑体" w:hAnsi="黑体" w:eastAsia="黑体" w:cs="黑体"/>
          <w:b/>
          <w:bCs/>
          <w:sz w:val="28"/>
          <w:szCs w:val="32"/>
          <w:highlight w:val="none"/>
        </w:rPr>
      </w:r>
      <w:r>
        <w:rPr>
          <w:rFonts w:hint="eastAsia" w:ascii="黑体" w:hAnsi="黑体" w:eastAsia="黑体" w:cs="黑体"/>
          <w:b/>
          <w:bCs/>
          <w:sz w:val="28"/>
          <w:szCs w:val="32"/>
          <w:highlight w:val="none"/>
        </w:rPr>
      </w:r>
      <w:r/>
    </w:p>
    <w:p>
      <w:pPr>
        <w:rPr>
          <w:rFonts w:hint="eastAsia" w:ascii="黑体" w:hAnsi="黑体" w:eastAsia="黑体" w:cs="黑体"/>
          <w:b/>
          <w:bCs/>
          <w:sz w:val="28"/>
          <w:szCs w:val="28"/>
          <w:highlight w:val="none"/>
        </w:rPr>
      </w:pPr>
      <w:r>
        <w:rPr>
          <w:rFonts w:hint="eastAsia" w:ascii="黑体" w:hAnsi="黑体" w:eastAsia="黑体" w:cs="黑体"/>
          <w:b/>
          <w:bCs/>
          <w:sz w:val="28"/>
          <w:szCs w:val="32"/>
          <w:highlight w:val="none"/>
        </w:rPr>
      </w:r>
      <w:r>
        <w:rPr>
          <w:rFonts w:hint="eastAsia" w:ascii="黑体" w:hAnsi="黑体" w:eastAsia="黑体" w:cs="黑体"/>
          <w:b/>
          <w:bCs/>
          <w:sz w:val="28"/>
          <w:szCs w:val="32"/>
          <w:highlight w:val="none"/>
        </w:rPr>
      </w:r>
      <w:r/>
    </w:p>
    <w:p>
      <w:pPr>
        <w:rPr>
          <w:rFonts w:hint="eastAsia" w:ascii="黑体" w:hAnsi="黑体" w:eastAsia="黑体" w:cs="黑体"/>
          <w:b/>
          <w:bCs/>
          <w:sz w:val="28"/>
          <w:szCs w:val="28"/>
          <w:highlight w:val="none"/>
        </w:rPr>
      </w:pPr>
      <w:r>
        <w:rPr>
          <w:rFonts w:hint="eastAsia" w:ascii="黑体" w:hAnsi="黑体" w:eastAsia="黑体" w:cs="黑体"/>
          <w:b/>
          <w:bCs/>
          <w:sz w:val="28"/>
          <w:szCs w:val="32"/>
          <w:highlight w:val="none"/>
        </w:rPr>
        <w:t xml:space="preserve">附页：系统演示要求</w:t>
      </w:r>
      <w:r>
        <w:rPr>
          <w:highlight w:val="none"/>
        </w:rPr>
      </w:r>
      <w:r/>
    </w:p>
    <w:p>
      <w:pPr>
        <w:jc w:val="left"/>
        <w:keepLines w:val="0"/>
        <w:keepNext w:val="0"/>
        <w:pageBreakBefore w:val="0"/>
        <w:spacing w:line="360" w:lineRule="auto"/>
        <w:widowControl/>
        <w:rPr>
          <w:rFonts w:ascii="宋体" w:hAnsi="宋体" w:cs="宋体"/>
          <w:b/>
          <w:bCs/>
          <w:sz w:val="22"/>
          <w:szCs w:val="24"/>
          <w:highlight w:val="none"/>
        </w:rPr>
      </w:pP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一</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演示点</w:t>
      </w:r>
      <w:r>
        <w:rPr>
          <w:rFonts w:hint="eastAsia" w:ascii="宋体" w:hAnsi="宋体" w:cs="宋体"/>
          <w:b/>
          <w:bCs/>
          <w:sz w:val="22"/>
          <w:szCs w:val="24"/>
          <w:highlight w:val="none"/>
        </w:rPr>
        <w:t xml:space="preserve">1</w:t>
      </w:r>
      <w:r>
        <w:rPr>
          <w:rFonts w:ascii="宋体" w:hAnsi="宋体" w:cs="宋体"/>
          <w:b/>
          <w:bCs/>
          <w:sz w:val="22"/>
          <w:szCs w:val="24"/>
          <w:highlight w:val="none"/>
        </w:rPr>
        <w:t xml:space="preserve">：语音与OCR多模态融合采集</w:t>
      </w:r>
      <w:r>
        <w:rPr>
          <w:highlight w:val="none"/>
        </w:rPr>
      </w:r>
      <w:r/>
    </w:p>
    <w:p>
      <w:pPr>
        <w:ind w:firstLine="440"/>
        <w:keepLines w:val="0"/>
        <w:keepNext w:val="0"/>
        <w:pageBreakBefore w:val="0"/>
        <w:spacing w:line="360" w:lineRule="auto"/>
        <w:widowControl w:val="off"/>
        <w:rPr>
          <w:rFonts w:ascii="宋体" w:hAnsi="宋体" w:cs="宋体"/>
          <w:sz w:val="22"/>
          <w:szCs w:val="24"/>
          <w:highlight w:val="none"/>
        </w:rPr>
      </w:pPr>
      <w:r>
        <w:rPr>
          <w:rFonts w:hint="eastAsia" w:ascii="宋体" w:hAnsi="宋体" w:cs="宋体"/>
          <w:sz w:val="22"/>
          <w:szCs w:val="24"/>
          <w:highlight w:val="none"/>
        </w:rPr>
        <w:t xml:space="preserve">1.现</w:t>
      </w:r>
      <w:r>
        <w:rPr>
          <w:rFonts w:ascii="宋体" w:hAnsi="宋体" w:cs="宋体"/>
          <w:sz w:val="22"/>
          <w:szCs w:val="24"/>
          <w:highlight w:val="none"/>
        </w:rPr>
        <w:t xml:space="preserve">场模拟真实问诊场景，录音功能须通过H5页面实现，严禁使用第三方App，以确保数据传输路径的绝对安全。</w:t>
      </w:r>
      <w:r>
        <w:rPr>
          <w:highlight w:val="none"/>
        </w:rPr>
      </w:r>
      <w:r/>
    </w:p>
    <w:p>
      <w:pPr>
        <w:ind w:firstLine="440"/>
        <w:keepLines w:val="0"/>
        <w:keepNext w:val="0"/>
        <w:pageBreakBefore w:val="0"/>
        <w:spacing w:line="360" w:lineRule="auto"/>
        <w:widowControl w:val="off"/>
        <w:rPr>
          <w:rFonts w:ascii="宋体" w:hAnsi="宋体" w:cs="宋体"/>
          <w:sz w:val="22"/>
          <w:szCs w:val="24"/>
          <w:highlight w:val="none"/>
        </w:rPr>
      </w:pPr>
      <w:r>
        <w:rPr>
          <w:rFonts w:hint="eastAsia" w:ascii="宋体" w:hAnsi="宋体" w:cs="宋体"/>
          <w:sz w:val="22"/>
          <w:szCs w:val="24"/>
          <w:highlight w:val="none"/>
        </w:rPr>
        <w:t xml:space="preserve">2.</w:t>
      </w:r>
      <w:r>
        <w:rPr>
          <w:rFonts w:ascii="宋体" w:hAnsi="宋体" w:cs="宋体"/>
          <w:sz w:val="22"/>
          <w:szCs w:val="24"/>
          <w:highlight w:val="none"/>
        </w:rPr>
        <w:t xml:space="preserve">开启语音录入（可掺杂口语、停顿），支持按学科分类维护专业热词，并可对指定热词设置权重值，以提高特定专业术语在识别结果中的优先级。</w:t>
      </w:r>
      <w:r>
        <w:rPr>
          <w:highlight w:val="none"/>
        </w:rPr>
      </w:r>
      <w:r/>
    </w:p>
    <w:p>
      <w:pPr>
        <w:ind w:firstLine="440"/>
        <w:keepLines w:val="0"/>
        <w:keepNext w:val="0"/>
        <w:pageBreakBefore w:val="0"/>
        <w:spacing w:line="360" w:lineRule="auto"/>
        <w:widowControl w:val="off"/>
        <w:rPr>
          <w:rFonts w:ascii="宋体" w:hAnsi="宋体" w:cs="宋体"/>
          <w:sz w:val="22"/>
          <w:szCs w:val="24"/>
          <w:highlight w:val="none"/>
        </w:rPr>
      </w:pPr>
      <w:r>
        <w:rPr>
          <w:rFonts w:hint="eastAsia" w:ascii="宋体" w:hAnsi="宋体" w:cs="宋体"/>
          <w:sz w:val="22"/>
          <w:szCs w:val="24"/>
          <w:highlight w:val="none"/>
        </w:rPr>
        <w:t xml:space="preserve">3.</w:t>
      </w:r>
      <w:r>
        <w:rPr>
          <w:rFonts w:ascii="宋体" w:hAnsi="宋体" w:cs="宋体"/>
          <w:sz w:val="22"/>
          <w:szCs w:val="24"/>
          <w:highlight w:val="none"/>
        </w:rPr>
        <w:t xml:space="preserve">支持上传一张外院纸质化验单照片（OCR）。</w:t>
      </w:r>
      <w:r>
        <w:rPr>
          <w:highlight w:val="none"/>
        </w:rPr>
      </w:r>
      <w:r/>
    </w:p>
    <w:p>
      <w:pPr>
        <w:ind w:firstLine="440"/>
        <w:keepLines w:val="0"/>
        <w:keepNext w:val="0"/>
        <w:pageBreakBefore w:val="0"/>
        <w:spacing w:line="360" w:lineRule="auto"/>
        <w:widowControl w:val="off"/>
        <w:rPr>
          <w:rFonts w:ascii="宋体" w:hAnsi="宋体" w:cs="宋体"/>
          <w:sz w:val="22"/>
          <w:szCs w:val="24"/>
          <w:highlight w:val="none"/>
        </w:rPr>
      </w:pPr>
      <w:r>
        <w:rPr>
          <w:rFonts w:hint="eastAsia" w:ascii="宋体" w:hAnsi="宋体" w:cs="宋体"/>
          <w:sz w:val="22"/>
          <w:szCs w:val="24"/>
          <w:highlight w:val="none"/>
        </w:rPr>
        <w:t xml:space="preserve">4.</w:t>
      </w:r>
      <w:r>
        <w:rPr>
          <w:rFonts w:ascii="宋体" w:hAnsi="宋体" w:cs="宋体"/>
          <w:sz w:val="22"/>
          <w:szCs w:val="24"/>
          <w:highlight w:val="none"/>
        </w:rPr>
        <w:t xml:space="preserve">系统需展示将长语音与图片信息同步转化为结构化文本，并精准提取有效病情特征。</w:t>
      </w:r>
      <w:r>
        <w:rPr>
          <w:highlight w:val="none"/>
        </w:rPr>
      </w:r>
      <w:r/>
    </w:p>
    <w:p>
      <w:pPr>
        <w:jc w:val="left"/>
        <w:keepLines w:val="0"/>
        <w:keepNext w:val="0"/>
        <w:pageBreakBefore w:val="0"/>
        <w:spacing w:line="360" w:lineRule="auto"/>
        <w:widowControl/>
        <w:rPr>
          <w:rFonts w:ascii="宋体" w:hAnsi="宋体" w:cs="宋体"/>
          <w:b/>
          <w:bCs/>
          <w:sz w:val="22"/>
          <w:szCs w:val="24"/>
          <w:highlight w:val="none"/>
        </w:rPr>
      </w:pP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二</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演示点</w:t>
      </w:r>
      <w:r>
        <w:rPr>
          <w:rFonts w:hint="eastAsia" w:ascii="宋体" w:hAnsi="宋体" w:cs="宋体"/>
          <w:b/>
          <w:bCs/>
          <w:sz w:val="22"/>
          <w:szCs w:val="24"/>
          <w:highlight w:val="none"/>
        </w:rPr>
        <w:t xml:space="preserve">2</w:t>
      </w:r>
      <w:r>
        <w:rPr>
          <w:rFonts w:ascii="宋体" w:hAnsi="宋体" w:cs="宋体"/>
          <w:b/>
          <w:bCs/>
          <w:sz w:val="22"/>
          <w:szCs w:val="24"/>
          <w:highlight w:val="none"/>
        </w:rPr>
        <w:t xml:space="preserve">：院内系统无缝对接与病历一键回写</w:t>
      </w:r>
      <w:r>
        <w:rPr>
          <w:rFonts w:hint="eastAsia" w:ascii="宋体" w:hAnsi="宋体" w:cs="宋体"/>
          <w:b/>
          <w:bCs/>
          <w:sz w:val="22"/>
          <w:szCs w:val="24"/>
          <w:highlight w:val="none"/>
        </w:rPr>
        <w:t xml:space="preserve">。</w:t>
      </w:r>
      <w:r>
        <w:rPr>
          <w:highlight w:val="none"/>
        </w:rPr>
      </w:r>
      <w:r/>
    </w:p>
    <w:p>
      <w:pPr>
        <w:ind w:firstLine="440"/>
        <w:keepLines w:val="0"/>
        <w:keepNext w:val="0"/>
        <w:pageBreakBefore w:val="0"/>
        <w:spacing w:line="360" w:lineRule="auto"/>
        <w:widowControl w:val="off"/>
        <w:rPr>
          <w:rFonts w:ascii="宋体" w:hAnsi="宋体" w:eastAsia="宋体" w:cs="宋体"/>
          <w:sz w:val="22"/>
          <w:szCs w:val="24"/>
          <w:highlight w:val="none"/>
        </w:rPr>
      </w:pPr>
      <w:r>
        <w:rPr>
          <w:rFonts w:ascii="宋体" w:hAnsi="宋体" w:eastAsia="宋体" w:cs="宋体"/>
          <w:sz w:val="22"/>
          <w:szCs w:val="24"/>
          <w:highlight w:val="none"/>
        </w:rPr>
        <w:t xml:space="preserve">在</w:t>
      </w:r>
      <w:r>
        <w:rPr>
          <w:rFonts w:hint="eastAsia" w:ascii="宋体" w:hAnsi="宋体" w:eastAsia="宋体" w:cs="宋体"/>
          <w:sz w:val="22"/>
          <w:szCs w:val="24"/>
          <w:highlight w:val="none"/>
        </w:rPr>
        <w:t xml:space="preserve">不改变医生现有诊疗习惯情况下，</w:t>
      </w:r>
      <w:r>
        <w:rPr>
          <w:rFonts w:ascii="宋体" w:hAnsi="宋体" w:eastAsia="宋体" w:cs="宋体"/>
          <w:sz w:val="22"/>
          <w:szCs w:val="24"/>
          <w:highlight w:val="none"/>
        </w:rPr>
        <w:t xml:space="preserve">展示AI生成的</w:t>
      </w:r>
      <w:r>
        <w:rPr>
          <w:rFonts w:hint="eastAsia" w:ascii="宋体" w:hAnsi="宋体" w:eastAsia="宋体" w:cs="宋体"/>
          <w:sz w:val="22"/>
          <w:szCs w:val="24"/>
          <w:highlight w:val="none"/>
        </w:rPr>
        <w:t xml:space="preserve">急救</w:t>
      </w:r>
      <w:r>
        <w:rPr>
          <w:rFonts w:ascii="宋体" w:hAnsi="宋体" w:eastAsia="宋体" w:cs="宋体"/>
          <w:sz w:val="22"/>
          <w:szCs w:val="24"/>
          <w:highlight w:val="none"/>
        </w:rPr>
        <w:t xml:space="preserve">结构化病历文书</w:t>
      </w:r>
      <w:r>
        <w:rPr>
          <w:rFonts w:hint="eastAsia" w:ascii="宋体" w:hAnsi="宋体" w:eastAsia="宋体" w:cs="宋体"/>
          <w:sz w:val="22"/>
          <w:szCs w:val="24"/>
          <w:highlight w:val="none"/>
        </w:rPr>
        <w:t xml:space="preserve">草稿</w:t>
      </w:r>
      <w:r>
        <w:rPr>
          <w:rFonts w:ascii="宋体" w:hAnsi="宋体" w:eastAsia="宋体" w:cs="宋体"/>
          <w:sz w:val="22"/>
          <w:szCs w:val="24"/>
          <w:highlight w:val="none"/>
        </w:rPr>
        <w:t xml:space="preserve">，通过点击“一键回写”按钮，</w:t>
      </w:r>
      <w:r>
        <w:rPr>
          <w:rFonts w:hint="eastAsia" w:ascii="宋体" w:hAnsi="宋体" w:eastAsia="宋体" w:cs="宋体"/>
          <w:sz w:val="22"/>
          <w:szCs w:val="24"/>
          <w:highlight w:val="none"/>
        </w:rPr>
        <w:t xml:space="preserve">将</w:t>
      </w:r>
      <w:r>
        <w:rPr>
          <w:rFonts w:ascii="宋体" w:hAnsi="宋体" w:eastAsia="宋体" w:cs="宋体"/>
          <w:sz w:val="22"/>
          <w:szCs w:val="24"/>
          <w:highlight w:val="none"/>
        </w:rPr>
        <w:t xml:space="preserve">各字段精准填入</w:t>
      </w:r>
      <w:r>
        <w:rPr>
          <w:rFonts w:hint="eastAsia" w:ascii="宋体" w:hAnsi="宋体" w:eastAsia="宋体" w:cs="宋体"/>
          <w:sz w:val="22"/>
          <w:szCs w:val="24"/>
          <w:highlight w:val="none"/>
        </w:rPr>
        <w:t xml:space="preserve">电子病历系统对</w:t>
      </w:r>
      <w:r>
        <w:rPr>
          <w:rFonts w:ascii="宋体" w:hAnsi="宋体" w:eastAsia="宋体" w:cs="宋体"/>
          <w:sz w:val="22"/>
          <w:szCs w:val="24"/>
          <w:highlight w:val="none"/>
        </w:rPr>
        <w:t xml:space="preserve">应的病历输入框内。</w:t>
      </w:r>
      <w:r>
        <w:rPr>
          <w:rFonts w:hint="eastAsia" w:ascii="宋体" w:hAnsi="宋体" w:eastAsia="宋体" w:cs="宋体"/>
          <w:sz w:val="22"/>
          <w:szCs w:val="24"/>
          <w:highlight w:val="none"/>
        </w:rPr>
        <w:t xml:space="preserve">支持全量回写与按字段分项回写能力。</w:t>
      </w:r>
      <w:r>
        <w:rPr>
          <w:highlight w:val="none"/>
        </w:rPr>
      </w:r>
      <w:r/>
    </w:p>
    <w:p>
      <w:pPr>
        <w:jc w:val="left"/>
        <w:keepLines w:val="0"/>
        <w:keepNext w:val="0"/>
        <w:pageBreakBefore w:val="0"/>
        <w:spacing w:line="360" w:lineRule="auto"/>
        <w:widowControl/>
        <w:rPr>
          <w:rFonts w:ascii="宋体" w:hAnsi="宋体" w:cs="宋体"/>
          <w:b/>
          <w:bCs/>
          <w:sz w:val="22"/>
          <w:szCs w:val="24"/>
          <w:highlight w:val="none"/>
        </w:rPr>
      </w:pP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三</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演示点</w:t>
      </w:r>
      <w:r>
        <w:rPr>
          <w:rFonts w:hint="eastAsia" w:ascii="宋体" w:hAnsi="宋体" w:cs="宋体"/>
          <w:b/>
          <w:bCs/>
          <w:sz w:val="22"/>
          <w:szCs w:val="24"/>
          <w:highlight w:val="none"/>
        </w:rPr>
        <w:t xml:space="preserve">3</w:t>
      </w:r>
      <w:r>
        <w:rPr>
          <w:rFonts w:ascii="宋体" w:hAnsi="宋体" w:cs="宋体"/>
          <w:b/>
          <w:bCs/>
          <w:sz w:val="22"/>
          <w:szCs w:val="24"/>
          <w:highlight w:val="none"/>
        </w:rPr>
        <w:t xml:space="preserve">：胸痛专科量表智能自动评估</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1. 模拟接诊急性胸痛患者，展示与HIS对接能力，支持自动拉取患者的年龄、心率、血压等基础数据。</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2. 演示系统自动将数据映射至GRACE评分量表对应字段，完成关键参数填充。</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3. 现场手动修改"收缩压"数值，系统立即实时重算总分并更新显示。</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4. 系统根据得分自动输出风险分级，用对应颜色（绿/黄/红）高亮标注量表区域。</w:t>
      </w:r>
      <w:r>
        <w:rPr>
          <w:highlight w:val="none"/>
        </w:rPr>
      </w:r>
      <w:r/>
    </w:p>
    <w:p>
      <w:pPr>
        <w:jc w:val="left"/>
        <w:keepLines w:val="0"/>
        <w:keepNext w:val="0"/>
        <w:pageBreakBefore w:val="0"/>
        <w:spacing w:line="360" w:lineRule="auto"/>
        <w:widowControl/>
        <w:rPr>
          <w:rFonts w:ascii="宋体" w:hAnsi="宋体" w:cs="宋体"/>
          <w:b/>
          <w:bCs/>
          <w:sz w:val="22"/>
          <w:szCs w:val="24"/>
          <w:highlight w:val="none"/>
        </w:rPr>
      </w:pP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四</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演示点</w:t>
      </w:r>
      <w:r>
        <w:rPr>
          <w:rFonts w:hint="eastAsia" w:ascii="宋体" w:hAnsi="宋体" w:cs="宋体"/>
          <w:b/>
          <w:bCs/>
          <w:sz w:val="22"/>
          <w:szCs w:val="24"/>
          <w:highlight w:val="none"/>
        </w:rPr>
        <w:t xml:space="preserve">4</w:t>
      </w:r>
      <w:r>
        <w:rPr>
          <w:rFonts w:ascii="宋体" w:hAnsi="宋体" w:cs="宋体"/>
          <w:b/>
          <w:bCs/>
          <w:sz w:val="22"/>
          <w:szCs w:val="24"/>
          <w:highlight w:val="none"/>
        </w:rPr>
        <w:t xml:space="preserve">：胸痛急救路径智能决策推荐</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1. 基于已完成的GRACE评分结果，系统自动生成指南依从性急救路径</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2. 展示核心推荐：优先治疗方式（PCI/溶栓）、双联抗血小板基础用药方案</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3. 点击"采纳"按钮，系统自动记录操作人ID和当前时间戳</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4. 简要展示"忽略"按钮的操作记录功能</w:t>
      </w:r>
      <w:r>
        <w:rPr>
          <w:highlight w:val="none"/>
        </w:rPr>
      </w:r>
      <w:r/>
    </w:p>
    <w:p>
      <w:pPr>
        <w:jc w:val="left"/>
        <w:keepLines w:val="0"/>
        <w:keepNext w:val="0"/>
        <w:pageBreakBefore w:val="0"/>
        <w:spacing w:line="360" w:lineRule="auto"/>
        <w:widowControl/>
        <w:rPr>
          <w:rFonts w:ascii="宋体" w:hAnsi="宋体" w:cs="宋体"/>
          <w:b/>
          <w:bCs/>
          <w:sz w:val="22"/>
          <w:szCs w:val="24"/>
          <w:highlight w:val="none"/>
        </w:rPr>
      </w:pPr>
      <w:r>
        <w:rPr>
          <w:rFonts w:hint="eastAsia" w:ascii="宋体" w:hAnsi="宋体" w:cs="宋体"/>
          <w:b/>
          <w:bCs/>
          <w:sz w:val="22"/>
          <w:szCs w:val="24"/>
          <w:highlight w:val="none"/>
        </w:rPr>
        <w:t xml:space="preserve">（</w:t>
      </w:r>
      <w:r>
        <w:rPr>
          <w:rFonts w:hint="eastAsia" w:ascii="宋体" w:hAnsi="宋体" w:cs="宋体"/>
          <w:b/>
          <w:bCs/>
          <w:sz w:val="22"/>
          <w:szCs w:val="24"/>
          <w:highlight w:val="none"/>
          <w:lang w:val="en-US" w:eastAsia="zh-CN"/>
        </w:rPr>
        <w:t xml:space="preserve">五</w:t>
      </w:r>
      <w:r>
        <w:rPr>
          <w:rFonts w:hint="eastAsia" w:ascii="宋体" w:hAnsi="宋体" w:cs="宋体"/>
          <w:b/>
          <w:bCs/>
          <w:sz w:val="22"/>
          <w:szCs w:val="24"/>
          <w:highlight w:val="none"/>
        </w:rPr>
        <w:t xml:space="preserve">）</w:t>
      </w:r>
      <w:r>
        <w:rPr>
          <w:rFonts w:ascii="宋体" w:hAnsi="宋体" w:cs="宋体"/>
          <w:b/>
          <w:bCs/>
          <w:sz w:val="22"/>
          <w:szCs w:val="24"/>
          <w:highlight w:val="none"/>
        </w:rPr>
        <w:t xml:space="preserve">演示点</w:t>
      </w:r>
      <w:r>
        <w:rPr>
          <w:rFonts w:hint="eastAsia" w:ascii="宋体" w:hAnsi="宋体" w:cs="宋体"/>
          <w:b/>
          <w:bCs/>
          <w:sz w:val="22"/>
          <w:szCs w:val="24"/>
          <w:highlight w:val="none"/>
        </w:rPr>
        <w:t xml:space="preserve">5</w:t>
      </w:r>
      <w:r>
        <w:rPr>
          <w:rFonts w:ascii="宋体" w:hAnsi="宋体" w:cs="宋体"/>
          <w:b/>
          <w:bCs/>
          <w:sz w:val="22"/>
          <w:szCs w:val="24"/>
          <w:highlight w:val="none"/>
        </w:rPr>
        <w:t xml:space="preserve">：卒中影像结果与禁忌症智能预警</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1. 模拟PACS系统推送患者头颅CT影像分析结果</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2. 系统接收到"发现大血管闭塞"结果，立即弹出醒目红色弹窗提醒</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3. 点击"确认"关闭弹窗后，该结果在患者检查列表中保持红色高亮</w:t>
      </w:r>
      <w:r>
        <w:rPr>
          <w:highlight w:val="none"/>
        </w:rPr>
      </w:r>
      <w:r/>
    </w:p>
    <w:p>
      <w:pPr>
        <w:ind w:firstLine="440"/>
        <w:keepLines w:val="0"/>
        <w:keepNext w:val="0"/>
        <w:pageBreakBefore w:val="0"/>
        <w:spacing w:line="360" w:lineRule="auto"/>
        <w:widowControl w:val="off"/>
        <w:rPr>
          <w:rFonts w:hint="eastAsia" w:ascii="宋体" w:hAnsi="宋体" w:eastAsia="宋体" w:cs="宋体"/>
          <w:sz w:val="22"/>
          <w:szCs w:val="24"/>
          <w:highlight w:val="none"/>
        </w:rPr>
      </w:pPr>
      <w:r>
        <w:rPr>
          <w:rFonts w:hint="eastAsia" w:ascii="宋体" w:hAnsi="宋体" w:eastAsia="宋体" w:cs="宋体"/>
          <w:sz w:val="22"/>
          <w:szCs w:val="24"/>
          <w:highlight w:val="none"/>
        </w:rPr>
        <w:t xml:space="preserve">4. 切换至患者病史界面，展示系统自动识别并高亮标注的"华法林抗凝史"禁忌症预警</w:t>
      </w:r>
      <w:r>
        <w:rPr>
          <w:rFonts w:hint="eastAsia" w:ascii="宋体" w:hAnsi="宋体" w:eastAsia="宋体" w:cs="宋体"/>
          <w:sz w:val="22"/>
          <w:szCs w:val="24"/>
          <w:highlight w:val="none"/>
          <w:lang w:eastAsia="zh-CN"/>
        </w:rPr>
        <w:t xml:space="preserve">。</w:t>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940"/>
        <w:ind w:firstLine="108"/>
        <w:spacing w:line="360" w:lineRule="auto"/>
        <w:rPr>
          <w:rFonts w:ascii="黑体" w:cs="黑体"/>
          <w:b/>
          <w:bCs/>
          <w:color w:val="auto"/>
          <w:szCs w:val="24"/>
          <w:highlight w:val="none"/>
        </w:rPr>
      </w:pPr>
      <w:r>
        <w:rPr>
          <w:rFonts w:hint="eastAsia" w:ascii="黑体" w:cs="黑体"/>
          <w:b/>
          <w:bCs/>
          <w:color w:val="auto"/>
          <w:szCs w:val="24"/>
          <w:highlight w:val="none"/>
        </w:rPr>
        <w:t xml:space="preserve">1. 评标方法</w:t>
      </w:r>
      <w:bookmarkEnd w:id="112"/>
      <w:r>
        <w:rPr>
          <w:highlight w:val="none"/>
        </w:rPr>
      </w:r>
      <w:bookmarkEnd w:id="113"/>
      <w:r>
        <w:rPr>
          <w:highlight w:val="none"/>
        </w:rPr>
      </w:r>
      <w:bookmarkEnd w:id="114"/>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本次评标采用综合评分法。评标委员会对满足招标文件实质性要求的投标文件，按照本章第2.2款规定的评分标准进行打分，并按得分由高到低顺序推荐中标候选人。得分相同的，按投标报价由低到高顺序排列；得分且投标报价相同的并列。</w:t>
      </w:r>
      <w:r>
        <w:rPr>
          <w:highlight w:val="none"/>
        </w:rPr>
      </w:r>
      <w:r/>
    </w:p>
    <w:p>
      <w:pPr>
        <w:pStyle w:val="940"/>
        <w:ind w:firstLine="108"/>
        <w:spacing w:line="360" w:lineRule="auto"/>
        <w:rPr>
          <w:rFonts w:ascii="黑体" w:cs="黑体"/>
          <w:b/>
          <w:bCs/>
          <w:color w:val="auto"/>
          <w:szCs w:val="24"/>
          <w:highlight w:val="none"/>
        </w:rPr>
      </w:pPr>
      <w:r>
        <w:rPr>
          <w:highlight w:val="none"/>
        </w:rPr>
      </w:r>
      <w:bookmarkStart w:id="119" w:name="_Toc234382665"/>
      <w:r>
        <w:rPr>
          <w:highlight w:val="none"/>
        </w:rPr>
      </w:r>
      <w:bookmarkStart w:id="120" w:name="_Toc16894"/>
      <w:r>
        <w:rPr>
          <w:highlight w:val="none"/>
        </w:rPr>
      </w:r>
      <w:bookmarkStart w:id="121" w:name="_Toc1971"/>
      <w:r>
        <w:rPr>
          <w:rFonts w:hint="eastAsia" w:ascii="黑体" w:cs="黑体"/>
          <w:b/>
          <w:bCs/>
          <w:color w:val="auto"/>
          <w:szCs w:val="24"/>
          <w:highlight w:val="none"/>
        </w:rPr>
        <w:t xml:space="preserve">2. 评审标准</w:t>
      </w:r>
      <w:bookmarkEnd w:id="119"/>
      <w:r>
        <w:rPr>
          <w:highlight w:val="none"/>
        </w:rPr>
      </w:r>
      <w:bookmarkEnd w:id="120"/>
      <w:r>
        <w:rPr>
          <w:highlight w:val="none"/>
        </w:rPr>
      </w:r>
      <w:bookmarkEnd w:id="121"/>
      <w:r>
        <w:rPr>
          <w:highlight w:val="none"/>
        </w:rPr>
      </w:r>
      <w:r/>
    </w:p>
    <w:p>
      <w:pPr>
        <w:ind w:firstLine="442"/>
        <w:spacing w:line="360" w:lineRule="auto"/>
        <w:rPr>
          <w:rFonts w:ascii="宋体" w:hAnsi="宋体"/>
          <w:b/>
          <w:bCs/>
          <w:color w:val="auto"/>
          <w:sz w:val="24"/>
          <w:szCs w:val="24"/>
          <w:highlight w:val="none"/>
        </w:rPr>
      </w:pPr>
      <w:r>
        <w:rPr>
          <w:highlight w:val="none"/>
        </w:rPr>
      </w:r>
      <w:bookmarkStart w:id="122" w:name="_Toc3536"/>
      <w:r>
        <w:rPr>
          <w:rFonts w:hint="eastAsia" w:ascii="宋体" w:hAnsi="宋体"/>
          <w:b/>
          <w:bCs/>
          <w:color w:val="auto"/>
          <w:sz w:val="24"/>
          <w:szCs w:val="24"/>
          <w:highlight w:val="none"/>
        </w:rPr>
        <w:t xml:space="preserve">2.1 符合性评审标准</w:t>
      </w:r>
      <w:bookmarkEnd w:id="122"/>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符合性评审标准：</w:t>
      </w:r>
      <w:r>
        <w:rPr>
          <w:rFonts w:ascii="华文中宋" w:hAnsi="华文中宋" w:eastAsia="华文中宋"/>
          <w:color w:val="auto"/>
          <w:sz w:val="24"/>
          <w:szCs w:val="24"/>
          <w:highlight w:val="none"/>
        </w:rPr>
        <w:t xml:space="preserve">见评标办法前附表。</w:t>
      </w:r>
      <w:r>
        <w:rPr>
          <w:highlight w:val="none"/>
        </w:rPr>
      </w:r>
      <w:r/>
    </w:p>
    <w:p>
      <w:pPr>
        <w:ind w:firstLine="442"/>
        <w:spacing w:line="360" w:lineRule="auto"/>
        <w:rPr>
          <w:rFonts w:ascii="宋体" w:hAnsi="宋体"/>
          <w:b/>
          <w:bCs/>
          <w:color w:val="auto"/>
          <w:sz w:val="24"/>
          <w:szCs w:val="24"/>
          <w:highlight w:val="none"/>
        </w:rPr>
      </w:pPr>
      <w:r>
        <w:rPr>
          <w:highlight w:val="none"/>
        </w:rPr>
      </w:r>
      <w:bookmarkStart w:id="123" w:name="_Toc29235"/>
      <w:r>
        <w:rPr>
          <w:highlight w:val="none"/>
        </w:rPr>
      </w:r>
      <w:bookmarkStart w:id="124" w:name="_Toc23546"/>
      <w:r>
        <w:rPr>
          <w:highlight w:val="none"/>
        </w:rPr>
      </w:r>
      <w:bookmarkStart w:id="125" w:name="_Toc234382667"/>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 分值构成与评分标准</w:t>
      </w:r>
      <w:bookmarkEnd w:id="123"/>
      <w:r>
        <w:rPr>
          <w:highlight w:val="none"/>
        </w:rPr>
      </w:r>
      <w:bookmarkEnd w:id="124"/>
      <w:r>
        <w:rPr>
          <w:highlight w:val="none"/>
        </w:rPr>
      </w:r>
      <w:bookmarkEnd w:id="125"/>
      <w:r>
        <w:rPr>
          <w:highlight w:val="none"/>
        </w:rPr>
      </w:r>
      <w:r/>
    </w:p>
    <w:p>
      <w:pPr>
        <w:ind w:firstLine="440"/>
        <w:spacing w:line="360" w:lineRule="auto"/>
        <w:rPr>
          <w:rFonts w:ascii="华文中宋" w:hAnsi="华文中宋" w:eastAsia="华文中宋"/>
          <w:color w:val="auto"/>
          <w:sz w:val="24"/>
          <w:szCs w:val="24"/>
          <w:highlight w:val="none"/>
        </w:rPr>
      </w:pPr>
      <w:r>
        <w:rPr>
          <w:rFonts w:ascii="华文中宋" w:hAnsi="华文中宋" w:eastAsia="华文中宋"/>
          <w:color w:val="auto"/>
          <w:sz w:val="24"/>
          <w:szCs w:val="24"/>
          <w:highlight w:val="none"/>
        </w:rPr>
        <w:t xml:space="preserve">2.</w:t>
      </w:r>
      <w:r>
        <w:rPr>
          <w:rFonts w:hint="eastAsia" w:ascii="华文中宋" w:hAnsi="华文中宋" w:eastAsia="华文中宋"/>
          <w:color w:val="auto"/>
          <w:sz w:val="24"/>
          <w:szCs w:val="24"/>
          <w:highlight w:val="none"/>
        </w:rPr>
        <w:t xml:space="preserve">2</w:t>
      </w:r>
      <w:r>
        <w:rPr>
          <w:rFonts w:ascii="华文中宋" w:hAnsi="华文中宋" w:eastAsia="华文中宋"/>
          <w:color w:val="auto"/>
          <w:sz w:val="24"/>
          <w:szCs w:val="24"/>
          <w:highlight w:val="none"/>
        </w:rPr>
        <w:t xml:space="preserve">.1 分值构成</w:t>
      </w:r>
      <w:r>
        <w:rPr>
          <w:rFonts w:hint="eastAsia" w:ascii="华文中宋" w:hAnsi="华文中宋" w:eastAsia="华文中宋"/>
          <w:color w:val="auto"/>
          <w:sz w:val="24"/>
          <w:szCs w:val="24"/>
          <w:highlight w:val="none"/>
        </w:rPr>
        <w:t xml:space="preserve">：</w:t>
      </w:r>
      <w:r>
        <w:rPr>
          <w:rFonts w:ascii="华文中宋" w:hAnsi="华文中宋" w:eastAsia="华文中宋"/>
          <w:color w:val="auto"/>
          <w:sz w:val="24"/>
          <w:szCs w:val="24"/>
          <w:highlight w:val="none"/>
        </w:rPr>
        <w:t xml:space="preserve">见评标办法前附表；</w:t>
      </w:r>
      <w:r>
        <w:rPr>
          <w:highlight w:val="none"/>
        </w:rPr>
      </w:r>
      <w:r/>
    </w:p>
    <w:p>
      <w:pPr>
        <w:ind w:firstLine="440"/>
        <w:spacing w:line="360" w:lineRule="auto"/>
        <w:rPr>
          <w:rFonts w:ascii="华文中宋" w:hAnsi="华文中宋" w:eastAsia="华文中宋"/>
          <w:color w:val="auto"/>
          <w:sz w:val="24"/>
          <w:szCs w:val="24"/>
          <w:highlight w:val="none"/>
        </w:rPr>
      </w:pPr>
      <w:r>
        <w:rPr>
          <w:rFonts w:ascii="华文中宋" w:hAnsi="华文中宋" w:eastAsia="华文中宋"/>
          <w:color w:val="auto"/>
          <w:sz w:val="24"/>
          <w:szCs w:val="24"/>
          <w:highlight w:val="none"/>
        </w:rPr>
        <w:t xml:space="preserve">2.</w:t>
      </w:r>
      <w:r>
        <w:rPr>
          <w:rFonts w:hint="eastAsia" w:ascii="华文中宋" w:hAnsi="华文中宋" w:eastAsia="华文中宋"/>
          <w:color w:val="auto"/>
          <w:sz w:val="24"/>
          <w:szCs w:val="24"/>
          <w:highlight w:val="none"/>
        </w:rPr>
        <w:t xml:space="preserve">2</w:t>
      </w:r>
      <w:r>
        <w:rPr>
          <w:rFonts w:ascii="华文中宋" w:hAnsi="华文中宋" w:eastAsia="华文中宋"/>
          <w:color w:val="auto"/>
          <w:sz w:val="24"/>
          <w:szCs w:val="24"/>
          <w:highlight w:val="none"/>
        </w:rPr>
        <w:t xml:space="preserve">.</w:t>
      </w:r>
      <w:r>
        <w:rPr>
          <w:rFonts w:hint="eastAsia" w:ascii="华文中宋" w:hAnsi="华文中宋" w:eastAsia="华文中宋"/>
          <w:color w:val="auto"/>
          <w:sz w:val="24"/>
          <w:szCs w:val="24"/>
          <w:highlight w:val="none"/>
        </w:rPr>
        <w:t xml:space="preserve">2 </w:t>
      </w:r>
      <w:r>
        <w:rPr>
          <w:rFonts w:ascii="华文中宋" w:hAnsi="华文中宋" w:eastAsia="华文中宋"/>
          <w:color w:val="auto"/>
          <w:sz w:val="24"/>
          <w:szCs w:val="24"/>
          <w:highlight w:val="none"/>
        </w:rPr>
        <w:t xml:space="preserve">评分标准</w:t>
      </w:r>
      <w:r>
        <w:rPr>
          <w:rFonts w:hint="eastAsia" w:ascii="华文中宋" w:hAnsi="华文中宋" w:eastAsia="华文中宋"/>
          <w:color w:val="auto"/>
          <w:sz w:val="24"/>
          <w:szCs w:val="24"/>
          <w:highlight w:val="none"/>
        </w:rPr>
        <w:t xml:space="preserve">：</w:t>
      </w:r>
      <w:r>
        <w:rPr>
          <w:rFonts w:ascii="华文中宋" w:hAnsi="华文中宋" w:eastAsia="华文中宋"/>
          <w:color w:val="auto"/>
          <w:sz w:val="24"/>
          <w:szCs w:val="24"/>
          <w:highlight w:val="none"/>
        </w:rPr>
        <w:t xml:space="preserve">见评标办法前附表。</w:t>
      </w:r>
      <w:r>
        <w:rPr>
          <w:highlight w:val="none"/>
        </w:rPr>
      </w:r>
      <w:r/>
    </w:p>
    <w:p>
      <w:pPr>
        <w:pStyle w:val="940"/>
        <w:ind w:firstLine="108"/>
        <w:spacing w:line="360" w:lineRule="auto"/>
        <w:rPr>
          <w:rFonts w:ascii="黑体" w:cs="黑体"/>
          <w:b/>
          <w:bCs/>
          <w:color w:val="auto"/>
          <w:szCs w:val="24"/>
          <w:highlight w:val="none"/>
        </w:rPr>
      </w:pPr>
      <w:r>
        <w:rPr>
          <w:highlight w:val="none"/>
        </w:rPr>
      </w:r>
      <w:bookmarkStart w:id="126" w:name="_Toc234382668"/>
      <w:r>
        <w:rPr>
          <w:highlight w:val="none"/>
        </w:rPr>
      </w:r>
      <w:bookmarkStart w:id="127" w:name="_Toc8953"/>
      <w:r>
        <w:rPr>
          <w:highlight w:val="none"/>
        </w:rPr>
      </w:r>
      <w:bookmarkStart w:id="128" w:name="_Toc24010"/>
      <w:r>
        <w:rPr>
          <w:rFonts w:hint="eastAsia" w:ascii="黑体" w:cs="黑体"/>
          <w:b/>
          <w:bCs/>
          <w:color w:val="auto"/>
          <w:szCs w:val="24"/>
          <w:highlight w:val="none"/>
        </w:rPr>
        <w:t xml:space="preserve">3. 评标程序</w:t>
      </w:r>
      <w:bookmarkEnd w:id="126"/>
      <w:r>
        <w:rPr>
          <w:highlight w:val="none"/>
        </w:rPr>
      </w:r>
      <w:bookmarkEnd w:id="127"/>
      <w:r>
        <w:rPr>
          <w:highlight w:val="none"/>
        </w:rPr>
      </w:r>
      <w:bookmarkEnd w:id="128"/>
      <w:r>
        <w:rPr>
          <w:highlight w:val="none"/>
        </w:rPr>
      </w:r>
      <w:r/>
    </w:p>
    <w:p>
      <w:pPr>
        <w:ind w:firstLine="442"/>
        <w:spacing w:line="360" w:lineRule="auto"/>
        <w:rPr>
          <w:rFonts w:ascii="宋体" w:hAnsi="宋体"/>
          <w:color w:val="auto"/>
          <w:sz w:val="24"/>
          <w:szCs w:val="24"/>
          <w:highlight w:val="none"/>
        </w:rPr>
      </w:pPr>
      <w:r>
        <w:rPr>
          <w:highlight w:val="none"/>
        </w:rPr>
      </w:r>
      <w:bookmarkStart w:id="129" w:name="_Toc6644"/>
      <w:r>
        <w:rPr>
          <w:highlight w:val="none"/>
        </w:rPr>
      </w:r>
      <w:bookmarkStart w:id="130" w:name="_Toc9836"/>
      <w:r>
        <w:rPr>
          <w:rFonts w:hint="eastAsia" w:ascii="宋体" w:hAnsi="宋体"/>
          <w:b/>
          <w:bCs/>
          <w:color w:val="auto"/>
          <w:sz w:val="24"/>
          <w:szCs w:val="24"/>
          <w:highlight w:val="none"/>
        </w:rPr>
        <w:t xml:space="preserve">3.1 符合性评审</w:t>
      </w:r>
      <w:bookmarkEnd w:id="129"/>
      <w:r>
        <w:rPr>
          <w:highlight w:val="none"/>
        </w:rPr>
      </w:r>
      <w:bookmarkEnd w:id="130"/>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3.1.1 </w:t>
      </w:r>
      <w:r>
        <w:rPr>
          <w:rFonts w:ascii="华文中宋" w:hAnsi="华文中宋" w:eastAsia="华文中宋"/>
          <w:color w:val="auto"/>
          <w:sz w:val="24"/>
          <w:szCs w:val="24"/>
          <w:highlight w:val="none"/>
        </w:rPr>
        <w:t xml:space="preserve">评标委员会依据本章第2.</w:t>
      </w:r>
      <w:r>
        <w:rPr>
          <w:rFonts w:hint="eastAsia" w:ascii="华文中宋" w:hAnsi="华文中宋" w:eastAsia="华文中宋"/>
          <w:color w:val="auto"/>
          <w:sz w:val="24"/>
          <w:szCs w:val="24"/>
          <w:highlight w:val="none"/>
        </w:rPr>
        <w:t xml:space="preserve">1</w:t>
      </w:r>
      <w:r>
        <w:rPr>
          <w:rFonts w:ascii="华文中宋" w:hAnsi="华文中宋" w:eastAsia="华文中宋"/>
          <w:color w:val="auto"/>
          <w:sz w:val="24"/>
          <w:szCs w:val="24"/>
          <w:highlight w:val="none"/>
        </w:rPr>
        <w:t xml:space="preserve">项规定的</w:t>
      </w:r>
      <w:r>
        <w:rPr>
          <w:rFonts w:hint="eastAsia" w:ascii="华文中宋" w:hAnsi="华文中宋" w:eastAsia="华文中宋"/>
          <w:color w:val="auto"/>
          <w:sz w:val="24"/>
          <w:szCs w:val="24"/>
          <w:highlight w:val="none"/>
        </w:rPr>
        <w:t xml:space="preserve">符合性</w:t>
      </w:r>
      <w:r>
        <w:rPr>
          <w:rFonts w:ascii="华文中宋" w:hAnsi="华文中宋" w:eastAsia="华文中宋"/>
          <w:color w:val="auto"/>
          <w:sz w:val="24"/>
          <w:szCs w:val="24"/>
          <w:highlight w:val="none"/>
        </w:rPr>
        <w:t xml:space="preserve">评审标准</w:t>
      </w:r>
      <w:r>
        <w:rPr>
          <w:rFonts w:hint="eastAsia" w:ascii="华文中宋" w:hAnsi="华文中宋" w:eastAsia="华文中宋"/>
          <w:color w:val="auto"/>
          <w:sz w:val="24"/>
          <w:szCs w:val="24"/>
          <w:highlight w:val="none"/>
        </w:rPr>
        <w:t xml:space="preserve">，</w:t>
      </w:r>
      <w:r>
        <w:rPr>
          <w:rFonts w:ascii="华文中宋" w:hAnsi="华文中宋" w:eastAsia="华文中宋"/>
          <w:color w:val="auto"/>
          <w:sz w:val="24"/>
          <w:szCs w:val="24"/>
          <w:highlight w:val="none"/>
        </w:rPr>
        <w:t xml:space="preserve">对</w:t>
      </w:r>
      <w:r>
        <w:rPr>
          <w:rFonts w:hint="eastAsia" w:ascii="华文中宋" w:hAnsi="华文中宋" w:eastAsia="华文中宋"/>
          <w:color w:val="auto"/>
          <w:sz w:val="24"/>
          <w:szCs w:val="24"/>
          <w:highlight w:val="none"/>
        </w:rPr>
        <w:t xml:space="preserve">通过资格评审的</w:t>
      </w:r>
      <w:r>
        <w:rPr>
          <w:rFonts w:ascii="华文中宋" w:hAnsi="华文中宋" w:eastAsia="华文中宋"/>
          <w:color w:val="auto"/>
          <w:sz w:val="24"/>
          <w:szCs w:val="24"/>
          <w:highlight w:val="none"/>
        </w:rPr>
        <w:t xml:space="preserve">投标文件进行</w:t>
      </w:r>
      <w:r>
        <w:rPr>
          <w:rFonts w:hint="eastAsia" w:ascii="华文中宋" w:hAnsi="华文中宋" w:eastAsia="华文中宋"/>
          <w:color w:val="auto"/>
          <w:sz w:val="24"/>
          <w:szCs w:val="24"/>
          <w:highlight w:val="none"/>
        </w:rPr>
        <w:t xml:space="preserve">符合性评审</w:t>
      </w:r>
      <w:r>
        <w:rPr>
          <w:rFonts w:ascii="华文中宋" w:hAnsi="华文中宋" w:eastAsia="华文中宋"/>
          <w:color w:val="auto"/>
          <w:sz w:val="24"/>
          <w:szCs w:val="24"/>
          <w:highlight w:val="none"/>
        </w:rPr>
        <w:t xml:space="preserve">。有一项不符合评审标准的，作</w:t>
      </w:r>
      <w:r>
        <w:rPr>
          <w:rFonts w:hint="eastAsia" w:ascii="华文中宋" w:hAnsi="华文中宋" w:eastAsia="华文中宋"/>
          <w:color w:val="auto"/>
          <w:sz w:val="24"/>
          <w:szCs w:val="24"/>
          <w:highlight w:val="none"/>
        </w:rPr>
        <w:t xml:space="preserve">无效投标文件</w:t>
      </w:r>
      <w:r>
        <w:rPr>
          <w:rFonts w:ascii="华文中宋" w:hAnsi="华文中宋" w:eastAsia="华文中宋"/>
          <w:color w:val="auto"/>
          <w:sz w:val="24"/>
          <w:szCs w:val="24"/>
          <w:highlight w:val="none"/>
        </w:rPr>
        <w:t xml:space="preserve">处理</w:t>
      </w:r>
      <w:r>
        <w:rPr>
          <w:rFonts w:hint="eastAsia" w:ascii="华文中宋" w:hAnsi="华文中宋" w:eastAsia="华文中宋"/>
          <w:color w:val="auto"/>
          <w:sz w:val="24"/>
          <w:szCs w:val="24"/>
          <w:highlight w:val="none"/>
        </w:rPr>
        <w:t xml:space="preserve">。</w:t>
      </w:r>
      <w:r>
        <w:rPr>
          <w:highlight w:val="none"/>
        </w:rPr>
      </w:r>
      <w:r/>
    </w:p>
    <w:p>
      <w:pPr>
        <w:ind w:firstLine="440"/>
        <w:spacing w:line="360" w:lineRule="auto"/>
        <w:rPr>
          <w:rFonts w:ascii="华文中宋" w:hAnsi="华文中宋" w:eastAsia="华文中宋"/>
          <w:color w:val="auto"/>
          <w:sz w:val="24"/>
          <w:szCs w:val="24"/>
          <w:highlight w:val="none"/>
        </w:rPr>
      </w:pPr>
      <w:r>
        <w:rPr>
          <w:rFonts w:ascii="华文中宋" w:hAnsi="华文中宋" w:eastAsia="华文中宋"/>
          <w:color w:val="auto"/>
          <w:sz w:val="24"/>
          <w:szCs w:val="24"/>
          <w:highlight w:val="none"/>
        </w:rPr>
        <w:t xml:space="preserve">3.</w:t>
      </w:r>
      <w:r>
        <w:rPr>
          <w:rFonts w:hint="eastAsia" w:ascii="华文中宋" w:hAnsi="华文中宋" w:eastAsia="华文中宋"/>
          <w:color w:val="auto"/>
          <w:sz w:val="24"/>
          <w:szCs w:val="24"/>
          <w:highlight w:val="none"/>
        </w:rPr>
        <w:t xml:space="preserve">1</w:t>
      </w:r>
      <w:r>
        <w:rPr>
          <w:rFonts w:ascii="华文中宋" w:hAnsi="华文中宋" w:eastAsia="华文中宋"/>
          <w:color w:val="auto"/>
          <w:sz w:val="24"/>
          <w:szCs w:val="24"/>
          <w:highlight w:val="none"/>
        </w:rPr>
        <w:t xml:space="preserve">.2</w:t>
      </w:r>
      <w:r>
        <w:rPr>
          <w:rFonts w:hint="eastAsia" w:ascii="华文中宋" w:hAnsi="华文中宋" w:eastAsia="华文中宋"/>
          <w:color w:val="auto"/>
          <w:sz w:val="24"/>
          <w:szCs w:val="24"/>
          <w:highlight w:val="none"/>
        </w:rPr>
        <w:t xml:space="preserve"> 投标文件报价出现前后不一致的，除招标文件另有规定外，按照下列规定修正：</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（1）投标文件中开标一览表内容与投标文件中相应内容不一致的，以开标一览表为准；</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（2）大写金额和小写金额不一致的，以大写金额为准；</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（3）单价金额小数点或者百分比有明显错位的，以开标一览表的总价为准，并修改单价；</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（4）总价金额与按单价汇总金额不一致的，以单价金额计算结果为准。</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rPr>
          <w:highlight w:val="none"/>
        </w:rPr>
      </w:r>
      <w:r/>
    </w:p>
    <w:p>
      <w:pPr>
        <w:ind w:firstLine="442"/>
        <w:spacing w:line="360" w:lineRule="auto"/>
        <w:rPr>
          <w:rFonts w:ascii="宋体" w:hAnsi="宋体"/>
          <w:b/>
          <w:bCs/>
          <w:color w:val="auto"/>
          <w:sz w:val="24"/>
          <w:szCs w:val="24"/>
          <w:highlight w:val="none"/>
        </w:rPr>
      </w:pPr>
      <w:r>
        <w:rPr>
          <w:highlight w:val="none"/>
        </w:rPr>
      </w:r>
      <w:bookmarkStart w:id="131" w:name="_Toc19739"/>
      <w:r>
        <w:rPr>
          <w:highlight w:val="none"/>
        </w:rPr>
      </w:r>
      <w:bookmarkStart w:id="132" w:name="_Toc30764"/>
      <w:r>
        <w:rPr>
          <w:highlight w:val="none"/>
        </w:rPr>
      </w:r>
      <w:bookmarkStart w:id="133" w:name="_Toc234382671"/>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 澄清和补正</w:t>
      </w:r>
      <w:bookmarkEnd w:id="131"/>
      <w:r>
        <w:rPr>
          <w:highlight w:val="none"/>
        </w:rPr>
      </w:r>
      <w:bookmarkEnd w:id="132"/>
      <w:r>
        <w:rPr>
          <w:highlight w:val="none"/>
        </w:rPr>
      </w:r>
      <w:bookmarkEnd w:id="133"/>
      <w:r>
        <w:rPr>
          <w:highlight w:val="none"/>
        </w:rPr>
      </w:r>
      <w:r/>
    </w:p>
    <w:p>
      <w:pPr>
        <w:ind w:firstLine="440"/>
        <w:spacing w:line="360" w:lineRule="auto"/>
        <w:rPr>
          <w:rFonts w:ascii="华文中宋" w:hAnsi="华文中宋" w:eastAsia="华文中宋"/>
          <w:color w:val="auto"/>
          <w:sz w:val="24"/>
          <w:szCs w:val="24"/>
          <w:highlight w:val="none"/>
        </w:rPr>
      </w:pPr>
      <w:r>
        <w:rPr>
          <w:rFonts w:ascii="华文中宋" w:hAnsi="华文中宋" w:eastAsia="华文中宋"/>
          <w:color w:val="auto"/>
          <w:sz w:val="24"/>
          <w:szCs w:val="24"/>
          <w:highlight w:val="none"/>
        </w:rPr>
        <w:t xml:space="preserve">3.</w:t>
      </w:r>
      <w:r>
        <w:rPr>
          <w:rFonts w:hint="eastAsia" w:ascii="华文中宋" w:hAnsi="华文中宋" w:eastAsia="华文中宋"/>
          <w:color w:val="auto"/>
          <w:sz w:val="24"/>
          <w:szCs w:val="24"/>
          <w:highlight w:val="none"/>
        </w:rPr>
        <w:t xml:space="preserve">2</w:t>
      </w:r>
      <w:r>
        <w:rPr>
          <w:rFonts w:ascii="华文中宋" w:hAnsi="华文中宋" w:eastAsia="华文中宋"/>
          <w:color w:val="auto"/>
          <w:sz w:val="24"/>
          <w:szCs w:val="24"/>
          <w:highlight w:val="none"/>
        </w:rPr>
        <w:t xml:space="preserve">.1 </w:t>
      </w:r>
      <w:r>
        <w:rPr>
          <w:rFonts w:hint="eastAsia" w:ascii="华文中宋" w:hAnsi="华文中宋" w:eastAsia="华文中宋"/>
          <w:color w:val="auto"/>
          <w:sz w:val="24"/>
          <w:szCs w:val="24"/>
          <w:highlight w:val="none"/>
        </w:rPr>
        <w:t xml:space="preserve">对投标文件中含义不明确、同类问题表述不一致或者有明显文字和算术错误的内容，评标委员会可以通过“苏采云”系统【询标】按钮要求投标人作出必要的澄清、说明或者补正。</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3.2.2 投标人在收到评标委员会的【询问函】后，应在规定的时长内完成【询问反馈】并签章。投标人的澄清、说明或者补正不得超出投标文件的范围或者改变投标文件的实质性内容。</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3.2.3 </w:t>
      </w:r>
      <w:r>
        <w:rPr>
          <w:rFonts w:ascii="华文中宋" w:hAnsi="华文中宋" w:eastAsia="华文中宋"/>
          <w:color w:val="auto"/>
          <w:sz w:val="24"/>
          <w:szCs w:val="24"/>
          <w:highlight w:val="none"/>
        </w:rPr>
        <w:t xml:space="preserve">评标委员会不接受</w:t>
      </w:r>
      <w:r>
        <w:rPr>
          <w:rFonts w:hint="eastAsia" w:ascii="华文中宋" w:hAnsi="华文中宋" w:eastAsia="华文中宋"/>
          <w:color w:val="auto"/>
          <w:sz w:val="24"/>
          <w:szCs w:val="24"/>
          <w:highlight w:val="none"/>
        </w:rPr>
        <w:t xml:space="preserve">投标人</w:t>
      </w:r>
      <w:r>
        <w:rPr>
          <w:rFonts w:ascii="华文中宋" w:hAnsi="华文中宋" w:eastAsia="华文中宋"/>
          <w:color w:val="auto"/>
          <w:sz w:val="24"/>
          <w:szCs w:val="24"/>
          <w:highlight w:val="none"/>
        </w:rPr>
        <w:t xml:space="preserve">主动提出的澄清、说明或补正。</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3.2.4 凡超出招标文件规定的或给采购人带来未曾要求的利益的变化、偏差或其他因素在评标时不予考虑。</w:t>
      </w:r>
      <w:r>
        <w:rPr>
          <w:highlight w:val="none"/>
        </w:rPr>
      </w:r>
      <w:r/>
    </w:p>
    <w:p>
      <w:pPr>
        <w:ind w:firstLine="442"/>
        <w:spacing w:line="360" w:lineRule="auto"/>
        <w:rPr>
          <w:rFonts w:ascii="宋体" w:hAnsi="宋体"/>
          <w:b/>
          <w:bCs/>
          <w:color w:val="auto"/>
          <w:sz w:val="24"/>
          <w:szCs w:val="24"/>
          <w:highlight w:val="none"/>
        </w:rPr>
      </w:pPr>
      <w:r>
        <w:rPr>
          <w:highlight w:val="none"/>
        </w:rPr>
      </w:r>
      <w:bookmarkStart w:id="134" w:name="_Toc3943"/>
      <w:r>
        <w:rPr>
          <w:highlight w:val="none"/>
        </w:rPr>
      </w:r>
      <w:bookmarkStart w:id="135" w:name="_Toc10483"/>
      <w:r>
        <w:rPr>
          <w:highlight w:val="none"/>
        </w:rPr>
      </w:r>
      <w:bookmarkStart w:id="136" w:name="_Toc234382670"/>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3</w:t>
      </w:r>
      <w:bookmarkEnd w:id="134"/>
      <w:r>
        <w:rPr>
          <w:highlight w:val="none"/>
        </w:rPr>
      </w:r>
      <w:bookmarkEnd w:id="135"/>
      <w:r>
        <w:rPr>
          <w:highlight w:val="none"/>
        </w:rPr>
      </w:r>
      <w:bookmarkEnd w:id="136"/>
      <w:r>
        <w:rPr>
          <w:rFonts w:hint="eastAsia" w:ascii="宋体" w:hAnsi="宋体"/>
          <w:b/>
          <w:bCs/>
          <w:color w:val="auto"/>
          <w:sz w:val="24"/>
          <w:szCs w:val="24"/>
          <w:highlight w:val="none"/>
        </w:rPr>
        <w:t xml:space="preserve">详细评审</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3.3.1 异常低价投标（响应）审查</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（1）评审中出现下列情形之一的，评审委员会应当启动异常低价投标（响应）审查程序：</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a.投标（响应）报价低于全部通过符合性审查供应商投标（响应）报价平均值50%的，即投标（响应）报价&lt;全部通过符合性审查供应商投标（响应）报价平均值×50%；</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b.投标（响应）报价低于通过符合性审查的次低报价供应商投标（响应）报价50%的，即投标（响应）报价&lt;通过符合性审查的次低报价供应商投标（响应）报价×50%；</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c.投标（响应）报价低于采购项目最高限价45%的，即投标（响应）报价&lt;采购项目最高限价×45%；</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d.评审委员会基于专业判断，认为供应商报价过低，有可能影响产品质量或者不能诚信履约的其他情形。</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2）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c项情形，供应商已随投标（响应）文件一并提交相关书面说明及必要的证明材料的，在评审现场可不再重复提交。</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3.3.2 评标委员会按本章第2.2款规定的量化因素和分值对通过符合性评审的投标文件进行综合比较和评价，并计算出综合得分。</w:t>
      </w:r>
      <w:r>
        <w:rPr>
          <w:highlight w:val="none"/>
        </w:rPr>
      </w:r>
      <w:r/>
    </w:p>
    <w:p>
      <w:pPr>
        <w:ind w:firstLine="440"/>
        <w:spacing w:line="360" w:lineRule="auto"/>
        <w:rPr>
          <w:rFonts w:hint="eastAsia"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3.3.3 投标人的综合得分取评标委员会各成员独立对每个投标人评分的平均值。分值计算保留小数点后两位，小数点后第三位“四舍五入”。</w:t>
      </w:r>
      <w:r>
        <w:rPr>
          <w:highlight w:val="none"/>
        </w:rPr>
      </w:r>
      <w:r/>
    </w:p>
    <w:p>
      <w:pPr>
        <w:ind w:firstLine="442"/>
        <w:spacing w:line="360" w:lineRule="auto"/>
        <w:rPr>
          <w:rFonts w:ascii="宋体" w:hAnsi="宋体"/>
          <w:b/>
          <w:bCs/>
          <w:color w:val="auto"/>
          <w:sz w:val="24"/>
          <w:szCs w:val="24"/>
          <w:highlight w:val="none"/>
        </w:rPr>
      </w:pPr>
      <w:r>
        <w:rPr>
          <w:highlight w:val="none"/>
        </w:rPr>
      </w:r>
      <w:bookmarkStart w:id="137" w:name="_Toc15663"/>
      <w:r>
        <w:rPr>
          <w:rFonts w:hint="eastAsia" w:ascii="宋体" w:hAnsi="宋体"/>
          <w:b/>
          <w:bCs/>
          <w:color w:val="auto"/>
          <w:sz w:val="24"/>
          <w:szCs w:val="24"/>
          <w:highlight w:val="none"/>
        </w:rPr>
        <w:t xml:space="preserve">3.4 串通投标认定</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投标人有下列情形之一的，视为投标人串通投标，其投标无效：</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（1）不同投标人的投标文件由同一单位或者个人编制；</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（2）不同投标人委托同一单位或者个人办理投标事宜；</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（3）不同投标人的投标文件载明的项目管理成员或者联系人员为同一人；</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（4）不同投标人的投标文件异常一致或者投标报价呈规律性差异；</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（5）不同投标人的投标文件相互混装。</w:t>
      </w:r>
      <w:r>
        <w:rPr>
          <w:highlight w:val="none"/>
        </w:rPr>
      </w:r>
      <w:r/>
    </w:p>
    <w:p>
      <w:pPr>
        <w:ind w:firstLine="44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3.5 评标结果</w:t>
      </w:r>
      <w:bookmarkEnd w:id="137"/>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3.5.1 评标委员会按照得分由高到低的顺序推荐3名中标候选人，并标明排序。</w:t>
      </w:r>
      <w:r>
        <w:rPr>
          <w:highlight w:val="none"/>
        </w:rPr>
      </w:r>
      <w:r/>
    </w:p>
    <w:p>
      <w:pPr>
        <w:ind w:firstLine="440"/>
        <w:spacing w:line="360" w:lineRule="auto"/>
        <w:rPr>
          <w:rFonts w:ascii="华文中宋" w:hAnsi="华文中宋" w:eastAsia="华文中宋"/>
          <w:color w:val="auto"/>
          <w:sz w:val="24"/>
          <w:szCs w:val="24"/>
          <w:highlight w:val="none"/>
        </w:rPr>
      </w:pPr>
      <w:r>
        <w:rPr>
          <w:rFonts w:hint="eastAsia" w:ascii="华文中宋" w:hAnsi="华文中宋" w:eastAsia="华文中宋"/>
          <w:color w:val="auto"/>
          <w:sz w:val="24"/>
          <w:szCs w:val="24"/>
          <w:highlight w:val="none"/>
        </w:rPr>
        <w:t xml:space="preserve">3.5.2 对于核心产品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rPr>
          <w:highlight w:val="none"/>
        </w:rPr>
      </w:r>
      <w:r/>
    </w:p>
    <w:p>
      <w:pPr>
        <w:ind w:firstLine="440"/>
        <w:spacing w:line="360" w:lineRule="auto"/>
        <w:rPr>
          <w:rFonts w:ascii="华文中宋" w:hAnsi="华文中宋" w:eastAsia="华文中宋"/>
          <w:color w:val="auto"/>
          <w:sz w:val="22"/>
          <w:highlight w:val="none"/>
        </w:rPr>
      </w:pPr>
      <w:r>
        <w:rPr>
          <w:rFonts w:hint="eastAsia" w:ascii="华文中宋" w:hAnsi="华文中宋" w:eastAsia="华文中宋"/>
          <w:color w:val="auto"/>
          <w:sz w:val="24"/>
          <w:szCs w:val="24"/>
          <w:highlight w:val="none"/>
        </w:rPr>
        <w:t xml:space="preserve">3.5.3 评标委员会完成评标后，应当向采购人提交书面评标报告。</w:t>
      </w:r>
      <w:r>
        <w:rPr>
          <w:highlight w:val="none"/>
        </w:rPr>
      </w:r>
      <w:r/>
    </w:p>
    <w:p>
      <w:pPr>
        <w:ind w:firstLine="440"/>
        <w:jc w:val="left"/>
        <w:spacing w:line="480" w:lineRule="exact"/>
        <w:rPr>
          <w:rFonts w:ascii="宋体" w:hAnsi="宋体"/>
          <w:color w:val="auto"/>
          <w:sz w:val="22"/>
          <w:highlight w:val="none"/>
        </w:rPr>
      </w:pPr>
      <w:r>
        <w:rPr>
          <w:rFonts w:ascii="宋体" w:hAnsi="宋体"/>
          <w:color w:val="auto"/>
          <w:sz w:val="22"/>
          <w:highlight w:val="none"/>
        </w:rPr>
      </w:r>
      <w:r>
        <w:rPr>
          <w:highlight w:val="none"/>
        </w:rPr>
      </w:r>
      <w:r/>
    </w:p>
    <w:p>
      <w:pPr>
        <w:ind w:firstLine="440"/>
        <w:jc w:val="left"/>
        <w:spacing w:line="480" w:lineRule="exact"/>
        <w:rPr>
          <w:rFonts w:ascii="宋体" w:hAnsi="宋体"/>
          <w:color w:val="auto"/>
          <w:sz w:val="22"/>
          <w:highlight w:val="none"/>
        </w:rPr>
      </w:pPr>
      <w:r>
        <w:rPr>
          <w:rFonts w:ascii="宋体" w:hAnsi="宋体"/>
          <w:color w:val="auto"/>
          <w:sz w:val="22"/>
          <w:highlight w:val="none"/>
        </w:rPr>
      </w:r>
      <w:r>
        <w:rPr>
          <w:highlight w:val="none"/>
        </w:rPr>
      </w:r>
      <w:r/>
    </w:p>
    <w:p>
      <w:pPr>
        <w:pStyle w:val="683"/>
        <w:rPr>
          <w:rFonts w:ascii="宋体" w:hAnsi="宋体"/>
          <w:color w:val="auto"/>
          <w:sz w:val="22"/>
          <w:highlight w:val="none"/>
        </w:rPr>
      </w:pPr>
      <w:r>
        <w:rPr>
          <w:rFonts w:ascii="宋体" w:hAnsi="宋体"/>
          <w:color w:val="auto"/>
          <w:sz w:val="22"/>
          <w:highlight w:val="none"/>
        </w:rPr>
      </w:r>
      <w:r>
        <w:rPr>
          <w:highlight w:val="none"/>
        </w:rPr>
      </w:r>
      <w:r/>
    </w:p>
    <w:p>
      <w:pPr>
        <w:pStyle w:val="936"/>
        <w:jc w:val="center"/>
        <w:spacing w:after="20" w:line="240" w:lineRule="auto"/>
        <w:rPr>
          <w:rFonts w:ascii="微软雅黑" w:hAnsi="微软雅黑" w:eastAsia="微软雅黑" w:cs="微软雅黑"/>
          <w:b w:val="0"/>
          <w:bCs w:val="0"/>
          <w:color w:val="auto"/>
          <w:sz w:val="36"/>
          <w:szCs w:val="36"/>
          <w:highlight w:val="none"/>
        </w:rPr>
      </w:pPr>
      <w:r>
        <w:rPr>
          <w:highlight w:val="none"/>
        </w:rPr>
      </w:r>
      <w:bookmarkStart w:id="138" w:name="_Toc32256"/>
      <w:r>
        <w:rPr>
          <w:highlight w:val="none"/>
        </w:rPr>
      </w:r>
      <w:bookmarkStart w:id="139" w:name="_Toc152268442"/>
      <w:r>
        <w:rPr>
          <w:rFonts w:hint="eastAsia" w:ascii="微软雅黑" w:hAnsi="微软雅黑" w:eastAsia="微软雅黑" w:cs="微软雅黑"/>
          <w:b w:val="0"/>
          <w:bCs w:val="0"/>
          <w:color w:val="auto"/>
          <w:sz w:val="36"/>
          <w:szCs w:val="36"/>
          <w:highlight w:val="none"/>
        </w:rPr>
        <w:t xml:space="preserve">第五章 合同格式及条款</w:t>
      </w:r>
      <w:bookmarkEnd w:id="138"/>
      <w:r>
        <w:rPr>
          <w:highlight w:val="none"/>
        </w:rPr>
      </w:r>
      <w:bookmarkEnd w:id="139"/>
      <w:r>
        <w:rPr>
          <w:highlight w:val="none"/>
        </w:rPr>
      </w:r>
      <w:r/>
    </w:p>
    <w:p>
      <w:pPr>
        <w:ind w:firstLine="440"/>
        <w:jc w:val="left"/>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经公开招标，</w:t>
      </w:r>
      <w:r>
        <w:rPr>
          <w:rFonts w:hint="eastAsia" w:ascii="华文中宋" w:hAnsi="华文中宋" w:eastAsia="华文中宋" w:cs="华文中宋"/>
          <w:b/>
          <w:color w:val="auto"/>
          <w:sz w:val="22"/>
          <w:highlight w:val="none"/>
          <w:u w:val="single"/>
        </w:rPr>
        <w:t xml:space="preserve">靖江市人民医院</w:t>
      </w:r>
      <w:r>
        <w:rPr>
          <w:rFonts w:hint="eastAsia" w:ascii="华文中宋" w:hAnsi="华文中宋" w:eastAsia="华文中宋" w:cs="华文中宋"/>
          <w:color w:val="auto"/>
          <w:sz w:val="22"/>
          <w:highlight w:val="none"/>
        </w:rPr>
        <w:t xml:space="preserve">（以下简称“甲方”）、</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（以下简称“乙方”）同意按下述条款和条件签订本合同（以下简称“合同”）：</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1、合同文件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下列关于设备采购项目（           ）编号（            ）的</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（1）招标文件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（2）投标文件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（3）资格证明文件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（4）中标通知书</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（5）买方、卖方商定的其他必要文件。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2、合同范围和条件</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本合同的范围和条件与上述合同文件的规定相一致。</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3、设备及数量</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本合同所提供的设备及数量详见卖方提供的供货一览表。</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4、合同金额</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根据上述合同文件要求，合同的总金额（大写）为</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人民币，分项价格在投标在报价表中有明确规定。</w:t>
      </w:r>
      <w:r>
        <w:rPr>
          <w:highlight w:val="none"/>
        </w:rPr>
      </w:r>
      <w:r/>
    </w:p>
    <w:p>
      <w:pPr>
        <w:ind w:firstLine="440"/>
        <w:spacing w:line="480" w:lineRule="exact"/>
        <w:rPr>
          <w:rFonts w:ascii="华文中宋" w:hAnsi="华文中宋" w:eastAsia="华文中宋" w:cs="华文中宋"/>
          <w:color w:val="auto"/>
          <w:sz w:val="22"/>
          <w:highlight w:val="none"/>
        </w:rPr>
        <w:outlineLvl w:val="0"/>
      </w:pPr>
      <w:r>
        <w:rPr>
          <w:rFonts w:hint="eastAsia" w:ascii="华文中宋" w:hAnsi="华文中宋" w:eastAsia="华文中宋" w:cs="华文中宋"/>
          <w:color w:val="auto"/>
          <w:sz w:val="22"/>
          <w:highlight w:val="none"/>
        </w:rPr>
        <w:t xml:space="preserve">5、合同纠纷处理</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本合同所涉及的设备在交付验收使用后发生的合同纠纷，由买方、卖方按照《中华人民共和国民法典》有关规定进行处理。</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6、合同详细内容：</w:t>
      </w:r>
      <w:r>
        <w:rPr>
          <w:highlight w:val="none"/>
        </w:rPr>
      </w:r>
      <w:r/>
    </w:p>
    <w:p>
      <w:pPr>
        <w:ind w:firstLine="440"/>
        <w:spacing w:line="480" w:lineRule="exact"/>
        <w:rPr>
          <w:rFonts w:ascii="华文中宋" w:hAnsi="华文中宋" w:eastAsia="华文中宋" w:cs="华文中宋"/>
          <w:b/>
          <w:color w:val="auto"/>
          <w:sz w:val="22"/>
          <w:highlight w:val="none"/>
        </w:rPr>
        <w:outlineLvl w:val="0"/>
      </w:pPr>
      <w:r>
        <w:rPr>
          <w:rFonts w:hint="eastAsia" w:ascii="华文中宋" w:hAnsi="华文中宋" w:eastAsia="华文中宋" w:cs="华文中宋"/>
          <w:color w:val="auto"/>
          <w:sz w:val="22"/>
          <w:highlight w:val="none"/>
        </w:rPr>
        <w:t xml:space="preserve">一、</w:t>
      </w:r>
      <w:r>
        <w:rPr>
          <w:rFonts w:hint="eastAsia" w:ascii="华文中宋" w:hAnsi="华文中宋" w:eastAsia="华文中宋" w:cs="华文中宋"/>
          <w:b/>
          <w:color w:val="auto"/>
          <w:sz w:val="22"/>
          <w:highlight w:val="none"/>
        </w:rPr>
        <w:t xml:space="preserve">设备名称、型号、数量和价格</w:t>
      </w:r>
      <w:r>
        <w:rPr>
          <w:highlight w:val="none"/>
        </w:rPr>
      </w:r>
      <w:r/>
    </w:p>
    <w:tbl>
      <w:tblPr>
        <w:tblStyle w:val="681"/>
        <w:tblW w:w="95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1701"/>
        <w:gridCol w:w="1559"/>
        <w:gridCol w:w="1134"/>
        <w:gridCol w:w="1276"/>
        <w:gridCol w:w="1319"/>
        <w:gridCol w:w="1140"/>
      </w:tblGrid>
      <w:tr>
        <w:trPr/>
        <w:tc>
          <w:tcPr>
            <w:tcW w:w="1384"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设备名称</w:t>
            </w:r>
            <w:r>
              <w:rPr>
                <w:highlight w:val="none"/>
              </w:rPr>
            </w:r>
            <w:r/>
          </w:p>
        </w:tc>
        <w:tc>
          <w:tcPr>
            <w:tcW w:w="1701"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产地</w:t>
            </w:r>
            <w:r>
              <w:rPr>
                <w:rFonts w:hint="eastAsia" w:ascii="华文中宋" w:hAnsi="华文中宋" w:eastAsia="华文中宋" w:cs="华文中宋"/>
                <w:color w:val="auto"/>
                <w:sz w:val="22"/>
                <w:highlight w:val="none"/>
                <w:lang w:val="en-US" w:eastAsia="zh-CN"/>
              </w:rPr>
              <w:t xml:space="preserve">/</w:t>
            </w:r>
            <w:r>
              <w:rPr>
                <w:rFonts w:hint="eastAsia" w:ascii="华文中宋" w:hAnsi="华文中宋" w:eastAsia="华文中宋" w:cs="华文中宋"/>
                <w:color w:val="auto"/>
                <w:sz w:val="22"/>
                <w:highlight w:val="none"/>
              </w:rPr>
              <w:t xml:space="preserve">制造商</w:t>
            </w:r>
            <w:r>
              <w:rPr>
                <w:highlight w:val="none"/>
              </w:rPr>
            </w:r>
            <w:r/>
          </w:p>
        </w:tc>
        <w:tc>
          <w:tcPr>
            <w:tcW w:w="1559"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规格型号</w:t>
            </w:r>
            <w:r>
              <w:rPr>
                <w:highlight w:val="none"/>
              </w:rPr>
            </w:r>
            <w:r/>
          </w:p>
        </w:tc>
        <w:tc>
          <w:tcPr>
            <w:tcW w:w="1134"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注册证号</w:t>
            </w:r>
            <w:r>
              <w:rPr>
                <w:highlight w:val="none"/>
              </w:rPr>
            </w:r>
            <w:r/>
          </w:p>
        </w:tc>
        <w:tc>
          <w:tcPr>
            <w:tcW w:w="1276"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数量</w:t>
            </w:r>
            <w:r>
              <w:rPr>
                <w:highlight w:val="none"/>
              </w:rPr>
            </w:r>
            <w:r/>
          </w:p>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及单位</w:t>
            </w:r>
            <w:r>
              <w:rPr>
                <w:highlight w:val="none"/>
              </w:rPr>
            </w:r>
            <w:r/>
          </w:p>
        </w:tc>
        <w:tc>
          <w:tcPr>
            <w:tcW w:w="1319"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单价</w:t>
            </w:r>
            <w:r>
              <w:rPr>
                <w:highlight w:val="none"/>
              </w:rPr>
            </w:r>
            <w:r/>
          </w:p>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（元）</w:t>
            </w:r>
            <w:r>
              <w:rPr>
                <w:highlight w:val="none"/>
              </w:rPr>
            </w:r>
            <w:r/>
          </w:p>
        </w:tc>
        <w:tc>
          <w:tcPr>
            <w:tcW w:w="1140"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总价</w:t>
            </w:r>
            <w:r>
              <w:rPr>
                <w:highlight w:val="none"/>
              </w:rPr>
            </w:r>
            <w:r/>
          </w:p>
          <w:p>
            <w:pPr>
              <w:jc w:val="center"/>
              <w:spacing w:line="360" w:lineRule="exact"/>
              <w:rPr>
                <w:rFonts w:ascii="华文中宋" w:hAnsi="华文中宋" w:eastAsia="华文中宋" w:cs="华文中宋"/>
                <w:color w:val="auto"/>
                <w:sz w:val="22"/>
                <w:highlight w:val="none"/>
                <w:u w:val="single"/>
              </w:rPr>
            </w:pPr>
            <w:r>
              <w:rPr>
                <w:rFonts w:hint="eastAsia" w:ascii="华文中宋" w:hAnsi="华文中宋" w:eastAsia="华文中宋" w:cs="华文中宋"/>
                <w:color w:val="auto"/>
                <w:sz w:val="22"/>
                <w:highlight w:val="none"/>
              </w:rPr>
              <w:t xml:space="preserve">（元）</w:t>
            </w:r>
            <w:r>
              <w:rPr>
                <w:highlight w:val="none"/>
              </w:rPr>
            </w:r>
            <w:r/>
          </w:p>
        </w:tc>
      </w:tr>
      <w:tr>
        <w:trPr>
          <w:trHeight w:val="480"/>
        </w:trPr>
        <w:tc>
          <w:tcPr>
            <w:tcW w:w="1384"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701"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559"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134" w:type="dxa"/>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276"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319"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c>
          <w:tcPr>
            <w:tcW w:w="1140" w:type="dxa"/>
            <w:vAlign w:val="center"/>
            <w:textDirection w:val="lrTb"/>
            <w:noWrap w:val="false"/>
          </w:tcPr>
          <w:p>
            <w:pPr>
              <w:jc w:val="center"/>
              <w:spacing w:line="36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tc>
      </w:tr>
      <w:tr>
        <w:trPr>
          <w:trHeight w:val="370"/>
        </w:trPr>
        <w:tc>
          <w:tcPr>
            <w:gridSpan w:val="7"/>
            <w:tcW w:w="9513" w:type="dxa"/>
            <w:textDirection w:val="lrTb"/>
            <w:noWrap w:val="false"/>
          </w:tcPr>
          <w:p>
            <w:pPr>
              <w:spacing w:line="360" w:lineRule="exact"/>
              <w:rPr>
                <w:rFonts w:ascii="华文中宋" w:hAnsi="华文中宋" w:eastAsia="华文中宋" w:cs="华文中宋"/>
                <w:color w:val="auto"/>
                <w:sz w:val="22"/>
                <w:highlight w:val="none"/>
                <w:u w:val="single"/>
              </w:rPr>
            </w:pPr>
            <w:r>
              <w:rPr>
                <w:rFonts w:hint="eastAsia" w:ascii="华文中宋" w:hAnsi="华文中宋" w:eastAsia="华文中宋" w:cs="华文中宋"/>
                <w:color w:val="auto"/>
                <w:sz w:val="22"/>
                <w:highlight w:val="none"/>
              </w:rPr>
              <w:t xml:space="preserve">总计（大写）：                                     （小写）：   </w:t>
            </w:r>
            <w:r>
              <w:rPr>
                <w:highlight w:val="none"/>
              </w:rPr>
            </w:r>
            <w:r/>
          </w:p>
        </w:tc>
      </w:tr>
    </w:tbl>
    <w:p>
      <w:pPr>
        <w:ind w:firstLine="440"/>
        <w:spacing w:line="480" w:lineRule="exact"/>
        <w:rPr>
          <w:rFonts w:ascii="华文中宋" w:hAnsi="华文中宋" w:eastAsia="华文中宋" w:cs="华文中宋"/>
          <w:b/>
          <w:color w:val="auto"/>
          <w:sz w:val="22"/>
          <w:highlight w:val="none"/>
        </w:rPr>
      </w:pPr>
      <w:r>
        <w:rPr>
          <w:rFonts w:hint="eastAsia" w:ascii="华文中宋" w:hAnsi="华文中宋" w:eastAsia="华文中宋" w:cs="华文中宋"/>
          <w:color w:val="auto"/>
          <w:sz w:val="22"/>
          <w:highlight w:val="none"/>
        </w:rPr>
        <w:t xml:space="preserve">二、</w:t>
      </w:r>
      <w:r>
        <w:rPr>
          <w:rFonts w:hint="eastAsia" w:ascii="华文中宋" w:hAnsi="华文中宋" w:eastAsia="华文中宋" w:cs="华文中宋"/>
          <w:b/>
          <w:color w:val="auto"/>
          <w:sz w:val="22"/>
          <w:highlight w:val="none"/>
        </w:rPr>
        <w:t xml:space="preserve">设备详细配置清单、耗材、配件清单及价格见附件一（盖章）；并附中标通知书。</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b/>
          <w:bCs/>
          <w:color w:val="auto"/>
          <w:sz w:val="22"/>
          <w:highlight w:val="none"/>
        </w:rPr>
        <w:t xml:space="preserve">三、付款方式：</w:t>
      </w:r>
      <w:r>
        <w:rPr>
          <w:highlight w:val="none"/>
        </w:rPr>
      </w:r>
      <w:r/>
    </w:p>
    <w:p>
      <w:pPr>
        <w:ind w:firstLine="440"/>
        <w:spacing w:line="480" w:lineRule="exact"/>
        <w:rPr>
          <w:rFonts w:ascii="华文中宋" w:hAnsi="华文中宋" w:eastAsia="华文中宋" w:cs="华文中宋"/>
          <w:color w:val="auto"/>
          <w:sz w:val="22"/>
          <w:highlight w:val="none"/>
          <w:u w:val="single"/>
        </w:rPr>
      </w:pPr>
      <w:r>
        <w:rPr>
          <w:rFonts w:hint="eastAsia" w:ascii="华文中宋" w:hAnsi="华文中宋" w:eastAsia="华文中宋" w:cs="华文中宋"/>
          <w:color w:val="auto"/>
          <w:sz w:val="22"/>
          <w:highlight w:val="none"/>
          <w:u w:val="single"/>
        </w:rPr>
        <w:t xml:space="preserve">1.</w:t>
      </w:r>
      <w:r>
        <w:rPr>
          <w:rFonts w:hint="eastAsia" w:ascii="华文中宋" w:hAnsi="华文中宋" w:eastAsia="华文中宋" w:cs="华文中宋"/>
          <w:color w:val="auto"/>
          <w:sz w:val="22"/>
          <w:highlight w:val="none"/>
          <w:u w:val="single"/>
          <w:lang w:eastAsia="zh-CN"/>
        </w:rPr>
        <w:t xml:space="preserve">合同签订生效后7日内，支付合同价款40%的预付款</w:t>
      </w:r>
      <w:r>
        <w:rPr>
          <w:rFonts w:hint="eastAsia" w:ascii="华文中宋" w:hAnsi="华文中宋" w:eastAsia="华文中宋" w:cs="华文中宋"/>
          <w:color w:val="auto"/>
          <w:sz w:val="22"/>
          <w:highlight w:val="none"/>
          <w:u w:val="single"/>
        </w:rPr>
        <w:t xml:space="preserve">；</w:t>
      </w:r>
      <w:r>
        <w:rPr>
          <w:highlight w:val="none"/>
        </w:rPr>
      </w:r>
      <w:r/>
    </w:p>
    <w:p>
      <w:pPr>
        <w:ind w:firstLine="440"/>
        <w:spacing w:line="480" w:lineRule="exact"/>
        <w:rPr>
          <w:rFonts w:ascii="华文中宋" w:hAnsi="华文中宋" w:eastAsia="华文中宋" w:cs="华文中宋"/>
          <w:color w:val="auto"/>
          <w:sz w:val="22"/>
          <w:highlight w:val="none"/>
          <w:u w:val="single"/>
        </w:rPr>
      </w:pPr>
      <w:r>
        <w:rPr>
          <w:rFonts w:hint="eastAsia" w:ascii="华文中宋" w:hAnsi="华文中宋" w:eastAsia="华文中宋" w:cs="华文中宋"/>
          <w:color w:val="auto"/>
          <w:sz w:val="22"/>
          <w:highlight w:val="none"/>
          <w:u w:val="single"/>
        </w:rPr>
        <w:t xml:space="preserve">2.设备安装、调试、验收合格后，凭验收合格报告和发票支付至合同价款的90%；</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u w:val="single"/>
        </w:rPr>
        <w:t xml:space="preserve">3.验收合格满一年后付清余款</w:t>
      </w:r>
      <w:r>
        <w:rPr>
          <w:rFonts w:hint="eastAsia" w:ascii="华文中宋" w:hAnsi="华文中宋" w:eastAsia="华文中宋" w:cs="华文中宋"/>
          <w:color w:val="auto"/>
          <w:sz w:val="22"/>
          <w:highlight w:val="none"/>
        </w:rPr>
        <w:t xml:space="preserve">。</w:t>
      </w:r>
      <w:r>
        <w:rPr>
          <w:highlight w:val="none"/>
        </w:rPr>
      </w:r>
      <w:r/>
    </w:p>
    <w:p>
      <w:pPr>
        <w:ind w:left="42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b/>
          <w:bCs/>
          <w:color w:val="auto"/>
          <w:sz w:val="22"/>
          <w:highlight w:val="none"/>
        </w:rPr>
        <w:t xml:space="preserve">四、交货期：</w:t>
      </w:r>
      <w:r>
        <w:rPr>
          <w:rFonts w:hint="eastAsia" w:ascii="华文中宋" w:hAnsi="华文中宋" w:eastAsia="华文中宋" w:cs="华文中宋"/>
          <w:color w:val="auto"/>
          <w:sz w:val="22"/>
          <w:highlight w:val="none"/>
        </w:rPr>
        <w:t xml:space="preserve">合同签定之日起</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 天。</w:t>
      </w:r>
      <w:r>
        <w:rPr>
          <w:highlight w:val="none"/>
        </w:rPr>
      </w:r>
      <w:r/>
    </w:p>
    <w:p>
      <w:pPr>
        <w:ind w:left="42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b/>
          <w:bCs/>
          <w:color w:val="auto"/>
          <w:sz w:val="22"/>
          <w:highlight w:val="none"/>
        </w:rPr>
        <w:t xml:space="preserve">五、交货地点：</w:t>
      </w:r>
      <w:r>
        <w:rPr>
          <w:rFonts w:hint="eastAsia" w:ascii="华文中宋" w:hAnsi="华文中宋" w:eastAsia="华文中宋" w:cs="华文中宋"/>
          <w:color w:val="auto"/>
          <w:sz w:val="22"/>
          <w:highlight w:val="none"/>
        </w:rPr>
        <w:t xml:space="preserve">靖江市人民医院。</w:t>
      </w:r>
      <w:r>
        <w:rPr>
          <w:highlight w:val="none"/>
        </w:rPr>
      </w:r>
      <w:r/>
    </w:p>
    <w:p>
      <w:pPr>
        <w:ind w:left="420"/>
        <w:spacing w:line="480" w:lineRule="exact"/>
        <w:rPr>
          <w:rFonts w:hint="eastAsia"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六</w:t>
      </w:r>
      <w:r>
        <w:rPr>
          <w:rFonts w:hint="eastAsia" w:ascii="华文中宋" w:hAnsi="华文中宋" w:eastAsia="华文中宋" w:cs="华文中宋"/>
          <w:b/>
          <w:bCs/>
          <w:color w:val="auto"/>
          <w:sz w:val="22"/>
          <w:highlight w:val="none"/>
        </w:rPr>
        <w:t xml:space="preserve">、供货要求</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1.乙方</w:t>
      </w:r>
      <w:r>
        <w:rPr>
          <w:rFonts w:hint="eastAsia" w:ascii="华文中宋" w:hAnsi="华文中宋" w:eastAsia="华文中宋" w:cs="华文中宋"/>
          <w:color w:val="auto"/>
          <w:sz w:val="22"/>
          <w:highlight w:val="none"/>
        </w:rPr>
        <w:t xml:space="preserve">提供的产品需是市场主流设备，</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不接受厂商已停产或即将停产的设备。</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2.乙方</w:t>
      </w:r>
      <w:r>
        <w:rPr>
          <w:rFonts w:hint="eastAsia" w:ascii="华文中宋" w:hAnsi="华文中宋" w:eastAsia="华文中宋" w:cs="华文中宋"/>
          <w:color w:val="auto"/>
          <w:sz w:val="22"/>
          <w:highlight w:val="none"/>
        </w:rPr>
        <w:t xml:space="preserve">提供的产品，应保证包装完好、数量与供货清单相符。</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3.乙方</w:t>
      </w:r>
      <w:r>
        <w:rPr>
          <w:rFonts w:hint="eastAsia" w:ascii="华文中宋" w:hAnsi="华文中宋" w:eastAsia="华文中宋" w:cs="华文中宋"/>
          <w:color w:val="auto"/>
          <w:sz w:val="22"/>
          <w:highlight w:val="none"/>
        </w:rPr>
        <w:t xml:space="preserve">需将其供货设备运送到</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指定现场，并提供完整清晰的供货清单，由双方及监理方</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如有</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等进行开箱点货验收。点货验收合格后，共同签字确认，此时货物的保管权移交给</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在保管期内只对货物的数量和外观原状负责，货物损坏、灭失的风险仍由</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承担，直至货物完成安装、调试并通过最终的质量验收。</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4.乙方</w:t>
      </w:r>
      <w:r>
        <w:rPr>
          <w:rFonts w:hint="eastAsia" w:ascii="华文中宋" w:hAnsi="华文中宋" w:eastAsia="华文中宋" w:cs="华文中宋"/>
          <w:color w:val="auto"/>
          <w:sz w:val="22"/>
          <w:highlight w:val="none"/>
        </w:rPr>
        <w:t xml:space="preserve">提供的产品若具有固有的设计缺陷，</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应承担对该设备的修复和更换责任，不以质保期为期限。</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5.乙方</w:t>
      </w:r>
      <w:r>
        <w:rPr>
          <w:rFonts w:hint="eastAsia" w:ascii="华文中宋" w:hAnsi="华文中宋" w:eastAsia="华文中宋" w:cs="华文中宋"/>
          <w:color w:val="auto"/>
          <w:sz w:val="22"/>
          <w:highlight w:val="none"/>
        </w:rPr>
        <w:t xml:space="preserve">按照本次采购的设备指标要求，提供原厂商免费设备保修和现场售后维护服务。</w:t>
      </w:r>
      <w:r>
        <w:rPr>
          <w:highlight w:val="none"/>
        </w:rPr>
      </w:r>
      <w:r/>
    </w:p>
    <w:p>
      <w:pPr>
        <w:ind w:firstLine="440"/>
        <w:spacing w:line="480" w:lineRule="exact"/>
        <w:rPr>
          <w:rFonts w:hint="eastAsia"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七、</w:t>
      </w:r>
      <w:r>
        <w:rPr>
          <w:rFonts w:hint="eastAsia" w:ascii="华文中宋" w:hAnsi="华文中宋" w:eastAsia="华文中宋" w:cs="华文中宋"/>
          <w:b/>
          <w:bCs/>
          <w:color w:val="auto"/>
          <w:sz w:val="22"/>
          <w:highlight w:val="none"/>
        </w:rPr>
        <w:t xml:space="preserve">安装调试</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1、乙方</w:t>
      </w:r>
      <w:r>
        <w:rPr>
          <w:rFonts w:hint="eastAsia" w:ascii="华文中宋" w:hAnsi="华文中宋" w:eastAsia="华文中宋" w:cs="华文中宋"/>
          <w:color w:val="auto"/>
          <w:sz w:val="22"/>
          <w:highlight w:val="none"/>
        </w:rPr>
        <w:t xml:space="preserve">应承担所供产品的安装、调试和配置工作，同时应提供完整的安装调试文档及系统配置文件。</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2、乙方</w:t>
      </w:r>
      <w:r>
        <w:rPr>
          <w:rFonts w:hint="eastAsia" w:ascii="华文中宋" w:hAnsi="华文中宋" w:eastAsia="华文中宋" w:cs="华文中宋"/>
          <w:color w:val="auto"/>
          <w:sz w:val="22"/>
          <w:highlight w:val="none"/>
        </w:rPr>
        <w:t xml:space="preserve">应全力与医院及其他相关产品供应商配合，保证系统按时、正常地投入运行。</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3、乙方</w:t>
      </w:r>
      <w:r>
        <w:rPr>
          <w:rFonts w:hint="eastAsia" w:ascii="华文中宋" w:hAnsi="华文中宋" w:eastAsia="华文中宋" w:cs="华文中宋"/>
          <w:color w:val="auto"/>
          <w:sz w:val="22"/>
          <w:highlight w:val="none"/>
        </w:rPr>
        <w:t xml:space="preserve">需保证所配置的软件产品有合法的使用权。</w:t>
      </w:r>
      <w:r>
        <w:rPr>
          <w:highlight w:val="none"/>
        </w:rPr>
      </w:r>
      <w:r/>
    </w:p>
    <w:p>
      <w:pPr>
        <w:ind w:firstLine="440"/>
        <w:spacing w:line="480" w:lineRule="exact"/>
        <w:rPr>
          <w:rFonts w:hint="eastAsia"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八</w:t>
      </w:r>
      <w:r>
        <w:rPr>
          <w:rFonts w:hint="eastAsia" w:ascii="华文中宋" w:hAnsi="华文中宋" w:eastAsia="华文中宋" w:cs="华文中宋"/>
          <w:b/>
          <w:bCs/>
          <w:color w:val="auto"/>
          <w:sz w:val="22"/>
          <w:highlight w:val="none"/>
        </w:rPr>
        <w:t xml:space="preserve">、维护、售后服务和培训</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1.</w:t>
      </w:r>
      <w:r>
        <w:rPr>
          <w:rFonts w:hint="eastAsia" w:ascii="华文中宋" w:hAnsi="华文中宋" w:eastAsia="华文中宋" w:cs="华文中宋"/>
          <w:color w:val="auto"/>
          <w:sz w:val="22"/>
          <w:highlight w:val="none"/>
        </w:rPr>
        <w:t xml:space="preserve">保修(维保)期</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1</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硬件产品保修(维保):自</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和工程监理</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如有</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三方的验收并签发验收材料之日起，</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必须为本项目所采购的智算模块提供至少3年原厂售后维保服务，数据可视化显示仪、急救车载PAD提供至少1年原厂售后维保服务。</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2</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软件产品保修(维保):自项目验收之日起计算，</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必须为本项目所采购的定制软件产品提供至少1年原厂售后保修(维保)服务。</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val="en-US" w:eastAsia="zh-CN"/>
        </w:rPr>
        <w:t xml:space="preserve">2.</w:t>
      </w:r>
      <w:r>
        <w:rPr>
          <w:rFonts w:hint="eastAsia" w:ascii="华文中宋" w:hAnsi="华文中宋" w:eastAsia="华文中宋" w:cs="华文中宋"/>
          <w:color w:val="auto"/>
          <w:sz w:val="22"/>
          <w:highlight w:val="none"/>
        </w:rPr>
        <w:t xml:space="preserve">售后服务</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1</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本项目需要</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提供软件技术服务，具备售后服务机构，处理所有售后服务事宜，同时提供7*24小时本地语言(中文)支持。</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2</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主要设备(包含但不限于网络设备、服务器和存储设备)的原厂商应在国内设有备件仓库，在设备维保期内，出现硬件损坏时，备品、备件等应在招标要求规定时间范围之内到达并修复，并需要提供确保承诺实现的措施。备品、备件费用己包含在</w:t>
      </w:r>
      <w:r>
        <w:rPr>
          <w:rFonts w:hint="eastAsia" w:ascii="华文中宋" w:hAnsi="华文中宋" w:eastAsia="华文中宋" w:cs="华文中宋"/>
          <w:color w:val="auto"/>
          <w:sz w:val="22"/>
          <w:highlight w:val="none"/>
          <w:lang w:val="en-US" w:eastAsia="zh-CN"/>
        </w:rPr>
        <w:t xml:space="preserve">合同</w:t>
      </w:r>
      <w:r>
        <w:rPr>
          <w:rFonts w:hint="eastAsia" w:ascii="华文中宋" w:hAnsi="华文中宋" w:eastAsia="华文中宋" w:cs="华文中宋"/>
          <w:color w:val="auto"/>
          <w:sz w:val="22"/>
          <w:highlight w:val="none"/>
        </w:rPr>
        <w:t xml:space="preserve">总价内。</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3</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负责所供软件及配套产品的售后服务，包括提供所供产品技术咨询、技术培训、到货验收、安装调试以及负责所供产品的保修(维保)及其它售后技术服务。</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4</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应提供中文电话免费咨询服务。</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5</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以上所有服务的相关费用均需计入</w:t>
      </w:r>
      <w:r>
        <w:rPr>
          <w:rFonts w:hint="eastAsia" w:ascii="华文中宋" w:hAnsi="华文中宋" w:eastAsia="华文中宋" w:cs="华文中宋"/>
          <w:color w:val="auto"/>
          <w:sz w:val="22"/>
          <w:highlight w:val="none"/>
          <w:lang w:val="en-US" w:eastAsia="zh-CN"/>
        </w:rPr>
        <w:t xml:space="preserve">合同</w:t>
      </w:r>
      <w:r>
        <w:rPr>
          <w:rFonts w:hint="eastAsia" w:ascii="华文中宋" w:hAnsi="华文中宋" w:eastAsia="华文中宋" w:cs="华文中宋"/>
          <w:color w:val="auto"/>
          <w:sz w:val="22"/>
          <w:highlight w:val="none"/>
        </w:rPr>
        <w:t xml:space="preserve">总价。</w:t>
      </w:r>
      <w:r>
        <w:rPr>
          <w:highlight w:val="none"/>
        </w:rPr>
      </w:r>
      <w:r/>
    </w:p>
    <w:p>
      <w:pPr>
        <w:ind w:firstLine="440"/>
        <w:spacing w:line="480" w:lineRule="exact"/>
        <w:rPr>
          <w:rFonts w:hint="eastAsia"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3.</w:t>
      </w:r>
      <w:r>
        <w:rPr>
          <w:rFonts w:hint="eastAsia" w:ascii="华文中宋" w:hAnsi="华文中宋" w:eastAsia="华文中宋" w:cs="华文中宋"/>
          <w:b/>
          <w:bCs/>
          <w:color w:val="auto"/>
          <w:sz w:val="22"/>
          <w:highlight w:val="none"/>
        </w:rPr>
        <w:t xml:space="preserve">培训</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1</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乙方</w:t>
      </w:r>
      <w:r>
        <w:rPr>
          <w:rFonts w:hint="eastAsia" w:ascii="华文中宋" w:hAnsi="华文中宋" w:eastAsia="华文中宋" w:cs="华文中宋"/>
          <w:color w:val="auto"/>
          <w:sz w:val="22"/>
          <w:highlight w:val="none"/>
        </w:rPr>
        <w:t xml:space="preserve">应负责使用人员的培训及考核，并在项目实施后继续按照用户要求定期培训和考核。培训对象包括用户方的系统管理员、日常维护人员、技术层面人员(包括系统开发、程序版本控制、数据库维护)，以及用户方的系统使用人员。</w:t>
      </w:r>
      <w:r>
        <w:rPr>
          <w:highlight w:val="none"/>
        </w:rPr>
      </w:r>
      <w:r/>
    </w:p>
    <w:p>
      <w:pPr>
        <w:ind w:firstLine="440"/>
        <w:spacing w:line="480" w:lineRule="exact"/>
        <w:rPr>
          <w:rFonts w:hint="eastAsia" w:ascii="华文中宋" w:hAnsi="华文中宋" w:eastAsia="华文中宋" w:cs="华文中宋"/>
          <w:b/>
          <w:bCs/>
          <w:color w:val="auto"/>
          <w:sz w:val="22"/>
          <w:highlight w:val="none"/>
        </w:rPr>
      </w:pP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lang w:val="en-US" w:eastAsia="zh-CN"/>
        </w:rPr>
        <w:t xml:space="preserve">2</w:t>
      </w:r>
      <w:r>
        <w:rPr>
          <w:rFonts w:hint="eastAsia" w:ascii="华文中宋" w:hAnsi="华文中宋" w:eastAsia="华文中宋" w:cs="华文中宋"/>
          <w:color w:val="auto"/>
          <w:sz w:val="22"/>
          <w:highlight w:val="none"/>
          <w:lang w:eastAsia="zh-CN"/>
        </w:rPr>
        <w:t xml:space="preserve">）</w:t>
      </w:r>
      <w:r>
        <w:rPr>
          <w:rFonts w:hint="eastAsia" w:ascii="华文中宋" w:hAnsi="华文中宋" w:eastAsia="华文中宋" w:cs="华文中宋"/>
          <w:color w:val="auto"/>
          <w:sz w:val="22"/>
          <w:highlight w:val="none"/>
        </w:rPr>
        <w:t xml:space="preserve">培训费用包含于</w:t>
      </w:r>
      <w:r>
        <w:rPr>
          <w:rFonts w:hint="eastAsia" w:ascii="华文中宋" w:hAnsi="华文中宋" w:eastAsia="华文中宋" w:cs="华文中宋"/>
          <w:color w:val="auto"/>
          <w:sz w:val="22"/>
          <w:highlight w:val="none"/>
          <w:lang w:val="en-US" w:eastAsia="zh-CN"/>
        </w:rPr>
        <w:t xml:space="preserve">合同</w:t>
      </w:r>
      <w:r>
        <w:rPr>
          <w:rFonts w:hint="eastAsia" w:ascii="华文中宋" w:hAnsi="华文中宋" w:eastAsia="华文中宋" w:cs="华文中宋"/>
          <w:color w:val="auto"/>
          <w:sz w:val="22"/>
          <w:highlight w:val="none"/>
        </w:rPr>
        <w:t xml:space="preserve">总价中，</w:t>
      </w:r>
      <w:r>
        <w:rPr>
          <w:rFonts w:hint="eastAsia" w:ascii="华文中宋" w:hAnsi="华文中宋" w:eastAsia="华文中宋" w:cs="华文中宋"/>
          <w:color w:val="auto"/>
          <w:sz w:val="22"/>
          <w:highlight w:val="none"/>
          <w:lang w:val="en-US" w:eastAsia="zh-CN"/>
        </w:rPr>
        <w:t xml:space="preserve">甲方</w:t>
      </w:r>
      <w:r>
        <w:rPr>
          <w:rFonts w:hint="eastAsia" w:ascii="华文中宋" w:hAnsi="华文中宋" w:eastAsia="华文中宋" w:cs="华文中宋"/>
          <w:color w:val="auto"/>
          <w:sz w:val="22"/>
          <w:highlight w:val="none"/>
        </w:rPr>
        <w:t xml:space="preserve">无需另行支付任何费用，包括但不限于培训人员的差旅费、食宿费等。</w:t>
      </w:r>
      <w:r>
        <w:rPr>
          <w:highlight w:val="none"/>
        </w:rPr>
      </w:r>
      <w:r/>
    </w:p>
    <w:p>
      <w:pPr>
        <w:ind w:firstLine="440"/>
        <w:spacing w:line="480" w:lineRule="exact"/>
        <w:rPr>
          <w:rFonts w:hint="default"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九、合同份数</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本合同一式五份（三份），甲方执四（二）份，乙方执一份。</w:t>
      </w:r>
      <w:r>
        <w:rPr>
          <w:highlight w:val="none"/>
        </w:rPr>
      </w:r>
      <w:r/>
    </w:p>
    <w:p>
      <w:pPr>
        <w:ind w:firstLine="440"/>
        <w:spacing w:line="480" w:lineRule="exact"/>
        <w:rPr>
          <w:rFonts w:ascii="华文中宋" w:hAnsi="华文中宋" w:eastAsia="华文中宋" w:cs="华文中宋"/>
          <w:b/>
          <w:bCs/>
          <w:color w:val="auto"/>
          <w:sz w:val="22"/>
          <w:highlight w:val="none"/>
        </w:rPr>
      </w:pPr>
      <w:r>
        <w:rPr>
          <w:rFonts w:hint="eastAsia" w:ascii="华文中宋" w:hAnsi="华文中宋" w:eastAsia="华文中宋" w:cs="华文中宋"/>
          <w:b/>
          <w:bCs/>
          <w:color w:val="auto"/>
          <w:sz w:val="22"/>
          <w:highlight w:val="none"/>
          <w:lang w:val="en-US" w:eastAsia="zh-CN"/>
        </w:rPr>
        <w:t xml:space="preserve">十、</w:t>
      </w:r>
      <w:r>
        <w:rPr>
          <w:rFonts w:hint="eastAsia" w:ascii="华文中宋" w:hAnsi="华文中宋" w:eastAsia="华文中宋" w:cs="华文中宋"/>
          <w:b/>
          <w:bCs/>
          <w:color w:val="auto"/>
          <w:sz w:val="22"/>
          <w:highlight w:val="none"/>
        </w:rPr>
        <w:t xml:space="preserve">合同生效及其他</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1.本合同经甲方、乙方双方代表签字盖章后生效。</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2.甲方其他相关科室代表在附件二签字。</w:t>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r>
      <w:r>
        <w:rPr>
          <w:highlight w:val="none"/>
        </w:rPr>
      </w:r>
      <w:r/>
    </w:p>
    <w:p>
      <w:pPr>
        <w:ind w:firstLine="440"/>
        <w:spacing w:line="480" w:lineRule="exact"/>
        <w:rPr>
          <w:rFonts w:hint="eastAsia"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甲方（单位盖章）：</w:t>
      </w:r>
      <w:r>
        <w:rPr>
          <w:rFonts w:hint="eastAsia" w:ascii="华文中宋" w:hAnsi="华文中宋" w:eastAsia="华文中宋" w:cs="华文中宋"/>
          <w:b/>
          <w:color w:val="auto"/>
          <w:sz w:val="22"/>
          <w:highlight w:val="none"/>
        </w:rPr>
        <w:t xml:space="preserve">靖江市人民医院  </w:t>
      </w:r>
      <w:r>
        <w:rPr>
          <w:rFonts w:hint="eastAsia" w:ascii="华文中宋" w:hAnsi="华文中宋" w:eastAsia="华文中宋" w:cs="华文中宋"/>
          <w:color w:val="auto"/>
          <w:sz w:val="22"/>
          <w:highlight w:val="none"/>
        </w:rPr>
        <w:t xml:space="preserve">          乙方（单位盖章）：</w:t>
      </w:r>
      <w:r>
        <w:rPr>
          <w:highlight w:val="none"/>
        </w:rPr>
      </w:r>
      <w:r/>
    </w:p>
    <w:p>
      <w:pPr>
        <w:ind w:firstLine="440"/>
        <w:spacing w:line="480" w:lineRule="exact"/>
        <w:rPr>
          <w:rFonts w:ascii="华文中宋" w:hAnsi="华文中宋" w:eastAsia="华文中宋" w:cs="华文中宋"/>
          <w:color w:val="auto"/>
          <w:sz w:val="22"/>
          <w:highlight w:val="none"/>
        </w:rPr>
      </w:pPr>
      <w:r>
        <w:rPr>
          <w:rFonts w:ascii="华文中宋" w:hAnsi="华文中宋" w:eastAsia="华文中宋" w:cs="华文中宋"/>
          <w:color w:val="auto"/>
          <w:sz w:val="22"/>
          <w:highlight w:val="none"/>
        </w:rPr>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甲方代表：                                 乙方代表：</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rPr>
        <w:t xml:space="preserve">                                           </w:t>
      </w:r>
      <w:r>
        <w:rPr>
          <w:highlight w:val="none"/>
        </w:rPr>
      </w:r>
      <w:r/>
    </w:p>
    <w:p>
      <w:pPr>
        <w:ind w:firstLine="440"/>
        <w:spacing w:line="480" w:lineRule="exact"/>
        <w:rPr>
          <w:rFonts w:ascii="华文中宋" w:hAnsi="华文中宋" w:eastAsia="华文中宋" w:cs="华文中宋"/>
          <w:color w:val="auto"/>
          <w:sz w:val="22"/>
          <w:highlight w:val="none"/>
        </w:rPr>
      </w:pP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年</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月</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日                    </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年</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月</w:t>
      </w:r>
      <w:r>
        <w:rPr>
          <w:rFonts w:hint="eastAsia" w:ascii="华文中宋" w:hAnsi="华文中宋" w:eastAsia="华文中宋" w:cs="华文中宋"/>
          <w:color w:val="auto"/>
          <w:sz w:val="22"/>
          <w:highlight w:val="none"/>
          <w:u w:val="single"/>
        </w:rPr>
        <w:t xml:space="preserve">     </w:t>
      </w:r>
      <w:r>
        <w:rPr>
          <w:rFonts w:hint="eastAsia" w:ascii="华文中宋" w:hAnsi="华文中宋" w:eastAsia="华文中宋" w:cs="华文中宋"/>
          <w:color w:val="auto"/>
          <w:sz w:val="22"/>
          <w:highlight w:val="none"/>
        </w:rPr>
        <w:t xml:space="preserve">日</w:t>
      </w:r>
      <w:r>
        <w:rPr>
          <w:highlight w:val="none"/>
        </w:rPr>
      </w:r>
      <w:r/>
    </w:p>
    <w:p>
      <w:pPr>
        <w:spacing w:after="120" w:line="440" w:lineRule="exact"/>
        <w:rPr>
          <w:rFonts w:ascii="宋体" w:hAnsi="宋体"/>
          <w:color w:val="auto"/>
          <w:sz w:val="22"/>
          <w:highlight w:val="none"/>
        </w:rPr>
      </w:pPr>
      <w:r>
        <w:rPr>
          <w:rFonts w:ascii="宋体" w:hAnsi="宋体"/>
          <w:color w:val="auto"/>
          <w:sz w:val="22"/>
          <w:highlight w:val="none"/>
        </w:rPr>
      </w:r>
      <w:r>
        <w:rPr>
          <w:highlight w:val="none"/>
        </w:rPr>
      </w:r>
      <w:r/>
    </w:p>
    <w:p>
      <w:pPr>
        <w:ind w:firstLine="440"/>
        <w:jc w:val="left"/>
        <w:spacing w:line="440" w:lineRule="exact"/>
        <w:rPr>
          <w:rFonts w:ascii="宋体" w:hAnsi="宋体" w:cs="宋体"/>
          <w:bCs/>
          <w:color w:val="auto"/>
          <w:sz w:val="22"/>
          <w:highlight w:val="none"/>
        </w:rPr>
      </w:pPr>
      <w:r>
        <w:rPr>
          <w:rFonts w:ascii="宋体" w:hAnsi="宋体" w:cs="宋体"/>
          <w:bCs/>
          <w:color w:val="auto"/>
          <w:sz w:val="22"/>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rPr>
          <w:color w:val="auto"/>
          <w:highlight w:val="none"/>
        </w:rPr>
      </w:pPr>
      <w:r>
        <w:rPr>
          <w:color w:val="auto"/>
          <w:highlight w:val="none"/>
        </w:rPr>
      </w:r>
      <w:r>
        <w:rPr>
          <w:highlight w:val="none"/>
        </w:rPr>
      </w:r>
      <w:r/>
    </w:p>
    <w:p>
      <w:pPr>
        <w:pStyle w:val="936"/>
        <w:jc w:val="center"/>
        <w:spacing w:before="0" w:after="0" w:line="240" w:lineRule="auto"/>
        <w:rPr>
          <w:rFonts w:ascii="微软雅黑" w:hAnsi="微软雅黑" w:eastAsia="微软雅黑" w:cs="微软雅黑"/>
          <w:b w:val="0"/>
          <w:bCs w:val="0"/>
          <w:color w:val="auto"/>
          <w:sz w:val="36"/>
          <w:szCs w:val="36"/>
          <w:highlight w:val="none"/>
        </w:rPr>
      </w:pPr>
      <w:r>
        <w:rPr>
          <w:highlight w:val="none"/>
        </w:rPr>
      </w:r>
      <w:bookmarkStart w:id="140" w:name="_Toc152268447"/>
      <w:r>
        <w:rPr>
          <w:highlight w:val="none"/>
        </w:rPr>
      </w:r>
      <w:bookmarkStart w:id="141" w:name="_Toc25476"/>
      <w:r>
        <w:rPr>
          <w:rFonts w:hint="eastAsia" w:ascii="微软雅黑" w:hAnsi="微软雅黑" w:eastAsia="微软雅黑" w:cs="微软雅黑"/>
          <w:b w:val="0"/>
          <w:bCs w:val="0"/>
          <w:color w:val="auto"/>
          <w:sz w:val="36"/>
          <w:szCs w:val="36"/>
          <w:highlight w:val="none"/>
        </w:rPr>
        <w:t xml:space="preserve">第六章 项目采购需求</w:t>
      </w:r>
      <w:bookmarkEnd w:id="140"/>
      <w:r>
        <w:rPr>
          <w:highlight w:val="none"/>
        </w:rPr>
      </w:r>
      <w:bookmarkEnd w:id="141"/>
      <w:r>
        <w:rPr>
          <w:highlight w:val="none"/>
        </w:rPr>
      </w:r>
      <w:r/>
    </w:p>
    <w:p>
      <w:pPr>
        <w:pStyle w:val="728"/>
        <w:ind w:firstLine="0"/>
        <w:keepLines w:val="0"/>
        <w:keepNext w:val="0"/>
        <w:pageBreakBefore w:val="0"/>
        <w:spacing w:line="360" w:lineRule="auto"/>
        <w:widowControl w:val="off"/>
        <w:rPr>
          <w:rFonts w:ascii="黑体" w:hAnsi="黑体" w:eastAsia="黑体"/>
          <w:b/>
          <w:bCs/>
          <w:color w:val="auto"/>
          <w:sz w:val="24"/>
          <w:szCs w:val="24"/>
          <w:highlight w:val="none"/>
        </w:rPr>
      </w:pPr>
      <w:r>
        <w:rPr>
          <w:rFonts w:hint="eastAsia" w:ascii="黑体" w:hAnsi="黑体" w:eastAsia="黑体"/>
          <w:b/>
          <w:bCs/>
          <w:color w:val="auto"/>
          <w:sz w:val="24"/>
          <w:szCs w:val="24"/>
          <w:highlight w:val="none"/>
        </w:rPr>
        <w:t xml:space="preserve">一、项目概况</w:t>
      </w:r>
      <w:r>
        <w:rPr>
          <w:highlight w:val="none"/>
        </w:rPr>
      </w:r>
      <w:r/>
    </w:p>
    <w:p>
      <w:pPr>
        <w:pStyle w:val="728"/>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1.项目名称：</w:t>
      </w:r>
      <w:r>
        <w:rPr>
          <w:rFonts w:hint="eastAsia" w:asciiTheme="minorEastAsia" w:hAnsiTheme="minorEastAsia" w:eastAsiaTheme="minorEastAsia" w:cstheme="minorEastAsia"/>
          <w:color w:val="auto"/>
          <w:sz w:val="24"/>
          <w:szCs w:val="24"/>
          <w:highlight w:val="none"/>
          <w:lang w:eastAsia="zh-CN"/>
        </w:rPr>
        <w:t xml:space="preserve">靖江市人民医院基于AI的卒中（胸痛）一体化救治和调度平台</w:t>
      </w:r>
      <w:r>
        <w:rPr>
          <w:highlight w:val="none"/>
        </w:rPr>
      </w:r>
      <w:r/>
    </w:p>
    <w:p>
      <w:pPr>
        <w:pStyle w:val="728"/>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2.采购预算：</w:t>
      </w:r>
      <w:r>
        <w:rPr>
          <w:rFonts w:hint="eastAsia" w:asciiTheme="minorEastAsia" w:hAnsiTheme="minorEastAsia" w:eastAsiaTheme="minorEastAsia" w:cstheme="minorEastAsia"/>
          <w:color w:val="auto"/>
          <w:sz w:val="24"/>
          <w:szCs w:val="24"/>
          <w:highlight w:val="none"/>
          <w:u w:val="single"/>
          <w:lang w:val="en-US" w:eastAsia="zh-CN"/>
        </w:rPr>
        <w:t xml:space="preserve">255</w:t>
      </w:r>
      <w:r>
        <w:rPr>
          <w:rFonts w:hint="eastAsia" w:asciiTheme="minorEastAsia" w:hAnsiTheme="minorEastAsia" w:eastAsiaTheme="minorEastAsia" w:cstheme="minorEastAsia"/>
          <w:color w:val="auto"/>
          <w:sz w:val="24"/>
          <w:szCs w:val="24"/>
          <w:highlight w:val="none"/>
          <w:lang w:val="en-US"/>
        </w:rPr>
        <w:t xml:space="preserve">万元</w:t>
      </w:r>
      <w:r>
        <w:rPr>
          <w:highlight w:val="none"/>
        </w:rPr>
      </w:r>
      <w:r/>
    </w:p>
    <w:p>
      <w:pPr>
        <w:pStyle w:val="728"/>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3.最高限价：</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255 </w:t>
      </w:r>
      <w:r>
        <w:rPr>
          <w:rFonts w:hint="eastAsia" w:asciiTheme="minorEastAsia" w:hAnsiTheme="minorEastAsia" w:eastAsiaTheme="minorEastAsia" w:cstheme="minorEastAsia"/>
          <w:color w:val="auto"/>
          <w:sz w:val="24"/>
          <w:szCs w:val="24"/>
          <w:highlight w:val="none"/>
        </w:rPr>
        <w:t xml:space="preserve">万元</w:t>
      </w:r>
      <w:r>
        <w:rPr>
          <w:highlight w:val="none"/>
        </w:rPr>
      </w:r>
      <w:r/>
    </w:p>
    <w:p>
      <w:pPr>
        <w:pStyle w:val="728"/>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4.合同履行期限：</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120</w:t>
      </w:r>
      <w:r>
        <w:rPr>
          <w:rFonts w:hint="eastAsia" w:asciiTheme="minorEastAsia" w:hAnsiTheme="minorEastAsia" w:eastAsiaTheme="minorEastAsia" w:cstheme="minorEastAsia"/>
          <w:color w:val="auto"/>
          <w:sz w:val="24"/>
          <w:szCs w:val="24"/>
          <w:highlight w:val="none"/>
          <w:u w:val="single"/>
          <w:lang w:val="en-US"/>
        </w:rPr>
        <w:t xml:space="preserve"> </w:t>
      </w:r>
      <w:r>
        <w:rPr>
          <w:rFonts w:hint="eastAsia" w:asciiTheme="minorEastAsia" w:hAnsiTheme="minorEastAsia" w:eastAsiaTheme="minorEastAsia" w:cstheme="minorEastAsia"/>
          <w:color w:val="auto"/>
          <w:sz w:val="24"/>
          <w:szCs w:val="24"/>
          <w:highlight w:val="none"/>
          <w:lang w:val="en-US"/>
        </w:rPr>
        <w:t xml:space="preserve">日历天</w:t>
      </w:r>
      <w:r>
        <w:rPr>
          <w:highlight w:val="none"/>
        </w:rPr>
      </w:r>
      <w:r/>
    </w:p>
    <w:p>
      <w:pPr>
        <w:pStyle w:val="728"/>
        <w:ind w:firstLine="0"/>
        <w:keepLines w:val="0"/>
        <w:keepNext w:val="0"/>
        <w:pageBreakBefore w:val="0"/>
        <w:spacing w:line="360" w:lineRule="auto"/>
        <w:widowControl w:val="off"/>
        <w:rPr>
          <w:rFonts w:hint="default" w:ascii="华文中宋" w:hAnsi="华文中宋" w:eastAsia="黑体" w:cs="华文中宋"/>
          <w:sz w:val="22"/>
          <w:szCs w:val="22"/>
          <w:highlight w:val="none"/>
        </w:rPr>
      </w:pPr>
      <w:r>
        <w:rPr>
          <w:rFonts w:hint="eastAsia" w:ascii="黑体" w:hAnsi="黑体" w:eastAsia="黑体"/>
          <w:b/>
          <w:bCs/>
          <w:color w:val="auto"/>
          <w:sz w:val="24"/>
          <w:szCs w:val="24"/>
          <w:highlight w:val="none"/>
        </w:rPr>
        <w:t xml:space="preserve">二、</w:t>
      </w:r>
      <w:r>
        <w:rPr>
          <w:rFonts w:hint="eastAsia" w:ascii="黑体" w:hAnsi="黑体" w:eastAsia="黑体"/>
          <w:b/>
          <w:bCs/>
          <w:sz w:val="22"/>
          <w:szCs w:val="22"/>
          <w:highlight w:val="none"/>
          <w:lang w:val="en-US" w:eastAsia="zh-CN"/>
        </w:rPr>
        <w:t xml:space="preserve">项目背景</w:t>
      </w:r>
      <w:r>
        <w:rPr>
          <w:highlight w:val="none"/>
        </w:rPr>
      </w:r>
      <w:r/>
    </w:p>
    <w:p>
      <w:pPr>
        <w:pStyle w:val="728"/>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为进一步提升医院对卒中、胸痛急危重症患者的早期识别、快速处置和全流程协同救治能力，结合急救中心改扩建、胸痛卒中绿色通道及调度中心建设需求。本项目依托人工智能技术，打通急救车、急诊、影像、检验、HIS、EMR等业务环节，形成集智能病历生成、专科风险预警、辅助决策于体的智慧急救体系，推动救治流程标准化、智能化管理，全面提升急危重症救治质量与效率。</w:t>
      </w:r>
      <w:r>
        <w:rPr>
          <w:highlight w:val="none"/>
        </w:rPr>
      </w:r>
      <w:r/>
    </w:p>
    <w:p>
      <w:pPr>
        <w:pStyle w:val="728"/>
        <w:ind w:firstLine="0"/>
        <w:keepLines w:val="0"/>
        <w:keepNext w:val="0"/>
        <w:pageBreakBefore w:val="0"/>
        <w:spacing w:line="360" w:lineRule="auto"/>
        <w:widowControl w:val="off"/>
        <w:rPr>
          <w:rFonts w:ascii="黑体" w:hAnsi="黑体" w:eastAsia="黑体"/>
          <w:b/>
          <w:bCs/>
          <w:color w:val="auto"/>
          <w:sz w:val="24"/>
          <w:szCs w:val="24"/>
          <w:highlight w:val="none"/>
        </w:rPr>
      </w:pPr>
      <w:r>
        <w:rPr>
          <w:rFonts w:hint="eastAsia" w:ascii="黑体" w:hAnsi="黑体" w:eastAsia="黑体"/>
          <w:b/>
          <w:bCs/>
          <w:color w:val="auto"/>
          <w:sz w:val="24"/>
          <w:szCs w:val="24"/>
          <w:highlight w:val="none"/>
          <w:lang w:val="en-US" w:eastAsia="zh-CN"/>
        </w:rPr>
        <w:t xml:space="preserve">三、</w:t>
      </w:r>
      <w:r>
        <w:rPr>
          <w:rFonts w:hint="eastAsia" w:ascii="黑体" w:hAnsi="黑体" w:eastAsia="黑体" w:cs="Times New Roman"/>
          <w:b/>
          <w:bCs/>
          <w:color w:val="auto"/>
          <w:sz w:val="22"/>
          <w:szCs w:val="22"/>
          <w:highlight w:val="none"/>
          <w:lang w:val="en-US" w:eastAsia="zh-CN"/>
        </w:rPr>
        <w:t xml:space="preserve">采购</w:t>
      </w:r>
      <w:r>
        <w:rPr>
          <w:rFonts w:hint="eastAsia" w:ascii="黑体" w:hAnsi="黑体" w:eastAsia="黑体"/>
          <w:b/>
          <w:bCs/>
          <w:color w:val="auto"/>
          <w:sz w:val="24"/>
          <w:szCs w:val="24"/>
          <w:highlight w:val="none"/>
        </w:rPr>
        <w:t xml:space="preserve">清单</w:t>
      </w:r>
      <w:r>
        <w:rPr>
          <w:highlight w:val="none"/>
        </w:rPr>
      </w:r>
      <w:r/>
    </w:p>
    <w:tbl>
      <w:tblPr>
        <w:tblStyle w:val="681"/>
        <w:tblW w:w="4699" w:type="pct"/>
        <w:tblInd w:w="36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98"/>
        <w:gridCol w:w="3397"/>
        <w:gridCol w:w="924"/>
        <w:gridCol w:w="938"/>
        <w:gridCol w:w="1241"/>
        <w:gridCol w:w="1611"/>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产品名称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rPr>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704" w:type="pct"/>
            <w:vAlign w:val="center"/>
            <w:textDirection w:val="lrTb"/>
            <w:noWrap/>
          </w:tcPr>
          <w:p>
            <w:pPr>
              <w:ind w:left="0" w:right="0" w:firstLine="0"/>
              <w:jc w:val="center"/>
              <w:keepLines w:val="0"/>
              <w:keepNext w:val="0"/>
              <w:widowControl/>
              <w:rPr>
                <w:rFonts w:hint="default"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核心产品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是否接受</w:t>
            </w:r>
            <w:r>
              <w:rPr>
                <w:highlight w:val="none"/>
              </w:rPr>
            </w:r>
            <w:r/>
          </w:p>
          <w:p>
            <w:pPr>
              <w:jc w:val="center"/>
              <w:keepLines w:val="0"/>
              <w:keepNext w:val="0"/>
              <w:widowControl/>
              <w:rPr>
                <w:rFonts w:hint="default"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进口产品</w:t>
            </w:r>
            <w:r>
              <w:rPr>
                <w:highlight w:val="none"/>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卒中胸痛急救智能体平台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32"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color w:val="000000"/>
                <w:sz w:val="24"/>
                <w:szCs w:val="24"/>
                <w:highlight w:val="none"/>
                <w:lang w:val="en-US" w:eastAsia="zh-CN" w:bidi="ar"/>
              </w:rPr>
              <w:t xml:space="preserve">是</w:t>
            </w:r>
            <w:r>
              <w:rPr>
                <w:highlight w:val="none"/>
              </w:rPr>
            </w:r>
            <w:r/>
          </w:p>
        </w:tc>
        <w:tc>
          <w:tcPr>
            <w:shd w:val="clear" w:color="auto" w:fill="auto"/>
            <w:tcBorders>
              <w:top w:val="single" w:color="000000" w:sz="4" w:space="0"/>
              <w:left w:val="single" w:color="auto" w:sz="4" w:space="0"/>
              <w:right w:val="single" w:color="000000" w:sz="4" w:space="0"/>
            </w:tcBorders>
            <w:tcW w:w="914" w:type="pct"/>
            <w:vAlign w:val="center"/>
            <w:vMerge w:val="restart"/>
            <w:textDirection w:val="lrTb"/>
            <w:noWrap/>
          </w:tcPr>
          <w:p>
            <w:pPr>
              <w:jc w:val="center"/>
              <w:rPr>
                <w:rFonts w:hint="default"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急救车急诊智能病历生成系统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3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914"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智算模块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3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914"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数据可视化显示仪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3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1</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right w:val="single" w:color="000000" w:sz="4" w:space="0"/>
            </w:tcBorders>
            <w:tcW w:w="914"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8"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急救车载PAD</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rPr>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532"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6</w:t>
            </w:r>
            <w:r>
              <w:rPr>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否</w:t>
            </w:r>
            <w:r>
              <w:rPr>
                <w:highlight w:val="none"/>
              </w:rPr>
            </w:r>
            <w:r/>
          </w:p>
        </w:tc>
        <w:tc>
          <w:tcPr>
            <w:shd w:val="clear" w:color="auto" w:fill="auto"/>
            <w:tcBorders>
              <w:left w:val="single" w:color="auto" w:sz="4" w:space="0"/>
              <w:bottom w:val="single" w:color="000000" w:sz="4" w:space="0"/>
              <w:right w:val="single" w:color="000000" w:sz="4" w:space="0"/>
            </w:tcBorders>
            <w:tcW w:w="914" w:type="pct"/>
            <w:vAlign w:val="center"/>
            <w:vMerge w:val="continue"/>
            <w:textDirection w:val="lrTb"/>
            <w:noWrap/>
          </w:tcPr>
          <w:p>
            <w:pPr>
              <w:jc w:val="center"/>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r>
            <w:r/>
          </w:p>
        </w:tc>
      </w:tr>
    </w:tbl>
    <w:p>
      <w:pPr>
        <w:pStyle w:val="728"/>
        <w:numPr>
          <w:ilvl w:val="0"/>
          <w:numId w:val="2"/>
        </w:numPr>
        <w:ind w:firstLine="0"/>
        <w:keepLines w:val="0"/>
        <w:keepNext w:val="0"/>
        <w:pageBreakBefore w:val="0"/>
        <w:spacing w:line="360" w:lineRule="auto"/>
        <w:widowControl w:val="off"/>
        <w:rPr>
          <w:rFonts w:hint="eastAsia" w:ascii="黑体" w:hAnsi="黑体" w:eastAsia="黑体"/>
          <w:b/>
          <w:bCs/>
          <w:color w:val="auto"/>
          <w:sz w:val="22"/>
          <w:szCs w:val="22"/>
          <w:highlight w:val="none"/>
        </w:rPr>
      </w:pPr>
      <w:r>
        <w:rPr>
          <w:rFonts w:hint="eastAsia" w:ascii="黑体" w:hAnsi="黑体" w:eastAsia="黑体"/>
          <w:b/>
          <w:bCs/>
          <w:color w:val="auto"/>
          <w:sz w:val="22"/>
          <w:szCs w:val="22"/>
          <w:highlight w:val="none"/>
        </w:rPr>
        <w:t xml:space="preserve">技术要求</w:t>
      </w:r>
      <w:r>
        <w:rPr>
          <w:highlight w:val="none"/>
        </w:rPr>
      </w:r>
      <w:r/>
    </w:p>
    <w:p>
      <w:pP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rPr>
        <w:t xml:space="preserve">1、AI卒中胸痛指挥调度中心系统</w:t>
      </w:r>
      <w:r>
        <w:rPr>
          <w:highlight w:val="none"/>
        </w:rPr>
      </w:r>
      <w:r/>
    </w:p>
    <w:p>
      <w:pPr>
        <w:keepLines w:val="0"/>
        <w:keepNext w:val="0"/>
        <w:pageBreakBefore w:val="0"/>
        <w:spacing w:line="360" w:lineRule="auto"/>
        <w:widowControl w:val="off"/>
        <w:rPr>
          <w:b/>
          <w:bCs/>
          <w:sz w:val="22"/>
          <w:szCs w:val="22"/>
          <w:highlight w:val="none"/>
        </w:rPr>
      </w:pPr>
      <w:r>
        <w:rPr>
          <w:rFonts w:hint="eastAsia" w:ascii="楷体" w:hAnsi="楷体" w:eastAsia="楷体" w:cs="楷体"/>
          <w:b/>
          <w:bCs/>
          <w:sz w:val="22"/>
          <w:szCs w:val="22"/>
          <w:highlight w:val="none"/>
        </w:rPr>
        <w:t xml:space="preserve">1.1 卒中胸痛急救智能体平台</w:t>
      </w:r>
      <w:r>
        <w:rPr>
          <w:highlight w:val="none"/>
        </w:rPr>
      </w:r>
      <w:r/>
    </w:p>
    <w:tbl>
      <w:tblPr>
        <w:tblStyle w:val="681"/>
        <w:tblW w:w="889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0"/>
        <w:gridCol w:w="1450"/>
        <w:gridCol w:w="1840"/>
        <w:gridCol w:w="444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一级模块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二级模块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三级模块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功能要求</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卒中胸痛专科数据治理平台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多源异构数据治理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多源异构数据统一适配器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1、支持医院 HIS/LIS/PACS 原有结构化数据库、半结构化（XML/JSON）及非结构化数据的实时接入与协议转换。</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灵活的数据源接入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1、支持对接主流医疗系统（如HIS、LIS、PACS、EMR等）。支持多种常见数据库类型和接入方式（如数据库直连、标准医疗协议、REST接口、文件导入等）。</w:t>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2、支持自定义适配器扩展，满足不同医院的个性化系统对接需求。</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数据协议转换与统一处理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1、支持将异构数据源的数据统一转换为系统内部的标准数据格式，支持灵活的字段映射配置，院方可根据实际情况自定义数据转换规则，支持常见的数据转换需求，如代码转换、单位转换、格式标准化等。</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数据同步与更新机制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1、支持多种数据同步模式（如全量同步、增量同步等），适应不同场景需求。</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2、支持数据变更的及时感知与处理，确保系统数据的相对实时性。内置异常处理与重试机制，提高数据同步的可靠性。</w:t>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数据质量与安全保障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1、支持基础的数据验证与质量检查，识别和隔离异常数据。</w:t>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2、支持数据去重与冲突处理，确保数据的一致性。</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3、支持数据传输加密和访问控制，保护患者隐私数据，显示完整的操作审计日志，便于事后追溯。</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监控与运维支持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1、支持数据接入状态的监控与告警能力。支持数据同步过程的可视化管理与配置。</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复杂文档结构化解析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医疗大模型推理引擎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bottom"/>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1、内置模型调度系统，支持对非结构化、半结构化病历进行识别，准确提取主诉、现病史、体征等关键变量。</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复杂文档结构化解析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1、针对纸质报告，通过OCR识别技术，实现半结构化表格与非结构化段落的高精度还原。</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数据采集与治理能力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bottom"/>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历史数据采集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1、系统支持对医院系统中卒中胸痛患者的历史就诊医嘱、病历文书、检验检查等数据的批量采集。</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数据清洗与对齐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1、系统支持对数据进行自动清洗、标准化和结构对齐，保障数据一致性和可用性。</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数据采集范围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1、患者基本信息、检验报告、检查报告、诊断信息、手术信息、医嘱信息、病历文书等。</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专科量表智能评估功能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双病种多维度量表支持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胸痛专科量表配置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▲1、系统需内置电子化 GRACE评分（ACS预后风险评估）、TIMI评分（UA/NSTEMI事件风险评估）或 CRUSADE评分（出血风险评估）工具组件。</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卒中专科量表配置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▲1、系统需内置电子化 LAMS评分（大血管闭塞预测评估）及 NIHSS评分（包含完整15项国家标准神经功能缺损体格检查项目）工具组件。</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数据联动与自动打分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跨模块数据反填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1、量表计算所需客观参数（如年龄、收缩压、心率、血清肌酐值等），系统需自动从院内接口中定向抓取，并精准映射填充至对应量表项，实现免人工录入。</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人工干预与痕迹保留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1、允许医生在前端界面对自动反填的参数进行手动覆盖修改。</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极速重算响应机制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▲1、当量表内任何参数发生变更（含接口推送变更或人工修改）时，系统底层计算引擎须立即完成全量表总分的重新计算，并实时更新前端UI总分展示区域。</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动态风险分级映射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规则映射引擎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▲1、系统需具备风险分级自动映射逻辑，严格基于量表最终得分阈值，自动输出对应的定性风险分级结论（如：低危、中危、高危）。</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高危颜色预警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▲1、系统需为不同风险等级配置独立的背景色标规范（如：低危强制为绿色系，中危为黄色系，高危为红色系）。</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智能分析与决策支持功能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心电/CT辅助判读联动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心电网络无缝对接（胸痛）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1、系统需支持对接院内心电网络，拉取12导联/18导联数字心电图文件及设备/AI自带的初步判读结论（如疑似STEMI）。</w:t>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核心生化指标动态监控（胸痛）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1、系统需自动抓取并展示高敏肌钙蛋白（cTnI/cTnT）、CK-MB、D-二聚体、凝血功能等关键指标。针对同一患者多批次的检验结果，系统需支持自动绘制时间趋势折线图。</w:t>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PACS联动与强提醒弹窗（卒中）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具备拉取第三方影像系统或影像AI针对头颅CT/CTA的分析结论。当接口返回状态命中“脑出血排查通过”或“发现大血管闭塞（LVO）”时，系统主界面必须立即触发最高层级的强制交互报警弹窗。该弹窗需覆盖核心视图，且必须强制操作人员点击“确认知晓”按钮后方可关闭消除。</w:t>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禁忌症红线拦截机制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NLP语义安全检索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智能分析引擎需针对系统中采集的现病史、既往史及用药史等长文本数据进行实体识别。系统必须具备精准检出“近3个月内大型手术”、“既往脑出血史”、“近期服用抗凝药（含常见商品名及通用名）”等禁忌症关键词及其否定语境的能力。</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强拦截触发与视图降级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1、若引擎命中上述任一溶栓或介入手术绝对禁忌规则，系统必须立即生成红色醒目的高亮预警。</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卒中胸痛智能双路径急救推荐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决策模型输出要求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▲1、系统需基于实时体征信息、风险得分及检查结论，自动运算并输出卒中胸痛急救路径的结构化推荐内容。</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胸痛路径推荐要素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▲1、推荐内容必须包含：双联抗血小板用药方案（明确提供阿司匹林、氯吡格雷、替格瑞洛的标准剂量选项供勾选）；以及直接PCI或静脉溶栓的优先顺序建议与模型推理依据。</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卒中路径推荐要素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▲1、推荐内容必须基于采集的发病时间窗及NIHSS量表参数，明确输出是否符合静脉溶栓（IVT）指征或机械取栓（EVT）指征的结论。</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医生决策优化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1、针对系统的每一次方案推荐，前端必须提供“采纳”或“忽略/拒绝”的操作控件。医生做出的任何决策，系统均需记录操作人ID、精准到秒的时间戳，写入后台日志数据库。</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1、结合采集的结构化体征、专科量表评分、辅助检查结论及医生采纳的治疗方案，系统需支持一键自动生成结构化的急诊病历草稿。</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2、生成的病历文本支持医生在线预览及手动二次编辑，并支持一键复制或通过接口一键回写至院内核心HIS/EMR系统中。</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1、系统应基于院内实时抓取的数据，提供数据看板功能，集中展示卒中、胸痛急救患者当前所处的救治节点，帮助医护人员直观掌握患者所处救治阶段及关键进展情况。</w:t>
            </w:r>
            <w:r>
              <w:rPr>
                <w:highlight w:val="none"/>
              </w:rPr>
            </w:r>
            <w:r/>
          </w:p>
        </w:tc>
      </w:tr>
    </w:tbl>
    <w:p>
      <w:pP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rPr>
        <w:t xml:space="preserve">1.2急救车急诊智能病历生成系统</w:t>
      </w:r>
      <w:r>
        <w:rPr>
          <w:highlight w:val="none"/>
        </w:rPr>
      </w:r>
      <w:r/>
    </w:p>
    <w:tbl>
      <w:tblPr>
        <w:tblStyle w:val="681"/>
        <w:tblW w:w="889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0"/>
        <w:gridCol w:w="1920"/>
        <w:gridCol w:w="5660"/>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功能要求</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（评分项）</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患者信息管理功能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患者信息管理功能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1、急救车移动端需准确显示患者检伤号，检伤号位数与生成逻辑需符合国家卫健委最新急诊分诊标准或院内自定义的检伤编码规则。急诊诊室端需展示患者姓名、性别、年龄、患者ID、就诊时间及就诊类型。</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字段配置能力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1、系统具备字段显示配置功能，可对患者ID与就诊时间进行独立配置，控制其开启或关闭显示，系统初始默认状态为显示。</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病情智能采集功能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智能语音录入与转写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▲1、系统具备语音唤醒功能，在医患对话场景下，可将录音实时准确转化为文本。支持语音补录入功能。</w:t>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2、支持单次不少于60分钟的连续不间断语音录入，底层模型字符处理窗口需不低于 40,000 字符上下文。系统可自动将多次录入内容进行逻辑融合；提供完整清晰的语音原音回放功能。系统需针对医学专业术语（含药品通用名、疾病标准名称等）进行定向模型优化。系统后台提供热词管理模块，支持院方管理员自主新增、修改、删除专科特征词、本地方言俗语及医生惯用简称。</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手动文本录入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1、支持医生进行细节与个性化描述的文字录入，字符录入及处理上限需不少于40,000个字符（以满足大语言模型32K及以上上下文窗口的数据承载需求）。手动录入与语音录入内容可实现相互融合与正常生成。</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历史病史总结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历史病史总结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自动调取患者近期就诊病历的能力，并基于历史病历内容自动形成病史总结。系统应结合历史病史总结及本次医患对话采集内容，按照临床诊断思维逻辑进行综合分析，自动生成内容连贯、结构完整的病历草稿。</w:t>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大模型智能急救病历生成功能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医患对话语义净除引擎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1、系统支持自动识别并剔除录音转写文本中的无效信息，包括家属情绪宣泄、非医疗闲聊、重复口语及环境调度杂音。 系统底层的 ASR 语音引擎需内置方言声学适配模型，支持识别带有地方口音的普通话，并将其转写为标准文本。仅提纯保留核心医学事实，确保提取内容无明显医学逻辑和语义错误，提升病历生成信噪比。</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急救车场景急诊病历内容自动生成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▲1、基于提取的有效病情特征，自动生成结构化急诊病历草稿。内容须包含主诉、现病史、既往史、过敏史等。</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2、系统支持自动开启录音开关配置（默认关闭），以及录入后自动生成急诊病历开关配置（可切换为手动点击生成病历，默认关闭）。</w:t>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高并发智能排队机制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当系统调用模型达到并发上限时，页面需展示排队状态、生成步骤位置、前方排队人数及动态更新的预估等待时间。预估等待时长计算逻辑为：上一次同类型文书生成时长乘以同类型文书等待人数，再除以并发数。等待时间不足一分钟时显示具体秒数；超过一分钟时按四舍五入仅显示整数部分（如90秒显示为2分钟）。</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急诊病历管理与操作功能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病历预览与编辑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1、急救车场景生成后的急诊病历回传回院内后，支持医生在线预览及手动二次编辑并保存。具备状态保持能力，切换病人或重新登录系统后，已生成的病历内容不丢失，可继续查看与操作。</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复制功能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1、支持将病历所有内容一键复制至系统剪贴板，一键复制需包含字段名称，以便粘贴至医院系统。同时支持单个字段内容的独立复制，单项复制仅包含对应内容，不含字段名。</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重新生成与重置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根据修改或新增的录入内容重新分析病情，并融合新内容生成新病历。支持一键重置功能，准确清除当前患者的所有录入内容及已生成病历。重置操作需保证患者数据隔离，切换病人时不影响其他患者生成的数据。</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生成记录追溯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1、系统记录同一患者、同一份文书最新一次的生成操作日志。无论生成成功或失败，均需准确追溯并记录原始入参和生成结果出参。</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系统集成与交互功能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系统回写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▲1、具备与院内系统的对接能力，支持将生成的急救病历草稿全量或按字段分项回写两种能力，并根据院内电子病历接口能力选择适配方式。</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2、支持按急诊科室模板对急诊病历草稿回写的策略配置。</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3、支持全程不打断医生原有诊疗流程，并兼容后端接口回写、前端页面回写及院方调用接口回写等多种模式。</w:t>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、支持患者身份与就诊记录的绑定校验，避免误写入错误患者或错误就诊记录。</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、系统应在回写前执行模板匹配、字段映射、文书状态、必填项、字段长度及格式合法性校验。</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、支持回写失败时可向界面返回具体错误状态码及明确异常原因提示（如接口超时、目标字段校验失败等），并支持手动一键重试机制，保障数据稳定可靠回写。</w:t>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用户反馈机制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前端提供生成内容评价模块，支持历史评分展示。评价包含四个维度：1至5星级打分、生成式病历对工作帮助的方面（多选题）、需要改善的内容（多选题）、自由文本输入反馈。以上四项至少完成一项即可提交。</w:t>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后台管理功能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模板引擎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提供急诊病历通用模板，支持导入加密码的自定义模板。支持按科室单选及模型进行个性化配置。支持急诊记录的解析与生成。支持模板的提交、重置、替换与删除操作。同科室、同文书类型仅存在一个生效模板，支持覆盖更新，删除后对应科室模板不再生效。</w:t>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运行监控与调试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通过姓名、所属科室、病历模板、来源、创建人、更新时间、病历内容关键词进行单条件或多条件组合查询已生成的病历，无结果时应明确提示“未查询到匹配记录”，并保留当前的检索查询条件以便二次修改，支持保存多个查询条件模板以便于后续直接调用。</w:t>
            </w:r>
            <w:r>
              <w:rPr>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内置调试功能，支持查看完整入参和返回值，并支持通过修改入参来调试返回值。</w:t>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反馈数据管理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66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1、支持后台根据文书类型、患者姓名、科室、主治医生、更新时间等多条件组合查询用户的评价反馈记录，并支持查看具体的反馈详情内容。</w:t>
            </w:r>
            <w:r>
              <w:rPr>
                <w:highlight w:val="none"/>
              </w:rPr>
            </w:r>
            <w:r/>
          </w:p>
        </w:tc>
      </w:tr>
    </w:tbl>
    <w:p>
      <w:pPr>
        <w:keepLines w:val="0"/>
        <w:keepNext w:val="0"/>
        <w:pageBreakBefore w:val="0"/>
        <w:spacing w:before="361"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2硬件配置</w:t>
      </w:r>
      <w:r>
        <w:rPr>
          <w:highlight w:val="none"/>
        </w:rPr>
      </w:r>
      <w:r/>
    </w:p>
    <w:p>
      <w:pP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2.1 智算模块</w:t>
      </w:r>
      <w:r>
        <w:rPr>
          <w:highlight w:val="none"/>
        </w:rPr>
      </w:r>
      <w:r/>
    </w:p>
    <w:tbl>
      <w:tblPr>
        <w:tblStyle w:val="681"/>
        <w:tblW w:w="9079" w:type="dxa"/>
        <w:tblInd w:w="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9"/>
        <w:gridCol w:w="1395"/>
        <w:gridCol w:w="6885"/>
      </w:tblGrid>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品牌形态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国产品牌4U 8卡GPU switch 机架服务器</w:t>
            </w:r>
            <w:r>
              <w:rPr>
                <w:highlight w:val="none"/>
              </w:rPr>
            </w:r>
            <w:r/>
          </w:p>
        </w:tc>
      </w:tr>
      <w:tr>
        <w:trPr>
          <w:trHeight w:val="43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处理器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w:t>
            </w:r>
            <w:r>
              <w:rPr>
                <w:rStyle w:val="1025"/>
                <w:color w:val="auto"/>
                <w:sz w:val="18"/>
                <w:szCs w:val="18"/>
                <w:highlight w:val="none"/>
                <w:lang w:val="en-US" w:eastAsia="zh-CN" w:bidi="ar"/>
              </w:rPr>
              <w:t xml:space="preserve">2颗处理器</w:t>
            </w:r>
            <w:r>
              <w:rPr>
                <w:rStyle w:val="1030"/>
                <w:sz w:val="18"/>
                <w:szCs w:val="18"/>
                <w:highlight w:val="none"/>
                <w:lang w:val="en-US" w:eastAsia="zh-CN" w:bidi="ar"/>
              </w:rPr>
              <w:t xml:space="preserve">，单处理器主频≥2.1GHz，每颗CPU物理核数≥32核</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配置≥384G内存，最高支持32个 DDR5 ECC  RDIMM内存槽位</w:t>
            </w:r>
            <w:r>
              <w:rPr>
                <w:highlight w:val="none"/>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系统盘配置≥2个960GB 企业级SATA SSD硬盘；数据盘配置≥4个3.84TB企业级SATA SSD硬盘</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GPU</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配置≥8块主流品牌AI训练推理加速卡，单卡显存≥48GB  FP32≥59 TFLOPS.</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配置≥1块双端口25GE光口网卡（含光模块）</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RAID支持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配置独立RAID控制器，缓存≥4GB，并配超级电容保护模块</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配置≥4个2000W高效冗余热插拔电源 支持冗余供电</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支持带外管理、远程KVM、远程电源控制、硬件监控等功能</w:t>
            </w:r>
            <w:r>
              <w:rPr>
                <w:highlight w:val="none"/>
              </w:rPr>
            </w:r>
            <w:r/>
          </w:p>
        </w:tc>
      </w:tr>
      <w:tr>
        <w:trPr>
          <w:trHeight w:val="381"/>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配置原厂导轨</w:t>
            </w:r>
            <w:r>
              <w:rPr>
                <w:highlight w:val="none"/>
              </w:rPr>
            </w:r>
            <w:r/>
          </w:p>
        </w:tc>
      </w:tr>
      <w:tr>
        <w:trPr>
          <w:trHeight w:val="404"/>
        </w:trPr>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95"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兼容性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5" w:type="dxa"/>
            <w:vAlign w:val="center"/>
            <w:textDirection w:val="lrTb"/>
            <w:noWrap/>
          </w:tcPr>
          <w:p>
            <w:pPr>
              <w:jc w:val="left"/>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需与</w:t>
            </w:r>
            <w:r>
              <w:rPr>
                <w:rFonts w:hint="eastAsia"/>
                <w:sz w:val="18"/>
                <w:szCs w:val="18"/>
                <w:highlight w:val="none"/>
                <w:lang w:val="en-US" w:eastAsia="zh-CN"/>
              </w:rPr>
              <w:t xml:space="preserve">AI卒中胸痛指挥调度中心系统适配</w:t>
            </w:r>
            <w:r>
              <w:rPr>
                <w:highlight w:val="none"/>
              </w:rPr>
            </w:r>
            <w:r/>
          </w:p>
        </w:tc>
      </w:tr>
    </w:tbl>
    <w:p>
      <w:pPr>
        <w:numPr>
          <w:ilvl w:val="0"/>
          <w:numId w:val="0"/>
        </w:numPr>
        <w:rPr>
          <w:rFonts w:hint="default"/>
          <w:highlight w:val="none"/>
        </w:rPr>
      </w:pPr>
      <w:r>
        <w:rPr>
          <w:rFonts w:hint="default"/>
          <w:highlight w:val="none"/>
          <w:lang w:val="en-US" w:eastAsia="zh-CN"/>
        </w:rPr>
      </w:r>
      <w:r>
        <w:rPr>
          <w:highlight w:val="none"/>
        </w:rPr>
      </w:r>
      <w:r/>
    </w:p>
    <w:p>
      <w:pPr>
        <w:keepLines w:val="0"/>
        <w:keepNext w:val="0"/>
        <w:pageBreakBefore w:val="0"/>
        <w:spacing w:line="360" w:lineRule="auto"/>
        <w:widowControl w:val="off"/>
        <w:tabs>
          <w:tab w:val="left" w:pos="0" w:leader="none"/>
        </w:tabs>
        <w:rPr>
          <w:rFonts w:hint="default"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2.2 数据可视化显示仪</w:t>
      </w:r>
      <w:r>
        <w:rPr>
          <w:highlight w:val="none"/>
        </w:rPr>
      </w:r>
      <w:r/>
    </w:p>
    <w:tbl>
      <w:tblPr>
        <w:tblStyle w:val="681"/>
        <w:tblW w:w="498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38"/>
        <w:gridCol w:w="1526"/>
        <w:gridCol w:w="6888"/>
      </w:tblGrid>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系统&amp;性能要求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操作系统为Android13或以上</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芯片要求：≥八核；主频≥2.2GHz，支持4K GUI显示</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RAM≥8GB，ROM≥64GB</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支持应用自定义安装，默认带电子白板、迎宾、签名墙、办公软件、播放软件</w:t>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液晶屏采用A规屏；显示比例16:9；分辨率≥3840*2160，可视角度≥178，刷新率≥60HZ，NTSC≥72%,色深≥10bit，亮度≥380cd/m²，响应时间≤8ms</w:t>
            </w:r>
            <w:r>
              <w:rPr>
                <w:highlight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屏幕触控要求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采用红外感应技术，在Android系统下均支持不少于40点触控，触摸精度≤±1mm，触摸高度≤1.5mm，最小识别直径≤3mm，触控响应速度≤5ms，支持防误触功能</w:t>
            </w:r>
            <w:r>
              <w:rPr>
                <w:highlight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采用零贴合技术，屏体支持≤3.2mm防眩光钢化玻璃，支持硬件防蓝光，透光率≥88%，表面硬度≥7H</w:t>
            </w:r>
            <w:r>
              <w:rPr>
                <w:highlight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摄像头要求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一体化4K摄像头，CMOS≥1/2英寸，支持AF功能；拍照像素≥4800万；光圈≥F1.8；活动视频≥800万，≥5x数字变倍，镜头水平视角≥80°、垂直视角≥50°，畸变≤2%；4K30模式下，标准距离（1.5m/3m/4.5m)测试，标准图卡铺满屏幕，其清晰度中心垂直和水平位置不小于1000线，四周垂直和水平不少于800线，且不存在某个角模糊、重影</w:t>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支持Auto-Framing功能，自动跟踪摄像机视角内的人形，无需人工干预;画面切换过程平滑顺畅且稳定，从人员移动停止到跟踪的延时不超过3s</w:t>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麦克风要求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支持声源定位功能，会场中自动跟踪最大发声人脸，无需人工干预;画面切换过程平滑顺畅且稳定，从人员移动停止到跟踪的延时不超过3s</w:t>
            </w:r>
            <w:r>
              <w:rPr>
                <w:highlight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内置MIC满足如下指标要求:支持内置≥8个麦克风，支持前向≥180°拾音，拾音距离≥12米；采样率：48KHZ；采样位16bit；声源定位精度≤5度，跟踪定位后可进行不小于3倍的画面放大</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拾音距离要求：6米之内，人声到麦克风的声压约65分贝</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喇叭要求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内置2.0及以上声道组合音响，喇叭模组最大功率不小于30W</w:t>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86寸最大功耗（不带OPS ）：&lt;550W</w:t>
            </w:r>
            <w:r>
              <w:rPr>
                <w:highlight w:val="none"/>
              </w:rPr>
            </w:r>
            <w:r/>
          </w:p>
        </w:tc>
      </w:tr>
      <w:tr>
        <w:trPr>
          <w:trHeight w:val="1954"/>
        </w:trPr>
        <w:tc>
          <w:tcPr>
            <w:shd w:val="clear" w:color="auto" w:fill="auto"/>
            <w:tcBorders>
              <w:top w:val="single" w:color="000000" w:sz="4" w:space="0"/>
              <w:left w:val="single" w:color="000000" w:sz="4" w:space="0"/>
              <w:bottom w:val="single" w:color="000000" w:sz="4" w:space="0"/>
              <w:right w:val="single" w:color="000000" w:sz="4" w:space="0"/>
            </w:tcBorders>
            <w:tcW w:w="501"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68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音频输入≥3.5mm*1；视频输入 ≥HDMI IN 2.0 *1，支持4K视频源采集及编码,HDMI IN投屏时支持音视频投屏；HDMI IN 音频输入和3.5mm L</w:t>
            </w:r>
            <w:r>
              <w:rPr>
                <w:rFonts w:hint="eastAsia" w:ascii="宋体" w:hAnsi="宋体" w:eastAsia="宋体" w:cs="宋体"/>
                <w:i w:val="0"/>
                <w:iCs w:val="0"/>
                <w:color w:val="000000"/>
                <w:sz w:val="18"/>
                <w:szCs w:val="18"/>
                <w:highlight w:val="none"/>
                <w:u w:val="none"/>
                <w:lang w:val="en-US" w:eastAsia="zh-CN" w:bidi="ar"/>
              </w:rPr>
              <w:t xml:space="preserve">ine In可以同时拾音；音频输出 ≥3.5mm*1；≥HDMI OUT 2.0 *1，支持4K图像输出；≥USB 2.0 Type-A接口*1；≥USB 3.0 Type-A接口*1；≥USB Type-C接口*2，其中1个需前置，支持快充功率≥65 W；≥RS232*1；≥RJ45*1，10M/100M/1000M全双工和半双工接口，支持802.11  a/b/g/n/ac/ax协议；≥TOUCH接口*1；电源键与指示灯*1，支持电源键一键休眠/唤醒，支持软关机后按电源键开机，指示灯能指示终端的运行情况</w:t>
            </w:r>
            <w:r>
              <w:rPr>
                <w:highlight w:val="none"/>
              </w:rPr>
            </w:r>
            <w:r/>
          </w:p>
        </w:tc>
      </w:tr>
    </w:tbl>
    <w:p>
      <w:pPr>
        <w:numPr>
          <w:ilvl w:val="0"/>
          <w:numId w:val="0"/>
        </w:numPr>
        <w:rPr>
          <w:rFonts w:hint="default"/>
          <w:highlight w:val="none"/>
        </w:rPr>
      </w:pPr>
      <w:r>
        <w:rPr>
          <w:rFonts w:hint="default"/>
          <w:highlight w:val="none"/>
          <w:lang w:val="en-US" w:eastAsia="zh-CN"/>
        </w:rPr>
      </w:r>
      <w:r>
        <w:rPr>
          <w:highlight w:val="none"/>
        </w:rPr>
      </w:r>
      <w:r/>
    </w:p>
    <w:p>
      <w:pP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2.3 急救车载PAD</w:t>
      </w:r>
      <w:r>
        <w:rPr>
          <w:highlight w:val="none"/>
        </w:rPr>
      </w:r>
      <w:r/>
    </w:p>
    <w:tbl>
      <w:tblPr>
        <w:tblStyle w:val="681"/>
        <w:tblW w:w="91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1337"/>
        <w:gridCol w:w="7037"/>
      </w:tblGrid>
      <w:tr>
        <w:trPr>
          <w:trHeight w:val="607"/>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right w:val="single" w:color="000000" w:sz="4" w:space="0"/>
            </w:tcBorders>
            <w:tcW w:w="13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网络制式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支持国内主流运营商5G全网通，向下兼容4G</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left w:val="single" w:color="000000" w:sz="4" w:space="0"/>
              <w:bottom w:val="single" w:color="000000" w:sz="4" w:space="0"/>
              <w:right w:val="single" w:color="000000" w:sz="4" w:space="0"/>
            </w:tcBorders>
            <w:tcW w:w="133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支持Wi-Fi6，蓝牙≥5.0</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处理器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配置≥八核处理器，最高主频≥2.5GHz</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操作系统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基于Android 13及以上版本操作系统</w:t>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内存与存储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配置RAM≥8GB，ROM≥256GB</w:t>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屏幕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配置分辨率≥2112*1320，刷新率≥90Hz</w:t>
            </w:r>
            <w:r>
              <w:rPr>
                <w:highlight w:val="none"/>
              </w:rPr>
            </w:r>
            <w:r/>
          </w:p>
        </w:tc>
      </w:tr>
      <w:tr>
        <w:trPr>
          <w:trHeight w:val="541"/>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right w:val="single" w:color="000000" w:sz="4" w:space="0"/>
            </w:tcBorders>
            <w:tcW w:w="13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摄像头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配置后置≥1000万像素</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left w:val="single" w:color="000000" w:sz="4" w:space="0"/>
              <w:bottom w:val="single" w:color="000000" w:sz="4" w:space="0"/>
              <w:right w:val="single" w:color="000000" w:sz="4" w:space="0"/>
            </w:tcBorders>
            <w:tcW w:w="133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配置前置≥600万像素</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音频系统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配置麦克风≥2个，扬声器≥4个</w:t>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电池与充电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配置电池额定容量≥7000mAh</w:t>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接口与卡槽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配置USB Type-C 3.1 或以上</w:t>
            </w:r>
            <w:r>
              <w:rPr>
                <w:highlight w:val="none"/>
              </w:rPr>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兼容性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37"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与AI卒中胸痛指挥调度中心系统适配</w:t>
            </w:r>
            <w:r>
              <w:rPr>
                <w:highlight w:val="none"/>
              </w:rPr>
            </w:r>
            <w:r/>
          </w:p>
        </w:tc>
      </w:tr>
    </w:tbl>
    <w:p>
      <w:pPr>
        <w:pStyle w:val="11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highlight w:val="none"/>
        </w:rPr>
      </w:r>
      <w:r/>
    </w:p>
    <w:p>
      <w:pPr>
        <w:pStyle w:val="1113"/>
        <w:ind w:firstLine="4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上表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rPr>
          <w:highlight w:val="none"/>
        </w:rPr>
      </w:r>
      <w:r/>
    </w:p>
    <w:p>
      <w:pPr>
        <w:pStyle w:val="1113"/>
        <w:ind w:firstLine="44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.技术支撑材料若为外文的，需提供中文译文，并以中文译文为准。</w:t>
      </w:r>
      <w:r>
        <w:rPr>
          <w:highlight w:val="none"/>
        </w:rPr>
      </w:r>
      <w:r/>
    </w:p>
    <w:p>
      <w:pPr>
        <w:pStyle w:val="728"/>
        <w:ind w:firstLine="442"/>
        <w:keepLines w:val="0"/>
        <w:keepNext w:val="0"/>
        <w:pageBreakBefore w:val="0"/>
        <w:spacing w:line="360" w:lineRule="auto"/>
        <w:widowControl w:val="off"/>
        <w:rPr>
          <w:rFonts w:ascii="黑体" w:hAnsi="黑体" w:eastAsia="黑体"/>
          <w:b/>
          <w:bCs/>
          <w:color w:val="auto"/>
          <w:sz w:val="24"/>
          <w:szCs w:val="24"/>
          <w:highlight w:val="none"/>
        </w:rPr>
      </w:pPr>
      <w:r>
        <w:rPr>
          <w:rFonts w:hint="eastAsia" w:ascii="黑体" w:hAnsi="黑体" w:eastAsia="黑体"/>
          <w:b/>
          <w:bCs/>
          <w:color w:val="auto"/>
          <w:sz w:val="24"/>
          <w:szCs w:val="24"/>
          <w:highlight w:val="none"/>
          <w:lang w:val="en-US" w:eastAsia="zh-CN"/>
        </w:rPr>
        <w:t xml:space="preserve">五</w:t>
      </w:r>
      <w:r>
        <w:rPr>
          <w:rFonts w:hint="eastAsia" w:ascii="黑体" w:hAnsi="黑体" w:eastAsia="黑体"/>
          <w:b/>
          <w:bCs/>
          <w:color w:val="auto"/>
          <w:sz w:val="24"/>
          <w:szCs w:val="24"/>
          <w:highlight w:val="none"/>
        </w:rPr>
        <w:t xml:space="preserve">、付款方式</w:t>
      </w:r>
      <w:r>
        <w:rPr>
          <w:highlight w:val="none"/>
        </w:rPr>
      </w:r>
      <w:r/>
    </w:p>
    <w:p>
      <w:pPr>
        <w:ind w:firstLine="440"/>
        <w:keepLines w:val="0"/>
        <w:keepNext w:val="0"/>
        <w:pageBreakBefore w:val="0"/>
        <w:spacing w:line="360" w:lineRule="auto"/>
        <w:widowControl w:val="off"/>
        <w:rPr>
          <w:rFonts w:ascii="华文中宋" w:hAnsi="华文中宋" w:eastAsia="华文中宋" w:cs="华文中宋"/>
          <w:color w:val="auto"/>
          <w:sz w:val="24"/>
          <w:szCs w:val="24"/>
          <w:highlight w:val="none"/>
          <w:u w:val="single"/>
        </w:rPr>
      </w:pPr>
      <w:r>
        <w:rPr>
          <w:rFonts w:hint="eastAsia" w:ascii="华文中宋" w:hAnsi="华文中宋" w:eastAsia="华文中宋" w:cs="华文中宋"/>
          <w:color w:val="auto"/>
          <w:sz w:val="24"/>
          <w:szCs w:val="24"/>
          <w:highlight w:val="none"/>
          <w:u w:val="single"/>
        </w:rPr>
        <w:t xml:space="preserve">1.</w:t>
      </w:r>
      <w:r>
        <w:rPr>
          <w:rFonts w:hint="eastAsia" w:ascii="华文中宋" w:hAnsi="华文中宋" w:eastAsia="华文中宋" w:cs="华文中宋"/>
          <w:color w:val="auto"/>
          <w:sz w:val="24"/>
          <w:szCs w:val="24"/>
          <w:highlight w:val="none"/>
          <w:u w:val="single"/>
          <w:lang w:eastAsia="zh-CN"/>
        </w:rPr>
        <w:t xml:space="preserve">合同签订生效后7日内，支付合同价款40%的预付款</w:t>
      </w:r>
      <w:r>
        <w:rPr>
          <w:rFonts w:hint="eastAsia" w:ascii="华文中宋" w:hAnsi="华文中宋" w:eastAsia="华文中宋" w:cs="华文中宋"/>
          <w:color w:val="auto"/>
          <w:sz w:val="24"/>
          <w:szCs w:val="24"/>
          <w:highlight w:val="none"/>
          <w:u w:val="single"/>
        </w:rPr>
        <w:t xml:space="preserve">；</w:t>
      </w:r>
      <w:r>
        <w:rPr>
          <w:highlight w:val="none"/>
        </w:rPr>
      </w:r>
      <w:r/>
    </w:p>
    <w:p>
      <w:pPr>
        <w:ind w:firstLine="440"/>
        <w:keepLines w:val="0"/>
        <w:keepNext w:val="0"/>
        <w:pageBreakBefore w:val="0"/>
        <w:spacing w:line="360" w:lineRule="auto"/>
        <w:widowControl w:val="off"/>
        <w:rPr>
          <w:rFonts w:ascii="华文中宋" w:hAnsi="华文中宋" w:eastAsia="华文中宋" w:cs="华文中宋"/>
          <w:color w:val="auto"/>
          <w:sz w:val="24"/>
          <w:szCs w:val="24"/>
          <w:highlight w:val="none"/>
          <w:u w:val="single"/>
        </w:rPr>
      </w:pPr>
      <w:r>
        <w:rPr>
          <w:rFonts w:hint="eastAsia" w:ascii="华文中宋" w:hAnsi="华文中宋" w:eastAsia="华文中宋" w:cs="华文中宋"/>
          <w:color w:val="auto"/>
          <w:sz w:val="24"/>
          <w:szCs w:val="24"/>
          <w:highlight w:val="none"/>
          <w:u w:val="single"/>
        </w:rPr>
        <w:t xml:space="preserve">2.设备安装、调试、验收合格后，凭验收合格报告和发票支付至合同价款的90%；</w:t>
      </w:r>
      <w:r>
        <w:rPr>
          <w:highlight w:val="none"/>
        </w:rPr>
      </w:r>
      <w:r/>
    </w:p>
    <w:p>
      <w:pPr>
        <w:ind w:firstLine="440"/>
        <w:keepLines w:val="0"/>
        <w:keepNext w:val="0"/>
        <w:pageBreakBefore w:val="0"/>
        <w:spacing w:line="360" w:lineRule="auto"/>
        <w:widowControl w:val="off"/>
        <w:rPr>
          <w:rFonts w:ascii="华文中宋" w:hAnsi="华文中宋" w:eastAsia="华文中宋" w:cs="华文中宋"/>
          <w:color w:val="auto"/>
          <w:sz w:val="24"/>
          <w:szCs w:val="24"/>
          <w:highlight w:val="none"/>
          <w:u w:val="single"/>
        </w:rPr>
      </w:pPr>
      <w:r>
        <w:rPr>
          <w:rFonts w:hint="eastAsia" w:ascii="华文中宋" w:hAnsi="华文中宋" w:eastAsia="华文中宋" w:cs="华文中宋"/>
          <w:color w:val="auto"/>
          <w:sz w:val="24"/>
          <w:szCs w:val="24"/>
          <w:highlight w:val="none"/>
          <w:u w:val="single"/>
        </w:rPr>
        <w:t xml:space="preserve">3.验收合格满一年后付清余款。</w:t>
      </w:r>
      <w:r>
        <w:rPr>
          <w:highlight w:val="none"/>
        </w:rPr>
      </w:r>
      <w:r/>
    </w:p>
    <w:p>
      <w:pPr>
        <w:pStyle w:val="728"/>
        <w:ind w:firstLine="442"/>
        <w:keepLines w:val="0"/>
        <w:keepNext w:val="0"/>
        <w:pageBreakBefore w:val="0"/>
        <w:spacing w:line="360" w:lineRule="auto"/>
        <w:widowControl w:val="off"/>
        <w:rPr>
          <w:rFonts w:ascii="黑体" w:hAnsi="黑体" w:eastAsia="黑体" w:cs="宋体"/>
          <w:b/>
          <w:bCs/>
          <w:color w:val="auto"/>
          <w:sz w:val="24"/>
          <w:szCs w:val="24"/>
          <w:highlight w:val="none"/>
        </w:rPr>
      </w:pPr>
      <w:r>
        <w:rPr>
          <w:rFonts w:hint="eastAsia" w:ascii="黑体" w:hAnsi="黑体" w:eastAsia="黑体"/>
          <w:b/>
          <w:bCs/>
          <w:color w:val="auto"/>
          <w:sz w:val="24"/>
          <w:szCs w:val="24"/>
          <w:highlight w:val="none"/>
          <w:lang w:val="en-US" w:eastAsia="zh-CN"/>
        </w:rPr>
        <w:t xml:space="preserve">六</w:t>
      </w:r>
      <w:r>
        <w:rPr>
          <w:rFonts w:hint="eastAsia" w:ascii="黑体" w:hAnsi="黑体" w:eastAsia="黑体"/>
          <w:b/>
          <w:bCs/>
          <w:color w:val="auto"/>
          <w:sz w:val="24"/>
          <w:szCs w:val="24"/>
          <w:highlight w:val="none"/>
        </w:rPr>
        <w:t xml:space="preserve">、交货期及交货地点</w:t>
      </w:r>
      <w:r>
        <w:rPr>
          <w:highlight w:val="none"/>
        </w:rPr>
      </w:r>
      <w:r/>
    </w:p>
    <w:p>
      <w:pPr>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1.交货期：</w:t>
      </w:r>
      <w:r>
        <w:rPr>
          <w:rFonts w:hint="eastAsia" w:asciiTheme="minorEastAsia" w:hAnsiTheme="minorEastAsia" w:eastAsiaTheme="minorEastAsia" w:cstheme="minorEastAsia"/>
          <w:color w:val="auto"/>
          <w:sz w:val="24"/>
          <w:szCs w:val="24"/>
          <w:highlight w:val="none"/>
          <w:u w:val="single"/>
          <w:lang w:val="en-US" w:eastAsia="zh-CN"/>
        </w:rPr>
        <w:t xml:space="preserve">120日历天</w:t>
      </w:r>
      <w:r>
        <w:rPr>
          <w:rFonts w:hint="eastAsia" w:asciiTheme="minorEastAsia" w:hAnsiTheme="minorEastAsia" w:eastAsiaTheme="minorEastAsia" w:cstheme="minorEastAsia"/>
          <w:color w:val="auto"/>
          <w:sz w:val="24"/>
          <w:szCs w:val="24"/>
          <w:highlight w:val="none"/>
        </w:rPr>
        <w:t xml:space="preserve">。 </w:t>
      </w:r>
      <w:r>
        <w:rPr>
          <w:highlight w:val="none"/>
        </w:rPr>
      </w:r>
      <w:r/>
    </w:p>
    <w:p>
      <w:pPr>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2.交货地点：靖江市人民医院指定地点，由供应商负责办理运输和装卸等，费用由供应商负责，由采购人组织验收，检验不合格或不符合质量要求，供应商除无条件退货、返工外，还应承担采购人的一切损失。 </w:t>
      </w:r>
      <w:r>
        <w:rPr>
          <w:highlight w:val="none"/>
        </w:rPr>
      </w:r>
      <w:r/>
    </w:p>
    <w:p>
      <w:pPr>
        <w:pStyle w:val="1113"/>
        <w:ind w:firstLine="442"/>
        <w:keepLines w:val="0"/>
        <w:keepNext w:val="0"/>
        <w:pageBreakBefore w:val="0"/>
        <w:spacing w:line="360" w:lineRule="auto"/>
        <w:widowControl w:val="off"/>
        <w:rPr>
          <w:rFonts w:hint="eastAsia" w:ascii="黑体" w:hAnsi="黑体" w:eastAsia="黑体" w:cs="宋体"/>
          <w:b/>
          <w:color w:val="auto"/>
          <w:sz w:val="24"/>
          <w:szCs w:val="24"/>
          <w:highlight w:val="none"/>
        </w:rPr>
      </w:pPr>
      <w:r>
        <w:rPr>
          <w:rFonts w:hint="eastAsia" w:ascii="黑体" w:hAnsi="黑体" w:eastAsia="黑体" w:cs="宋体"/>
          <w:color w:val="auto"/>
          <w:sz w:val="24"/>
          <w:szCs w:val="24"/>
          <w:highlight w:val="none"/>
          <w:lang w:val="en-US" w:eastAsia="zh-CN"/>
        </w:rPr>
        <w:t xml:space="preserve">七</w:t>
      </w:r>
      <w:r>
        <w:rPr>
          <w:rFonts w:hint="eastAsia" w:ascii="黑体" w:hAnsi="黑体" w:eastAsia="黑体" w:cs="宋体"/>
          <w:color w:val="auto"/>
          <w:sz w:val="24"/>
          <w:szCs w:val="24"/>
          <w:highlight w:val="none"/>
        </w:rPr>
        <w:t xml:space="preserve">、</w:t>
      </w:r>
      <w:r>
        <w:rPr>
          <w:rFonts w:hint="eastAsia" w:ascii="黑体" w:hAnsi="黑体" w:eastAsia="黑体" w:cs="宋体"/>
          <w:b/>
          <w:color w:val="auto"/>
          <w:sz w:val="24"/>
          <w:szCs w:val="24"/>
          <w:highlight w:val="none"/>
          <w:lang w:val="en-US" w:eastAsia="zh-CN" w:bidi="ar-SA"/>
        </w:rPr>
        <w:t xml:space="preserve">其他要求</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1</w:t>
      </w:r>
      <w:r>
        <w:rPr>
          <w:rFonts w:hint="eastAsia" w:asciiTheme="minorEastAsia" w:hAnsiTheme="minorEastAsia" w:eastAsiaTheme="minorEastAsia" w:cstheme="minorEastAsia"/>
          <w:b/>
          <w:bCs/>
          <w:color w:val="auto"/>
          <w:sz w:val="24"/>
          <w:szCs w:val="24"/>
          <w:highlight w:val="none"/>
          <w:lang w:eastAsia="zh-CN"/>
        </w:rPr>
        <w:t xml:space="preserve">.</w:t>
      </w:r>
      <w:r>
        <w:rPr>
          <w:rFonts w:hint="eastAsia" w:asciiTheme="minorEastAsia" w:hAnsiTheme="minorEastAsia" w:eastAsiaTheme="minorEastAsia" w:cstheme="minorEastAsia"/>
          <w:b/>
          <w:bCs/>
          <w:color w:val="auto"/>
          <w:sz w:val="24"/>
          <w:szCs w:val="24"/>
          <w:highlight w:val="none"/>
        </w:rPr>
        <w:t xml:space="preserve">总体要求</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1.1中标人应本着认真负责态度，组织技术队伍，认真做好项目的实施工作。提供具体实施、服务、维护以及今后技术支持的措施计划和承诺。</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1.2中标人需详细的系统实施计划，包括安装部署、测试、试运行、培训及上线等。承诺保证在合同规定时间内上线及上线后系统平稳运行。</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1.3中标人应在项目验收时将项目的全部有关技术文件、资料及安装、测试、验收报告等文档汇集成册交付用户方。</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1.4中标人应具备快速响应能力，确保服务的及时性与连续性。</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1.5中标人和项目主要成员需充分了解医院信息系统的特点、组网结构、安全保障需求以及其它要求。</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中标人需制定科学、完善的系统应急演练计划及预案，并定期组织实战化演练。演练应覆盖各类常见故障及安全事件场景，确保预案的可行性和有效性。演练结束后，投标人需提供详细的应急演练分析报告，针对演练过程中发现的问题，及时优化应急预案，并协助采购方完成预案的修订与更新工作。</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2、供货要求</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2.1投标人提供的产品需是市场主流设备，采购人不接受厂商已停产或即将停产的设备。</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2.2投标人提供的产品，应保证包装完好、数量与供货清单相符。</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投标人需将其供货设备运送到采购人指定现场，并提供完整清晰的供货清单，由双方及监理方等进行开箱点货验收。点货验收合格后，共同签字确认，此时货物的保管权移交给采购人，采购人在保管期内只对货物的数量和外观原状负责，货物损坏、灭失的风险仍由投标人承担，直至货物完成安装、调试并通过最终的质量验收。</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2.4投标人提供的产品若具有固有的设计缺陷，投标人应承担对该设备的修复和更换责任，不以质保期为期限。</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2.5投标人按照本次采购的设备指标要求，提供原厂商免费设备保修和现场售后维护服务。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3、安装调试</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3.1投标人应承担所供产品的安装、调试和配置工作，同时应提供完整的安装调试文档及系统配置文件。</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3.2投标人应全力与医院及其他相关产品供应商配合，保证系统按时、正常地投入运行。</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3.3投标人需保证所配置的软件产品有合法的使用权。</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4、维护、售后服务和培训</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4.1保修(维保)期</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4.1.1硬件产品保修(维保):自采购人、中标人和工程监理三方的验收并签发验收材料之日起，投标人必须为本项目所采购的智算模块提供至少3年原厂售后维保服务，数据可视化显示仪、急救车载PAD提供至少1年原厂售后维保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4.1.2软件产品保修(维保):自项目验收之日起计算，投标人必须为本项目所采购的定制软件产品提供至少1年原厂售后保修(维保)服务。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4.2售后服务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4.2.1本项目需要投标人提供软件技术服务，具备售后服务机构，处理所有售后服务事宜，同时提供7*24小时本地语言(中文)支持。</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4.2.2主要设备(包含但不限于网络设备、服务器和存储设备)的原厂商应在国内设有备件仓库，在设备维保期内，出现硬件损坏时，备品、备件等应在招标要求规定时间范围之内到达并修复，并需要提供确保承诺实现的措施。备品、备件费用己包含在投标总价内。</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4.2.3投标人负责所供软件及配套产品的售后服务，包括提供所供产品技术咨询、技术培训、到货验收、安装调试以及负责所供产品的保修(维保)及其它售后技术服务。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4.2.4投标人应提供中文电话免费咨询服务。</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4.2.5以上所有服务的相关费用均需计入投标总价。</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4.3培训</w:t>
      </w:r>
      <w:r>
        <w:rPr>
          <w:highlight w:val="none"/>
        </w:rPr>
      </w:r>
      <w:r/>
    </w:p>
    <w:p>
      <w:pPr>
        <w:ind w:firstLine="44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4.3.1投标人应负责使用人员的培训及考核，并在项目实施后继续按照用户要求定期培训和考核。培训对象包括用户方的系统管理员、日常维护人员、技术层面人员(包括系统开发、程序版本控制、数据库维护)，以及用户方的系统使用人员。</w:t>
      </w:r>
      <w:r>
        <w:rPr>
          <w:highlight w:val="none"/>
        </w:rPr>
      </w:r>
      <w:r/>
    </w:p>
    <w:p>
      <w:pPr>
        <w:ind w:firstLine="440"/>
        <w:keepLines w:val="0"/>
        <w:keepNext w:val="0"/>
        <w:pageBreakBefore w:val="0"/>
        <w:spacing w:line="360" w:lineRule="auto"/>
        <w:widowControl w:val="off"/>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4.3.2培训费用包含于投标总价中，采购人无需另行支付任何费用，包括但不限于培训人员的差旅费、食宿费等。</w:t>
      </w:r>
      <w:r>
        <w:rPr>
          <w:highlight w:val="none"/>
        </w:rPr>
      </w:r>
      <w:r/>
    </w:p>
    <w:p>
      <w:pPr>
        <w:ind w:firstLine="440"/>
        <w:jc w:val="left"/>
        <w:spacing w:line="440" w:lineRule="exact"/>
        <w:rPr>
          <w:rFonts w:ascii="宋体" w:hAnsi="宋体" w:cs="宋体"/>
          <w:color w:val="auto"/>
          <w:sz w:val="22"/>
          <w:highlight w:val="none"/>
        </w:rPr>
      </w:pPr>
      <w:r>
        <w:rPr>
          <w:rFonts w:ascii="宋体" w:hAnsi="宋体" w:cs="宋体"/>
          <w:color w:val="auto"/>
          <w:sz w:val="22"/>
          <w:highlight w:val="none"/>
        </w:rPr>
      </w:r>
      <w:r>
        <w:rPr>
          <w:highlight w:val="none"/>
        </w:rPr>
      </w:r>
      <w:r/>
    </w:p>
    <w:p>
      <w:pPr>
        <w:ind w:firstLine="440"/>
        <w:jc w:val="left"/>
        <w:spacing w:line="440" w:lineRule="exact"/>
        <w:rPr>
          <w:rFonts w:ascii="宋体" w:hAnsi="宋体" w:cs="宋体"/>
          <w:color w:val="auto"/>
          <w:sz w:val="22"/>
          <w:highlight w:val="none"/>
        </w:rPr>
      </w:pPr>
      <w:r>
        <w:rPr>
          <w:rFonts w:ascii="宋体" w:hAnsi="宋体" w:cs="宋体"/>
          <w:color w:val="auto"/>
          <w:sz w:val="22"/>
          <w:highlight w:val="none"/>
        </w:rPr>
      </w:r>
      <w:r>
        <w:rPr>
          <w:highlight w:val="none"/>
        </w:rPr>
      </w:r>
      <w:r/>
    </w:p>
    <w:p>
      <w:pPr>
        <w:pStyle w:val="936"/>
        <w:jc w:val="center"/>
        <w:spacing w:before="0" w:after="20" w:line="240" w:lineRule="auto"/>
        <w:rPr>
          <w:rFonts w:ascii="微软雅黑" w:hAnsi="微软雅黑" w:eastAsia="微软雅黑" w:cs="微软雅黑"/>
          <w:b w:val="0"/>
          <w:bCs w:val="0"/>
          <w:color w:val="auto"/>
          <w:sz w:val="36"/>
          <w:szCs w:val="36"/>
          <w:highlight w:val="none"/>
        </w:rPr>
      </w:pPr>
      <w:r>
        <w:rPr>
          <w:highlight w:val="none"/>
        </w:rPr>
      </w:r>
      <w:bookmarkStart w:id="142" w:name="_Toc152268448"/>
      <w:r>
        <w:rPr>
          <w:rFonts w:hint="eastAsia" w:ascii="微软雅黑" w:hAnsi="微软雅黑" w:eastAsia="微软雅黑" w:cs="微软雅黑"/>
          <w:b w:val="0"/>
          <w:bCs w:val="0"/>
          <w:color w:val="auto"/>
          <w:sz w:val="36"/>
          <w:szCs w:val="36"/>
          <w:highlight w:val="none"/>
        </w:rPr>
        <w:t xml:space="preserve">第七章 电子投标文件格式</w:t>
      </w:r>
      <w:bookmarkEnd w:id="142"/>
      <w:r>
        <w:rPr>
          <w:highlight w:val="none"/>
        </w:rPr>
      </w:r>
      <w:r/>
    </w:p>
    <w:p>
      <w:pPr>
        <w:rPr>
          <w:color w:val="auto"/>
          <w:highlight w:val="none"/>
        </w:rPr>
      </w:pPr>
      <w:r>
        <w:rPr>
          <w:color w:val="auto"/>
          <w:highlight w:val="none"/>
        </w:rPr>
      </w:r>
      <w:r>
        <w:rPr>
          <w:highlight w:val="none"/>
        </w:rPr>
      </w:r>
      <w:r/>
    </w:p>
    <w:p>
      <w:pPr>
        <w:rPr>
          <w:rStyle w:val="939"/>
          <w:rFonts w:hint="eastAsia" w:ascii="黑体" w:hAnsi="黑体"/>
          <w:b w:val="0"/>
          <w:bCs w:val="0"/>
          <w:color w:val="auto"/>
          <w:highlight w:val="none"/>
        </w:rPr>
      </w:pPr>
      <w:r>
        <w:rPr>
          <w:highlight w:val="none"/>
        </w:rPr>
      </w:r>
      <w:bookmarkStart w:id="143" w:name="_Toc3586"/>
      <w:r>
        <w:rPr>
          <w:rStyle w:val="939"/>
          <w:rFonts w:hint="eastAsia" w:ascii="黑体" w:hAnsi="黑体"/>
          <w:b w:val="0"/>
          <w:color w:val="auto"/>
          <w:highlight w:val="none"/>
        </w:rPr>
        <w:t xml:space="preserve">封面</w:t>
      </w:r>
      <w:r>
        <w:rPr>
          <w:highlight w:val="none"/>
        </w:rPr>
      </w:r>
      <w:r/>
    </w:p>
    <w:p>
      <w:pPr>
        <w:rPr>
          <w:color w:val="auto"/>
          <w:highlight w:val="none"/>
        </w:rPr>
      </w:pPr>
      <w:r>
        <w:rPr>
          <w:color w:val="auto"/>
          <w:highlight w:val="none"/>
        </w:rPr>
      </w:r>
      <w:r>
        <w:rPr>
          <w:highlight w:val="none"/>
        </w:rPr>
      </w:r>
      <w:r/>
    </w:p>
    <w:p>
      <w:pPr>
        <w:jc w:val="center"/>
        <w:rPr>
          <w:rFonts w:hint="eastAsia" w:eastAsia="宋体"/>
          <w:color w:val="auto"/>
          <w:sz w:val="40"/>
          <w:szCs w:val="44"/>
          <w:highlight w:val="none"/>
        </w:rPr>
      </w:pPr>
      <w:r>
        <w:rPr>
          <w:rFonts w:hint="eastAsia"/>
          <w:color w:val="auto"/>
          <w:sz w:val="32"/>
          <w:szCs w:val="36"/>
          <w:highlight w:val="none"/>
          <w:lang w:eastAsia="zh-CN"/>
        </w:rPr>
        <w:t xml:space="preserve">靖江市人民医院基于AI的卒中（胸痛）一体化救治和调度平台</w:t>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rFonts w:hint="eastAsia"/>
          <w:b/>
          <w:bCs/>
          <w:color w:val="auto"/>
          <w:sz w:val="56"/>
          <w:szCs w:val="72"/>
          <w:highlight w:val="none"/>
        </w:rPr>
        <w:t xml:space="preserve">投 标 文 件</w:t>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40"/>
          <w:szCs w:val="44"/>
          <w:highlight w:val="none"/>
        </w:rPr>
      </w:pPr>
      <w:r>
        <w:rPr>
          <w:color w:val="auto"/>
          <w:sz w:val="40"/>
          <w:szCs w:val="44"/>
          <w:highlight w:val="none"/>
        </w:rPr>
      </w:r>
      <w:r>
        <w:rPr>
          <w:highlight w:val="none"/>
        </w:rPr>
      </w:r>
      <w:r/>
    </w:p>
    <w:p>
      <w:pPr>
        <w:jc w:val="center"/>
        <w:rPr>
          <w:color w:val="auto"/>
          <w:sz w:val="28"/>
          <w:szCs w:val="32"/>
          <w:highlight w:val="none"/>
        </w:rPr>
      </w:pPr>
      <w:r>
        <w:rPr>
          <w:rFonts w:hint="eastAsia"/>
          <w:color w:val="auto"/>
          <w:sz w:val="28"/>
          <w:szCs w:val="32"/>
          <w:highlight w:val="none"/>
        </w:rPr>
        <w:t xml:space="preserve">投标人名称：</w:t>
      </w:r>
      <w:r>
        <w:rPr>
          <w:rFonts w:hint="eastAsia"/>
          <w:color w:val="auto"/>
          <w:sz w:val="28"/>
          <w:szCs w:val="32"/>
          <w:highlight w:val="none"/>
          <w:u w:val="single"/>
        </w:rPr>
        <w:t xml:space="preserve">                              </w:t>
      </w:r>
      <w:r>
        <w:rPr>
          <w:rFonts w:hint="eastAsia"/>
          <w:color w:val="auto"/>
          <w:sz w:val="28"/>
          <w:szCs w:val="32"/>
          <w:highlight w:val="none"/>
        </w:rPr>
        <w:t xml:space="preserve">（电子签章）</w:t>
      </w:r>
      <w:r>
        <w:rPr>
          <w:highlight w:val="none"/>
        </w:rPr>
      </w:r>
      <w:r/>
    </w:p>
    <w:p>
      <w:pPr>
        <w:jc w:val="center"/>
        <w:rPr>
          <w:color w:val="auto"/>
          <w:sz w:val="28"/>
          <w:szCs w:val="32"/>
          <w:highlight w:val="none"/>
        </w:rPr>
      </w:pPr>
      <w:r>
        <w:rPr>
          <w:color w:val="auto"/>
          <w:sz w:val="28"/>
          <w:szCs w:val="32"/>
          <w:highlight w:val="none"/>
        </w:rPr>
      </w:r>
      <w:r>
        <w:rPr>
          <w:highlight w:val="none"/>
        </w:rPr>
      </w:r>
      <w:r/>
    </w:p>
    <w:p>
      <w:pPr>
        <w:jc w:val="center"/>
        <w:rPr>
          <w:rFonts w:ascii="宋体" w:hAnsi="宋体"/>
          <w:color w:val="auto"/>
          <w:sz w:val="40"/>
          <w:szCs w:val="52"/>
          <w:highlight w:val="none"/>
        </w:rPr>
      </w:pPr>
      <w:r>
        <w:rPr>
          <w:rFonts w:hint="eastAsia"/>
          <w:color w:val="auto"/>
          <w:sz w:val="28"/>
          <w:szCs w:val="32"/>
          <w:highlight w:val="none"/>
        </w:rPr>
        <w:t xml:space="preserve">日期：   年  月   日</w:t>
      </w:r>
      <w:r>
        <w:rPr>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rPr>
          <w:highlight w:val="none"/>
        </w:rPr>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rPr>
          <w:highlight w:val="none"/>
        </w:rPr>
      </w:r>
      <w:r/>
    </w:p>
    <w:p>
      <w:pPr>
        <w:jc w:val="center"/>
        <w:spacing w:line="36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开标一览表</w:t>
      </w:r>
      <w:r>
        <w:rPr>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rPr>
          <w:highlight w:val="none"/>
        </w:rPr>
      </w:r>
      <w:r/>
    </w:p>
    <w:p>
      <w:pPr>
        <w:jc w:val="left"/>
        <w:spacing w:line="360" w:lineRule="auto"/>
        <w:rPr>
          <w:rFonts w:hint="eastAsia" w:ascii="宋体" w:hAnsi="宋体" w:eastAsia="微软雅黑"/>
          <w:color w:val="auto"/>
          <w:sz w:val="24"/>
          <w:szCs w:val="24"/>
          <w:highlight w:val="none"/>
        </w:rPr>
      </w:pPr>
      <w:r>
        <w:rPr>
          <w:rFonts w:hint="eastAsia" w:ascii="宋体" w:hAnsi="宋体"/>
          <w:color w:val="auto"/>
          <w:sz w:val="24"/>
          <w:szCs w:val="24"/>
          <w:highlight w:val="none"/>
        </w:rPr>
        <w:t xml:space="preserve">项目编号：</w:t>
      </w:r>
      <w:r>
        <w:rPr>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货币单位：人民币元</w:t>
      </w:r>
      <w:r>
        <w:rPr>
          <w:highlight w:val="none"/>
        </w:rPr>
      </w:r>
      <w:r/>
    </w:p>
    <w:tbl>
      <w:tblPr>
        <w:tblStyle w:val="681"/>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61"/>
        <w:gridCol w:w="2059"/>
        <w:gridCol w:w="3260"/>
      </w:tblGrid>
      <w:tr>
        <w:trPr>
          <w:trHeight w:val="805"/>
        </w:trPr>
        <w:tc>
          <w:tcPr>
            <w:tcW w:w="3861" w:type="dxa"/>
            <w:vAlign w:val="center"/>
            <w:textDirection w:val="lrTb"/>
            <w:noWrap w:val="false"/>
          </w:tcPr>
          <w:p>
            <w:pPr>
              <w:pStyle w:val="954"/>
              <w:jc w:val="center"/>
              <w:rPr>
                <w:color w:val="auto"/>
                <w:sz w:val="24"/>
                <w:highlight w:val="none"/>
              </w:rPr>
            </w:pPr>
            <w:r>
              <w:rPr>
                <w:rFonts w:hint="eastAsia"/>
                <w:color w:val="auto"/>
                <w:sz w:val="24"/>
                <w:highlight w:val="none"/>
              </w:rPr>
              <w:t xml:space="preserve">项目名称</w:t>
            </w:r>
            <w:r>
              <w:rPr>
                <w:highlight w:val="none"/>
              </w:rPr>
            </w:r>
            <w:r/>
          </w:p>
        </w:tc>
        <w:tc>
          <w:tcPr>
            <w:tcW w:w="2059" w:type="dxa"/>
            <w:vAlign w:val="center"/>
            <w:textDirection w:val="lrTb"/>
            <w:noWrap w:val="false"/>
          </w:tcPr>
          <w:p>
            <w:pPr>
              <w:pStyle w:val="954"/>
              <w:jc w:val="center"/>
              <w:rPr>
                <w:color w:val="auto"/>
                <w:sz w:val="24"/>
                <w:highlight w:val="none"/>
              </w:rPr>
            </w:pPr>
            <w:r>
              <w:rPr>
                <w:rFonts w:hint="eastAsia"/>
                <w:color w:val="auto"/>
                <w:sz w:val="24"/>
                <w:highlight w:val="none"/>
              </w:rPr>
              <w:t xml:space="preserve">项目内容</w:t>
            </w:r>
            <w:r>
              <w:rPr>
                <w:highlight w:val="none"/>
              </w:rPr>
            </w:r>
            <w:r/>
          </w:p>
        </w:tc>
        <w:tc>
          <w:tcPr>
            <w:tcW w:w="3260" w:type="dxa"/>
            <w:vAlign w:val="center"/>
            <w:textDirection w:val="lrTb"/>
            <w:noWrap w:val="false"/>
          </w:tcPr>
          <w:p>
            <w:pPr>
              <w:pStyle w:val="954"/>
              <w:jc w:val="center"/>
              <w:rPr>
                <w:color w:val="auto"/>
                <w:sz w:val="24"/>
                <w:highlight w:val="none"/>
              </w:rPr>
            </w:pPr>
            <w:r>
              <w:rPr>
                <w:rFonts w:hint="eastAsia"/>
                <w:color w:val="auto"/>
                <w:sz w:val="24"/>
                <w:highlight w:val="none"/>
              </w:rPr>
              <w:t xml:space="preserve">总价（小写）</w:t>
            </w:r>
            <w:r>
              <w:rPr>
                <w:highlight w:val="none"/>
              </w:rPr>
            </w:r>
            <w:r/>
          </w:p>
        </w:tc>
      </w:tr>
      <w:tr>
        <w:trPr>
          <w:trHeight w:val="745"/>
        </w:trPr>
        <w:tc>
          <w:tcPr>
            <w:tcW w:w="3861" w:type="dxa"/>
            <w:vAlign w:val="center"/>
            <w:textDirection w:val="lrTb"/>
            <w:noWrap w:val="false"/>
          </w:tcPr>
          <w:p>
            <w:pPr>
              <w:rPr>
                <w:highlight w:val="none"/>
              </w:rPr>
            </w:pPr>
            <w:r>
              <w:rPr>
                <w:highlight w:val="none"/>
              </w:rPr>
            </w:r>
            <w:r>
              <w:rPr>
                <w:highlight w:val="none"/>
              </w:rPr>
            </w:r>
            <w:r/>
          </w:p>
        </w:tc>
        <w:tc>
          <w:tcPr>
            <w:tcW w:w="2059" w:type="dxa"/>
            <w:vAlign w:val="center"/>
            <w:textDirection w:val="lrTb"/>
            <w:noWrap w:val="false"/>
          </w:tcPr>
          <w:p>
            <w:pPr>
              <w:pStyle w:val="954"/>
              <w:jc w:val="center"/>
              <w:rPr>
                <w:color w:val="auto"/>
                <w:sz w:val="24"/>
                <w:highlight w:val="none"/>
              </w:rPr>
            </w:pPr>
            <w:r>
              <w:rPr>
                <w:rFonts w:hint="eastAsia"/>
                <w:color w:val="auto"/>
                <w:sz w:val="24"/>
                <w:highlight w:val="none"/>
              </w:rPr>
              <w:t xml:space="preserve">详见投标文件</w:t>
            </w:r>
            <w:r>
              <w:rPr>
                <w:highlight w:val="none"/>
              </w:rPr>
            </w:r>
            <w:r/>
          </w:p>
        </w:tc>
        <w:tc>
          <w:tcPr>
            <w:tcW w:w="3260" w:type="dxa"/>
            <w:vAlign w:val="center"/>
            <w:textDirection w:val="lrTb"/>
            <w:noWrap w:val="false"/>
          </w:tcPr>
          <w:p>
            <w:pPr>
              <w:ind w:right="240"/>
              <w:jc w:val="right"/>
              <w:spacing w:line="360" w:lineRule="auto"/>
              <w:rPr>
                <w:rFonts w:ascii="宋体" w:hAnsi="宋体"/>
                <w:color w:val="auto"/>
                <w:sz w:val="24"/>
                <w:szCs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153035</wp:posOffset>
                      </wp:positionH>
                      <wp:positionV relativeFrom="paragraph">
                        <wp:posOffset>240665</wp:posOffset>
                      </wp:positionV>
                      <wp:extent cx="1455420" cy="2286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455420" cy="228600"/>
                              </a:xfrm>
                              <a:prstGeom prst="rect">
                                <a:avLst/>
                              </a:prstGeom>
                              <a:solidFill>
                                <a:srgbClr val="FFFFFF"/>
                              </a:solidFill>
                              <a:ln w="1778">
                                <a:solidFill>
                                  <a:srgbClr val="000000"/>
                                </a:solidFill>
                              </a:ln>
                            </wps:spPr>
                            <wps:txbx>
                              <w:txbxContent>
                                <w:p>
                                  <w:pPr>
                                    <w:jc w:val="right"/>
                                  </w:pPr>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12.0pt;mso-position-horizontal:absolute;mso-position-vertical-relative:text;margin-top:18.9pt;mso-position-vertical:absolute;width:114.6pt;height:18.0pt;mso-wrap-distance-left:9.0pt;mso-wrap-distance-top:0.0pt;mso-wrap-distance-right:9.0pt;mso-wrap-distance-bottom:0.0pt;visibility:visible;" fillcolor="#FFFFFF" strokecolor="#000000" strokeweight="0.14pt">
                      <v:textbox inset="0,0,0,0">
                        <w:txbxContent>
                          <w:p>
                            <w:pPr>
                              <w:jc w:val="right"/>
                            </w:pPr>
                            <w:r/>
                            <w:r/>
                          </w:p>
                          <w:p>
                            <w:r/>
                            <w:r/>
                          </w:p>
                          <w:p>
                            <w:r/>
                            <w:r/>
                          </w:p>
                        </w:txbxContent>
                      </v:textbox>
                    </v:shape>
                  </w:pict>
                </mc:Fallback>
              </mc:AlternateContent>
            </w:r>
            <w:r>
              <w:rPr>
                <w:highlight w:val="none"/>
              </w:rPr>
            </w:r>
            <w:r/>
          </w:p>
          <w:p>
            <w:pPr>
              <w:ind w:right="240"/>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元</w:t>
            </w:r>
            <w:r>
              <w:rPr>
                <w:highlight w:val="none"/>
              </w:rPr>
            </w:r>
            <w:r/>
          </w:p>
        </w:tc>
      </w:tr>
      <w:tr>
        <w:trPr>
          <w:trHeight w:val="823"/>
        </w:trPr>
        <w:tc>
          <w:tcPr>
            <w:tcW w:w="3861" w:type="dxa"/>
            <w:vAlign w:val="center"/>
            <w:textDirection w:val="lrTb"/>
            <w:noWrap w:val="false"/>
          </w:tcPr>
          <w:p>
            <w:pPr>
              <w:pStyle w:val="954"/>
              <w:jc w:val="center"/>
              <w:rPr>
                <w:color w:val="auto"/>
                <w:sz w:val="24"/>
                <w:highlight w:val="none"/>
              </w:rPr>
            </w:pPr>
            <w:r>
              <w:rPr>
                <w:rFonts w:hint="eastAsia"/>
                <w:color w:val="auto"/>
                <w:sz w:val="24"/>
                <w:highlight w:val="none"/>
              </w:rPr>
              <w:t xml:space="preserve">总价（大写）：</w:t>
            </w:r>
            <w:r>
              <w:rPr>
                <w:highlight w:val="none"/>
              </w:rPr>
            </w:r>
            <w:r/>
          </w:p>
        </w:tc>
        <w:tc>
          <w:tcPr>
            <w:gridSpan w:val="2"/>
            <w:tcW w:w="5319" w:type="dxa"/>
            <w:vAlign w:val="center"/>
            <w:textDirection w:val="lrTb"/>
            <w:noWrap w:val="false"/>
          </w:tcPr>
          <w:p>
            <w:pPr>
              <w:jc w:val="left"/>
              <w:spacing w:line="360" w:lineRule="auto"/>
              <w:rPr>
                <w:rFonts w:ascii="宋体" w:hAnsi="宋体"/>
                <w:color w:val="auto"/>
                <w:sz w:val="24"/>
                <w:szCs w:val="24"/>
                <w:highlight w:val="none"/>
              </w:rPr>
            </w:pPr>
            <w:r>
              <w:rPr>
                <w:rFonts w:hint="eastAsia"/>
                <w:color w:val="auto"/>
                <w:sz w:val="24"/>
                <w:highlight w:val="none"/>
              </w:rPr>
              <w:t xml:space="preserve">金额大写 </w:t>
            </w:r>
            <w:r>
              <w:rPr>
                <w:highlight w:val="none"/>
              </w:rPr>
            </w:r>
            <w:r/>
          </w:p>
        </w:tc>
      </w:tr>
    </w:tbl>
    <w:p>
      <w:pPr>
        <w:pStyle w:val="954"/>
        <w:jc w:val="center"/>
        <w:rPr>
          <w:color w:val="auto"/>
          <w:sz w:val="24"/>
          <w:highlight w:val="none"/>
        </w:rPr>
      </w:pPr>
      <w:r>
        <w:rPr>
          <w:color w:val="auto"/>
          <w:sz w:val="24"/>
          <w:highlight w:val="none"/>
        </w:rPr>
      </w:r>
      <w:r>
        <w:rPr>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rPr>
          <w:highlight w:val="none"/>
        </w:rPr>
      </w:r>
      <w:r/>
    </w:p>
    <w:p>
      <w:pPr>
        <w:jc w:val="left"/>
        <w:spacing w:line="360" w:lineRule="auto"/>
        <w:rPr>
          <w:rFonts w:ascii="宋体" w:hAnsi="宋体"/>
          <w:color w:val="auto"/>
          <w:sz w:val="24"/>
          <w:szCs w:val="24"/>
          <w:highlight w:val="none"/>
        </w:rPr>
      </w:pPr>
      <w:r>
        <w:rPr>
          <w:rFonts w:ascii="宋体" w:hAnsi="宋体"/>
          <w:color w:val="auto"/>
          <w:sz w:val="24"/>
          <w:szCs w:val="24"/>
          <w:highlight w:val="none"/>
        </w:rPr>
      </w:r>
      <w:r>
        <w:rPr>
          <w:highlight w:val="none"/>
        </w:rPr>
      </w:r>
      <w:r/>
    </w:p>
    <w:p>
      <w:pPr>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投标人公章：            （电子签章）</w:t>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w:t>
      </w:r>
      <w:bookmarkEnd w:id="143"/>
      <w:r>
        <w:rPr>
          <w:rFonts w:hint="eastAsia" w:ascii="黑体" w:hAnsi="黑体" w:eastAsia="黑体"/>
          <w:color w:val="auto"/>
          <w:sz w:val="28"/>
          <w:szCs w:val="28"/>
          <w:highlight w:val="none"/>
        </w:rPr>
        <w:t xml:space="preserve">营业执照或事业单位法人登记证书原件扫描件</w:t>
      </w:r>
      <w:r>
        <w:rPr>
          <w:highlight w:val="none"/>
        </w:rPr>
      </w:r>
      <w:r/>
    </w:p>
    <w:p>
      <w:pPr>
        <w:pStyle w:val="950"/>
        <w:ind w:firstLine="562"/>
        <w:rPr>
          <w:rFonts w:ascii="宋体" w:hAnsi="宋体" w:cs="宋体"/>
          <w:b/>
          <w:bCs/>
          <w:color w:val="auto"/>
          <w:sz w:val="28"/>
          <w:szCs w:val="28"/>
          <w:highlight w:val="none"/>
        </w:rPr>
      </w:pPr>
      <w:r>
        <w:rPr>
          <w:rFonts w:ascii="宋体" w:hAnsi="宋体" w:cs="宋体"/>
          <w:b/>
          <w:bCs/>
          <w:color w:val="auto"/>
          <w:sz w:val="28"/>
          <w:szCs w:val="28"/>
          <w:highlight w:val="none"/>
        </w:rPr>
      </w:r>
      <w:r>
        <w:rPr>
          <w:highlight w:val="none"/>
        </w:rPr>
      </w:r>
      <w:r/>
    </w:p>
    <w:p>
      <w:pPr>
        <w:ind w:left="420"/>
        <w:jc w:val="center"/>
        <w:spacing w:line="440" w:lineRule="exact"/>
        <w:rPr>
          <w:rFonts w:ascii="宋体" w:hAnsi="宋体" w:cs="宋体"/>
          <w:b/>
          <w:bCs/>
          <w:color w:val="auto"/>
          <w:sz w:val="28"/>
          <w:szCs w:val="28"/>
          <w:highlight w:val="none"/>
        </w:rPr>
      </w:pPr>
      <w:r>
        <w:rPr>
          <w:rFonts w:ascii="宋体" w:hAnsi="宋体" w:cs="宋体"/>
          <w:b/>
          <w:bCs/>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（二）政府采购基本资格条件声明函</w:t>
      </w:r>
      <w:r>
        <w:rPr>
          <w:highlight w:val="none"/>
        </w:rPr>
      </w:r>
      <w:r/>
    </w:p>
    <w:p>
      <w:pPr>
        <w:pStyle w:val="950"/>
        <w:keepLines w:val="0"/>
        <w:keepNext w:val="0"/>
        <w:pageBreakBefore w:val="0"/>
        <w:spacing w:after="0" w:line="5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  采购人名称     </w:t>
      </w:r>
      <w:r>
        <w:rPr>
          <w:rFonts w:hint="eastAsia" w:ascii="宋体" w:hAnsi="宋体" w:eastAsia="宋体" w:cs="宋体"/>
          <w:b/>
          <w:bCs/>
          <w:color w:val="auto"/>
          <w:sz w:val="24"/>
          <w:szCs w:val="24"/>
          <w:highlight w:val="none"/>
        </w:rPr>
        <w:t xml:space="preserve">：</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我单位自愿参加贵单位组织的</w:t>
      </w:r>
      <w:r>
        <w:rPr>
          <w:rFonts w:hint="eastAsia" w:ascii="宋体" w:hAnsi="宋体" w:eastAsia="宋体" w:cs="宋体"/>
          <w:b/>
          <w:bCs/>
          <w:color w:val="auto"/>
          <w:sz w:val="24"/>
          <w:szCs w:val="24"/>
          <w:highlight w:val="none"/>
          <w:u w:val="single"/>
        </w:rPr>
        <w:t xml:space="preserve">    （项目名称）    </w:t>
      </w:r>
      <w:r>
        <w:rPr>
          <w:rFonts w:hint="eastAsia" w:ascii="宋体" w:hAnsi="宋体" w:eastAsia="宋体" w:cs="宋体"/>
          <w:b/>
          <w:bCs/>
          <w:color w:val="auto"/>
          <w:sz w:val="24"/>
          <w:szCs w:val="24"/>
          <w:highlight w:val="none"/>
        </w:rPr>
        <w:t xml:space="preserve">政府采购活动，按照《政府采购法》及其实施条例等法律法规、规章政策以及本项目采购文件要求，我单位具备供应商基本资格条件。现就有关事项郑重声明如下：</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1．我公司具有良好的商业信誉和健全的财务制度；</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2．我公司具有履行合同所必须的设备和专业技术能力；</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3．我公司具有依法缴纳税收和社会保障资金的良好记录；</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4．我公司参加政府采购活动前三年内，在经营活动中没有重大违法记录；</w:t>
      </w:r>
      <w:r>
        <w:rPr>
          <w:highlight w:val="none"/>
        </w:rPr>
      </w:r>
      <w:r/>
    </w:p>
    <w:p>
      <w:pPr>
        <w:pStyle w:val="950"/>
        <w:ind w:firstLine="480"/>
        <w:keepLines w:val="0"/>
        <w:keepNext w:val="0"/>
        <w:pageBreakBefore w:val="0"/>
        <w:spacing w:after="0"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以上承诺内容真实准确，若有不实，自愿按照《中华人民共和国政府采购法》第七十七条规定，承担相应的法律责任。</w:t>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bCs/>
          <w:color w:val="auto"/>
          <w:sz w:val="24"/>
          <w:szCs w:val="24"/>
          <w:highlight w:val="none"/>
        </w:rPr>
        <w:t xml:space="preserve">（电子签章</w:t>
      </w:r>
      <w:r>
        <w:rPr>
          <w:rFonts w:hint="eastAsia" w:ascii="宋体" w:hAnsi="宋体" w:eastAsia="宋体" w:cs="宋体"/>
          <w:color w:val="auto"/>
          <w:sz w:val="24"/>
          <w:szCs w:val="24"/>
          <w:highlight w:val="none"/>
        </w:rPr>
        <w:t xml:space="preserve">）</w:t>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ind w:left="0" w:right="0" w:firstLine="0"/>
        <w:jc w:val="center"/>
        <w:spacing w:line="44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（三）其他条件</w:t>
      </w:r>
      <w:r>
        <w:rPr>
          <w:highlight w:val="non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1.非联合体投标声明函</w:t>
      </w:r>
      <w:r>
        <w:rPr>
          <w:highlight w:val="none"/>
        </w:rPr>
      </w:r>
      <w:r/>
    </w:p>
    <w:p>
      <w:pPr>
        <w:jc w:val="center"/>
        <w:spacing w:line="360" w:lineRule="auto"/>
        <w:rPr>
          <w:rFonts w:ascii="黑体" w:hAnsi="黑体" w:eastAsia="黑体"/>
          <w:color w:val="auto"/>
          <w:sz w:val="36"/>
          <w:szCs w:val="28"/>
          <w:highlight w:val="none"/>
        </w:rPr>
      </w:pPr>
      <w:r>
        <w:rPr>
          <w:rFonts w:ascii="黑体" w:hAnsi="黑体" w:eastAsia="黑体"/>
          <w:color w:val="auto"/>
          <w:sz w:val="36"/>
          <w:szCs w:val="28"/>
          <w:highlight w:val="none"/>
        </w:rPr>
      </w:r>
      <w:r>
        <w:rPr>
          <w:highlight w:val="none"/>
        </w:rPr>
      </w:r>
      <w:r/>
    </w:p>
    <w:p>
      <w:pPr>
        <w:ind w:firstLine="480"/>
        <w:jc w:val="center"/>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我单位单独投标，未组成联合体投标。</w:t>
      </w:r>
      <w:r>
        <w:rPr>
          <w:highlight w:val="none"/>
        </w:rPr>
      </w:r>
      <w:r/>
    </w:p>
    <w:p>
      <w:pPr>
        <w:ind w:firstLine="480"/>
        <w:jc w:val="center"/>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rPr>
          <w:highlight w:val="none"/>
        </w:rPr>
      </w:r>
      <w:r/>
    </w:p>
    <w:p>
      <w:pPr>
        <w:ind w:firstLine="480"/>
        <w:jc w:val="center"/>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rPr>
          <w:highlight w:val="none"/>
        </w:rPr>
      </w:r>
      <w:r/>
    </w:p>
    <w:p>
      <w:pPr>
        <w:ind w:firstLine="480"/>
        <w:jc w:val="center"/>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rPr>
          <w:highlight w:val="none"/>
        </w:rPr>
      </w:r>
      <w:r/>
    </w:p>
    <w:p>
      <w:pPr>
        <w:ind w:firstLine="480"/>
        <w:jc w:val="center"/>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投标人公章：            （电子签章）</w:t>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（电子签章）</w:t>
      </w:r>
      <w:r>
        <w:rPr>
          <w:highlight w:val="none"/>
        </w:rPr>
      </w:r>
      <w:r/>
    </w:p>
    <w:p>
      <w:pPr>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w:t>
      </w:r>
      <w:r>
        <w:rPr>
          <w:highlight w:val="none"/>
        </w:rPr>
      </w:r>
      <w:r/>
    </w:p>
    <w:p>
      <w:pPr>
        <w:jc w:val="center"/>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2.政府采购诚信投标承诺书</w:t>
      </w:r>
      <w:r>
        <w:rPr>
          <w:highlight w:val="none"/>
        </w:rPr>
      </w:r>
      <w:r/>
    </w:p>
    <w:p>
      <w:pPr>
        <w:pStyle w:val="950"/>
        <w:keepLines w:val="0"/>
        <w:keepNext w:val="0"/>
        <w:pageBreakBefore w:val="0"/>
        <w:spacing w:after="0" w:line="560" w:lineRule="exact"/>
        <w:widowControl w:val="off"/>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u w:val="single"/>
        </w:rPr>
        <w:t xml:space="preserve">采购人名称  </w:t>
      </w:r>
      <w:r>
        <w:rPr>
          <w:rFonts w:hint="eastAsia" w:ascii="宋体" w:hAnsi="宋体" w:eastAsia="宋体" w:cs="宋体"/>
          <w:b/>
          <w:bCs/>
          <w:color w:val="auto"/>
          <w:sz w:val="22"/>
          <w:szCs w:val="22"/>
          <w:highlight w:val="none"/>
        </w:rPr>
        <w:t xml:space="preserve">：</w:t>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我单位自愿参加贵单位组织的</w:t>
      </w:r>
      <w:r>
        <w:rPr>
          <w:rFonts w:hint="eastAsia" w:ascii="宋体" w:hAnsi="宋体" w:eastAsia="宋体" w:cs="宋体"/>
          <w:b/>
          <w:bCs/>
          <w:color w:val="auto"/>
          <w:sz w:val="22"/>
          <w:szCs w:val="22"/>
          <w:highlight w:val="none"/>
          <w:u w:val="single"/>
        </w:rPr>
        <w:t xml:space="preserve">    （项目名称）    </w:t>
      </w:r>
      <w:r>
        <w:rPr>
          <w:rFonts w:hint="eastAsia" w:ascii="宋体" w:hAnsi="宋体" w:eastAsia="宋体" w:cs="宋体"/>
          <w:b/>
          <w:bCs/>
          <w:color w:val="auto"/>
          <w:sz w:val="22"/>
          <w:szCs w:val="22"/>
          <w:highlight w:val="none"/>
        </w:rPr>
        <w:t xml:space="preserve">政府采购活动，我单位在此郑重承诺：</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1、我方承诺在招标文件规定的投标有效期内不修改、撤销投标文件。</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2、我方未以他人名义投标或以其他方式弄虚作假，骗取中标。</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3、我方未与其他投标人相互串通投标。</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4、我方不向采购人或评标委员会行贿以牟取中标。</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5、我方不存在第二章投标人须知第1.4.3项情形之一。</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6、我方所提交的投标文件及有关资料内容完整、真实和准确。</w:t>
      </w:r>
      <w:r>
        <w:rPr>
          <w:highlight w:val="none"/>
        </w:rPr>
      </w:r>
      <w:r/>
    </w:p>
    <w:p>
      <w:pPr>
        <w:ind w:firstLine="480"/>
        <w:keepLines w:val="0"/>
        <w:keepNext w:val="0"/>
        <w:pageBreakBefore w:val="0"/>
        <w:spacing w:line="560" w:lineRule="exact"/>
        <w:widowControl w:val="off"/>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我方若有违反以上承诺或违法违规行为的，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highlight w:val="none"/>
        </w:rPr>
      </w:r>
      <w:r/>
    </w:p>
    <w:p>
      <w:pPr>
        <w:ind w:firstLine="480"/>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投标人公章：            （电子签章）</w:t>
      </w:r>
      <w:r>
        <w:rPr>
          <w:highlight w:val="none"/>
        </w:rPr>
      </w:r>
      <w:r/>
    </w:p>
    <w:p>
      <w:pPr>
        <w:ind w:firstLine="480"/>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法定代表人：            （电子签章）</w:t>
      </w:r>
      <w:r>
        <w:rPr>
          <w:highlight w:val="none"/>
        </w:rPr>
      </w:r>
      <w:r/>
    </w:p>
    <w:p>
      <w:pPr>
        <w:jc w:val="right"/>
        <w:keepLines w:val="0"/>
        <w:keepNext w:val="0"/>
        <w:pageBreakBefore w:val="0"/>
        <w:spacing w:line="56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日</w:t>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sz w:val="18"/>
          <w:szCs w:val="18"/>
          <w:highlight w:val="none"/>
        </w:rPr>
      </w:pPr>
      <w:r>
        <w:rPr>
          <w:rFonts w:hint="eastAsia" w:ascii="黑体" w:hAnsi="黑体" w:eastAsia="黑体"/>
          <w:color w:val="auto"/>
          <w:sz w:val="28"/>
          <w:szCs w:val="28"/>
          <w:highlight w:val="none"/>
          <w:lang w:val="en-US" w:eastAsia="zh-CN"/>
        </w:rPr>
        <w:t xml:space="preserve">投标分项报价表</w:t>
      </w:r>
      <w:r>
        <w:rPr>
          <w:highlight w:val="none"/>
        </w:rPr>
      </w:r>
      <w:r/>
    </w:p>
    <w:tbl>
      <w:tblPr>
        <w:tblStyle w:val="681"/>
        <w:tblW w:w="9013" w:type="dxa"/>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0"/>
        <w:gridCol w:w="1900"/>
        <w:gridCol w:w="750"/>
        <w:gridCol w:w="750"/>
        <w:gridCol w:w="1580"/>
        <w:gridCol w:w="740"/>
        <w:gridCol w:w="769"/>
        <w:gridCol w:w="1008"/>
        <w:gridCol w:w="966"/>
      </w:tblGrid>
      <w:tr>
        <w:trPr>
          <w:cantSplit/>
          <w:trHeight w:val="812"/>
        </w:trPr>
        <w:tc>
          <w:tcPr>
            <w:tcW w:w="5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序号</w:t>
            </w:r>
            <w:r>
              <w:rPr>
                <w:highlight w:val="none"/>
              </w:rPr>
            </w:r>
            <w:r/>
          </w:p>
        </w:tc>
        <w:tc>
          <w:tcPr>
            <w:shd w:val="clear" w:color="ffffff" w:fill="ffffff"/>
            <w:tcW w:w="190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产品名称</w:t>
            </w:r>
            <w:r>
              <w:rPr>
                <w:highlight w:val="none"/>
              </w:rPr>
            </w:r>
            <w:r/>
          </w:p>
        </w:tc>
        <w:tc>
          <w:tcPr>
            <w:shd w:val="clear" w:color="ffffff" w:fill="ffffff"/>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品牌</w:t>
            </w:r>
            <w:r>
              <w:rPr>
                <w:highlight w:val="none"/>
              </w:rPr>
            </w:r>
            <w:r/>
          </w:p>
        </w:tc>
        <w:tc>
          <w:tcPr>
            <w:shd w:val="clear" w:color="ffffff" w:fill="ffffff"/>
            <w:tcW w:w="750" w:type="dxa"/>
            <w:vAlign w:val="center"/>
            <w:textDirection w:val="lrTb"/>
            <w:noWrap w:val="false"/>
          </w:tcPr>
          <w:p>
            <w:pPr>
              <w:ind w:left="0" w:right="0" w:firstLine="0"/>
              <w:jc w:val="center"/>
              <w:spacing w:line="0" w:lineRule="atLeast"/>
              <w:rPr>
                <w:sz w:val="22"/>
                <w:szCs w:val="22"/>
                <w:highlight w:val="none"/>
              </w:rPr>
            </w:pPr>
            <w:r>
              <w:rPr>
                <w:rFonts w:hint="eastAsia" w:ascii="宋体" w:hAnsi="宋体" w:eastAsia="宋体" w:cs="宋体"/>
                <w:sz w:val="22"/>
                <w:szCs w:val="22"/>
                <w:highlight w:val="none"/>
              </w:rPr>
              <w:t xml:space="preserve">规格</w:t>
            </w:r>
            <w:r>
              <w:rPr>
                <w:highlight w:val="none"/>
              </w:rPr>
            </w:r>
            <w:r/>
          </w:p>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型号</w:t>
            </w:r>
            <w:r>
              <w:rPr>
                <w:highlight w:val="none"/>
              </w:rPr>
            </w:r>
            <w:r/>
          </w:p>
        </w:tc>
        <w:tc>
          <w:tcPr>
            <w:shd w:val="clear" w:color="ffffff" w:fill="ffffff"/>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制造商名称</w:t>
            </w:r>
            <w:r>
              <w:rPr>
                <w:highlight w:val="none"/>
              </w:rPr>
            </w:r>
            <w:r/>
          </w:p>
        </w:tc>
        <w:tc>
          <w:tcPr>
            <w:shd w:val="clear" w:color="ffffff" w:fill="ffffff"/>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国别</w:t>
            </w:r>
            <w:r>
              <w:rPr>
                <w:highlight w:val="none"/>
              </w:rPr>
            </w:r>
            <w:r/>
          </w:p>
        </w:tc>
        <w:tc>
          <w:tcPr>
            <w:shd w:val="clear" w:color="ffffff" w:fill="ffffff"/>
            <w:tcW w:w="769"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数量</w:t>
            </w:r>
            <w:r>
              <w:rPr>
                <w:highlight w:val="none"/>
              </w:rPr>
            </w:r>
            <w:r/>
          </w:p>
        </w:tc>
        <w:tc>
          <w:tcPr>
            <w:shd w:val="clear" w:color="ffffff" w:fill="ffffff"/>
            <w:tcW w:w="1008" w:type="dxa"/>
            <w:vAlign w:val="center"/>
            <w:textDirection w:val="lrTb"/>
            <w:noWrap w:val="false"/>
          </w:tcPr>
          <w:p>
            <w:pPr>
              <w:ind w:left="0" w:right="0" w:firstLine="0"/>
              <w:jc w:val="center"/>
              <w:spacing w:line="0" w:lineRule="atLeast"/>
              <w:rPr>
                <w:sz w:val="22"/>
                <w:szCs w:val="22"/>
                <w:highlight w:val="none"/>
              </w:rPr>
            </w:pPr>
            <w:r>
              <w:rPr>
                <w:rFonts w:hint="eastAsia" w:ascii="宋体" w:hAnsi="宋体" w:eastAsia="宋体" w:cs="宋体"/>
                <w:sz w:val="22"/>
                <w:szCs w:val="22"/>
                <w:highlight w:val="none"/>
              </w:rPr>
              <w:t xml:space="preserve">分项</w:t>
            </w:r>
            <w:r>
              <w:rPr>
                <w:highlight w:val="none"/>
              </w:rPr>
            </w:r>
            <w:r/>
          </w:p>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单价</w:t>
            </w:r>
            <w:r>
              <w:rPr>
                <w:highlight w:val="none"/>
              </w:rPr>
            </w:r>
            <w:r/>
          </w:p>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（元）</w:t>
            </w:r>
            <w:r>
              <w:rPr>
                <w:highlight w:val="none"/>
              </w:rPr>
            </w:r>
            <w:r/>
          </w:p>
        </w:tc>
        <w:tc>
          <w:tcPr>
            <w:shd w:val="clear" w:color="ffffff" w:fill="ffffff"/>
            <w:tcW w:w="966" w:type="dxa"/>
            <w:vAlign w:val="center"/>
            <w:textDirection w:val="lrTb"/>
            <w:noWrap w:val="false"/>
          </w:tcPr>
          <w:p>
            <w:pPr>
              <w:ind w:left="0" w:right="0" w:firstLine="0"/>
              <w:jc w:val="center"/>
              <w:spacing w:line="0" w:lineRule="atLeast"/>
              <w:rPr>
                <w:sz w:val="22"/>
                <w:szCs w:val="22"/>
                <w:highlight w:val="none"/>
              </w:rPr>
            </w:pPr>
            <w:r>
              <w:rPr>
                <w:rFonts w:hint="eastAsia" w:ascii="宋体" w:hAnsi="宋体" w:eastAsia="宋体" w:cs="宋体"/>
                <w:sz w:val="22"/>
                <w:szCs w:val="22"/>
                <w:highlight w:val="none"/>
              </w:rPr>
              <w:t xml:space="preserve">分项</w:t>
            </w:r>
            <w:r>
              <w:rPr>
                <w:highlight w:val="none"/>
              </w:rPr>
            </w:r>
            <w:r/>
          </w:p>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总价</w:t>
            </w:r>
            <w:r>
              <w:rPr>
                <w:highlight w:val="none"/>
              </w:rPr>
            </w:r>
            <w:r/>
          </w:p>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（元）</w:t>
            </w:r>
            <w:r>
              <w:rPr>
                <w:highlight w:val="none"/>
              </w:rPr>
            </w:r>
            <w:r/>
          </w:p>
        </w:tc>
      </w:tr>
      <w:tr>
        <w:trPr>
          <w:cantSplit/>
          <w:trHeight w:val="601"/>
        </w:trPr>
        <w:tc>
          <w:tcPr>
            <w:tcW w:w="5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highlight w:val="none"/>
              </w:rPr>
            </w:r>
            <w:r/>
          </w:p>
        </w:tc>
        <w:tc>
          <w:tcPr>
            <w:tcW w:w="1900"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卒中胸痛急救智能体平台</w:t>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69" w:type="dxa"/>
            <w:vAlign w:val="center"/>
            <w:textDirection w:val="lrTb"/>
            <w:noWrap w:val="false"/>
          </w:tcPr>
          <w:p>
            <w:pPr>
              <w:jc w:val="center"/>
              <w:rPr>
                <w:rFonts w:hint="default" w:ascii="宋体" w:hAnsi="宋体" w:eastAsia="宋体" w:cs="宋体"/>
                <w:sz w:val="22"/>
                <w:szCs w:val="22"/>
                <w:highlight w:val="none"/>
              </w:rPr>
            </w:pPr>
            <w:r>
              <w:rPr>
                <w:rFonts w:hint="eastAsia" w:ascii="宋体" w:hAnsi="宋体" w:eastAsia="宋体" w:cs="宋体"/>
                <w:i w:val="0"/>
                <w:iCs w:val="0"/>
                <w:color w:val="000000"/>
                <w:sz w:val="22"/>
                <w:szCs w:val="22"/>
                <w:highlight w:val="none"/>
                <w:u w:val="none"/>
                <w:lang w:val="en-US" w:eastAsia="zh-CN"/>
              </w:rPr>
              <w:t xml:space="preserve">1套</w:t>
            </w:r>
            <w:r>
              <w:rPr>
                <w:highlight w:val="none"/>
              </w:rPr>
            </w:r>
            <w:r/>
          </w:p>
        </w:tc>
        <w:tc>
          <w:tcPr>
            <w:tcW w:w="1008"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966"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r>
      <w:tr>
        <w:trPr>
          <w:cantSplit/>
          <w:trHeight w:val="601"/>
        </w:trPr>
        <w:tc>
          <w:tcPr>
            <w:tcW w:w="5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2</w:t>
            </w:r>
            <w:r>
              <w:rPr>
                <w:highlight w:val="none"/>
              </w:rPr>
            </w:r>
            <w:r/>
          </w:p>
        </w:tc>
        <w:tc>
          <w:tcPr>
            <w:tcW w:w="1900"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急救车急诊智能病历生成系统</w:t>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69" w:type="dxa"/>
            <w:vAlign w:val="center"/>
            <w:textDirection w:val="lrTb"/>
            <w:noWrap w:val="false"/>
          </w:tcPr>
          <w:p>
            <w:pPr>
              <w:jc w:val="center"/>
              <w:rPr>
                <w:rFonts w:hint="default" w:ascii="宋体" w:hAnsi="宋体" w:eastAsia="宋体" w:cs="宋体"/>
                <w:sz w:val="22"/>
                <w:szCs w:val="22"/>
                <w:highlight w:val="none"/>
              </w:rPr>
            </w:pPr>
            <w:r>
              <w:rPr>
                <w:rFonts w:hint="eastAsia" w:ascii="宋体" w:hAnsi="宋体" w:eastAsia="宋体" w:cs="宋体"/>
                <w:i w:val="0"/>
                <w:iCs w:val="0"/>
                <w:color w:val="000000"/>
                <w:sz w:val="22"/>
                <w:szCs w:val="22"/>
                <w:highlight w:val="none"/>
                <w:u w:val="none"/>
                <w:lang w:val="en-US" w:eastAsia="zh-CN"/>
              </w:rPr>
              <w:t xml:space="preserve">1套</w:t>
            </w:r>
            <w:r>
              <w:rPr>
                <w:highlight w:val="none"/>
              </w:rPr>
            </w:r>
            <w:r/>
          </w:p>
        </w:tc>
        <w:tc>
          <w:tcPr>
            <w:tcW w:w="1008"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966"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r>
      <w:tr>
        <w:trPr>
          <w:cantSplit/>
          <w:trHeight w:val="601"/>
        </w:trPr>
        <w:tc>
          <w:tcPr>
            <w:tcW w:w="5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3</w:t>
            </w:r>
            <w:r>
              <w:rPr>
                <w:highlight w:val="none"/>
              </w:rPr>
            </w:r>
            <w:r/>
          </w:p>
        </w:tc>
        <w:tc>
          <w:tcPr>
            <w:tcW w:w="1900"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智算模块</w:t>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69" w:type="dxa"/>
            <w:vAlign w:val="center"/>
            <w:textDirection w:val="lrTb"/>
            <w:noWrap w:val="false"/>
          </w:tcPr>
          <w:p>
            <w:pPr>
              <w:jc w:val="center"/>
              <w:rPr>
                <w:rFonts w:hint="default" w:ascii="宋体" w:hAnsi="宋体" w:eastAsia="宋体" w:cs="宋体"/>
                <w:sz w:val="22"/>
                <w:szCs w:val="22"/>
                <w:highlight w:val="none"/>
              </w:rPr>
            </w:pPr>
            <w:r>
              <w:rPr>
                <w:rFonts w:hint="eastAsia" w:ascii="宋体" w:hAnsi="宋体" w:eastAsia="宋体" w:cs="宋体"/>
                <w:i w:val="0"/>
                <w:iCs w:val="0"/>
                <w:color w:val="000000"/>
                <w:sz w:val="22"/>
                <w:szCs w:val="22"/>
                <w:highlight w:val="none"/>
                <w:u w:val="none"/>
                <w:lang w:val="en-US" w:eastAsia="zh-CN"/>
              </w:rPr>
              <w:t xml:space="preserve">1台</w:t>
            </w:r>
            <w:r>
              <w:rPr>
                <w:highlight w:val="none"/>
              </w:rPr>
            </w:r>
            <w:r/>
          </w:p>
        </w:tc>
        <w:tc>
          <w:tcPr>
            <w:tcW w:w="1008"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966"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r>
      <w:tr>
        <w:trPr>
          <w:cantSplit/>
          <w:trHeight w:val="601"/>
        </w:trPr>
        <w:tc>
          <w:tcPr>
            <w:tcW w:w="5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 xml:space="preserve">4</w:t>
            </w:r>
            <w:r>
              <w:rPr>
                <w:highlight w:val="none"/>
              </w:rPr>
            </w:r>
            <w:r/>
          </w:p>
        </w:tc>
        <w:tc>
          <w:tcPr>
            <w:tcW w:w="1900"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数据可视化显示仪</w:t>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69" w:type="dxa"/>
            <w:vAlign w:val="center"/>
            <w:textDirection w:val="lrTb"/>
            <w:noWrap w:val="false"/>
          </w:tcPr>
          <w:p>
            <w:pPr>
              <w:jc w:val="center"/>
              <w:rPr>
                <w:rFonts w:hint="default" w:ascii="宋体" w:hAnsi="宋体" w:eastAsia="宋体" w:cs="宋体"/>
                <w:sz w:val="22"/>
                <w:szCs w:val="22"/>
                <w:highlight w:val="none"/>
              </w:rPr>
            </w:pPr>
            <w:r>
              <w:rPr>
                <w:rFonts w:hint="eastAsia" w:ascii="宋体" w:hAnsi="宋体" w:eastAsia="宋体" w:cs="宋体"/>
                <w:i w:val="0"/>
                <w:iCs w:val="0"/>
                <w:color w:val="000000"/>
                <w:sz w:val="22"/>
                <w:szCs w:val="22"/>
                <w:highlight w:val="none"/>
                <w:u w:val="none"/>
                <w:lang w:val="en-US" w:eastAsia="zh-CN"/>
              </w:rPr>
              <w:t xml:space="preserve">1台</w:t>
            </w:r>
            <w:r>
              <w:rPr>
                <w:highlight w:val="none"/>
              </w:rPr>
            </w:r>
            <w:r/>
          </w:p>
        </w:tc>
        <w:tc>
          <w:tcPr>
            <w:tcW w:w="1008"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966"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r>
      <w:tr>
        <w:trPr>
          <w:cantSplit/>
          <w:trHeight w:val="601"/>
        </w:trPr>
        <w:tc>
          <w:tcPr>
            <w:tcW w:w="550" w:type="dxa"/>
            <w:vAlign w:val="center"/>
            <w:textDirection w:val="lrTb"/>
            <w:noWrap w:val="false"/>
          </w:tcPr>
          <w:p>
            <w:pPr>
              <w:ind w:left="0" w:right="0" w:firstLine="0"/>
              <w:jc w:val="center"/>
              <w:spacing w:line="0" w:lineRule="atLeast"/>
              <w:rPr>
                <w:rFonts w:hint="default" w:ascii="宋体" w:hAnsi="宋体" w:cs="宋体"/>
                <w:sz w:val="22"/>
                <w:szCs w:val="22"/>
                <w:highlight w:val="none"/>
              </w:rPr>
            </w:pPr>
            <w:r>
              <w:rPr>
                <w:rFonts w:hint="eastAsia" w:ascii="宋体" w:hAnsi="宋体" w:cs="宋体"/>
                <w:sz w:val="22"/>
                <w:szCs w:val="22"/>
                <w:highlight w:val="none"/>
                <w:lang w:val="en-US" w:eastAsia="zh-CN"/>
              </w:rPr>
              <w:t xml:space="preserve">5</w:t>
            </w:r>
            <w:r>
              <w:rPr>
                <w:highlight w:val="none"/>
              </w:rPr>
            </w:r>
            <w:r/>
          </w:p>
        </w:tc>
        <w:tc>
          <w:tcPr>
            <w:tcW w:w="1900" w:type="dxa"/>
            <w:vAlign w:val="center"/>
            <w:textDirection w:val="lrTb"/>
            <w:noWrap w:val="false"/>
          </w:tcPr>
          <w:p>
            <w:pPr>
              <w:jc w:val="center"/>
              <w:keepLines w:val="0"/>
              <w:keepNext w:val="0"/>
              <w:widowControl/>
              <w:rPr>
                <w:rFonts w:hint="eastAsia" w:ascii="宋体" w:hAnsi="宋体" w:eastAsia="宋体" w:cs="宋体"/>
                <w:sz w:val="22"/>
                <w:szCs w:val="22"/>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急救车载PAD</w:t>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5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158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40"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769" w:type="dxa"/>
            <w:vAlign w:val="center"/>
            <w:textDirection w:val="lrTb"/>
            <w:noWrap w:val="false"/>
          </w:tcPr>
          <w:p>
            <w:pPr>
              <w:jc w:val="center"/>
              <w:rPr>
                <w:rFonts w:hint="default" w:ascii="宋体" w:hAnsi="宋体" w:cs="宋体"/>
                <w:sz w:val="22"/>
                <w:szCs w:val="22"/>
                <w:highlight w:val="none"/>
              </w:rPr>
            </w:pPr>
            <w:r>
              <w:rPr>
                <w:rFonts w:hint="eastAsia" w:ascii="宋体" w:hAnsi="宋体" w:eastAsia="宋体" w:cs="宋体"/>
                <w:i w:val="0"/>
                <w:iCs w:val="0"/>
                <w:color w:val="000000"/>
                <w:sz w:val="22"/>
                <w:szCs w:val="22"/>
                <w:highlight w:val="none"/>
                <w:u w:val="none"/>
                <w:lang w:val="en-US" w:eastAsia="zh-CN"/>
              </w:rPr>
              <w:t xml:space="preserve">6台</w:t>
            </w:r>
            <w:r>
              <w:rPr>
                <w:highlight w:val="none"/>
              </w:rPr>
            </w:r>
            <w:r/>
          </w:p>
        </w:tc>
        <w:tc>
          <w:tcPr>
            <w:tcW w:w="1008"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c>
          <w:tcPr>
            <w:tcW w:w="966" w:type="dxa"/>
            <w:vAlign w:val="center"/>
            <w:textDirection w:val="lrTb"/>
            <w:noWrap w:val="false"/>
          </w:tcPr>
          <w:p>
            <w:pPr>
              <w:ind w:left="0" w:right="0" w:firstLine="0"/>
              <w:jc w:val="center"/>
              <w:spacing w:line="0" w:lineRule="atLeast"/>
              <w:rPr>
                <w:rFonts w:hint="eastAsia" w:ascii="宋体" w:hAnsi="宋体" w:eastAsia="宋体" w:cs="宋体"/>
                <w:sz w:val="22"/>
                <w:szCs w:val="22"/>
                <w:highlight w:val="none"/>
              </w:rPr>
            </w:pPr>
            <w:r>
              <w:rPr>
                <w:rFonts w:hint="eastAsia" w:ascii="宋体" w:hAnsi="宋体" w:eastAsia="宋体" w:cs="宋体"/>
                <w:sz w:val="22"/>
                <w:szCs w:val="22"/>
                <w:highlight w:val="none"/>
              </w:rPr>
            </w:r>
            <w:r>
              <w:rPr>
                <w:highlight w:val="none"/>
              </w:rPr>
            </w:r>
            <w:r/>
          </w:p>
        </w:tc>
      </w:tr>
      <w:tr>
        <w:trPr>
          <w:cantSplit/>
          <w:trHeight w:val="434"/>
        </w:trPr>
        <w:tc>
          <w:tcPr>
            <w:gridSpan w:val="9"/>
            <w:tcW w:w="9013" w:type="dxa"/>
            <w:vAlign w:val="center"/>
            <w:textDirection w:val="lrTb"/>
            <w:noWrap w:val="false"/>
          </w:tcPr>
          <w:p>
            <w:pPr>
              <w:ind w:left="0" w:right="0" w:firstLine="0"/>
              <w:jc w:val="left"/>
              <w:rPr>
                <w:rFonts w:hint="default" w:ascii="宋体" w:hAnsi="宋体" w:eastAsia="宋体" w:cs="宋体"/>
                <w:sz w:val="22"/>
                <w:szCs w:val="22"/>
                <w:highlight w:val="none"/>
              </w:rPr>
            </w:pPr>
            <w:r>
              <w:rPr>
                <w:rFonts w:hint="eastAsia" w:ascii="宋体" w:hAnsi="宋体" w:eastAsia="宋体" w:cs="宋体"/>
                <w:sz w:val="22"/>
                <w:szCs w:val="22"/>
                <w:highlight w:val="none"/>
              </w:rPr>
              <w:t xml:space="preserve">投标总报价（人民币：元）</w:t>
            </w:r>
            <w:r>
              <w:rPr>
                <w:rFonts w:hint="eastAsia" w:ascii="宋体" w:hAnsi="宋体" w:cs="宋体"/>
                <w:sz w:val="22"/>
                <w:szCs w:val="22"/>
                <w:highlight w:val="none"/>
                <w:u w:val="single"/>
                <w:lang w:val="en-US" w:eastAsia="zh-CN"/>
              </w:rPr>
              <w:t xml:space="preserve">                  </w:t>
            </w:r>
            <w:r>
              <w:rPr>
                <w:rFonts w:hint="eastAsia" w:ascii="宋体" w:hAnsi="宋体" w:cs="宋体"/>
                <w:sz w:val="22"/>
                <w:szCs w:val="22"/>
                <w:highlight w:val="none"/>
                <w:u w:val="none"/>
                <w:lang w:val="en-US" w:eastAsia="zh-CN"/>
              </w:rPr>
              <w:t xml:space="preserve">。</w:t>
            </w:r>
            <w:r>
              <w:rPr>
                <w:highlight w:val="none"/>
              </w:rPr>
            </w:r>
            <w:r/>
          </w:p>
        </w:tc>
      </w:tr>
      <w:tr>
        <w:trPr>
          <w:cantSplit/>
          <w:trHeight w:val="767"/>
        </w:trPr>
        <w:tc>
          <w:tcPr>
            <w:gridSpan w:val="9"/>
            <w:tcW w:w="9013" w:type="dxa"/>
            <w:vAlign w:val="center"/>
            <w:textDirection w:val="lrTb"/>
            <w:noWrap w:val="false"/>
          </w:tcPr>
          <w:p>
            <w:pPr>
              <w:pStyle w:val="701"/>
              <w:ind w:left="0" w:right="0" w:firstLine="482"/>
              <w:jc w:val="left"/>
              <w:keepLines w:val="0"/>
              <w:keepNext w:val="0"/>
              <w:pageBreakBefore w:val="0"/>
              <w:spacing w:before="0" w:beforeAutospacing="0" w:after="0" w:afterAutospacing="0" w:line="0" w:lineRule="atLeast"/>
              <w:widowControl/>
              <w:rPr>
                <w:rFonts w:hint="eastAsia" w:ascii="宋体" w:hAnsi="宋体" w:eastAsia="宋体" w:cs="宋体"/>
                <w:sz w:val="22"/>
                <w:szCs w:val="22"/>
                <w:highlight w:val="none"/>
              </w:rPr>
            </w:pPr>
            <w:r>
              <w:rPr>
                <w:rFonts w:hint="eastAsia" w:ascii="黑体" w:hAnsi="黑体" w:eastAsia="黑体" w:cs="黑体"/>
                <w:b/>
                <w:bCs/>
                <w:color w:val="auto"/>
                <w:sz w:val="22"/>
                <w:szCs w:val="22"/>
                <w:highlight w:val="none"/>
              </w:rPr>
              <w:t xml:space="preserve">本采购包中提供的符合本国产品标准的产品成本之和占该采购包提供的全部产品成本之和的比例为</w:t>
            </w:r>
            <w:r>
              <w:rPr>
                <w:rFonts w:hint="eastAsia" w:ascii="黑体" w:hAnsi="黑体" w:eastAsia="黑体" w:cs="黑体"/>
                <w:b/>
                <w:bCs/>
                <w:color w:val="auto"/>
                <w:sz w:val="22"/>
                <w:szCs w:val="22"/>
                <w:highlight w:val="none"/>
                <w:u w:val="single"/>
                <w:lang w:val="en-US" w:eastAsia="zh-CN"/>
              </w:rPr>
              <w:t xml:space="preserve">      </w:t>
            </w:r>
            <w:r>
              <w:rPr>
                <w:rFonts w:hint="eastAsia" w:ascii="黑体" w:hAnsi="黑体" w:eastAsia="黑体" w:cs="黑体"/>
                <w:b/>
                <w:bCs/>
                <w:color w:val="auto"/>
                <w:sz w:val="22"/>
                <w:szCs w:val="22"/>
                <w:highlight w:val="none"/>
              </w:rPr>
              <w:t xml:space="preserve">%。</w:t>
            </w:r>
            <w:r>
              <w:rPr>
                <w:highlight w:val="none"/>
              </w:rPr>
            </w:r>
            <w:r/>
          </w:p>
        </w:tc>
      </w:tr>
    </w:tbl>
    <w:p>
      <w:pPr>
        <w:ind w:right="0"/>
        <w:jc w:val="left"/>
        <w:keepLines w:val="0"/>
        <w:keepNext w:val="0"/>
        <w:pageBreakBefore w:val="0"/>
        <w:spacing w:line="440" w:lineRule="exact"/>
        <w:widowControl w:val="off"/>
        <w:rPr>
          <w:sz w:val="22"/>
          <w:szCs w:val="22"/>
          <w:highlight w:val="none"/>
        </w:rPr>
      </w:pPr>
      <w:r>
        <w:rPr>
          <w:rFonts w:hint="eastAsia" w:ascii="宋体" w:hAnsi="宋体" w:eastAsia="宋体" w:cs="宋体"/>
          <w:b/>
          <w:bCs/>
          <w:sz w:val="22"/>
          <w:szCs w:val="22"/>
          <w:highlight w:val="none"/>
        </w:rPr>
        <w:t xml:space="preserve">备注：</w:t>
      </w:r>
      <w:r>
        <w:rPr>
          <w:highlight w:val="none"/>
        </w:rPr>
      </w:r>
      <w:r/>
    </w:p>
    <w:p>
      <w:pPr>
        <w:ind w:left="0" w:right="0" w:firstLine="480"/>
        <w:jc w:val="left"/>
        <w:keepLines w:val="0"/>
        <w:keepNext w:val="0"/>
        <w:pageBreakBefore w:val="0"/>
        <w:spacing w:line="440" w:lineRule="exact"/>
        <w:widowControl w:val="off"/>
        <w:rPr>
          <w:sz w:val="22"/>
          <w:szCs w:val="22"/>
          <w:highlight w:val="none"/>
        </w:rPr>
      </w:pPr>
      <w:r>
        <w:rPr>
          <w:rFonts w:hint="eastAsia" w:ascii="宋体" w:hAnsi="宋体" w:eastAsia="宋体" w:cs="宋体"/>
          <w:sz w:val="22"/>
          <w:szCs w:val="22"/>
          <w:highlight w:val="none"/>
        </w:rPr>
        <w:t xml:space="preserve">1.投标报价采用总承包方式，“投标总报价”投标报价应包括所投货物（包含与货物相关的服务）费用、安装调试费、测试验收费、培训费、管理费、利润、税金、运输保险、开证（如果有）及其他有关的为完成本项目发生的所有费用，招标文件中另有规定的除外。“投标总报价”数额为各“分项总价”之和。</w:t>
      </w:r>
      <w:r>
        <w:rPr>
          <w:highlight w:val="none"/>
        </w:rPr>
      </w:r>
      <w:r/>
    </w:p>
    <w:p>
      <w:pPr>
        <w:ind w:left="0" w:right="0" w:firstLine="480"/>
        <w:jc w:val="left"/>
        <w:keepLines w:val="0"/>
        <w:keepNext w:val="0"/>
        <w:pageBreakBefore w:val="0"/>
        <w:spacing w:line="440" w:lineRule="exact"/>
        <w:widowControl w:val="off"/>
        <w:rPr>
          <w:sz w:val="22"/>
          <w:szCs w:val="22"/>
          <w:highlight w:val="none"/>
        </w:rPr>
      </w:pPr>
      <w:r>
        <w:rPr>
          <w:rFonts w:hint="eastAsia" w:ascii="宋体" w:hAnsi="宋体" w:eastAsia="宋体" w:cs="宋体"/>
          <w:sz w:val="22"/>
          <w:szCs w:val="22"/>
          <w:highlight w:val="none"/>
        </w:rPr>
        <w:t xml:space="preserve">2.“投标分项报价表”中“投标总报价”数额应当与“开标一览表”中“投标总报价”数额一致。</w:t>
      </w:r>
      <w:r>
        <w:rPr>
          <w:highlight w:val="none"/>
        </w:rPr>
      </w:r>
      <w:r/>
    </w:p>
    <w:p>
      <w:pPr>
        <w:ind w:left="0" w:right="0" w:firstLine="480"/>
        <w:jc w:val="left"/>
        <w:keepLines w:val="0"/>
        <w:keepNext w:val="0"/>
        <w:pageBreakBefore w:val="0"/>
        <w:spacing w:line="440" w:lineRule="exact"/>
        <w:widowControl w:val="off"/>
        <w:rPr>
          <w:sz w:val="22"/>
          <w:szCs w:val="22"/>
          <w:highlight w:val="none"/>
        </w:rPr>
      </w:pPr>
      <w:r>
        <w:rPr>
          <w:rFonts w:hint="eastAsia" w:ascii="宋体" w:hAnsi="宋体" w:eastAsia="宋体" w:cs="宋体"/>
          <w:sz w:val="22"/>
          <w:szCs w:val="22"/>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none"/>
        </w:rPr>
      </w:r>
      <w:r/>
    </w:p>
    <w:p>
      <w:pPr>
        <w:ind w:left="0" w:right="0" w:firstLine="480"/>
        <w:jc w:val="left"/>
        <w:keepLines w:val="0"/>
        <w:keepNext w:val="0"/>
        <w:pageBreakBefore w:val="0"/>
        <w:spacing w:line="440" w:lineRule="exact"/>
        <w:widowControl w:val="off"/>
        <w:rPr>
          <w:sz w:val="22"/>
          <w:szCs w:val="22"/>
          <w:highlight w:val="none"/>
        </w:rPr>
      </w:pPr>
      <w:r>
        <w:rPr>
          <w:rFonts w:hint="eastAsia" w:ascii="宋体" w:hAnsi="宋体" w:eastAsia="宋体" w:cs="宋体"/>
          <w:sz w:val="22"/>
          <w:szCs w:val="22"/>
          <w:highlight w:val="none"/>
        </w:rPr>
        <w:t xml:space="preserve">4.投标人需认真填写本报价表，尤其注意规格型号的准确填写。</w:t>
      </w:r>
      <w:r>
        <w:rPr>
          <w:highlight w:val="none"/>
        </w:rPr>
      </w:r>
      <w:r/>
    </w:p>
    <w:p>
      <w:pPr>
        <w:jc w:val="center"/>
        <w:spacing w:line="360" w:lineRule="auto"/>
        <w:rPr>
          <w:highlight w:val="none"/>
        </w:rPr>
      </w:pPr>
      <w:r>
        <w:rPr>
          <w:highlight w:val="none"/>
        </w:rPr>
      </w:r>
      <w:r>
        <w:rPr>
          <w:highlight w:val="none"/>
        </w:rPr>
      </w:r>
      <w:r/>
    </w:p>
    <w:p>
      <w:pPr>
        <w:jc w:val="center"/>
        <w:spacing w:line="360" w:lineRule="auto"/>
        <w:rPr>
          <w:highlight w:val="none"/>
        </w:rPr>
      </w:pPr>
      <w:r>
        <w:rPr>
          <w:highlight w:val="none"/>
        </w:rPr>
      </w:r>
      <w:r>
        <w:rPr>
          <w:highlight w:val="none"/>
        </w:rPr>
      </w:r>
      <w:r/>
    </w:p>
    <w:p>
      <w:pPr>
        <w:ind w:left="420"/>
        <w:jc w:val="right"/>
        <w:spacing w:line="480" w:lineRule="auto"/>
        <w:rPr>
          <w:highlight w:val="none"/>
        </w:rPr>
      </w:pPr>
      <w:r>
        <w:rPr>
          <w:rFonts w:hint="eastAsia" w:ascii="宋体" w:hAnsi="宋体" w:eastAsia="宋体" w:cs="宋体"/>
          <w:color w:val="auto"/>
          <w:sz w:val="24"/>
          <w:szCs w:val="24"/>
          <w:highlight w:val="none"/>
        </w:rPr>
        <w:t xml:space="preserve">投标人公章：            （电子签章）</w:t>
      </w:r>
      <w:r>
        <w:rPr>
          <w:highlight w:val="none"/>
        </w:rPr>
      </w:r>
      <w:r/>
    </w:p>
    <w:p>
      <w:pPr>
        <w:ind w:firstLine="480"/>
        <w:jc w:val="right"/>
        <w:spacing w:line="360" w:lineRule="auto"/>
        <w:rPr>
          <w:highlight w:val="none"/>
        </w:rPr>
      </w:pPr>
      <w:r>
        <w:rPr>
          <w:highlight w:val="none"/>
        </w:rPr>
      </w:r>
      <w:r>
        <w:rPr>
          <w:highlight w:val="none"/>
        </w:rPr>
      </w:r>
      <w:r/>
    </w:p>
    <w:p>
      <w:pPr>
        <w:jc w:val="right"/>
        <w:spacing w:line="360" w:lineRule="auto"/>
        <w:rPr>
          <w:rFonts w:ascii="黑体" w:hAnsi="黑体" w:eastAsia="黑体"/>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highlight w:val="none"/>
        </w:rPr>
      </w:r>
      <w:r/>
    </w:p>
    <w:p>
      <w:pPr>
        <w:jc w:val="right"/>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ascii="黑体" w:hAnsi="黑体" w:eastAsia="黑体"/>
          <w:color w:val="auto"/>
          <w:sz w:val="28"/>
          <w:szCs w:val="28"/>
          <w:highlight w:val="none"/>
        </w:rPr>
      </w:pPr>
      <w:r>
        <w:rPr>
          <w:rFonts w:ascii="黑体" w:hAnsi="黑体" w:eastAsia="黑体"/>
          <w:color w:val="auto"/>
          <w:sz w:val="28"/>
          <w:szCs w:val="28"/>
          <w:highlight w:val="none"/>
        </w:rPr>
      </w:r>
      <w:r>
        <w:rPr>
          <w:highlight w:val="none"/>
        </w:rPr>
      </w:r>
      <w:r/>
    </w:p>
    <w:p>
      <w:pPr>
        <w:jc w:val="center"/>
        <w:spacing w:line="360" w:lineRule="auto"/>
        <w:rPr>
          <w:rFonts w:hint="eastAsia" w:ascii="黑体" w:hAnsi="黑体" w:eastAsia="黑体"/>
          <w:color w:val="auto"/>
          <w:sz w:val="36"/>
          <w:szCs w:val="28"/>
          <w:highlight w:val="none"/>
        </w:rPr>
      </w:pPr>
      <w:r>
        <w:rPr>
          <w:rFonts w:hint="eastAsia" w:ascii="黑体" w:hAnsi="黑体" w:eastAsia="黑体"/>
          <w:color w:val="auto"/>
          <w:sz w:val="28"/>
          <w:szCs w:val="22"/>
          <w:highlight w:val="none"/>
        </w:rPr>
        <w:t xml:space="preserve">商务条款响应表</w:t>
      </w:r>
      <w:r>
        <w:rPr>
          <w:highlight w:val="none"/>
        </w:rPr>
      </w:r>
      <w:r/>
    </w:p>
    <w:tbl>
      <w:tblPr>
        <w:tblStyle w:val="681"/>
        <w:tblW w:w="9345" w:type="dxa"/>
        <w:tblInd w:w="8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625"/>
        <w:gridCol w:w="3316"/>
        <w:gridCol w:w="2117"/>
        <w:gridCol w:w="1590"/>
      </w:tblGrid>
      <w:tr>
        <w:trPr>
          <w:cantSplit/>
          <w:trHeight w:val="610"/>
        </w:trPr>
        <w:tc>
          <w:tcPr>
            <w:tcW w:w="6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序号</w:t>
            </w:r>
            <w:r>
              <w:rPr>
                <w:highlight w:val="none"/>
              </w:rPr>
            </w:r>
            <w:r/>
          </w:p>
        </w:tc>
        <w:tc>
          <w:tcPr>
            <w:tcW w:w="162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主要商务条款</w:t>
            </w:r>
            <w:r>
              <w:rPr>
                <w:highlight w:val="none"/>
              </w:rPr>
            </w:r>
            <w:r/>
          </w:p>
        </w:tc>
        <w:tc>
          <w:tcPr>
            <w:tcW w:w="331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招标文件要求</w:t>
            </w:r>
            <w:r>
              <w:rPr>
                <w:highlight w:val="none"/>
              </w:rPr>
            </w:r>
            <w:r/>
          </w:p>
        </w:tc>
        <w:tc>
          <w:tcPr>
            <w:tcW w:w="21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投标文件响应</w:t>
            </w:r>
            <w:r>
              <w:rPr>
                <w:highlight w:val="none"/>
              </w:rPr>
            </w:r>
            <w:r/>
          </w:p>
        </w:tc>
        <w:tc>
          <w:tcPr>
            <w:tcW w:w="159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偏离情况</w:t>
            </w:r>
            <w:r>
              <w:rPr>
                <w:highlight w:val="none"/>
              </w:rPr>
            </w:r>
            <w:r/>
          </w:p>
          <w:p>
            <w:pPr>
              <w:jc w:val="center"/>
              <w:keepLines w:val="0"/>
              <w:keepNext w:val="0"/>
              <w:pageBreakBefore w:val="0"/>
              <w:spacing w:line="360" w:lineRule="exact"/>
              <w:widowControl/>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（正/负/无）</w:t>
            </w:r>
            <w:r>
              <w:rPr>
                <w:highlight w:val="none"/>
              </w:rPr>
            </w:r>
            <w:r/>
          </w:p>
        </w:tc>
      </w:tr>
      <w:tr>
        <w:trPr>
          <w:trHeight w:val="615"/>
        </w:trPr>
        <w:tc>
          <w:tcPr>
            <w:tcW w:w="6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w:t>
            </w:r>
            <w:r>
              <w:rPr>
                <w:highlight w:val="none"/>
              </w:rPr>
            </w:r>
            <w:r/>
          </w:p>
        </w:tc>
        <w:tc>
          <w:tcPr>
            <w:tcW w:w="16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highlight w:val="none"/>
              </w:rPr>
            </w:pPr>
            <w:r>
              <w:rPr>
                <w:rFonts w:hint="eastAsia" w:ascii="宋体" w:hAnsi="宋体" w:cs="宋体"/>
                <w:color w:val="auto"/>
                <w:sz w:val="22"/>
                <w:highlight w:val="none"/>
                <w:lang w:val="en-US" w:eastAsia="zh-CN"/>
              </w:rPr>
              <w:t xml:space="preserve">履约期限</w:t>
            </w:r>
            <w:r>
              <w:rPr>
                <w:highlight w:val="none"/>
              </w:rPr>
            </w:r>
            <w:r/>
          </w:p>
        </w:tc>
        <w:tc>
          <w:tcPr>
            <w:tcW w:w="3316"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color w:val="auto"/>
                <w:sz w:val="22"/>
                <w:highlight w:val="none"/>
              </w:rPr>
            </w:pPr>
            <w:r>
              <w:rPr>
                <w:rFonts w:hint="eastAsia" w:ascii="宋体" w:hAnsi="宋体" w:cs="宋体"/>
                <w:color w:val="auto"/>
                <w:sz w:val="22"/>
                <w:highlight w:val="none"/>
                <w:u w:val="single"/>
                <w:lang w:val="en-US" w:eastAsia="zh-CN"/>
              </w:rPr>
              <w:t xml:space="preserve">120</w:t>
            </w:r>
            <w:r>
              <w:rPr>
                <w:rFonts w:hint="eastAsia" w:ascii="宋体" w:hAnsi="宋体" w:cs="宋体"/>
                <w:color w:val="auto"/>
                <w:sz w:val="22"/>
                <w:highlight w:val="none"/>
                <w:u w:val="none"/>
                <w:lang w:val="en-US" w:eastAsia="zh-CN"/>
              </w:rPr>
              <w:t xml:space="preserve">日历天</w:t>
            </w:r>
            <w:r>
              <w:rPr>
                <w:highlight w:val="none"/>
              </w:rPr>
            </w:r>
            <w:r/>
          </w:p>
        </w:tc>
        <w:tc>
          <w:tcPr>
            <w:tcW w:w="21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W w:w="159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rHeight w:val="529"/>
        </w:trPr>
        <w:tc>
          <w:tcPr>
            <w:tcW w:w="6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w:t>
            </w:r>
            <w:r>
              <w:rPr>
                <w:highlight w:val="none"/>
              </w:rPr>
            </w:r>
            <w:r/>
          </w:p>
        </w:tc>
        <w:tc>
          <w:tcPr>
            <w:tcW w:w="16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投标有效期</w:t>
            </w:r>
            <w:r>
              <w:rPr>
                <w:highlight w:val="none"/>
              </w:rPr>
            </w:r>
            <w:r/>
          </w:p>
        </w:tc>
        <w:tc>
          <w:tcPr>
            <w:tcW w:w="3316"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2"/>
                <w:highlight w:val="none"/>
              </w:rPr>
            </w:pPr>
            <w:r>
              <w:rPr>
                <w:rFonts w:hint="eastAsia" w:ascii="宋体" w:hAnsi="宋体" w:cs="宋体"/>
                <w:bCs/>
                <w:color w:val="auto"/>
                <w:sz w:val="22"/>
                <w:highlight w:val="none"/>
                <w:u w:val="single"/>
                <w:lang w:val="en-US" w:eastAsia="zh-CN"/>
              </w:rPr>
              <w:t xml:space="preserve">90</w:t>
            </w:r>
            <w:r>
              <w:rPr>
                <w:rFonts w:hint="eastAsia" w:ascii="宋体" w:hAnsi="宋体" w:eastAsia="宋体" w:cs="宋体"/>
                <w:b/>
                <w:color w:val="auto"/>
                <w:sz w:val="22"/>
                <w:highlight w:val="none"/>
                <w:u w:val="single"/>
              </w:rPr>
              <w:t xml:space="preserve"> </w:t>
            </w:r>
            <w:r>
              <w:rPr>
                <w:rFonts w:hint="eastAsia" w:ascii="宋体" w:hAnsi="宋体" w:eastAsia="宋体" w:cs="宋体"/>
                <w:color w:val="auto"/>
                <w:sz w:val="22"/>
                <w:highlight w:val="none"/>
                <w:lang w:val="zh-CN"/>
              </w:rPr>
              <w:t xml:space="preserve">日</w:t>
            </w:r>
            <w:r>
              <w:rPr>
                <w:highlight w:val="none"/>
              </w:rPr>
            </w:r>
            <w:r/>
          </w:p>
        </w:tc>
        <w:tc>
          <w:tcPr>
            <w:tcW w:w="211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highlight w:val="none"/>
                <w:u w:val="single"/>
              </w:rPr>
            </w:pPr>
            <w:r>
              <w:rPr>
                <w:rFonts w:hint="eastAsia" w:ascii="宋体" w:hAnsi="宋体" w:eastAsia="宋体" w:cs="宋体"/>
                <w:color w:val="auto"/>
                <w:sz w:val="22"/>
                <w:highlight w:val="none"/>
                <w:u w:val="single"/>
              </w:rPr>
            </w:r>
            <w:r>
              <w:rPr>
                <w:highlight w:val="none"/>
              </w:rPr>
            </w:r>
            <w:r/>
          </w:p>
        </w:tc>
        <w:tc>
          <w:tcPr>
            <w:tcW w:w="159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rHeight w:val="640"/>
        </w:trPr>
        <w:tc>
          <w:tcPr>
            <w:tcW w:w="6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w:t>
            </w:r>
            <w:r>
              <w:rPr>
                <w:highlight w:val="none"/>
              </w:rPr>
            </w:r>
            <w:r/>
          </w:p>
        </w:tc>
        <w:tc>
          <w:tcPr>
            <w:tcW w:w="162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付款方式</w:t>
            </w:r>
            <w:r>
              <w:rPr>
                <w:highlight w:val="none"/>
              </w:rPr>
            </w:r>
            <w:r/>
          </w:p>
        </w:tc>
        <w:tc>
          <w:tcPr>
            <w:tcW w:w="331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（1）</w:t>
            </w:r>
            <w:r>
              <w:rPr>
                <w:rFonts w:hint="eastAsia" w:ascii="宋体" w:hAnsi="宋体" w:cs="宋体"/>
                <w:color w:val="auto"/>
                <w:sz w:val="22"/>
                <w:highlight w:val="none"/>
                <w:lang w:eastAsia="zh-CN"/>
              </w:rPr>
              <w:t xml:space="preserve">合同签订生效后7日内，支付合同价款40%的预付款</w:t>
            </w:r>
            <w:r>
              <w:rPr>
                <w:rFonts w:hint="eastAsia" w:ascii="宋体" w:hAnsi="宋体" w:eastAsia="宋体" w:cs="宋体"/>
                <w:color w:val="auto"/>
                <w:sz w:val="22"/>
                <w:highlight w:val="none"/>
              </w:rPr>
              <w:t xml:space="preserve">；</w:t>
            </w:r>
            <w:r>
              <w:rPr>
                <w:highlight w:val="none"/>
              </w:rPr>
            </w:r>
            <w:r/>
          </w:p>
          <w:p>
            <w:pPr>
              <w:jc w:val="left"/>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（2）设备安装、调试、验收合格后，凭验收合格报告和发票支付至合同价款的90%；</w:t>
            </w:r>
            <w:r>
              <w:rPr>
                <w:highlight w:val="none"/>
              </w:rPr>
            </w:r>
            <w:r/>
          </w:p>
          <w:p>
            <w:pPr>
              <w:jc w:val="left"/>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（3）验收合格满一年后付清余款。</w:t>
            </w:r>
            <w:r>
              <w:rPr>
                <w:highlight w:val="none"/>
              </w:rPr>
            </w:r>
            <w:r/>
          </w:p>
        </w:tc>
        <w:tc>
          <w:tcPr>
            <w:tcW w:w="21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W w:w="159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r>
        <w:trPr>
          <w:trHeight w:val="640"/>
        </w:trPr>
        <w:tc>
          <w:tcPr>
            <w:tcW w:w="69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cs="宋体"/>
                <w:color w:val="auto"/>
                <w:sz w:val="22"/>
                <w:highlight w:val="none"/>
                <w:lang w:val="en-US" w:eastAsia="zh-CN"/>
              </w:rPr>
              <w:t xml:space="preserve">4</w:t>
            </w:r>
            <w:r>
              <w:rPr>
                <w:highlight w:val="none"/>
              </w:rPr>
            </w:r>
            <w:r/>
          </w:p>
        </w:tc>
        <w:tc>
          <w:tcPr>
            <w:tcW w:w="162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cs="宋体"/>
                <w:color w:val="auto"/>
                <w:sz w:val="22"/>
                <w:highlight w:val="none"/>
                <w:lang w:val="en-US" w:eastAsia="zh-CN"/>
              </w:rPr>
              <w:t xml:space="preserve">质保期</w:t>
            </w:r>
            <w:r>
              <w:rPr>
                <w:highlight w:val="none"/>
              </w:rPr>
            </w:r>
            <w:r/>
          </w:p>
        </w:tc>
        <w:tc>
          <w:tcPr>
            <w:tcW w:w="331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1</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硬件产品保修(维保):自采购人、中标人和工程监理三方的验收并签发验收材料之日起，投标人必须为本项目所采购的智算模块提供至少3年原厂售后维保服务，数据可视化显示仪、急救车载PAD提供至少1年原厂售后维保服务。</w:t>
            </w:r>
            <w:r>
              <w:rPr>
                <w:highlight w:val="none"/>
              </w:rPr>
            </w:r>
            <w:r/>
          </w:p>
          <w:p>
            <w:pPr>
              <w:jc w:val="left"/>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2</w:t>
            </w:r>
            <w:r>
              <w:rPr>
                <w:rFonts w:hint="eastAsia" w:ascii="宋体" w:hAnsi="宋体" w:cs="宋体"/>
                <w:color w:val="auto"/>
                <w:sz w:val="22"/>
                <w:highlight w:val="none"/>
                <w:lang w:eastAsia="zh-CN"/>
              </w:rPr>
              <w:t xml:space="preserve">）</w:t>
            </w:r>
            <w:r>
              <w:rPr>
                <w:rFonts w:hint="eastAsia" w:ascii="宋体" w:hAnsi="宋体" w:eastAsia="宋体" w:cs="宋体"/>
                <w:color w:val="auto"/>
                <w:sz w:val="22"/>
                <w:highlight w:val="none"/>
              </w:rPr>
              <w:t xml:space="preserve">软件产品保修(维保):自项目验收之日起计算，投标人必须为本项目所采购的定制软件产品提供至少1年原厂售后保修(维保)服务。。</w:t>
            </w:r>
            <w:r>
              <w:rPr>
                <w:highlight w:val="none"/>
              </w:rPr>
            </w:r>
            <w:r/>
          </w:p>
        </w:tc>
        <w:tc>
          <w:tcPr>
            <w:tcW w:w="21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c>
          <w:tcPr>
            <w:tcW w:w="159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2"/>
                <w:highlight w:val="none"/>
              </w:rPr>
            </w:pPr>
            <w:r>
              <w:rPr>
                <w:rFonts w:hint="eastAsia" w:ascii="宋体" w:hAnsi="宋体" w:eastAsia="宋体" w:cs="宋体"/>
                <w:color w:val="auto"/>
                <w:sz w:val="22"/>
                <w:highlight w:val="none"/>
              </w:rPr>
            </w:r>
            <w:r>
              <w:rPr>
                <w:highlight w:val="none"/>
              </w:rPr>
            </w:r>
            <w:r/>
          </w:p>
        </w:tc>
      </w:tr>
    </w:tbl>
    <w:p>
      <w:pPr>
        <w:ind w:left="420"/>
        <w:jc w:val="right"/>
        <w:spacing w:line="480" w:lineRule="auto"/>
        <w:rPr>
          <w:rFonts w:ascii="华文中宋" w:hAnsi="华文中宋" w:eastAsia="华文中宋" w:cs="华文中宋"/>
          <w:color w:val="auto"/>
          <w:sz w:val="24"/>
          <w:szCs w:val="24"/>
          <w:highlight w:val="none"/>
        </w:rPr>
      </w:pPr>
      <w:r>
        <w:rPr>
          <w:rFonts w:ascii="华文中宋" w:hAnsi="华文中宋" w:eastAsia="华文中宋" w:cs="华文中宋"/>
          <w:color w:val="auto"/>
          <w:sz w:val="24"/>
          <w:szCs w:val="24"/>
          <w:highlight w:val="none"/>
        </w:rPr>
      </w:r>
      <w:r>
        <w:rPr>
          <w:highlight w:val="none"/>
        </w:rPr>
      </w:r>
      <w:r/>
    </w:p>
    <w:p>
      <w:pPr>
        <w:ind w:left="420"/>
        <w:jc w:val="right"/>
        <w:spacing w:line="480" w:lineRule="auto"/>
        <w:rPr>
          <w:rFonts w:ascii="华文中宋" w:hAnsi="华文中宋" w:eastAsia="华文中宋" w:cs="华文中宋"/>
          <w:color w:val="auto"/>
          <w:sz w:val="22"/>
          <w:szCs w:val="22"/>
          <w:highlight w:val="none"/>
        </w:rPr>
      </w:pPr>
      <w:r>
        <w:rPr>
          <w:rFonts w:hint="eastAsia" w:ascii="华文中宋" w:hAnsi="华文中宋" w:eastAsia="华文中宋" w:cs="华文中宋"/>
          <w:color w:val="auto"/>
          <w:sz w:val="22"/>
          <w:szCs w:val="22"/>
          <w:highlight w:val="none"/>
        </w:rPr>
        <w:t xml:space="preserve">投标人公章：            （电子签章）</w:t>
      </w:r>
      <w:r>
        <w:rPr>
          <w:highlight w:val="none"/>
        </w:rPr>
      </w:r>
      <w:r/>
    </w:p>
    <w:p>
      <w:pPr>
        <w:ind w:firstLine="480"/>
        <w:jc w:val="right"/>
        <w:spacing w:line="360" w:lineRule="auto"/>
        <w:rPr>
          <w:rFonts w:ascii="华文中宋" w:hAnsi="华文中宋" w:eastAsia="华文中宋" w:cs="华文中宋"/>
          <w:color w:val="auto"/>
          <w:sz w:val="22"/>
          <w:szCs w:val="22"/>
          <w:highlight w:val="none"/>
        </w:rPr>
      </w:pPr>
      <w:r>
        <w:rPr>
          <w:rFonts w:hint="eastAsia" w:ascii="华文中宋" w:hAnsi="华文中宋" w:eastAsia="华文中宋" w:cs="华文中宋"/>
          <w:color w:val="auto"/>
          <w:sz w:val="22"/>
          <w:szCs w:val="22"/>
          <w:highlight w:val="none"/>
          <w:u w:val="single"/>
        </w:rPr>
        <w:t xml:space="preserve">         </w:t>
      </w:r>
      <w:r>
        <w:rPr>
          <w:rFonts w:hint="eastAsia" w:ascii="华文中宋" w:hAnsi="华文中宋" w:eastAsia="华文中宋" w:cs="华文中宋"/>
          <w:color w:val="auto"/>
          <w:sz w:val="22"/>
          <w:szCs w:val="22"/>
          <w:highlight w:val="none"/>
        </w:rPr>
        <w:t xml:space="preserve">年</w:t>
      </w:r>
      <w:r>
        <w:rPr>
          <w:rFonts w:hint="eastAsia" w:ascii="华文中宋" w:hAnsi="华文中宋" w:eastAsia="华文中宋" w:cs="华文中宋"/>
          <w:color w:val="auto"/>
          <w:sz w:val="22"/>
          <w:szCs w:val="22"/>
          <w:highlight w:val="none"/>
          <w:u w:val="single"/>
        </w:rPr>
        <w:t xml:space="preserve">   </w:t>
      </w:r>
      <w:r>
        <w:rPr>
          <w:rFonts w:hint="eastAsia" w:ascii="华文中宋" w:hAnsi="华文中宋" w:eastAsia="华文中宋" w:cs="华文中宋"/>
          <w:color w:val="auto"/>
          <w:sz w:val="22"/>
          <w:szCs w:val="22"/>
          <w:highlight w:val="none"/>
        </w:rPr>
        <w:t xml:space="preserve">月</w:t>
      </w:r>
      <w:r>
        <w:rPr>
          <w:rFonts w:hint="eastAsia" w:ascii="华文中宋" w:hAnsi="华文中宋" w:eastAsia="华文中宋" w:cs="华文中宋"/>
          <w:color w:val="auto"/>
          <w:sz w:val="22"/>
          <w:szCs w:val="22"/>
          <w:highlight w:val="none"/>
          <w:u w:val="single"/>
        </w:rPr>
        <w:t xml:space="preserve">   </w:t>
      </w:r>
      <w:r>
        <w:rPr>
          <w:rFonts w:hint="eastAsia" w:ascii="华文中宋" w:hAnsi="华文中宋" w:eastAsia="华文中宋" w:cs="华文中宋"/>
          <w:color w:val="auto"/>
          <w:sz w:val="22"/>
          <w:szCs w:val="22"/>
          <w:highlight w:val="none"/>
        </w:rPr>
        <w:t xml:space="preserve">日</w:t>
      </w:r>
      <w:r>
        <w:rPr>
          <w:highlight w:val="none"/>
        </w:rPr>
      </w:r>
      <w:r/>
    </w:p>
    <w:p>
      <w:pPr>
        <w:ind w:firstLine="480"/>
        <w:jc w:val="right"/>
        <w:spacing w:line="360" w:lineRule="auto"/>
        <w:rPr>
          <w:rFonts w:ascii="华文中宋" w:hAnsi="华文中宋" w:eastAsia="华文中宋" w:cs="华文中宋"/>
          <w:color w:val="auto"/>
          <w:sz w:val="24"/>
          <w:szCs w:val="24"/>
          <w:highlight w:val="none"/>
        </w:rPr>
        <w:sectPr>
          <w:headerReference w:type="default" r:id="rId9"/>
          <w:footerReference w:type="default" r:id="rId10"/>
          <w:footnotePr/>
          <w:endnotePr/>
          <w:type w:val="nextPage"/>
          <w:pgSz w:w="11906" w:h="16838" w:orient="portrait"/>
          <w:pgMar w:top="1094" w:right="1179" w:bottom="726" w:left="1570" w:header="851" w:footer="652" w:gutter="0"/>
          <w:cols w:num="1" w:sep="0" w:space="1701" w:equalWidth="1"/>
          <w:docGrid w:linePitch="360"/>
        </w:sectPr>
      </w:pPr>
      <w:r>
        <w:rPr>
          <w:rFonts w:ascii="华文中宋" w:hAnsi="华文中宋" w:eastAsia="华文中宋" w:cs="华文中宋"/>
          <w:color w:val="auto"/>
          <w:sz w:val="24"/>
          <w:szCs w:val="24"/>
          <w:highlight w:val="none"/>
        </w:rPr>
      </w:r>
      <w:r>
        <w:rPr>
          <w:highlight w:val="none"/>
        </w:rPr>
      </w:r>
      <w:r/>
    </w:p>
    <w:p>
      <w:pPr>
        <w:ind w:left="0" w:firstLine="0"/>
        <w:jc w:val="center"/>
        <w:spacing w:line="360" w:lineRule="auto"/>
        <w:rPr>
          <w:rFonts w:ascii="黑体" w:hAnsi="黑体" w:eastAsia="黑体"/>
          <w:color w:val="auto"/>
          <w:sz w:val="28"/>
          <w:szCs w:val="36"/>
          <w:highlight w:val="none"/>
        </w:rPr>
      </w:pPr>
      <w:r>
        <w:rPr>
          <w:rFonts w:ascii="黑体" w:hAnsi="黑体" w:eastAsia="黑体"/>
          <w:color w:val="auto"/>
          <w:sz w:val="28"/>
          <w:szCs w:val="36"/>
          <w:highlight w:val="none"/>
        </w:rPr>
        <w:t xml:space="preserve">技术条款响应表</w:t>
      </w:r>
      <w:r>
        <w:rPr>
          <w:highlight w:val="none"/>
        </w:rPr>
      </w:r>
      <w:r/>
    </w:p>
    <w:p>
      <w:pPr>
        <w:ind w:left="0" w:right="0" w:firstLine="0"/>
        <w:jc w:val="center"/>
        <w:keepLines w:val="0"/>
        <w:keepNext w:val="0"/>
        <w:pageBreakBefore w:val="0"/>
        <w:spacing w:line="360" w:lineRule="auto"/>
        <w:widowControl w:val="off"/>
        <w:rPr>
          <w:b/>
          <w:bCs/>
          <w:sz w:val="22"/>
          <w:szCs w:val="22"/>
          <w:highlight w:val="none"/>
        </w:rPr>
      </w:pPr>
      <w:r>
        <w:rPr>
          <w:rFonts w:hint="eastAsia" w:ascii="楷体" w:hAnsi="楷体" w:eastAsia="楷体" w:cs="楷体"/>
          <w:b/>
          <w:bCs/>
          <w:sz w:val="22"/>
          <w:szCs w:val="22"/>
          <w:highlight w:val="none"/>
        </w:rPr>
        <w:t xml:space="preserve">1.1 卒中胸痛急救智能体平台</w:t>
      </w:r>
      <w:r>
        <w:rPr>
          <w:highlight w:val="none"/>
        </w:rPr>
      </w:r>
      <w:r/>
    </w:p>
    <w:tbl>
      <w:tblPr>
        <w:tblStyle w:val="681"/>
        <w:tblW w:w="13954"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60"/>
        <w:gridCol w:w="1450"/>
        <w:gridCol w:w="1840"/>
        <w:gridCol w:w="4164"/>
        <w:gridCol w:w="3090"/>
        <w:gridCol w:w="1230"/>
        <w:gridCol w:w="1020"/>
      </w:tblGrid>
      <w:tr>
        <w:trPr>
          <w:trHeight w:val="480"/>
        </w:trPr>
        <w:tc>
          <w:tcPr>
            <w:shd w:val="clear" w:color="auto" w:fill="auto"/>
            <w:tcBorders>
              <w:top w:val="single" w:color="000000" w:sz="4" w:space="0"/>
              <w:left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一级模块</w:t>
            </w:r>
            <w:r>
              <w:rPr>
                <w:highlight w:val="none"/>
              </w:rPr>
            </w:r>
            <w:r/>
          </w:p>
        </w:tc>
        <w:tc>
          <w:tcPr>
            <w:shd w:val="clear" w:color="auto" w:fill="auto"/>
            <w:tcBorders>
              <w:top w:val="single" w:color="000000" w:sz="4" w:space="0"/>
              <w:left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二级模块</w:t>
            </w:r>
            <w:r>
              <w:rPr>
                <w:highlight w:val="none"/>
              </w:rPr>
            </w:r>
            <w:r/>
          </w:p>
        </w:tc>
        <w:tc>
          <w:tcPr>
            <w:shd w:val="clear" w:color="auto" w:fill="auto"/>
            <w:tcBorders>
              <w:top w:val="single" w:color="000000" w:sz="4" w:space="0"/>
              <w:left w:val="single" w:color="000000" w:sz="4" w:space="0"/>
              <w:right w:val="single" w:color="000000" w:sz="4" w:space="0"/>
            </w:tcBorders>
            <w:tcW w:w="184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三级模块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5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功能要求</w:t>
            </w:r>
            <w:r>
              <w:rPr>
                <w:rFonts w:hint="eastAsia" w:ascii="宋体" w:hAnsi="宋体" w:eastAsia="宋体" w:cs="宋体"/>
                <w:b/>
                <w:bCs/>
                <w:i w:val="0"/>
                <w:iCs w:val="0"/>
                <w:color w:val="000000"/>
                <w:sz w:val="18"/>
                <w:szCs w:val="18"/>
                <w:highlight w:val="none"/>
                <w:u w:val="none"/>
                <w:lang w:val="en-US" w:eastAsia="zh-CN" w:bidi="ar"/>
              </w:rPr>
              <w:br/>
            </w: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偏离情况</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（负/无/正）</w:t>
            </w:r>
            <w:r>
              <w:rPr>
                <w:highlight w:val="none"/>
              </w:rPr>
            </w:r>
            <w:r/>
          </w:p>
        </w:tc>
        <w:tc>
          <w:tcPr>
            <w:shd w:val="clear" w:color="auto" w:fill="auto"/>
            <w:tcBorders>
              <w:top w:val="single" w:color="000000" w:sz="4" w:space="0"/>
              <w:left w:val="single" w:color="000000" w:sz="4" w:space="0"/>
              <w:right w:val="single" w:color="000000" w:sz="4" w:space="0"/>
            </w:tcBorders>
            <w:tcW w:w="1020" w:type="dxa"/>
            <w:vAlign w:val="center"/>
            <w:vMerge w:val="restart"/>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证明材料</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所在页次</w:t>
            </w:r>
            <w:r>
              <w:rPr>
                <w:highlight w:val="none"/>
              </w:rPr>
            </w:r>
            <w:r/>
          </w:p>
        </w:tc>
      </w:tr>
      <w:tr>
        <w:trPr>
          <w:trHeight w:val="480"/>
        </w:trPr>
        <w:tc>
          <w:tcPr>
            <w:shd w:val="clear" w:color="auto" w:fill="auto"/>
            <w:tcBorders>
              <w:left w:val="single" w:color="000000" w:sz="4" w:space="0"/>
              <w:bottom w:val="single" w:color="000000" w:sz="4" w:space="0"/>
              <w:right w:val="single" w:color="000000" w:sz="4" w:space="0"/>
            </w:tcBorders>
            <w:tcW w:w="116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45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84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招标要求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投标响应</w:t>
            </w:r>
            <w:r>
              <w:rPr>
                <w:highlight w:val="none"/>
              </w:rPr>
            </w: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02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卒中胸痛专科数据治理平台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多源异构数据治理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多源异构数据统一适配器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1、支持医院 HIS/LIS/PACS 原有结构化数据库、半结构化（XML/JSON）及非结构化数据的实时接入与协议转换。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灵活的数据源接入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1、支持对接主流医疗系统（如HIS、LIS、PACS、EMR等）。支持多种常见数据库类型和接入方式（如数据库直连、标准医疗协议、REST接口、文件导入等）。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2、支持自定义适配器扩展，满足不同医院的个性化系统对接需求。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数据协议转换与统一处理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1、支持将异构数据源的数据统一转换为系统内部的标准数据格式，支持灵活的字段映射配置，院方可根据实际情况自定义数据转换规则，支持常见的数据转换需求，如代码转换、单位转换、格式标准化等。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数据同步与更新机制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1、支持多种数据同步模式（如全量同步、增量同步等），适应不同场景需求。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2、支持数据变更的及时感知与处理，确保系统数据的相对实时性。内置异常处理与重试机制，提高数据同步的可靠性。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数据质量与安全保障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1、支持基础的数据验证与质量检查，识别和隔离异常数据。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2、支持数据去重与冲突处理，确保数据的一致性。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3、支持数据传输加密和访问控制，保护患者隐私数据，显示完整的操作审计日志，便于事后追溯。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监控与运维支持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1、支持数据接入状态的监控与告警能力。支持数据同步过程的可视化管理与配置。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复杂文档结构化解析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医疗大模型推理引擎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bottom"/>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1、内置模型调度系统，支持对非结构化、半结构化病历进行识别，准确提取主诉、现病史、体征等关键变量。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bottom"/>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bottom"/>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bottom"/>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复杂文档结构化解析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1、针对纸质报告，通过OCR识别技术，实现半结构化表格与非结构化段落的高精度还原。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数据采集与治理能力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bottom"/>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历史数据采集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1、系统支持对医院系统中卒中胸痛患者的历史就诊医嘱、病历文书、检验检查等数据的批量采集。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数据清洗与对齐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1、系统支持对数据进行自动清洗、标准化和结构对齐，保障数据一致性和可用性。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数据采集范围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1、患者基本信息、检验报告、检查报告、诊断信息、手术信息、医嘱信息、病历文书等。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专科量表智能评估功能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双病种多维度量表支持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胸痛专科量表配置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▲1、系统需内置电子化 GRACE评分（ACS预后风险评估）、TIMI评分（UA/NSTEMI事件风险评估）或 CRUSADE评分（出血风险评估）工具组件。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卒中专科量表配置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▲1、系统需内置电子化 LAMS评分（大血管闭塞预测评估）及 NIHSS评分（包含完整15项国家标准神经功能缺损体格检查项目）工具组件。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数据联动与自动打分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跨模块数据反填</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1、量表计算所需客观参数（如年龄、收缩压、心率、血清肌酐值等），系统需自动从院内接口中定向抓取，并精准映射填充至对应量表项，实现免人工录入。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人工干预与痕迹保留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1、允许医生在前端界面对自动反填的参数进行手动覆盖修改。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极速重算响应机制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▲1、当量表内任何参数发生变更（含接口推送变更或人工修改）时，系统底层计算引擎须立即完成全量表总分的重新计算，并实时更新前端UI总分展示区域。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动态风险分级映射</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规则映射引擎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▲1、系统需具备风险分级自动映射逻辑，严格基于量表最终得分阈值，自动输出对应的定性风险分级结论（如：低危、中危、高危）。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高危颜色预警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▲1、系统需为不同风险等级配置独立的背景色标规范（如：低危强制为绿色系，中危为黄色系，高危为红色系）。</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智能分析与决策支持功能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心电/CT辅助判读联动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心电网络无缝对接（胸痛）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1、系统需支持对接院内心电网络，拉取12导联/18导联数字心电图文件及设备/AI自带的初步判读结论（如疑似STEMI）。</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核心生化指标动态监控（胸痛）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1、系统需自动抓取并展示高敏肌钙蛋白（cTnI/cTnT）、CK-MB、D-二聚体、凝血功能等关键指标。针对同一患者多批次的检验结果，系统需支持自动绘制时间趋势折线图。</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PACS联动与强提醒弹窗（卒中）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具备拉取第三方影像系统或影像AI针对头颅CT/CTA的分析结论。当接口返回状态命中“脑出血排查通过”或“发现大血管闭塞（LVO）”时，系统主界面必须立即触发最高层级的强制交互报警弹窗。该弹窗需覆盖核心视图，且必须强制操作人员点击“确认知晓”按钮后方可关闭消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禁忌症红线拦截机制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NLP语义安全检索</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智能分析引擎需针对系统中采集的现病史、既往史及用药史等长文本数据进行实体识别。系统必须具备精准检出“近3个月内大型手术”、“既往脑出血史”、“近期服用抗凝药（含常见商品名及通用名）”等禁忌症关键词及其否定语境的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强拦截触发与视图降级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1、若引擎命中上述任一溶栓或介入手术绝对禁忌规则，系统必须立即生成红色醒目的高亮预警。</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卒中胸痛智能双路径急救推荐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决策模型输出要求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▲1、系统需基于实时体征信息、风险得分及检查结论，自动运算并输出卒中胸痛急救路径的结构化推荐内容。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胸痛路径推荐要素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▲1、推荐内容必须包含：双联抗血小板用药方案（明确提供阿司匹林、氯吡格雷、替格瑞洛的标准剂量选项供勾选）；以及直接PCI或静脉溶栓的优先顺序建议与模型推理依据。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卒中路径推荐要素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▲1、推荐内容必须基于采集的发病时间窗及NIHSS量表参数，明确输出是否符合静脉溶栓（IVT）指征或机械取栓（EVT）指征的结论。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医生决策优化</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1、针对系统的每一次方案推荐，前端必须提供“采纳”或“忽略/拒绝”的操作控件。医生做出的任何决策，系统均需记录操作人ID、精准到秒的时间戳，写入后台日志数据库。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文书智能生成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1、结合采集的结构化体征、专科量表评分、辅助检查结论及医生采纳的治疗方案，系统需支持一键自动生成结构化的急诊病历草稿。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vMerge w:val="continue"/>
            <w:textDirection w:val="lrTb"/>
            <w:noWrap w:val="false"/>
          </w:tcPr>
          <w:p>
            <w:pPr>
              <w:jc w:val="both"/>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2、生成的病历文本支持医生在线预览及手动二次编辑，并支持一键复制或通过接口一键回写至院内核心HIS/EMR系统中。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16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数据看板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16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1、系统应基于院内实时抓取的数据，提供数据看板功能，集中展示卒中、胸痛急救患者当前所处的救治节点，帮助医护人员直观掌握患者所处救治阶段及关键进展情况。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bl>
    <w:p>
      <w:pPr>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ind w:left="0" w:right="0" w:firstLine="0"/>
        <w:jc w:val="cente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rPr>
        <w:t xml:space="preserve">1.2急救车急诊智能病历生成系统</w:t>
      </w:r>
      <w:r>
        <w:rPr>
          <w:highlight w:val="none"/>
        </w:rPr>
      </w:r>
      <w:r/>
    </w:p>
    <w:tbl>
      <w:tblPr>
        <w:tblStyle w:val="681"/>
        <w:tblW w:w="13994"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10"/>
        <w:gridCol w:w="1920"/>
        <w:gridCol w:w="4844"/>
        <w:gridCol w:w="3470"/>
        <w:gridCol w:w="1300"/>
        <w:gridCol w:w="1150"/>
      </w:tblGrid>
      <w:tr>
        <w:trPr>
          <w:trHeight w:val="520"/>
        </w:trPr>
        <w:tc>
          <w:tcPr>
            <w:shd w:val="clear" w:color="auto" w:fill="auto"/>
            <w:tcBorders>
              <w:top w:val="single" w:color="000000" w:sz="4" w:space="0"/>
              <w:left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一级模块</w:t>
            </w:r>
            <w:r>
              <w:rPr>
                <w:highlight w:val="none"/>
              </w:rPr>
            </w:r>
            <w:r/>
          </w:p>
        </w:tc>
        <w:tc>
          <w:tcPr>
            <w:shd w:val="clear" w:color="auto" w:fill="auto"/>
            <w:tcBorders>
              <w:top w:val="single" w:color="000000" w:sz="4" w:space="0"/>
              <w:left w:val="single" w:color="000000" w:sz="4" w:space="0"/>
              <w:right w:val="single" w:color="000000" w:sz="4" w:space="0"/>
            </w:tcBorders>
            <w:tcW w:w="192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二级模块</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3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功能要求</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（评分项）</w:t>
            </w:r>
            <w:r>
              <w:rPr>
                <w:highlight w:val="none"/>
              </w:rPr>
            </w:r>
            <w:r/>
          </w:p>
        </w:tc>
        <w:tc>
          <w:tcPr>
            <w:shd w:val="clear" w:color="auto" w:fill="auto"/>
            <w:tcBorders>
              <w:top w:val="single" w:color="000000" w:sz="4" w:space="0"/>
              <w:left w:val="single" w:color="000000" w:sz="4" w:space="0"/>
              <w:right w:val="single" w:color="000000" w:sz="4" w:space="0"/>
            </w:tcBorders>
            <w:tcW w:w="130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偏离情况</w:t>
            </w:r>
            <w:r>
              <w:rPr>
                <w:highlight w:val="none"/>
              </w:rPr>
            </w:r>
            <w:r/>
          </w:p>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（负/无/正）</w:t>
            </w:r>
            <w:r>
              <w:rPr>
                <w:highlight w:val="none"/>
              </w:rPr>
            </w:r>
            <w:r/>
          </w:p>
        </w:tc>
        <w:tc>
          <w:tcPr>
            <w:shd w:val="clear" w:color="auto" w:fill="auto"/>
            <w:tcBorders>
              <w:top w:val="single" w:color="000000" w:sz="4" w:space="0"/>
              <w:left w:val="single" w:color="000000" w:sz="4" w:space="0"/>
              <w:right w:val="single" w:color="000000" w:sz="4" w:space="0"/>
            </w:tcBorders>
            <w:tcW w:w="1150" w:type="dxa"/>
            <w:vAlign w:val="center"/>
            <w:vMerge w:val="restart"/>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证明材料</w:t>
            </w:r>
            <w:r>
              <w:rPr>
                <w:highlight w:val="none"/>
              </w:rPr>
            </w:r>
            <w:r/>
          </w:p>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所在页次</w:t>
            </w:r>
            <w:r>
              <w:rPr>
                <w:highlight w:val="none"/>
              </w:rPr>
            </w:r>
            <w:r/>
          </w:p>
        </w:tc>
      </w:tr>
      <w:tr>
        <w:trPr>
          <w:trHeight w:val="520"/>
        </w:trPr>
        <w:tc>
          <w:tcPr>
            <w:shd w:val="clear" w:color="auto" w:fill="auto"/>
            <w:tcBorders>
              <w:left w:val="single" w:color="000000" w:sz="4" w:space="0"/>
              <w:bottom w:val="single" w:color="000000" w:sz="4" w:space="0"/>
              <w:right w:val="single" w:color="000000" w:sz="4" w:space="0"/>
            </w:tcBorders>
            <w:tcW w:w="1310"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left w:val="single" w:color="000000" w:sz="4" w:space="0"/>
              <w:bottom w:val="single" w:color="000000" w:sz="4" w:space="0"/>
              <w:right w:val="single" w:color="000000" w:sz="4" w:space="0"/>
            </w:tcBorders>
            <w:tcW w:w="1920"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招标要求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投标响应</w:t>
            </w:r>
            <w:r>
              <w:rPr>
                <w:highlight w:val="none"/>
              </w:rPr>
            </w:r>
            <w:r/>
          </w:p>
        </w:tc>
        <w:tc>
          <w:tcPr>
            <w:shd w:val="clear" w:color="auto" w:fill="auto"/>
            <w:tcBorders>
              <w:left w:val="single" w:color="000000" w:sz="4" w:space="0"/>
              <w:bottom w:val="single" w:color="000000" w:sz="4" w:space="0"/>
              <w:right w:val="single" w:color="000000" w:sz="4" w:space="0"/>
            </w:tcBorders>
            <w:tcW w:w="130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c>
          <w:tcPr>
            <w:shd w:val="clear" w:color="auto" w:fill="auto"/>
            <w:tcBorders>
              <w:left w:val="single" w:color="000000" w:sz="4" w:space="0"/>
              <w:bottom w:val="single" w:color="000000" w:sz="4" w:space="0"/>
              <w:right w:val="single" w:color="000000" w:sz="4" w:space="0"/>
            </w:tcBorders>
            <w:tcW w:w="115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患者信息管理功能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患者信息管理功能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1、急救车移动端需准确显示患者检伤号，检伤号位数与生成逻辑需符合国家卫健委最新急诊分诊标准或院内自定义的检伤编码规则。急诊诊室端需展示患者姓名、性别、年龄、患者ID、就诊时间及就诊类型。</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字段配置能力</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1、系统具备字段显示配置功能，可对患者ID与就诊时间进行独立配置，控制其开启或关闭显示，系统初始默认状态为显示。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病情智能采集功能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智能语音录入与转写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▲1、系统具备语音唤醒功能，在医患对话场景下，可将录音实时准确转化为文本。支持语音补录入功能。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2、支持单次不少于60分钟的连续不间断语音录入，底层模型字符处理窗口需不低于 40,000 字符上下文。系统可自动将多次录入内容进行逻辑融合；提供完整清晰的语音原音回放功能。系统需针对医学专业术语（含药品通用名、疾病标准名称等）进行定向模型优化。系统后台提供热词管理模块，支持院方管理员自主新增、修改、删除专科特征词、本地方言俗语及医生惯用简称。</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手动文本录入</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1、支持医生进行细节与个性化描述的文字录入，字符录入及处理上限需不少于40,000个字符（以满足大语言模型32K及以上上下文窗口的数据承载需求）。手动录入与语音录入内容可实现相互融合与正常生成。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历史病史总结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历史病史总结</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自动调取患者近期就诊病历的能力，并基于历史病历内容自动形成病史总结。系统应结合历史病史总结及本次医患对话采集内容，按照临床诊断思维逻辑进行综合分析，自动生成内容连贯、结构完整的病历草稿。</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大模型智能急救病历生成功能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医患对话语义净除引擎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1、系统支持自动识别并剔除录音转写文本中的无效信息，包括家属情绪宣泄、非医疗闲聊、重复口语及环境调度杂音。 系统底层的 ASR 语音引擎需内置方言声学适配模型，支持识别带有地方口音的普通话，并将其转写为标准文本。仅提纯保留核心医学事实，确保提取内容无明显医学逻辑和语义错误，提升病历生成信噪比。</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急救车场景急诊病历内容自动生成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▲1、基于提取的有效病情特征，自动生成结构化急诊病历草稿。内容须包含主诉、现病史、既往史、过敏史等。</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2、系统支持自动开启录音开关配置（默认关闭），以及录入后自动生成急诊病历开关配置（可切换为手动点击生成病历，默认关闭）。</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高并发智能排队机制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当系统调用模型达到并发上限时，页面需展示排队状态、生成步骤位置、前方排队人数及动态更新的预估等待时间。预估等待时长计算逻辑为：上一次同类型文书生成时长乘以同类型文书等待人数，再除以并发数。等待时间不足一分钟时显示具体秒数；超过一分钟时按四舍五入仅显示整数部分（如90秒显示为2分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急诊病历管理与操作功能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病历预览与编辑</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1、急救车场景生成后的急诊病历回传回院内后，支持医生在线预览及手动二次编辑并保存。具备状态保持能力，切换病人或重新登录系统后，已生成的病历内容不丢失，可继续查看与操作。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复制功能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1、支持将病历所有内容一键复制至系统剪贴板，一键复制需包含字段名称，以便粘贴至医院系统。同时支持单个字段内容的独立复制，单项复制仅包含对应内容，不含字段名。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重新生成与重置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根据修改或新增的录入内容重新分析病情，并融合新内容生成新病历。支持一键重置功能，准确清除当前患者的所有录入内容及已生成病历。重置操作需保证患者数据隔离，切换病人时不影响其他患者生成的数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生成记录追溯</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1、系统记录同一患者、同一份文书最新一次的生成操作日志。无论生成成功或失败，均需准确追溯并记录原始入参和生成结果出参。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系统集成与交互功能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系统回写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▲1、具备与院内系统的对接能力，支持将生成的急救病历草稿全量或按字段分项回写两种能力，并根据院内电子病历接口能力选择适配方式。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2、支持按急诊科室模板对急诊病历草稿回写的策略配置。</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3、支持全程不打断医生原有诊疗流程，并兼容后端接口回写、前端页面回写及院方调用接口回写等多种模式。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4</w:t>
            </w:r>
            <w:r>
              <w:rPr>
                <w:rFonts w:hint="eastAsia" w:ascii="宋体" w:hAnsi="宋体" w:eastAsia="宋体" w:cs="宋体"/>
                <w:i w:val="0"/>
                <w:iCs w:val="0"/>
                <w:color w:val="000000"/>
                <w:sz w:val="18"/>
                <w:szCs w:val="18"/>
                <w:highlight w:val="none"/>
                <w:u w:val="none"/>
                <w:lang w:val="en-US" w:eastAsia="zh-CN" w:bidi="ar"/>
              </w:rPr>
              <w:t xml:space="preserve">、支持患者身份与就诊记录的绑定校验，避免误写入错误患者或错误就诊记录。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5</w:t>
            </w:r>
            <w:r>
              <w:rPr>
                <w:rFonts w:hint="eastAsia" w:ascii="宋体" w:hAnsi="宋体" w:eastAsia="宋体" w:cs="宋体"/>
                <w:i w:val="0"/>
                <w:iCs w:val="0"/>
                <w:color w:val="000000"/>
                <w:sz w:val="18"/>
                <w:szCs w:val="18"/>
                <w:highlight w:val="none"/>
                <w:u w:val="none"/>
                <w:lang w:val="en-US" w:eastAsia="zh-CN" w:bidi="ar"/>
              </w:rPr>
              <w:t xml:space="preserve">、系统应在回写前执行模板匹配、字段映射、文书状态、必填项、字段长度及格式合法性校验。</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6</w:t>
            </w:r>
            <w:r>
              <w:rPr>
                <w:rFonts w:hint="eastAsia" w:ascii="宋体" w:hAnsi="宋体" w:eastAsia="宋体" w:cs="宋体"/>
                <w:i w:val="0"/>
                <w:iCs w:val="0"/>
                <w:color w:val="000000"/>
                <w:sz w:val="18"/>
                <w:szCs w:val="18"/>
                <w:highlight w:val="none"/>
                <w:u w:val="none"/>
                <w:lang w:val="en-US" w:eastAsia="zh-CN" w:bidi="ar"/>
              </w:rPr>
              <w:t xml:space="preserve">、支持回写失败时可向界面返回具体错误状态码及明确异常原因提示（如接口超时、目标字段校验失败等），并支持手动一键重试机制，保障数据稳定可靠回写。</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r>
            <w:r>
              <w:rPr>
                <w:highlight w:val="none"/>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用户反馈机制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前端提供生成内容评价模块，支持历史评分展示。评价包含四个维度：1至5星级打分、生成式病历对工作帮助的方面（多选题）、需要改善的内容（多选题）、自由文本输入反馈。以上四项至少完成一项即可提交。</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后台管理功能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模板引擎</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系统提供急诊病历通用模板，支持导入加密码的自定义模板。支持按科室单选及模型进行个性化配置。支持急诊记录的解析与生成。支持模板的提交、重置、替换与删除操作。同科室、同文书类型仅存在一个生效模板，支持覆盖更新，删除后对应科室模板不再生效。</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right w:val="single" w:color="000000" w:sz="4" w:space="0"/>
            </w:tcBorders>
            <w:tcW w:w="1920" w:type="dxa"/>
            <w:vAlign w:val="center"/>
            <w:vMerge w:val="restart"/>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运行监控与调试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通过姓名、所属科室、病历模板、来源、创建人、更新时间、病历内容关键词进行单条件或多条件组合查询已生成的病历，无结果时应明确提示“未查询到匹配记录”，并保留当前的检索查询条件以便二次修改，支持保存多个查询条件模板以便于后续直接调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1920" w:type="dxa"/>
            <w:vAlign w:val="center"/>
            <w:vMerge w:val="continue"/>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2、</w:t>
            </w:r>
            <w:r>
              <w:rPr>
                <w:rFonts w:hint="eastAsia" w:ascii="宋体" w:hAnsi="宋体" w:eastAsia="宋体" w:cs="宋体"/>
                <w:i w:val="0"/>
                <w:iCs w:val="0"/>
                <w:color w:val="000000"/>
                <w:sz w:val="18"/>
                <w:szCs w:val="18"/>
                <w:highlight w:val="none"/>
                <w:u w:val="none"/>
                <w:lang w:val="en-US" w:eastAsia="zh-CN" w:bidi="ar"/>
              </w:rPr>
              <w:t xml:space="preserve">内置调试功能，支持查看完整入参和返回值，并支持通过修改入参来调试返回值。</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310" w:type="dxa"/>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反馈数据管理</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44"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1、支持后台根据文书类型、患者姓名、科室、主治医生、更新时间等多条件组合查询用户的评价反馈记录，并支持查看具体的反馈详情内容。</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bl>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pStyle w:val="683"/>
        <w:ind w:left="0" w:firstLine="0"/>
        <w:rPr>
          <w:highlight w:val="none"/>
        </w:rPr>
      </w:pPr>
      <w:r>
        <w:rPr>
          <w:highlight w:val="none"/>
        </w:rPr>
      </w:r>
      <w:r>
        <w:rPr>
          <w:highlight w:val="none"/>
        </w:rPr>
      </w:r>
      <w:r/>
    </w:p>
    <w:p>
      <w:pPr>
        <w:ind w:left="0" w:right="0" w:firstLine="0"/>
        <w:jc w:val="cente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2.1 智算模块</w:t>
      </w:r>
      <w:r>
        <w:rPr>
          <w:highlight w:val="none"/>
        </w:rPr>
      </w:r>
      <w:r/>
    </w:p>
    <w:tbl>
      <w:tblPr>
        <w:tblStyle w:val="681"/>
        <w:tblW w:w="13979" w:type="dxa"/>
        <w:tblInd w:w="4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9"/>
        <w:gridCol w:w="1081"/>
        <w:gridCol w:w="5339"/>
        <w:gridCol w:w="4640"/>
        <w:gridCol w:w="1350"/>
        <w:gridCol w:w="950"/>
      </w:tblGrid>
      <w:tr>
        <w:trPr>
          <w:trHeight w:val="594"/>
        </w:trPr>
        <w:tc>
          <w:tcPr>
            <w:shd w:val="clear" w:color="auto" w:fill="auto"/>
            <w:tcBorders>
              <w:top w:val="single" w:color="000000" w:sz="4" w:space="0"/>
              <w:left w:val="single" w:color="000000" w:sz="4" w:space="0"/>
              <w:right w:val="single" w:color="000000" w:sz="4" w:space="0"/>
            </w:tcBorders>
            <w:tcW w:w="619"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right w:val="single" w:color="000000" w:sz="4" w:space="0"/>
            </w:tcBorders>
            <w:tcW w:w="1081"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979" w:type="dxa"/>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c>
          <w:tcPr>
            <w:shd w:val="clear" w:color="auto" w:fill="auto"/>
            <w:tcBorders>
              <w:top w:val="single" w:color="000000" w:sz="4" w:space="0"/>
              <w:left w:val="single" w:color="000000" w:sz="4" w:space="0"/>
              <w:right w:val="single" w:color="000000" w:sz="4" w:space="0"/>
            </w:tcBorders>
            <w:tcW w:w="1350" w:type="dxa"/>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偏离情况</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（负/无/正）</w:t>
            </w:r>
            <w:r>
              <w:rPr>
                <w:highlight w:val="none"/>
              </w:rPr>
            </w:r>
            <w:r/>
          </w:p>
        </w:tc>
        <w:tc>
          <w:tcPr>
            <w:shd w:val="clear" w:color="auto" w:fill="auto"/>
            <w:tcBorders>
              <w:top w:val="single" w:color="000000" w:sz="4" w:space="0"/>
              <w:left w:val="single" w:color="000000" w:sz="4" w:space="0"/>
              <w:right w:val="single" w:color="000000" w:sz="4" w:space="0"/>
            </w:tcBorders>
            <w:tcW w:w="950" w:type="dxa"/>
            <w:vAlign w:val="center"/>
            <w:vMerge w:val="restart"/>
            <w:textDirection w:val="lrTb"/>
            <w:noWrap/>
          </w:tcPr>
          <w:p>
            <w:pPr>
              <w:jc w:val="center"/>
              <w:keepLines w:val="0"/>
              <w:keepNext w:val="0"/>
              <w:widowControl/>
              <w:rPr>
                <w:rFonts w:hint="eastAsia" w:ascii="宋体" w:hAnsi="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证明材料</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所在页次</w:t>
            </w:r>
            <w:r>
              <w:rPr>
                <w:highlight w:val="none"/>
              </w:rPr>
            </w:r>
            <w:r/>
          </w:p>
        </w:tc>
      </w:tr>
      <w:tr>
        <w:trPr>
          <w:trHeight w:val="594"/>
        </w:trPr>
        <w:tc>
          <w:tcPr>
            <w:shd w:val="clear" w:color="auto" w:fill="auto"/>
            <w:tcBorders>
              <w:left w:val="single" w:color="000000" w:sz="4" w:space="0"/>
              <w:bottom w:val="single" w:color="000000" w:sz="4" w:space="0"/>
              <w:right w:val="single" w:color="000000" w:sz="4" w:space="0"/>
            </w:tcBorders>
            <w:tcW w:w="619"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081"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招标要求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投标响应</w:t>
            </w:r>
            <w:r>
              <w:rPr>
                <w:highlight w:val="none"/>
              </w:rPr>
            </w:r>
            <w:r/>
          </w:p>
        </w:tc>
        <w:tc>
          <w:tcPr>
            <w:shd w:val="clear" w:color="auto" w:fill="auto"/>
            <w:tcBorders>
              <w:left w:val="single" w:color="000000" w:sz="4" w:space="0"/>
              <w:bottom w:val="single" w:color="000000" w:sz="4" w:space="0"/>
              <w:right w:val="single" w:color="000000" w:sz="4" w:space="0"/>
            </w:tcBorders>
            <w:tcW w:w="1350"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950" w:type="dxa"/>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品牌形态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国产品牌4U 8卡GPU switch 机架服务器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1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处理器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w:t>
            </w:r>
            <w:r>
              <w:rPr>
                <w:rStyle w:val="1025"/>
                <w:color w:val="auto"/>
                <w:sz w:val="18"/>
                <w:szCs w:val="18"/>
                <w:highlight w:val="none"/>
                <w:lang w:val="en-US" w:eastAsia="zh-CN" w:bidi="ar"/>
              </w:rPr>
              <w:t xml:space="preserve">2颗处理器</w:t>
            </w:r>
            <w:r>
              <w:rPr>
                <w:rStyle w:val="1030"/>
                <w:sz w:val="18"/>
                <w:szCs w:val="18"/>
                <w:highlight w:val="none"/>
                <w:lang w:val="en-US" w:eastAsia="zh-CN" w:bidi="ar"/>
              </w:rPr>
              <w:t xml:space="preserve">，单处理器主频≥2.1GHz，每颗CPU物理核数≥32核</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配置≥384G内存，最高支持32个 DDR5 ECC  RDIMM内存槽位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硬盘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jc w:val="left"/>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系统盘配置≥2个960GB 企业级SATA SSD硬盘；数据盘配置≥4个3.84TB企业级SATA SSD硬盘</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GPU</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配置≥8块主流品牌AI训练推理加速卡，单卡显存≥48GB  FP32≥59 TFLOPS.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配置≥1块双端口25GE光口网卡（含光模块）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RAID支持</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配置独立RAID控制器，缓存≥4GB，并配超级电容保护模块</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电源</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配置≥4个2000W高效冗余热插拔电源 支持冗余供电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管理功能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支持带外管理、远程KVM、远程电源控制、硬件监控等功能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导轨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配置原厂导轨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98"/>
        </w:trPr>
        <w:tc>
          <w:tcPr>
            <w:shd w:val="clear" w:color="auto" w:fill="auto"/>
            <w:tcBorders>
              <w:top w:val="single" w:color="000000" w:sz="4" w:space="0"/>
              <w:left w:val="single" w:color="000000" w:sz="4" w:space="0"/>
              <w:bottom w:val="single" w:color="000000" w:sz="4" w:space="0"/>
              <w:right w:val="single" w:color="000000" w:sz="4" w:space="0"/>
            </w:tcBorders>
            <w:tcW w:w="619"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81"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兼容性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339" w:type="dxa"/>
            <w:vAlign w:val="center"/>
            <w:textDirection w:val="lrTb"/>
            <w:noWrap/>
          </w:tcPr>
          <w:p>
            <w:pPr>
              <w:jc w:val="left"/>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需与</w:t>
            </w:r>
            <w:r>
              <w:rPr>
                <w:rFonts w:hint="eastAsia"/>
                <w:sz w:val="18"/>
                <w:szCs w:val="18"/>
                <w:highlight w:val="none"/>
                <w:lang w:val="en-US" w:eastAsia="zh-CN"/>
              </w:rPr>
              <w:t xml:space="preserve">AI卒中胸痛指挥调度中心系统适配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bl>
    <w:p>
      <w:pPr>
        <w:numPr>
          <w:ilvl w:val="0"/>
          <w:numId w:val="0"/>
        </w:numPr>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ind w:left="0" w:right="0" w:firstLine="0"/>
        <w:jc w:val="center"/>
        <w:keepLines w:val="0"/>
        <w:keepNext w:val="0"/>
        <w:pageBreakBefore w:val="0"/>
        <w:spacing w:line="360" w:lineRule="auto"/>
        <w:widowControl w:val="off"/>
        <w:tabs>
          <w:tab w:val="left" w:pos="0" w:leader="none"/>
        </w:tabs>
        <w:rPr>
          <w:rFonts w:hint="default"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2.2 数据可视化显示仪</w:t>
      </w:r>
      <w:r>
        <w:rPr>
          <w:highlight w:val="none"/>
        </w:rPr>
      </w:r>
      <w:r/>
    </w:p>
    <w:tbl>
      <w:tblPr>
        <w:tblStyle w:val="681"/>
        <w:tblW w:w="49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2"/>
        <w:gridCol w:w="1700"/>
        <w:gridCol w:w="4920"/>
        <w:gridCol w:w="3968"/>
        <w:gridCol w:w="1387"/>
        <w:gridCol w:w="1227"/>
      </w:tblGrid>
      <w:tr>
        <w:trPr>
          <w:trHeight w:val="305"/>
        </w:trPr>
        <w:tc>
          <w:tcPr>
            <w:shd w:val="clear" w:color="auto" w:fill="auto"/>
            <w:tcBorders>
              <w:top w:val="single" w:color="000000" w:sz="4" w:space="0"/>
              <w:left w:val="single" w:color="000000" w:sz="4" w:space="0"/>
              <w:right w:val="single" w:color="000000" w:sz="4" w:space="0"/>
            </w:tcBorders>
            <w:tcW w:w="299"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right w:val="single" w:color="000000" w:sz="4" w:space="0"/>
            </w:tcBorders>
            <w:tcW w:w="605"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64" w:type="pct"/>
            <w:vAlign w:val="center"/>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c>
          <w:tcPr>
            <w:shd w:val="clear" w:color="auto" w:fill="auto"/>
            <w:tcBorders>
              <w:top w:val="single" w:color="000000" w:sz="4" w:space="0"/>
              <w:left w:val="single" w:color="000000" w:sz="4" w:space="0"/>
              <w:right w:val="single" w:color="000000" w:sz="4" w:space="0"/>
            </w:tcBorders>
            <w:tcW w:w="493" w:type="pct"/>
            <w:vAlign w:val="center"/>
            <w:vMerge w:val="restart"/>
            <w:textDirection w:val="lrTb"/>
            <w:noWrap/>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偏离情况</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（负/无/正）</w:t>
            </w:r>
            <w:r>
              <w:rPr>
                <w:highlight w:val="none"/>
              </w:rPr>
            </w:r>
            <w:r/>
          </w:p>
        </w:tc>
        <w:tc>
          <w:tcPr>
            <w:shd w:val="clear" w:color="auto" w:fill="auto"/>
            <w:tcBorders>
              <w:top w:val="single" w:color="000000" w:sz="4" w:space="0"/>
              <w:left w:val="single" w:color="000000" w:sz="4" w:space="0"/>
              <w:right w:val="single" w:color="000000" w:sz="4" w:space="0"/>
            </w:tcBorders>
            <w:tcW w:w="436" w:type="pct"/>
            <w:vAlign w:val="center"/>
            <w:vMerge w:val="restart"/>
            <w:textDirection w:val="lrTb"/>
            <w:noWrap/>
          </w:tcPr>
          <w:p>
            <w:pPr>
              <w:jc w:val="center"/>
              <w:keepLines w:val="0"/>
              <w:keepNext w:val="0"/>
              <w:widowControl/>
              <w:rPr>
                <w:rFonts w:hint="eastAsia" w:ascii="宋体" w:hAnsi="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证明材料</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所在页次</w:t>
            </w:r>
            <w:r>
              <w:rPr>
                <w:highlight w:val="none"/>
              </w:rPr>
            </w:r>
            <w:r/>
          </w:p>
        </w:tc>
      </w:tr>
      <w:tr>
        <w:trPr>
          <w:trHeight w:val="572"/>
        </w:trPr>
        <w:tc>
          <w:tcPr>
            <w:shd w:val="clear" w:color="auto" w:fill="auto"/>
            <w:tcBorders>
              <w:left w:val="single" w:color="000000" w:sz="4" w:space="0"/>
              <w:bottom w:val="single" w:color="000000" w:sz="4" w:space="0"/>
              <w:right w:val="single" w:color="000000" w:sz="4" w:space="0"/>
            </w:tcBorders>
            <w:tcW w:w="299"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605"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招标要求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投标响应</w:t>
            </w:r>
            <w:r>
              <w:rPr>
                <w:highlight w:val="none"/>
              </w:rPr>
            </w:r>
            <w:r/>
          </w:p>
        </w:tc>
        <w:tc>
          <w:tcPr>
            <w:shd w:val="clear" w:color="auto" w:fill="auto"/>
            <w:tcBorders>
              <w:left w:val="single" w:color="000000" w:sz="4" w:space="0"/>
              <w:bottom w:val="single" w:color="000000" w:sz="4" w:space="0"/>
              <w:right w:val="single" w:color="000000" w:sz="4" w:space="0"/>
            </w:tcBorders>
            <w:tcW w:w="493"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436" w:type="pct"/>
            <w:vAlign w:val="center"/>
            <w:vMerge w:val="continue"/>
            <w:textDirection w:val="lrTb"/>
            <w:noWrap/>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412"/>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系统&amp;性能要求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操作系统为Android13或以上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芯片要求：≥八核；主频≥2.2GHz，支持4K GUI显示</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RAM≥8GB，ROM≥64GB</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支持应用自定义安装，默认带电子白板、迎宾、签名墙、办公软件、播放软件</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显示要求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液晶屏采用A规屏；显示比例16:9；分辨率≥3840*2160，可视角度≥178，刷新率≥60HZ，NTSC≥72%,色深≥10bit，亮度≥380cd/m²，响应时间≤8ms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屏幕触控要求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采用红外感应技术，在Android系统下均支持不少于40点触控，触摸精度≤±1mm，触摸高度≤1.5mm，最小识别直径≤3mm，触控响应速度≤5ms，支持防误触功能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采用零贴合技术，屏体支持≤3.2mm防眩光钢化玻璃，支持硬件防蓝光，透光率≥88%，表面硬度≥7H</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1218"/>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摄像头要求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一体化4K摄像头，CMOS≥1/2英寸，支持AF功能；拍照像素≥4800万；光圈≥F1.8；活动视频≥800万，≥5x数字变倍，镜头水平视角≥80°、垂直视角≥50°，畸变≤2%；4K30模式下，标准距离（1.5m/3m/4.5m)测试，标准图卡铺满屏幕，其清晰度中心垂直和水平位置不小于1000线，四周垂直和水平不少于800线，且不存在某个角模糊、重影</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支持Auto-Framing功能，自动跟踪摄像机视角内的人形，无需人工干预;画面切换过程平滑顺畅且稳定，从人员移动停止到跟踪的延时不超过3s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69"/>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restart"/>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麦克风要求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支持声源定位功能，会场中自动跟踪最大发声人脸，无需人工干预;画面切换过程平滑顺畅且稳定，从人员移动停止到跟踪的延时不超过3s</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73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内置MIC满足如下指标要求:支持内置≥8个麦克风，支持前向≥180°拾音，拾音距离≥12米；采样率：48KHZ；采样位16bit；声源定位精度≤5度，跟踪定位后可进行不小于3倍的画面放大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vMerge w:val="continue"/>
            <w:textDirection w:val="lrTb"/>
            <w:noWrap/>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拾音距离要求：6米之内，人声到麦克风的声压约65分贝</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喇叭要求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内置2.0及以上声道组合音响，喇叭模组最大功率不小于30W</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功耗要求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86寸最大功耗（不带OPS ）：&lt;550W</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1954"/>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05"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接口要求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751"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音频输入≥3.5mm*1；视频输入 ≥HDMI IN 2.0 *1，支持4K视频源采集及编码,HDMI IN投屏时支持音视频投屏；HDMI IN 音频输入和3.5mm L</w:t>
            </w:r>
            <w:r>
              <w:rPr>
                <w:rFonts w:hint="eastAsia" w:ascii="宋体" w:hAnsi="宋体" w:eastAsia="宋体" w:cs="宋体"/>
                <w:i w:val="0"/>
                <w:iCs w:val="0"/>
                <w:color w:val="000000"/>
                <w:sz w:val="18"/>
                <w:szCs w:val="18"/>
                <w:highlight w:val="none"/>
                <w:u w:val="none"/>
                <w:lang w:val="en-US" w:eastAsia="zh-CN" w:bidi="ar"/>
              </w:rPr>
              <w:t xml:space="preserve">ine In可以同时拾音；音频输出 ≥3.5mm*1；≥HDMI OUT 2.0 *1，支持4K图像输出；≥USB 2.0 Type-A接口*1；≥USB 3.0 Type-A接口*1；≥USB Type-C接口*2，其中1个需前置，支持快充功率≥65 W；≥RS232*1；≥RJ45*1，10M/100M/1000M全双工和半双工接口，支持802.11  a/b/g/n/ac/ax协议；≥TOUCH接口*1；电源键与指示灯*1，支持电源键一键休眠/唤醒，支持软关机后按电源键开机，指示灯能指示终端的运行情况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bl>
    <w:p>
      <w:pPr>
        <w:numPr>
          <w:ilvl w:val="0"/>
          <w:numId w:val="0"/>
        </w:numPr>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pStyle w:val="683"/>
        <w:rPr>
          <w:rFonts w:hint="default"/>
          <w:highlight w:val="none"/>
        </w:rPr>
      </w:pPr>
      <w:r>
        <w:rPr>
          <w:rFonts w:hint="default"/>
          <w:highlight w:val="none"/>
          <w:lang w:val="en-US" w:eastAsia="zh-CN"/>
        </w:rPr>
      </w:r>
      <w:r>
        <w:rPr>
          <w:highlight w:val="none"/>
        </w:rPr>
      </w:r>
      <w:r/>
    </w:p>
    <w:p>
      <w:pPr>
        <w:ind w:left="0" w:right="0" w:firstLine="0"/>
        <w:jc w:val="center"/>
        <w:keepLines w:val="0"/>
        <w:keepNext w:val="0"/>
        <w:pageBreakBefore w:val="0"/>
        <w:spacing w:line="360" w:lineRule="auto"/>
        <w:widowControl w:val="off"/>
        <w:tabs>
          <w:tab w:val="left" w:pos="0" w:leader="none"/>
        </w:tabs>
        <w:rPr>
          <w:rFonts w:hint="eastAsia" w:ascii="楷体" w:hAnsi="楷体" w:eastAsia="楷体" w:cs="楷体"/>
          <w:b/>
          <w:bCs/>
          <w:sz w:val="22"/>
          <w:szCs w:val="22"/>
          <w:highlight w:val="none"/>
        </w:rPr>
      </w:pPr>
      <w:r>
        <w:rPr>
          <w:rFonts w:hint="eastAsia" w:ascii="楷体" w:hAnsi="楷体" w:eastAsia="楷体" w:cs="楷体"/>
          <w:b/>
          <w:bCs/>
          <w:sz w:val="22"/>
          <w:szCs w:val="22"/>
          <w:highlight w:val="none"/>
          <w:lang w:val="en-US" w:eastAsia="zh-CN"/>
        </w:rPr>
        <w:t xml:space="preserve">2.3 急救车载PAD</w:t>
      </w:r>
      <w:r>
        <w:rPr>
          <w:highlight w:val="none"/>
        </w:rPr>
      </w:r>
      <w:r/>
    </w:p>
    <w:tbl>
      <w:tblPr>
        <w:tblStyle w:val="681"/>
        <w:tblW w:w="13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4"/>
        <w:gridCol w:w="1515"/>
        <w:gridCol w:w="5200"/>
        <w:gridCol w:w="3880"/>
        <w:gridCol w:w="1370"/>
        <w:gridCol w:w="1230"/>
      </w:tblGrid>
      <w:tr>
        <w:trPr>
          <w:trHeight w:val="607"/>
        </w:trPr>
        <w:tc>
          <w:tcPr>
            <w:shd w:val="clear" w:color="auto" w:fill="auto"/>
            <w:tcBorders>
              <w:top w:val="single" w:color="000000" w:sz="4" w:space="0"/>
              <w:left w:val="single" w:color="000000" w:sz="4" w:space="0"/>
              <w:right w:val="single" w:color="000000" w:sz="4" w:space="0"/>
            </w:tcBorders>
            <w:tcW w:w="76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序号</w:t>
            </w:r>
            <w:r>
              <w:rPr>
                <w:highlight w:val="none"/>
              </w:rPr>
            </w:r>
            <w:r/>
          </w:p>
        </w:tc>
        <w:tc>
          <w:tcPr>
            <w:shd w:val="clear" w:color="auto" w:fill="auto"/>
            <w:tcBorders>
              <w:top w:val="single" w:color="000000" w:sz="4" w:space="0"/>
              <w:left w:val="single" w:color="000000" w:sz="4" w:space="0"/>
              <w:right w:val="single" w:color="000000" w:sz="4" w:space="0"/>
            </w:tcBorders>
            <w:tcW w:w="1515" w:type="dxa"/>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技术指标</w:t>
            </w:r>
            <w:r>
              <w:rPr>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908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指标要求</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（评分项）</w:t>
            </w:r>
            <w:r>
              <w:rPr>
                <w:highlight w:val="none"/>
              </w:rPr>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偏离情况</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eastAsia="宋体" w:cs="宋体"/>
                <w:b/>
                <w:bCs/>
                <w:i w:val="0"/>
                <w:iCs w:val="0"/>
                <w:color w:val="000000"/>
                <w:sz w:val="18"/>
                <w:szCs w:val="18"/>
                <w:highlight w:val="none"/>
                <w:u w:val="none"/>
                <w:lang w:val="en-US" w:eastAsia="zh-CN" w:bidi="ar"/>
              </w:rPr>
              <w:t xml:space="preserve">（负/无/正）</w:t>
            </w:r>
            <w:r>
              <w:rPr>
                <w:highlight w:val="none"/>
              </w:rPr>
            </w:r>
            <w:r/>
          </w:p>
        </w:tc>
        <w:tc>
          <w:tcPr>
            <w:shd w:val="clear" w:color="auto" w:fill="auto"/>
            <w:tcBorders>
              <w:top w:val="single" w:color="000000" w:sz="4" w:space="0"/>
              <w:left w:val="single" w:color="000000" w:sz="4" w:space="0"/>
              <w:right w:val="single" w:color="000000" w:sz="4" w:space="0"/>
            </w:tcBorders>
            <w:tcW w:w="1230" w:type="dxa"/>
            <w:vAlign w:val="center"/>
            <w:vMerge w:val="restart"/>
            <w:textDirection w:val="lrTb"/>
            <w:noWrap w:val="false"/>
          </w:tcPr>
          <w:p>
            <w:pPr>
              <w:jc w:val="center"/>
              <w:keepLines w:val="0"/>
              <w:keepNext w:val="0"/>
              <w:widowControl/>
              <w:rPr>
                <w:rFonts w:hint="eastAsia" w:ascii="宋体" w:hAnsi="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证明材料</w:t>
            </w:r>
            <w:r>
              <w:rPr>
                <w:highlight w:val="none"/>
              </w:rPr>
            </w:r>
            <w:r/>
          </w:p>
          <w:p>
            <w:pPr>
              <w:jc w:val="center"/>
              <w:keepLines w:val="0"/>
              <w:keepNext w:val="0"/>
              <w:widowControl/>
              <w:rPr>
                <w:rFonts w:hint="eastAsia"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所在页次</w:t>
            </w:r>
            <w:r>
              <w:rPr>
                <w:highlight w:val="none"/>
              </w:rPr>
            </w:r>
            <w:r/>
          </w:p>
        </w:tc>
      </w:tr>
      <w:tr>
        <w:trPr>
          <w:trHeight w:val="607"/>
        </w:trPr>
        <w:tc>
          <w:tcPr>
            <w:shd w:val="clear" w:color="auto" w:fill="auto"/>
            <w:tcBorders>
              <w:left w:val="single" w:color="000000" w:sz="4" w:space="0"/>
              <w:bottom w:val="single" w:color="000000" w:sz="4" w:space="0"/>
              <w:right w:val="single" w:color="000000" w:sz="4" w:space="0"/>
            </w:tcBorders>
            <w:tcW w:w="764"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515"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招标要求</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highlight w:val="none"/>
                <w:u w:val="none"/>
              </w:rPr>
              <w:suppressLineNumbers w:val="0"/>
            </w:pPr>
            <w:r>
              <w:rPr>
                <w:rFonts w:hint="eastAsia" w:ascii="宋体" w:hAnsi="宋体" w:cs="宋体"/>
                <w:b/>
                <w:bCs/>
                <w:i w:val="0"/>
                <w:iCs w:val="0"/>
                <w:color w:val="000000"/>
                <w:sz w:val="18"/>
                <w:szCs w:val="18"/>
                <w:highlight w:val="none"/>
                <w:u w:val="none"/>
                <w:lang w:val="en-US" w:eastAsia="zh-CN" w:bidi="ar"/>
              </w:rPr>
              <w:t xml:space="preserve">投标响应</w:t>
            </w:r>
            <w:r>
              <w:rPr>
                <w:highlight w:val="none"/>
              </w:rPr>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c>
          <w:tcPr>
            <w:shd w:val="clear" w:color="auto" w:fill="auto"/>
            <w:tcBorders>
              <w:left w:val="single" w:color="000000" w:sz="4" w:space="0"/>
              <w:bottom w:val="single" w:color="000000" w:sz="4" w:space="0"/>
              <w:right w:val="single" w:color="000000" w:sz="4" w:space="0"/>
            </w:tcBorders>
            <w:tcW w:w="1230" w:type="dxa"/>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r>
            <w:r/>
          </w:p>
        </w:tc>
      </w:tr>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rPr>
                <w:highlight w:val="none"/>
              </w:rPr>
            </w:r>
            <w:r/>
          </w:p>
        </w:tc>
        <w:tc>
          <w:tcPr>
            <w:shd w:val="clear" w:color="auto" w:fill="auto"/>
            <w:tcBorders>
              <w:top w:val="single" w:color="000000" w:sz="4" w:space="0"/>
              <w:left w:val="single" w:color="000000" w:sz="4" w:space="0"/>
              <w:right w:val="single" w:color="000000" w:sz="4" w:space="0"/>
            </w:tcBorders>
            <w:tcW w:w="15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网络制式</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支持国内主流运营商5G全网通，向下兼容4G</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rPr>
                <w:highlight w:val="none"/>
              </w:rPr>
            </w:r>
            <w:r/>
          </w:p>
        </w:tc>
        <w:tc>
          <w:tcPr>
            <w:shd w:val="clear" w:color="auto" w:fill="auto"/>
            <w:tcBorders>
              <w:left w:val="single" w:color="000000" w:sz="4" w:space="0"/>
              <w:bottom w:val="single" w:color="000000" w:sz="4" w:space="0"/>
              <w:right w:val="single" w:color="000000" w:sz="4" w:space="0"/>
            </w:tcBorders>
            <w:tcW w:w="151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支持Wi-Fi 6，蓝牙≥5.0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处理器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配置≥八核处理器，最高主频≥2.5GHz</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cs="宋体"/>
                <w:i w:val="0"/>
                <w:iCs w:val="0"/>
                <w:color w:val="000000"/>
                <w:sz w:val="18"/>
                <w:szCs w:val="18"/>
                <w:highlight w:val="none"/>
                <w:u w:val="none"/>
                <w:lang w:val="en-US" w:eastAsia="zh-CN" w:bidi="ar"/>
              </w:rPr>
              <w:t xml:space="preserve">操作系统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基于Android 13及以上版本操作系统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内存与存储</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配置RAM≥8GB，ROM≥256GB</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屏幕</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配置分辨率≥2112*1320，刷新率≥90Hz</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41"/>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rPr>
                <w:highlight w:val="none"/>
              </w:rPr>
            </w:r>
            <w:r/>
          </w:p>
        </w:tc>
        <w:tc>
          <w:tcPr>
            <w:shd w:val="clear" w:color="auto" w:fill="auto"/>
            <w:tcBorders>
              <w:top w:val="single" w:color="000000" w:sz="4" w:space="0"/>
              <w:left w:val="single" w:color="000000" w:sz="4" w:space="0"/>
              <w:right w:val="single" w:color="000000" w:sz="4" w:space="0"/>
            </w:tcBorders>
            <w:tcW w:w="151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rPr>
              <w:t xml:space="preserve">摄像头</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配置后置≥1000万像素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rPr>
                <w:highlight w:val="none"/>
              </w:rPr>
            </w:r>
            <w:r/>
          </w:p>
        </w:tc>
        <w:tc>
          <w:tcPr>
            <w:shd w:val="clear" w:color="auto" w:fill="auto"/>
            <w:tcBorders>
              <w:left w:val="single" w:color="000000" w:sz="4" w:space="0"/>
              <w:bottom w:val="single" w:color="000000" w:sz="4" w:space="0"/>
              <w:right w:val="single" w:color="000000" w:sz="4" w:space="0"/>
            </w:tcBorders>
            <w:tcW w:w="151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配置前置≥600万像素</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音频系统</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配置麦克风≥2个，扬声器≥4个</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电池与充电</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配置电池额定容量≥7000mAh</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接口与卡槽</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配置USB Type-C 3.1 或以上</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r>
        <w:trPr>
          <w:trHeight w:val="436"/>
        </w:trPr>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5" w:type="dxa"/>
            <w:vAlign w:val="center"/>
            <w:textDirection w:val="lrTb"/>
            <w:noWrap w:val="false"/>
          </w:tcPr>
          <w:p>
            <w:pPr>
              <w:jc w:val="center"/>
              <w:keepLines w:val="0"/>
              <w:keepNext w:val="0"/>
              <w:widowControl/>
              <w:rPr>
                <w:rFonts w:hint="default"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rPr>
              <w:t xml:space="preserve">兼容性</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00" w:type="dxa"/>
            <w:vAlign w:val="center"/>
            <w:textDirection w:val="lrTb"/>
            <w:noWrap w:val="false"/>
          </w:tcPr>
          <w:p>
            <w:pPr>
              <w:jc w:val="both"/>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与AI卒中胸痛指挥调度中心系统适配</w:t>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r>
            <w:r>
              <w:rPr>
                <w:highlight w:val="none"/>
              </w:rPr>
            </w:r>
            <w:r/>
          </w:p>
        </w:tc>
      </w:tr>
    </w:tbl>
    <w:p>
      <w:pPr>
        <w:pStyle w:val="1113"/>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highlight w:val="none"/>
        </w:rPr>
      </w:r>
      <w:r/>
    </w:p>
    <w:p>
      <w:pPr>
        <w:pStyle w:val="1113"/>
        <w:ind w:firstLine="4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z w:val="24"/>
          <w:szCs w:val="24"/>
          <w:highlight w:val="none"/>
          <w:lang w:val="en-US" w:eastAsia="zh-CN"/>
        </w:rPr>
        <w:t xml:space="preserve">格</w:t>
      </w:r>
      <w:r>
        <w:rPr>
          <w:rFonts w:hint="eastAsia" w:ascii="宋体" w:hAnsi="宋体" w:eastAsia="宋体" w:cs="宋体"/>
          <w:color w:val="auto"/>
          <w:sz w:val="24"/>
          <w:szCs w:val="24"/>
          <w:highlight w:val="none"/>
        </w:rPr>
        <w:t xml:space="preserve">中加“▲”项需提供技术支撑材料（技术支撑材料可以为厂家产品白皮书、或产品印刷版彩页、或第三方出具的产品检测报告、或实物图片、或招标文件要求的其他方式）作为佐证，投标人未提供相关证明材料或提供的相关证明材料无效，该项作负偏离处理。</w:t>
      </w:r>
      <w:r>
        <w:rPr>
          <w:highlight w:val="none"/>
        </w:rPr>
      </w:r>
      <w:r/>
    </w:p>
    <w:p>
      <w:pPr>
        <w:pStyle w:val="1113"/>
        <w:ind w:firstLine="44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.技术支撑材料若为外文的，需提供中文译文，并以中文译文为准。</w:t>
      </w:r>
      <w:r>
        <w:rPr>
          <w:highlight w:val="none"/>
        </w:rPr>
      </w:r>
      <w:r/>
    </w:p>
    <w:p>
      <w:pPr>
        <w:pStyle w:val="683"/>
        <w:ind w:left="0" w:firstLine="0"/>
        <w:rPr>
          <w:highlight w:val="none"/>
        </w:rPr>
      </w:pPr>
      <w:r>
        <w:rPr>
          <w:highlight w:val="none"/>
        </w:rPr>
      </w:r>
      <w:r>
        <w:rPr>
          <w:highlight w:val="none"/>
        </w:rPr>
      </w:r>
      <w:r/>
    </w:p>
    <w:p>
      <w:pPr>
        <w:jc w:val="left"/>
        <w:rPr>
          <w:b/>
          <w:bCs/>
          <w:sz w:val="22"/>
          <w:szCs w:val="24"/>
          <w:highlight w:val="none"/>
        </w:rPr>
      </w:pPr>
      <w:r>
        <w:rPr>
          <w:b/>
          <w:bCs/>
          <w:sz w:val="22"/>
          <w:szCs w:val="24"/>
          <w:highlight w:val="none"/>
        </w:rPr>
      </w:r>
      <w:r>
        <w:rPr>
          <w:highlight w:val="none"/>
        </w:rPr>
      </w:r>
      <w:r/>
    </w:p>
    <w:p>
      <w:pPr>
        <w:jc w:val="left"/>
        <w:rPr>
          <w:b/>
          <w:bCs/>
          <w:sz w:val="22"/>
          <w:szCs w:val="24"/>
          <w:highlight w:val="none"/>
        </w:rPr>
      </w:pPr>
      <w:r>
        <w:rPr>
          <w:b/>
          <w:bCs/>
          <w:sz w:val="22"/>
          <w:szCs w:val="24"/>
          <w:highlight w:val="none"/>
        </w:rPr>
      </w:r>
      <w:r>
        <w:rPr>
          <w:highlight w:val="none"/>
        </w:rPr>
      </w:r>
      <w:r/>
    </w:p>
    <w:p>
      <w:pPr>
        <w:jc w:val="left"/>
        <w:rPr>
          <w:b/>
          <w:bCs/>
          <w:sz w:val="22"/>
          <w:szCs w:val="24"/>
          <w:highlight w:val="none"/>
        </w:rPr>
      </w:pPr>
      <w:r>
        <w:rPr>
          <w:b/>
          <w:bCs/>
          <w:sz w:val="22"/>
          <w:szCs w:val="24"/>
          <w:highlight w:val="none"/>
        </w:rPr>
      </w:r>
      <w:r>
        <w:rPr>
          <w:highlight w:val="none"/>
        </w:rPr>
      </w:r>
      <w:r/>
    </w:p>
    <w:p>
      <w:pPr>
        <w:jc w:val="right"/>
        <w:rPr>
          <w:rFonts w:hint="eastAsia"/>
          <w:b/>
          <w:bCs/>
          <w:sz w:val="22"/>
          <w:szCs w:val="24"/>
          <w:highlight w:val="none"/>
        </w:rPr>
      </w:pPr>
      <w:r>
        <w:rPr>
          <w:rFonts w:hint="eastAsia"/>
          <w:b/>
          <w:bCs/>
          <w:sz w:val="22"/>
          <w:szCs w:val="24"/>
          <w:highlight w:val="none"/>
        </w:rPr>
      </w:r>
      <w:r>
        <w:rPr>
          <w:highlight w:val="none"/>
        </w:rPr>
      </w:r>
      <w:r/>
    </w:p>
    <w:p>
      <w:pPr>
        <w:jc w:val="right"/>
        <w:rPr>
          <w:rFonts w:hint="eastAsia"/>
          <w:b/>
          <w:bCs/>
          <w:sz w:val="22"/>
          <w:szCs w:val="24"/>
          <w:highlight w:val="none"/>
        </w:rPr>
      </w:pPr>
      <w:r>
        <w:rPr>
          <w:rFonts w:hint="eastAsia"/>
          <w:b/>
          <w:bCs/>
          <w:sz w:val="22"/>
          <w:szCs w:val="24"/>
          <w:highlight w:val="none"/>
        </w:rPr>
        <w:t xml:space="preserve">投标人公章：            （电子签章）</w:t>
      </w:r>
      <w:r>
        <w:rPr>
          <w:highlight w:val="none"/>
        </w:rPr>
      </w:r>
      <w:r/>
    </w:p>
    <w:p>
      <w:pPr>
        <w:jc w:val="right"/>
        <w:rPr>
          <w:rFonts w:hint="eastAsia"/>
          <w:b/>
          <w:bCs/>
          <w:sz w:val="22"/>
          <w:szCs w:val="24"/>
          <w:highlight w:val="none"/>
        </w:rPr>
      </w:pPr>
      <w:r>
        <w:rPr>
          <w:rFonts w:hint="eastAsia"/>
          <w:b/>
          <w:bCs/>
          <w:sz w:val="22"/>
          <w:szCs w:val="24"/>
          <w:highlight w:val="none"/>
        </w:rPr>
      </w:r>
      <w:r>
        <w:rPr>
          <w:highlight w:val="none"/>
        </w:rPr>
      </w:r>
      <w:r/>
    </w:p>
    <w:p>
      <w:pPr>
        <w:jc w:val="right"/>
        <w:rPr>
          <w:rFonts w:hint="eastAsia"/>
          <w:b/>
          <w:bCs/>
          <w:sz w:val="22"/>
          <w:szCs w:val="24"/>
          <w:highlight w:val="none"/>
        </w:rPr>
      </w:pPr>
      <w:r>
        <w:rPr>
          <w:rFonts w:hint="eastAsia"/>
          <w:b/>
          <w:bCs/>
          <w:sz w:val="22"/>
          <w:szCs w:val="24"/>
          <w:highlight w:val="none"/>
        </w:rPr>
        <w:t xml:space="preserve">      </w:t>
      </w:r>
      <w:r>
        <w:rPr>
          <w:highlight w:val="none"/>
        </w:rPr>
      </w:r>
      <w:r/>
    </w:p>
    <w:p>
      <w:pPr>
        <w:jc w:val="right"/>
        <w:rPr>
          <w:rFonts w:hint="eastAsia"/>
          <w:b/>
          <w:bCs/>
          <w:sz w:val="22"/>
          <w:szCs w:val="24"/>
          <w:highlight w:val="none"/>
        </w:rPr>
      </w:pPr>
      <w:r>
        <w:rPr>
          <w:rFonts w:hint="eastAsia"/>
          <w:b/>
          <w:bCs/>
          <w:sz w:val="22"/>
          <w:szCs w:val="24"/>
          <w:highlight w:val="none"/>
        </w:rPr>
      </w:r>
      <w:r>
        <w:rPr>
          <w:highlight w:val="none"/>
        </w:rPr>
      </w:r>
      <w:r/>
    </w:p>
    <w:p>
      <w:pPr>
        <w:jc w:val="right"/>
        <w:rPr>
          <w:rFonts w:hint="eastAsia"/>
          <w:b/>
          <w:bCs/>
          <w:sz w:val="22"/>
          <w:szCs w:val="24"/>
          <w:highlight w:val="none"/>
        </w:rPr>
        <w:sectPr>
          <w:footnotePr/>
          <w:endnotePr/>
          <w:type w:val="nextPage"/>
          <w:pgSz w:w="16838" w:h="11906" w:orient="landscape"/>
          <w:pgMar w:top="1633" w:right="1440" w:bottom="1463" w:left="1440" w:header="851" w:footer="992" w:gutter="0"/>
          <w:cols w:num="1" w:sep="0" w:space="0" w:equalWidth="1"/>
          <w:docGrid w:linePitch="360"/>
        </w:sectPr>
      </w:pPr>
      <w:r>
        <w:rPr>
          <w:rFonts w:hint="eastAsia"/>
          <w:b/>
          <w:bCs/>
          <w:sz w:val="22"/>
          <w:szCs w:val="24"/>
          <w:highlight w:val="none"/>
        </w:rPr>
        <w:t xml:space="preserve">   年   月   日</w:t>
      </w:r>
      <w:r>
        <w:rPr>
          <w:highlight w:val="none"/>
        </w:rPr>
      </w:r>
      <w:r/>
    </w:p>
    <w:p>
      <w:pPr>
        <w:pStyle w:val="1117"/>
        <w:ind w:left="0" w:right="0" w:firstLine="0"/>
        <w:jc w:val="center"/>
        <w:keepLines w:val="0"/>
        <w:keepNext w:val="0"/>
        <w:pageBreakBefore w:val="0"/>
        <w:spacing w:line="1200" w:lineRule="auto"/>
        <w:widowControl w:val="off"/>
        <w:rPr>
          <w:rFonts w:hint="eastAsia" w:ascii="黑体" w:hAnsi="黑体" w:eastAsia="黑体"/>
          <w:sz w:val="28"/>
          <w:szCs w:val="28"/>
          <w:highlight w:val="none"/>
        </w:rPr>
      </w:pPr>
      <w:r>
        <w:rPr>
          <w:rFonts w:hint="eastAsia" w:ascii="黑体" w:hAnsi="黑体" w:eastAsia="黑体"/>
          <w:sz w:val="28"/>
          <w:szCs w:val="28"/>
          <w:highlight w:val="none"/>
          <w:lang w:val="en-US" w:eastAsia="zh-CN"/>
        </w:rPr>
        <w:t xml:space="preserve">项目</w:t>
      </w:r>
      <w:r>
        <w:rPr>
          <w:rFonts w:hint="eastAsia" w:ascii="黑体" w:hAnsi="黑体" w:eastAsia="黑体"/>
          <w:sz w:val="28"/>
          <w:szCs w:val="28"/>
          <w:highlight w:val="none"/>
        </w:rPr>
        <w:t xml:space="preserve">总体理解</w:t>
      </w:r>
      <w:r>
        <w:rPr>
          <w:highlight w:val="none"/>
        </w:rPr>
      </w:r>
      <w:r/>
    </w:p>
    <w:p>
      <w:pPr>
        <w:pStyle w:val="1117"/>
        <w:ind w:left="0" w:right="0" w:firstLine="0"/>
        <w:jc w:val="center"/>
        <w:keepLines w:val="0"/>
        <w:keepNext w:val="0"/>
        <w:pageBreakBefore w:val="0"/>
        <w:spacing w:line="1200" w:lineRule="auto"/>
        <w:widowControl w:val="off"/>
        <w:rPr>
          <w:rFonts w:hint="eastAsia" w:ascii="黑体" w:hAnsi="黑体" w:eastAsia="黑体"/>
          <w:sz w:val="28"/>
          <w:szCs w:val="28"/>
          <w:highlight w:val="none"/>
        </w:rPr>
      </w:pPr>
      <w:r>
        <w:rPr>
          <w:rFonts w:hint="eastAsia" w:ascii="黑体" w:hAnsi="黑体" w:eastAsia="黑体"/>
          <w:sz w:val="28"/>
          <w:szCs w:val="28"/>
          <w:highlight w:val="none"/>
        </w:rPr>
        <w:t xml:space="preserve">关键技术方案</w:t>
      </w:r>
      <w:r>
        <w:rPr>
          <w:highlight w:val="none"/>
        </w:rPr>
      </w:r>
      <w:r/>
    </w:p>
    <w:p>
      <w:pPr>
        <w:pStyle w:val="1117"/>
        <w:ind w:left="0" w:right="0" w:firstLine="0"/>
        <w:jc w:val="center"/>
        <w:keepLines w:val="0"/>
        <w:keepNext w:val="0"/>
        <w:pageBreakBefore w:val="0"/>
        <w:spacing w:line="1200" w:lineRule="auto"/>
        <w:widowControl w:val="off"/>
        <w:rPr>
          <w:rFonts w:hint="eastAsia" w:ascii="黑体" w:hAnsi="黑体" w:eastAsia="黑体"/>
          <w:sz w:val="28"/>
          <w:szCs w:val="28"/>
          <w:highlight w:val="none"/>
        </w:rPr>
      </w:pPr>
      <w:r>
        <w:rPr>
          <w:rFonts w:hint="eastAsia" w:ascii="黑体" w:hAnsi="黑体" w:eastAsia="黑体"/>
          <w:sz w:val="28"/>
          <w:szCs w:val="28"/>
          <w:highlight w:val="none"/>
        </w:rPr>
        <w:t xml:space="preserve">项目实施方案</w:t>
      </w:r>
      <w:r>
        <w:rPr>
          <w:highlight w:val="none"/>
        </w:rPr>
      </w:r>
      <w:r/>
    </w:p>
    <w:p>
      <w:pPr>
        <w:pStyle w:val="1117"/>
        <w:ind w:left="0" w:right="0" w:firstLine="0"/>
        <w:jc w:val="center"/>
        <w:keepLines w:val="0"/>
        <w:keepNext w:val="0"/>
        <w:pageBreakBefore w:val="0"/>
        <w:spacing w:line="1200" w:lineRule="auto"/>
        <w:widowControl w:val="off"/>
        <w:rPr>
          <w:rFonts w:hint="eastAsia" w:ascii="黑体" w:hAnsi="黑体" w:eastAsia="黑体"/>
          <w:sz w:val="28"/>
          <w:szCs w:val="28"/>
          <w:highlight w:val="none"/>
        </w:rPr>
      </w:pPr>
      <w:r>
        <w:rPr>
          <w:rFonts w:hint="eastAsia" w:ascii="黑体" w:hAnsi="黑体" w:eastAsia="黑体"/>
          <w:sz w:val="28"/>
          <w:szCs w:val="28"/>
          <w:highlight w:val="none"/>
        </w:rPr>
        <w:t xml:space="preserve">培训服务方案</w:t>
      </w:r>
      <w:r>
        <w:rPr>
          <w:highlight w:val="none"/>
        </w:rPr>
      </w:r>
      <w:r/>
    </w:p>
    <w:p>
      <w:pPr>
        <w:pStyle w:val="1117"/>
        <w:ind w:left="0" w:right="0" w:firstLine="0"/>
        <w:jc w:val="center"/>
        <w:keepLines w:val="0"/>
        <w:keepNext w:val="0"/>
        <w:pageBreakBefore w:val="0"/>
        <w:spacing w:line="1200" w:lineRule="auto"/>
        <w:widowControl w:val="off"/>
        <w:rPr>
          <w:rFonts w:hint="eastAsia" w:ascii="黑体" w:hAnsi="黑体" w:eastAsia="黑体"/>
          <w:sz w:val="28"/>
          <w:szCs w:val="28"/>
          <w:highlight w:val="none"/>
        </w:rPr>
      </w:pPr>
      <w:r>
        <w:rPr>
          <w:rFonts w:hint="eastAsia" w:ascii="黑体" w:hAnsi="黑体" w:eastAsia="黑体"/>
          <w:sz w:val="28"/>
          <w:szCs w:val="28"/>
          <w:highlight w:val="none"/>
        </w:rPr>
        <w:t xml:space="preserve">售后服务方案</w:t>
      </w:r>
      <w:r>
        <w:rPr>
          <w:highlight w:val="none"/>
        </w:rPr>
      </w:r>
      <w:r/>
    </w:p>
    <w:p>
      <w:pPr>
        <w:pStyle w:val="1117"/>
        <w:ind w:left="0" w:right="0" w:firstLine="0"/>
        <w:jc w:val="both"/>
        <w:keepLines w:val="0"/>
        <w:keepNext w:val="0"/>
        <w:pageBreakBefore w:val="0"/>
        <w:spacing w:line="480" w:lineRule="auto"/>
        <w:widowControl w:val="off"/>
        <w:rPr>
          <w:rFonts w:hint="eastAsia" w:ascii="黑体" w:hAnsi="黑体" w:eastAsia="黑体" w:cs="Courier New"/>
          <w:sz w:val="32"/>
          <w:szCs w:val="32"/>
          <w:highlight w:val="none"/>
        </w:rPr>
      </w:pPr>
      <w:r>
        <w:rPr>
          <w:rFonts w:hint="eastAsia" w:ascii="黑体" w:hAnsi="黑体" w:eastAsia="黑体" w:cs="Courier New"/>
          <w:sz w:val="32"/>
          <w:szCs w:val="32"/>
          <w:highlight w:val="none"/>
        </w:rPr>
      </w:r>
      <w:r>
        <w:rPr>
          <w:highlight w:val="none"/>
        </w:rPr>
      </w:r>
      <w:r/>
    </w:p>
    <w:p>
      <w:pPr>
        <w:pStyle w:val="1117"/>
        <w:ind w:left="0" w:right="0" w:firstLine="0"/>
        <w:jc w:val="center"/>
        <w:keepLines w:val="0"/>
        <w:keepNext w:val="0"/>
        <w:pageBreakBefore w:val="0"/>
        <w:spacing w:line="480" w:lineRule="auto"/>
        <w:widowControl w:val="off"/>
        <w:rPr>
          <w:rFonts w:hint="eastAsia" w:ascii="黑体" w:hAnsi="黑体" w:eastAsia="黑体" w:cs="Courier New"/>
          <w:sz w:val="32"/>
          <w:szCs w:val="32"/>
          <w:highlight w:val="none"/>
        </w:rPr>
        <w:sectPr>
          <w:footnotePr/>
          <w:endnotePr/>
          <w:type w:val="nextPage"/>
          <w:pgSz w:w="11906" w:h="16838" w:orient="portrait"/>
          <w:pgMar w:top="1440" w:right="1463" w:bottom="1440" w:left="1633" w:header="851" w:footer="992" w:gutter="0"/>
          <w:cols w:num="1" w:sep="0" w:space="0" w:equalWidth="1"/>
          <w:docGrid w:linePitch="360"/>
        </w:sectPr>
      </w:pPr>
      <w:r>
        <w:rPr>
          <w:rFonts w:hint="eastAsia" w:ascii="黑体" w:hAnsi="黑体" w:eastAsia="黑体" w:cs="Courier New"/>
          <w:sz w:val="32"/>
          <w:szCs w:val="32"/>
          <w:highlight w:val="none"/>
        </w:rPr>
      </w:r>
      <w:r>
        <w:rPr>
          <w:highlight w:val="none"/>
        </w:rPr>
      </w:r>
      <w:r/>
    </w:p>
    <w:p>
      <w:pPr>
        <w:ind w:left="0" w:right="0" w:firstLine="0"/>
        <w:jc w:val="center"/>
        <w:spacing w:line="480" w:lineRule="auto"/>
        <w:rPr>
          <w:rFonts w:hint="default" w:ascii="黑体" w:hAnsi="黑体" w:eastAsia="黑体" w:cs="Segoe UI"/>
          <w:sz w:val="28"/>
          <w:szCs w:val="18"/>
          <w:highlight w:val="none"/>
        </w:rPr>
      </w:pPr>
      <w:r>
        <w:rPr>
          <w:rFonts w:hint="eastAsia" w:ascii="黑体" w:hAnsi="黑体" w:eastAsia="黑体" w:cs="Segoe UI"/>
          <w:sz w:val="28"/>
          <w:szCs w:val="18"/>
          <w:highlight w:val="none"/>
          <w:lang w:val="en-US" w:eastAsia="zh-CN"/>
        </w:rPr>
        <w:t xml:space="preserve">体系认证证书一览表</w:t>
      </w:r>
      <w:r>
        <w:rPr>
          <w:highlight w:val="none"/>
        </w:rPr>
      </w:r>
      <w:r/>
    </w:p>
    <w:tbl>
      <w:tblPr>
        <w:tblStyle w:val="681"/>
        <w:tblW w:w="93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3523"/>
        <w:gridCol w:w="1301"/>
        <w:gridCol w:w="2124"/>
        <w:gridCol w:w="1452"/>
      </w:tblGrid>
      <w:tr>
        <w:trPr>
          <w:cantSplit/>
          <w:trHeight w:val="510"/>
        </w:trPr>
        <w:tc>
          <w:tcPr>
            <w:tcW w:w="968" w:type="dxa"/>
            <w:vAlign w:val="center"/>
            <w:textDirection w:val="lrTb"/>
            <w:noWrap w:val="false"/>
          </w:tcPr>
          <w:p>
            <w:pPr>
              <w:jc w:val="center"/>
              <w:rPr>
                <w:rFonts w:hint="default"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序号</w:t>
            </w:r>
            <w:r>
              <w:rPr>
                <w:highlight w:val="none"/>
              </w:rPr>
            </w:r>
            <w:r/>
          </w:p>
        </w:tc>
        <w:tc>
          <w:tcPr>
            <w:tcW w:w="3523" w:type="dxa"/>
            <w:vAlign w:val="center"/>
            <w:textDirection w:val="lrTb"/>
            <w:noWrap w:val="false"/>
          </w:tcPr>
          <w:p>
            <w:pPr>
              <w:jc w:val="center"/>
              <w:rPr>
                <w:rFonts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体系证书名称</w:t>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颁发日期</w:t>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有效期限</w:t>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发证单位</w:t>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bl>
    <w:p>
      <w:pPr>
        <w:numPr>
          <w:ilvl w:val="0"/>
          <w:numId w:val="0"/>
        </w:numP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bidi="ar-SA"/>
        </w:rPr>
        <w:t xml:space="preserve">注：本表后需提供有效的相关证书原件扫描件及在国家认证认可监督管理委员会官网（http://www.cnca.gov.cn/）查询的结果截图。</w:t>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ind w:left="42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（电子签章）</w:t>
      </w:r>
      <w:r>
        <w:rPr>
          <w:highlight w:val="none"/>
        </w:rPr>
      </w:r>
      <w:r/>
    </w:p>
    <w:p>
      <w:pPr>
        <w:ind w:firstLine="480"/>
        <w:jc w:val="righ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rPr>
          <w:highlight w:val="none"/>
        </w:rPr>
      </w:r>
      <w:r/>
    </w:p>
    <w:p>
      <w:pPr>
        <w:pStyle w:val="1117"/>
        <w:jc w:val="right"/>
        <w:rPr>
          <w:rFonts w:ascii="黑体" w:hAnsi="黑体" w:eastAsia="黑体"/>
          <w:sz w:val="28"/>
          <w:szCs w:val="28"/>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pStyle w:val="683"/>
        <w:ind w:left="0" w:firstLine="0"/>
        <w:rPr>
          <w:rFonts w:hint="eastAsia" w:ascii="宋体" w:hAnsi="宋体" w:eastAsia="宋体" w:cs="宋体"/>
          <w:b/>
          <w:bCs/>
          <w:sz w:val="22"/>
          <w:highlight w:val="none"/>
        </w:rPr>
      </w:pPr>
      <w:r>
        <w:rPr>
          <w:rFonts w:hint="eastAsia" w:ascii="宋体" w:hAnsi="宋体" w:eastAsia="宋体" w:cs="宋体"/>
          <w:b/>
          <w:bCs/>
          <w:sz w:val="22"/>
          <w:highlight w:val="none"/>
        </w:rPr>
      </w:r>
      <w:r>
        <w:rPr>
          <w:highlight w:val="none"/>
        </w:rPr>
      </w:r>
      <w:r/>
    </w:p>
    <w:p>
      <w:pPr>
        <w:ind w:left="0" w:right="0" w:firstLine="0"/>
        <w:jc w:val="center"/>
        <w:spacing w:line="480" w:lineRule="auto"/>
        <w:rPr>
          <w:rFonts w:hint="default" w:ascii="黑体" w:hAnsi="黑体" w:eastAsia="黑体" w:cs="Segoe UI"/>
          <w:sz w:val="28"/>
          <w:szCs w:val="18"/>
          <w:highlight w:val="none"/>
        </w:rPr>
      </w:pPr>
      <w:r>
        <w:rPr>
          <w:rFonts w:hint="eastAsia" w:ascii="黑体" w:hAnsi="黑体" w:eastAsia="黑体" w:cs="Segoe UI"/>
          <w:sz w:val="28"/>
          <w:szCs w:val="18"/>
          <w:highlight w:val="none"/>
          <w:lang w:val="en-US" w:eastAsia="zh-CN"/>
        </w:rPr>
        <w:t xml:space="preserve">软件著作权证书一览表</w:t>
      </w:r>
      <w:r>
        <w:rPr>
          <w:highlight w:val="none"/>
        </w:rPr>
      </w:r>
      <w:r/>
    </w:p>
    <w:tbl>
      <w:tblPr>
        <w:tblStyle w:val="681"/>
        <w:tblW w:w="93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8"/>
        <w:gridCol w:w="3523"/>
        <w:gridCol w:w="1301"/>
        <w:gridCol w:w="2124"/>
        <w:gridCol w:w="1452"/>
      </w:tblGrid>
      <w:tr>
        <w:trPr>
          <w:cantSplit/>
          <w:trHeight w:val="510"/>
        </w:trPr>
        <w:tc>
          <w:tcPr>
            <w:tcW w:w="968" w:type="dxa"/>
            <w:vAlign w:val="center"/>
            <w:textDirection w:val="lrTb"/>
            <w:noWrap w:val="false"/>
          </w:tcPr>
          <w:p>
            <w:pPr>
              <w:jc w:val="center"/>
              <w:rPr>
                <w:rFonts w:hint="default"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序号</w:t>
            </w:r>
            <w:r>
              <w:rPr>
                <w:highlight w:val="none"/>
              </w:rPr>
            </w:r>
            <w:r/>
          </w:p>
        </w:tc>
        <w:tc>
          <w:tcPr>
            <w:tcW w:w="3523" w:type="dxa"/>
            <w:vAlign w:val="center"/>
            <w:textDirection w:val="lrTb"/>
            <w:noWrap w:val="false"/>
          </w:tcPr>
          <w:p>
            <w:pPr>
              <w:jc w:val="center"/>
              <w:rPr>
                <w:rFonts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软件名称</w:t>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著作权人</w:t>
            </w:r>
            <w:r>
              <w:rPr>
                <w:highlight w:val="none"/>
              </w:rPr>
            </w:r>
            <w:r/>
          </w:p>
        </w:tc>
        <w:tc>
          <w:tcPr>
            <w:tcW w:w="2124" w:type="dxa"/>
            <w:vAlign w:val="center"/>
            <w:textDirection w:val="lrTb"/>
            <w:noWrap w:val="false"/>
          </w:tcPr>
          <w:p>
            <w:pPr>
              <w:jc w:val="center"/>
              <w:rPr>
                <w:rFonts w:hint="default"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登记号</w:t>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颁发日期</w:t>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cantSplit/>
          <w:trHeight w:val="510"/>
        </w:trPr>
        <w:tc>
          <w:tcPr>
            <w:tcW w:w="968"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3523"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452"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bl>
    <w:p>
      <w:pPr>
        <w:numPr>
          <w:ilvl w:val="0"/>
          <w:numId w:val="0"/>
        </w:numP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bidi="ar-SA"/>
        </w:rPr>
        <w:t xml:space="preserve">注：本表后需提供国家版权局颁发的相关软件著作权登记证书原件的扫描件。</w:t>
      </w:r>
      <w:r>
        <w:rPr>
          <w:highlight w:val="none"/>
        </w:rPr>
      </w:r>
      <w:r/>
    </w:p>
    <w:p>
      <w:pPr>
        <w:jc w:val="center"/>
        <w:spacing w:line="48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lang w:val="en-US" w:eastAsia="zh-CN"/>
        </w:rPr>
      </w:r>
      <w:r>
        <w:rPr>
          <w:highlight w:val="none"/>
        </w:rPr>
      </w:r>
      <w:r/>
    </w:p>
    <w:p>
      <w:pPr>
        <w:ind w:left="42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（电子签章）</w:t>
      </w:r>
      <w:r>
        <w:rPr>
          <w:highlight w:val="none"/>
        </w:rPr>
      </w:r>
      <w:r/>
    </w:p>
    <w:p>
      <w:pPr>
        <w:ind w:firstLine="480"/>
        <w:jc w:val="righ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rPr>
          <w:highlight w:val="none"/>
        </w:rPr>
      </w:r>
      <w:r/>
    </w:p>
    <w:p>
      <w:pPr>
        <w:pStyle w:val="1117"/>
        <w:jc w:val="right"/>
        <w:rPr>
          <w:rFonts w:ascii="黑体" w:hAnsi="黑体" w:eastAsia="黑体"/>
          <w:sz w:val="28"/>
          <w:szCs w:val="28"/>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highlight w:val="none"/>
        </w:rPr>
      </w:r>
      <w:r/>
    </w:p>
    <w:p>
      <w:pPr>
        <w:jc w:val="center"/>
        <w:spacing w:line="480" w:lineRule="auto"/>
        <w:rPr>
          <w:rFonts w:ascii="黑体" w:hAnsi="黑体" w:eastAsia="黑体" w:cs="Segoe UI"/>
          <w:sz w:val="28"/>
          <w:szCs w:val="28"/>
          <w:highlight w:val="none"/>
        </w:rPr>
      </w:pPr>
      <w:r>
        <w:rPr>
          <w:rFonts w:hint="eastAsia" w:ascii="黑体" w:hAnsi="黑体" w:eastAsia="黑体" w:cs="Segoe UI"/>
          <w:sz w:val="28"/>
          <w:szCs w:val="18"/>
          <w:highlight w:val="none"/>
          <w:lang w:val="en-US" w:eastAsia="zh-CN"/>
        </w:rPr>
        <w:t xml:space="preserve">项目团队</w:t>
      </w:r>
      <w:r>
        <w:rPr>
          <w:rFonts w:hint="eastAsia" w:ascii="黑体" w:hAnsi="黑体" w:eastAsia="黑体" w:cs="Segoe UI"/>
          <w:sz w:val="28"/>
          <w:szCs w:val="18"/>
          <w:highlight w:val="none"/>
        </w:rPr>
        <w:t xml:space="preserve">一览表</w:t>
      </w:r>
      <w:r>
        <w:rPr>
          <w:highlight w:val="none"/>
        </w:rPr>
      </w:r>
      <w:r/>
    </w:p>
    <w:tbl>
      <w:tblPr>
        <w:tblStyle w:val="681"/>
        <w:tblW w:w="94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1501"/>
        <w:gridCol w:w="2990"/>
        <w:gridCol w:w="1301"/>
        <w:gridCol w:w="2124"/>
      </w:tblGrid>
      <w:tr>
        <w:trPr>
          <w:cantSplit/>
          <w:trHeight w:val="510"/>
        </w:trPr>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岗位</w:t>
            </w:r>
            <w:r>
              <w:rPr>
                <w:highlight w:val="none"/>
              </w:rPr>
            </w:r>
            <w:r/>
          </w:p>
        </w:tc>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姓名</w:t>
            </w:r>
            <w:r>
              <w:rPr>
                <w:highlight w:val="none"/>
              </w:rPr>
            </w:r>
            <w:r/>
          </w:p>
        </w:tc>
        <w:tc>
          <w:tcPr>
            <w:tcW w:w="2990" w:type="dxa"/>
            <w:vAlign w:val="center"/>
            <w:textDirection w:val="lrTb"/>
            <w:noWrap w:val="false"/>
          </w:tcPr>
          <w:p>
            <w:pPr>
              <w:jc w:val="center"/>
              <w:rPr>
                <w:rFonts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证书号码</w:t>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颁发日期</w:t>
            </w:r>
            <w:r>
              <w:rPr>
                <w:highlight w:val="none"/>
              </w:rPr>
            </w:r>
            <w:r/>
          </w:p>
        </w:tc>
        <w:tc>
          <w:tcPr>
            <w:tcW w:w="2124" w:type="dxa"/>
            <w:vAlign w:val="center"/>
            <w:textDirection w:val="lrTb"/>
            <w:noWrap w:val="false"/>
          </w:tcPr>
          <w:p>
            <w:pPr>
              <w:jc w:val="center"/>
              <w:rPr>
                <w:rFonts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t xml:space="preserve">发证单位</w:t>
            </w:r>
            <w:r>
              <w:rPr>
                <w:highlight w:val="none"/>
              </w:rPr>
            </w:r>
            <w:r/>
          </w:p>
        </w:tc>
      </w:tr>
      <w:tr>
        <w:trPr>
          <w:cantSplit/>
          <w:trHeight w:val="510"/>
        </w:trPr>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项目负责人</w:t>
            </w:r>
            <w:r>
              <w:rPr>
                <w:highlight w:val="none"/>
              </w:rPr>
            </w:r>
            <w:r/>
          </w:p>
        </w:tc>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990"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trHeight w:val="510"/>
        </w:trPr>
        <w:tc>
          <w:tcPr>
            <w:tcW w:w="1501" w:type="dxa"/>
            <w:vAlign w:val="center"/>
            <w:vMerge w:val="restart"/>
            <w:textDirection w:val="lrTb"/>
            <w:noWrap w:val="false"/>
          </w:tcPr>
          <w:p>
            <w:pPr>
              <w:jc w:val="center"/>
              <w:rPr>
                <w:rFonts w:hint="default"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lang w:val="en-US" w:eastAsia="zh-CN"/>
              </w:rPr>
              <w:t xml:space="preserve">其他人员</w:t>
            </w:r>
            <w:r>
              <w:rPr>
                <w:highlight w:val="none"/>
              </w:rPr>
            </w:r>
            <w:r/>
          </w:p>
        </w:tc>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990"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trHeight w:val="510"/>
        </w:trPr>
        <w:tc>
          <w:tcPr>
            <w:tcW w:w="1501" w:type="dxa"/>
            <w:vAlign w:val="center"/>
            <w:vMerge w:val="continue"/>
            <w:textDirection w:val="lrTb"/>
            <w:noWrap w:val="false"/>
          </w:tcPr>
          <w:p>
            <w:pPr>
              <w:jc w:val="center"/>
              <w:rPr>
                <w:rFonts w:hint="eastAsia" w:ascii="华文中宋" w:hAnsi="华文中宋" w:eastAsia="华文中宋" w:cs="华文中宋"/>
                <w:b/>
                <w:bCs/>
                <w:sz w:val="22"/>
                <w:szCs w:val="24"/>
                <w:highlight w:val="none"/>
                <w:lang w:val="en-US" w:eastAsia="zh-CN"/>
              </w:rPr>
            </w:pPr>
            <w:r>
              <w:rPr>
                <w:rFonts w:hint="eastAsia" w:ascii="华文中宋" w:hAnsi="华文中宋" w:eastAsia="华文中宋" w:cs="华文中宋"/>
                <w:b/>
                <w:bCs/>
                <w:sz w:val="22"/>
                <w:szCs w:val="24"/>
                <w:highlight w:val="none"/>
                <w:lang w:val="en-US" w:eastAsia="zh-CN"/>
              </w:rPr>
            </w:r>
            <w:r/>
          </w:p>
        </w:tc>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990"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r>
        <w:trPr>
          <w:trHeight w:val="536"/>
        </w:trPr>
        <w:tc>
          <w:tcPr>
            <w:tcW w:w="1501" w:type="dxa"/>
            <w:vAlign w:val="center"/>
            <w:vMerge w:val="continue"/>
            <w:textDirection w:val="lrTb"/>
            <w:noWrap w:val="false"/>
          </w:tcPr>
          <w:p>
            <w:pPr>
              <w:jc w:val="center"/>
              <w:rPr>
                <w:rFonts w:hint="eastAsia" w:ascii="华文中宋" w:hAnsi="华文中宋" w:eastAsia="华文中宋" w:cs="华文中宋"/>
                <w:b/>
                <w:bCs/>
                <w:sz w:val="22"/>
                <w:szCs w:val="24"/>
              </w:rPr>
            </w:pPr>
            <w:r>
              <w:rPr>
                <w:rFonts w:hint="eastAsia" w:ascii="华文中宋" w:hAnsi="华文中宋" w:eastAsia="华文中宋" w:cs="华文中宋"/>
                <w:b/>
                <w:bCs/>
                <w:sz w:val="22"/>
                <w:szCs w:val="24"/>
              </w:rPr>
            </w:r>
            <w:r/>
          </w:p>
        </w:tc>
        <w:tc>
          <w:tcPr>
            <w:tcW w:w="15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990"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1301"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c>
          <w:tcPr>
            <w:tcW w:w="2124" w:type="dxa"/>
            <w:vAlign w:val="center"/>
            <w:textDirection w:val="lrTb"/>
            <w:noWrap w:val="false"/>
          </w:tcPr>
          <w:p>
            <w:pPr>
              <w:jc w:val="center"/>
              <w:rPr>
                <w:rFonts w:hint="eastAsia" w:ascii="华文中宋" w:hAnsi="华文中宋" w:eastAsia="华文中宋" w:cs="华文中宋"/>
                <w:b/>
                <w:bCs/>
                <w:sz w:val="22"/>
                <w:szCs w:val="24"/>
                <w:highlight w:val="none"/>
              </w:rPr>
            </w:pPr>
            <w:r>
              <w:rPr>
                <w:rFonts w:hint="eastAsia" w:ascii="华文中宋" w:hAnsi="华文中宋" w:eastAsia="华文中宋" w:cs="华文中宋"/>
                <w:b/>
                <w:bCs/>
                <w:sz w:val="22"/>
                <w:szCs w:val="24"/>
                <w:highlight w:val="none"/>
              </w:rPr>
            </w:r>
            <w:r>
              <w:rPr>
                <w:highlight w:val="none"/>
              </w:rPr>
            </w:r>
            <w:r/>
          </w:p>
        </w:tc>
      </w:tr>
    </w:tbl>
    <w:p>
      <w:pPr>
        <w:spacing w:line="360" w:lineRule="auto"/>
        <w:rPr>
          <w:rFonts w:hint="default" w:ascii="宋体" w:hAnsi="宋体" w:eastAsia="宋体" w:cs="宋体"/>
          <w:b/>
          <w:bCs/>
          <w:sz w:val="22"/>
          <w:highlight w:val="none"/>
        </w:rPr>
      </w:pPr>
      <w:r>
        <w:rPr>
          <w:rFonts w:hint="eastAsia" w:ascii="宋体" w:hAnsi="宋体" w:cs="宋体"/>
          <w:b/>
          <w:bCs/>
          <w:sz w:val="22"/>
          <w:highlight w:val="none"/>
        </w:rPr>
        <w:t xml:space="preserve">注：</w:t>
      </w:r>
      <w:r>
        <w:rPr>
          <w:rFonts w:hint="eastAsia" w:ascii="宋体" w:hAnsi="宋体" w:cs="宋体"/>
          <w:b/>
          <w:bCs/>
          <w:sz w:val="22"/>
          <w:highlight w:val="none"/>
          <w:lang w:val="en-US" w:eastAsia="zh-CN"/>
        </w:rPr>
        <w:t xml:space="preserve">本表后需同时提供：</w:t>
      </w:r>
      <w:r>
        <w:rPr>
          <w:highlight w:val="none"/>
        </w:rPr>
      </w:r>
      <w:r/>
    </w:p>
    <w:p>
      <w:pPr>
        <w:numPr>
          <w:ilvl w:val="0"/>
          <w:numId w:val="0"/>
        </w:numPr>
        <w:spacing w:line="360" w:lineRule="auto"/>
        <w:rPr>
          <w:rFonts w:hint="eastAsia" w:ascii="宋体" w:hAnsi="宋体" w:eastAsia="宋体" w:cs="宋体"/>
          <w:b/>
          <w:bCs/>
          <w:sz w:val="22"/>
          <w:szCs w:val="22"/>
          <w:highlight w:val="none"/>
        </w:rPr>
      </w:pPr>
      <w:r>
        <w:rPr>
          <w:rFonts w:hint="eastAsia" w:ascii="宋体" w:hAnsi="宋体" w:eastAsia="宋体" w:cs="宋体"/>
          <w:b/>
          <w:bCs/>
          <w:sz w:val="22"/>
          <w:szCs w:val="22"/>
          <w:highlight w:val="none"/>
          <w:lang w:val="en-US" w:eastAsia="zh-CN" w:bidi="ar-SA"/>
        </w:rPr>
        <w:t xml:space="preserve">①相关证书原件的扫描件；</w:t>
      </w:r>
      <w:r>
        <w:rPr>
          <w:highlight w:val="none"/>
        </w:rPr>
      </w:r>
      <w:r/>
    </w:p>
    <w:p>
      <w:pPr>
        <w:numPr>
          <w:ilvl w:val="0"/>
          <w:numId w:val="0"/>
        </w:numPr>
        <w:spacing w:line="360" w:lineRule="auto"/>
        <w:rPr>
          <w:rFonts w:ascii="宋体" w:hAnsi="宋体"/>
          <w:sz w:val="24"/>
          <w:szCs w:val="24"/>
          <w:highlight w:val="none"/>
        </w:rPr>
      </w:pPr>
      <w:r>
        <w:rPr>
          <w:rFonts w:hint="eastAsia" w:ascii="宋体" w:hAnsi="宋体" w:eastAsia="宋体" w:cs="宋体"/>
          <w:b/>
          <w:bCs/>
          <w:sz w:val="22"/>
          <w:szCs w:val="22"/>
          <w:highlight w:val="none"/>
          <w:lang w:val="en-US" w:eastAsia="zh-CN" w:bidi="ar-SA"/>
        </w:rPr>
        <w:t xml:space="preserve">②投标截止日当月或上月，投标人为其缴纳的养老保险证明扫描件（养老保险证明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ind w:left="42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（电子签章）</w:t>
      </w:r>
      <w:r>
        <w:rPr>
          <w:highlight w:val="none"/>
        </w:rPr>
      </w:r>
      <w:r/>
    </w:p>
    <w:p>
      <w:pPr>
        <w:ind w:firstLine="480"/>
        <w:jc w:val="righ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rPr>
          <w:highlight w:val="none"/>
        </w:rPr>
      </w:r>
      <w:r/>
    </w:p>
    <w:p>
      <w:pPr>
        <w:pStyle w:val="1117"/>
        <w:jc w:val="right"/>
        <w:rPr>
          <w:rFonts w:ascii="黑体" w:hAnsi="黑体" w:eastAsia="黑体"/>
          <w:sz w:val="28"/>
          <w:szCs w:val="28"/>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360" w:lineRule="auto"/>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pStyle w:val="683"/>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pStyle w:val="683"/>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pStyle w:val="683"/>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pStyle w:val="683"/>
        <w:rPr>
          <w:rFonts w:hint="eastAsia" w:ascii="黑体" w:hAnsi="黑体" w:eastAsia="黑体" w:cs="Segoe UI"/>
          <w:sz w:val="28"/>
          <w:szCs w:val="18"/>
          <w:highlight w:val="none"/>
        </w:rPr>
      </w:pPr>
      <w:r>
        <w:rPr>
          <w:rFonts w:hint="eastAsia" w:ascii="黑体" w:hAnsi="黑体" w:eastAsia="黑体" w:cs="Segoe UI"/>
          <w:sz w:val="28"/>
          <w:szCs w:val="18"/>
          <w:highlight w:val="none"/>
        </w:rPr>
      </w:r>
      <w:r>
        <w:rPr>
          <w:highlight w:val="none"/>
        </w:rPr>
      </w:r>
      <w:r/>
    </w:p>
    <w:p>
      <w:pPr>
        <w:jc w:val="center"/>
        <w:spacing w:line="480" w:lineRule="auto"/>
        <w:rPr>
          <w:rFonts w:ascii="黑体" w:hAnsi="黑体" w:eastAsia="黑体" w:cs="Segoe UI"/>
          <w:sz w:val="28"/>
          <w:szCs w:val="18"/>
          <w:highlight w:val="none"/>
        </w:rPr>
      </w:pPr>
      <w:r>
        <w:rPr>
          <w:rFonts w:hint="eastAsia" w:ascii="黑体" w:hAnsi="黑体" w:eastAsia="黑体" w:cs="Segoe UI"/>
          <w:sz w:val="28"/>
          <w:szCs w:val="18"/>
          <w:highlight w:val="none"/>
        </w:rPr>
        <w:t xml:space="preserve">类似业绩一览表</w:t>
      </w:r>
      <w:r>
        <w:rPr>
          <w:highlight w:val="none"/>
        </w:rPr>
      </w:r>
      <w:r/>
    </w:p>
    <w:tbl>
      <w:tblPr>
        <w:tblStyle w:val="681"/>
        <w:tblW w:w="89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8"/>
        <w:gridCol w:w="2203"/>
        <w:gridCol w:w="1880"/>
        <w:gridCol w:w="2432"/>
      </w:tblGrid>
      <w:tr>
        <w:trPr>
          <w:cantSplit/>
          <w:trHeight w:val="501"/>
        </w:trPr>
        <w:tc>
          <w:tcPr>
            <w:tcW w:w="2468"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t xml:space="preserve">合同名称</w:t>
            </w:r>
            <w:r>
              <w:rPr>
                <w:highlight w:val="none"/>
              </w:rPr>
            </w:r>
            <w:r/>
          </w:p>
        </w:tc>
        <w:tc>
          <w:tcPr>
            <w:tcW w:w="2203"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lang w:val="en-US" w:eastAsia="zh-CN"/>
              </w:rPr>
              <w:t xml:space="preserve">委托</w:t>
            </w:r>
            <w:r>
              <w:rPr>
                <w:rFonts w:hint="eastAsia" w:ascii="宋体" w:hAnsi="宋体" w:eastAsia="宋体" w:cs="宋体"/>
                <w:b/>
                <w:bCs/>
                <w:sz w:val="22"/>
                <w:szCs w:val="24"/>
                <w:highlight w:val="none"/>
              </w:rPr>
              <w:t xml:space="preserve">单位</w:t>
            </w:r>
            <w:r>
              <w:rPr>
                <w:highlight w:val="none"/>
              </w:rPr>
            </w:r>
            <w:r/>
          </w:p>
        </w:tc>
        <w:tc>
          <w:tcPr>
            <w:tcW w:w="1880"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cs="宋体"/>
                <w:b/>
                <w:bCs/>
                <w:sz w:val="22"/>
                <w:szCs w:val="24"/>
                <w:highlight w:val="none"/>
                <w:lang w:val="en-US" w:eastAsia="zh-CN"/>
              </w:rPr>
              <w:t xml:space="preserve">建设内容</w:t>
            </w:r>
            <w:r>
              <w:rPr>
                <w:highlight w:val="none"/>
              </w:rPr>
            </w:r>
            <w:r/>
          </w:p>
        </w:tc>
        <w:tc>
          <w:tcPr>
            <w:tcW w:w="2432"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t xml:space="preserve">合同签订时间</w:t>
            </w:r>
            <w:r>
              <w:rPr>
                <w:highlight w:val="none"/>
              </w:rPr>
            </w:r>
            <w:r/>
          </w:p>
        </w:tc>
      </w:tr>
      <w:tr>
        <w:trPr>
          <w:cantSplit/>
          <w:trHeight w:val="501"/>
        </w:trPr>
        <w:tc>
          <w:tcPr>
            <w:tcW w:w="2468"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203"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1880"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432"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r>
      <w:tr>
        <w:trPr>
          <w:cantSplit/>
          <w:trHeight w:val="501"/>
        </w:trPr>
        <w:tc>
          <w:tcPr>
            <w:tcW w:w="2468"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203"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1880"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432"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r>
      <w:tr>
        <w:trPr>
          <w:cantSplit/>
          <w:trHeight w:val="501"/>
        </w:trPr>
        <w:tc>
          <w:tcPr>
            <w:tcW w:w="2468"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203"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1880"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432"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r>
      <w:tr>
        <w:trPr>
          <w:trHeight w:val="501"/>
        </w:trPr>
        <w:tc>
          <w:tcPr>
            <w:tcW w:w="2468"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203"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1880"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c>
          <w:tcPr>
            <w:tcW w:w="2432" w:type="dxa"/>
            <w:vAlign w:val="center"/>
            <w:textDirection w:val="lrTb"/>
            <w:noWrap w:val="false"/>
          </w:tcPr>
          <w:p>
            <w:pPr>
              <w:jc w:val="center"/>
              <w:rPr>
                <w:rFonts w:hint="eastAsia" w:ascii="宋体" w:hAnsi="宋体" w:eastAsia="宋体" w:cs="宋体"/>
                <w:b/>
                <w:bCs/>
                <w:sz w:val="22"/>
                <w:szCs w:val="24"/>
                <w:highlight w:val="none"/>
              </w:rPr>
            </w:pPr>
            <w:r>
              <w:rPr>
                <w:rFonts w:hint="eastAsia" w:ascii="宋体" w:hAnsi="宋体" w:eastAsia="宋体" w:cs="宋体"/>
                <w:b/>
                <w:bCs/>
                <w:sz w:val="22"/>
                <w:szCs w:val="24"/>
                <w:highlight w:val="none"/>
              </w:rPr>
            </w:r>
            <w:r>
              <w:rPr>
                <w:highlight w:val="none"/>
              </w:rPr>
            </w:r>
            <w:r/>
          </w:p>
        </w:tc>
      </w:tr>
    </w:tbl>
    <w:p>
      <w:pPr>
        <w:spacing w:line="360" w:lineRule="auto"/>
        <w:rPr>
          <w:rFonts w:hint="eastAsia" w:ascii="宋体" w:hAnsi="宋体" w:eastAsia="宋体" w:cs="宋体"/>
          <w:sz w:val="24"/>
          <w:szCs w:val="24"/>
          <w:highlight w:val="none"/>
        </w:rPr>
      </w:pPr>
      <w:r>
        <w:rPr>
          <w:rFonts w:hint="eastAsia" w:ascii="宋体" w:hAnsi="宋体" w:eastAsia="宋体" w:cs="宋体"/>
          <w:b/>
          <w:bCs/>
          <w:sz w:val="22"/>
          <w:highlight w:val="none"/>
        </w:rPr>
        <w:t xml:space="preserve">注：本表后附合同关键页原件扫描件。</w:t>
      </w:r>
      <w:r>
        <w:rPr>
          <w:highlight w:val="none"/>
        </w:rPr>
      </w:r>
      <w:r/>
    </w:p>
    <w:p>
      <w:pPr>
        <w:pStyle w:val="1117"/>
        <w:rPr>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pStyle w:val="1117"/>
        <w:rPr>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pStyle w:val="1117"/>
        <w:rPr>
          <w:rFonts w:hint="eastAsia" w:ascii="宋体" w:hAnsi="宋体" w:eastAsia="宋体" w:cs="宋体"/>
          <w:sz w:val="28"/>
          <w:szCs w:val="28"/>
          <w:highlight w:val="none"/>
        </w:rPr>
      </w:pPr>
      <w:r>
        <w:rPr>
          <w:rFonts w:hint="eastAsia" w:ascii="宋体" w:hAnsi="宋体" w:eastAsia="宋体" w:cs="宋体"/>
          <w:sz w:val="28"/>
          <w:szCs w:val="28"/>
          <w:highlight w:val="none"/>
        </w:rPr>
      </w:r>
      <w:r>
        <w:rPr>
          <w:highlight w:val="none"/>
        </w:rPr>
      </w:r>
      <w:r/>
    </w:p>
    <w:p>
      <w:pPr>
        <w:ind w:left="420"/>
        <w:jc w:val="right"/>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投标人公章：            （电子签章）</w:t>
      </w:r>
      <w:r>
        <w:rPr>
          <w:highlight w:val="none"/>
        </w:rPr>
      </w:r>
      <w:r/>
    </w:p>
    <w:p>
      <w:pPr>
        <w:ind w:firstLine="480"/>
        <w:jc w:val="right"/>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rPr>
          <w:highlight w:val="none"/>
        </w:rPr>
      </w:r>
      <w:r/>
    </w:p>
    <w:p>
      <w:pPr>
        <w:pStyle w:val="1117"/>
        <w:jc w:val="right"/>
        <w:rPr>
          <w:rFonts w:ascii="黑体" w:hAnsi="黑体" w:eastAsia="黑体"/>
          <w:sz w:val="28"/>
          <w:szCs w:val="28"/>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pStyle w:val="1117"/>
        <w:rPr>
          <w:rFonts w:ascii="黑体" w:hAnsi="黑体" w:eastAsia="黑体"/>
          <w:sz w:val="28"/>
          <w:szCs w:val="28"/>
          <w:highlight w:val="none"/>
        </w:rPr>
      </w:pPr>
      <w:r>
        <w:rPr>
          <w:rFonts w:ascii="黑体" w:hAnsi="黑体" w:eastAsia="黑体"/>
          <w:sz w:val="28"/>
          <w:szCs w:val="28"/>
          <w:highlight w:val="none"/>
        </w:rPr>
      </w:r>
      <w:r>
        <w:rPr>
          <w:highlight w:val="none"/>
        </w:rPr>
      </w:r>
      <w:r/>
    </w:p>
    <w:p>
      <w:pPr>
        <w:jc w:val="center"/>
        <w:spacing w:line="360" w:lineRule="auto"/>
        <w:rPr>
          <w:rFonts w:ascii="黑体" w:hAnsi="黑体" w:eastAsia="黑体" w:cs="Segoe UI"/>
          <w:sz w:val="28"/>
          <w:szCs w:val="18"/>
          <w:highlight w:val="none"/>
        </w:rPr>
      </w:pPr>
      <w:r>
        <w:rPr>
          <w:rFonts w:hint="eastAsia" w:ascii="黑体" w:hAnsi="黑体" w:eastAsia="黑体" w:cs="Segoe UI"/>
          <w:sz w:val="28"/>
          <w:szCs w:val="18"/>
          <w:highlight w:val="none"/>
        </w:rPr>
        <w:t xml:space="preserve">企业报价折扣证明</w:t>
      </w:r>
      <w:r>
        <w:rPr>
          <w:highlight w:val="none"/>
        </w:rPr>
      </w:r>
      <w:r/>
    </w:p>
    <w:p>
      <w:pPr>
        <w:pStyle w:val="950"/>
        <w:jc w:val="center"/>
        <w:rPr>
          <w:rFonts w:ascii="宋体" w:hAnsi="宋体" w:cs="宋体"/>
          <w:b/>
          <w:bCs/>
          <w:sz w:val="28"/>
          <w:szCs w:val="28"/>
          <w:highlight w:val="none"/>
        </w:rPr>
      </w:pPr>
      <w:r>
        <w:rPr>
          <w:rFonts w:hint="eastAsia" w:ascii="宋体" w:hAnsi="宋体" w:cs="宋体"/>
          <w:b/>
          <w:bCs/>
          <w:sz w:val="28"/>
          <w:szCs w:val="28"/>
          <w:highlight w:val="none"/>
        </w:rPr>
        <w:t xml:space="preserve">（一）中小企业声明函</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本公司郑重声明，根据《政府采购促进中小企业发展管理办法》（财库﹝</w:t>
      </w:r>
      <w:r>
        <w:rPr>
          <w:rFonts w:ascii="Times New Roman" w:hAnsi="Times New Roman" w:eastAsia="Times New Roman" w:cs="Times New Roman"/>
          <w:color w:val="000000"/>
          <w:sz w:val="24"/>
          <w:highlight w:val="none"/>
        </w:rPr>
        <w:t xml:space="preserve">2020</w:t>
      </w:r>
      <w:r>
        <w:rPr>
          <w:rFonts w:ascii="宋体" w:hAnsi="宋体" w:eastAsia="宋体" w:cs="宋体"/>
          <w:color w:val="000000"/>
          <w:sz w:val="24"/>
          <w:highlight w:val="none"/>
        </w:rPr>
        <w:t xml:space="preserve">﹞</w:t>
      </w:r>
      <w:r>
        <w:rPr>
          <w:rFonts w:ascii="Times New Roman" w:hAnsi="Times New Roman" w:eastAsia="Times New Roman" w:cs="Times New Roman"/>
          <w:color w:val="000000"/>
          <w:sz w:val="24"/>
          <w:highlight w:val="none"/>
        </w:rPr>
        <w:t xml:space="preserve">46</w:t>
      </w:r>
      <w:r>
        <w:rPr>
          <w:rFonts w:ascii="宋体" w:hAnsi="宋体" w:eastAsia="宋体" w:cs="宋体"/>
          <w:color w:val="000000"/>
          <w:sz w:val="24"/>
          <w:highlight w:val="none"/>
        </w:rPr>
        <w:t xml:space="preserve">号）的规定，本公司参加</w:t>
      </w:r>
      <w:r>
        <w:rPr>
          <w:rFonts w:ascii="宋体" w:hAnsi="宋体" w:eastAsia="宋体" w:cs="宋体"/>
          <w:b/>
          <w:i/>
          <w:color w:val="000000"/>
          <w:sz w:val="24"/>
          <w:highlight w:val="none"/>
          <w:u w:val="single"/>
        </w:rPr>
        <w:t xml:space="preserve"> （采购人名称）</w:t>
      </w:r>
      <w:r>
        <w:rPr>
          <w:rFonts w:ascii="宋体" w:hAnsi="宋体" w:eastAsia="宋体" w:cs="宋体"/>
          <w:color w:val="000000"/>
          <w:sz w:val="24"/>
          <w:highlight w:val="none"/>
        </w:rPr>
        <w:t xml:space="preserve">的</w:t>
      </w:r>
      <w:r>
        <w:rPr>
          <w:rFonts w:ascii="宋体" w:hAnsi="宋体" w:eastAsia="宋体" w:cs="宋体"/>
          <w:b/>
          <w:i/>
          <w:color w:val="000000"/>
          <w:sz w:val="24"/>
          <w:highlight w:val="none"/>
          <w:u w:val="single"/>
        </w:rPr>
        <w:t xml:space="preserve">   （项目名称）</w:t>
      </w:r>
      <w:r>
        <w:rPr>
          <w:rFonts w:ascii="宋体" w:hAnsi="宋体" w:eastAsia="宋体" w:cs="宋体"/>
          <w:color w:val="000000"/>
          <w:sz w:val="24"/>
          <w:highlight w:val="none"/>
        </w:rPr>
        <w:t xml:space="preserve">采购活动，提供的货物全部由符合政策要求的中小企业制造。相关企业的具体情况如下：</w:t>
      </w:r>
      <w:r>
        <w:rPr>
          <w:highlight w:val="none"/>
        </w:rPr>
      </w:r>
      <w:r/>
    </w:p>
    <w:p>
      <w:pPr>
        <w:numPr>
          <w:ilvl w:val="0"/>
          <w:numId w:val="4"/>
        </w:numPr>
        <w:ind w:firstLine="482"/>
        <w:jc w:val="both"/>
        <w:keepLines w:val="0"/>
        <w:keepNext w:val="0"/>
        <w:pageBreakBefore w:val="0"/>
        <w:spacing w:before="0" w:after="0" w:line="85" w:lineRule="atLeast"/>
        <w:widowControl w:val="off"/>
        <w:tabs>
          <w:tab w:val="left" w:pos="312"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24"/>
          <w:highlight w:val="none"/>
          <w:u w:val="single"/>
          <w:lang w:val="en-US" w:eastAsia="zh-CN"/>
        </w:rPr>
        <w:t xml:space="preserve"> 卒中胸痛急救智能体平台</w:t>
      </w:r>
      <w:r>
        <w:rPr>
          <w:rFonts w:ascii="宋体" w:hAnsi="宋体" w:eastAsia="宋体" w:cs="宋体"/>
          <w:b/>
          <w:i/>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hint="eastAsia" w:ascii="宋体" w:hAnsi="宋体" w:eastAsia="宋体" w:cs="宋体"/>
          <w:b/>
          <w:i/>
          <w:color w:val="000000"/>
          <w:sz w:val="24"/>
          <w:highlight w:val="none"/>
          <w:u w:val="single"/>
          <w:lang w:val="en-US" w:eastAsia="zh-CN"/>
        </w:rPr>
        <w:t xml:space="preserve">软件和信息技术服务业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（企业名称）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b/>
          <w:color w:val="000000"/>
          <w:sz w:val="24"/>
          <w:highlight w:val="none"/>
          <w:u w:val="single"/>
        </w:rPr>
        <w:t xml:space="preserve"> □</w:t>
      </w:r>
      <w:r>
        <w:rPr>
          <w:rFonts w:ascii="宋体" w:hAnsi="宋体" w:eastAsia="宋体" w:cs="宋体"/>
          <w:b/>
          <w:i/>
          <w:color w:val="000000"/>
          <w:sz w:val="24"/>
          <w:highlight w:val="none"/>
          <w:u w:val="single"/>
        </w:rPr>
        <w:t xml:space="preserve">中型企业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小型企业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微型企业</w:t>
      </w:r>
      <w:r>
        <w:rPr>
          <w:rFonts w:ascii="宋体" w:hAnsi="宋体" w:eastAsia="宋体" w:cs="宋体"/>
          <w:b/>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highlight w:val="none"/>
        </w:rPr>
      </w:r>
      <w:r/>
    </w:p>
    <w:p>
      <w:pPr>
        <w:numPr>
          <w:ilvl w:val="0"/>
          <w:numId w:val="4"/>
        </w:numPr>
        <w:ind w:firstLine="482"/>
        <w:jc w:val="both"/>
        <w:keepLines w:val="0"/>
        <w:keepNext w:val="0"/>
        <w:pageBreakBefore w:val="0"/>
        <w:spacing w:before="0" w:after="0" w:line="85" w:lineRule="atLeast"/>
        <w:widowControl w:val="off"/>
        <w:tabs>
          <w:tab w:val="left" w:pos="312"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24"/>
          <w:highlight w:val="none"/>
          <w:u w:val="single"/>
          <w:lang w:val="en-US" w:eastAsia="zh-CN"/>
        </w:rPr>
        <w:t xml:space="preserve"> 急救车急诊智能病历生成系统</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hint="eastAsia" w:ascii="宋体" w:hAnsi="宋体" w:eastAsia="宋体" w:cs="宋体"/>
          <w:b/>
          <w:i/>
          <w:color w:val="000000"/>
          <w:sz w:val="24"/>
          <w:highlight w:val="none"/>
          <w:u w:val="single"/>
          <w:lang w:val="en-US" w:eastAsia="zh-CN"/>
        </w:rPr>
        <w:t xml:space="preserve">软件和信息技术服务业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（企业名称）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中型企业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小型企业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微型企业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highlight w:val="none"/>
        </w:rPr>
      </w:r>
      <w:r/>
    </w:p>
    <w:p>
      <w:pPr>
        <w:numPr>
          <w:ilvl w:val="0"/>
          <w:numId w:val="4"/>
        </w:numPr>
        <w:ind w:firstLine="482"/>
        <w:jc w:val="both"/>
        <w:keepLines w:val="0"/>
        <w:keepNext w:val="0"/>
        <w:pageBreakBefore w:val="0"/>
        <w:spacing w:before="0" w:after="0" w:line="85" w:lineRule="atLeast"/>
        <w:widowControl w:val="off"/>
        <w:tabs>
          <w:tab w:val="left" w:pos="312"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24"/>
          <w:highlight w:val="none"/>
          <w:u w:val="single"/>
          <w:lang w:val="en-US" w:eastAsia="zh-CN"/>
        </w:rPr>
        <w:t xml:space="preserve"> </w:t>
      </w:r>
      <w:r>
        <w:rPr>
          <w:rFonts w:hint="eastAsia" w:ascii="宋体" w:hAnsi="宋体" w:eastAsia="宋体" w:cs="宋体"/>
          <w:b/>
          <w:i/>
          <w:color w:val="000000"/>
          <w:sz w:val="24"/>
          <w:highlight w:val="none"/>
          <w:u w:val="single"/>
        </w:rPr>
        <w:t xml:space="preserve">智算模块</w:t>
      </w:r>
      <w:r>
        <w:rPr>
          <w:rFonts w:ascii="宋体" w:hAnsi="宋体" w:eastAsia="宋体" w:cs="宋体"/>
          <w:b/>
          <w:i/>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工业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（企业名称）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b/>
          <w:color w:val="000000"/>
          <w:sz w:val="24"/>
          <w:highlight w:val="none"/>
          <w:u w:val="single"/>
        </w:rPr>
        <w:t xml:space="preserve"> □</w:t>
      </w:r>
      <w:r>
        <w:rPr>
          <w:rFonts w:ascii="宋体" w:hAnsi="宋体" w:eastAsia="宋体" w:cs="宋体"/>
          <w:b/>
          <w:i/>
          <w:color w:val="000000"/>
          <w:sz w:val="24"/>
          <w:highlight w:val="none"/>
          <w:u w:val="single"/>
        </w:rPr>
        <w:t xml:space="preserve">中型企业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小型企业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微型企业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highlight w:val="none"/>
        </w:rPr>
      </w:r>
      <w:r/>
    </w:p>
    <w:p>
      <w:pPr>
        <w:numPr>
          <w:ilvl w:val="0"/>
          <w:numId w:val="4"/>
        </w:numPr>
        <w:ind w:firstLine="482"/>
        <w:jc w:val="both"/>
        <w:keepLines w:val="0"/>
        <w:keepNext w:val="0"/>
        <w:pageBreakBefore w:val="0"/>
        <w:spacing w:before="0" w:after="0" w:line="85" w:lineRule="atLeast"/>
        <w:widowControl w:val="off"/>
        <w:tabs>
          <w:tab w:val="left" w:pos="312"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color w:val="000000"/>
          <w:sz w:val="24"/>
          <w:highlight w:val="none"/>
          <w:u w:val="single"/>
          <w:lang w:val="en-US" w:eastAsia="zh-CN"/>
        </w:rPr>
        <w:t xml:space="preserve"> </w:t>
      </w:r>
      <w:r>
        <w:rPr>
          <w:rFonts w:hint="eastAsia" w:ascii="宋体" w:hAnsi="宋体" w:eastAsia="宋体" w:cs="宋体"/>
          <w:b/>
          <w:i/>
          <w:color w:val="000000"/>
          <w:sz w:val="24"/>
          <w:highlight w:val="none"/>
          <w:u w:val="single"/>
        </w:rPr>
        <w:t xml:space="preserve">数据可视化显示仪</w:t>
      </w:r>
      <w:r>
        <w:rPr>
          <w:rFonts w:ascii="宋体" w:hAnsi="宋体" w:eastAsia="宋体" w:cs="宋体"/>
          <w:b/>
          <w:i/>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工业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企业名称）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中型企业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小型企业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微型企业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highlight w:val="none"/>
        </w:rPr>
      </w:r>
      <w:r/>
    </w:p>
    <w:p>
      <w:pPr>
        <w:numPr>
          <w:ilvl w:val="0"/>
          <w:numId w:val="4"/>
        </w:numPr>
        <w:ind w:firstLine="482"/>
        <w:jc w:val="both"/>
        <w:keepLines w:val="0"/>
        <w:keepNext w:val="0"/>
        <w:pageBreakBefore w:val="0"/>
        <w:spacing w:before="0" w:after="0" w:line="85" w:lineRule="atLeast"/>
        <w:widowControl w:val="off"/>
        <w:tabs>
          <w:tab w:val="left" w:pos="312" w:leader="none"/>
        </w:tabs>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color w:val="000000"/>
          <w:sz w:val="24"/>
          <w:highlight w:val="none"/>
          <w:u w:val="single"/>
          <w:lang w:val="en-US" w:eastAsia="zh-CN"/>
        </w:rPr>
        <w:t xml:space="preserve">  </w:t>
      </w:r>
      <w:r>
        <w:rPr>
          <w:rFonts w:hint="eastAsia" w:ascii="宋体" w:hAnsi="宋体" w:eastAsia="宋体" w:cs="宋体"/>
          <w:b/>
          <w:i/>
          <w:color w:val="000000"/>
          <w:sz w:val="24"/>
          <w:highlight w:val="none"/>
          <w:u w:val="single"/>
        </w:rPr>
        <w:t xml:space="preserve">急救车载PAD</w:t>
      </w:r>
      <w:r>
        <w:rPr>
          <w:rFonts w:ascii="宋体" w:hAnsi="宋体" w:eastAsia="宋体" w:cs="宋体"/>
          <w:b/>
          <w:i/>
          <w:color w:val="000000"/>
          <w:sz w:val="24"/>
          <w:highlight w:val="none"/>
          <w:u w:val="single"/>
        </w:rPr>
        <w:t xml:space="preserve"> </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，属于</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工业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；承接企业为</w:t>
      </w:r>
      <w:r>
        <w:rPr>
          <w:rFonts w:ascii="宋体" w:hAnsi="宋体" w:eastAsia="宋体" w:cs="宋体"/>
          <w:color w:val="000000"/>
          <w:sz w:val="24"/>
          <w:highlight w:val="none"/>
          <w:u w:val="single"/>
        </w:rPr>
        <w:t xml:space="preserve">  </w:t>
      </w:r>
      <w:r>
        <w:rPr>
          <w:rFonts w:ascii="宋体" w:hAnsi="宋体" w:eastAsia="宋体" w:cs="宋体"/>
          <w:b/>
          <w:i/>
          <w:color w:val="000000"/>
          <w:sz w:val="24"/>
          <w:highlight w:val="none"/>
          <w:u w:val="single"/>
        </w:rPr>
        <w:t xml:space="preserve">（企业名称）</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，从业人员</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人，营业收入为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万元；资产总额为：</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万元，属于</w:t>
      </w:r>
      <w:r>
        <w:rPr>
          <w:rFonts w:ascii="宋体" w:hAnsi="宋体" w:eastAsia="宋体" w:cs="宋体"/>
          <w:color w:val="000000"/>
          <w:sz w:val="24"/>
          <w:highlight w:val="none"/>
          <w:u w:val="single"/>
        </w:rPr>
        <w:t xml:space="preserve">   </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中型企业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小型企业</w:t>
      </w:r>
      <w:r>
        <w:rPr>
          <w:rFonts w:ascii="宋体" w:hAnsi="宋体" w:eastAsia="宋体" w:cs="宋体"/>
          <w:b/>
          <w:color w:val="000000"/>
          <w:sz w:val="24"/>
          <w:highlight w:val="none"/>
          <w:u w:val="single"/>
        </w:rPr>
        <w:t xml:space="preserve">□</w:t>
      </w:r>
      <w:r>
        <w:rPr>
          <w:rFonts w:ascii="宋体" w:hAnsi="宋体" w:eastAsia="宋体" w:cs="宋体"/>
          <w:b/>
          <w:i/>
          <w:color w:val="000000"/>
          <w:sz w:val="24"/>
          <w:highlight w:val="none"/>
          <w:u w:val="single"/>
        </w:rPr>
        <w:t xml:space="preserve">微型企业</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w:t>
      </w:r>
      <w:r>
        <w:rPr>
          <w:highlight w:val="none"/>
        </w:rPr>
      </w:r>
      <w:r/>
    </w:p>
    <w:p>
      <w:pPr>
        <w:pStyle w:val="683"/>
        <w:rPr>
          <w:highlight w:val="none"/>
        </w:rPr>
      </w:pPr>
      <w:r>
        <w:rPr>
          <w:highlight w:val="none"/>
        </w:rPr>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本企业对上述声明内容的真实性负责。如有虚假，将依法承担相应责任。</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 </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备注：</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1.从业人员、营业收入、资产总额填报上一年度数据，无上一年度数据的新成立企业可不填报。</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2.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在“</w:t>
      </w:r>
      <w:r>
        <w:rPr>
          <w:rFonts w:ascii="宋体" w:hAnsi="宋体" w:eastAsia="宋体" w:cs="宋体"/>
          <w:color w:val="000000"/>
          <w:sz w:val="24"/>
          <w:highlight w:val="none"/>
        </w:rPr>
        <w:t xml:space="preserve">□</w:t>
      </w:r>
      <w:r>
        <w:rPr>
          <w:rFonts w:ascii="宋体" w:hAnsi="宋体" w:eastAsia="宋体" w:cs="宋体"/>
          <w:b/>
          <w:color w:val="000000"/>
          <w:sz w:val="24"/>
          <w:highlight w:val="none"/>
        </w:rPr>
        <w:t xml:space="preserve">”内打“✓”勾选制造商的企业规模类型；未打“✓”勾选制造商的企业规模类型的，不予认可。</w:t>
      </w:r>
      <w:r>
        <w:rPr>
          <w:highlight w:val="none"/>
        </w:rPr>
      </w:r>
      <w:r/>
    </w:p>
    <w:p>
      <w:pPr>
        <w:ind w:left="0" w:right="0" w:firstLine="482"/>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highlight w:val="none"/>
        </w:rPr>
      </w:r>
      <w:r/>
    </w:p>
    <w:p>
      <w:pPr>
        <w:ind w:left="0" w:right="0" w:firstLine="480"/>
        <w:jc w:val="both"/>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480"/>
        <w:jc w:val="right"/>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投标人公章：（电子签章）</w:t>
      </w:r>
      <w:r>
        <w:rPr>
          <w:highlight w:val="none"/>
        </w:rPr>
      </w:r>
      <w:r/>
    </w:p>
    <w:p>
      <w:pPr>
        <w:ind w:firstLine="480"/>
        <w:jc w:val="right"/>
        <w:spacing w:line="360" w:lineRule="auto"/>
        <w:rPr>
          <w:highlight w:val="none"/>
        </w:rPr>
      </w:pP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年</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月</w:t>
      </w:r>
      <w:r>
        <w:rPr>
          <w:rFonts w:ascii="宋体" w:hAnsi="宋体" w:eastAsia="宋体" w:cs="宋体"/>
          <w:color w:val="000000"/>
          <w:sz w:val="24"/>
          <w:highlight w:val="none"/>
          <w:u w:val="single"/>
        </w:rPr>
        <w:t xml:space="preserve">   </w:t>
      </w:r>
      <w:r>
        <w:rPr>
          <w:rFonts w:ascii="宋体" w:hAnsi="宋体" w:eastAsia="宋体" w:cs="宋体"/>
          <w:color w:val="000000"/>
          <w:sz w:val="24"/>
          <w:highlight w:val="none"/>
        </w:rPr>
        <w:t xml:space="preserve">日</w:t>
      </w:r>
      <w:r>
        <w:rPr>
          <w:highlight w:val="none"/>
        </w:rPr>
      </w:r>
      <w:r/>
    </w:p>
    <w:p>
      <w:pPr>
        <w:ind w:firstLine="480"/>
        <w:jc w:val="right"/>
        <w:spacing w:line="360" w:lineRule="auto"/>
        <w:rPr>
          <w:rFonts w:ascii="宋体" w:hAnsi="宋体"/>
          <w:sz w:val="24"/>
          <w:szCs w:val="24"/>
          <w:highlight w:val="none"/>
        </w:rPr>
      </w:pPr>
      <w:r>
        <w:rPr>
          <w:rFonts w:ascii="宋体" w:hAnsi="宋体"/>
          <w:sz w:val="24"/>
          <w:szCs w:val="24"/>
          <w:highlight w:val="none"/>
        </w:rPr>
      </w:r>
      <w:r>
        <w:rPr>
          <w:highlight w:val="none"/>
        </w:rPr>
      </w:r>
      <w:r/>
    </w:p>
    <w:p>
      <w:pPr>
        <w:jc w:val="center"/>
        <w:spacing w:line="440" w:lineRule="exact"/>
        <w:rPr>
          <w:rFonts w:ascii="宋体" w:hAnsi="宋体" w:cs="宋体"/>
          <w:b/>
          <w:bCs/>
          <w:sz w:val="28"/>
          <w:szCs w:val="28"/>
          <w:highlight w:val="none"/>
        </w:rPr>
      </w:pPr>
      <w:r>
        <w:rPr>
          <w:rFonts w:hint="eastAsia" w:ascii="宋体" w:hAnsi="宋体" w:cs="宋体"/>
          <w:b/>
          <w:bCs/>
          <w:sz w:val="28"/>
          <w:szCs w:val="28"/>
          <w:highlight w:val="none"/>
        </w:rPr>
        <w:t xml:space="preserve">（二）残疾人福利性单位声明函</w:t>
      </w:r>
      <w:r>
        <w:rPr>
          <w:highlight w:val="none"/>
        </w:rPr>
      </w:r>
      <w:r/>
    </w:p>
    <w:p>
      <w:pPr>
        <w:ind w:left="0" w:right="0" w:firstLine="0"/>
        <w:jc w:val="center"/>
        <w:spacing w:line="588" w:lineRule="exact"/>
        <w:rPr>
          <w:rFonts w:hint="eastAsia" w:ascii="仿宋_GB2312" w:eastAsia="仿宋_GB2312"/>
          <w:b/>
          <w:spacing w:val="6"/>
          <w:sz w:val="30"/>
          <w:szCs w:val="30"/>
          <w:highlight w:val="none"/>
        </w:rPr>
      </w:pPr>
      <w:r>
        <w:rPr>
          <w:rFonts w:hint="eastAsia" w:ascii="仿宋_GB2312" w:eastAsia="仿宋_GB2312"/>
          <w:b/>
          <w:spacing w:val="6"/>
          <w:sz w:val="24"/>
          <w:szCs w:val="24"/>
          <w:highlight w:val="none"/>
          <w:lang w:eastAsia="zh-CN"/>
        </w:rPr>
        <w:t xml:space="preserve">【</w:t>
      </w:r>
      <w:r>
        <w:rPr>
          <w:rFonts w:hint="eastAsia" w:ascii="仿宋_GB2312" w:eastAsia="仿宋_GB2312"/>
          <w:b/>
          <w:spacing w:val="6"/>
          <w:sz w:val="24"/>
          <w:szCs w:val="24"/>
          <w:highlight w:val="none"/>
          <w:lang w:val="en-US" w:eastAsia="zh-CN"/>
        </w:rPr>
        <w:t xml:space="preserve">非残疾人福利性单位无需提供</w:t>
      </w:r>
      <w:r>
        <w:rPr>
          <w:rFonts w:hint="eastAsia" w:ascii="仿宋_GB2312" w:eastAsia="仿宋_GB2312"/>
          <w:b/>
          <w:spacing w:val="6"/>
          <w:sz w:val="24"/>
          <w:szCs w:val="24"/>
          <w:highlight w:val="none"/>
          <w:lang w:eastAsia="zh-CN"/>
        </w:rPr>
        <w:t xml:space="preserve">】</w:t>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华文中宋" w:hAnsi="华文中宋" w:eastAsia="华文中宋" w:cs="华文中宋"/>
          <w:sz w:val="24"/>
          <w:szCs w:val="24"/>
          <w:highlight w:val="none"/>
          <w:u w:val="single"/>
          <w:shd w:val="clear" w:color="auto" w:fill="ffffff"/>
        </w:rPr>
        <w:t xml:space="preserve">                </w:t>
      </w:r>
      <w:r>
        <w:rPr>
          <w:rFonts w:hint="eastAsia" w:ascii="华文中宋" w:hAnsi="华文中宋" w:eastAsia="华文中宋" w:cs="华文中宋"/>
          <w:sz w:val="24"/>
          <w:szCs w:val="24"/>
          <w:highlight w:val="none"/>
          <w:shd w:val="clear" w:color="auto" w:fill="ffffff"/>
        </w:rPr>
        <w:t xml:space="preserve">单位的</w:t>
      </w:r>
      <w:r>
        <w:rPr>
          <w:rFonts w:hint="eastAsia" w:ascii="华文中宋" w:hAnsi="华文中宋" w:eastAsia="华文中宋" w:cs="华文中宋"/>
          <w:sz w:val="24"/>
          <w:szCs w:val="24"/>
          <w:highlight w:val="none"/>
          <w:u w:val="single"/>
          <w:shd w:val="clear" w:color="auto" w:fill="ffffff"/>
        </w:rPr>
        <w:t xml:space="preserve">         </w:t>
      </w:r>
      <w:r>
        <w:rPr>
          <w:rFonts w:hint="eastAsia" w:ascii="华文中宋" w:hAnsi="华文中宋" w:eastAsia="华文中宋" w:cs="华文中宋"/>
          <w:sz w:val="24"/>
          <w:szCs w:val="24"/>
          <w:highlight w:val="none"/>
          <w:shd w:val="clear" w:color="auto" w:fill="ffffff"/>
        </w:rPr>
        <w:t xml:space="preserve">项目采购活动提供本单位制造的货物（由本单位承担工程/提供服务），或者提供其他残疾人福利性单位制造的货物（不包括使用非残疾人福利性单位注册商标的货物）。</w:t>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t xml:space="preserve">本单位对上述声明的真实性负责。如有虚假，将依法承担相应责任。</w:t>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pStyle w:val="950"/>
        <w:ind w:firstLine="480"/>
        <w:spacing w:after="0" w:line="360" w:lineRule="auto"/>
        <w:rPr>
          <w:rFonts w:hint="eastAsia" w:ascii="华文中宋" w:hAnsi="华文中宋" w:eastAsia="华文中宋" w:cs="华文中宋"/>
          <w:sz w:val="24"/>
          <w:highlight w:val="none"/>
        </w:rPr>
      </w:pPr>
      <w:r>
        <w:rPr>
          <w:rFonts w:hint="eastAsia" w:ascii="华文中宋" w:hAnsi="华文中宋" w:eastAsia="华文中宋" w:cs="华文中宋"/>
          <w:sz w:val="24"/>
          <w:highlight w:val="none"/>
        </w:rPr>
      </w:r>
      <w:r>
        <w:rPr>
          <w:highlight w:val="none"/>
        </w:rPr>
      </w:r>
      <w:r/>
    </w:p>
    <w:p>
      <w:pPr>
        <w:ind w:firstLine="480"/>
        <w:jc w:val="left"/>
        <w:spacing w:line="360" w:lineRule="auto"/>
        <w:rPr>
          <w:rFonts w:hint="eastAsia" w:ascii="华文中宋" w:hAnsi="华文中宋" w:eastAsia="华文中宋" w:cs="华文中宋"/>
          <w:sz w:val="24"/>
          <w:szCs w:val="24"/>
          <w:highlight w:val="none"/>
          <w:shd w:val="clear" w:color="auto" w:fill="ffffff"/>
        </w:rPr>
      </w:pPr>
      <w:r>
        <w:rPr>
          <w:rFonts w:hint="eastAsia" w:ascii="华文中宋" w:hAnsi="华文中宋" w:eastAsia="华文中宋" w:cs="华文中宋"/>
          <w:sz w:val="24"/>
          <w:szCs w:val="24"/>
          <w:highlight w:val="none"/>
          <w:shd w:val="clear" w:color="auto" w:fill="ffffff"/>
        </w:rPr>
      </w:r>
      <w:r>
        <w:rPr>
          <w:highlight w:val="none"/>
        </w:rPr>
      </w:r>
      <w:r/>
    </w:p>
    <w:p>
      <w:pPr>
        <w:ind w:firstLine="480"/>
        <w:jc w:val="right"/>
        <w:spacing w:line="360" w:lineRule="auto"/>
        <w:rPr>
          <w:rFonts w:hint="eastAsia"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t xml:space="preserve">投标人公章：            （电子签章）</w:t>
      </w:r>
      <w:r>
        <w:rPr>
          <w:highlight w:val="none"/>
        </w:rPr>
      </w:r>
      <w:r/>
    </w:p>
    <w:p>
      <w:pPr>
        <w:ind w:firstLine="480"/>
        <w:jc w:val="right"/>
        <w:spacing w:line="360" w:lineRule="auto"/>
        <w:rPr>
          <w:rFonts w:hint="eastAsia"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r>
      <w:r>
        <w:rPr>
          <w:highlight w:val="none"/>
        </w:rPr>
      </w:r>
      <w:r/>
    </w:p>
    <w:p>
      <w:pPr>
        <w:ind w:firstLine="480"/>
        <w:jc w:val="right"/>
        <w:spacing w:line="360" w:lineRule="auto"/>
        <w:rPr>
          <w:rFonts w:hint="eastAsia" w:ascii="华文中宋" w:hAnsi="华文中宋" w:eastAsia="华文中宋" w:cs="华文中宋"/>
          <w:sz w:val="24"/>
          <w:szCs w:val="24"/>
          <w:highlight w:val="none"/>
        </w:rPr>
      </w:pPr>
      <w:r>
        <w:rPr>
          <w:rFonts w:hint="eastAsia" w:ascii="华文中宋" w:hAnsi="华文中宋" w:eastAsia="华文中宋" w:cs="华文中宋"/>
          <w:sz w:val="24"/>
          <w:szCs w:val="24"/>
          <w:highlight w:val="none"/>
        </w:rPr>
      </w:r>
      <w:r>
        <w:rPr>
          <w:highlight w:val="none"/>
        </w:rPr>
      </w:r>
      <w:r/>
    </w:p>
    <w:p>
      <w:pPr>
        <w:ind w:firstLine="480"/>
        <w:jc w:val="right"/>
        <w:spacing w:line="360" w:lineRule="auto"/>
        <w:rPr>
          <w:rFonts w:ascii="宋体" w:hAnsi="宋体"/>
          <w:sz w:val="22"/>
          <w:highlight w:val="none"/>
        </w:rPr>
      </w:pP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年</w:t>
      </w: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月</w:t>
      </w:r>
      <w:r>
        <w:rPr>
          <w:rFonts w:hint="eastAsia" w:ascii="华文中宋" w:hAnsi="华文中宋" w:eastAsia="华文中宋" w:cs="华文中宋"/>
          <w:sz w:val="24"/>
          <w:szCs w:val="24"/>
          <w:highlight w:val="none"/>
          <w:u w:val="single"/>
        </w:rPr>
        <w:t xml:space="preserve">   </w:t>
      </w:r>
      <w:r>
        <w:rPr>
          <w:rFonts w:hint="eastAsia" w:ascii="华文中宋" w:hAnsi="华文中宋" w:eastAsia="华文中宋" w:cs="华文中宋"/>
          <w:sz w:val="24"/>
          <w:szCs w:val="24"/>
          <w:highlight w:val="none"/>
        </w:rPr>
        <w:t xml:space="preserve">日</w:t>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jc w:val="right"/>
        <w:spacing w:line="440" w:lineRule="exact"/>
        <w:rPr>
          <w:rFonts w:ascii="宋体" w:hAnsi="宋体"/>
          <w:sz w:val="22"/>
          <w:highlight w:val="none"/>
        </w:rPr>
      </w:pPr>
      <w:r>
        <w:rPr>
          <w:rFonts w:ascii="宋体" w:hAnsi="宋体"/>
          <w:sz w:val="22"/>
          <w:highlight w:val="none"/>
        </w:rPr>
      </w:r>
      <w:r>
        <w:rPr>
          <w:highlight w:val="none"/>
        </w:rPr>
      </w:r>
      <w:r/>
    </w:p>
    <w:p>
      <w:pPr>
        <w:ind w:left="0" w:right="0" w:firstLine="0"/>
        <w:jc w:val="center"/>
        <w:keepLines w:val="0"/>
        <w:keepNext w:val="0"/>
        <w:pageBreakBefore w:val="0"/>
        <w:spacing w:line="360" w:lineRule="auto"/>
        <w:widowControl w:val="off"/>
        <w:rPr>
          <w:rFonts w:ascii="宋体" w:hAnsi="宋体" w:cs="宋体"/>
          <w:b/>
          <w:bCs/>
          <w:sz w:val="28"/>
          <w:szCs w:val="28"/>
          <w:highlight w:val="none"/>
        </w:rPr>
      </w:pPr>
      <w:r>
        <w:rPr>
          <w:rFonts w:ascii="宋体" w:hAnsi="宋体" w:cs="宋体"/>
          <w:b/>
          <w:bCs/>
          <w:sz w:val="28"/>
          <w:szCs w:val="28"/>
          <w:highlight w:val="none"/>
        </w:rPr>
      </w:r>
      <w:r>
        <w:rPr>
          <w:highlight w:val="none"/>
        </w:rPr>
      </w:r>
      <w:r/>
    </w:p>
    <w:p>
      <w:pPr>
        <w:ind w:left="0" w:right="0" w:firstLine="0"/>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（三）监狱企业证明</w:t>
      </w:r>
      <w:r>
        <w:rPr>
          <w:highlight w:val="none"/>
        </w:rPr>
      </w:r>
      <w:r/>
    </w:p>
    <w:p>
      <w:pPr>
        <w:pStyle w:val="950"/>
        <w:ind w:left="0" w:right="0" w:firstLine="0"/>
        <w:jc w:val="center"/>
        <w:keepLines w:val="0"/>
        <w:keepNext w:val="0"/>
        <w:pageBreakBefore w:val="0"/>
        <w:spacing w:line="360" w:lineRule="auto"/>
        <w:widowControl w:val="off"/>
        <w:rPr>
          <w:rFonts w:ascii="宋体" w:hAnsi="宋体" w:cs="宋体"/>
          <w:sz w:val="22"/>
          <w:szCs w:val="22"/>
          <w:highlight w:val="none"/>
        </w:rPr>
      </w:pPr>
      <w:r>
        <w:rPr>
          <w:rFonts w:hint="eastAsia" w:ascii="仿宋_GB2312" w:eastAsia="仿宋_GB2312"/>
          <w:b/>
          <w:spacing w:val="6"/>
          <w:sz w:val="24"/>
          <w:szCs w:val="24"/>
          <w:highlight w:val="none"/>
          <w:lang w:eastAsia="zh-CN"/>
        </w:rPr>
        <w:t xml:space="preserve">【</w:t>
      </w:r>
      <w:r>
        <w:rPr>
          <w:rFonts w:hint="eastAsia" w:ascii="仿宋_GB2312" w:eastAsia="仿宋_GB2312"/>
          <w:b/>
          <w:spacing w:val="6"/>
          <w:sz w:val="24"/>
          <w:szCs w:val="24"/>
          <w:highlight w:val="none"/>
          <w:lang w:val="en-US" w:eastAsia="zh-CN"/>
        </w:rPr>
        <w:t xml:space="preserve">非监狱企业无需提供</w:t>
      </w:r>
      <w:r>
        <w:rPr>
          <w:rFonts w:hint="eastAsia" w:ascii="仿宋_GB2312" w:eastAsia="仿宋_GB2312"/>
          <w:b/>
          <w:spacing w:val="6"/>
          <w:sz w:val="24"/>
          <w:szCs w:val="24"/>
          <w:highlight w:val="none"/>
          <w:lang w:eastAsia="zh-CN"/>
        </w:rPr>
        <w:t xml:space="preserve">】</w:t>
      </w:r>
      <w:r>
        <w:rPr>
          <w:highlight w:val="none"/>
        </w:rPr>
      </w:r>
      <w:r/>
    </w:p>
    <w:p>
      <w:pPr>
        <w:pStyle w:val="950"/>
        <w:ind w:firstLine="482"/>
        <w:spacing w:line="480" w:lineRule="auto"/>
        <w:rPr>
          <w:rFonts w:hint="eastAsia" w:ascii="宋体" w:hAnsi="宋体" w:cs="宋体"/>
          <w:b/>
          <w:bCs/>
          <w:sz w:val="24"/>
          <w:szCs w:val="21"/>
          <w:highlight w:val="none"/>
        </w:rPr>
      </w:pPr>
      <w:r>
        <w:rPr>
          <w:rFonts w:hint="eastAsia" w:ascii="宋体" w:hAnsi="宋体" w:cs="宋体"/>
          <w:b/>
          <w:bCs/>
          <w:sz w:val="24"/>
          <w:szCs w:val="21"/>
          <w:highlight w:val="none"/>
        </w:rPr>
      </w:r>
      <w:r>
        <w:rPr>
          <w:highlight w:val="none"/>
        </w:rPr>
      </w:r>
      <w:r/>
    </w:p>
    <w:p>
      <w:pPr>
        <w:pStyle w:val="950"/>
        <w:ind w:firstLine="482"/>
        <w:spacing w:line="480" w:lineRule="auto"/>
        <w:rPr>
          <w:rFonts w:hint="eastAsia" w:ascii="宋体" w:hAnsi="宋体" w:cs="宋体"/>
          <w:b/>
          <w:bCs/>
          <w:sz w:val="24"/>
          <w:szCs w:val="21"/>
          <w:highlight w:val="none"/>
        </w:rPr>
      </w:pPr>
      <w:r>
        <w:rPr>
          <w:rFonts w:hint="eastAsia" w:ascii="宋体" w:hAnsi="宋体" w:cs="宋体"/>
          <w:b/>
          <w:bCs/>
          <w:sz w:val="24"/>
          <w:szCs w:val="21"/>
          <w:highlight w:val="none"/>
        </w:rPr>
      </w:r>
      <w:r>
        <w:rPr>
          <w:highlight w:val="none"/>
        </w:rPr>
      </w:r>
      <w:r/>
    </w:p>
    <w:p>
      <w:pPr>
        <w:pStyle w:val="950"/>
        <w:ind w:firstLine="482"/>
        <w:spacing w:line="480" w:lineRule="auto"/>
        <w:rPr>
          <w:rFonts w:ascii="宋体" w:hAnsi="宋体" w:cs="宋体"/>
          <w:sz w:val="22"/>
          <w:szCs w:val="22"/>
          <w:highlight w:val="none"/>
        </w:rPr>
      </w:pPr>
      <w:r>
        <w:rPr>
          <w:rFonts w:hint="eastAsia" w:ascii="宋体" w:hAnsi="宋体" w:cs="宋体"/>
          <w:b/>
          <w:bCs/>
          <w:sz w:val="24"/>
          <w:szCs w:val="21"/>
          <w:highlight w:val="none"/>
        </w:rPr>
        <w:t xml:space="preserve">提供由省级以上监狱管理局、戒毒管理局（含新疆生产建设兵团）出具的投标人属于监狱企业的证明文件原件扫描件。</w:t>
      </w:r>
      <w:r>
        <w:rPr>
          <w:highlight w:val="none"/>
        </w:rPr>
      </w:r>
      <w:r/>
    </w:p>
    <w:p>
      <w:pPr>
        <w:pStyle w:val="950"/>
        <w:ind w:firstLine="440"/>
        <w:rPr>
          <w:rFonts w:ascii="宋体" w:hAnsi="宋体" w:cs="宋体"/>
          <w:sz w:val="22"/>
          <w:szCs w:val="22"/>
          <w:highlight w:val="none"/>
        </w:rPr>
      </w:pPr>
      <w:r>
        <w:rPr>
          <w:rFonts w:ascii="宋体" w:hAnsi="宋体" w:cs="宋体"/>
          <w:sz w:val="22"/>
          <w:szCs w:val="22"/>
          <w:highlight w:val="none"/>
        </w:rPr>
      </w:r>
      <w:r>
        <w:rPr>
          <w:highlight w:val="none"/>
        </w:rPr>
      </w:r>
      <w:r/>
    </w:p>
    <w:p>
      <w:pPr>
        <w:pStyle w:val="950"/>
        <w:ind w:firstLine="440"/>
        <w:rPr>
          <w:rFonts w:ascii="宋体" w:hAnsi="宋体" w:cs="宋体"/>
          <w:sz w:val="22"/>
          <w:szCs w:val="22"/>
          <w:highlight w:val="none"/>
        </w:rPr>
      </w:pPr>
      <w:r>
        <w:rPr>
          <w:rFonts w:ascii="宋体" w:hAnsi="宋体" w:cs="宋体"/>
          <w:sz w:val="22"/>
          <w:szCs w:val="22"/>
          <w:highlight w:val="none"/>
        </w:rPr>
      </w:r>
      <w:r>
        <w:rPr>
          <w:highlight w:val="none"/>
        </w:rPr>
      </w:r>
      <w:r/>
    </w:p>
    <w:p>
      <w:pPr>
        <w:pStyle w:val="950"/>
        <w:ind w:firstLine="440"/>
        <w:rPr>
          <w:rFonts w:ascii="宋体" w:hAnsi="宋体" w:cs="宋体"/>
          <w:sz w:val="22"/>
          <w:szCs w:val="22"/>
          <w:highlight w:val="none"/>
        </w:rPr>
      </w:pPr>
      <w:r>
        <w:rPr>
          <w:rFonts w:ascii="宋体" w:hAnsi="宋体" w:cs="宋体"/>
          <w:sz w:val="22"/>
          <w:szCs w:val="22"/>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宋体" w:hAnsi="宋体" w:cs="宋体"/>
          <w:b/>
          <w:bCs/>
          <w:sz w:val="28"/>
          <w:szCs w:val="28"/>
          <w:highlight w:val="none"/>
        </w:rPr>
      </w:pPr>
      <w:r>
        <w:rPr>
          <w:rFonts w:ascii="宋体" w:hAnsi="宋体" w:cs="宋体"/>
          <w:b/>
          <w:bCs/>
          <w:sz w:val="28"/>
          <w:szCs w:val="28"/>
          <w:highlight w:val="none"/>
        </w:rPr>
      </w:r>
      <w:r>
        <w:rPr>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rPr>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rPr>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rPr>
          <w:highlight w:val="none"/>
        </w:rPr>
      </w:r>
      <w:r/>
    </w:p>
    <w:p>
      <w:pPr>
        <w:jc w:val="center"/>
        <w:spacing w:line="360" w:lineRule="auto"/>
        <w:rPr>
          <w:rFonts w:ascii="Segoe UI" w:hAnsi="Segoe UI" w:cs="Segoe UI"/>
          <w:szCs w:val="21"/>
          <w:highlight w:val="none"/>
        </w:rPr>
      </w:pPr>
      <w:r>
        <w:rPr>
          <w:rFonts w:ascii="Segoe UI" w:hAnsi="Segoe UI" w:cs="Segoe UI"/>
          <w:szCs w:val="21"/>
          <w:highlight w:val="none"/>
        </w:rPr>
      </w:r>
      <w:r>
        <w:rPr>
          <w:highlight w:val="none"/>
        </w:rPr>
      </w:r>
      <w:r/>
    </w:p>
    <w:p>
      <w:pPr>
        <w:jc w:val="both"/>
        <w:spacing w:line="360" w:lineRule="auto"/>
        <w:rPr>
          <w:rFonts w:ascii="宋体" w:hAnsi="宋体"/>
          <w:color w:val="auto"/>
          <w:sz w:val="24"/>
          <w:szCs w:val="24"/>
          <w:highlight w:val="none"/>
        </w:rPr>
        <w:sectPr>
          <w:footnotePr/>
          <w:endnotePr/>
          <w:type w:val="nextPage"/>
          <w:pgSz w:w="11906" w:h="16838" w:orient="portrait"/>
          <w:pgMar w:top="1440" w:right="1463" w:bottom="1440" w:left="1633" w:header="851" w:footer="992" w:gutter="0"/>
          <w:cols w:num="1" w:sep="0" w:space="0" w:equalWidth="1"/>
          <w:docGrid w:linePitch="360"/>
        </w:sectPr>
      </w:pPr>
      <w:r>
        <w:rPr>
          <w:rFonts w:ascii="宋体" w:hAnsi="宋体"/>
          <w:color w:val="auto"/>
          <w:sz w:val="24"/>
          <w:szCs w:val="24"/>
          <w:highlight w:val="none"/>
        </w:rPr>
      </w:r>
      <w:r>
        <w:rPr>
          <w:highlight w:val="none"/>
        </w:rPr>
      </w:r>
      <w:r/>
    </w:p>
    <w:p>
      <w:pPr>
        <w:ind w:left="0" w:right="0" w:firstLine="0"/>
        <w:jc w:val="center"/>
        <w:rPr>
          <w:rFonts w:hint="eastAsia" w:ascii="黑体" w:hAnsi="黑体" w:eastAsia="黑体" w:cs="Segoe UI"/>
          <w:color w:val="auto"/>
          <w:sz w:val="36"/>
          <w:szCs w:val="21"/>
          <w:highlight w:val="none"/>
        </w:rPr>
      </w:pPr>
      <w:r>
        <w:rPr>
          <w:rFonts w:hint="eastAsia" w:ascii="黑体" w:hAnsi="黑体" w:eastAsia="黑体" w:cs="Segoe UI"/>
          <w:color w:val="auto"/>
          <w:sz w:val="36"/>
          <w:szCs w:val="21"/>
          <w:highlight w:val="none"/>
          <w:lang w:val="en-US" w:eastAsia="zh-CN"/>
        </w:rPr>
        <w:t xml:space="preserve">关于符合本国产品标准的声明函</w:t>
      </w:r>
      <w:r>
        <w:rPr>
          <w:highlight w:val="none"/>
        </w:rPr>
      </w:r>
      <w:r/>
    </w:p>
    <w:p>
      <w:pPr>
        <w:rPr>
          <w:highlight w:val="none"/>
        </w:rPr>
      </w:pPr>
      <w:r>
        <w:rPr>
          <w:highlight w:val="none"/>
        </w:rPr>
      </w:r>
      <w:r>
        <w:rPr>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8"/>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701"/>
        <w:ind w:firstLine="482"/>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shd w:val="clear" w:color="auto" w:fill="ffffff"/>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4538980</wp:posOffset>
                </wp:positionH>
                <wp:positionV relativeFrom="paragraph">
                  <wp:posOffset>166370</wp:posOffset>
                </wp:positionV>
                <wp:extent cx="939800" cy="165100"/>
                <wp:effectExtent l="0" t="0" r="0" b="0"/>
                <wp:wrapNone/>
                <wp:docPr id="3" name="直接连接符 23"/>
                <wp:cNvGraphicFramePr/>
                <a:graphic xmlns:a="http://schemas.openxmlformats.org/drawingml/2006/main">
                  <a:graphicData uri="http://schemas.microsoft.com/office/word/2010/wordprocessingShape">
                    <wps:wsp>
                      <wps:cNvPr id="0" name=""/>
                      <wps:cNvSpPr/>
                      <wps:spPr bwMode="auto">
                        <a:xfrm flipV="1">
                          <a:off x="0" y="0"/>
                          <a:ext cx="939799" cy="165099"/>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62336;mso-wrap-distance-left:9.0pt;mso-wrap-distance-top:0.0pt;mso-wrap-distance-right:9.0pt;mso-wrap-distance-bottom:0.0pt;flip:y;visibility:visible;" from="357.4pt,13.1pt" to="431.4pt,26.1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2392680</wp:posOffset>
                </wp:positionH>
                <wp:positionV relativeFrom="paragraph">
                  <wp:posOffset>927100</wp:posOffset>
                </wp:positionV>
                <wp:extent cx="831850" cy="127000"/>
                <wp:effectExtent l="635" t="4445" r="5715" b="8255"/>
                <wp:wrapNone/>
                <wp:docPr id="4" name="直接连接符 26"/>
                <wp:cNvGraphicFramePr/>
                <a:graphic xmlns:a="http://schemas.openxmlformats.org/drawingml/2006/main">
                  <a:graphicData uri="http://schemas.microsoft.com/office/word/2010/wordprocessingShape">
                    <wps:wsp>
                      <wps:cNvPr id="0" name=""/>
                      <wps:cNvSpPr/>
                      <wps:spPr bwMode="auto">
                        <a:xfrm flipV="1">
                          <a:off x="0" y="0"/>
                          <a:ext cx="831849" cy="126999"/>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flip:y;visibility:visible;" from="188.4pt,73.0pt" to="253.9pt,8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2265680</wp:posOffset>
                </wp:positionH>
                <wp:positionV relativeFrom="paragraph">
                  <wp:posOffset>552450</wp:posOffset>
                </wp:positionV>
                <wp:extent cx="817245" cy="127000"/>
                <wp:effectExtent l="635" t="4445" r="7620" b="8255"/>
                <wp:wrapNone/>
                <wp:docPr id="5" name="直接连接符 22"/>
                <wp:cNvGraphicFramePr/>
                <a:graphic xmlns:a="http://schemas.openxmlformats.org/drawingml/2006/main">
                  <a:graphicData uri="http://schemas.microsoft.com/office/word/2010/wordprocessingShape">
                    <wps:wsp>
                      <wps:cNvPr id="0" name=""/>
                      <wps:cNvSpPr/>
                      <wps:spPr bwMode="auto">
                        <a:xfrm flipV="1">
                          <a:off x="0" y="0"/>
                          <a:ext cx="817245" cy="12700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178.4pt,43.5pt" to="242.7pt,53.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3383280</wp:posOffset>
                </wp:positionH>
                <wp:positionV relativeFrom="paragraph">
                  <wp:posOffset>527050</wp:posOffset>
                </wp:positionV>
                <wp:extent cx="939800" cy="165100"/>
                <wp:effectExtent l="635" t="4445" r="12065" b="8255"/>
                <wp:wrapNone/>
                <wp:docPr id="6" name="直接连接符 23"/>
                <wp:cNvGraphicFramePr/>
                <a:graphic xmlns:a="http://schemas.openxmlformats.org/drawingml/2006/main">
                  <a:graphicData uri="http://schemas.microsoft.com/office/word/2010/wordprocessingShape">
                    <wps:wsp>
                      <wps:cNvPr id="0" name=""/>
                      <wps:cNvSpPr/>
                      <wps:spPr bwMode="auto">
                        <a:xfrm flipV="1">
                          <a:off x="0" y="0"/>
                          <a:ext cx="939800" cy="16510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266.4pt,41.5pt" to="340.4pt,54.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4640580</wp:posOffset>
                </wp:positionH>
                <wp:positionV relativeFrom="paragraph">
                  <wp:posOffset>558800</wp:posOffset>
                </wp:positionV>
                <wp:extent cx="768350" cy="114300"/>
                <wp:effectExtent l="635" t="4445" r="5715" b="8255"/>
                <wp:wrapNone/>
                <wp:docPr id="7" name="直接连接符 25"/>
                <wp:cNvGraphicFramePr/>
                <a:graphic xmlns:a="http://schemas.openxmlformats.org/drawingml/2006/main">
                  <a:graphicData uri="http://schemas.microsoft.com/office/word/2010/wordprocessingShape">
                    <wps:wsp>
                      <wps:cNvPr id="0" name=""/>
                      <wps:cNvSpPr/>
                      <wps:spPr bwMode="auto">
                        <a:xfrm flipV="1">
                          <a:off x="0" y="0"/>
                          <a:ext cx="768350" cy="11430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4384;mso-wrap-distance-left:9.0pt;mso-wrap-distance-top:0.0pt;mso-wrap-distance-right:9.0pt;mso-wrap-distance-bottom:0.0pt;flip:y;visibility:visible;" from="365.4pt,44.0pt" to="425.9pt,5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1167130</wp:posOffset>
                </wp:positionH>
                <wp:positionV relativeFrom="paragraph">
                  <wp:posOffset>914400</wp:posOffset>
                </wp:positionV>
                <wp:extent cx="1003300" cy="152400"/>
                <wp:effectExtent l="635" t="4445" r="12065" b="8255"/>
                <wp:wrapNone/>
                <wp:docPr id="8" name="直接连接符 24"/>
                <wp:cNvGraphicFramePr/>
                <a:graphic xmlns:a="http://schemas.openxmlformats.org/drawingml/2006/main">
                  <a:graphicData uri="http://schemas.microsoft.com/office/word/2010/wordprocessingShape">
                    <wps:wsp>
                      <wps:cNvPr id="0" name=""/>
                      <wps:cNvSpPr/>
                      <wps:spPr bwMode="auto">
                        <a:xfrm flipV="1">
                          <a:off x="0" y="0"/>
                          <a:ext cx="1003300" cy="15240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flip:y;visibility:visible;" from="91.9pt,72.0pt" to="170.9pt,84.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4488180</wp:posOffset>
                </wp:positionH>
                <wp:positionV relativeFrom="paragraph">
                  <wp:posOffset>165100</wp:posOffset>
                </wp:positionV>
                <wp:extent cx="996950" cy="165100"/>
                <wp:effectExtent l="635" t="4445" r="5715" b="8255"/>
                <wp:wrapNone/>
                <wp:docPr id="9" name="直接连接符 21"/>
                <wp:cNvGraphicFramePr/>
                <a:graphic xmlns:a="http://schemas.openxmlformats.org/drawingml/2006/main">
                  <a:graphicData uri="http://schemas.microsoft.com/office/word/2010/wordprocessingShape">
                    <wps:wsp>
                      <wps:cNvPr id="0" name=""/>
                      <wps:cNvSpPr/>
                      <wps:spPr bwMode="auto">
                        <a:xfrm flipV="1">
                          <a:off x="5478780" y="2503170"/>
                          <a:ext cx="996950" cy="16510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353.4pt,13.0pt" to="431.9pt,26.0pt" filled="f" strokecolor="#000000" strokeweight="0.25pt"/>
            </w:pict>
          </mc:Fallback>
        </mc:AlternateContent>
      </w:r>
      <w:r>
        <w:rPr>
          <w:rStyle w:val="705"/>
          <w:rFonts w:hint="eastAsia" w:ascii="宋体" w:hAnsi="宋体" w:eastAsia="宋体" w:cs="宋体"/>
          <w:b/>
          <w:bCs/>
          <w:i w:val="0"/>
          <w:color w:val="auto"/>
          <w:highlight w:val="none"/>
          <w:u w:val="single"/>
          <w:shd w:val="clear" w:color="auto" w:fill="ffffff"/>
        </w:rPr>
        <w:t xml:space="preserve">（产品名称1）</w:t>
      </w:r>
      <w:r>
        <w:rPr>
          <w:rStyle w:val="70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05"/>
          <w:rFonts w:hint="eastAsia" w:ascii="宋体" w:hAnsi="宋体" w:eastAsia="宋体" w:cs="宋体"/>
          <w:i w:val="0"/>
          <w:color w:val="auto"/>
          <w:highlight w:val="none"/>
          <w:u w:val="single"/>
          <w:shd w:val="clear" w:color="auto" w:fill="ffffff"/>
        </w:rPr>
        <w:t xml:space="preserve">（厂名）</w:t>
      </w:r>
      <w:r>
        <w:rPr>
          <w:rStyle w:val="70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0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05"/>
          <w:rFonts w:hint="eastAsia" w:ascii="宋体" w:hAnsi="宋体" w:eastAsia="宋体" w:cs="宋体"/>
          <w:i w:val="0"/>
          <w:strike w:val="0"/>
          <w:color w:val="auto"/>
          <w:highlight w:val="none"/>
          <w:u w:val="single"/>
          <w:shd w:val="clear" w:color="auto" w:fill="ffffff"/>
        </w:rPr>
        <w:t xml:space="preserve">（产品名称1）</w:t>
      </w:r>
      <w:r>
        <w:rPr>
          <w:rStyle w:val="70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705"/>
          <w:rFonts w:hint="eastAsia" w:ascii="宋体" w:hAnsi="宋体" w:eastAsia="宋体" w:cs="宋体"/>
          <w:i w:val="0"/>
          <w:color w:val="auto"/>
          <w:highlight w:val="none"/>
          <w:u w:val="single"/>
          <w:shd w:val="clear" w:color="auto" w:fill="ffffff"/>
        </w:rPr>
        <w:t xml:space="preserve">（规定比例）</w:t>
      </w:r>
      <w:r>
        <w:rPr>
          <w:rStyle w:val="70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（关键组件）</w:t>
      </w:r>
      <w:r>
        <w:rPr>
          <w:rStyle w:val="70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05"/>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（关键工序）</w:t>
      </w:r>
      <w:r>
        <w:rPr>
          <w:rStyle w:val="70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highlight w:val="none"/>
        </w:rPr>
      </w:r>
      <w:r/>
    </w:p>
    <w:p>
      <w:pPr>
        <w:pStyle w:val="701"/>
        <w:ind w:firstLine="482"/>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shd w:val="clear" w:color="auto" w:fill="ffffff"/>
        </w:rPr>
      </w:pP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1256030</wp:posOffset>
                </wp:positionH>
                <wp:positionV relativeFrom="paragraph">
                  <wp:posOffset>869950</wp:posOffset>
                </wp:positionV>
                <wp:extent cx="927100" cy="146050"/>
                <wp:effectExtent l="635" t="4445" r="12065" b="14604"/>
                <wp:wrapNone/>
                <wp:docPr id="10" name="直接连接符 7"/>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70528;mso-wrap-distance-left:9.0pt;mso-wrap-distance-top:0.0pt;mso-wrap-distance-right:9.0pt;mso-wrap-distance-bottom:0.0pt;flip:y;visibility:visible;" from="98.9pt,68.5pt" to="171.9pt,80.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2405380</wp:posOffset>
                </wp:positionH>
                <wp:positionV relativeFrom="paragraph">
                  <wp:posOffset>863600</wp:posOffset>
                </wp:positionV>
                <wp:extent cx="927100" cy="146050"/>
                <wp:effectExtent l="635" t="4445" r="12065" b="14604"/>
                <wp:wrapNone/>
                <wp:docPr id="11" name="直接连接符 8"/>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71552;mso-wrap-distance-left:9.0pt;mso-wrap-distance-top:0.0pt;mso-wrap-distance-right:9.0pt;mso-wrap-distance-bottom:0.0pt;flip:y;visibility:visible;" from="189.4pt,68.0pt" to="262.4pt,79.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4627880</wp:posOffset>
                </wp:positionH>
                <wp:positionV relativeFrom="paragraph">
                  <wp:posOffset>527050</wp:posOffset>
                </wp:positionV>
                <wp:extent cx="927100" cy="146050"/>
                <wp:effectExtent l="635" t="4445" r="12065" b="14604"/>
                <wp:wrapNone/>
                <wp:docPr id="12" name="直接连接符 6"/>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9504;mso-wrap-distance-left:9.0pt;mso-wrap-distance-top:0.0pt;mso-wrap-distance-right:9.0pt;mso-wrap-distance-bottom:0.0pt;flip:y;visibility:visible;" from="364.4pt,41.5pt" to="437.4pt,5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3383280</wp:posOffset>
                </wp:positionH>
                <wp:positionV relativeFrom="paragraph">
                  <wp:posOffset>527050</wp:posOffset>
                </wp:positionV>
                <wp:extent cx="927100" cy="146050"/>
                <wp:effectExtent l="635" t="4445" r="12065" b="14604"/>
                <wp:wrapNone/>
                <wp:docPr id="13" name="直接连接符 5"/>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8480;mso-wrap-distance-left:9.0pt;mso-wrap-distance-top:0.0pt;mso-wrap-distance-right:9.0pt;mso-wrap-distance-bottom:0.0pt;flip:y;visibility:visible;" from="266.4pt,41.5pt" to="339.4pt,5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2259330</wp:posOffset>
                </wp:positionH>
                <wp:positionV relativeFrom="paragraph">
                  <wp:posOffset>533400</wp:posOffset>
                </wp:positionV>
                <wp:extent cx="927100" cy="146050"/>
                <wp:effectExtent l="635" t="4445" r="12065" b="14604"/>
                <wp:wrapNone/>
                <wp:docPr id="14" name="直接连接符 4"/>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67456;mso-wrap-distance-left:9.0pt;mso-wrap-distance-top:0.0pt;mso-wrap-distance-right:9.0pt;mso-wrap-distance-bottom:0.0pt;flip:y;visibility:visible;" from="177.9pt,42.0pt" to="250.9pt,53.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4551680</wp:posOffset>
                </wp:positionH>
                <wp:positionV relativeFrom="paragraph">
                  <wp:posOffset>171450</wp:posOffset>
                </wp:positionV>
                <wp:extent cx="927100" cy="146050"/>
                <wp:effectExtent l="635" t="4445" r="12065" b="14604"/>
                <wp:wrapNone/>
                <wp:docPr id="15" name="直接连接符 2"/>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4" o:spid="_x0000_s14" style="position:absolute;left:0;text-align:left;z-index:251666432;mso-wrap-distance-left:9.0pt;mso-wrap-distance-top:0.0pt;mso-wrap-distance-right:9.0pt;mso-wrap-distance-bottom:0.0pt;flip:y;visibility:visible;" from="358.4pt,13.5pt" to="431.4pt,25.0pt" filled="f" strokecolor="#000000" strokeweight="0.25pt"/>
            </w:pict>
          </mc:Fallback>
        </mc:AlternateContent>
      </w:r>
      <w:r>
        <w:rPr>
          <w:rStyle w:val="705"/>
          <w:rFonts w:hint="eastAsia" w:ascii="宋体" w:hAnsi="宋体" w:eastAsia="宋体" w:cs="宋体"/>
          <w:b/>
          <w:bCs/>
          <w:i w:val="0"/>
          <w:color w:val="auto"/>
          <w:highlight w:val="none"/>
          <w:u w:val="single"/>
          <w:shd w:val="clear" w:color="auto" w:fill="ffffff"/>
        </w:rPr>
        <w:t xml:space="preserve">（产品名称</w:t>
      </w:r>
      <w:r>
        <w:rPr>
          <w:rStyle w:val="705"/>
          <w:rFonts w:hint="eastAsia" w:cs="宋体"/>
          <w:b/>
          <w:bCs/>
          <w:i w:val="0"/>
          <w:color w:val="auto"/>
          <w:highlight w:val="none"/>
          <w:u w:val="single"/>
          <w:shd w:val="clear" w:color="auto" w:fill="ffffff"/>
          <w:lang w:val="en-US" w:eastAsia="zh-CN"/>
        </w:rPr>
        <w:t xml:space="preserve">2</w:t>
      </w:r>
      <w:r>
        <w:rPr>
          <w:rStyle w:val="705"/>
          <w:rFonts w:hint="eastAsia" w:ascii="宋体" w:hAnsi="宋体" w:eastAsia="宋体" w:cs="宋体"/>
          <w:b/>
          <w:bCs/>
          <w:i w:val="0"/>
          <w:color w:val="auto"/>
          <w:highlight w:val="none"/>
          <w:u w:val="single"/>
          <w:shd w:val="clear" w:color="auto" w:fill="ffffff"/>
        </w:rPr>
        <w:t xml:space="preserve">）</w:t>
      </w:r>
      <w:r>
        <w:rPr>
          <w:rStyle w:val="70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05"/>
          <w:rFonts w:hint="eastAsia" w:ascii="宋体" w:hAnsi="宋体" w:eastAsia="宋体" w:cs="宋体"/>
          <w:i w:val="0"/>
          <w:color w:val="auto"/>
          <w:highlight w:val="none"/>
          <w:u w:val="single"/>
          <w:shd w:val="clear" w:color="auto" w:fill="ffffff"/>
        </w:rPr>
        <w:t xml:space="preserve">（厂名）</w:t>
      </w:r>
      <w:r>
        <w:rPr>
          <w:rStyle w:val="70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0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05"/>
          <w:rFonts w:hint="eastAsia" w:ascii="宋体" w:hAnsi="宋体" w:eastAsia="宋体" w:cs="宋体"/>
          <w:i w:val="0"/>
          <w:strike w:val="0"/>
          <w:color w:val="auto"/>
          <w:highlight w:val="none"/>
          <w:u w:val="single"/>
          <w:shd w:val="clear" w:color="auto" w:fill="ffffff"/>
        </w:rPr>
        <w:t xml:space="preserve">（产品名称</w:t>
      </w:r>
      <w:r>
        <w:rPr>
          <w:rStyle w:val="705"/>
          <w:rFonts w:hint="eastAsia" w:cs="宋体"/>
          <w:i w:val="0"/>
          <w:strike w:val="0"/>
          <w:color w:val="auto"/>
          <w:highlight w:val="none"/>
          <w:u w:val="single"/>
          <w:shd w:val="clear" w:color="auto" w:fill="ffffff"/>
          <w:lang w:val="en-US" w:eastAsia="zh-CN"/>
        </w:rPr>
        <w:t xml:space="preserve">2</w:t>
      </w:r>
      <w:r>
        <w:rPr>
          <w:rStyle w:val="705"/>
          <w:rFonts w:hint="eastAsia" w:ascii="宋体" w:hAnsi="宋体" w:eastAsia="宋体" w:cs="宋体"/>
          <w:i w:val="0"/>
          <w:strike w:val="0"/>
          <w:color w:val="auto"/>
          <w:highlight w:val="none"/>
          <w:u w:val="singl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705"/>
          <w:rFonts w:hint="eastAsia" w:ascii="宋体" w:hAnsi="宋体" w:eastAsia="宋体" w:cs="宋体"/>
          <w:i w:val="0"/>
          <w:color w:val="auto"/>
          <w:highlight w:val="none"/>
          <w:u w:val="single"/>
          <w:shd w:val="clear" w:color="auto" w:fill="ffffff"/>
        </w:rPr>
        <w:t xml:space="preserve">（规定比例）</w:t>
      </w:r>
      <w:r>
        <w:rPr>
          <w:rStyle w:val="70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2</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（关键组件）</w:t>
      </w:r>
      <w:r>
        <w:rPr>
          <w:rStyle w:val="70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2</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（关键工序）</w:t>
      </w:r>
      <w:r>
        <w:rPr>
          <w:rStyle w:val="70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highlight w:val="none"/>
        </w:rPr>
      </w:r>
      <w:r/>
    </w:p>
    <w:p>
      <w:pPr>
        <w:pStyle w:val="701"/>
        <w:ind w:firstLine="482"/>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shd w:val="clear" w:color="auto" w:fill="ffffff"/>
        </w:rPr>
      </w:pP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4545330</wp:posOffset>
                </wp:positionH>
                <wp:positionV relativeFrom="paragraph">
                  <wp:posOffset>165100</wp:posOffset>
                </wp:positionV>
                <wp:extent cx="927100" cy="146050"/>
                <wp:effectExtent l="635" t="4445" r="12065" b="14604"/>
                <wp:wrapNone/>
                <wp:docPr id="16" name="直接连接符 15"/>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5" o:spid="_x0000_s15" style="position:absolute;left:0;text-align:left;z-index:251678720;mso-wrap-distance-left:9.0pt;mso-wrap-distance-top:0.0pt;mso-wrap-distance-right:9.0pt;mso-wrap-distance-bottom:0.0pt;flip:y;visibility:visible;" from="357.9pt,13.0pt" to="430.9pt,24.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2443480</wp:posOffset>
                </wp:positionH>
                <wp:positionV relativeFrom="paragraph">
                  <wp:posOffset>869950</wp:posOffset>
                </wp:positionV>
                <wp:extent cx="927100" cy="146050"/>
                <wp:effectExtent l="635" t="4445" r="12065" b="14604"/>
                <wp:wrapNone/>
                <wp:docPr id="17" name="直接连接符 13"/>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6" o:spid="_x0000_s16" style="position:absolute;left:0;text-align:left;z-index:251676672;mso-wrap-distance-left:9.0pt;mso-wrap-distance-top:0.0pt;mso-wrap-distance-right:9.0pt;mso-wrap-distance-bottom:0.0pt;flip:y;visibility:visible;" from="192.4pt,68.5pt" to="265.4pt,80.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1217930</wp:posOffset>
                </wp:positionH>
                <wp:positionV relativeFrom="paragraph">
                  <wp:posOffset>876300</wp:posOffset>
                </wp:positionV>
                <wp:extent cx="927100" cy="146050"/>
                <wp:effectExtent l="635" t="4445" r="12065" b="14604"/>
                <wp:wrapNone/>
                <wp:docPr id="18" name="直接连接符 12"/>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7" o:spid="_x0000_s17" style="position:absolute;left:0;text-align:left;z-index:251675648;mso-wrap-distance-left:9.0pt;mso-wrap-distance-top:0.0pt;mso-wrap-distance-right:9.0pt;mso-wrap-distance-bottom:0.0pt;flip:y;visibility:visible;" from="95.9pt,69.0pt" to="168.9pt,80.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4551680</wp:posOffset>
                </wp:positionH>
                <wp:positionV relativeFrom="paragraph">
                  <wp:posOffset>520700</wp:posOffset>
                </wp:positionV>
                <wp:extent cx="927100" cy="146050"/>
                <wp:effectExtent l="635" t="4445" r="12065" b="14604"/>
                <wp:wrapNone/>
                <wp:docPr id="19" name="直接连接符 11"/>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round/>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8" o:spid="_x0000_s18" style="position:absolute;left:0;text-align:left;z-index:251674624;mso-wrap-distance-left:9.0pt;mso-wrap-distance-top:0.0pt;mso-wrap-distance-right:9.0pt;mso-wrap-distance-bottom:0.0pt;flip:y;visibility:visible;" from="358.4pt,41.0pt" to="431.4pt,52.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3395980</wp:posOffset>
                </wp:positionH>
                <wp:positionV relativeFrom="paragraph">
                  <wp:posOffset>520700</wp:posOffset>
                </wp:positionV>
                <wp:extent cx="927100" cy="146050"/>
                <wp:effectExtent l="635" t="4445" r="12065" b="14604"/>
                <wp:wrapNone/>
                <wp:docPr id="20" name="直接连接符 10"/>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19" o:spid="_x0000_s19" style="position:absolute;left:0;text-align:left;z-index:251673600;mso-wrap-distance-left:9.0pt;mso-wrap-distance-top:0.0pt;mso-wrap-distance-right:9.0pt;mso-wrap-distance-bottom:0.0pt;flip:y;visibility:visible;" from="267.4pt,41.0pt" to="340.4pt,52.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2259330</wp:posOffset>
                </wp:positionH>
                <wp:positionV relativeFrom="paragraph">
                  <wp:posOffset>508000</wp:posOffset>
                </wp:positionV>
                <wp:extent cx="927100" cy="146050"/>
                <wp:effectExtent l="635" t="4445" r="12065" b="14604"/>
                <wp:wrapNone/>
                <wp:docPr id="21" name="直接连接符 9"/>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0" o:spid="_x0000_s20" style="position:absolute;left:0;text-align:left;z-index:251672576;mso-wrap-distance-left:9.0pt;mso-wrap-distance-top:0.0pt;mso-wrap-distance-right:9.0pt;mso-wrap-distance-bottom:0.0pt;flip:y;visibility:visible;" from="177.9pt,40.0pt" to="250.9pt,51.5pt" filled="f" strokecolor="#000000" strokeweight="0.25pt"/>
            </w:pict>
          </mc:Fallback>
        </mc:AlternateContent>
      </w:r>
      <w:r>
        <w:rPr>
          <w:rStyle w:val="705"/>
          <w:rFonts w:hint="eastAsia" w:ascii="宋体" w:hAnsi="宋体" w:eastAsia="宋体" w:cs="宋体"/>
          <w:b/>
          <w:bCs/>
          <w:i w:val="0"/>
          <w:color w:val="auto"/>
          <w:highlight w:val="none"/>
          <w:u w:val="single"/>
          <w:shd w:val="clear" w:color="auto" w:fill="ffffff"/>
        </w:rPr>
        <w:t xml:space="preserve">（产品名称</w:t>
      </w:r>
      <w:r>
        <w:rPr>
          <w:rStyle w:val="705"/>
          <w:rFonts w:hint="eastAsia" w:cs="宋体"/>
          <w:b/>
          <w:bCs/>
          <w:i w:val="0"/>
          <w:color w:val="auto"/>
          <w:highlight w:val="none"/>
          <w:u w:val="single"/>
          <w:shd w:val="clear" w:color="auto" w:fill="ffffff"/>
          <w:lang w:val="en-US" w:eastAsia="zh-CN"/>
        </w:rPr>
        <w:t xml:space="preserve">3</w:t>
      </w:r>
      <w:r>
        <w:rPr>
          <w:rStyle w:val="705"/>
          <w:rFonts w:hint="eastAsia" w:ascii="宋体" w:hAnsi="宋体" w:eastAsia="宋体" w:cs="宋体"/>
          <w:b/>
          <w:bCs/>
          <w:i w:val="0"/>
          <w:color w:val="auto"/>
          <w:highlight w:val="none"/>
          <w:u w:val="single"/>
          <w:shd w:val="clear" w:color="auto" w:fill="ffffff"/>
        </w:rPr>
        <w:t xml:space="preserve">）</w:t>
      </w:r>
      <w:r>
        <w:rPr>
          <w:rStyle w:val="70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05"/>
          <w:rFonts w:hint="eastAsia" w:ascii="宋体" w:hAnsi="宋体" w:eastAsia="宋体" w:cs="宋体"/>
          <w:i w:val="0"/>
          <w:color w:val="auto"/>
          <w:highlight w:val="none"/>
          <w:u w:val="single"/>
          <w:shd w:val="clear" w:color="auto" w:fill="ffffff"/>
        </w:rPr>
        <w:t xml:space="preserve">（厂名）</w:t>
      </w:r>
      <w:r>
        <w:rPr>
          <w:rStyle w:val="70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0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05"/>
          <w:rFonts w:hint="eastAsia" w:ascii="宋体" w:hAnsi="宋体" w:eastAsia="宋体" w:cs="宋体"/>
          <w:i w:val="0"/>
          <w:strike w:val="0"/>
          <w:color w:val="auto"/>
          <w:highlight w:val="none"/>
          <w:u w:val="single"/>
          <w:shd w:val="clear" w:color="auto" w:fill="ffffff"/>
        </w:rPr>
        <w:t xml:space="preserve">（产品名称</w:t>
      </w:r>
      <w:r>
        <w:rPr>
          <w:rStyle w:val="705"/>
          <w:rFonts w:hint="eastAsia" w:cs="宋体"/>
          <w:i w:val="0"/>
          <w:strike w:val="0"/>
          <w:color w:val="auto"/>
          <w:highlight w:val="none"/>
          <w:u w:val="single"/>
          <w:shd w:val="clear" w:color="auto" w:fill="ffffff"/>
          <w:lang w:val="en-US" w:eastAsia="zh-CN"/>
        </w:rPr>
        <w:t xml:space="preserve">3</w:t>
      </w:r>
      <w:r>
        <w:rPr>
          <w:rStyle w:val="705"/>
          <w:rFonts w:hint="eastAsia" w:ascii="宋体" w:hAnsi="宋体" w:eastAsia="宋体" w:cs="宋体"/>
          <w:i w:val="0"/>
          <w:strike w:val="0"/>
          <w:color w:val="auto"/>
          <w:highlight w:val="none"/>
          <w:u w:val="singl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705"/>
          <w:rFonts w:hint="eastAsia" w:ascii="宋体" w:hAnsi="宋体" w:eastAsia="宋体" w:cs="宋体"/>
          <w:i w:val="0"/>
          <w:color w:val="auto"/>
          <w:highlight w:val="none"/>
          <w:u w:val="single"/>
          <w:shd w:val="clear" w:color="auto" w:fill="ffffff"/>
        </w:rPr>
        <w:t xml:space="preserve">（规定比例）</w:t>
      </w:r>
      <w:r>
        <w:rPr>
          <w:rStyle w:val="70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3</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（关键组件）</w:t>
      </w:r>
      <w:r>
        <w:rPr>
          <w:rStyle w:val="70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3</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（关键工序）</w:t>
      </w:r>
      <w:r>
        <w:rPr>
          <w:rStyle w:val="70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highlight w:val="none"/>
        </w:rPr>
      </w:r>
      <w:r/>
    </w:p>
    <w:p>
      <w:pPr>
        <w:pStyle w:val="701"/>
        <w:ind w:firstLine="482"/>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shd w:val="clear" w:color="auto" w:fill="ffffff"/>
        </w:rPr>
      </w:pP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2399030</wp:posOffset>
                </wp:positionH>
                <wp:positionV relativeFrom="paragraph">
                  <wp:posOffset>882650</wp:posOffset>
                </wp:positionV>
                <wp:extent cx="927100" cy="146050"/>
                <wp:effectExtent l="635" t="4445" r="12065" b="14604"/>
                <wp:wrapNone/>
                <wp:docPr id="22" name="直接连接符 20"/>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1" o:spid="_x0000_s21" style="position:absolute;left:0;text-align:left;z-index:251683840;mso-wrap-distance-left:9.0pt;mso-wrap-distance-top:0.0pt;mso-wrap-distance-right:9.0pt;mso-wrap-distance-bottom:0.0pt;flip:y;visibility:visible;" from="188.9pt,69.5pt" to="261.9pt,81.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1230630</wp:posOffset>
                </wp:positionH>
                <wp:positionV relativeFrom="paragraph">
                  <wp:posOffset>876300</wp:posOffset>
                </wp:positionV>
                <wp:extent cx="927100" cy="146050"/>
                <wp:effectExtent l="635" t="4445" r="12065" b="14604"/>
                <wp:wrapNone/>
                <wp:docPr id="23" name="直接连接符 19"/>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2" o:spid="_x0000_s22" style="position:absolute;left:0;text-align:left;z-index:251682816;mso-wrap-distance-left:9.0pt;mso-wrap-distance-top:0.0pt;mso-wrap-distance-right:9.0pt;mso-wrap-distance-bottom:0.0pt;flip:y;visibility:visible;" from="96.9pt,69.0pt" to="169.9pt,80.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4564380</wp:posOffset>
                </wp:positionH>
                <wp:positionV relativeFrom="paragraph">
                  <wp:posOffset>539750</wp:posOffset>
                </wp:positionV>
                <wp:extent cx="927100" cy="146050"/>
                <wp:effectExtent l="635" t="4445" r="12065" b="14604"/>
                <wp:wrapNone/>
                <wp:docPr id="24" name="直接连接符 18"/>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3" o:spid="_x0000_s23" style="position:absolute;left:0;text-align:left;z-index:251681792;mso-wrap-distance-left:9.0pt;mso-wrap-distance-top:0.0pt;mso-wrap-distance-right:9.0pt;mso-wrap-distance-bottom:0.0pt;flip:y;visibility:visible;" from="359.4pt,42.5pt" to="432.4pt,54.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3376930</wp:posOffset>
                </wp:positionH>
                <wp:positionV relativeFrom="paragraph">
                  <wp:posOffset>527050</wp:posOffset>
                </wp:positionV>
                <wp:extent cx="927100" cy="146050"/>
                <wp:effectExtent l="635" t="4445" r="12065" b="14604"/>
                <wp:wrapNone/>
                <wp:docPr id="25" name="直接连接符 17"/>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4" o:spid="_x0000_s24" style="position:absolute;left:0;text-align:left;z-index:251680768;mso-wrap-distance-left:9.0pt;mso-wrap-distance-top:0.0pt;mso-wrap-distance-right:9.0pt;mso-wrap-distance-bottom:0.0pt;flip:y;visibility:visible;" from="265.9pt,41.5pt" to="338.9pt,5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2240280</wp:posOffset>
                </wp:positionH>
                <wp:positionV relativeFrom="paragraph">
                  <wp:posOffset>520700</wp:posOffset>
                </wp:positionV>
                <wp:extent cx="927100" cy="146050"/>
                <wp:effectExtent l="635" t="4445" r="12065" b="14604"/>
                <wp:wrapNone/>
                <wp:docPr id="26" name="直接连接符 16"/>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5" o:spid="_x0000_s25" style="position:absolute;left:0;text-align:left;z-index:251679744;mso-wrap-distance-left:9.0pt;mso-wrap-distance-top:0.0pt;mso-wrap-distance-right:9.0pt;mso-wrap-distance-bottom:0.0pt;flip:y;visibility:visible;" from="176.4pt,41.0pt" to="249.4pt,52.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4570730</wp:posOffset>
                </wp:positionH>
                <wp:positionV relativeFrom="paragraph">
                  <wp:posOffset>171450</wp:posOffset>
                </wp:positionV>
                <wp:extent cx="927100" cy="146050"/>
                <wp:effectExtent l="635" t="4445" r="12065" b="14604"/>
                <wp:wrapNone/>
                <wp:docPr id="27" name="直接连接符 14"/>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6" o:spid="_x0000_s26" style="position:absolute;left:0;text-align:left;z-index:251677696;mso-wrap-distance-left:9.0pt;mso-wrap-distance-top:0.0pt;mso-wrap-distance-right:9.0pt;mso-wrap-distance-bottom:0.0pt;flip:y;visibility:visible;" from="359.9pt,13.5pt" to="432.9pt,25.0pt" filled="f" strokecolor="#000000" strokeweight="0.25pt"/>
            </w:pict>
          </mc:Fallback>
        </mc:AlternateContent>
      </w:r>
      <w:r>
        <w:rPr>
          <w:rStyle w:val="705"/>
          <w:rFonts w:hint="eastAsia" w:ascii="宋体" w:hAnsi="宋体" w:eastAsia="宋体" w:cs="宋体"/>
          <w:b/>
          <w:bCs/>
          <w:i w:val="0"/>
          <w:color w:val="auto"/>
          <w:highlight w:val="none"/>
          <w:u w:val="single"/>
          <w:shd w:val="clear" w:color="auto" w:fill="ffffff"/>
        </w:rPr>
        <w:t xml:space="preserve">（产品名称</w:t>
      </w:r>
      <w:r>
        <w:rPr>
          <w:rStyle w:val="705"/>
          <w:rFonts w:hint="eastAsia" w:cs="宋体"/>
          <w:b/>
          <w:bCs/>
          <w:i w:val="0"/>
          <w:color w:val="auto"/>
          <w:highlight w:val="none"/>
          <w:u w:val="single"/>
          <w:shd w:val="clear" w:color="auto" w:fill="ffffff"/>
          <w:lang w:val="en-US" w:eastAsia="zh-CN"/>
        </w:rPr>
        <w:t xml:space="preserve">4</w:t>
      </w:r>
      <w:r>
        <w:rPr>
          <w:rStyle w:val="705"/>
          <w:rFonts w:hint="eastAsia" w:ascii="宋体" w:hAnsi="宋体" w:eastAsia="宋体" w:cs="宋体"/>
          <w:b/>
          <w:bCs/>
          <w:i w:val="0"/>
          <w:color w:val="auto"/>
          <w:highlight w:val="none"/>
          <w:u w:val="single"/>
          <w:shd w:val="clear" w:color="auto" w:fill="ffffff"/>
        </w:rPr>
        <w:t xml:space="preserve">）</w:t>
      </w:r>
      <w:r>
        <w:rPr>
          <w:rStyle w:val="70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05"/>
          <w:rFonts w:hint="eastAsia" w:ascii="宋体" w:hAnsi="宋体" w:eastAsia="宋体" w:cs="宋体"/>
          <w:i w:val="0"/>
          <w:color w:val="auto"/>
          <w:highlight w:val="none"/>
          <w:u w:val="single"/>
          <w:shd w:val="clear" w:color="auto" w:fill="ffffff"/>
        </w:rPr>
        <w:t xml:space="preserve">（厂名）</w:t>
      </w:r>
      <w:r>
        <w:rPr>
          <w:rStyle w:val="70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0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05"/>
          <w:rFonts w:hint="eastAsia" w:ascii="宋体" w:hAnsi="宋体" w:eastAsia="宋体" w:cs="宋体"/>
          <w:i w:val="0"/>
          <w:strike w:val="0"/>
          <w:color w:val="auto"/>
          <w:highlight w:val="none"/>
          <w:u w:val="single"/>
          <w:shd w:val="clear" w:color="auto" w:fill="ffffff"/>
        </w:rPr>
        <w:t xml:space="preserve">（产品名称</w:t>
      </w:r>
      <w:r>
        <w:rPr>
          <w:rStyle w:val="705"/>
          <w:rFonts w:hint="eastAsia" w:cs="宋体"/>
          <w:i w:val="0"/>
          <w:strike w:val="0"/>
          <w:color w:val="auto"/>
          <w:highlight w:val="none"/>
          <w:u w:val="single"/>
          <w:shd w:val="clear" w:color="auto" w:fill="ffffff"/>
          <w:lang w:val="en-US" w:eastAsia="zh-CN"/>
        </w:rPr>
        <w:t xml:space="preserve">4</w:t>
      </w:r>
      <w:r>
        <w:rPr>
          <w:rStyle w:val="705"/>
          <w:rFonts w:hint="eastAsia" w:ascii="宋体" w:hAnsi="宋体" w:eastAsia="宋体" w:cs="宋体"/>
          <w:i w:val="0"/>
          <w:strike w:val="0"/>
          <w:color w:val="auto"/>
          <w:highlight w:val="none"/>
          <w:u w:val="singl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705"/>
          <w:rFonts w:hint="eastAsia" w:ascii="宋体" w:hAnsi="宋体" w:eastAsia="宋体" w:cs="宋体"/>
          <w:i w:val="0"/>
          <w:color w:val="auto"/>
          <w:highlight w:val="none"/>
          <w:u w:val="single"/>
          <w:shd w:val="clear" w:color="auto" w:fill="ffffff"/>
        </w:rPr>
        <w:t xml:space="preserve">（规定比例）</w:t>
      </w:r>
      <w:r>
        <w:rPr>
          <w:rStyle w:val="70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4</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（关键组件）</w:t>
      </w:r>
      <w:r>
        <w:rPr>
          <w:rStyle w:val="70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4</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（关键工序）</w:t>
      </w:r>
      <w:r>
        <w:rPr>
          <w:rStyle w:val="70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highlight w:val="none"/>
        </w:rPr>
      </w:r>
      <w:r/>
    </w:p>
    <w:p>
      <w:pPr>
        <w:pStyle w:val="701"/>
        <w:ind w:firstLine="482"/>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shd w:val="clear" w:color="auto" w:fill="ffffff"/>
        </w:rPr>
      </w:pP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2399030</wp:posOffset>
                </wp:positionH>
                <wp:positionV relativeFrom="paragraph">
                  <wp:posOffset>882650</wp:posOffset>
                </wp:positionV>
                <wp:extent cx="927100" cy="146050"/>
                <wp:effectExtent l="635" t="4445" r="12065" b="14604"/>
                <wp:wrapNone/>
                <wp:docPr id="28" name="直接连接符 20"/>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7" o:spid="_x0000_s27" style="position:absolute;left:0;text-align:left;z-index:251689984;mso-wrap-distance-left:9.0pt;mso-wrap-distance-top:0.0pt;mso-wrap-distance-right:9.0pt;mso-wrap-distance-bottom:0.0pt;flip:y;visibility:visible;" from="188.9pt,69.5pt" to="261.9pt,81.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1230630</wp:posOffset>
                </wp:positionH>
                <wp:positionV relativeFrom="paragraph">
                  <wp:posOffset>876300</wp:posOffset>
                </wp:positionV>
                <wp:extent cx="927100" cy="146050"/>
                <wp:effectExtent l="635" t="4445" r="12065" b="14604"/>
                <wp:wrapNone/>
                <wp:docPr id="29" name="直接连接符 19"/>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8" o:spid="_x0000_s28" style="position:absolute;left:0;text-align:left;z-index:251688960;mso-wrap-distance-left:9.0pt;mso-wrap-distance-top:0.0pt;mso-wrap-distance-right:9.0pt;mso-wrap-distance-bottom:0.0pt;flip:y;visibility:visible;" from="96.9pt,69.0pt" to="169.9pt,80.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4564380</wp:posOffset>
                </wp:positionH>
                <wp:positionV relativeFrom="paragraph">
                  <wp:posOffset>539750</wp:posOffset>
                </wp:positionV>
                <wp:extent cx="927100" cy="146050"/>
                <wp:effectExtent l="635" t="4445" r="12065" b="14604"/>
                <wp:wrapNone/>
                <wp:docPr id="30" name="直接连接符 18"/>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29" o:spid="_x0000_s29" style="position:absolute;left:0;text-align:left;z-index:251687936;mso-wrap-distance-left:9.0pt;mso-wrap-distance-top:0.0pt;mso-wrap-distance-right:9.0pt;mso-wrap-distance-bottom:0.0pt;flip:y;visibility:visible;" from="359.4pt,42.5pt" to="432.4pt,54.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3376930</wp:posOffset>
                </wp:positionH>
                <wp:positionV relativeFrom="paragraph">
                  <wp:posOffset>527050</wp:posOffset>
                </wp:positionV>
                <wp:extent cx="927100" cy="146050"/>
                <wp:effectExtent l="635" t="4445" r="12065" b="14604"/>
                <wp:wrapNone/>
                <wp:docPr id="31" name="直接连接符 17"/>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0" o:spid="_x0000_s30" style="position:absolute;left:0;text-align:left;z-index:251686912;mso-wrap-distance-left:9.0pt;mso-wrap-distance-top:0.0pt;mso-wrap-distance-right:9.0pt;mso-wrap-distance-bottom:0.0pt;flip:y;visibility:visible;" from="265.9pt,41.5pt" to="338.9pt,53.0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2240280</wp:posOffset>
                </wp:positionH>
                <wp:positionV relativeFrom="paragraph">
                  <wp:posOffset>520700</wp:posOffset>
                </wp:positionV>
                <wp:extent cx="927100" cy="146050"/>
                <wp:effectExtent l="635" t="4445" r="12065" b="14604"/>
                <wp:wrapNone/>
                <wp:docPr id="32" name="直接连接符 16"/>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1" o:spid="_x0000_s31" style="position:absolute;left:0;text-align:left;z-index:251685888;mso-wrap-distance-left:9.0pt;mso-wrap-distance-top:0.0pt;mso-wrap-distance-right:9.0pt;mso-wrap-distance-bottom:0.0pt;flip:y;visibility:visible;" from="176.4pt,41.0pt" to="249.4pt,52.5pt" filled="f" strokecolor="#000000" strokeweight="0.25pt"/>
            </w:pict>
          </mc:Fallback>
        </mc:AlternateContent>
      </w:r>
      <w:r>
        <w:rPr>
          <w:b/>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4570730</wp:posOffset>
                </wp:positionH>
                <wp:positionV relativeFrom="paragraph">
                  <wp:posOffset>171450</wp:posOffset>
                </wp:positionV>
                <wp:extent cx="927100" cy="146050"/>
                <wp:effectExtent l="635" t="4445" r="12065" b="14604"/>
                <wp:wrapNone/>
                <wp:docPr id="33" name="直接连接符 14"/>
                <wp:cNvGraphicFramePr/>
                <a:graphic xmlns:a="http://schemas.openxmlformats.org/drawingml/2006/main">
                  <a:graphicData uri="http://schemas.microsoft.com/office/word/2010/wordprocessingShape">
                    <wps:wsp>
                      <wps:cNvPr id="0" name=""/>
                      <wps:cNvSpPr/>
                      <wps:spPr bwMode="auto">
                        <a:xfrm flipV="1">
                          <a:off x="0" y="0"/>
                          <a:ext cx="927100" cy="146050"/>
                        </a:xfrm>
                        <a:prstGeom prst="line">
                          <a:avLst/>
                        </a:prstGeom>
                        <a:ln w="3175">
                          <a:solidFill>
                            <a:schemeClr val="tx1"/>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a:graphicData>
                </a:graphic>
              </wp:anchor>
            </w:drawing>
          </mc:Choice>
          <mc:Fallback>
            <w:pict>
              <v:line id="shape 32" o:spid="_x0000_s32" style="position:absolute;left:0;text-align:left;z-index:251684864;mso-wrap-distance-left:9.0pt;mso-wrap-distance-top:0.0pt;mso-wrap-distance-right:9.0pt;mso-wrap-distance-bottom:0.0pt;flip:y;visibility:visible;" from="359.9pt,13.5pt" to="432.9pt,25.0pt" filled="f" strokecolor="#000000" strokeweight="0.25pt"/>
            </w:pict>
          </mc:Fallback>
        </mc:AlternateContent>
      </w:r>
      <w:r>
        <w:rPr>
          <w:rStyle w:val="705"/>
          <w:rFonts w:hint="eastAsia" w:ascii="宋体" w:hAnsi="宋体" w:eastAsia="宋体" w:cs="宋体"/>
          <w:b/>
          <w:bCs/>
          <w:i w:val="0"/>
          <w:color w:val="auto"/>
          <w:highlight w:val="none"/>
          <w:u w:val="single"/>
          <w:shd w:val="clear" w:color="auto" w:fill="ffffff"/>
        </w:rPr>
        <w:t xml:space="preserve">（产品名称</w:t>
      </w:r>
      <w:r>
        <w:rPr>
          <w:rStyle w:val="705"/>
          <w:rFonts w:hint="eastAsia" w:cs="宋体"/>
          <w:b/>
          <w:bCs/>
          <w:i w:val="0"/>
          <w:color w:val="auto"/>
          <w:highlight w:val="none"/>
          <w:u w:val="single"/>
          <w:shd w:val="clear" w:color="auto" w:fill="ffffff"/>
          <w:lang w:val="en-US" w:eastAsia="zh-CN"/>
        </w:rPr>
        <w:t xml:space="preserve">5</w:t>
      </w:r>
      <w:r>
        <w:rPr>
          <w:rStyle w:val="705"/>
          <w:rFonts w:hint="eastAsia" w:ascii="宋体" w:hAnsi="宋体" w:eastAsia="宋体" w:cs="宋体"/>
          <w:b/>
          <w:bCs/>
          <w:i w:val="0"/>
          <w:color w:val="auto"/>
          <w:highlight w:val="none"/>
          <w:u w:val="single"/>
          <w:shd w:val="clear" w:color="auto" w:fill="ffffff"/>
        </w:rPr>
        <w:t xml:space="preserve">）</w:t>
      </w:r>
      <w:r>
        <w:rPr>
          <w:rStyle w:val="705"/>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05"/>
          <w:rFonts w:hint="eastAsia" w:ascii="宋体" w:hAnsi="宋体" w:eastAsia="宋体" w:cs="宋体"/>
          <w:i w:val="0"/>
          <w:color w:val="auto"/>
          <w:highlight w:val="none"/>
          <w:u w:val="single"/>
          <w:shd w:val="clear" w:color="auto" w:fill="ffffff"/>
        </w:rPr>
        <w:t xml:space="preserve">（厂名）</w:t>
      </w:r>
      <w:r>
        <w:rPr>
          <w:rStyle w:val="705"/>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05"/>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05"/>
          <w:rFonts w:hint="eastAsia" w:ascii="宋体" w:hAnsi="宋体" w:eastAsia="宋体" w:cs="宋体"/>
          <w:i w:val="0"/>
          <w:strike w:val="0"/>
          <w:color w:val="auto"/>
          <w:highlight w:val="none"/>
          <w:u w:val="single"/>
          <w:shd w:val="clear" w:color="auto" w:fill="ffffff"/>
        </w:rPr>
        <w:t xml:space="preserve">（产品名称</w:t>
      </w:r>
      <w:r>
        <w:rPr>
          <w:rStyle w:val="705"/>
          <w:rFonts w:hint="eastAsia" w:cs="宋体"/>
          <w:i w:val="0"/>
          <w:strike w:val="0"/>
          <w:color w:val="auto"/>
          <w:highlight w:val="none"/>
          <w:u w:val="single"/>
          <w:shd w:val="clear" w:color="auto" w:fill="ffffff"/>
          <w:lang w:val="en-US" w:eastAsia="zh-CN"/>
        </w:rPr>
        <w:t xml:space="preserve">5</w:t>
      </w:r>
      <w:r>
        <w:rPr>
          <w:rStyle w:val="705"/>
          <w:rFonts w:hint="eastAsia" w:ascii="宋体" w:hAnsi="宋体" w:eastAsia="宋体" w:cs="宋体"/>
          <w:i w:val="0"/>
          <w:strike w:val="0"/>
          <w:color w:val="auto"/>
          <w:highlight w:val="none"/>
          <w:u w:val="singl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的中国境内生产的组件成本占比≥</w:t>
      </w:r>
      <w:r>
        <w:rPr>
          <w:rStyle w:val="705"/>
          <w:rFonts w:hint="eastAsia" w:ascii="宋体" w:hAnsi="宋体" w:eastAsia="宋体" w:cs="宋体"/>
          <w:i w:val="0"/>
          <w:color w:val="auto"/>
          <w:highlight w:val="none"/>
          <w:u w:val="single"/>
          <w:shd w:val="clear" w:color="auto" w:fill="ffffff"/>
        </w:rPr>
        <w:t xml:space="preserve">（规定比例）</w:t>
      </w:r>
      <w:r>
        <w:rPr>
          <w:rStyle w:val="705"/>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5</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（关键组件）</w:t>
      </w:r>
      <w:r>
        <w:rPr>
          <w:rStyle w:val="705"/>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05"/>
          <w:rFonts w:hint="eastAsia" w:ascii="宋体" w:hAnsi="宋体" w:eastAsia="宋体" w:cs="宋体"/>
          <w:i w:val="0"/>
          <w:color w:val="auto"/>
          <w:highlight w:val="none"/>
          <w:u w:val="single"/>
          <w:shd w:val="clear" w:color="auto" w:fill="ffffff"/>
        </w:rPr>
        <w:t xml:space="preserve">（产品名称</w:t>
      </w:r>
      <w:r>
        <w:rPr>
          <w:rStyle w:val="705"/>
          <w:rFonts w:hint="eastAsia" w:cs="宋体"/>
          <w:i w:val="0"/>
          <w:color w:val="auto"/>
          <w:highlight w:val="none"/>
          <w:u w:val="single"/>
          <w:shd w:val="clear" w:color="auto" w:fill="ffffff"/>
          <w:lang w:val="en-US" w:eastAsia="zh-CN"/>
        </w:rPr>
        <w:t xml:space="preserve">5</w:t>
      </w:r>
      <w:r>
        <w:rPr>
          <w:rStyle w:val="705"/>
          <w:rFonts w:hint="eastAsia" w:ascii="宋体" w:hAnsi="宋体" w:eastAsia="宋体" w:cs="宋体"/>
          <w:i w:val="0"/>
          <w:color w:val="auto"/>
          <w:highlight w:val="none"/>
          <w:u w:val="single"/>
          <w:shd w:val="clear" w:color="auto" w:fill="ffffff"/>
        </w:rPr>
        <w:t xml:space="preserve">）</w:t>
      </w:r>
      <w:r>
        <w:rPr>
          <w:rFonts w:hint="eastAsia" w:ascii="宋体" w:hAnsi="宋体" w:eastAsia="宋体" w:cs="宋体"/>
          <w:color w:val="auto"/>
          <w:highlight w:val="none"/>
          <w:shd w:val="clear" w:color="auto" w:fill="ffffff"/>
        </w:rPr>
        <w:t xml:space="preserve">的</w:t>
      </w:r>
      <w:r>
        <w:rPr>
          <w:rStyle w:val="705"/>
          <w:rFonts w:hint="eastAsia" w:ascii="宋体" w:hAnsi="宋体" w:eastAsia="宋体" w:cs="宋体"/>
          <w:i w:val="0"/>
          <w:color w:val="auto"/>
          <w:highlight w:val="none"/>
          <w:u w:val="single"/>
          <w:shd w:val="clear" w:color="auto" w:fill="ffffff"/>
        </w:rPr>
        <w:t xml:space="preserve">（关键工序）</w:t>
      </w:r>
      <w:r>
        <w:rPr>
          <w:rStyle w:val="705"/>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rPr>
          <w:highlight w:val="none"/>
        </w:rPr>
      </w:r>
      <w:r/>
    </w:p>
    <w:p>
      <w:pPr>
        <w:pStyle w:val="701"/>
        <w:ind w:firstLine="480"/>
        <w:keepLines w:val="0"/>
        <w:keepNext w:val="0"/>
        <w:pageBreakBefore w:val="0"/>
        <w:spacing w:before="30" w:beforeAutospacing="0" w:after="30" w:afterAutospacing="0" w:line="560" w:lineRule="atLeast"/>
        <w:widowControl/>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rPr>
          <w:highlight w:val="none"/>
        </w:rPr>
      </w:r>
      <w:r/>
    </w:p>
    <w:p>
      <w:pPr>
        <w:pStyle w:val="701"/>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rPr>
          <w:highlight w:val="none"/>
        </w:rPr>
      </w:r>
      <w:r/>
    </w:p>
    <w:p>
      <w:pPr>
        <w:pStyle w:val="701"/>
        <w:ind w:right="480" w:firstLine="3720"/>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r>
      <w:r>
        <w:rPr>
          <w:highlight w:val="none"/>
        </w:rPr>
      </w:r>
      <w:r/>
    </w:p>
    <w:p>
      <w:pPr>
        <w:pStyle w:val="701"/>
        <w:ind w:right="480" w:firstLine="3720"/>
        <w:spacing w:before="30" w:beforeAutospacing="0" w:after="30" w:afterAutospacing="0" w:line="0" w:lineRule="atLeast"/>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公司（单位）名称（</w:t>
      </w:r>
      <w:r>
        <w:rPr>
          <w:rFonts w:hint="eastAsia" w:cs="宋体"/>
          <w:color w:val="auto"/>
          <w:highlight w:val="none"/>
          <w:shd w:val="clear" w:color="auto" w:fill="ffffff"/>
          <w:lang w:val="en-US" w:eastAsia="zh-CN"/>
        </w:rPr>
        <w:t xml:space="preserve">电子签章</w:t>
      </w:r>
      <w:r>
        <w:rPr>
          <w:rFonts w:hint="eastAsia" w:ascii="宋体" w:hAnsi="宋体" w:eastAsia="宋体" w:cs="宋体"/>
          <w:color w:val="auto"/>
          <w:highlight w:val="none"/>
          <w:shd w:val="clear" w:color="auto" w:fill="ffffff"/>
        </w:rPr>
        <w:t xml:space="preserve">）：　</w:t>
      </w:r>
      <w:r>
        <w:rPr>
          <w:highlight w:val="none"/>
        </w:rPr>
      </w:r>
      <w:r/>
    </w:p>
    <w:p>
      <w:pPr>
        <w:pStyle w:val="701"/>
        <w:ind w:right="480" w:firstLine="3720"/>
        <w:spacing w:before="30" w:beforeAutospacing="0" w:after="3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w:t>
      </w:r>
      <w:r>
        <w:rPr>
          <w:highlight w:val="none"/>
        </w:rPr>
      </w:r>
      <w:r/>
    </w:p>
    <w:p>
      <w:pPr>
        <w:pStyle w:val="701"/>
        <w:jc w:val="center"/>
        <w:spacing w:before="30" w:beforeAutospacing="0" w:after="30" w:afterAutospacing="0" w:line="0" w:lineRule="atLeast"/>
        <w:rPr>
          <w:rFonts w:hint="eastAsia" w:ascii="方正魏碑_GBK" w:hAnsi="方正魏碑_GBK" w:eastAsia="方正魏碑_GBK" w:cs="方正魏碑_GBK"/>
          <w:color w:val="ff0000"/>
          <w:highlight w:val="none"/>
        </w:rPr>
      </w:pPr>
      <w:r>
        <w:rPr>
          <w:rFonts w:hint="eastAsia" w:ascii="宋体" w:hAnsi="宋体" w:eastAsia="宋体" w:cs="宋体"/>
          <w:color w:val="auto"/>
          <w:highlight w:val="none"/>
          <w:shd w:val="clear" w:color="auto" w:fill="ffffff"/>
        </w:rPr>
        <w:t xml:space="preserve">                                日期：　   年　  月　  日 </w:t>
      </w:r>
      <w:r>
        <w:rPr>
          <w:rFonts w:hint="eastAsia" w:ascii="方正魏碑_GBK" w:hAnsi="方正魏碑_GBK" w:eastAsia="方正魏碑_GBK" w:cs="方正魏碑_GBK"/>
          <w:color w:val="ff0000"/>
          <w:highlight w:val="none"/>
          <w:shd w:val="clear" w:color="auto" w:fill="ffffff"/>
        </w:rPr>
        <w:t xml:space="preserve">        </w:t>
      </w:r>
      <w:r>
        <w:rPr>
          <w:highlight w:val="none"/>
        </w:rPr>
      </w:r>
      <w:r/>
    </w:p>
    <w:tbl>
      <w:tblPr>
        <w:tblStyle w:val="703"/>
        <w:tblpPr w:horzAnchor="page" w:tblpX="1667" w:vertAnchor="text" w:tblpY="176" w:leftFromText="180" w:topFromText="0" w:rightFromText="180" w:bottomFromText="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026"/>
      </w:tblGrid>
      <w:tr>
        <w:trPr/>
        <w:tc>
          <w:tcPr>
            <w:tcW w:w="9026" w:type="dxa"/>
            <w:textDirection w:val="lrTb"/>
            <w:noWrap w:val="false"/>
          </w:tcPr>
          <w:p>
            <w:pPr>
              <w:pStyle w:val="701"/>
              <w:spacing w:before="30" w:beforeAutospacing="0" w:after="30" w:afterAutospacing="0" w:line="0" w:lineRule="atLeast"/>
              <w:rPr>
                <w:rFonts w:hint="eastAsia" w:ascii="黑体" w:hAnsi="黑体" w:eastAsia="黑体" w:cs="黑体"/>
                <w:color w:val="auto"/>
                <w:sz w:val="21"/>
                <w:szCs w:val="22"/>
                <w:highlight w:val="none"/>
              </w:rPr>
            </w:pPr>
            <w:r>
              <w:rPr>
                <w:rFonts w:hint="eastAsia" w:ascii="黑体" w:hAnsi="黑体" w:eastAsia="黑体" w:cs="黑体"/>
                <w:color w:val="auto"/>
                <w:sz w:val="21"/>
                <w:szCs w:val="22"/>
                <w:highlight w:val="none"/>
                <w:shd w:val="clear" w:color="auto" w:fill="ffffff"/>
              </w:rPr>
              <w:t xml:space="preserve">1.产品如有型号，请在“产品名称”栏一并填写。</w:t>
            </w:r>
            <w:r>
              <w:rPr>
                <w:highlight w:val="none"/>
              </w:rPr>
            </w:r>
            <w:r/>
          </w:p>
          <w:p>
            <w:pPr>
              <w:pStyle w:val="701"/>
              <w:spacing w:before="30" w:beforeAutospacing="0" w:after="30" w:afterAutospacing="0" w:line="0" w:lineRule="atLeast"/>
              <w:rPr>
                <w:rFonts w:hint="eastAsia" w:ascii="黑体" w:hAnsi="黑体" w:eastAsia="黑体" w:cs="黑体"/>
                <w:color w:val="auto"/>
                <w:sz w:val="21"/>
                <w:szCs w:val="22"/>
                <w:highlight w:val="none"/>
              </w:rPr>
            </w:pPr>
            <w:r>
              <w:rPr>
                <w:rFonts w:hint="eastAsia" w:ascii="黑体" w:hAnsi="黑体" w:eastAsia="黑体" w:cs="黑体"/>
                <w:color w:val="auto"/>
                <w:sz w:val="21"/>
                <w:szCs w:val="22"/>
                <w:highlight w:val="none"/>
                <w:shd w:val="clear" w:color="auto" w:fill="ffffff"/>
              </w:rPr>
              <w:t xml:space="preserve">2.生产厂名与厂址应与生产厂营业执照载明的相关信息保持一致。</w:t>
            </w:r>
            <w:r>
              <w:rPr>
                <w:highlight w:val="none"/>
              </w:rPr>
            </w:r>
            <w:r/>
          </w:p>
          <w:p>
            <w:pPr>
              <w:pStyle w:val="701"/>
              <w:spacing w:before="30" w:beforeAutospacing="0" w:after="30" w:afterAutospacing="0" w:line="0" w:lineRule="atLeast"/>
              <w:rPr>
                <w:rFonts w:hint="eastAsia" w:ascii="黑体" w:hAnsi="黑体" w:eastAsia="黑体" w:cs="黑体"/>
                <w:color w:val="auto"/>
                <w:sz w:val="21"/>
                <w:szCs w:val="22"/>
                <w:highlight w:val="none"/>
              </w:rPr>
            </w:pPr>
            <w:r>
              <w:rPr>
                <w:rFonts w:hint="eastAsia" w:ascii="黑体" w:hAnsi="黑体" w:eastAsia="黑体" w:cs="黑体"/>
                <w:color w:val="auto"/>
                <w:sz w:val="21"/>
                <w:szCs w:val="22"/>
                <w:highlight w:val="none"/>
                <w:shd w:val="clear" w:color="auto" w:fill="ffffff"/>
              </w:rPr>
              <w:t xml:space="preserve">3.该产品的中国境内生产的组件成本占比相关要求实施前，“规定比例”栏可不填，下同。</w:t>
            </w:r>
            <w:r>
              <w:rPr>
                <w:highlight w:val="none"/>
              </w:rPr>
            </w:r>
            <w:r/>
          </w:p>
          <w:p>
            <w:pPr>
              <w:pStyle w:val="701"/>
              <w:spacing w:before="30" w:beforeAutospacing="0" w:after="30" w:afterAutospacing="0" w:line="0" w:lineRule="atLeast"/>
              <w:rPr>
                <w:rFonts w:hint="eastAsia" w:ascii="黑体" w:hAnsi="黑体" w:eastAsia="黑体" w:cs="黑体"/>
                <w:color w:val="auto"/>
                <w:sz w:val="21"/>
                <w:szCs w:val="22"/>
                <w:highlight w:val="none"/>
              </w:rPr>
            </w:pPr>
            <w:r>
              <w:rPr>
                <w:rFonts w:hint="eastAsia" w:ascii="黑体" w:hAnsi="黑体" w:eastAsia="黑体" w:cs="黑体"/>
                <w:color w:val="auto"/>
                <w:sz w:val="21"/>
                <w:szCs w:val="22"/>
                <w:highlight w:val="none"/>
                <w:shd w:val="clear" w:color="auto" w:fill="ffffff"/>
              </w:rPr>
              <w:t xml:space="preserve">4.该产品的关键组件要求实施前，“关键组件”栏可不填，下同。</w:t>
            </w:r>
            <w:r>
              <w:rPr>
                <w:highlight w:val="none"/>
              </w:rPr>
            </w:r>
            <w:r/>
          </w:p>
          <w:p>
            <w:pPr>
              <w:pStyle w:val="701"/>
              <w:spacing w:before="30" w:beforeAutospacing="0" w:after="30" w:afterAutospacing="0" w:line="0" w:lineRule="atLeast"/>
              <w:rPr>
                <w:rFonts w:hint="eastAsia" w:ascii="黑体" w:hAnsi="黑体" w:eastAsia="黑体" w:cs="黑体"/>
                <w:color w:val="auto"/>
                <w:sz w:val="21"/>
                <w:szCs w:val="22"/>
                <w:highlight w:val="none"/>
                <w:shd w:val="clear" w:color="auto" w:fill="ffffff"/>
              </w:rPr>
            </w:pPr>
            <w:r>
              <w:rPr>
                <w:rFonts w:hint="eastAsia" w:ascii="黑体" w:hAnsi="黑体" w:eastAsia="黑体" w:cs="黑体"/>
                <w:color w:val="auto"/>
                <w:sz w:val="21"/>
                <w:szCs w:val="22"/>
                <w:highlight w:val="none"/>
                <w:shd w:val="clear" w:color="auto" w:fill="ffffff"/>
              </w:rPr>
              <w:t xml:space="preserve">5.该产品的关键工序要求实施前，“关键工序”栏可不填，下同。</w:t>
            </w:r>
            <w:r>
              <w:rPr>
                <w:highlight w:val="none"/>
              </w:rPr>
            </w:r>
            <w:r/>
          </w:p>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vertAlign w:val="baseline"/>
              </w:rPr>
            </w:pPr>
            <w:r>
              <w:rPr>
                <w:rFonts w:hint="eastAsia" w:ascii="黑体" w:hAnsi="黑体" w:eastAsia="黑体" w:cs="黑体"/>
                <w:color w:val="auto"/>
                <w:sz w:val="21"/>
                <w:szCs w:val="22"/>
                <w:highlight w:val="none"/>
                <w:shd w:val="clear" w:color="auto" w:fill="ffffff"/>
              </w:rPr>
              <w:t xml:space="preserve">6.用斜线划除的地方无需填写。</w:t>
            </w:r>
            <w:r>
              <w:rPr>
                <w:highlight w:val="none"/>
              </w:rPr>
            </w:r>
            <w:r/>
          </w:p>
        </w:tc>
      </w:tr>
    </w:tbl>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rPr>
      </w:pPr>
      <w:r>
        <w:rPr>
          <w:rFonts w:hint="eastAsia" w:ascii="黑体" w:hAnsi="黑体" w:eastAsia="黑体" w:cs="黑体"/>
          <w:color w:val="auto"/>
          <w:sz w:val="22"/>
          <w:highlight w:val="none"/>
          <w:shd w:val="clear" w:color="auto" w:fill="ffffff"/>
        </w:rPr>
      </w:r>
      <w:r>
        <w:rPr>
          <w:highlight w:val="none"/>
        </w:rPr>
      </w:r>
      <w:r/>
    </w:p>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rPr>
      </w:pPr>
      <w:r>
        <w:rPr>
          <w:rFonts w:hint="eastAsia" w:ascii="黑体" w:hAnsi="黑体" w:eastAsia="黑体" w:cs="黑体"/>
          <w:color w:val="auto"/>
          <w:sz w:val="22"/>
          <w:highlight w:val="none"/>
          <w:shd w:val="clear" w:color="auto" w:fill="ffffff"/>
        </w:rPr>
      </w:r>
      <w:r>
        <w:rPr>
          <w:highlight w:val="none"/>
        </w:rPr>
      </w:r>
      <w:r/>
    </w:p>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rPr>
      </w:pPr>
      <w:r>
        <w:rPr>
          <w:rFonts w:hint="eastAsia" w:ascii="黑体" w:hAnsi="黑体" w:eastAsia="黑体" w:cs="黑体"/>
          <w:color w:val="auto"/>
          <w:sz w:val="22"/>
          <w:highlight w:val="none"/>
          <w:shd w:val="clear" w:color="auto" w:fill="ffffff"/>
        </w:rPr>
      </w:r>
      <w:r>
        <w:rPr>
          <w:highlight w:val="none"/>
        </w:rPr>
      </w:r>
      <w:r/>
    </w:p>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rPr>
      </w:pPr>
      <w:r>
        <w:rPr>
          <w:rFonts w:hint="eastAsia" w:ascii="黑体" w:hAnsi="黑体" w:eastAsia="黑体" w:cs="黑体"/>
          <w:color w:val="auto"/>
          <w:sz w:val="22"/>
          <w:highlight w:val="none"/>
          <w:shd w:val="clear" w:color="auto" w:fill="ffffff"/>
        </w:rPr>
      </w:r>
      <w:r>
        <w:rPr>
          <w:highlight w:val="none"/>
        </w:rPr>
      </w:r>
      <w:r/>
    </w:p>
    <w:p>
      <w:pPr>
        <w:pStyle w:val="701"/>
        <w:spacing w:before="30" w:beforeAutospacing="0" w:after="30" w:afterAutospacing="0" w:line="0" w:lineRule="atLeast"/>
        <w:rPr>
          <w:rFonts w:hint="eastAsia" w:ascii="黑体" w:hAnsi="黑体" w:eastAsia="黑体" w:cs="黑体"/>
          <w:color w:val="auto"/>
          <w:sz w:val="22"/>
          <w:highlight w:val="none"/>
          <w:shd w:val="clear" w:color="auto" w:fill="ffffff"/>
        </w:rPr>
      </w:pPr>
      <w:r>
        <w:rPr>
          <w:rFonts w:hint="eastAsia" w:ascii="黑体" w:hAnsi="黑体" w:eastAsia="黑体" w:cs="黑体"/>
          <w:color w:val="auto"/>
          <w:sz w:val="22"/>
          <w:highlight w:val="none"/>
          <w:shd w:val="clear" w:color="auto" w:fill="ffffff"/>
        </w:rPr>
      </w:r>
      <w:r>
        <w:rPr>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ind w:left="0" w:right="0" w:firstLine="0"/>
        <w:jc w:val="center"/>
        <w:rPr>
          <w:rFonts w:hint="eastAsia" w:ascii="黑体" w:hAnsi="黑体" w:eastAsia="黑体" w:cs="Segoe UI"/>
          <w:color w:val="auto"/>
          <w:sz w:val="36"/>
          <w:szCs w:val="21"/>
          <w:highlight w:val="none"/>
        </w:rPr>
      </w:pPr>
      <w:r>
        <w:rPr>
          <w:rFonts w:hint="eastAsia" w:ascii="黑体" w:hAnsi="黑体" w:eastAsia="黑体" w:cs="Segoe UI"/>
          <w:color w:val="auto"/>
          <w:sz w:val="36"/>
          <w:szCs w:val="21"/>
          <w:highlight w:val="none"/>
          <w:lang w:val="en-US" w:eastAsia="zh-CN"/>
        </w:rPr>
        <w:t xml:space="preserve">演示文件</w:t>
      </w:r>
      <w:r>
        <w:rPr>
          <w:highlight w:val="none"/>
        </w:rPr>
      </w:r>
      <w:r/>
    </w:p>
    <w:p>
      <w:pPr>
        <w:ind w:left="0" w:right="0" w:firstLine="0"/>
        <w:jc w:val="center"/>
        <w:rPr>
          <w:rFonts w:hint="default" w:ascii="黑体" w:hAnsi="黑体" w:eastAsia="黑体" w:cs="Segoe UI"/>
          <w:color w:val="auto"/>
          <w:sz w:val="36"/>
          <w:szCs w:val="21"/>
          <w:highlight w:val="none"/>
        </w:rPr>
      </w:pPr>
      <w:r>
        <w:rPr>
          <w:rFonts w:hint="eastAsia" w:ascii="黑体" w:hAnsi="黑体" w:eastAsia="黑体" w:cs="Segoe UI"/>
          <w:color w:val="auto"/>
          <w:sz w:val="36"/>
          <w:szCs w:val="21"/>
          <w:highlight w:val="none"/>
          <w:lang w:val="en-US" w:eastAsia="zh-CN"/>
        </w:rPr>
        <w:t xml:space="preserve">（*MP4格式）</w:t>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683"/>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firstLine="440"/>
        <w:rPr>
          <w:rFonts w:ascii="宋体" w:hAnsi="宋体" w:cs="宋体"/>
          <w:color w:val="auto"/>
          <w:sz w:val="22"/>
          <w:szCs w:val="22"/>
          <w:highlight w:val="none"/>
        </w:rPr>
      </w:pPr>
      <w:r>
        <w:rPr>
          <w:rFonts w:ascii="宋体" w:hAnsi="宋体" w:cs="宋体"/>
          <w:color w:val="auto"/>
          <w:sz w:val="22"/>
          <w:szCs w:val="22"/>
          <w:highlight w:val="none"/>
        </w:rPr>
      </w:r>
      <w:r>
        <w:rPr>
          <w:highlight w:val="none"/>
        </w:rPr>
      </w:r>
      <w:r/>
    </w:p>
    <w:p>
      <w:pPr>
        <w:pStyle w:val="950"/>
        <w:ind w:left="0" w:right="0" w:firstLine="0"/>
        <w:jc w:val="center"/>
        <w:rPr>
          <w:rFonts w:hint="eastAsia" w:ascii="黑体" w:hAnsi="黑体" w:eastAsia="黑体" w:cs="黑体"/>
          <w:b/>
          <w:bCs/>
          <w:color w:val="auto"/>
          <w:sz w:val="28"/>
          <w:szCs w:val="22"/>
          <w:highlight w:val="none"/>
        </w:rPr>
      </w:pPr>
      <w:r>
        <w:rPr>
          <w:rFonts w:hint="eastAsia" w:ascii="黑体" w:hAnsi="黑体" w:eastAsia="黑体" w:cs="黑体"/>
          <w:b/>
          <w:bCs/>
          <w:color w:val="auto"/>
          <w:sz w:val="24"/>
          <w:szCs w:val="20"/>
          <w:highlight w:val="none"/>
        </w:rPr>
        <w:t xml:space="preserve">备注：以上内容，如含有排除或限制市场竞争的内容，请与我单位反映。</w:t>
      </w:r>
      <w:r>
        <w:rPr>
          <w:highlight w:val="none"/>
        </w:rPr>
      </w:r>
      <w:r/>
    </w:p>
    <w:p>
      <w:pPr>
        <w:jc w:val="center"/>
        <w:spacing w:line="360" w:lineRule="auto"/>
        <w:rPr>
          <w:rFonts w:ascii="宋体" w:hAnsi="宋体" w:cs="宋体"/>
          <w:b/>
          <w:bCs/>
          <w:color w:val="auto"/>
          <w:sz w:val="24"/>
          <w:szCs w:val="21"/>
          <w:highlight w:val="none"/>
        </w:rPr>
      </w:pPr>
      <w:r>
        <w:rPr>
          <w:rFonts w:ascii="宋体" w:hAnsi="宋体" w:cs="宋体"/>
          <w:b/>
          <w:bCs/>
          <w:color w:val="auto"/>
          <w:sz w:val="24"/>
          <w:szCs w:val="21"/>
          <w:highlight w:val="none"/>
        </w:rPr>
      </w:r>
      <w:r>
        <w:rPr>
          <w:highlight w:val="none"/>
        </w:rPr>
      </w:r>
      <w:r/>
    </w:p>
    <w:p>
      <w:pPr>
        <w:jc w:val="cente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rPr>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rPr>
          <w:highlight w:val="none"/>
        </w:rPr>
      </w:r>
      <w:r/>
    </w:p>
    <w:p>
      <w:pPr>
        <w:ind w:left="0" w:right="0" w:firstLine="0"/>
        <w:jc w:val="center"/>
        <w:rPr>
          <w:rFonts w:ascii="Segoe UI" w:hAnsi="Segoe UI" w:cs="Segoe UI"/>
          <w:color w:val="auto"/>
          <w:szCs w:val="21"/>
          <w:highlight w:val="none"/>
        </w:rPr>
      </w:pPr>
      <w:r>
        <w:rPr>
          <w:rFonts w:ascii="Segoe UI" w:hAnsi="Segoe UI" w:cs="Segoe UI"/>
          <w:color w:val="auto"/>
          <w:szCs w:val="21"/>
          <w:highlight w:val="none"/>
        </w:rPr>
      </w:r>
      <w:r>
        <w:rPr>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rPr>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rPr>
          <w:highlight w:val="none"/>
        </w:rPr>
      </w:r>
      <w:r/>
    </w:p>
    <w:p>
      <w:pPr>
        <w:jc w:val="center"/>
        <w:spacing w:line="360" w:lineRule="auto"/>
        <w:rPr>
          <w:rFonts w:ascii="Segoe UI" w:hAnsi="Segoe UI" w:cs="Segoe UI"/>
          <w:color w:val="auto"/>
          <w:szCs w:val="21"/>
          <w:highlight w:val="none"/>
        </w:rPr>
      </w:pPr>
      <w:r>
        <w:rPr>
          <w:rFonts w:ascii="Segoe UI" w:hAnsi="Segoe UI" w:cs="Segoe UI"/>
          <w:color w:val="auto"/>
          <w:szCs w:val="21"/>
          <w:highlight w:val="none"/>
        </w:rPr>
      </w:r>
      <w:r>
        <w:rPr>
          <w:highlight w:val="none"/>
        </w:rPr>
      </w:r>
      <w:r/>
    </w:p>
    <w:sectPr>
      <w:footnotePr/>
      <w:endnotePr/>
      <w:type w:val="nextPage"/>
      <w:pgSz w:w="11906" w:h="16838" w:orient="portrait"/>
      <w:pgMar w:top="1440" w:right="1463" w:bottom="1440" w:left="1633"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楷体">
    <w:panose1 w:val="02010609060101010101"/>
  </w:font>
  <w:font w:name="Symbol">
    <w:panose1 w:val="05050102010706020507"/>
  </w:font>
  <w:font w:name="Wingdings">
    <w:panose1 w:val="05000000000000000000"/>
  </w:font>
  <w:font w:name="仿宋">
    <w:panose1 w:val="02010609060101010101"/>
  </w:font>
  <w:font w:name="iconfont">
    <w:panose1 w:val="020B0503020202020204"/>
  </w:font>
  <w:font w:name="微软雅黑">
    <w:panose1 w:val="020B0503020204020204"/>
  </w:font>
  <w:font w:name="方正小标宋简体">
    <w:panose1 w:val="020B0503020202020204"/>
  </w:font>
  <w:font w:name="Courier New">
    <w:panose1 w:val="02070309020205020404"/>
  </w:font>
  <w:font w:name="Cambria">
    <w:panose1 w:val="02040503050406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w:panose1 w:val="020B0604020202020204"/>
  </w:font>
  <w:font w:name="华文宋体">
    <w:panose1 w:val="02010600040101010101"/>
  </w:font>
  <w:font w:name="monospace">
    <w:panose1 w:val="020B0503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2"/>
    </w:pPr>
    <w:r>
      <w:fldChar w:fldCharType="begin"/>
    </w:r>
    <w:r>
      <w:instrText xml:space="preserve">PAGE \* MERGEFORMAT</w:instrText>
    </w:r>
    <w:r>
      <w:fldChar w:fldCharType="separate"/>
    </w:r>
    <w:r>
      <w:t xml:space="preserve">1</w:t>
    </w:r>
    <w:r>
      <w:fldChar w:fldCharType="end"/>
    </w:r>
    <w:r/>
  </w:p>
  <w:p>
    <w:pPr>
      <w:pStyle w:val="6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71">
    <w:name w:val="Heading 1"/>
    <w:basedOn w:val="670"/>
    <w:next w:val="670"/>
    <w:link w:val="808"/>
    <w:uiPriority w:val="9"/>
    <w:qFormat/>
    <w:pPr>
      <w:keepLines/>
      <w:keepNext/>
      <w:spacing w:before="480" w:after="200"/>
      <w:outlineLvl w:val="0"/>
    </w:pPr>
    <w:rPr>
      <w:rFonts w:ascii="Arial" w:hAnsi="Arial" w:eastAsia="Arial" w:cs="Arial"/>
      <w:sz w:val="40"/>
      <w:szCs w:val="40"/>
    </w:rPr>
  </w:style>
  <w:style w:type="paragraph" w:styleId="672">
    <w:name w:val="Heading 2"/>
    <w:basedOn w:val="670"/>
    <w:next w:val="670"/>
    <w:link w:val="809"/>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810"/>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811"/>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812"/>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813"/>
    <w:uiPriority w:val="9"/>
    <w:unhideWhenUsed/>
    <w:qFormat/>
    <w:pPr>
      <w:keepLines/>
      <w:keepNext/>
      <w:spacing w:before="320" w:after="200"/>
      <w:outlineLvl w:val="5"/>
    </w:pPr>
    <w:rPr>
      <w:rFonts w:ascii="Arial" w:hAnsi="Arial" w:eastAsia="Arial" w:cs="Arial"/>
      <w:b/>
      <w:bCs/>
      <w:sz w:val="22"/>
    </w:rPr>
  </w:style>
  <w:style w:type="paragraph" w:styleId="677">
    <w:name w:val="Heading 7"/>
    <w:basedOn w:val="670"/>
    <w:next w:val="670"/>
    <w:link w:val="814"/>
    <w:uiPriority w:val="9"/>
    <w:unhideWhenUsed/>
    <w:qFormat/>
    <w:pPr>
      <w:keepLines/>
      <w:keepNext/>
      <w:spacing w:before="320" w:after="200"/>
      <w:outlineLvl w:val="6"/>
    </w:pPr>
    <w:rPr>
      <w:rFonts w:ascii="Arial" w:hAnsi="Arial" w:eastAsia="Arial" w:cs="Arial"/>
      <w:b/>
      <w:bCs/>
      <w:i/>
      <w:iCs/>
      <w:sz w:val="22"/>
    </w:rPr>
  </w:style>
  <w:style w:type="paragraph" w:styleId="678">
    <w:name w:val="Heading 8"/>
    <w:basedOn w:val="670"/>
    <w:next w:val="670"/>
    <w:link w:val="815"/>
    <w:uiPriority w:val="9"/>
    <w:unhideWhenUsed/>
    <w:qFormat/>
    <w:pPr>
      <w:keepLines/>
      <w:keepNext/>
      <w:spacing w:before="320" w:after="200"/>
      <w:outlineLvl w:val="7"/>
    </w:pPr>
    <w:rPr>
      <w:rFonts w:ascii="Arial" w:hAnsi="Arial" w:eastAsia="Arial" w:cs="Arial"/>
      <w:i/>
      <w:iCs/>
      <w:sz w:val="22"/>
    </w:rPr>
  </w:style>
  <w:style w:type="paragraph" w:styleId="679">
    <w:name w:val="Heading 9"/>
    <w:basedOn w:val="670"/>
    <w:next w:val="670"/>
    <w:link w:val="816"/>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spacing w:after="57"/>
    </w:pPr>
  </w:style>
  <w:style w:type="paragraph" w:styleId="683">
    <w:name w:val="Normal Indent"/>
    <w:basedOn w:val="670"/>
    <w:uiPriority w:val="0"/>
    <w:qFormat/>
    <w:pPr>
      <w:ind w:left="359"/>
      <w:spacing w:line="360" w:lineRule="auto"/>
    </w:pPr>
    <w:rPr>
      <w:rFonts w:ascii="宋体" w:hAnsi="宋体" w:cs="Times New Roman"/>
      <w:szCs w:val="21"/>
    </w:r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Body Text"/>
    <w:basedOn w:val="670"/>
    <w:next w:val="686"/>
    <w:uiPriority w:val="99"/>
    <w:unhideWhenUsed/>
    <w:qFormat/>
    <w:pPr>
      <w:ind w:left="117"/>
      <w:jc w:val="left"/>
      <w:spacing w:before="86" w:after="160" w:line="278" w:lineRule="auto"/>
    </w:pPr>
    <w:rPr>
      <w:rFonts w:ascii="宋体" w:hAnsi="宋体"/>
      <w:sz w:val="24"/>
    </w:rPr>
  </w:style>
  <w:style w:type="paragraph" w:styleId="686">
    <w:name w:val="Subtitle"/>
    <w:basedOn w:val="670"/>
    <w:next w:val="670"/>
    <w:link w:val="768"/>
    <w:uiPriority w:val="11"/>
    <w:qFormat/>
    <w:pPr>
      <w:spacing w:before="200" w:after="200"/>
    </w:pPr>
    <w:rPr>
      <w:sz w:val="24"/>
      <w:szCs w:val="24"/>
    </w:rPr>
  </w:style>
  <w:style w:type="paragraph" w:styleId="687">
    <w:name w:val="toc 5"/>
    <w:basedOn w:val="670"/>
    <w:next w:val="670"/>
    <w:uiPriority w:val="39"/>
    <w:unhideWhenUsed/>
    <w:qFormat/>
    <w:pPr>
      <w:ind w:left="1134"/>
      <w:spacing w:after="57"/>
    </w:pPr>
  </w:style>
  <w:style w:type="paragraph" w:styleId="688">
    <w:name w:val="toc 3"/>
    <w:basedOn w:val="670"/>
    <w:next w:val="670"/>
    <w:uiPriority w:val="39"/>
    <w:unhideWhenUsed/>
    <w:qFormat/>
    <w:pPr>
      <w:ind w:left="567"/>
      <w:spacing w:after="57"/>
    </w:pPr>
  </w:style>
  <w:style w:type="paragraph" w:styleId="689">
    <w:name w:val="toc 8"/>
    <w:basedOn w:val="670"/>
    <w:next w:val="670"/>
    <w:uiPriority w:val="39"/>
    <w:unhideWhenUsed/>
    <w:qFormat/>
    <w:pPr>
      <w:ind w:left="1984"/>
      <w:spacing w:after="57"/>
    </w:pPr>
  </w:style>
  <w:style w:type="paragraph" w:styleId="690">
    <w:name w:val="endnote text"/>
    <w:basedOn w:val="670"/>
    <w:link w:val="774"/>
    <w:uiPriority w:val="99"/>
    <w:semiHidden/>
    <w:unhideWhenUsed/>
    <w:qFormat/>
    <w:rPr>
      <w:sz w:val="20"/>
    </w:rPr>
  </w:style>
  <w:style w:type="paragraph" w:styleId="691">
    <w:name w:val="Balloon Text"/>
    <w:basedOn w:val="670"/>
    <w:link w:val="1115"/>
    <w:uiPriority w:val="99"/>
    <w:semiHidden/>
    <w:unhideWhenUsed/>
    <w:qFormat/>
    <w:rPr>
      <w:sz w:val="18"/>
      <w:szCs w:val="18"/>
    </w:rPr>
  </w:style>
  <w:style w:type="paragraph" w:styleId="692">
    <w:name w:val="Footer"/>
    <w:basedOn w:val="670"/>
    <w:link w:val="827"/>
    <w:uiPriority w:val="99"/>
    <w:unhideWhenUsed/>
    <w:qFormat/>
    <w:pPr>
      <w:jc w:val="center"/>
      <w:tabs>
        <w:tab w:val="center" w:pos="7143" w:leader="none"/>
        <w:tab w:val="right" w:pos="14287" w:leader="none"/>
      </w:tabs>
    </w:pPr>
  </w:style>
  <w:style w:type="paragraph" w:styleId="693">
    <w:name w:val="Header"/>
    <w:basedOn w:val="670"/>
    <w:uiPriority w:val="99"/>
    <w:unhideWhenUsed/>
    <w:qFormat/>
    <w:pPr>
      <w:tabs>
        <w:tab w:val="center" w:pos="7143" w:leader="none"/>
        <w:tab w:val="right" w:pos="14287" w:leader="none"/>
      </w:tabs>
    </w:pPr>
  </w:style>
  <w:style w:type="paragraph" w:styleId="694">
    <w:name w:val="toc 1"/>
    <w:basedOn w:val="670"/>
    <w:next w:val="670"/>
    <w:uiPriority w:val="39"/>
    <w:unhideWhenUsed/>
    <w:qFormat/>
    <w:pPr>
      <w:spacing w:after="57"/>
    </w:pPr>
  </w:style>
  <w:style w:type="paragraph" w:styleId="695">
    <w:name w:val="toc 4"/>
    <w:basedOn w:val="670"/>
    <w:next w:val="670"/>
    <w:uiPriority w:val="39"/>
    <w:unhideWhenUsed/>
    <w:qFormat/>
    <w:pPr>
      <w:ind w:left="850"/>
      <w:spacing w:after="57"/>
    </w:pPr>
  </w:style>
  <w:style w:type="paragraph" w:styleId="696">
    <w:name w:val="footnote text"/>
    <w:basedOn w:val="670"/>
    <w:link w:val="773"/>
    <w:uiPriority w:val="99"/>
    <w:semiHidden/>
    <w:unhideWhenUsed/>
    <w:qFormat/>
    <w:pPr>
      <w:spacing w:after="40"/>
    </w:pPr>
    <w:rPr>
      <w:sz w:val="18"/>
    </w:rPr>
  </w:style>
  <w:style w:type="paragraph" w:styleId="697">
    <w:name w:val="toc 6"/>
    <w:basedOn w:val="670"/>
    <w:next w:val="670"/>
    <w:uiPriority w:val="39"/>
    <w:unhideWhenUsed/>
    <w:qFormat/>
    <w:pPr>
      <w:ind w:left="1417"/>
      <w:spacing w:after="57"/>
    </w:pPr>
  </w:style>
  <w:style w:type="paragraph" w:styleId="698">
    <w:name w:val="table of figures"/>
    <w:basedOn w:val="670"/>
    <w:next w:val="670"/>
    <w:uiPriority w:val="99"/>
    <w:unhideWhenUsed/>
    <w:qFormat/>
  </w:style>
  <w:style w:type="paragraph" w:styleId="699">
    <w:name w:val="toc 2"/>
    <w:basedOn w:val="670"/>
    <w:next w:val="670"/>
    <w:uiPriority w:val="39"/>
    <w:unhideWhenUsed/>
    <w:qFormat/>
    <w:pPr>
      <w:ind w:left="283"/>
      <w:spacing w:after="57"/>
    </w:pPr>
  </w:style>
  <w:style w:type="paragraph" w:styleId="700">
    <w:name w:val="toc 9"/>
    <w:basedOn w:val="670"/>
    <w:next w:val="670"/>
    <w:uiPriority w:val="39"/>
    <w:unhideWhenUsed/>
    <w:qFormat/>
    <w:pPr>
      <w:ind w:left="2268"/>
      <w:spacing w:after="57"/>
    </w:pPr>
  </w:style>
  <w:style w:type="paragraph" w:styleId="701">
    <w:name w:val="Normal (Web)"/>
    <w:basedOn w:val="670"/>
    <w:uiPriority w:val="99"/>
    <w:qFormat/>
    <w:pPr>
      <w:jc w:val="left"/>
      <w:spacing w:before="100" w:beforeAutospacing="1" w:after="100" w:afterAutospacing="1"/>
      <w:widowControl/>
    </w:pPr>
    <w:rPr>
      <w:rFonts w:ascii="宋体" w:hAnsi="宋体" w:eastAsia="宋体" w:cs="宋体"/>
      <w:sz w:val="24"/>
      <w:szCs w:val="24"/>
    </w:rPr>
  </w:style>
  <w:style w:type="paragraph" w:styleId="702">
    <w:name w:val="Title"/>
    <w:basedOn w:val="670"/>
    <w:next w:val="670"/>
    <w:link w:val="767"/>
    <w:uiPriority w:val="10"/>
    <w:qFormat/>
    <w:pPr>
      <w:contextualSpacing/>
      <w:spacing w:before="300" w:after="200"/>
    </w:pPr>
    <w:rPr>
      <w:sz w:val="48"/>
      <w:szCs w:val="48"/>
    </w:rPr>
  </w:style>
  <w:style w:type="table" w:styleId="7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4">
    <w:name w:val="endnote reference"/>
    <w:uiPriority w:val="99"/>
    <w:semiHidden/>
    <w:unhideWhenUsed/>
    <w:qFormat/>
    <w:rPr>
      <w:vertAlign w:val="superscript"/>
    </w:rPr>
  </w:style>
  <w:style w:type="character" w:styleId="705">
    <w:name w:val="Emphasis"/>
    <w:uiPriority w:val="0"/>
    <w:qFormat/>
    <w:rPr>
      <w:i/>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footnote reference"/>
    <w:uiPriority w:val="99"/>
    <w:unhideWhenUsed/>
    <w:qFormat/>
    <w:rPr>
      <w:vertAlign w:val="superscript"/>
    </w:rPr>
  </w:style>
  <w:style w:type="table" w:styleId="708"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8"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9"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0"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2"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5"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6"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7" w:customStyle="1">
    <w:name w:val="TOC Heading"/>
    <w:uiPriority w:val="39"/>
    <w:unhideWhenUsed/>
    <w:qFormat/>
    <w:rPr>
      <w:rFonts w:hint="default" w:ascii="Times New Roman" w:hAnsi="Times New Roman" w:eastAsia="宋体" w:cs="Times New Roman"/>
    </w:rPr>
  </w:style>
  <w:style w:type="paragraph" w:styleId="728" w:customStyle="1">
    <w:name w:val="首行缩进"/>
    <w:basedOn w:val="670"/>
    <w:uiPriority w:val="0"/>
    <w:qFormat/>
    <w:pPr>
      <w:ind w:firstLine="200"/>
    </w:pPr>
    <w:rPr>
      <w:szCs w:val="20"/>
      <w:lang w:val="zh-CN"/>
    </w:rPr>
  </w:style>
  <w:style w:type="character" w:styleId="729" w:customStyle="1">
    <w:name w:val="Heading 1 Char"/>
    <w:basedOn w:val="680"/>
    <w:uiPriority w:val="9"/>
    <w:qFormat/>
    <w:rPr>
      <w:rFonts w:ascii="Arial" w:hAnsi="Arial" w:eastAsia="Arial" w:cs="Arial"/>
      <w:sz w:val="40"/>
      <w:szCs w:val="40"/>
    </w:rPr>
  </w:style>
  <w:style w:type="character" w:styleId="730" w:customStyle="1">
    <w:name w:val="Heading 2 Char"/>
    <w:basedOn w:val="680"/>
    <w:uiPriority w:val="9"/>
    <w:qFormat/>
    <w:rPr>
      <w:rFonts w:ascii="Arial" w:hAnsi="Arial" w:eastAsia="Arial" w:cs="Arial"/>
      <w:sz w:val="34"/>
    </w:rPr>
  </w:style>
  <w:style w:type="character" w:styleId="731" w:customStyle="1">
    <w:name w:val="Heading 3 Char"/>
    <w:basedOn w:val="680"/>
    <w:uiPriority w:val="9"/>
    <w:qFormat/>
    <w:rPr>
      <w:rFonts w:ascii="Arial" w:hAnsi="Arial" w:eastAsia="Arial" w:cs="Arial"/>
      <w:sz w:val="30"/>
      <w:szCs w:val="30"/>
    </w:rPr>
  </w:style>
  <w:style w:type="character" w:styleId="732" w:customStyle="1">
    <w:name w:val="Heading 4 Char"/>
    <w:basedOn w:val="680"/>
    <w:uiPriority w:val="9"/>
    <w:qFormat/>
    <w:rPr>
      <w:rFonts w:ascii="Arial" w:hAnsi="Arial" w:eastAsia="Arial" w:cs="Arial"/>
      <w:b/>
      <w:bCs/>
      <w:sz w:val="26"/>
      <w:szCs w:val="26"/>
    </w:rPr>
  </w:style>
  <w:style w:type="character" w:styleId="733" w:customStyle="1">
    <w:name w:val="Heading 5 Char"/>
    <w:basedOn w:val="680"/>
    <w:uiPriority w:val="9"/>
    <w:qFormat/>
    <w:rPr>
      <w:rFonts w:ascii="Arial" w:hAnsi="Arial" w:eastAsia="Arial" w:cs="Arial"/>
      <w:b/>
      <w:bCs/>
      <w:sz w:val="24"/>
      <w:szCs w:val="24"/>
    </w:rPr>
  </w:style>
  <w:style w:type="character" w:styleId="734" w:customStyle="1">
    <w:name w:val="Heading 6 Char"/>
    <w:basedOn w:val="680"/>
    <w:uiPriority w:val="9"/>
    <w:qFormat/>
    <w:rPr>
      <w:rFonts w:ascii="Arial" w:hAnsi="Arial" w:eastAsia="Arial" w:cs="Arial"/>
      <w:b/>
      <w:bCs/>
      <w:sz w:val="22"/>
      <w:szCs w:val="22"/>
    </w:rPr>
  </w:style>
  <w:style w:type="character" w:styleId="735" w:customStyle="1">
    <w:name w:val="Heading 7 Char"/>
    <w:basedOn w:val="680"/>
    <w:uiPriority w:val="9"/>
    <w:qFormat/>
    <w:rPr>
      <w:rFonts w:ascii="Arial" w:hAnsi="Arial" w:eastAsia="Arial" w:cs="Arial"/>
      <w:b/>
      <w:bCs/>
      <w:i/>
      <w:iCs/>
      <w:sz w:val="22"/>
      <w:szCs w:val="22"/>
    </w:rPr>
  </w:style>
  <w:style w:type="character" w:styleId="736" w:customStyle="1">
    <w:name w:val="Heading 8 Char"/>
    <w:basedOn w:val="680"/>
    <w:uiPriority w:val="9"/>
    <w:qFormat/>
    <w:rPr>
      <w:rFonts w:ascii="Arial" w:hAnsi="Arial" w:eastAsia="Arial" w:cs="Arial"/>
      <w:i/>
      <w:iCs/>
      <w:sz w:val="22"/>
      <w:szCs w:val="22"/>
    </w:rPr>
  </w:style>
  <w:style w:type="character" w:styleId="737" w:customStyle="1">
    <w:name w:val="Heading 9 Char"/>
    <w:basedOn w:val="680"/>
    <w:uiPriority w:val="9"/>
    <w:qFormat/>
    <w:rPr>
      <w:rFonts w:ascii="Arial" w:hAnsi="Arial" w:eastAsia="Arial" w:cs="Arial"/>
      <w:i/>
      <w:iCs/>
      <w:sz w:val="21"/>
      <w:szCs w:val="21"/>
    </w:rPr>
  </w:style>
  <w:style w:type="character" w:styleId="738" w:customStyle="1">
    <w:name w:val="Title Char"/>
    <w:basedOn w:val="680"/>
    <w:uiPriority w:val="10"/>
    <w:qFormat/>
    <w:rPr>
      <w:sz w:val="48"/>
      <w:szCs w:val="48"/>
    </w:rPr>
  </w:style>
  <w:style w:type="character" w:styleId="739" w:customStyle="1">
    <w:name w:val="Subtitle Char"/>
    <w:basedOn w:val="680"/>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Caption Char"/>
    <w:uiPriority w:val="99"/>
    <w:qFormat/>
  </w:style>
  <w:style w:type="table" w:styleId="743" w:customStyle="1">
    <w:name w:val="无格式表格 11"/>
    <w:basedOn w:val="681"/>
    <w:uiPriority w:val="59"/>
    <w:qFormat/>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无格式表格 21"/>
    <w:basedOn w:val="681"/>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3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无格式表格 4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无格式表格 5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网格表 1 浅色1"/>
    <w:basedOn w:val="68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网格表 2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网格表 3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网格表 41"/>
    <w:basedOn w:val="681"/>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网格表 5 深色1"/>
    <w:basedOn w:val="681"/>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网格表 6 彩色1"/>
    <w:basedOn w:val="68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4" w:customStyle="1">
    <w:name w:val="网格表 7 彩色1"/>
    <w:basedOn w:val="68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清单表 1 浅色1"/>
    <w:basedOn w:val="68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customStyle="1">
    <w:name w:val="清单表 2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清单表 31"/>
    <w:basedOn w:val="681"/>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清单表 41"/>
    <w:basedOn w:val="681"/>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5 深色1"/>
    <w:basedOn w:val="681"/>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0" w:customStyle="1">
    <w:name w:val="清单表 6 彩色1"/>
    <w:basedOn w:val="681"/>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1" w:customStyle="1">
    <w:name w:val="清单表 7 彩色1"/>
    <w:basedOn w:val="681"/>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qFormat/>
    <w:rPr>
      <w:sz w:val="18"/>
    </w:rPr>
  </w:style>
  <w:style w:type="character" w:styleId="763" w:customStyle="1">
    <w:name w:val="Endnote Text Char"/>
    <w:uiPriority w:val="99"/>
    <w:qFormat/>
    <w:rPr>
      <w:sz w:val="20"/>
    </w:rPr>
  </w:style>
  <w:style w:type="paragraph" w:styleId="764" w:customStyle="1">
    <w:name w:val="TOC 标题1"/>
    <w:uiPriority w:val="39"/>
    <w:unhideWhenUsed/>
    <w:qFormat/>
    <w:rPr>
      <w:rFonts w:hint="default" w:ascii="Times New Roman" w:hAnsi="Times New Roman" w:eastAsia="宋体" w:cs="Times New Roman"/>
      <w:lang w:val="en-US" w:eastAsia="zh-CN" w:bidi="ar-SA"/>
    </w:rPr>
  </w:style>
  <w:style w:type="paragraph" w:styleId="765">
    <w:name w:val="List Paragraph"/>
    <w:basedOn w:val="670"/>
    <w:uiPriority w:val="34"/>
    <w:qFormat/>
    <w:pPr>
      <w:contextualSpacing/>
      <w:ind w:left="720"/>
    </w:pPr>
  </w:style>
  <w:style w:type="paragraph" w:styleId="766">
    <w:name w:val="No Spacing"/>
    <w:uiPriority w:val="1"/>
    <w:qFormat/>
    <w:rPr>
      <w:rFonts w:hint="default" w:ascii="Times New Roman" w:hAnsi="Times New Roman" w:eastAsia="宋体" w:cs="Times New Roman"/>
      <w:lang w:val="en-US" w:eastAsia="zh-CN" w:bidi="ar-SA"/>
    </w:rPr>
  </w:style>
  <w:style w:type="character" w:styleId="767" w:customStyle="1">
    <w:name w:val="标题 字符1"/>
    <w:link w:val="702"/>
    <w:uiPriority w:val="10"/>
    <w:qFormat/>
    <w:rPr>
      <w:sz w:val="48"/>
      <w:szCs w:val="48"/>
    </w:rPr>
  </w:style>
  <w:style w:type="character" w:styleId="768" w:customStyle="1">
    <w:name w:val="副标题 字符1"/>
    <w:link w:val="686"/>
    <w:uiPriority w:val="11"/>
    <w:qFormat/>
    <w:rPr>
      <w:sz w:val="24"/>
      <w:szCs w:val="24"/>
    </w:rPr>
  </w:style>
  <w:style w:type="paragraph" w:styleId="769">
    <w:name w:val="Quote"/>
    <w:basedOn w:val="670"/>
    <w:next w:val="670"/>
    <w:link w:val="770"/>
    <w:uiPriority w:val="29"/>
    <w:qFormat/>
    <w:pPr>
      <w:ind w:left="720" w:right="720"/>
    </w:pPr>
    <w:rPr>
      <w:i/>
    </w:rPr>
  </w:style>
  <w:style w:type="character" w:styleId="770" w:customStyle="1">
    <w:name w:val="引用 字符1"/>
    <w:link w:val="769"/>
    <w:uiPriority w:val="29"/>
    <w:qFormat/>
    <w:rPr>
      <w:i/>
    </w:rPr>
  </w:style>
  <w:style w:type="paragraph" w:styleId="771">
    <w:name w:val="Intense Quote"/>
    <w:basedOn w:val="670"/>
    <w:next w:val="670"/>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字符1"/>
    <w:link w:val="771"/>
    <w:uiPriority w:val="30"/>
    <w:qFormat/>
    <w:rPr>
      <w:i/>
    </w:rPr>
  </w:style>
  <w:style w:type="character" w:styleId="773" w:customStyle="1">
    <w:name w:val="脚注文本 字符1"/>
    <w:link w:val="696"/>
    <w:uiPriority w:val="99"/>
    <w:qFormat/>
    <w:rPr>
      <w:sz w:val="18"/>
    </w:rPr>
  </w:style>
  <w:style w:type="character" w:styleId="774" w:customStyle="1">
    <w:name w:val="尾注文本 字符1"/>
    <w:link w:val="690"/>
    <w:uiPriority w:val="99"/>
    <w:qFormat/>
    <w:rPr>
      <w:sz w:val="20"/>
    </w:rPr>
  </w:style>
  <w:style w:type="paragraph" w:styleId="775" w:customStyle="1">
    <w:name w:val="TOC 标题11"/>
    <w:uiPriority w:val="39"/>
    <w:unhideWhenUsed/>
    <w:qFormat/>
    <w:rPr>
      <w:rFonts w:hint="default" w:ascii="Times New Roman" w:hAnsi="Times New Roman" w:eastAsia="宋体" w:cs="Times New Roman"/>
      <w:lang w:val="en-US" w:eastAsia="zh-CN" w:bidi="ar-SA"/>
    </w:rPr>
  </w:style>
  <w:style w:type="character" w:styleId="776" w:customStyle="1">
    <w:name w:val="默认段落字体11"/>
    <w:uiPriority w:val="1"/>
    <w:unhideWhenUsed/>
    <w:qFormat/>
  </w:style>
  <w:style w:type="table" w:styleId="777" w:customStyle="1">
    <w:name w:val="普通表格11"/>
    <w:uiPriority w:val="99"/>
    <w:unhideWhenUsed/>
    <w:qFormat/>
    <w:tblPr>
      <w:tblCellMar>
        <w:left w:w="0" w:type="dxa"/>
        <w:top w:w="0" w:type="dxa"/>
        <w:right w:w="0" w:type="dxa"/>
        <w:bottom w:w="0" w:type="dxa"/>
      </w:tblCellMar>
    </w:tblPr>
  </w:style>
  <w:style w:type="paragraph" w:styleId="778" w:customStyle="1">
    <w:name w:val="目录 711"/>
    <w:basedOn w:val="670"/>
    <w:next w:val="670"/>
    <w:uiPriority w:val="39"/>
    <w:unhideWhenUsed/>
    <w:qFormat/>
    <w:pPr>
      <w:ind w:left="1701"/>
      <w:spacing w:after="57"/>
    </w:pPr>
  </w:style>
  <w:style w:type="paragraph" w:styleId="779" w:customStyle="1">
    <w:name w:val="批注文字11"/>
    <w:basedOn w:val="670"/>
    <w:uiPriority w:val="0"/>
    <w:qFormat/>
    <w:pPr>
      <w:jc w:val="left"/>
    </w:pPr>
  </w:style>
  <w:style w:type="paragraph" w:styleId="780" w:customStyle="1">
    <w:name w:val="正文文本11"/>
    <w:basedOn w:val="670"/>
    <w:next w:val="670"/>
    <w:uiPriority w:val="0"/>
    <w:qFormat/>
    <w:rPr>
      <w:rFonts w:ascii="楷体_GB2312" w:hAnsi="Arial" w:eastAsia="楷体_GB2312"/>
      <w:sz w:val="28"/>
      <w:szCs w:val="28"/>
    </w:rPr>
  </w:style>
  <w:style w:type="paragraph" w:styleId="781" w:customStyle="1">
    <w:name w:val="目录 511"/>
    <w:basedOn w:val="670"/>
    <w:next w:val="670"/>
    <w:uiPriority w:val="39"/>
    <w:unhideWhenUsed/>
    <w:qFormat/>
    <w:pPr>
      <w:ind w:left="1134"/>
      <w:spacing w:after="57"/>
    </w:pPr>
  </w:style>
  <w:style w:type="paragraph" w:styleId="782" w:customStyle="1">
    <w:name w:val="目录 311"/>
    <w:basedOn w:val="670"/>
    <w:next w:val="670"/>
    <w:uiPriority w:val="39"/>
    <w:unhideWhenUsed/>
    <w:qFormat/>
    <w:pPr>
      <w:ind w:left="567"/>
      <w:spacing w:after="57"/>
    </w:pPr>
  </w:style>
  <w:style w:type="paragraph" w:styleId="783" w:customStyle="1">
    <w:name w:val="目录 811"/>
    <w:basedOn w:val="670"/>
    <w:next w:val="670"/>
    <w:uiPriority w:val="39"/>
    <w:unhideWhenUsed/>
    <w:qFormat/>
    <w:pPr>
      <w:ind w:left="1984"/>
      <w:spacing w:after="57"/>
    </w:pPr>
  </w:style>
  <w:style w:type="paragraph" w:styleId="784" w:customStyle="1">
    <w:name w:val="日期11"/>
    <w:basedOn w:val="670"/>
    <w:next w:val="670"/>
    <w:link w:val="785"/>
    <w:uiPriority w:val="99"/>
    <w:unhideWhenUsed/>
    <w:qFormat/>
    <w:pPr>
      <w:ind w:left="100"/>
    </w:pPr>
  </w:style>
  <w:style w:type="character" w:styleId="785" w:customStyle="1">
    <w:name w:val="日期 字符"/>
    <w:link w:val="784"/>
    <w:uiPriority w:val="99"/>
    <w:semiHidden/>
    <w:qFormat/>
    <w:rPr>
      <w:sz w:val="21"/>
      <w:szCs w:val="22"/>
    </w:rPr>
  </w:style>
  <w:style w:type="paragraph" w:styleId="786" w:customStyle="1">
    <w:name w:val="尾注文本1"/>
    <w:basedOn w:val="670"/>
    <w:link w:val="787"/>
    <w:uiPriority w:val="99"/>
    <w:unhideWhenUsed/>
    <w:qFormat/>
    <w:rPr>
      <w:sz w:val="20"/>
    </w:rPr>
  </w:style>
  <w:style w:type="character" w:styleId="787" w:customStyle="1">
    <w:name w:val="尾注文本 字符"/>
    <w:link w:val="786"/>
    <w:uiPriority w:val="99"/>
    <w:qFormat/>
    <w:rPr>
      <w:sz w:val="20"/>
    </w:rPr>
  </w:style>
  <w:style w:type="paragraph" w:styleId="788" w:customStyle="1">
    <w:name w:val="批注框文本11"/>
    <w:basedOn w:val="670"/>
    <w:link w:val="789"/>
    <w:uiPriority w:val="99"/>
    <w:unhideWhenUsed/>
    <w:qFormat/>
    <w:rPr>
      <w:sz w:val="18"/>
      <w:szCs w:val="18"/>
    </w:rPr>
  </w:style>
  <w:style w:type="character" w:styleId="789" w:customStyle="1">
    <w:name w:val="批注框文本 字符"/>
    <w:link w:val="788"/>
    <w:uiPriority w:val="99"/>
    <w:semiHidden/>
    <w:qFormat/>
    <w:rPr>
      <w:sz w:val="18"/>
      <w:szCs w:val="18"/>
    </w:rPr>
  </w:style>
  <w:style w:type="paragraph" w:styleId="790" w:customStyle="1">
    <w:name w:val="页脚11"/>
    <w:basedOn w:val="670"/>
    <w:uiPriority w:val="99"/>
    <w:unhideWhenUsed/>
    <w:qFormat/>
    <w:pPr>
      <w:jc w:val="left"/>
      <w:tabs>
        <w:tab w:val="center" w:pos="4153" w:leader="none"/>
        <w:tab w:val="right" w:pos="8306" w:leader="none"/>
      </w:tabs>
    </w:pPr>
    <w:rPr>
      <w:sz w:val="18"/>
    </w:rPr>
  </w:style>
  <w:style w:type="paragraph" w:styleId="791" w:customStyle="1">
    <w:name w:val="页眉11"/>
    <w:basedOn w:val="670"/>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92" w:customStyle="1">
    <w:name w:val="目录 111"/>
    <w:basedOn w:val="670"/>
    <w:next w:val="670"/>
    <w:uiPriority w:val="39"/>
    <w:unhideWhenUsed/>
    <w:qFormat/>
    <w:pPr>
      <w:spacing w:after="57"/>
    </w:pPr>
  </w:style>
  <w:style w:type="paragraph" w:styleId="793" w:customStyle="1">
    <w:name w:val="目录 411"/>
    <w:basedOn w:val="670"/>
    <w:next w:val="670"/>
    <w:uiPriority w:val="39"/>
    <w:unhideWhenUsed/>
    <w:qFormat/>
    <w:pPr>
      <w:ind w:left="850"/>
      <w:spacing w:after="57"/>
    </w:pPr>
  </w:style>
  <w:style w:type="paragraph" w:styleId="794" w:customStyle="1">
    <w:name w:val="副标题1"/>
    <w:basedOn w:val="670"/>
    <w:next w:val="670"/>
    <w:link w:val="795"/>
    <w:uiPriority w:val="11"/>
    <w:qFormat/>
    <w:pPr>
      <w:spacing w:before="200" w:after="200"/>
    </w:pPr>
    <w:rPr>
      <w:sz w:val="24"/>
      <w:szCs w:val="24"/>
    </w:rPr>
  </w:style>
  <w:style w:type="character" w:styleId="795" w:customStyle="1">
    <w:name w:val="副标题 字符"/>
    <w:link w:val="794"/>
    <w:uiPriority w:val="11"/>
    <w:qFormat/>
    <w:rPr>
      <w:sz w:val="24"/>
      <w:szCs w:val="24"/>
    </w:rPr>
  </w:style>
  <w:style w:type="paragraph" w:styleId="796" w:customStyle="1">
    <w:name w:val="脚注文本11"/>
    <w:basedOn w:val="670"/>
    <w:link w:val="797"/>
    <w:uiPriority w:val="99"/>
    <w:unhideWhenUsed/>
    <w:qFormat/>
    <w:pPr>
      <w:spacing w:after="40"/>
    </w:pPr>
    <w:rPr>
      <w:sz w:val="18"/>
    </w:rPr>
  </w:style>
  <w:style w:type="character" w:styleId="797" w:customStyle="1">
    <w:name w:val="脚注文本 字符"/>
    <w:link w:val="796"/>
    <w:uiPriority w:val="99"/>
    <w:qFormat/>
    <w:rPr>
      <w:sz w:val="18"/>
    </w:rPr>
  </w:style>
  <w:style w:type="paragraph" w:styleId="798" w:customStyle="1">
    <w:name w:val="目录 611"/>
    <w:basedOn w:val="670"/>
    <w:next w:val="670"/>
    <w:uiPriority w:val="39"/>
    <w:unhideWhenUsed/>
    <w:qFormat/>
    <w:pPr>
      <w:ind w:left="1417"/>
      <w:spacing w:after="57"/>
    </w:pPr>
  </w:style>
  <w:style w:type="paragraph" w:styleId="799" w:customStyle="1">
    <w:name w:val="图表目录1"/>
    <w:basedOn w:val="670"/>
    <w:next w:val="670"/>
    <w:uiPriority w:val="99"/>
    <w:unhideWhenUsed/>
    <w:qFormat/>
  </w:style>
  <w:style w:type="paragraph" w:styleId="800" w:customStyle="1">
    <w:name w:val="目录 211"/>
    <w:basedOn w:val="670"/>
    <w:next w:val="670"/>
    <w:uiPriority w:val="39"/>
    <w:unhideWhenUsed/>
    <w:qFormat/>
    <w:pPr>
      <w:ind w:left="283"/>
      <w:spacing w:after="57"/>
    </w:pPr>
  </w:style>
  <w:style w:type="paragraph" w:styleId="801" w:customStyle="1">
    <w:name w:val="目录 911"/>
    <w:basedOn w:val="670"/>
    <w:next w:val="670"/>
    <w:uiPriority w:val="39"/>
    <w:unhideWhenUsed/>
    <w:qFormat/>
    <w:pPr>
      <w:ind w:left="2268"/>
      <w:spacing w:after="57"/>
    </w:pPr>
  </w:style>
  <w:style w:type="paragraph" w:styleId="802" w:customStyle="1">
    <w:name w:val="标题1"/>
    <w:basedOn w:val="670"/>
    <w:next w:val="670"/>
    <w:link w:val="803"/>
    <w:uiPriority w:val="10"/>
    <w:qFormat/>
    <w:pPr>
      <w:contextualSpacing/>
      <w:spacing w:before="300" w:after="200"/>
    </w:pPr>
    <w:rPr>
      <w:sz w:val="48"/>
      <w:szCs w:val="48"/>
    </w:rPr>
  </w:style>
  <w:style w:type="character" w:styleId="803" w:customStyle="1">
    <w:name w:val="标题 字符"/>
    <w:link w:val="802"/>
    <w:uiPriority w:val="10"/>
    <w:qFormat/>
    <w:rPr>
      <w:sz w:val="48"/>
      <w:szCs w:val="48"/>
    </w:rPr>
  </w:style>
  <w:style w:type="table" w:styleId="804" w:customStyle="1">
    <w:name w:val="网格型11"/>
    <w:uiPriority w:val="59"/>
    <w:qFormat/>
    <w:tblPr>
      <w:tblCellMar>
        <w:left w:w="0" w:type="dxa"/>
        <w:top w:w="0" w:type="dxa"/>
        <w:right w:w="0" w:type="dxa"/>
        <w:bottom w:w="0" w:type="dxa"/>
      </w:tblCellMar>
    </w:tblPr>
  </w:style>
  <w:style w:type="character" w:styleId="805" w:customStyle="1">
    <w:name w:val="尾注引用1"/>
    <w:uiPriority w:val="99"/>
    <w:unhideWhenUsed/>
    <w:qFormat/>
    <w:rPr>
      <w:vertAlign w:val="superscript"/>
    </w:rPr>
  </w:style>
  <w:style w:type="character" w:styleId="806" w:customStyle="1">
    <w:name w:val="超链接11"/>
    <w:uiPriority w:val="99"/>
    <w:unhideWhenUsed/>
    <w:qFormat/>
    <w:rPr>
      <w:color w:val="0000ff"/>
      <w:u w:val="single"/>
    </w:rPr>
  </w:style>
  <w:style w:type="character" w:styleId="807" w:customStyle="1">
    <w:name w:val="脚注引用11"/>
    <w:uiPriority w:val="99"/>
    <w:unhideWhenUsed/>
    <w:qFormat/>
    <w:rPr>
      <w:vertAlign w:val="superscript"/>
    </w:rPr>
  </w:style>
  <w:style w:type="character" w:styleId="808" w:customStyle="1">
    <w:name w:val="标题 1 字符"/>
    <w:link w:val="671"/>
    <w:uiPriority w:val="9"/>
    <w:qFormat/>
    <w:rPr>
      <w:rFonts w:ascii="Arial" w:hAnsi="Arial" w:eastAsia="Arial" w:cs="Arial"/>
      <w:sz w:val="40"/>
      <w:szCs w:val="40"/>
    </w:rPr>
  </w:style>
  <w:style w:type="character" w:styleId="809" w:customStyle="1">
    <w:name w:val="标题 2 字符"/>
    <w:link w:val="672"/>
    <w:uiPriority w:val="9"/>
    <w:qFormat/>
    <w:rPr>
      <w:rFonts w:ascii="Arial" w:hAnsi="Arial" w:eastAsia="Arial" w:cs="Arial"/>
      <w:sz w:val="34"/>
    </w:rPr>
  </w:style>
  <w:style w:type="character" w:styleId="810" w:customStyle="1">
    <w:name w:val="标题 3 字符"/>
    <w:link w:val="673"/>
    <w:uiPriority w:val="9"/>
    <w:qFormat/>
    <w:rPr>
      <w:rFonts w:ascii="Arial" w:hAnsi="Arial" w:eastAsia="Arial" w:cs="Arial"/>
      <w:sz w:val="30"/>
      <w:szCs w:val="30"/>
    </w:rPr>
  </w:style>
  <w:style w:type="character" w:styleId="811" w:customStyle="1">
    <w:name w:val="标题 4 字符"/>
    <w:link w:val="674"/>
    <w:uiPriority w:val="9"/>
    <w:qFormat/>
    <w:rPr>
      <w:rFonts w:ascii="Arial" w:hAnsi="Arial" w:eastAsia="Arial" w:cs="Arial"/>
      <w:b/>
      <w:bCs/>
      <w:sz w:val="26"/>
      <w:szCs w:val="26"/>
    </w:rPr>
  </w:style>
  <w:style w:type="character" w:styleId="812" w:customStyle="1">
    <w:name w:val="标题 5 字符"/>
    <w:link w:val="675"/>
    <w:uiPriority w:val="9"/>
    <w:qFormat/>
    <w:rPr>
      <w:rFonts w:ascii="Arial" w:hAnsi="Arial" w:eastAsia="Arial" w:cs="Arial"/>
      <w:b/>
      <w:bCs/>
      <w:sz w:val="24"/>
      <w:szCs w:val="24"/>
    </w:rPr>
  </w:style>
  <w:style w:type="character" w:styleId="813" w:customStyle="1">
    <w:name w:val="标题 6 字符"/>
    <w:link w:val="676"/>
    <w:uiPriority w:val="9"/>
    <w:qFormat/>
    <w:rPr>
      <w:rFonts w:ascii="Arial" w:hAnsi="Arial" w:eastAsia="Arial" w:cs="Arial"/>
      <w:b/>
      <w:bCs/>
      <w:sz w:val="22"/>
      <w:szCs w:val="22"/>
    </w:rPr>
  </w:style>
  <w:style w:type="character" w:styleId="814" w:customStyle="1">
    <w:name w:val="标题 7 字符"/>
    <w:link w:val="677"/>
    <w:uiPriority w:val="9"/>
    <w:qFormat/>
    <w:rPr>
      <w:rFonts w:ascii="Arial" w:hAnsi="Arial" w:eastAsia="Arial" w:cs="Arial"/>
      <w:b/>
      <w:bCs/>
      <w:i/>
      <w:iCs/>
      <w:sz w:val="22"/>
      <w:szCs w:val="22"/>
    </w:rPr>
  </w:style>
  <w:style w:type="character" w:styleId="815" w:customStyle="1">
    <w:name w:val="标题 8 字符"/>
    <w:link w:val="678"/>
    <w:uiPriority w:val="9"/>
    <w:qFormat/>
    <w:rPr>
      <w:rFonts w:ascii="Arial" w:hAnsi="Arial" w:eastAsia="Arial" w:cs="Arial"/>
      <w:i/>
      <w:iCs/>
      <w:sz w:val="22"/>
      <w:szCs w:val="22"/>
    </w:rPr>
  </w:style>
  <w:style w:type="character" w:styleId="816" w:customStyle="1">
    <w:name w:val="标题 9 字符"/>
    <w:link w:val="679"/>
    <w:uiPriority w:val="9"/>
    <w:qFormat/>
    <w:rPr>
      <w:rFonts w:ascii="Arial" w:hAnsi="Arial" w:eastAsia="Arial" w:cs="Arial"/>
      <w:i/>
      <w:iCs/>
      <w:sz w:val="21"/>
      <w:szCs w:val="21"/>
    </w:rPr>
  </w:style>
  <w:style w:type="paragraph" w:styleId="817" w:customStyle="1">
    <w:name w:val="列表段落1"/>
    <w:basedOn w:val="670"/>
    <w:uiPriority w:val="34"/>
    <w:qFormat/>
    <w:pPr>
      <w:contextualSpacing/>
      <w:ind w:left="720"/>
    </w:pPr>
  </w:style>
  <w:style w:type="paragraph" w:styleId="818" w:customStyle="1">
    <w:name w:val="无间隔1"/>
    <w:uiPriority w:val="1"/>
    <w:qFormat/>
    <w:rPr>
      <w:rFonts w:hint="default" w:ascii="Times New Roman" w:hAnsi="Times New Roman" w:eastAsia="宋体" w:cs="Times New Roman"/>
      <w:lang w:val="en-US" w:eastAsia="zh-CN" w:bidi="ar-SA"/>
    </w:rPr>
  </w:style>
  <w:style w:type="paragraph" w:styleId="819" w:customStyle="1">
    <w:name w:val="引用1"/>
    <w:basedOn w:val="670"/>
    <w:next w:val="670"/>
    <w:link w:val="820"/>
    <w:uiPriority w:val="29"/>
    <w:qFormat/>
    <w:pPr>
      <w:ind w:left="720" w:right="720"/>
    </w:pPr>
    <w:rPr>
      <w:i/>
    </w:rPr>
  </w:style>
  <w:style w:type="character" w:styleId="820" w:customStyle="1">
    <w:name w:val="引用 字符"/>
    <w:link w:val="819"/>
    <w:uiPriority w:val="29"/>
    <w:qFormat/>
    <w:rPr>
      <w:i/>
    </w:rPr>
  </w:style>
  <w:style w:type="paragraph" w:styleId="821" w:customStyle="1">
    <w:name w:val="明显引用1"/>
    <w:basedOn w:val="670"/>
    <w:next w:val="670"/>
    <w:link w:val="8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明显引用 字符"/>
    <w:link w:val="821"/>
    <w:uiPriority w:val="30"/>
    <w:qFormat/>
    <w:rPr>
      <w:i/>
    </w:rPr>
  </w:style>
  <w:style w:type="paragraph" w:styleId="823" w:customStyle="1">
    <w:name w:val="Header1"/>
    <w:basedOn w:val="670"/>
    <w:link w:val="824"/>
    <w:uiPriority w:val="99"/>
    <w:unhideWhenUsed/>
    <w:qFormat/>
    <w:pPr>
      <w:tabs>
        <w:tab w:val="center" w:pos="7143" w:leader="none"/>
        <w:tab w:val="right" w:pos="14287" w:leader="none"/>
      </w:tabs>
    </w:pPr>
  </w:style>
  <w:style w:type="character" w:styleId="824" w:customStyle="1">
    <w:name w:val="Header Char"/>
    <w:link w:val="823"/>
    <w:uiPriority w:val="99"/>
    <w:qFormat/>
  </w:style>
  <w:style w:type="paragraph" w:styleId="825" w:customStyle="1">
    <w:name w:val="Footer1"/>
    <w:basedOn w:val="670"/>
    <w:link w:val="826"/>
    <w:uiPriority w:val="99"/>
    <w:unhideWhenUsed/>
    <w:qFormat/>
    <w:pPr>
      <w:tabs>
        <w:tab w:val="center" w:pos="7143" w:leader="none"/>
        <w:tab w:val="right" w:pos="14287" w:leader="none"/>
      </w:tabs>
    </w:pPr>
  </w:style>
  <w:style w:type="character" w:styleId="826" w:customStyle="1">
    <w:name w:val="Footer Char"/>
    <w:link w:val="825"/>
    <w:uiPriority w:val="99"/>
    <w:qFormat/>
  </w:style>
  <w:style w:type="character" w:styleId="827" w:customStyle="1">
    <w:name w:val="页脚 字符"/>
    <w:link w:val="692"/>
    <w:uiPriority w:val="99"/>
    <w:qFormat/>
  </w:style>
  <w:style w:type="paragraph" w:styleId="828" w:customStyle="1">
    <w:name w:val="Caption1"/>
    <w:basedOn w:val="670"/>
    <w:next w:val="670"/>
    <w:uiPriority w:val="35"/>
    <w:unhideWhenUsed/>
    <w:qFormat/>
    <w:pPr>
      <w:spacing w:line="276" w:lineRule="auto"/>
    </w:pPr>
    <w:rPr>
      <w:b/>
      <w:bCs/>
      <w:color w:val="4f81bd"/>
      <w:sz w:val="18"/>
      <w:szCs w:val="18"/>
    </w:rPr>
  </w:style>
  <w:style w:type="table" w:styleId="829" w:customStyle="1">
    <w:name w:val="Table Grid Light"/>
    <w:uiPriority w:val="59"/>
    <w:qFormat/>
    <w:tblPr>
      <w:tblCellMar>
        <w:left w:w="0" w:type="dxa"/>
        <w:top w:w="0" w:type="dxa"/>
        <w:right w:w="0" w:type="dxa"/>
        <w:bottom w:w="0" w:type="dxa"/>
      </w:tblCellMar>
    </w:tblPr>
  </w:style>
  <w:style w:type="table" w:styleId="830" w:customStyle="1">
    <w:name w:val="Grid Table 1 Light - Accent 1"/>
    <w:uiPriority w:val="99"/>
    <w:qFormat/>
    <w:tblPr>
      <w:tblCellMar>
        <w:left w:w="0" w:type="dxa"/>
        <w:top w:w="0" w:type="dxa"/>
        <w:right w:w="0" w:type="dxa"/>
        <w:bottom w:w="0" w:type="dxa"/>
      </w:tblCellMar>
    </w:tblPr>
  </w:style>
  <w:style w:type="table" w:styleId="831" w:customStyle="1">
    <w:name w:val="Grid Table 1 Light - Accent 2"/>
    <w:uiPriority w:val="99"/>
    <w:qFormat/>
    <w:tblPr>
      <w:tblCellMar>
        <w:left w:w="0" w:type="dxa"/>
        <w:top w:w="0" w:type="dxa"/>
        <w:right w:w="0" w:type="dxa"/>
        <w:bottom w:w="0" w:type="dxa"/>
      </w:tblCellMar>
    </w:tblPr>
  </w:style>
  <w:style w:type="table" w:styleId="832" w:customStyle="1">
    <w:name w:val="Grid Table 1 Light - Accent 3"/>
    <w:uiPriority w:val="99"/>
    <w:qFormat/>
    <w:tblPr>
      <w:tblCellMar>
        <w:left w:w="0" w:type="dxa"/>
        <w:top w:w="0" w:type="dxa"/>
        <w:right w:w="0" w:type="dxa"/>
        <w:bottom w:w="0" w:type="dxa"/>
      </w:tblCellMar>
    </w:tblPr>
  </w:style>
  <w:style w:type="table" w:styleId="833" w:customStyle="1">
    <w:name w:val="Grid Table 1 Light - Accent 4"/>
    <w:uiPriority w:val="99"/>
    <w:qFormat/>
    <w:tblPr>
      <w:tblCellMar>
        <w:left w:w="0" w:type="dxa"/>
        <w:top w:w="0" w:type="dxa"/>
        <w:right w:w="0" w:type="dxa"/>
        <w:bottom w:w="0" w:type="dxa"/>
      </w:tblCellMar>
    </w:tblPr>
  </w:style>
  <w:style w:type="table" w:styleId="834" w:customStyle="1">
    <w:name w:val="Grid Table 1 Light - Accent 5"/>
    <w:uiPriority w:val="99"/>
    <w:qFormat/>
    <w:tblPr>
      <w:tblCellMar>
        <w:left w:w="0" w:type="dxa"/>
        <w:top w:w="0" w:type="dxa"/>
        <w:right w:w="0" w:type="dxa"/>
        <w:bottom w:w="0" w:type="dxa"/>
      </w:tblCellMar>
    </w:tblPr>
  </w:style>
  <w:style w:type="table" w:styleId="835" w:customStyle="1">
    <w:name w:val="Grid Table 1 Light - Accent 6"/>
    <w:uiPriority w:val="99"/>
    <w:qFormat/>
    <w:tblPr>
      <w:tblCellMar>
        <w:left w:w="0" w:type="dxa"/>
        <w:top w:w="0" w:type="dxa"/>
        <w:right w:w="0" w:type="dxa"/>
        <w:bottom w:w="0" w:type="dxa"/>
      </w:tblCellMar>
    </w:tblPr>
  </w:style>
  <w:style w:type="table" w:styleId="836" w:customStyle="1">
    <w:name w:val="Grid Table 2 - Accent 1"/>
    <w:uiPriority w:val="99"/>
    <w:qFormat/>
    <w:tblPr>
      <w:tblCellMar>
        <w:left w:w="0" w:type="dxa"/>
        <w:top w:w="0" w:type="dxa"/>
        <w:right w:w="0" w:type="dxa"/>
        <w:bottom w:w="0" w:type="dxa"/>
      </w:tblCellMar>
    </w:tblPr>
  </w:style>
  <w:style w:type="table" w:styleId="837" w:customStyle="1">
    <w:name w:val="Grid Table 2 - Accent 2"/>
    <w:uiPriority w:val="99"/>
    <w:qFormat/>
    <w:tblPr>
      <w:tblCellMar>
        <w:left w:w="0" w:type="dxa"/>
        <w:top w:w="0" w:type="dxa"/>
        <w:right w:w="0" w:type="dxa"/>
        <w:bottom w:w="0" w:type="dxa"/>
      </w:tblCellMar>
    </w:tblPr>
  </w:style>
  <w:style w:type="table" w:styleId="838" w:customStyle="1">
    <w:name w:val="Grid Table 2 - Accent 3"/>
    <w:uiPriority w:val="99"/>
    <w:qFormat/>
    <w:tblPr>
      <w:tblCellMar>
        <w:left w:w="0" w:type="dxa"/>
        <w:top w:w="0" w:type="dxa"/>
        <w:right w:w="0" w:type="dxa"/>
        <w:bottom w:w="0" w:type="dxa"/>
      </w:tblCellMar>
    </w:tblPr>
  </w:style>
  <w:style w:type="table" w:styleId="839" w:customStyle="1">
    <w:name w:val="Grid Table 2 - Accent 4"/>
    <w:uiPriority w:val="99"/>
    <w:qFormat/>
    <w:tblPr>
      <w:tblCellMar>
        <w:left w:w="0" w:type="dxa"/>
        <w:top w:w="0" w:type="dxa"/>
        <w:right w:w="0" w:type="dxa"/>
        <w:bottom w:w="0" w:type="dxa"/>
      </w:tblCellMar>
    </w:tblPr>
  </w:style>
  <w:style w:type="table" w:styleId="840" w:customStyle="1">
    <w:name w:val="Grid Table 2 - Accent 5"/>
    <w:uiPriority w:val="99"/>
    <w:qFormat/>
    <w:tblPr>
      <w:tblCellMar>
        <w:left w:w="0" w:type="dxa"/>
        <w:top w:w="0" w:type="dxa"/>
        <w:right w:w="0" w:type="dxa"/>
        <w:bottom w:w="0" w:type="dxa"/>
      </w:tblCellMar>
    </w:tblPr>
  </w:style>
  <w:style w:type="table" w:styleId="841" w:customStyle="1">
    <w:name w:val="Grid Table 2 - Accent 6"/>
    <w:uiPriority w:val="99"/>
    <w:qFormat/>
    <w:tblPr>
      <w:tblCellMar>
        <w:left w:w="0" w:type="dxa"/>
        <w:top w:w="0" w:type="dxa"/>
        <w:right w:w="0" w:type="dxa"/>
        <w:bottom w:w="0" w:type="dxa"/>
      </w:tblCellMar>
    </w:tblPr>
  </w:style>
  <w:style w:type="table" w:styleId="842" w:customStyle="1">
    <w:name w:val="Grid Table 3 - Accent 1"/>
    <w:uiPriority w:val="99"/>
    <w:qFormat/>
    <w:tblPr>
      <w:tblCellMar>
        <w:left w:w="0" w:type="dxa"/>
        <w:top w:w="0" w:type="dxa"/>
        <w:right w:w="0" w:type="dxa"/>
        <w:bottom w:w="0" w:type="dxa"/>
      </w:tblCellMar>
    </w:tblPr>
  </w:style>
  <w:style w:type="table" w:styleId="843" w:customStyle="1">
    <w:name w:val="Grid Table 3 - Accent 2"/>
    <w:uiPriority w:val="99"/>
    <w:qFormat/>
    <w:tblPr>
      <w:tblCellMar>
        <w:left w:w="0" w:type="dxa"/>
        <w:top w:w="0" w:type="dxa"/>
        <w:right w:w="0" w:type="dxa"/>
        <w:bottom w:w="0" w:type="dxa"/>
      </w:tblCellMar>
    </w:tblPr>
  </w:style>
  <w:style w:type="table" w:styleId="844" w:customStyle="1">
    <w:name w:val="Grid Table 3 - Accent 3"/>
    <w:uiPriority w:val="99"/>
    <w:qFormat/>
    <w:tblPr>
      <w:tblCellMar>
        <w:left w:w="0" w:type="dxa"/>
        <w:top w:w="0" w:type="dxa"/>
        <w:right w:w="0" w:type="dxa"/>
        <w:bottom w:w="0" w:type="dxa"/>
      </w:tblCellMar>
    </w:tblPr>
  </w:style>
  <w:style w:type="table" w:styleId="845" w:customStyle="1">
    <w:name w:val="Grid Table 3 - Accent 4"/>
    <w:uiPriority w:val="99"/>
    <w:qFormat/>
    <w:tblPr>
      <w:tblCellMar>
        <w:left w:w="0" w:type="dxa"/>
        <w:top w:w="0" w:type="dxa"/>
        <w:right w:w="0" w:type="dxa"/>
        <w:bottom w:w="0" w:type="dxa"/>
      </w:tblCellMar>
    </w:tblPr>
  </w:style>
  <w:style w:type="table" w:styleId="846" w:customStyle="1">
    <w:name w:val="Grid Table 3 - Accent 5"/>
    <w:uiPriority w:val="99"/>
    <w:qFormat/>
    <w:tblPr>
      <w:tblCellMar>
        <w:left w:w="0" w:type="dxa"/>
        <w:top w:w="0" w:type="dxa"/>
        <w:right w:w="0" w:type="dxa"/>
        <w:bottom w:w="0" w:type="dxa"/>
      </w:tblCellMar>
    </w:tblPr>
  </w:style>
  <w:style w:type="table" w:styleId="847" w:customStyle="1">
    <w:name w:val="Grid Table 3 - Accent 6"/>
    <w:uiPriority w:val="99"/>
    <w:qFormat/>
    <w:tblPr>
      <w:tblCellMar>
        <w:left w:w="0" w:type="dxa"/>
        <w:top w:w="0" w:type="dxa"/>
        <w:right w:w="0" w:type="dxa"/>
        <w:bottom w:w="0" w:type="dxa"/>
      </w:tblCellMar>
    </w:tblPr>
  </w:style>
  <w:style w:type="table" w:styleId="848" w:customStyle="1">
    <w:name w:val="Grid Table 4 - Accent 1"/>
    <w:uiPriority w:val="59"/>
    <w:qFormat/>
    <w:tblPr>
      <w:tblCellMar>
        <w:left w:w="0" w:type="dxa"/>
        <w:top w:w="0" w:type="dxa"/>
        <w:right w:w="0" w:type="dxa"/>
        <w:bottom w:w="0" w:type="dxa"/>
      </w:tblCellMar>
    </w:tblPr>
  </w:style>
  <w:style w:type="table" w:styleId="849" w:customStyle="1">
    <w:name w:val="Grid Table 4 - Accent 2"/>
    <w:uiPriority w:val="59"/>
    <w:qFormat/>
    <w:tblPr>
      <w:tblCellMar>
        <w:left w:w="0" w:type="dxa"/>
        <w:top w:w="0" w:type="dxa"/>
        <w:right w:w="0" w:type="dxa"/>
        <w:bottom w:w="0" w:type="dxa"/>
      </w:tblCellMar>
    </w:tblPr>
  </w:style>
  <w:style w:type="table" w:styleId="850" w:customStyle="1">
    <w:name w:val="Grid Table 4 - Accent 3"/>
    <w:uiPriority w:val="59"/>
    <w:qFormat/>
    <w:tblPr>
      <w:tblCellMar>
        <w:left w:w="0" w:type="dxa"/>
        <w:top w:w="0" w:type="dxa"/>
        <w:right w:w="0" w:type="dxa"/>
        <w:bottom w:w="0" w:type="dxa"/>
      </w:tblCellMar>
    </w:tblPr>
  </w:style>
  <w:style w:type="table" w:styleId="851" w:customStyle="1">
    <w:name w:val="Grid Table 4 - Accent 4"/>
    <w:uiPriority w:val="59"/>
    <w:qFormat/>
    <w:tblPr>
      <w:tblCellMar>
        <w:left w:w="0" w:type="dxa"/>
        <w:top w:w="0" w:type="dxa"/>
        <w:right w:w="0" w:type="dxa"/>
        <w:bottom w:w="0" w:type="dxa"/>
      </w:tblCellMar>
    </w:tblPr>
  </w:style>
  <w:style w:type="table" w:styleId="852" w:customStyle="1">
    <w:name w:val="Grid Table 4 - Accent 5"/>
    <w:uiPriority w:val="59"/>
    <w:qFormat/>
    <w:tblPr>
      <w:tblCellMar>
        <w:left w:w="0" w:type="dxa"/>
        <w:top w:w="0" w:type="dxa"/>
        <w:right w:w="0" w:type="dxa"/>
        <w:bottom w:w="0" w:type="dxa"/>
      </w:tblCellMar>
    </w:tblPr>
  </w:style>
  <w:style w:type="table" w:styleId="853" w:customStyle="1">
    <w:name w:val="Grid Table 4 - Accent 6"/>
    <w:uiPriority w:val="59"/>
    <w:qFormat/>
    <w:tblPr>
      <w:tblCellMar>
        <w:left w:w="0" w:type="dxa"/>
        <w:top w:w="0" w:type="dxa"/>
        <w:right w:w="0" w:type="dxa"/>
        <w:bottom w:w="0" w:type="dxa"/>
      </w:tblCellMar>
    </w:tblPr>
  </w:style>
  <w:style w:type="table" w:styleId="854" w:customStyle="1">
    <w:name w:val="Grid Table 5 Dark- Accent 1"/>
    <w:uiPriority w:val="99"/>
    <w:qFormat/>
    <w:tblPr>
      <w:tblCellMar>
        <w:left w:w="0" w:type="dxa"/>
        <w:top w:w="0" w:type="dxa"/>
        <w:right w:w="0" w:type="dxa"/>
        <w:bottom w:w="0" w:type="dxa"/>
      </w:tblCellMar>
    </w:tblPr>
  </w:style>
  <w:style w:type="table" w:styleId="855" w:customStyle="1">
    <w:name w:val="Grid Table 5 Dark - Accent 2"/>
    <w:uiPriority w:val="99"/>
    <w:qFormat/>
    <w:tblPr>
      <w:tblCellMar>
        <w:left w:w="0" w:type="dxa"/>
        <w:top w:w="0" w:type="dxa"/>
        <w:right w:w="0" w:type="dxa"/>
        <w:bottom w:w="0" w:type="dxa"/>
      </w:tblCellMar>
    </w:tblPr>
  </w:style>
  <w:style w:type="table" w:styleId="856" w:customStyle="1">
    <w:name w:val="Grid Table 5 Dark - Accent 3"/>
    <w:uiPriority w:val="99"/>
    <w:qFormat/>
    <w:tblPr>
      <w:tblCellMar>
        <w:left w:w="0" w:type="dxa"/>
        <w:top w:w="0" w:type="dxa"/>
        <w:right w:w="0" w:type="dxa"/>
        <w:bottom w:w="0" w:type="dxa"/>
      </w:tblCellMar>
    </w:tblPr>
  </w:style>
  <w:style w:type="table" w:styleId="857" w:customStyle="1">
    <w:name w:val="Grid Table 5 Dark- Accent 4"/>
    <w:uiPriority w:val="99"/>
    <w:qFormat/>
    <w:tblPr>
      <w:tblCellMar>
        <w:left w:w="0" w:type="dxa"/>
        <w:top w:w="0" w:type="dxa"/>
        <w:right w:w="0" w:type="dxa"/>
        <w:bottom w:w="0" w:type="dxa"/>
      </w:tblCellMar>
    </w:tblPr>
  </w:style>
  <w:style w:type="table" w:styleId="858" w:customStyle="1">
    <w:name w:val="Grid Table 5 Dark - Accent 5"/>
    <w:uiPriority w:val="99"/>
    <w:qFormat/>
    <w:tblPr>
      <w:tblCellMar>
        <w:left w:w="0" w:type="dxa"/>
        <w:top w:w="0" w:type="dxa"/>
        <w:right w:w="0" w:type="dxa"/>
        <w:bottom w:w="0" w:type="dxa"/>
      </w:tblCellMar>
    </w:tblPr>
  </w:style>
  <w:style w:type="table" w:styleId="859" w:customStyle="1">
    <w:name w:val="Grid Table 5 Dark - Accent 6"/>
    <w:uiPriority w:val="99"/>
    <w:qFormat/>
    <w:tblPr>
      <w:tblCellMar>
        <w:left w:w="0" w:type="dxa"/>
        <w:top w:w="0" w:type="dxa"/>
        <w:right w:w="0" w:type="dxa"/>
        <w:bottom w:w="0" w:type="dxa"/>
      </w:tblCellMar>
    </w:tblPr>
  </w:style>
  <w:style w:type="table" w:styleId="860" w:customStyle="1">
    <w:name w:val="Grid Table 6 Colorful - Accent 1"/>
    <w:uiPriority w:val="99"/>
    <w:qFormat/>
    <w:tblPr>
      <w:tblCellMar>
        <w:left w:w="0" w:type="dxa"/>
        <w:top w:w="0" w:type="dxa"/>
        <w:right w:w="0" w:type="dxa"/>
        <w:bottom w:w="0" w:type="dxa"/>
      </w:tblCellMar>
    </w:tblPr>
  </w:style>
  <w:style w:type="table" w:styleId="861" w:customStyle="1">
    <w:name w:val="Grid Table 6 Colorful - Accent 2"/>
    <w:uiPriority w:val="99"/>
    <w:qFormat/>
    <w:tblPr>
      <w:tblCellMar>
        <w:left w:w="0" w:type="dxa"/>
        <w:top w:w="0" w:type="dxa"/>
        <w:right w:w="0" w:type="dxa"/>
        <w:bottom w:w="0" w:type="dxa"/>
      </w:tblCellMar>
    </w:tblPr>
  </w:style>
  <w:style w:type="table" w:styleId="862" w:customStyle="1">
    <w:name w:val="Grid Table 6 Colorful - Accent 3"/>
    <w:uiPriority w:val="99"/>
    <w:qFormat/>
    <w:tblPr>
      <w:tblCellMar>
        <w:left w:w="0" w:type="dxa"/>
        <w:top w:w="0" w:type="dxa"/>
        <w:right w:w="0" w:type="dxa"/>
        <w:bottom w:w="0" w:type="dxa"/>
      </w:tblCellMar>
    </w:tblPr>
  </w:style>
  <w:style w:type="table" w:styleId="863" w:customStyle="1">
    <w:name w:val="Grid Table 6 Colorful - Accent 4"/>
    <w:uiPriority w:val="99"/>
    <w:qFormat/>
    <w:tblPr>
      <w:tblCellMar>
        <w:left w:w="0" w:type="dxa"/>
        <w:top w:w="0" w:type="dxa"/>
        <w:right w:w="0" w:type="dxa"/>
        <w:bottom w:w="0" w:type="dxa"/>
      </w:tblCellMar>
    </w:tblPr>
  </w:style>
  <w:style w:type="table" w:styleId="864" w:customStyle="1">
    <w:name w:val="Grid Table 6 Colorful - Accent 5"/>
    <w:uiPriority w:val="99"/>
    <w:qFormat/>
    <w:tblPr>
      <w:tblCellMar>
        <w:left w:w="0" w:type="dxa"/>
        <w:top w:w="0" w:type="dxa"/>
        <w:right w:w="0" w:type="dxa"/>
        <w:bottom w:w="0" w:type="dxa"/>
      </w:tblCellMar>
    </w:tblPr>
  </w:style>
  <w:style w:type="table" w:styleId="865" w:customStyle="1">
    <w:name w:val="Grid Table 6 Colorful - Accent 6"/>
    <w:uiPriority w:val="99"/>
    <w:qFormat/>
    <w:tblPr>
      <w:tblCellMar>
        <w:left w:w="0" w:type="dxa"/>
        <w:top w:w="0" w:type="dxa"/>
        <w:right w:w="0" w:type="dxa"/>
        <w:bottom w:w="0" w:type="dxa"/>
      </w:tblCellMar>
    </w:tblPr>
  </w:style>
  <w:style w:type="table" w:styleId="866" w:customStyle="1">
    <w:name w:val="Grid Table 7 Colorful - Accent 1"/>
    <w:uiPriority w:val="99"/>
    <w:qFormat/>
    <w:tblPr>
      <w:tblCellMar>
        <w:left w:w="0" w:type="dxa"/>
        <w:top w:w="0" w:type="dxa"/>
        <w:right w:w="0" w:type="dxa"/>
        <w:bottom w:w="0" w:type="dxa"/>
      </w:tblCellMar>
    </w:tblPr>
  </w:style>
  <w:style w:type="table" w:styleId="867" w:customStyle="1">
    <w:name w:val="Grid Table 7 Colorful - Accent 2"/>
    <w:uiPriority w:val="99"/>
    <w:qFormat/>
    <w:tblPr>
      <w:tblCellMar>
        <w:left w:w="0" w:type="dxa"/>
        <w:top w:w="0" w:type="dxa"/>
        <w:right w:w="0" w:type="dxa"/>
        <w:bottom w:w="0" w:type="dxa"/>
      </w:tblCellMar>
    </w:tblPr>
  </w:style>
  <w:style w:type="table" w:styleId="868" w:customStyle="1">
    <w:name w:val="Grid Table 7 Colorful - Accent 3"/>
    <w:uiPriority w:val="99"/>
    <w:qFormat/>
    <w:tblPr>
      <w:tblCellMar>
        <w:left w:w="0" w:type="dxa"/>
        <w:top w:w="0" w:type="dxa"/>
        <w:right w:w="0" w:type="dxa"/>
        <w:bottom w:w="0" w:type="dxa"/>
      </w:tblCellMar>
    </w:tblPr>
  </w:style>
  <w:style w:type="table" w:styleId="869" w:customStyle="1">
    <w:name w:val="Grid Table 7 Colorful - Accent 4"/>
    <w:uiPriority w:val="99"/>
    <w:qFormat/>
    <w:tblPr>
      <w:tblCellMar>
        <w:left w:w="0" w:type="dxa"/>
        <w:top w:w="0" w:type="dxa"/>
        <w:right w:w="0" w:type="dxa"/>
        <w:bottom w:w="0" w:type="dxa"/>
      </w:tblCellMar>
    </w:tblPr>
  </w:style>
  <w:style w:type="table" w:styleId="870" w:customStyle="1">
    <w:name w:val="Grid Table 7 Colorful - Accent 5"/>
    <w:uiPriority w:val="99"/>
    <w:qFormat/>
    <w:tblPr>
      <w:tblCellMar>
        <w:left w:w="0" w:type="dxa"/>
        <w:top w:w="0" w:type="dxa"/>
        <w:right w:w="0" w:type="dxa"/>
        <w:bottom w:w="0" w:type="dxa"/>
      </w:tblCellMar>
    </w:tblPr>
  </w:style>
  <w:style w:type="table" w:styleId="871" w:customStyle="1">
    <w:name w:val="Grid Table 7 Colorful - Accent 6"/>
    <w:uiPriority w:val="99"/>
    <w:qFormat/>
    <w:tblPr>
      <w:tblCellMar>
        <w:left w:w="0" w:type="dxa"/>
        <w:top w:w="0" w:type="dxa"/>
        <w:right w:w="0" w:type="dxa"/>
        <w:bottom w:w="0" w:type="dxa"/>
      </w:tblCellMar>
    </w:tblPr>
  </w:style>
  <w:style w:type="table" w:styleId="872" w:customStyle="1">
    <w:name w:val="List Table 1 Light - Accent 1"/>
    <w:uiPriority w:val="99"/>
    <w:qFormat/>
    <w:tblPr>
      <w:tblCellMar>
        <w:left w:w="0" w:type="dxa"/>
        <w:top w:w="0" w:type="dxa"/>
        <w:right w:w="0" w:type="dxa"/>
        <w:bottom w:w="0" w:type="dxa"/>
      </w:tblCellMar>
    </w:tblPr>
  </w:style>
  <w:style w:type="table" w:styleId="873" w:customStyle="1">
    <w:name w:val="List Table 1 Light - Accent 2"/>
    <w:uiPriority w:val="99"/>
    <w:qFormat/>
    <w:tblPr>
      <w:tblCellMar>
        <w:left w:w="0" w:type="dxa"/>
        <w:top w:w="0" w:type="dxa"/>
        <w:right w:w="0" w:type="dxa"/>
        <w:bottom w:w="0" w:type="dxa"/>
      </w:tblCellMar>
    </w:tblPr>
  </w:style>
  <w:style w:type="table" w:styleId="874" w:customStyle="1">
    <w:name w:val="List Table 1 Light - Accent 3"/>
    <w:uiPriority w:val="99"/>
    <w:qFormat/>
    <w:tblPr>
      <w:tblCellMar>
        <w:left w:w="0" w:type="dxa"/>
        <w:top w:w="0" w:type="dxa"/>
        <w:right w:w="0" w:type="dxa"/>
        <w:bottom w:w="0" w:type="dxa"/>
      </w:tblCellMar>
    </w:tblPr>
  </w:style>
  <w:style w:type="table" w:styleId="875" w:customStyle="1">
    <w:name w:val="List Table 1 Light - Accent 4"/>
    <w:uiPriority w:val="99"/>
    <w:qFormat/>
    <w:tblPr>
      <w:tblCellMar>
        <w:left w:w="0" w:type="dxa"/>
        <w:top w:w="0" w:type="dxa"/>
        <w:right w:w="0" w:type="dxa"/>
        <w:bottom w:w="0" w:type="dxa"/>
      </w:tblCellMar>
    </w:tblPr>
  </w:style>
  <w:style w:type="table" w:styleId="876" w:customStyle="1">
    <w:name w:val="List Table 1 Light - Accent 5"/>
    <w:uiPriority w:val="99"/>
    <w:qFormat/>
    <w:tblPr>
      <w:tblCellMar>
        <w:left w:w="0" w:type="dxa"/>
        <w:top w:w="0" w:type="dxa"/>
        <w:right w:w="0" w:type="dxa"/>
        <w:bottom w:w="0" w:type="dxa"/>
      </w:tblCellMar>
    </w:tblPr>
  </w:style>
  <w:style w:type="table" w:styleId="877" w:customStyle="1">
    <w:name w:val="List Table 1 Light - Accent 6"/>
    <w:uiPriority w:val="99"/>
    <w:qFormat/>
    <w:tblPr>
      <w:tblCellMar>
        <w:left w:w="0" w:type="dxa"/>
        <w:top w:w="0" w:type="dxa"/>
        <w:right w:w="0" w:type="dxa"/>
        <w:bottom w:w="0" w:type="dxa"/>
      </w:tblCellMar>
    </w:tblPr>
  </w:style>
  <w:style w:type="table" w:styleId="878" w:customStyle="1">
    <w:name w:val="List Table 2 - Accent 1"/>
    <w:uiPriority w:val="99"/>
    <w:qFormat/>
    <w:tblPr>
      <w:tblCellMar>
        <w:left w:w="0" w:type="dxa"/>
        <w:top w:w="0" w:type="dxa"/>
        <w:right w:w="0" w:type="dxa"/>
        <w:bottom w:w="0" w:type="dxa"/>
      </w:tblCellMar>
    </w:tblPr>
  </w:style>
  <w:style w:type="table" w:styleId="879" w:customStyle="1">
    <w:name w:val="List Table 2 - Accent 2"/>
    <w:uiPriority w:val="99"/>
    <w:qFormat/>
    <w:tblPr>
      <w:tblCellMar>
        <w:left w:w="0" w:type="dxa"/>
        <w:top w:w="0" w:type="dxa"/>
        <w:right w:w="0" w:type="dxa"/>
        <w:bottom w:w="0" w:type="dxa"/>
      </w:tblCellMar>
    </w:tblPr>
  </w:style>
  <w:style w:type="table" w:styleId="880" w:customStyle="1">
    <w:name w:val="List Table 2 - Accent 3"/>
    <w:uiPriority w:val="99"/>
    <w:qFormat/>
    <w:tblPr>
      <w:tblCellMar>
        <w:left w:w="0" w:type="dxa"/>
        <w:top w:w="0" w:type="dxa"/>
        <w:right w:w="0" w:type="dxa"/>
        <w:bottom w:w="0" w:type="dxa"/>
      </w:tblCellMar>
    </w:tblPr>
  </w:style>
  <w:style w:type="table" w:styleId="881" w:customStyle="1">
    <w:name w:val="List Table 2 - Accent 4"/>
    <w:uiPriority w:val="99"/>
    <w:qFormat/>
    <w:tblPr>
      <w:tblCellMar>
        <w:left w:w="0" w:type="dxa"/>
        <w:top w:w="0" w:type="dxa"/>
        <w:right w:w="0" w:type="dxa"/>
        <w:bottom w:w="0" w:type="dxa"/>
      </w:tblCellMar>
    </w:tblPr>
  </w:style>
  <w:style w:type="table" w:styleId="882" w:customStyle="1">
    <w:name w:val="List Table 2 - Accent 5"/>
    <w:uiPriority w:val="99"/>
    <w:qFormat/>
    <w:tblPr>
      <w:tblCellMar>
        <w:left w:w="0" w:type="dxa"/>
        <w:top w:w="0" w:type="dxa"/>
        <w:right w:w="0" w:type="dxa"/>
        <w:bottom w:w="0" w:type="dxa"/>
      </w:tblCellMar>
    </w:tblPr>
  </w:style>
  <w:style w:type="table" w:styleId="883" w:customStyle="1">
    <w:name w:val="List Table 2 - Accent 6"/>
    <w:uiPriority w:val="99"/>
    <w:qFormat/>
    <w:tblPr>
      <w:tblCellMar>
        <w:left w:w="0" w:type="dxa"/>
        <w:top w:w="0" w:type="dxa"/>
        <w:right w:w="0" w:type="dxa"/>
        <w:bottom w:w="0" w:type="dxa"/>
      </w:tblCellMar>
    </w:tblPr>
  </w:style>
  <w:style w:type="table" w:styleId="884" w:customStyle="1">
    <w:name w:val="List Table 3 - Accent 1"/>
    <w:uiPriority w:val="99"/>
    <w:qFormat/>
    <w:tblPr>
      <w:tblCellMar>
        <w:left w:w="0" w:type="dxa"/>
        <w:top w:w="0" w:type="dxa"/>
        <w:right w:w="0" w:type="dxa"/>
        <w:bottom w:w="0" w:type="dxa"/>
      </w:tblCellMar>
    </w:tblPr>
  </w:style>
  <w:style w:type="table" w:styleId="885" w:customStyle="1">
    <w:name w:val="List Table 3 - Accent 2"/>
    <w:uiPriority w:val="99"/>
    <w:qFormat/>
    <w:tblPr>
      <w:tblCellMar>
        <w:left w:w="0" w:type="dxa"/>
        <w:top w:w="0" w:type="dxa"/>
        <w:right w:w="0" w:type="dxa"/>
        <w:bottom w:w="0" w:type="dxa"/>
      </w:tblCellMar>
    </w:tblPr>
  </w:style>
  <w:style w:type="table" w:styleId="886" w:customStyle="1">
    <w:name w:val="List Table 3 - Accent 3"/>
    <w:uiPriority w:val="99"/>
    <w:qFormat/>
    <w:tblPr>
      <w:tblCellMar>
        <w:left w:w="0" w:type="dxa"/>
        <w:top w:w="0" w:type="dxa"/>
        <w:right w:w="0" w:type="dxa"/>
        <w:bottom w:w="0" w:type="dxa"/>
      </w:tblCellMar>
    </w:tblPr>
  </w:style>
  <w:style w:type="table" w:styleId="887" w:customStyle="1">
    <w:name w:val="List Table 3 - Accent 4"/>
    <w:uiPriority w:val="99"/>
    <w:qFormat/>
    <w:tblPr>
      <w:tblCellMar>
        <w:left w:w="0" w:type="dxa"/>
        <w:top w:w="0" w:type="dxa"/>
        <w:right w:w="0" w:type="dxa"/>
        <w:bottom w:w="0" w:type="dxa"/>
      </w:tblCellMar>
    </w:tblPr>
  </w:style>
  <w:style w:type="table" w:styleId="888" w:customStyle="1">
    <w:name w:val="List Table 3 - Accent 5"/>
    <w:uiPriority w:val="99"/>
    <w:qFormat/>
    <w:tblPr>
      <w:tblCellMar>
        <w:left w:w="0" w:type="dxa"/>
        <w:top w:w="0" w:type="dxa"/>
        <w:right w:w="0" w:type="dxa"/>
        <w:bottom w:w="0" w:type="dxa"/>
      </w:tblCellMar>
    </w:tblPr>
  </w:style>
  <w:style w:type="table" w:styleId="889" w:customStyle="1">
    <w:name w:val="List Table 3 - Accent 6"/>
    <w:uiPriority w:val="99"/>
    <w:qFormat/>
    <w:tblPr>
      <w:tblCellMar>
        <w:left w:w="0" w:type="dxa"/>
        <w:top w:w="0" w:type="dxa"/>
        <w:right w:w="0" w:type="dxa"/>
        <w:bottom w:w="0" w:type="dxa"/>
      </w:tblCellMar>
    </w:tblPr>
  </w:style>
  <w:style w:type="table" w:styleId="890" w:customStyle="1">
    <w:name w:val="List Table 4 - Accent 1"/>
    <w:uiPriority w:val="99"/>
    <w:qFormat/>
    <w:tblPr>
      <w:tblCellMar>
        <w:left w:w="0" w:type="dxa"/>
        <w:top w:w="0" w:type="dxa"/>
        <w:right w:w="0" w:type="dxa"/>
        <w:bottom w:w="0" w:type="dxa"/>
      </w:tblCellMar>
    </w:tblPr>
  </w:style>
  <w:style w:type="table" w:styleId="891" w:customStyle="1">
    <w:name w:val="List Table 4 - Accent 2"/>
    <w:uiPriority w:val="99"/>
    <w:qFormat/>
    <w:tblPr>
      <w:tblCellMar>
        <w:left w:w="0" w:type="dxa"/>
        <w:top w:w="0" w:type="dxa"/>
        <w:right w:w="0" w:type="dxa"/>
        <w:bottom w:w="0" w:type="dxa"/>
      </w:tblCellMar>
    </w:tblPr>
  </w:style>
  <w:style w:type="table" w:styleId="892" w:customStyle="1">
    <w:name w:val="List Table 4 - Accent 3"/>
    <w:uiPriority w:val="99"/>
    <w:qFormat/>
    <w:tblPr>
      <w:tblCellMar>
        <w:left w:w="0" w:type="dxa"/>
        <w:top w:w="0" w:type="dxa"/>
        <w:right w:w="0" w:type="dxa"/>
        <w:bottom w:w="0" w:type="dxa"/>
      </w:tblCellMar>
    </w:tblPr>
  </w:style>
  <w:style w:type="table" w:styleId="893" w:customStyle="1">
    <w:name w:val="List Table 4 - Accent 4"/>
    <w:uiPriority w:val="99"/>
    <w:qFormat/>
    <w:tblPr>
      <w:tblCellMar>
        <w:left w:w="0" w:type="dxa"/>
        <w:top w:w="0" w:type="dxa"/>
        <w:right w:w="0" w:type="dxa"/>
        <w:bottom w:w="0" w:type="dxa"/>
      </w:tblCellMar>
    </w:tblPr>
  </w:style>
  <w:style w:type="table" w:styleId="894" w:customStyle="1">
    <w:name w:val="List Table 4 - Accent 5"/>
    <w:uiPriority w:val="99"/>
    <w:qFormat/>
    <w:tblPr>
      <w:tblCellMar>
        <w:left w:w="0" w:type="dxa"/>
        <w:top w:w="0" w:type="dxa"/>
        <w:right w:w="0" w:type="dxa"/>
        <w:bottom w:w="0" w:type="dxa"/>
      </w:tblCellMar>
    </w:tblPr>
  </w:style>
  <w:style w:type="table" w:styleId="895" w:customStyle="1">
    <w:name w:val="List Table 4 - Accent 6"/>
    <w:uiPriority w:val="99"/>
    <w:qFormat/>
    <w:tblPr>
      <w:tblCellMar>
        <w:left w:w="0" w:type="dxa"/>
        <w:top w:w="0" w:type="dxa"/>
        <w:right w:w="0" w:type="dxa"/>
        <w:bottom w:w="0" w:type="dxa"/>
      </w:tblCellMar>
    </w:tblPr>
  </w:style>
  <w:style w:type="table" w:styleId="896" w:customStyle="1">
    <w:name w:val="List Table 5 Dark - Accent 1"/>
    <w:uiPriority w:val="99"/>
    <w:qFormat/>
    <w:tblPr>
      <w:tblCellMar>
        <w:left w:w="0" w:type="dxa"/>
        <w:top w:w="0" w:type="dxa"/>
        <w:right w:w="0" w:type="dxa"/>
        <w:bottom w:w="0" w:type="dxa"/>
      </w:tblCellMar>
    </w:tblPr>
  </w:style>
  <w:style w:type="table" w:styleId="897" w:customStyle="1">
    <w:name w:val="List Table 5 Dark - Accent 2"/>
    <w:uiPriority w:val="99"/>
    <w:qFormat/>
    <w:tblPr>
      <w:tblCellMar>
        <w:left w:w="0" w:type="dxa"/>
        <w:top w:w="0" w:type="dxa"/>
        <w:right w:w="0" w:type="dxa"/>
        <w:bottom w:w="0" w:type="dxa"/>
      </w:tblCellMar>
    </w:tblPr>
  </w:style>
  <w:style w:type="table" w:styleId="898" w:customStyle="1">
    <w:name w:val="List Table 5 Dark - Accent 3"/>
    <w:uiPriority w:val="99"/>
    <w:qFormat/>
    <w:tblPr>
      <w:tblCellMar>
        <w:left w:w="0" w:type="dxa"/>
        <w:top w:w="0" w:type="dxa"/>
        <w:right w:w="0" w:type="dxa"/>
        <w:bottom w:w="0" w:type="dxa"/>
      </w:tblCellMar>
    </w:tblPr>
  </w:style>
  <w:style w:type="table" w:styleId="899" w:customStyle="1">
    <w:name w:val="List Table 5 Dark - Accent 4"/>
    <w:uiPriority w:val="99"/>
    <w:qFormat/>
    <w:tblPr>
      <w:tblCellMar>
        <w:left w:w="0" w:type="dxa"/>
        <w:top w:w="0" w:type="dxa"/>
        <w:right w:w="0" w:type="dxa"/>
        <w:bottom w:w="0" w:type="dxa"/>
      </w:tblCellMar>
    </w:tblPr>
  </w:style>
  <w:style w:type="table" w:styleId="900" w:customStyle="1">
    <w:name w:val="List Table 5 Dark - Accent 5"/>
    <w:uiPriority w:val="99"/>
    <w:qFormat/>
    <w:tblPr>
      <w:tblCellMar>
        <w:left w:w="0" w:type="dxa"/>
        <w:top w:w="0" w:type="dxa"/>
        <w:right w:w="0" w:type="dxa"/>
        <w:bottom w:w="0" w:type="dxa"/>
      </w:tblCellMar>
    </w:tblPr>
  </w:style>
  <w:style w:type="table" w:styleId="901" w:customStyle="1">
    <w:name w:val="List Table 5 Dark - Accent 6"/>
    <w:uiPriority w:val="99"/>
    <w:qFormat/>
    <w:tblPr>
      <w:tblCellMar>
        <w:left w:w="0" w:type="dxa"/>
        <w:top w:w="0" w:type="dxa"/>
        <w:right w:w="0" w:type="dxa"/>
        <w:bottom w:w="0" w:type="dxa"/>
      </w:tblCellMar>
    </w:tblPr>
  </w:style>
  <w:style w:type="table" w:styleId="902" w:customStyle="1">
    <w:name w:val="List Table 6 Colorful - Accent 1"/>
    <w:uiPriority w:val="99"/>
    <w:qFormat/>
    <w:tblPr>
      <w:tblCellMar>
        <w:left w:w="0" w:type="dxa"/>
        <w:top w:w="0" w:type="dxa"/>
        <w:right w:w="0" w:type="dxa"/>
        <w:bottom w:w="0" w:type="dxa"/>
      </w:tblCellMar>
    </w:tblPr>
  </w:style>
  <w:style w:type="table" w:styleId="903" w:customStyle="1">
    <w:name w:val="List Table 6 Colorful - Accent 2"/>
    <w:uiPriority w:val="99"/>
    <w:qFormat/>
    <w:tblPr>
      <w:tblCellMar>
        <w:left w:w="0" w:type="dxa"/>
        <w:top w:w="0" w:type="dxa"/>
        <w:right w:w="0" w:type="dxa"/>
        <w:bottom w:w="0" w:type="dxa"/>
      </w:tblCellMar>
    </w:tblPr>
  </w:style>
  <w:style w:type="table" w:styleId="904" w:customStyle="1">
    <w:name w:val="List Table 6 Colorful - Accent 3"/>
    <w:uiPriority w:val="99"/>
    <w:qFormat/>
    <w:tblPr>
      <w:tblCellMar>
        <w:left w:w="0" w:type="dxa"/>
        <w:top w:w="0" w:type="dxa"/>
        <w:right w:w="0" w:type="dxa"/>
        <w:bottom w:w="0" w:type="dxa"/>
      </w:tblCellMar>
    </w:tblPr>
  </w:style>
  <w:style w:type="table" w:styleId="905" w:customStyle="1">
    <w:name w:val="List Table 6 Colorful - Accent 4"/>
    <w:uiPriority w:val="99"/>
    <w:qFormat/>
    <w:tblPr>
      <w:tblCellMar>
        <w:left w:w="0" w:type="dxa"/>
        <w:top w:w="0" w:type="dxa"/>
        <w:right w:w="0" w:type="dxa"/>
        <w:bottom w:w="0" w:type="dxa"/>
      </w:tblCellMar>
    </w:tblPr>
  </w:style>
  <w:style w:type="table" w:styleId="906" w:customStyle="1">
    <w:name w:val="List Table 6 Colorful - Accent 5"/>
    <w:uiPriority w:val="99"/>
    <w:qFormat/>
    <w:tblPr>
      <w:tblCellMar>
        <w:left w:w="0" w:type="dxa"/>
        <w:top w:w="0" w:type="dxa"/>
        <w:right w:w="0" w:type="dxa"/>
        <w:bottom w:w="0" w:type="dxa"/>
      </w:tblCellMar>
    </w:tblPr>
  </w:style>
  <w:style w:type="table" w:styleId="907" w:customStyle="1">
    <w:name w:val="List Table 6 Colorful - Accent 6"/>
    <w:uiPriority w:val="99"/>
    <w:qFormat/>
    <w:tblPr>
      <w:tblCellMar>
        <w:left w:w="0" w:type="dxa"/>
        <w:top w:w="0" w:type="dxa"/>
        <w:right w:w="0" w:type="dxa"/>
        <w:bottom w:w="0" w:type="dxa"/>
      </w:tblCellMar>
    </w:tblPr>
  </w:style>
  <w:style w:type="table" w:styleId="908" w:customStyle="1">
    <w:name w:val="List Table 7 Colorful - Accent 1"/>
    <w:uiPriority w:val="99"/>
    <w:qFormat/>
    <w:tblPr>
      <w:tblCellMar>
        <w:left w:w="0" w:type="dxa"/>
        <w:top w:w="0" w:type="dxa"/>
        <w:right w:w="0" w:type="dxa"/>
        <w:bottom w:w="0" w:type="dxa"/>
      </w:tblCellMar>
    </w:tblPr>
  </w:style>
  <w:style w:type="table" w:styleId="909" w:customStyle="1">
    <w:name w:val="List Table 7 Colorful - Accent 2"/>
    <w:uiPriority w:val="99"/>
    <w:qFormat/>
    <w:tblPr>
      <w:tblCellMar>
        <w:left w:w="0" w:type="dxa"/>
        <w:top w:w="0" w:type="dxa"/>
        <w:right w:w="0" w:type="dxa"/>
        <w:bottom w:w="0" w:type="dxa"/>
      </w:tblCellMar>
    </w:tblPr>
  </w:style>
  <w:style w:type="table" w:styleId="910" w:customStyle="1">
    <w:name w:val="List Table 7 Colorful - Accent 3"/>
    <w:uiPriority w:val="99"/>
    <w:qFormat/>
    <w:tblPr>
      <w:tblCellMar>
        <w:left w:w="0" w:type="dxa"/>
        <w:top w:w="0" w:type="dxa"/>
        <w:right w:w="0" w:type="dxa"/>
        <w:bottom w:w="0" w:type="dxa"/>
      </w:tblCellMar>
    </w:tblPr>
  </w:style>
  <w:style w:type="table" w:styleId="911" w:customStyle="1">
    <w:name w:val="List Table 7 Colorful - Accent 4"/>
    <w:uiPriority w:val="99"/>
    <w:qFormat/>
    <w:tblPr>
      <w:tblCellMar>
        <w:left w:w="0" w:type="dxa"/>
        <w:top w:w="0" w:type="dxa"/>
        <w:right w:w="0" w:type="dxa"/>
        <w:bottom w:w="0" w:type="dxa"/>
      </w:tblCellMar>
    </w:tblPr>
  </w:style>
  <w:style w:type="table" w:styleId="912" w:customStyle="1">
    <w:name w:val="List Table 7 Colorful - Accent 5"/>
    <w:uiPriority w:val="99"/>
    <w:qFormat/>
    <w:tblPr>
      <w:tblCellMar>
        <w:left w:w="0" w:type="dxa"/>
        <w:top w:w="0" w:type="dxa"/>
        <w:right w:w="0" w:type="dxa"/>
        <w:bottom w:w="0" w:type="dxa"/>
      </w:tblCellMar>
    </w:tblPr>
  </w:style>
  <w:style w:type="table" w:styleId="913" w:customStyle="1">
    <w:name w:val="List Table 7 Colorful - Accent 6"/>
    <w:uiPriority w:val="99"/>
    <w:qFormat/>
    <w:tblPr>
      <w:tblCellMar>
        <w:left w:w="0" w:type="dxa"/>
        <w:top w:w="0" w:type="dxa"/>
        <w:right w:w="0" w:type="dxa"/>
        <w:bottom w:w="0" w:type="dxa"/>
      </w:tblCellMar>
    </w:tblPr>
  </w:style>
  <w:style w:type="table" w:styleId="914" w:customStyle="1">
    <w:name w:val="Lined - Accent"/>
    <w:uiPriority w:val="99"/>
    <w:qFormat/>
    <w:rPr>
      <w:color w:val="404040"/>
    </w:rPr>
    <w:tblPr>
      <w:tblCellMar>
        <w:left w:w="0" w:type="dxa"/>
        <w:top w:w="0" w:type="dxa"/>
        <w:right w:w="0" w:type="dxa"/>
        <w:bottom w:w="0" w:type="dxa"/>
      </w:tblCellMar>
    </w:tblPr>
  </w:style>
  <w:style w:type="table" w:styleId="915" w:customStyle="1">
    <w:name w:val="Lined - Accent 1"/>
    <w:uiPriority w:val="99"/>
    <w:qFormat/>
    <w:rPr>
      <w:color w:val="404040"/>
    </w:rPr>
    <w:tblPr>
      <w:tblCellMar>
        <w:left w:w="0" w:type="dxa"/>
        <w:top w:w="0" w:type="dxa"/>
        <w:right w:w="0" w:type="dxa"/>
        <w:bottom w:w="0" w:type="dxa"/>
      </w:tblCellMar>
    </w:tblPr>
  </w:style>
  <w:style w:type="table" w:styleId="916" w:customStyle="1">
    <w:name w:val="Lined - Accent 2"/>
    <w:uiPriority w:val="99"/>
    <w:qFormat/>
    <w:rPr>
      <w:color w:val="404040"/>
    </w:rPr>
    <w:tblPr>
      <w:tblCellMar>
        <w:left w:w="0" w:type="dxa"/>
        <w:top w:w="0" w:type="dxa"/>
        <w:right w:w="0" w:type="dxa"/>
        <w:bottom w:w="0" w:type="dxa"/>
      </w:tblCellMar>
    </w:tblPr>
  </w:style>
  <w:style w:type="table" w:styleId="917" w:customStyle="1">
    <w:name w:val="Lined - Accent 3"/>
    <w:uiPriority w:val="99"/>
    <w:qFormat/>
    <w:rPr>
      <w:color w:val="404040"/>
    </w:rPr>
    <w:tblPr>
      <w:tblCellMar>
        <w:left w:w="0" w:type="dxa"/>
        <w:top w:w="0" w:type="dxa"/>
        <w:right w:w="0" w:type="dxa"/>
        <w:bottom w:w="0" w:type="dxa"/>
      </w:tblCellMar>
    </w:tblPr>
  </w:style>
  <w:style w:type="table" w:styleId="918" w:customStyle="1">
    <w:name w:val="Lined - Accent 4"/>
    <w:uiPriority w:val="99"/>
    <w:qFormat/>
    <w:rPr>
      <w:color w:val="404040"/>
    </w:rPr>
    <w:tblPr>
      <w:tblCellMar>
        <w:left w:w="0" w:type="dxa"/>
        <w:top w:w="0" w:type="dxa"/>
        <w:right w:w="0" w:type="dxa"/>
        <w:bottom w:w="0" w:type="dxa"/>
      </w:tblCellMar>
    </w:tblPr>
  </w:style>
  <w:style w:type="table" w:styleId="919" w:customStyle="1">
    <w:name w:val="Lined - Accent 5"/>
    <w:uiPriority w:val="99"/>
    <w:qFormat/>
    <w:rPr>
      <w:color w:val="404040"/>
    </w:rPr>
    <w:tblPr>
      <w:tblCellMar>
        <w:left w:w="0" w:type="dxa"/>
        <w:top w:w="0" w:type="dxa"/>
        <w:right w:w="0" w:type="dxa"/>
        <w:bottom w:w="0" w:type="dxa"/>
      </w:tblCellMar>
    </w:tblPr>
  </w:style>
  <w:style w:type="table" w:styleId="920" w:customStyle="1">
    <w:name w:val="Lined - Accent 6"/>
    <w:uiPriority w:val="99"/>
    <w:qFormat/>
    <w:rPr>
      <w:color w:val="404040"/>
    </w:rPr>
    <w:tblPr>
      <w:tblCellMar>
        <w:left w:w="0" w:type="dxa"/>
        <w:top w:w="0" w:type="dxa"/>
        <w:right w:w="0" w:type="dxa"/>
        <w:bottom w:w="0" w:type="dxa"/>
      </w:tblCellMar>
    </w:tblPr>
  </w:style>
  <w:style w:type="table" w:styleId="921" w:customStyle="1">
    <w:name w:val="Bordered &amp; Lined - Accent"/>
    <w:uiPriority w:val="99"/>
    <w:qFormat/>
    <w:rPr>
      <w:color w:val="404040"/>
    </w:rPr>
    <w:tblPr>
      <w:tblCellMar>
        <w:left w:w="0" w:type="dxa"/>
        <w:top w:w="0" w:type="dxa"/>
        <w:right w:w="0" w:type="dxa"/>
        <w:bottom w:w="0" w:type="dxa"/>
      </w:tblCellMar>
    </w:tblPr>
  </w:style>
  <w:style w:type="table" w:styleId="922" w:customStyle="1">
    <w:name w:val="Bordered &amp; Lined - Accent 1"/>
    <w:uiPriority w:val="99"/>
    <w:qFormat/>
    <w:rPr>
      <w:color w:val="404040"/>
    </w:rPr>
    <w:tblPr>
      <w:tblCellMar>
        <w:left w:w="0" w:type="dxa"/>
        <w:top w:w="0" w:type="dxa"/>
        <w:right w:w="0" w:type="dxa"/>
        <w:bottom w:w="0" w:type="dxa"/>
      </w:tblCellMar>
    </w:tblPr>
  </w:style>
  <w:style w:type="table" w:styleId="923" w:customStyle="1">
    <w:name w:val="Bordered &amp; Lined - Accent 2"/>
    <w:uiPriority w:val="99"/>
    <w:qFormat/>
    <w:rPr>
      <w:color w:val="404040"/>
    </w:rPr>
    <w:tblPr>
      <w:tblCellMar>
        <w:left w:w="0" w:type="dxa"/>
        <w:top w:w="0" w:type="dxa"/>
        <w:right w:w="0" w:type="dxa"/>
        <w:bottom w:w="0" w:type="dxa"/>
      </w:tblCellMar>
    </w:tblPr>
  </w:style>
  <w:style w:type="table" w:styleId="924" w:customStyle="1">
    <w:name w:val="Bordered &amp; Lined - Accent 3"/>
    <w:uiPriority w:val="99"/>
    <w:qFormat/>
    <w:rPr>
      <w:color w:val="404040"/>
    </w:rPr>
    <w:tblPr>
      <w:tblCellMar>
        <w:left w:w="0" w:type="dxa"/>
        <w:top w:w="0" w:type="dxa"/>
        <w:right w:w="0" w:type="dxa"/>
        <w:bottom w:w="0" w:type="dxa"/>
      </w:tblCellMar>
    </w:tblPr>
  </w:style>
  <w:style w:type="table" w:styleId="925" w:customStyle="1">
    <w:name w:val="Bordered &amp; Lined - Accent 4"/>
    <w:uiPriority w:val="99"/>
    <w:qFormat/>
    <w:rPr>
      <w:color w:val="404040"/>
    </w:rPr>
    <w:tblPr>
      <w:tblCellMar>
        <w:left w:w="0" w:type="dxa"/>
        <w:top w:w="0" w:type="dxa"/>
        <w:right w:w="0" w:type="dxa"/>
        <w:bottom w:w="0" w:type="dxa"/>
      </w:tblCellMar>
    </w:tblPr>
  </w:style>
  <w:style w:type="table" w:styleId="926" w:customStyle="1">
    <w:name w:val="Bordered &amp; Lined - Accent 5"/>
    <w:uiPriority w:val="99"/>
    <w:qFormat/>
    <w:rPr>
      <w:color w:val="404040"/>
    </w:rPr>
    <w:tblPr>
      <w:tblCellMar>
        <w:left w:w="0" w:type="dxa"/>
        <w:top w:w="0" w:type="dxa"/>
        <w:right w:w="0" w:type="dxa"/>
        <w:bottom w:w="0" w:type="dxa"/>
      </w:tblCellMar>
    </w:tblPr>
  </w:style>
  <w:style w:type="table" w:styleId="927" w:customStyle="1">
    <w:name w:val="Bordered &amp; Lined - Accent 6"/>
    <w:uiPriority w:val="99"/>
    <w:qFormat/>
    <w:rPr>
      <w:color w:val="404040"/>
    </w:rPr>
    <w:tblPr>
      <w:tblCellMar>
        <w:left w:w="0" w:type="dxa"/>
        <w:top w:w="0" w:type="dxa"/>
        <w:right w:w="0" w:type="dxa"/>
        <w:bottom w:w="0" w:type="dxa"/>
      </w:tblCellMar>
    </w:tblPr>
  </w:style>
  <w:style w:type="table" w:styleId="928" w:customStyle="1">
    <w:name w:val="Bordered"/>
    <w:uiPriority w:val="99"/>
    <w:qFormat/>
    <w:tblPr>
      <w:tblCellMar>
        <w:left w:w="0" w:type="dxa"/>
        <w:top w:w="0" w:type="dxa"/>
        <w:right w:w="0" w:type="dxa"/>
        <w:bottom w:w="0" w:type="dxa"/>
      </w:tblCellMar>
    </w:tblPr>
  </w:style>
  <w:style w:type="table" w:styleId="929" w:customStyle="1">
    <w:name w:val="Bordered - Accent 1"/>
    <w:uiPriority w:val="99"/>
    <w:qFormat/>
    <w:tblPr>
      <w:tblCellMar>
        <w:left w:w="0" w:type="dxa"/>
        <w:top w:w="0" w:type="dxa"/>
        <w:right w:w="0" w:type="dxa"/>
        <w:bottom w:w="0" w:type="dxa"/>
      </w:tblCellMar>
    </w:tblPr>
  </w:style>
  <w:style w:type="table" w:styleId="930" w:customStyle="1">
    <w:name w:val="Bordered - Accent 2"/>
    <w:uiPriority w:val="99"/>
    <w:qFormat/>
    <w:tblPr>
      <w:tblCellMar>
        <w:left w:w="0" w:type="dxa"/>
        <w:top w:w="0" w:type="dxa"/>
        <w:right w:w="0" w:type="dxa"/>
        <w:bottom w:w="0" w:type="dxa"/>
      </w:tblCellMar>
    </w:tblPr>
  </w:style>
  <w:style w:type="table" w:styleId="931" w:customStyle="1">
    <w:name w:val="Bordered - Accent 3"/>
    <w:uiPriority w:val="99"/>
    <w:qFormat/>
    <w:tblPr>
      <w:tblCellMar>
        <w:left w:w="0" w:type="dxa"/>
        <w:top w:w="0" w:type="dxa"/>
        <w:right w:w="0" w:type="dxa"/>
        <w:bottom w:w="0" w:type="dxa"/>
      </w:tblCellMar>
    </w:tblPr>
  </w:style>
  <w:style w:type="table" w:styleId="932" w:customStyle="1">
    <w:name w:val="Bordered - Accent 4"/>
    <w:uiPriority w:val="99"/>
    <w:qFormat/>
    <w:tblPr>
      <w:tblCellMar>
        <w:left w:w="0" w:type="dxa"/>
        <w:top w:w="0" w:type="dxa"/>
        <w:right w:w="0" w:type="dxa"/>
        <w:bottom w:w="0" w:type="dxa"/>
      </w:tblCellMar>
    </w:tblPr>
  </w:style>
  <w:style w:type="table" w:styleId="933" w:customStyle="1">
    <w:name w:val="Bordered - Accent 5"/>
    <w:uiPriority w:val="99"/>
    <w:qFormat/>
    <w:tblPr>
      <w:tblCellMar>
        <w:left w:w="0" w:type="dxa"/>
        <w:top w:w="0" w:type="dxa"/>
        <w:right w:w="0" w:type="dxa"/>
        <w:bottom w:w="0" w:type="dxa"/>
      </w:tblCellMar>
    </w:tblPr>
  </w:style>
  <w:style w:type="table" w:styleId="934" w:customStyle="1">
    <w:name w:val="Bordered - Accent 6"/>
    <w:uiPriority w:val="99"/>
    <w:qFormat/>
    <w:tblPr>
      <w:tblCellMar>
        <w:left w:w="0" w:type="dxa"/>
        <w:top w:w="0" w:type="dxa"/>
        <w:right w:w="0" w:type="dxa"/>
        <w:bottom w:w="0" w:type="dxa"/>
      </w:tblCellMar>
    </w:tblPr>
  </w:style>
  <w:style w:type="paragraph" w:styleId="935" w:customStyle="1">
    <w:name w:val="TOC 标题2"/>
    <w:uiPriority w:val="39"/>
    <w:qFormat/>
    <w:rPr>
      <w:rFonts w:hint="default" w:ascii="Times New Roman" w:hAnsi="Times New Roman" w:eastAsia="宋体" w:cs="Times New Roman"/>
      <w:lang w:val="en-US" w:eastAsia="zh-CN" w:bidi="ar-SA"/>
    </w:rPr>
  </w:style>
  <w:style w:type="paragraph" w:styleId="936" w:customStyle="1">
    <w:name w:val="标题 11"/>
    <w:basedOn w:val="670"/>
    <w:next w:val="670"/>
    <w:link w:val="937"/>
    <w:uiPriority w:val="0"/>
    <w:qFormat/>
    <w:pPr>
      <w:keepLines/>
      <w:keepNext/>
      <w:spacing w:before="340" w:after="330" w:line="578" w:lineRule="auto"/>
      <w:outlineLvl w:val="0"/>
    </w:pPr>
    <w:rPr>
      <w:b/>
      <w:bCs/>
      <w:sz w:val="44"/>
      <w:szCs w:val="44"/>
    </w:rPr>
  </w:style>
  <w:style w:type="character" w:styleId="937" w:customStyle="1">
    <w:name w:val="标题 1 Char"/>
    <w:link w:val="936"/>
    <w:uiPriority w:val="0"/>
    <w:qFormat/>
    <w:rPr>
      <w:rFonts w:ascii="Times New Roman" w:hAnsi="Times New Roman" w:eastAsia="宋体" w:cs="Times New Roman"/>
      <w:b/>
      <w:bCs/>
      <w:sz w:val="44"/>
      <w:szCs w:val="44"/>
    </w:rPr>
  </w:style>
  <w:style w:type="paragraph" w:styleId="938" w:customStyle="1">
    <w:name w:val="标题 21"/>
    <w:basedOn w:val="670"/>
    <w:next w:val="670"/>
    <w:link w:val="939"/>
    <w:uiPriority w:val="9"/>
    <w:qFormat/>
    <w:pPr>
      <w:keepLines/>
      <w:keepNext/>
      <w:spacing w:before="260" w:after="260" w:line="416" w:lineRule="auto"/>
      <w:outlineLvl w:val="1"/>
    </w:pPr>
    <w:rPr>
      <w:rFonts w:ascii="Arial" w:hAnsi="Arial" w:eastAsia="黑体"/>
      <w:b/>
      <w:bCs/>
      <w:sz w:val="32"/>
      <w:szCs w:val="32"/>
    </w:rPr>
  </w:style>
  <w:style w:type="character" w:styleId="939" w:customStyle="1">
    <w:name w:val="标题 2 Char"/>
    <w:link w:val="938"/>
    <w:uiPriority w:val="9"/>
    <w:qFormat/>
    <w:rPr>
      <w:rFonts w:ascii="Arial" w:hAnsi="Arial" w:eastAsia="黑体" w:cs="Times New Roman"/>
      <w:b/>
      <w:bCs/>
      <w:sz w:val="32"/>
      <w:szCs w:val="32"/>
    </w:rPr>
  </w:style>
  <w:style w:type="paragraph" w:styleId="940" w:customStyle="1">
    <w:name w:val="标题 31"/>
    <w:basedOn w:val="670"/>
    <w:next w:val="670"/>
    <w:link w:val="941"/>
    <w:uiPriority w:val="0"/>
    <w:qFormat/>
    <w:pPr>
      <w:ind w:firstLine="49"/>
      <w:keepLines/>
      <w:keepNext/>
      <w:spacing w:before="20" w:after="20" w:line="415" w:lineRule="auto"/>
      <w:outlineLvl w:val="2"/>
    </w:pPr>
    <w:rPr>
      <w:rFonts w:hAnsi="黑体" w:eastAsia="黑体"/>
      <w:sz w:val="24"/>
      <w:szCs w:val="20"/>
    </w:rPr>
  </w:style>
  <w:style w:type="character" w:styleId="941" w:customStyle="1">
    <w:name w:val="标题 3 Char"/>
    <w:link w:val="940"/>
    <w:uiPriority w:val="0"/>
    <w:qFormat/>
    <w:rPr>
      <w:rFonts w:ascii="Times New Roman" w:hAnsi="黑体" w:eastAsia="黑体" w:cs="Times New Roman"/>
      <w:sz w:val="24"/>
      <w:szCs w:val="20"/>
    </w:rPr>
  </w:style>
  <w:style w:type="paragraph" w:styleId="942" w:customStyle="1">
    <w:name w:val="标题 41"/>
    <w:basedOn w:val="670"/>
    <w:next w:val="670"/>
    <w:link w:val="943"/>
    <w:uiPriority w:val="1"/>
    <w:qFormat/>
    <w:pPr>
      <w:keepLines/>
      <w:keepNext/>
      <w:spacing w:before="280" w:after="290" w:line="376" w:lineRule="auto"/>
      <w:outlineLvl w:val="3"/>
    </w:pPr>
    <w:rPr>
      <w:rFonts w:ascii="Cambria" w:hAnsi="Cambria"/>
      <w:b/>
      <w:bCs/>
      <w:sz w:val="28"/>
      <w:szCs w:val="28"/>
    </w:rPr>
  </w:style>
  <w:style w:type="character" w:styleId="943" w:customStyle="1">
    <w:name w:val="标题 4 Char"/>
    <w:link w:val="942"/>
    <w:uiPriority w:val="1"/>
    <w:qFormat/>
    <w:rPr>
      <w:rFonts w:ascii="Cambria" w:hAnsi="Cambria" w:eastAsia="宋体" w:cs="Times New Roman"/>
      <w:b/>
      <w:bCs/>
      <w:sz w:val="28"/>
      <w:szCs w:val="28"/>
    </w:rPr>
  </w:style>
  <w:style w:type="character" w:styleId="944" w:customStyle="1">
    <w:name w:val="默认段落字体1"/>
    <w:uiPriority w:val="1"/>
    <w:unhideWhenUsed/>
    <w:qFormat/>
  </w:style>
  <w:style w:type="table" w:styleId="945" w:customStyle="1">
    <w:name w:val="普通表格1"/>
    <w:uiPriority w:val="99"/>
    <w:unhideWhenUsed/>
    <w:qFormat/>
    <w:tblPr>
      <w:tblCellMar>
        <w:left w:w="0" w:type="dxa"/>
        <w:top w:w="0" w:type="dxa"/>
        <w:right w:w="0" w:type="dxa"/>
        <w:bottom w:w="0" w:type="dxa"/>
      </w:tblCellMar>
    </w:tblPr>
  </w:style>
  <w:style w:type="paragraph" w:styleId="946" w:customStyle="1">
    <w:name w:val="目录 71"/>
    <w:basedOn w:val="670"/>
    <w:next w:val="670"/>
    <w:uiPriority w:val="0"/>
    <w:qFormat/>
    <w:pPr>
      <w:ind w:left="1200"/>
    </w:pPr>
    <w:rPr>
      <w:szCs w:val="24"/>
    </w:rPr>
  </w:style>
  <w:style w:type="paragraph" w:styleId="947" w:customStyle="1">
    <w:name w:val="正文缩进1"/>
    <w:basedOn w:val="670"/>
    <w:uiPriority w:val="0"/>
    <w:qFormat/>
    <w:pPr>
      <w:ind w:firstLine="200"/>
    </w:pPr>
    <w:rPr>
      <w:szCs w:val="24"/>
    </w:rPr>
  </w:style>
  <w:style w:type="paragraph" w:styleId="948" w:customStyle="1">
    <w:name w:val="批注文字1"/>
    <w:basedOn w:val="670"/>
    <w:link w:val="949"/>
    <w:uiPriority w:val="0"/>
    <w:qFormat/>
    <w:pPr>
      <w:jc w:val="left"/>
    </w:pPr>
    <w:rPr>
      <w:sz w:val="20"/>
      <w:szCs w:val="24"/>
    </w:rPr>
  </w:style>
  <w:style w:type="character" w:styleId="949" w:customStyle="1">
    <w:name w:val="批注文字 Char"/>
    <w:link w:val="948"/>
    <w:uiPriority w:val="0"/>
    <w:qFormat/>
    <w:rPr>
      <w:rFonts w:ascii="Times New Roman" w:hAnsi="Times New Roman" w:eastAsia="宋体" w:cs="Times New Roman"/>
      <w:szCs w:val="24"/>
    </w:rPr>
  </w:style>
  <w:style w:type="paragraph" w:styleId="950" w:customStyle="1">
    <w:name w:val="正文文本1"/>
    <w:basedOn w:val="670"/>
    <w:next w:val="670"/>
    <w:link w:val="951"/>
    <w:uiPriority w:val="0"/>
    <w:qFormat/>
    <w:pPr>
      <w:spacing w:after="120"/>
    </w:pPr>
    <w:rPr>
      <w:sz w:val="20"/>
      <w:szCs w:val="24"/>
    </w:rPr>
  </w:style>
  <w:style w:type="character" w:styleId="951" w:customStyle="1">
    <w:name w:val="正文文本 Char"/>
    <w:link w:val="950"/>
    <w:uiPriority w:val="99"/>
    <w:qFormat/>
    <w:rPr>
      <w:rFonts w:ascii="Times New Roman" w:hAnsi="Times New Roman" w:eastAsia="宋体" w:cs="Times New Roman"/>
      <w:szCs w:val="24"/>
    </w:rPr>
  </w:style>
  <w:style w:type="paragraph" w:styleId="952" w:customStyle="1">
    <w:name w:val="目录 51"/>
    <w:basedOn w:val="670"/>
    <w:next w:val="670"/>
    <w:uiPriority w:val="0"/>
    <w:qFormat/>
    <w:pPr>
      <w:ind w:left="800"/>
    </w:pPr>
    <w:rPr>
      <w:szCs w:val="24"/>
    </w:rPr>
  </w:style>
  <w:style w:type="paragraph" w:styleId="953" w:customStyle="1">
    <w:name w:val="目录 31"/>
    <w:basedOn w:val="670"/>
    <w:next w:val="670"/>
    <w:uiPriority w:val="0"/>
    <w:qFormat/>
    <w:pPr>
      <w:ind w:left="400"/>
    </w:pPr>
    <w:rPr>
      <w:szCs w:val="24"/>
    </w:rPr>
  </w:style>
  <w:style w:type="paragraph" w:styleId="954" w:customStyle="1">
    <w:name w:val="纯文本2"/>
    <w:basedOn w:val="670"/>
    <w:link w:val="955"/>
    <w:uiPriority w:val="0"/>
    <w:qFormat/>
    <w:rPr>
      <w:rFonts w:ascii="宋体" w:hAnsi="Courier New"/>
      <w:sz w:val="20"/>
      <w:szCs w:val="20"/>
    </w:rPr>
  </w:style>
  <w:style w:type="character" w:styleId="955" w:customStyle="1">
    <w:name w:val="纯文本 Char"/>
    <w:link w:val="954"/>
    <w:uiPriority w:val="0"/>
    <w:qFormat/>
    <w:rPr>
      <w:rFonts w:ascii="宋体" w:hAnsi="Courier New" w:eastAsia="宋体" w:cs="Times New Roman"/>
      <w:szCs w:val="20"/>
    </w:rPr>
  </w:style>
  <w:style w:type="paragraph" w:styleId="956" w:customStyle="1">
    <w:name w:val="目录 81"/>
    <w:basedOn w:val="670"/>
    <w:next w:val="670"/>
    <w:uiPriority w:val="0"/>
    <w:qFormat/>
    <w:pPr>
      <w:ind w:left="1400"/>
    </w:pPr>
    <w:rPr>
      <w:szCs w:val="24"/>
    </w:rPr>
  </w:style>
  <w:style w:type="paragraph" w:styleId="957" w:customStyle="1">
    <w:name w:val="日期1"/>
    <w:basedOn w:val="670"/>
    <w:next w:val="670"/>
    <w:link w:val="958"/>
    <w:uiPriority w:val="0"/>
    <w:qFormat/>
    <w:rPr>
      <w:rFonts w:ascii="宋体" w:hAnsi="宋体" w:eastAsia="楷体_GB2312"/>
      <w:sz w:val="24"/>
      <w:szCs w:val="20"/>
    </w:rPr>
  </w:style>
  <w:style w:type="character" w:styleId="958" w:customStyle="1">
    <w:name w:val="日期 Char"/>
    <w:link w:val="957"/>
    <w:uiPriority w:val="0"/>
    <w:qFormat/>
    <w:rPr>
      <w:rFonts w:ascii="宋体" w:hAnsi="宋体" w:eastAsia="楷体_GB2312" w:cs="Times New Roman"/>
      <w:sz w:val="24"/>
      <w:szCs w:val="20"/>
    </w:rPr>
  </w:style>
  <w:style w:type="paragraph" w:styleId="959" w:customStyle="1">
    <w:name w:val="批注框文本1"/>
    <w:basedOn w:val="670"/>
    <w:link w:val="960"/>
    <w:uiPriority w:val="0"/>
    <w:qFormat/>
    <w:rPr>
      <w:sz w:val="18"/>
      <w:szCs w:val="18"/>
    </w:rPr>
  </w:style>
  <w:style w:type="character" w:styleId="960" w:customStyle="1">
    <w:name w:val="批注框文本 Char"/>
    <w:link w:val="959"/>
    <w:uiPriority w:val="0"/>
    <w:qFormat/>
    <w:rPr>
      <w:rFonts w:ascii="Times New Roman" w:hAnsi="Times New Roman" w:eastAsia="宋体" w:cs="Times New Roman"/>
      <w:sz w:val="18"/>
      <w:szCs w:val="18"/>
    </w:rPr>
  </w:style>
  <w:style w:type="paragraph" w:styleId="961" w:customStyle="1">
    <w:name w:val="页脚1"/>
    <w:basedOn w:val="670"/>
    <w:link w:val="962"/>
    <w:uiPriority w:val="99"/>
    <w:qFormat/>
    <w:pPr>
      <w:jc w:val="left"/>
      <w:tabs>
        <w:tab w:val="center" w:pos="4153" w:leader="none"/>
        <w:tab w:val="right" w:pos="8306" w:leader="none"/>
      </w:tabs>
    </w:pPr>
    <w:rPr>
      <w:sz w:val="18"/>
      <w:szCs w:val="20"/>
    </w:rPr>
  </w:style>
  <w:style w:type="character" w:styleId="962" w:customStyle="1">
    <w:name w:val="页脚 Char"/>
    <w:link w:val="961"/>
    <w:uiPriority w:val="99"/>
    <w:qFormat/>
    <w:rPr>
      <w:rFonts w:ascii="Times New Roman" w:hAnsi="Times New Roman" w:eastAsia="宋体" w:cs="Times New Roman"/>
      <w:sz w:val="18"/>
      <w:szCs w:val="20"/>
    </w:rPr>
  </w:style>
  <w:style w:type="paragraph" w:styleId="963" w:customStyle="1">
    <w:name w:val="页眉1"/>
    <w:basedOn w:val="670"/>
    <w:link w:val="964"/>
    <w:uiPriority w:val="0"/>
    <w:qFormat/>
    <w:pPr>
      <w:jc w:val="center"/>
      <w:tabs>
        <w:tab w:val="center" w:pos="4153" w:leader="none"/>
        <w:tab w:val="right" w:pos="8306" w:leader="none"/>
      </w:tabs>
      <w:pBdr>
        <w:bottom w:val="single" w:color="000000" w:sz="6" w:space="1"/>
      </w:pBdr>
    </w:pPr>
    <w:rPr>
      <w:sz w:val="18"/>
      <w:szCs w:val="18"/>
    </w:rPr>
  </w:style>
  <w:style w:type="character" w:styleId="964" w:customStyle="1">
    <w:name w:val="页眉 Char"/>
    <w:link w:val="963"/>
    <w:uiPriority w:val="0"/>
    <w:qFormat/>
    <w:rPr>
      <w:rFonts w:ascii="Times New Roman" w:hAnsi="Times New Roman" w:eastAsia="宋体" w:cs="Times New Roman"/>
      <w:sz w:val="18"/>
      <w:szCs w:val="18"/>
    </w:rPr>
  </w:style>
  <w:style w:type="paragraph" w:styleId="965" w:customStyle="1">
    <w:name w:val="目录 11"/>
    <w:basedOn w:val="670"/>
    <w:next w:val="670"/>
    <w:uiPriority w:val="39"/>
    <w:qFormat/>
    <w:rPr>
      <w:szCs w:val="24"/>
    </w:rPr>
  </w:style>
  <w:style w:type="paragraph" w:styleId="966" w:customStyle="1">
    <w:name w:val="目录 41"/>
    <w:basedOn w:val="670"/>
    <w:next w:val="670"/>
    <w:uiPriority w:val="0"/>
    <w:qFormat/>
    <w:pPr>
      <w:ind w:left="600"/>
    </w:pPr>
    <w:rPr>
      <w:szCs w:val="24"/>
    </w:rPr>
  </w:style>
  <w:style w:type="paragraph" w:styleId="967" w:customStyle="1">
    <w:name w:val="脚注文本1"/>
    <w:basedOn w:val="670"/>
    <w:link w:val="968"/>
    <w:uiPriority w:val="0"/>
    <w:qFormat/>
    <w:pPr>
      <w:jc w:val="left"/>
    </w:pPr>
    <w:rPr>
      <w:sz w:val="18"/>
      <w:szCs w:val="18"/>
    </w:rPr>
  </w:style>
  <w:style w:type="character" w:styleId="968" w:customStyle="1">
    <w:name w:val="脚注文本 Char"/>
    <w:link w:val="967"/>
    <w:uiPriority w:val="0"/>
    <w:qFormat/>
    <w:rPr>
      <w:rFonts w:ascii="Times New Roman" w:hAnsi="Times New Roman" w:eastAsia="宋体" w:cs="Times New Roman"/>
      <w:sz w:val="18"/>
      <w:szCs w:val="18"/>
    </w:rPr>
  </w:style>
  <w:style w:type="paragraph" w:styleId="969" w:customStyle="1">
    <w:name w:val="目录 61"/>
    <w:basedOn w:val="670"/>
    <w:next w:val="670"/>
    <w:uiPriority w:val="0"/>
    <w:qFormat/>
    <w:pPr>
      <w:ind w:left="1000"/>
    </w:pPr>
    <w:rPr>
      <w:szCs w:val="24"/>
    </w:rPr>
  </w:style>
  <w:style w:type="paragraph" w:styleId="970" w:customStyle="1">
    <w:name w:val="目录 21"/>
    <w:basedOn w:val="670"/>
    <w:next w:val="670"/>
    <w:uiPriority w:val="0"/>
    <w:qFormat/>
    <w:pPr>
      <w:ind w:left="200"/>
    </w:pPr>
    <w:rPr>
      <w:szCs w:val="24"/>
    </w:rPr>
  </w:style>
  <w:style w:type="paragraph" w:styleId="971" w:customStyle="1">
    <w:name w:val="目录 91"/>
    <w:basedOn w:val="670"/>
    <w:next w:val="670"/>
    <w:uiPriority w:val="0"/>
    <w:qFormat/>
    <w:pPr>
      <w:ind w:left="1600"/>
    </w:pPr>
    <w:rPr>
      <w:szCs w:val="24"/>
    </w:rPr>
  </w:style>
  <w:style w:type="paragraph" w:styleId="972" w:customStyle="1">
    <w:name w:val="普通(网站)1"/>
    <w:basedOn w:val="670"/>
    <w:uiPriority w:val="0"/>
    <w:qFormat/>
    <w:pPr>
      <w:jc w:val="left"/>
      <w:spacing w:beforeAutospacing="1" w:afterAutospacing="1"/>
    </w:pPr>
    <w:rPr>
      <w:sz w:val="24"/>
      <w:szCs w:val="24"/>
    </w:rPr>
  </w:style>
  <w:style w:type="paragraph" w:styleId="973" w:customStyle="1">
    <w:name w:val="批注主题1"/>
    <w:basedOn w:val="948"/>
    <w:next w:val="948"/>
    <w:link w:val="974"/>
    <w:uiPriority w:val="0"/>
    <w:qFormat/>
    <w:rPr>
      <w:b/>
      <w:bCs/>
    </w:rPr>
  </w:style>
  <w:style w:type="character" w:styleId="974" w:customStyle="1">
    <w:name w:val="批注主题 Char"/>
    <w:link w:val="973"/>
    <w:uiPriority w:val="0"/>
    <w:qFormat/>
    <w:rPr>
      <w:rFonts w:ascii="Times New Roman" w:hAnsi="Times New Roman" w:eastAsia="宋体" w:cs="Times New Roman"/>
      <w:b/>
      <w:bCs/>
      <w:szCs w:val="24"/>
    </w:rPr>
  </w:style>
  <w:style w:type="table" w:styleId="975" w:customStyle="1">
    <w:name w:val="网格型1"/>
    <w:basedOn w:val="945"/>
    <w:uiPriority w:val="0"/>
    <w:qFormat/>
    <w:pPr>
      <w:jc w:val="both"/>
      <w:widowControl w:val="off"/>
    </w:pPr>
    <w:tblPr/>
  </w:style>
  <w:style w:type="character" w:styleId="976" w:customStyle="1">
    <w:name w:val="要点1"/>
    <w:uiPriority w:val="0"/>
    <w:qFormat/>
    <w:rPr>
      <w:b/>
      <w:sz w:val="24"/>
      <w:szCs w:val="24"/>
    </w:rPr>
  </w:style>
  <w:style w:type="character" w:styleId="977" w:customStyle="1">
    <w:name w:val="访问过的超链接1"/>
    <w:uiPriority w:val="0"/>
    <w:qFormat/>
    <w:rPr>
      <w:color w:val="800080"/>
      <w:u w:val="none"/>
    </w:rPr>
  </w:style>
  <w:style w:type="character" w:styleId="978" w:customStyle="1">
    <w:name w:val="强调1"/>
    <w:uiPriority w:val="0"/>
    <w:qFormat/>
    <w:rPr>
      <w:color w:val="cc0000"/>
      <w:sz w:val="24"/>
      <w:szCs w:val="24"/>
    </w:rPr>
  </w:style>
  <w:style w:type="character" w:styleId="979" w:customStyle="1">
    <w:name w:val="HTML 定义1"/>
    <w:uiPriority w:val="0"/>
    <w:qFormat/>
  </w:style>
  <w:style w:type="character" w:styleId="980" w:customStyle="1">
    <w:name w:val="HTML 缩写1"/>
    <w:uiPriority w:val="0"/>
    <w:qFormat/>
  </w:style>
  <w:style w:type="character" w:styleId="981" w:customStyle="1">
    <w:name w:val="HTML 变量1"/>
    <w:uiPriority w:val="0"/>
    <w:qFormat/>
  </w:style>
  <w:style w:type="character" w:styleId="982" w:customStyle="1">
    <w:name w:val="超链接1"/>
    <w:uiPriority w:val="99"/>
    <w:qFormat/>
    <w:rPr>
      <w:color w:val="555555"/>
      <w:u w:val="none"/>
    </w:rPr>
  </w:style>
  <w:style w:type="character" w:styleId="983" w:customStyle="1">
    <w:name w:val="HTML 代码1"/>
    <w:uiPriority w:val="0"/>
    <w:qFormat/>
    <w:rPr>
      <w:rFonts w:ascii="monospace" w:hAnsi="monospace" w:eastAsia="monospace" w:cs="monospace"/>
      <w:color w:val="555555"/>
      <w:sz w:val="24"/>
      <w:szCs w:val="24"/>
      <w:u w:val="none"/>
    </w:rPr>
  </w:style>
  <w:style w:type="character" w:styleId="984" w:customStyle="1">
    <w:name w:val="批注引用1"/>
    <w:uiPriority w:val="0"/>
    <w:qFormat/>
    <w:rPr>
      <w:sz w:val="21"/>
      <w:szCs w:val="21"/>
    </w:rPr>
  </w:style>
  <w:style w:type="character" w:styleId="985" w:customStyle="1">
    <w:name w:val="HTML 引文1"/>
    <w:uiPriority w:val="0"/>
    <w:qFormat/>
  </w:style>
  <w:style w:type="character" w:styleId="986" w:customStyle="1">
    <w:name w:val="脚注引用1"/>
    <w:uiPriority w:val="0"/>
    <w:qFormat/>
    <w:rPr>
      <w:vertAlign w:val="superscript"/>
    </w:rPr>
  </w:style>
  <w:style w:type="character" w:styleId="987" w:customStyle="1">
    <w:name w:val="HTML 键盘1"/>
    <w:uiPriority w:val="0"/>
    <w:qFormat/>
    <w:rPr>
      <w:rFonts w:ascii="monospace" w:hAnsi="monospace" w:eastAsia="monospace" w:cs="monospace"/>
      <w:sz w:val="24"/>
      <w:szCs w:val="24"/>
    </w:rPr>
  </w:style>
  <w:style w:type="character" w:styleId="988" w:customStyle="1">
    <w:name w:val="HTML 样本1"/>
    <w:uiPriority w:val="0"/>
    <w:qFormat/>
    <w:rPr>
      <w:rFonts w:ascii="monospace" w:hAnsi="monospace" w:eastAsia="monospace" w:cs="monospace"/>
      <w:sz w:val="24"/>
      <w:szCs w:val="24"/>
    </w:rPr>
  </w:style>
  <w:style w:type="paragraph" w:styleId="989" w:customStyle="1">
    <w:name w:val="段"/>
    <w:next w:val="670"/>
    <w:uiPriority w:val="0"/>
    <w:qFormat/>
    <w:pPr>
      <w:ind w:firstLine="200"/>
      <w:jc w:val="both"/>
    </w:pPr>
    <w:rPr>
      <w:rFonts w:hint="default" w:ascii="宋体" w:hAnsi="Times New Roman" w:eastAsia="宋体" w:cs="Times New Roman"/>
      <w:sz w:val="21"/>
      <w:lang w:val="en-US" w:eastAsia="zh-CN" w:bidi="ar-SA"/>
    </w:rPr>
  </w:style>
  <w:style w:type="character" w:styleId="990" w:customStyle="1">
    <w:name w:val="place2"/>
    <w:uiPriority w:val="0"/>
    <w:qFormat/>
    <w:rPr>
      <w:rFonts w:ascii="微软雅黑" w:hAnsi="微软雅黑" w:eastAsia="微软雅黑" w:cs="微软雅黑"/>
      <w:color w:val="888888"/>
      <w:sz w:val="25"/>
      <w:szCs w:val="25"/>
    </w:rPr>
  </w:style>
  <w:style w:type="character" w:styleId="991" w:customStyle="1">
    <w:name w:val="ui-bz-bg-hover"/>
    <w:uiPriority w:val="0"/>
    <w:qFormat/>
    <w:rPr>
      <w:shd w:val="clear" w:color="auto" w:fill="000000"/>
    </w:rPr>
  </w:style>
  <w:style w:type="character" w:styleId="992" w:customStyle="1">
    <w:name w:val="font1"/>
    <w:uiPriority w:val="0"/>
    <w:qFormat/>
  </w:style>
  <w:style w:type="character" w:styleId="993" w:customStyle="1">
    <w:name w:val="place3"/>
    <w:uiPriority w:val="0"/>
    <w:qFormat/>
  </w:style>
  <w:style w:type="character" w:styleId="994" w:customStyle="1">
    <w:name w:val="bds_more1"/>
    <w:uiPriority w:val="0"/>
    <w:qFormat/>
  </w:style>
  <w:style w:type="character" w:styleId="995" w:customStyle="1">
    <w:name w:val="bds_nopic1"/>
    <w:uiPriority w:val="0"/>
    <w:qFormat/>
  </w:style>
  <w:style w:type="character" w:styleId="996" w:customStyle="1">
    <w:name w:val="redfilefwwh"/>
    <w:uiPriority w:val="0"/>
    <w:qFormat/>
    <w:rPr>
      <w:color w:val="ba2636"/>
      <w:sz w:val="18"/>
      <w:szCs w:val="18"/>
    </w:rPr>
  </w:style>
  <w:style w:type="character" w:styleId="997" w:customStyle="1">
    <w:name w:val="bds_nopic2"/>
    <w:uiPriority w:val="0"/>
    <w:qFormat/>
  </w:style>
  <w:style w:type="character" w:styleId="998" w:customStyle="1">
    <w:name w:val="top-icon"/>
    <w:uiPriority w:val="0"/>
    <w:qFormat/>
  </w:style>
  <w:style w:type="character" w:styleId="999" w:customStyle="1">
    <w:name w:val="no42"/>
    <w:uiPriority w:val="0"/>
    <w:qFormat/>
  </w:style>
  <w:style w:type="character" w:styleId="1000" w:customStyle="1">
    <w:name w:val="hover"/>
    <w:uiPriority w:val="0"/>
    <w:qFormat/>
    <w:rPr>
      <w:color w:val="025291"/>
    </w:rPr>
  </w:style>
  <w:style w:type="character" w:styleId="1001" w:customStyle="1">
    <w:name w:val="qxdate"/>
    <w:uiPriority w:val="0"/>
    <w:qFormat/>
    <w:rPr>
      <w:color w:val="333333"/>
      <w:sz w:val="18"/>
      <w:szCs w:val="18"/>
    </w:rPr>
  </w:style>
  <w:style w:type="character" w:styleId="1002" w:customStyle="1">
    <w:name w:val="displayarti"/>
    <w:uiPriority w:val="0"/>
    <w:qFormat/>
    <w:rPr>
      <w:color w:val="ffffff"/>
      <w:shd w:val="clear" w:color="auto" w:fill="a00000"/>
    </w:rPr>
  </w:style>
  <w:style w:type="character" w:styleId="1003" w:customStyle="1">
    <w:name w:val="tip7"/>
    <w:uiPriority w:val="0"/>
    <w:qFormat/>
    <w:rPr>
      <w:vanish/>
      <w:color w:val="ff0000"/>
      <w:sz w:val="18"/>
      <w:szCs w:val="18"/>
    </w:rPr>
  </w:style>
  <w:style w:type="character" w:styleId="1004" w:customStyle="1">
    <w:name w:val="orange6"/>
    <w:uiPriority w:val="0"/>
    <w:qFormat/>
    <w:rPr>
      <w:color w:val="3fb58f"/>
    </w:rPr>
  </w:style>
  <w:style w:type="character" w:styleId="1005" w:customStyle="1">
    <w:name w:val="ico-jiang1"/>
    <w:uiPriority w:val="0"/>
    <w:qFormat/>
  </w:style>
  <w:style w:type="character" w:styleId="1006" w:customStyle="1">
    <w:name w:val="font"/>
    <w:uiPriority w:val="0"/>
    <w:qFormat/>
  </w:style>
  <w:style w:type="character" w:styleId="1007" w:customStyle="1">
    <w:name w:val="prev"/>
    <w:uiPriority w:val="0"/>
    <w:qFormat/>
    <w:rPr>
      <w:color w:val="888888"/>
    </w:rPr>
  </w:style>
  <w:style w:type="character" w:styleId="1008" w:customStyle="1">
    <w:name w:val="no72"/>
    <w:uiPriority w:val="0"/>
    <w:qFormat/>
  </w:style>
  <w:style w:type="character" w:styleId="1009" w:customStyle="1">
    <w:name w:val="ui-bz-bg-hover1"/>
    <w:uiPriority w:val="0"/>
    <w:qFormat/>
  </w:style>
  <w:style w:type="character" w:styleId="1010" w:customStyle="1">
    <w:name w:val="font31"/>
    <w:uiPriority w:val="0"/>
    <w:qFormat/>
    <w:rPr>
      <w:rFonts w:hint="eastAsia" w:ascii="宋体" w:hAnsi="宋体" w:eastAsia="宋体" w:cs="宋体"/>
      <w:color w:val="000000"/>
      <w:sz w:val="22"/>
      <w:szCs w:val="22"/>
      <w:u w:val="none"/>
    </w:rPr>
  </w:style>
  <w:style w:type="character" w:styleId="1011" w:customStyle="1">
    <w:name w:val="font41"/>
    <w:uiPriority w:val="0"/>
    <w:qFormat/>
    <w:rPr>
      <w:rFonts w:hint="eastAsia" w:ascii="宋体" w:hAnsi="宋体" w:eastAsia="宋体" w:cs="宋体"/>
      <w:color w:val="000000"/>
      <w:sz w:val="22"/>
      <w:szCs w:val="22"/>
      <w:u w:val="none"/>
    </w:rPr>
  </w:style>
  <w:style w:type="character" w:styleId="1012" w:customStyle="1">
    <w:name w:val="ico-jiang"/>
    <w:uiPriority w:val="0"/>
    <w:qFormat/>
  </w:style>
  <w:style w:type="character" w:styleId="1013" w:customStyle="1">
    <w:name w:val="f-star"/>
    <w:uiPriority w:val="0"/>
    <w:qFormat/>
    <w:rPr>
      <w:color w:val="999999"/>
      <w:sz w:val="21"/>
      <w:szCs w:val="21"/>
    </w:rPr>
  </w:style>
  <w:style w:type="character" w:styleId="1014" w:customStyle="1">
    <w:name w:val="next3"/>
    <w:uiPriority w:val="0"/>
    <w:qFormat/>
    <w:rPr>
      <w:rFonts w:hint="eastAsia" w:ascii="微软雅黑" w:hAnsi="微软雅黑" w:eastAsia="微软雅黑" w:cs="微软雅黑"/>
      <w:sz w:val="21"/>
      <w:szCs w:val="21"/>
    </w:rPr>
  </w:style>
  <w:style w:type="character" w:styleId="1015" w:customStyle="1">
    <w:name w:val="bds_more"/>
    <w:uiPriority w:val="0"/>
    <w:qFormat/>
    <w:rPr>
      <w:rFonts w:hint="eastAsia" w:ascii="宋体" w:hAnsi="宋体" w:eastAsia="宋体" w:cs="宋体"/>
    </w:rPr>
  </w:style>
  <w:style w:type="character" w:styleId="1016" w:customStyle="1">
    <w:name w:val="font11"/>
    <w:uiPriority w:val="0"/>
    <w:qFormat/>
    <w:rPr>
      <w:rFonts w:hint="eastAsia" w:ascii="仿宋" w:hAnsi="仿宋" w:eastAsia="仿宋" w:cs="仿宋"/>
      <w:color w:val="000000"/>
      <w:sz w:val="24"/>
      <w:szCs w:val="24"/>
      <w:u w:val="none"/>
    </w:rPr>
  </w:style>
  <w:style w:type="character" w:styleId="1017" w:customStyle="1">
    <w:name w:val="redfilenumber"/>
    <w:uiPriority w:val="0"/>
    <w:qFormat/>
    <w:rPr>
      <w:color w:val="ba2636"/>
      <w:sz w:val="18"/>
      <w:szCs w:val="18"/>
    </w:rPr>
  </w:style>
  <w:style w:type="character" w:styleId="1018" w:customStyle="1">
    <w:name w:val="cfdate"/>
    <w:uiPriority w:val="0"/>
    <w:qFormat/>
    <w:rPr>
      <w:color w:val="333333"/>
      <w:sz w:val="18"/>
      <w:szCs w:val="18"/>
    </w:rPr>
  </w:style>
  <w:style w:type="character" w:styleId="1019" w:customStyle="1">
    <w:name w:val="next2"/>
    <w:uiPriority w:val="0"/>
    <w:qFormat/>
    <w:rPr>
      <w:color w:val="888888"/>
    </w:rPr>
  </w:style>
  <w:style w:type="character" w:styleId="1020" w:customStyle="1">
    <w:name w:val="font61"/>
    <w:uiPriority w:val="0"/>
    <w:qFormat/>
    <w:rPr>
      <w:rFonts w:hint="eastAsia" w:ascii="宋体" w:hAnsi="宋体" w:eastAsia="宋体" w:cs="宋体"/>
      <w:color w:val="000000"/>
      <w:sz w:val="22"/>
      <w:szCs w:val="22"/>
      <w:u w:val="none"/>
    </w:rPr>
  </w:style>
  <w:style w:type="character" w:styleId="1021" w:customStyle="1">
    <w:name w:val="bds_nopic"/>
    <w:uiPriority w:val="0"/>
    <w:qFormat/>
  </w:style>
  <w:style w:type="character" w:styleId="1022" w:customStyle="1">
    <w:name w:val="laypage_curr"/>
    <w:uiPriority w:val="0"/>
    <w:qFormat/>
    <w:rPr>
      <w:color w:val="fffdf4"/>
      <w:shd w:val="clear" w:color="auto" w:fill="0b67a6"/>
    </w:rPr>
  </w:style>
  <w:style w:type="character" w:styleId="1023" w:customStyle="1">
    <w:name w:val="gwds_nopic2"/>
    <w:uiPriority w:val="0"/>
    <w:qFormat/>
  </w:style>
  <w:style w:type="character" w:styleId="1024" w:customStyle="1">
    <w:name w:val="no62"/>
    <w:uiPriority w:val="0"/>
    <w:qFormat/>
  </w:style>
  <w:style w:type="character" w:styleId="1025" w:customStyle="1">
    <w:name w:val="font21"/>
    <w:basedOn w:val="680"/>
    <w:uiPriority w:val="0"/>
    <w:qFormat/>
    <w:rPr>
      <w:rFonts w:hint="eastAsia" w:ascii="宋体" w:hAnsi="宋体" w:eastAsia="宋体" w:cs="宋体"/>
      <w:color w:val="000000"/>
      <w:sz w:val="24"/>
      <w:szCs w:val="24"/>
      <w:u w:val="none"/>
    </w:rPr>
  </w:style>
  <w:style w:type="character" w:styleId="1026" w:customStyle="1">
    <w:name w:val="hover17"/>
    <w:uiPriority w:val="0"/>
    <w:qFormat/>
    <w:rPr>
      <w:color w:val="025291"/>
    </w:rPr>
  </w:style>
  <w:style w:type="character" w:styleId="1027" w:customStyle="1">
    <w:name w:val="prev1"/>
    <w:uiPriority w:val="0"/>
    <w:qFormat/>
    <w:rPr>
      <w:rFonts w:ascii="微软雅黑" w:hAnsi="微软雅黑" w:eastAsia="微软雅黑" w:cs="微软雅黑"/>
      <w:sz w:val="21"/>
      <w:szCs w:val="21"/>
    </w:rPr>
  </w:style>
  <w:style w:type="character" w:styleId="1028" w:customStyle="1">
    <w:name w:val="t-tag"/>
    <w:uiPriority w:val="0"/>
    <w:qFormat/>
    <w:rPr>
      <w:color w:val="ffffff"/>
      <w:sz w:val="18"/>
      <w:szCs w:val="18"/>
      <w:shd w:val="clear" w:color="auto" w:fill="fe8833"/>
    </w:rPr>
  </w:style>
  <w:style w:type="character" w:styleId="1029" w:customStyle="1">
    <w:name w:val="org_name2"/>
    <w:uiPriority w:val="0"/>
    <w:qFormat/>
    <w:rPr>
      <w:color w:val="ff0000"/>
      <w:sz w:val="21"/>
      <w:szCs w:val="21"/>
    </w:rPr>
  </w:style>
  <w:style w:type="character" w:styleId="1030" w:customStyle="1">
    <w:name w:val="font01"/>
    <w:basedOn w:val="680"/>
    <w:uiPriority w:val="99"/>
    <w:qFormat/>
    <w:rPr>
      <w:rFonts w:hint="eastAsia" w:ascii="宋体" w:hAnsi="宋体" w:eastAsia="宋体" w:cs="宋体"/>
      <w:color w:val="000000"/>
      <w:sz w:val="22"/>
      <w:szCs w:val="22"/>
      <w:u w:val="none"/>
    </w:rPr>
  </w:style>
  <w:style w:type="character" w:styleId="1031" w:customStyle="1">
    <w:name w:val="noline"/>
    <w:uiPriority w:val="0"/>
    <w:qFormat/>
  </w:style>
  <w:style w:type="character" w:styleId="1032" w:customStyle="1">
    <w:name w:val="place"/>
    <w:uiPriority w:val="0"/>
    <w:qFormat/>
  </w:style>
  <w:style w:type="character" w:styleId="1033" w:customStyle="1">
    <w:name w:val="place1"/>
    <w:uiPriority w:val="0"/>
    <w:qFormat/>
  </w:style>
  <w:style w:type="character" w:styleId="1034" w:customStyle="1">
    <w:name w:val="no52"/>
    <w:uiPriority w:val="0"/>
    <w:qFormat/>
  </w:style>
  <w:style w:type="character" w:styleId="1035" w:customStyle="1">
    <w:name w:val="my-notice1"/>
    <w:uiPriority w:val="0"/>
    <w:qFormat/>
  </w:style>
  <w:style w:type="character" w:styleId="1036" w:customStyle="1">
    <w:name w:val="gjfg"/>
    <w:uiPriority w:val="0"/>
    <w:qFormat/>
  </w:style>
  <w:style w:type="character" w:styleId="1037" w:customStyle="1">
    <w:name w:val="gwds_nopic1"/>
    <w:uiPriority w:val="0"/>
    <w:qFormat/>
  </w:style>
  <w:style w:type="character" w:styleId="1038" w:customStyle="1">
    <w:name w:val="gwds_nopic"/>
    <w:uiPriority w:val="0"/>
    <w:qFormat/>
  </w:style>
  <w:style w:type="character" w:styleId="1039" w:customStyle="1">
    <w:name w:val="bds_more2"/>
    <w:uiPriority w:val="0"/>
    <w:qFormat/>
  </w:style>
  <w:style w:type="character" w:styleId="1040" w:customStyle="1">
    <w:name w:val="my-class"/>
    <w:uiPriority w:val="0"/>
    <w:qFormat/>
  </w:style>
  <w:style w:type="character" w:styleId="1041" w:customStyle="1">
    <w:name w:val="hover18"/>
    <w:uiPriority w:val="0"/>
    <w:qFormat/>
    <w:rPr>
      <w:color w:val="025291"/>
    </w:rPr>
  </w:style>
  <w:style w:type="character" w:styleId="1042" w:customStyle="1">
    <w:name w:val="tip6"/>
    <w:uiPriority w:val="0"/>
    <w:qFormat/>
  </w:style>
  <w:style w:type="character" w:styleId="1043" w:customStyle="1">
    <w:name w:val="nth-child(1)"/>
    <w:uiPriority w:val="0"/>
    <w:qFormat/>
  </w:style>
  <w:style w:type="character" w:styleId="1044" w:customStyle="1">
    <w:name w:val="nth-child(1)1"/>
    <w:uiPriority w:val="0"/>
    <w:qFormat/>
  </w:style>
  <w:style w:type="character" w:styleId="1045" w:customStyle="1">
    <w:name w:val="pause-close"/>
    <w:uiPriority w:val="0"/>
    <w:qFormat/>
  </w:style>
  <w:style w:type="character" w:styleId="1046" w:customStyle="1">
    <w:name w:val="before"/>
    <w:uiPriority w:val="0"/>
    <w:qFormat/>
  </w:style>
  <w:style w:type="character" w:styleId="1047" w:customStyle="1">
    <w:name w:val="before1"/>
    <w:uiPriority w:val="0"/>
    <w:qFormat/>
  </w:style>
  <w:style w:type="character" w:styleId="1048" w:customStyle="1">
    <w:name w:val="after2"/>
    <w:uiPriority w:val="0"/>
    <w:qFormat/>
  </w:style>
  <w:style w:type="character" w:styleId="1049" w:customStyle="1">
    <w:name w:val="nth-child(2)"/>
    <w:uiPriority w:val="0"/>
    <w:qFormat/>
    <w:rPr>
      <w:b/>
      <w:sz w:val="36"/>
      <w:szCs w:val="36"/>
    </w:rPr>
  </w:style>
  <w:style w:type="character" w:styleId="1050" w:customStyle="1">
    <w:name w:val="nth-child(2)1"/>
    <w:uiPriority w:val="0"/>
    <w:qFormat/>
    <w:rPr>
      <w:rFonts w:ascii="iconfont" w:hAnsi="iconfont" w:eastAsia="iconfont" w:cs="iconfont"/>
    </w:rPr>
  </w:style>
  <w:style w:type="character" w:styleId="1051" w:customStyle="1">
    <w:name w:val="more1"/>
    <w:uiPriority w:val="0"/>
    <w:qFormat/>
    <w:rPr>
      <w:color w:val="666666"/>
      <w:sz w:val="18"/>
      <w:szCs w:val="18"/>
    </w:rPr>
  </w:style>
  <w:style w:type="character" w:styleId="1052" w:customStyle="1">
    <w:name w:val="ing"/>
    <w:uiPriority w:val="0"/>
    <w:qFormat/>
    <w:rPr>
      <w:color w:val="00b882"/>
    </w:rPr>
  </w:style>
  <w:style w:type="character" w:styleId="1053" w:customStyle="1">
    <w:name w:val="ing1"/>
    <w:uiPriority w:val="0"/>
    <w:qFormat/>
    <w:rPr>
      <w:color w:val="00b882"/>
    </w:rPr>
  </w:style>
  <w:style w:type="character" w:styleId="1054" w:customStyle="1">
    <w:name w:val="bg-icon2"/>
    <w:uiPriority w:val="0"/>
    <w:qFormat/>
    <w:rPr>
      <w:color w:val="00b28e"/>
    </w:rPr>
  </w:style>
  <w:style w:type="character" w:styleId="1055" w:customStyle="1">
    <w:name w:val="text6"/>
    <w:uiPriority w:val="0"/>
    <w:qFormat/>
  </w:style>
  <w:style w:type="character" w:styleId="1056" w:customStyle="1">
    <w:name w:val="hover34"/>
    <w:uiPriority w:val="0"/>
    <w:qFormat/>
    <w:rPr>
      <w:color w:val="00b882"/>
      <w:u w:val="single"/>
    </w:rPr>
  </w:style>
  <w:style w:type="character" w:styleId="1057" w:customStyle="1">
    <w:name w:val="hover35"/>
    <w:uiPriority w:val="0"/>
    <w:qFormat/>
    <w:rPr>
      <w:color w:val="ffffff"/>
    </w:rPr>
  </w:style>
  <w:style w:type="character" w:styleId="1058" w:customStyle="1">
    <w:name w:val="icons14"/>
    <w:uiPriority w:val="0"/>
    <w:qFormat/>
  </w:style>
  <w:style w:type="character" w:styleId="1059" w:customStyle="1">
    <w:name w:val="default-color"/>
    <w:uiPriority w:val="0"/>
    <w:qFormat/>
    <w:rPr>
      <w:sz w:val="24"/>
      <w:szCs w:val="24"/>
    </w:rPr>
  </w:style>
  <w:style w:type="character" w:styleId="1060" w:customStyle="1">
    <w:name w:val="default-color1"/>
    <w:uiPriority w:val="0"/>
    <w:qFormat/>
  </w:style>
  <w:style w:type="character" w:styleId="1061" w:customStyle="1">
    <w:name w:val="complete2"/>
    <w:uiPriority w:val="0"/>
    <w:qFormat/>
    <w:rPr>
      <w:shd w:val="clear" w:color="auto" w:fill="4bb7ce"/>
    </w:rPr>
  </w:style>
  <w:style w:type="paragraph" w:styleId="1062" w:customStyle="1">
    <w:name w:val="样式 标题 3 + (中文) 黑体 小四 非加粗 段前: 7.8 磅 段后: 0 磅 行距: 固定值 20 磅"/>
    <w:basedOn w:val="940"/>
    <w:uiPriority w:val="0"/>
    <w:qFormat/>
    <w:pPr>
      <w:spacing w:before="0" w:after="0" w:line="400" w:lineRule="exact"/>
    </w:pPr>
    <w:rPr>
      <w:rFonts w:cs="宋体"/>
    </w:rPr>
  </w:style>
  <w:style w:type="paragraph" w:styleId="1063" w:customStyle="1">
    <w:name w:val="列出段落3"/>
    <w:basedOn w:val="670"/>
    <w:uiPriority w:val="99"/>
    <w:qFormat/>
    <w:pPr>
      <w:ind w:firstLine="200"/>
    </w:pPr>
    <w:rPr>
      <w:szCs w:val="24"/>
    </w:rPr>
  </w:style>
  <w:style w:type="paragraph" w:styleId="106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65"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cs="宋体"/>
      <w:b w:val="0"/>
      <w:bCs w:val="0"/>
      <w:sz w:val="28"/>
      <w:szCs w:val="20"/>
    </w:rPr>
  </w:style>
  <w:style w:type="paragraph" w:styleId="1066" w:customStyle="1">
    <w:name w:val="样式"/>
    <w:uiPriority w:val="0"/>
    <w:qFormat/>
    <w:pPr>
      <w:widowControl w:val="off"/>
    </w:pPr>
    <w:rPr>
      <w:rFonts w:hint="default" w:ascii="宋体" w:hAnsi="宋体" w:eastAsia="宋体" w:cs="宋体"/>
      <w:sz w:val="24"/>
      <w:szCs w:val="24"/>
      <w:lang w:val="en-US" w:eastAsia="zh-CN" w:bidi="ar-SA"/>
    </w:rPr>
  </w:style>
  <w:style w:type="paragraph" w:styleId="1067" w:customStyle="1">
    <w:name w:val="纯文本1"/>
    <w:basedOn w:val="670"/>
    <w:uiPriority w:val="0"/>
    <w:qFormat/>
    <w:rPr>
      <w:rFonts w:ascii="宋体" w:hAnsi="Courier New"/>
      <w:sz w:val="28"/>
      <w:szCs w:val="24"/>
    </w:rPr>
  </w:style>
  <w:style w:type="paragraph" w:styleId="1068" w:customStyle="1">
    <w:name w:val="列出段落2"/>
    <w:basedOn w:val="670"/>
    <w:uiPriority w:val="99"/>
    <w:unhideWhenUsed/>
    <w:qFormat/>
    <w:pPr>
      <w:ind w:firstLine="200"/>
    </w:pPr>
    <w:rPr>
      <w:szCs w:val="24"/>
    </w:rPr>
  </w:style>
  <w:style w:type="paragraph" w:styleId="1069" w:customStyle="1">
    <w:name w:val="列出段落1"/>
    <w:basedOn w:val="670"/>
    <w:uiPriority w:val="99"/>
    <w:unhideWhenUsed/>
    <w:qFormat/>
    <w:pPr>
      <w:ind w:firstLine="200"/>
    </w:pPr>
    <w:rPr>
      <w:szCs w:val="24"/>
    </w:rPr>
  </w:style>
  <w:style w:type="paragraph" w:styleId="107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71" w:customStyle="1">
    <w:name w:val="reply-text"/>
    <w:basedOn w:val="670"/>
    <w:uiPriority w:val="0"/>
    <w:qFormat/>
    <w:pPr>
      <w:ind w:right="1200"/>
      <w:jc w:val="left"/>
    </w:pPr>
    <w:rPr>
      <w:szCs w:val="21"/>
    </w:rPr>
  </w:style>
  <w:style w:type="character" w:styleId="1072" w:customStyle="1">
    <w:name w:val="next"/>
    <w:uiPriority w:val="0"/>
    <w:qFormat/>
    <w:rPr>
      <w:color w:val="888888"/>
    </w:rPr>
  </w:style>
  <w:style w:type="character" w:styleId="1073" w:customStyle="1">
    <w:name w:val="next1"/>
    <w:uiPriority w:val="0"/>
    <w:qFormat/>
    <w:rPr>
      <w:rFonts w:ascii="微软雅黑" w:hAnsi="微软雅黑" w:eastAsia="微软雅黑" w:cs="微软雅黑"/>
      <w:sz w:val="21"/>
      <w:szCs w:val="21"/>
    </w:rPr>
  </w:style>
  <w:style w:type="character" w:styleId="1074" w:customStyle="1">
    <w:name w:val="count3"/>
    <w:uiPriority w:val="0"/>
    <w:qFormat/>
  </w:style>
  <w:style w:type="character" w:styleId="1075" w:customStyle="1">
    <w:name w:val="t"/>
    <w:uiPriority w:val="0"/>
    <w:qFormat/>
  </w:style>
  <w:style w:type="character" w:styleId="1076" w:customStyle="1">
    <w:name w:val="lv5"/>
    <w:uiPriority w:val="0"/>
    <w:qFormat/>
  </w:style>
  <w:style w:type="character" w:styleId="1077" w:customStyle="1">
    <w:name w:val="jianj"/>
    <w:uiPriority w:val="0"/>
    <w:qFormat/>
  </w:style>
  <w:style w:type="character" w:styleId="1078" w:customStyle="1">
    <w:name w:val="jianj1"/>
    <w:uiPriority w:val="0"/>
    <w:qFormat/>
  </w:style>
  <w:style w:type="character" w:styleId="1079" w:customStyle="1">
    <w:name w:val="jianj2"/>
    <w:uiPriority w:val="0"/>
    <w:qFormat/>
  </w:style>
  <w:style w:type="character" w:styleId="1080" w:customStyle="1">
    <w:name w:val="sd"/>
    <w:uiPriority w:val="0"/>
    <w:qFormat/>
  </w:style>
  <w:style w:type="character" w:styleId="1081" w:customStyle="1">
    <w:name w:val="sc"/>
    <w:uiPriority w:val="0"/>
    <w:qFormat/>
  </w:style>
  <w:style w:type="character" w:styleId="1082" w:customStyle="1">
    <w:name w:val="sc1"/>
    <w:uiPriority w:val="0"/>
    <w:qFormat/>
  </w:style>
  <w:style w:type="character" w:styleId="1083" w:customStyle="1">
    <w:name w:val="aut"/>
    <w:uiPriority w:val="0"/>
    <w:qFormat/>
  </w:style>
  <w:style w:type="character" w:styleId="1084" w:customStyle="1">
    <w:name w:val="aut1"/>
    <w:uiPriority w:val="0"/>
    <w:qFormat/>
  </w:style>
  <w:style w:type="character" w:styleId="1085" w:customStyle="1">
    <w:name w:val="dn"/>
    <w:uiPriority w:val="0"/>
    <w:qFormat/>
  </w:style>
  <w:style w:type="character" w:styleId="1086" w:customStyle="1">
    <w:name w:val="pl"/>
    <w:uiPriority w:val="0"/>
    <w:qFormat/>
  </w:style>
  <w:style w:type="character" w:styleId="1087" w:customStyle="1">
    <w:name w:val="pl1"/>
    <w:uiPriority w:val="0"/>
    <w:qFormat/>
  </w:style>
  <w:style w:type="character" w:styleId="1088" w:customStyle="1">
    <w:name w:val="jrxz"/>
    <w:uiPriority w:val="0"/>
    <w:qFormat/>
  </w:style>
  <w:style w:type="character" w:styleId="1089" w:customStyle="1">
    <w:name w:val="jrxz1"/>
    <w:uiPriority w:val="0"/>
    <w:qFormat/>
  </w:style>
  <w:style w:type="character" w:styleId="1090" w:customStyle="1">
    <w:name w:val="down14"/>
    <w:uiPriority w:val="0"/>
    <w:qFormat/>
  </w:style>
  <w:style w:type="character" w:styleId="1091" w:customStyle="1">
    <w:name w:val="down15"/>
    <w:uiPriority w:val="0"/>
    <w:qFormat/>
  </w:style>
  <w:style w:type="character" w:styleId="1092" w:customStyle="1">
    <w:name w:val="zt"/>
    <w:uiPriority w:val="0"/>
    <w:qFormat/>
  </w:style>
  <w:style w:type="character" w:styleId="1093" w:customStyle="1">
    <w:name w:val="zt1"/>
    <w:uiPriority w:val="0"/>
    <w:qFormat/>
  </w:style>
  <w:style w:type="character" w:styleId="1094" w:customStyle="1">
    <w:name w:val="time22"/>
    <w:uiPriority w:val="0"/>
    <w:qFormat/>
  </w:style>
  <w:style w:type="character" w:styleId="1095" w:customStyle="1">
    <w:name w:val="time23"/>
    <w:uiPriority w:val="0"/>
    <w:qFormat/>
  </w:style>
  <w:style w:type="character" w:styleId="1096" w:customStyle="1">
    <w:name w:val="time24"/>
    <w:uiPriority w:val="0"/>
    <w:qFormat/>
  </w:style>
  <w:style w:type="character" w:styleId="1097" w:customStyle="1">
    <w:name w:val="anz"/>
    <w:uiPriority w:val="0"/>
    <w:qFormat/>
  </w:style>
  <w:style w:type="character" w:styleId="1098" w:customStyle="1">
    <w:name w:val="anz1"/>
    <w:uiPriority w:val="0"/>
    <w:qFormat/>
  </w:style>
  <w:style w:type="character" w:styleId="1099" w:customStyle="1">
    <w:name w:val="anz2"/>
    <w:uiPriority w:val="0"/>
    <w:qFormat/>
  </w:style>
  <w:style w:type="character" w:styleId="1100" w:customStyle="1">
    <w:name w:val="jiet"/>
    <w:uiPriority w:val="0"/>
    <w:qFormat/>
  </w:style>
  <w:style w:type="character" w:styleId="1101" w:customStyle="1">
    <w:name w:val="jiet1"/>
    <w:uiPriority w:val="0"/>
    <w:qFormat/>
  </w:style>
  <w:style w:type="character" w:styleId="1102" w:customStyle="1">
    <w:name w:val="jiet2"/>
    <w:uiPriority w:val="0"/>
    <w:qFormat/>
  </w:style>
  <w:style w:type="character" w:styleId="1103" w:customStyle="1">
    <w:name w:val="lv1"/>
    <w:uiPriority w:val="0"/>
    <w:qFormat/>
  </w:style>
  <w:style w:type="character" w:styleId="1104" w:customStyle="1">
    <w:name w:val="lv2"/>
    <w:uiPriority w:val="0"/>
    <w:qFormat/>
  </w:style>
  <w:style w:type="character" w:styleId="1105" w:customStyle="1">
    <w:name w:val="lv3"/>
    <w:uiPriority w:val="0"/>
    <w:qFormat/>
  </w:style>
  <w:style w:type="character" w:styleId="1106" w:customStyle="1">
    <w:name w:val="lv4"/>
    <w:uiPriority w:val="0"/>
    <w:qFormat/>
  </w:style>
  <w:style w:type="character" w:styleId="1107" w:customStyle="1">
    <w:name w:val="disabled"/>
    <w:uiPriority w:val="0"/>
    <w:qFormat/>
    <w:rPr>
      <w:color w:val="666666"/>
      <w:shd w:val="clear" w:color="auto" w:fill="ffffff"/>
    </w:rPr>
  </w:style>
  <w:style w:type="paragraph" w:styleId="1108" w:customStyle="1">
    <w:name w:val="格式３"/>
    <w:basedOn w:val="670"/>
    <w:uiPriority w:val="0"/>
    <w:qFormat/>
    <w:pPr>
      <w:ind w:left="600" w:hanging="250"/>
      <w:spacing w:line="420" w:lineRule="exact"/>
    </w:pPr>
    <w:rPr>
      <w:rFonts w:ascii="宋体" w:hAnsi="宋体"/>
      <w:color w:val="000000"/>
      <w:sz w:val="24"/>
      <w:szCs w:val="20"/>
    </w:rPr>
  </w:style>
  <w:style w:type="paragraph" w:styleId="1109" w:customStyle="1">
    <w:name w:val="正文文本 31"/>
    <w:basedOn w:val="670"/>
    <w:link w:val="1110"/>
    <w:uiPriority w:val="0"/>
    <w:qFormat/>
    <w:pPr>
      <w:jc w:val="center"/>
    </w:pPr>
    <w:rPr>
      <w:rFonts w:eastAsia="黑体"/>
      <w:sz w:val="72"/>
      <w:szCs w:val="24"/>
    </w:rPr>
  </w:style>
  <w:style w:type="character" w:styleId="1110" w:customStyle="1">
    <w:name w:val="正文文本 3 Char"/>
    <w:link w:val="1109"/>
    <w:uiPriority w:val="0"/>
    <w:qFormat/>
    <w:rPr>
      <w:rFonts w:ascii="Times New Roman" w:hAnsi="Times New Roman" w:eastAsia="黑体"/>
      <w:sz w:val="72"/>
      <w:szCs w:val="24"/>
    </w:rPr>
  </w:style>
  <w:style w:type="paragraph" w:styleId="1111" w:customStyle="1">
    <w:name w:val="正文文本缩进1"/>
    <w:basedOn w:val="670"/>
    <w:link w:val="1112"/>
    <w:uiPriority w:val="99"/>
    <w:unhideWhenUsed/>
    <w:qFormat/>
    <w:pPr>
      <w:ind w:left="200"/>
      <w:spacing w:after="120"/>
    </w:pPr>
    <w:rPr>
      <w:szCs w:val="24"/>
    </w:rPr>
  </w:style>
  <w:style w:type="character" w:styleId="1112" w:customStyle="1">
    <w:name w:val="正文文本缩进 Char"/>
    <w:link w:val="1111"/>
    <w:uiPriority w:val="99"/>
    <w:qFormat/>
    <w:rPr>
      <w:rFonts w:ascii="Times New Roman" w:hAnsi="Times New Roman"/>
      <w:sz w:val="21"/>
      <w:szCs w:val="24"/>
    </w:rPr>
  </w:style>
  <w:style w:type="paragraph" w:styleId="1113" w:customStyle="1">
    <w:name w:val="标题二、"/>
    <w:basedOn w:val="670"/>
    <w:uiPriority w:val="99"/>
    <w:qFormat/>
    <w:pPr>
      <w:ind w:firstLine="200"/>
      <w:spacing w:line="360" w:lineRule="auto"/>
      <w:outlineLvl w:val="2"/>
    </w:pPr>
    <w:rPr>
      <w:rFonts w:ascii="宋体" w:hAnsi="宋体"/>
      <w:b/>
      <w:szCs w:val="21"/>
    </w:rPr>
  </w:style>
  <w:style w:type="character" w:styleId="1114" w:customStyle="1">
    <w:name w:val="font51"/>
    <w:uiPriority w:val="0"/>
    <w:qFormat/>
    <w:rPr>
      <w:rFonts w:hint="eastAsia" w:ascii="华文中宋" w:hAnsi="华文中宋" w:eastAsia="华文中宋" w:cs="华文中宋"/>
      <w:color w:val="000000"/>
      <w:sz w:val="21"/>
      <w:szCs w:val="21"/>
      <w:u w:val="none"/>
    </w:rPr>
  </w:style>
  <w:style w:type="character" w:styleId="1115" w:customStyle="1">
    <w:name w:val="批注框文本 字符1"/>
    <w:basedOn w:val="680"/>
    <w:link w:val="691"/>
    <w:uiPriority w:val="99"/>
    <w:semiHidden/>
    <w:qFormat/>
    <w:rPr>
      <w:sz w:val="18"/>
      <w:szCs w:val="18"/>
    </w:rPr>
  </w:style>
  <w:style w:type="paragraph" w:styleId="1116" w:customStyle="1">
    <w:name w:val="标题 411"/>
    <w:basedOn w:val="670"/>
    <w:next w:val="670"/>
    <w:uiPriority w:val="1"/>
    <w:qFormat/>
    <w:pPr>
      <w:keepLines/>
      <w:keepNext/>
      <w:spacing w:before="280" w:after="290" w:line="376" w:lineRule="auto"/>
      <w:outlineLvl w:val="3"/>
    </w:pPr>
    <w:rPr>
      <w:rFonts w:ascii="Cambria" w:hAnsi="Cambria"/>
      <w:b/>
      <w:bCs/>
      <w:sz w:val="28"/>
      <w:szCs w:val="28"/>
    </w:rPr>
  </w:style>
  <w:style w:type="paragraph" w:styleId="1117" w:customStyle="1">
    <w:name w:val="纯文本11"/>
    <w:basedOn w:val="670"/>
    <w:uiPriority w:val="99"/>
    <w:unhideWhenUsed/>
    <w:qFormat/>
    <w:rPr>
      <w:rFonts w:ascii="宋体" w:hAnsi="Courier New" w:eastAsia="宋体" w:cs="Courier New"/>
    </w:rPr>
  </w:style>
  <w:style w:type="character" w:styleId="1118" w:customStyle="1">
    <w:name w:val="text-only"/>
    <w:basedOn w:val="680"/>
    <w:uiPriority w:val="0"/>
    <w:qFormat/>
  </w:style>
  <w:style w:type="numbering" w:styleId="11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纵横</dc:creator>
  <cp:lastModifiedBy>陆静娟</cp:lastModifiedBy>
  <cp:revision>51</cp:revision>
  <dcterms:created xsi:type="dcterms:W3CDTF">2025-05-26T08:25:00Z</dcterms:created>
  <dcterms:modified xsi:type="dcterms:W3CDTF">2026-05-25T07:38:25Z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eyJoZGlkIjoiMzQ2NmMwMTI1OGNmODVlNDU2MDBkZWEwZTE4NmQzMDAiLCJ1c2VySWQiOiIyNTAyNzA3NDUifQ==</vt:lpwstr>
  </property>
  <property fmtid="{D5CDD505-2E9C-101B-9397-08002B2CF9AE}" pid="3" name="KSOProductBuildVer">
    <vt:lpwstr>2052-12.1.0.25865</vt:lpwstr>
  </property>
  <property fmtid="{D5CDD505-2E9C-101B-9397-08002B2CF9AE}" pid="4" name="ICV">
    <vt:lpwstr>80B1F7760D28431E93A5D3AFC1A88BB6_12</vt:lpwstr>
  </property>
</Properties>
</file>