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8"/>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ind w:right="556"/>
        <w:jc w:val="center"/>
        <w:spacing w:line="336" w:lineRule="auto"/>
        <w:rPr>
          <w:rFonts w:hint="eastAsia" w:ascii="宋体" w:hAnsi="宋体" w:eastAsia="宋体" w:cs="宋体"/>
          <w:b/>
          <w:color w:val="auto"/>
          <w:sz w:val="72"/>
          <w:szCs w:val="72"/>
          <w:highlight w:val="none"/>
        </w:rPr>
        <w:outlineLvl w:val="0"/>
      </w:pPr>
      <w:r>
        <w:rPr>
          <w:color w:val="auto"/>
          <w:highlight w:val="none"/>
        </w:rPr>
      </w:r>
      <w:bookmarkStart w:id="0" w:name="_Toc27587"/>
      <w:r>
        <w:rPr>
          <w:rFonts w:hint="eastAsia" w:ascii="宋体" w:hAnsi="宋体" w:eastAsia="宋体" w:cs="宋体"/>
          <w:b/>
          <w:color w:val="auto"/>
          <w:sz w:val="72"/>
          <w:szCs w:val="72"/>
          <w:highlight w:val="none"/>
        </w:rPr>
        <w:t xml:space="preserve">苏州工业园区政府采购</w:t>
      </w:r>
      <w:bookmarkEnd w:id="0"/>
      <w:r>
        <w:rPr>
          <w:color w:val="auto"/>
        </w:rPr>
      </w:r>
      <w:r/>
    </w:p>
    <w:p>
      <w:pPr>
        <w:ind w:right="556"/>
        <w:jc w:val="center"/>
        <w:spacing w:line="336" w:lineRule="auto"/>
        <w:rPr>
          <w:rFonts w:hint="eastAsia" w:ascii="宋体" w:hAnsi="宋体" w:eastAsia="宋体" w:cs="宋体"/>
          <w:b/>
          <w:color w:val="auto"/>
          <w:sz w:val="72"/>
          <w:szCs w:val="72"/>
          <w:highlight w:val="none"/>
        </w:rPr>
        <w:outlineLvl w:val="0"/>
      </w:pPr>
      <w:r>
        <w:rPr>
          <w:rFonts w:hint="eastAsia" w:ascii="宋体" w:hAnsi="宋体" w:eastAsia="宋体" w:cs="宋体"/>
          <w:b/>
          <w:color w:val="auto"/>
          <w:sz w:val="72"/>
          <w:szCs w:val="72"/>
          <w:highlight w:val="none"/>
        </w:rPr>
        <w:t xml:space="preserve">竞争性磋商文件</w:t>
      </w:r>
      <w:r>
        <w:rPr>
          <w:color w:val="auto"/>
        </w:rPr>
      </w:r>
      <w:r/>
    </w:p>
    <w:p>
      <w:pPr>
        <w:jc w:val="center"/>
        <w:tabs>
          <w:tab w:val="left" w:pos="7590" w:leader="none"/>
        </w:tabs>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tbl>
      <w:tblPr>
        <w:tblStyle w:val="92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6152"/>
      </w:tblGrid>
      <w:tr>
        <w:trPr>
          <w:jc w:val="center"/>
          <w:trHeight w:val="737"/>
        </w:trPr>
        <w:tc>
          <w:tcPr>
            <w:tcW w:w="1865" w:type="dxa"/>
            <w:vAlign w:val="center"/>
            <w:textDirection w:val="lrTb"/>
            <w:noWrap w:val="false"/>
          </w:tcPr>
          <w:p>
            <w:pPr>
              <w:ind w:firstLine="0"/>
              <w:spacing w:line="24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采购编号：</w:t>
            </w:r>
            <w:r>
              <w:rPr>
                <w:color w:val="auto"/>
              </w:rPr>
            </w:r>
            <w:r/>
          </w:p>
        </w:tc>
        <w:tc>
          <w:tcPr>
            <w:tcW w:w="6152" w:type="dxa"/>
            <w:vAlign w:val="center"/>
            <w:textDirection w:val="lrTb"/>
            <w:noWrap w:val="false"/>
          </w:tcPr>
          <w:p>
            <w:pPr>
              <w:ind w:firstLine="0"/>
              <w:spacing w:line="24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lang w:eastAsia="zh-CN"/>
              </w:rPr>
              <w:t xml:space="preserve">JSZC-320591-SHYS-C2026-0017</w:t>
            </w:r>
            <w:r>
              <w:rPr>
                <w:color w:val="auto"/>
              </w:rPr>
            </w:r>
            <w:r/>
          </w:p>
        </w:tc>
      </w:tr>
      <w:tr>
        <w:trPr>
          <w:jc w:val="center"/>
          <w:trHeight w:val="697"/>
        </w:trPr>
        <w:tc>
          <w:tcPr>
            <w:tcW w:w="1865" w:type="dxa"/>
            <w:vAlign w:val="center"/>
            <w:textDirection w:val="lrTb"/>
            <w:noWrap w:val="false"/>
          </w:tcPr>
          <w:p>
            <w:pPr>
              <w:ind w:firstLine="0"/>
              <w:spacing w:line="24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 购 人：</w:t>
            </w:r>
            <w:r>
              <w:rPr>
                <w:color w:val="auto"/>
              </w:rPr>
            </w:r>
            <w:r/>
          </w:p>
        </w:tc>
        <w:tc>
          <w:tcPr>
            <w:tcW w:w="6152" w:type="dxa"/>
            <w:vAlign w:val="center"/>
            <w:textDirection w:val="lrTb"/>
            <w:noWrap w:val="false"/>
          </w:tcPr>
          <w:p>
            <w:pPr>
              <w:ind w:firstLine="0"/>
              <w:spacing w:line="24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lang w:eastAsia="zh-CN"/>
              </w:rPr>
              <w:t xml:space="preserve">南京航空航天大学苏州附属中学</w:t>
            </w:r>
            <w:r>
              <w:rPr>
                <w:color w:val="auto"/>
              </w:rPr>
            </w:r>
            <w:r/>
          </w:p>
        </w:tc>
      </w:tr>
      <w:tr>
        <w:trPr>
          <w:jc w:val="center"/>
          <w:trHeight w:val="925"/>
        </w:trPr>
        <w:tc>
          <w:tcPr>
            <w:tcW w:w="1865" w:type="dxa"/>
            <w:vAlign w:val="center"/>
            <w:textDirection w:val="lrTb"/>
            <w:noWrap w:val="false"/>
          </w:tcPr>
          <w:p>
            <w:pPr>
              <w:ind w:firstLine="0"/>
              <w:spacing w:line="24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采购内容：</w:t>
            </w:r>
            <w:r>
              <w:rPr>
                <w:color w:val="auto"/>
              </w:rPr>
            </w:r>
            <w:r/>
          </w:p>
        </w:tc>
        <w:tc>
          <w:tcPr>
            <w:tcW w:w="6152" w:type="dxa"/>
            <w:vAlign w:val="center"/>
            <w:textDirection w:val="lrTb"/>
            <w:noWrap w:val="false"/>
          </w:tcPr>
          <w:p>
            <w:pPr>
              <w:ind w:firstLine="0"/>
              <w:spacing w:line="24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lang w:eastAsia="zh-CN"/>
              </w:rPr>
              <w:t xml:space="preserve">唯亭校区足球场及附属设施维修改造工程</w:t>
            </w:r>
            <w:r>
              <w:rPr>
                <w:color w:val="auto"/>
              </w:rPr>
            </w:r>
            <w:r/>
          </w:p>
        </w:tc>
      </w:tr>
      <w:tr>
        <w:trPr>
          <w:jc w:val="center"/>
          <w:trHeight w:val="737"/>
        </w:trPr>
        <w:tc>
          <w:tcPr>
            <w:tcW w:w="1865" w:type="dxa"/>
            <w:vAlign w:val="center"/>
            <w:textDirection w:val="lrTb"/>
            <w:noWrap w:val="false"/>
          </w:tcPr>
          <w:p>
            <w:pPr>
              <w:ind w:firstLine="0"/>
              <w:spacing w:line="24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采购类别：</w:t>
            </w:r>
            <w:r>
              <w:rPr>
                <w:color w:val="auto"/>
              </w:rPr>
            </w:r>
            <w:r/>
          </w:p>
        </w:tc>
        <w:tc>
          <w:tcPr>
            <w:tcW w:w="6152" w:type="dxa"/>
            <w:vAlign w:val="center"/>
            <w:textDirection w:val="lrTb"/>
            <w:noWrap w:val="false"/>
          </w:tcPr>
          <w:p>
            <w:pPr>
              <w:ind w:firstLine="0"/>
              <w:spacing w:line="24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工程类</w:t>
            </w:r>
            <w:bookmarkStart w:id="29" w:name="_GoBack"/>
            <w:r>
              <w:rPr>
                <w:color w:val="auto"/>
                <w:highlight w:val="none"/>
              </w:rPr>
            </w:r>
            <w:bookmarkEnd w:id="29"/>
            <w:r>
              <w:rPr>
                <w:color w:val="auto"/>
              </w:rPr>
            </w:r>
            <w:r/>
          </w:p>
        </w:tc>
      </w:tr>
    </w:tbl>
    <w:p>
      <w:pPr>
        <w:pStyle w:val="937"/>
        <w:jc w:val="center"/>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jc w:val="center"/>
        <w:rPr>
          <w:rFonts w:hint="eastAsia" w:ascii="宋体" w:hAnsi="宋体" w:eastAsia="宋体" w:cs="宋体"/>
          <w:b/>
          <w:color w:val="auto"/>
          <w:highlight w:val="none"/>
        </w:rPr>
      </w:pPr>
      <w:r>
        <w:rPr>
          <w:rFonts w:hint="eastAsia" w:ascii="宋体" w:hAnsi="宋体" w:eastAsia="宋体" w:cs="宋体"/>
          <w:b/>
          <w:color w:val="auto"/>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1769110</wp:posOffset>
                </wp:positionH>
                <wp:positionV relativeFrom="paragraph">
                  <wp:posOffset>52705</wp:posOffset>
                </wp:positionV>
                <wp:extent cx="2209165" cy="2209165"/>
                <wp:effectExtent l="0" t="0" r="0" b="635"/>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3"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公司logo"/>
                        <pic:cNvPicPr>
                          <a:picLocks noChangeAspect="1"/>
                        </pic:cNvPicPr>
                        <pic:nvPr/>
                      </pic:nvPicPr>
                      <pic:blipFill>
                        <a:blip r:embed="rId15"/>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39.3pt;mso-position-horizontal:absolute;mso-position-vertical-relative:text;margin-top:4.1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15" o:title=""/>
              </v:shape>
            </w:pict>
          </mc:Fallback>
        </mc:AlternateContent>
      </w:r>
      <w:r>
        <w:rPr>
          <w:color w:val="auto"/>
        </w:rPr>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rPr>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rPr>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rPr>
      </w:r>
      <w:r/>
    </w:p>
    <w:p>
      <w:pPr>
        <w:jc w:val="center"/>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r>
      <w:r>
        <w:rPr>
          <w:color w:val="auto"/>
        </w:rPr>
      </w:r>
      <w:r/>
    </w:p>
    <w:p>
      <w:pPr>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r>
      <w:r>
        <w:rPr>
          <w:color w:val="auto"/>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苏州合亿盛工程咨询有限公司</w:t>
      </w:r>
      <w:r>
        <w:rPr>
          <w:color w:val="auto"/>
        </w:rPr>
      </w:r>
      <w:r/>
    </w:p>
    <w:p>
      <w:pPr>
        <w:jc w:val="center"/>
        <w:spacing w:line="360" w:lineRule="auto"/>
        <w:rPr>
          <w:rFonts w:hint="eastAsia" w:ascii="宋体" w:hAnsi="宋体" w:eastAsia="宋体" w:cs="宋体"/>
          <w:b/>
          <w:color w:val="auto"/>
          <w:sz w:val="32"/>
          <w:highlight w:val="none"/>
        </w:rPr>
        <w:sectPr>
          <w:headerReference w:type="default" r:id="rId9"/>
          <w:headerReference w:type="first" r:id="rId10"/>
          <w:footerReference w:type="first" r:id="rId11"/>
          <w:footnotePr/>
          <w:endnotePr/>
          <w:type w:val="nextPage"/>
          <w:pgSz w:w="11906" w:h="16838" w:orient="portrait"/>
          <w:pgMar w:top="1134" w:right="1366" w:bottom="1134" w:left="1508" w:header="567" w:footer="675" w:gutter="0"/>
          <w:cols w:num="1" w:sep="0" w:space="720" w:equalWidth="1"/>
          <w:docGrid w:linePitch="360"/>
          <w:titlePg/>
        </w:sectPr>
      </w:pPr>
      <w:r>
        <w:rPr>
          <w:rFonts w:hint="eastAsia" w:ascii="宋体" w:hAnsi="宋体" w:eastAsia="宋体" w:cs="宋体"/>
          <w:b/>
          <w:color w:val="auto"/>
          <w:sz w:val="32"/>
          <w:highlight w:val="none"/>
        </w:rPr>
        <w:t xml:space="preserve">二○二</w:t>
      </w:r>
      <w:r>
        <w:rPr>
          <w:rFonts w:hint="eastAsia" w:ascii="宋体" w:hAnsi="宋体" w:eastAsia="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月</w:t>
      </w:r>
      <w:r>
        <w:rPr>
          <w:color w:val="auto"/>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前附表</w:t>
      </w:r>
      <w:r>
        <w:rPr>
          <w:color w:val="auto"/>
        </w:rPr>
      </w:r>
      <w:r/>
    </w:p>
    <w:tbl>
      <w:tblPr>
        <w:tblStyle w:val="929"/>
        <w:tblW w:w="953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7"/>
        <w:gridCol w:w="1701"/>
        <w:gridCol w:w="6882"/>
      </w:tblGrid>
      <w:tr>
        <w:trPr>
          <w:jc w:val="center"/>
          <w:trHeight w:val="9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项号</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 容</w:t>
            </w:r>
            <w:r>
              <w:rPr>
                <w:color w:val="auto"/>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说明与要求</w:t>
            </w:r>
            <w:r>
              <w:rPr>
                <w:color w:val="auto"/>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工程名称</w:t>
            </w:r>
            <w:r>
              <w:rPr>
                <w:color w:val="auto"/>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唯亭校区足球场及附属设施维修改造工程</w:t>
            </w:r>
            <w:r>
              <w:rPr>
                <w:color w:val="auto"/>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承包方式</w:t>
            </w:r>
            <w:r>
              <w:rPr>
                <w:color w:val="auto"/>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包工包料</w:t>
            </w:r>
            <w:r>
              <w:rPr>
                <w:color w:val="auto"/>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质量标准</w:t>
            </w:r>
            <w:r>
              <w:rPr>
                <w:color w:val="auto"/>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合格</w:t>
            </w:r>
            <w:r>
              <w:rPr>
                <w:color w:val="auto"/>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发包范围</w:t>
            </w:r>
            <w:r>
              <w:rPr>
                <w:color w:val="auto"/>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唯亭校区足球场及附属设施维修改造工程</w:t>
            </w:r>
            <w:r>
              <w:rPr>
                <w:color w:val="auto"/>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工期要求</w:t>
            </w:r>
            <w:r>
              <w:rPr>
                <w:color w:val="auto"/>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自合同签订之日起30天内完工，具体开工时间以采购单位通知为准。</w:t>
            </w:r>
            <w:r>
              <w:rPr>
                <w:color w:val="auto"/>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资金来源</w:t>
            </w:r>
            <w:r>
              <w:rPr>
                <w:color w:val="auto"/>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财政资金</w:t>
            </w:r>
            <w:r>
              <w:rPr>
                <w:color w:val="auto"/>
              </w:rPr>
            </w:r>
            <w:r/>
          </w:p>
        </w:tc>
      </w:tr>
      <w:tr>
        <w:trPr>
          <w:jc w:val="center"/>
          <w:trHeight w:val="805"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现场踏勘</w:t>
            </w:r>
            <w:r>
              <w:rPr>
                <w:color w:val="auto"/>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本项目不统一组织勘察现场，由各响应单位自行勘察现场。（磋商响应单位由于未踏勘现场导致的报价失误或对工程量清单理解产生的歧义，其后果自行承担）。</w:t>
            </w:r>
            <w:r>
              <w:rPr>
                <w:color w:val="auto"/>
              </w:rPr>
            </w:r>
            <w:r/>
          </w:p>
        </w:tc>
      </w:tr>
      <w:tr>
        <w:trPr>
          <w:jc w:val="center"/>
          <w:trHeight w:val="1286"/>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供应商的资质等级要求</w:t>
            </w:r>
            <w:r>
              <w:rPr>
                <w:color w:val="auto"/>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1）具有市政公用工程施工总承包叁级及以上资质；</w:t>
            </w:r>
            <w:r>
              <w:rPr>
                <w:color w:val="auto"/>
              </w:rPr>
            </w:r>
            <w:r/>
          </w:p>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（2）具有安全生产许可证；</w:t>
            </w:r>
            <w:r>
              <w:rPr>
                <w:color w:val="auto"/>
              </w:rPr>
            </w:r>
            <w:r/>
          </w:p>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（3）项目经理应具备有效的市政公用工程专业二级建造师及以上且具有建设行政主管部门核发的《建筑施工企业项目负责人安全生产考核合格证书》（B类证）。 </w:t>
            </w:r>
            <w:r>
              <w:rPr>
                <w:color w:val="auto"/>
              </w:rPr>
            </w:r>
            <w:r/>
          </w:p>
        </w:tc>
      </w:tr>
      <w:tr>
        <w:trPr>
          <w:jc w:val="center"/>
          <w:trHeight w:val="699"/>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询问和质疑</w:t>
            </w:r>
            <w:r>
              <w:rPr>
                <w:color w:val="auto"/>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（1）询问：获取磋商文件成功的磋商供应商在下载磋商文件后，对磋商文件有疑问的，可通过电话进行询问。</w:t>
            </w:r>
            <w:r>
              <w:rPr>
                <w:color w:val="auto"/>
              </w:rPr>
            </w:r>
            <w:r/>
          </w:p>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w:t>
            </w:r>
            <w:r>
              <w:rPr>
                <w:color w:val="auto"/>
              </w:rPr>
            </w:r>
            <w:r/>
          </w:p>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名成功的供应商在下载采购文件后，对采购文件有质疑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color w:val="auto"/>
              </w:rPr>
            </w:r>
            <w:r/>
          </w:p>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质疑递交地址：苏州市相城区聚茂路185号活力大厦B座502；电话：0512-67210880；联系人：徐晓逸/胡欢/吴雯瑜）。</w:t>
            </w:r>
            <w:r>
              <w:rPr>
                <w:color w:val="auto"/>
              </w:rPr>
            </w:r>
            <w:r/>
          </w:p>
        </w:tc>
      </w:tr>
      <w:tr>
        <w:trPr>
          <w:jc w:val="center"/>
          <w:trHeight w:val="9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磋商保证金</w:t>
            </w:r>
            <w:r>
              <w:rPr>
                <w:color w:val="auto"/>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本项目不收取磋商保证金，采购文件中有关磋商保证金的条款不适用。</w:t>
            </w:r>
            <w:r>
              <w:rPr>
                <w:color w:val="auto"/>
              </w:rPr>
            </w:r>
            <w:r/>
          </w:p>
        </w:tc>
      </w:tr>
      <w:tr>
        <w:trPr>
          <w:jc w:val="center"/>
          <w:trHeight w:val="85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最高限价</w:t>
            </w:r>
            <w:r>
              <w:rPr>
                <w:color w:val="auto"/>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88"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人民币（大写）：</w:t>
            </w:r>
            <w:r>
              <w:rPr>
                <w:rFonts w:hint="eastAsia" w:ascii="宋体" w:hAnsi="宋体" w:eastAsia="宋体" w:cs="宋体"/>
                <w:b/>
                <w:color w:val="auto"/>
                <w:sz w:val="21"/>
                <w:szCs w:val="21"/>
                <w:highlight w:val="none"/>
                <w:lang w:val="en-US" w:eastAsia="zh-CN"/>
              </w:rPr>
              <w:t xml:space="preserve">壹佰叁拾肆万叁仟贰佰陆拾元贰角玖分</w:t>
            </w:r>
            <w:r>
              <w:rPr>
                <w:color w:val="auto"/>
              </w:rPr>
            </w:r>
            <w:r/>
          </w:p>
          <w:p>
            <w:pPr>
              <w:jc w:val="left"/>
              <w:keepLines w:val="0"/>
              <w:keepNext w:val="0"/>
              <w:pageBreakBefore w:val="0"/>
              <w:spacing w:line="288"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人民币（小写）：¥</w:t>
            </w:r>
            <w:r>
              <w:rPr>
                <w:rFonts w:hint="eastAsia" w:ascii="宋体" w:hAnsi="宋体" w:eastAsia="宋体" w:cs="宋体"/>
                <w:b/>
                <w:color w:val="auto"/>
                <w:sz w:val="21"/>
                <w:szCs w:val="21"/>
                <w:highlight w:val="none"/>
                <w:lang w:val="en-US" w:eastAsia="zh-CN"/>
              </w:rPr>
              <w:t xml:space="preserve">1343260.29</w:t>
            </w:r>
            <w:r>
              <w:rPr>
                <w:color w:val="auto"/>
              </w:rPr>
            </w:r>
            <w:r/>
          </w:p>
          <w:p>
            <w:pPr>
              <w:jc w:val="left"/>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注：报价超过最高限价的按无效报价处理。</w:t>
            </w:r>
            <w:r>
              <w:rPr>
                <w:color w:val="auto"/>
              </w:rPr>
            </w:r>
            <w:r/>
          </w:p>
        </w:tc>
      </w:tr>
      <w:tr>
        <w:trPr>
          <w:jc w:val="center"/>
          <w:trHeight w:val="956"/>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磋商响应文件提交</w:t>
            </w:r>
            <w:r>
              <w:rPr>
                <w:color w:val="auto"/>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上传截止时间：</w:t>
            </w:r>
            <w:r>
              <w:rPr>
                <w:rFonts w:hint="eastAsia" w:ascii="宋体" w:hAnsi="宋体" w:eastAsia="宋体" w:cs="宋体"/>
                <w:color w:val="auto"/>
                <w:sz w:val="21"/>
                <w:szCs w:val="21"/>
                <w:highlight w:val="none"/>
                <w:lang w:eastAsia="zh-CN" w:bidi="ar"/>
              </w:rPr>
              <w:t xml:space="preserve">202</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年6</w:t>
            </w:r>
            <w:r>
              <w:rPr>
                <w:rFonts w:hint="eastAsia" w:ascii="宋体" w:hAnsi="宋体" w:eastAsia="宋体" w:cs="宋体"/>
                <w:color w:val="auto"/>
                <w:sz w:val="21"/>
                <w:szCs w:val="21"/>
                <w:highlight w:val="none"/>
                <w:lang w:eastAsia="zh-CN" w:bidi="ar"/>
              </w:rPr>
              <w:t xml:space="preserve">月25</w:t>
            </w:r>
            <w:r>
              <w:rPr>
                <w:rFonts w:hint="eastAsia" w:ascii="宋体" w:hAnsi="宋体" w:eastAsia="宋体" w:cs="宋体"/>
                <w:color w:val="auto"/>
                <w:sz w:val="21"/>
                <w:szCs w:val="21"/>
                <w:highlight w:val="none"/>
                <w:lang w:eastAsia="zh-CN" w:bidi="ar"/>
              </w:rPr>
              <w:t xml:space="preserve">日14</w:t>
            </w:r>
            <w:r>
              <w:rPr>
                <w:rFonts w:hint="eastAsia" w:ascii="宋体" w:hAnsi="宋体" w:eastAsia="宋体" w:cs="宋体"/>
                <w:color w:val="auto"/>
                <w:sz w:val="21"/>
                <w:szCs w:val="21"/>
                <w:highlight w:val="none"/>
                <w:lang w:bidi="ar"/>
              </w:rPr>
              <w:t xml:space="preserve">:00（北京时间）</w:t>
            </w:r>
            <w:r>
              <w:rPr>
                <w:color w:val="auto"/>
              </w:rPr>
            </w:r>
            <w:r/>
          </w:p>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地点：“</w:t>
            </w:r>
            <w:r>
              <w:rPr>
                <w:rFonts w:hint="eastAsia" w:ascii="宋体" w:hAnsi="宋体" w:eastAsia="宋体" w:cs="宋体"/>
                <w:bCs/>
                <w:color w:val="auto"/>
                <w:sz w:val="21"/>
                <w:szCs w:val="21"/>
                <w:highlight w:val="none"/>
                <w:lang w:bidi="ar"/>
              </w:rPr>
              <w:t xml:space="preserve">苏采云</w:t>
            </w:r>
            <w:r>
              <w:rPr>
                <w:rFonts w:hint="eastAsia" w:ascii="宋体" w:hAnsi="宋体" w:eastAsia="宋体" w:cs="宋体"/>
                <w:color w:val="auto"/>
                <w:sz w:val="21"/>
                <w:szCs w:val="21"/>
                <w:highlight w:val="none"/>
                <w:lang w:bidi="ar"/>
              </w:rPr>
              <w:t xml:space="preserve">”</w:t>
            </w:r>
            <w:r>
              <w:rPr>
                <w:rFonts w:hint="eastAsia" w:ascii="宋体" w:hAnsi="宋体" w:eastAsia="宋体" w:cs="宋体"/>
                <w:bCs/>
                <w:color w:val="auto"/>
                <w:sz w:val="21"/>
                <w:szCs w:val="21"/>
                <w:highlight w:val="none"/>
                <w:lang w:bidi="ar"/>
              </w:rPr>
              <w:t xml:space="preserve">系统</w:t>
            </w:r>
            <w:r>
              <w:rPr>
                <w:color w:val="auto"/>
              </w:rPr>
            </w:r>
            <w:r/>
          </w:p>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本项目为不见面开标项目，开标阶段供应商在【供应商解密】环节必须使用CA证书解密电子投标（</w:t>
            </w:r>
            <w:r>
              <w:rPr>
                <w:rFonts w:hint="eastAsia" w:ascii="宋体" w:hAnsi="宋体" w:eastAsia="宋体" w:cs="宋体"/>
                <w:color w:val="auto"/>
                <w:sz w:val="21"/>
                <w:szCs w:val="21"/>
                <w:highlight w:val="none"/>
                <w:lang w:bidi="ar"/>
              </w:rPr>
              <w:t xml:space="preserve">响应</w:t>
            </w:r>
            <w:r>
              <w:rPr>
                <w:rFonts w:hint="eastAsia" w:ascii="宋体" w:hAnsi="宋体" w:eastAsia="宋体" w:cs="宋体"/>
                <w:color w:val="auto"/>
                <w:sz w:val="21"/>
                <w:szCs w:val="21"/>
                <w:highlight w:val="none"/>
                <w:lang w:val="zh-CN" w:bidi="ar"/>
              </w:rPr>
              <w:t xml:space="preserve">）文件，如在系统规定的解密时间内未能完成解密的视为放弃投标（响应）。</w:t>
            </w:r>
            <w:r>
              <w:rPr>
                <w:color w:val="auto"/>
              </w:rPr>
            </w:r>
            <w:r/>
          </w:p>
        </w:tc>
      </w:tr>
      <w:tr>
        <w:trPr>
          <w:jc w:val="center"/>
          <w:trHeight w:val="639"/>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磋商时间</w:t>
            </w:r>
            <w:r>
              <w:rPr>
                <w:color w:val="auto"/>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响应文件开启时间：</w:t>
            </w:r>
            <w:r>
              <w:rPr>
                <w:rFonts w:hint="eastAsia" w:ascii="宋体" w:hAnsi="宋体" w:eastAsia="宋体" w:cs="宋体"/>
                <w:color w:val="auto"/>
                <w:sz w:val="21"/>
                <w:szCs w:val="21"/>
                <w:highlight w:val="none"/>
                <w:lang w:eastAsia="zh-CN" w:bidi="ar"/>
              </w:rPr>
              <w:t xml:space="preserve">202</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年</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月</w:t>
            </w:r>
            <w:r>
              <w:rPr>
                <w:rFonts w:hint="eastAsia" w:ascii="宋体" w:hAnsi="宋体" w:eastAsia="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eastAsia="zh-CN" w:bidi="ar"/>
              </w:rPr>
              <w:t xml:space="preserve">日14</w:t>
            </w:r>
            <w:r>
              <w:rPr>
                <w:rFonts w:hint="eastAsia" w:ascii="宋体" w:hAnsi="宋体" w:eastAsia="宋体" w:cs="宋体"/>
                <w:color w:val="auto"/>
                <w:sz w:val="21"/>
                <w:szCs w:val="21"/>
                <w:highlight w:val="none"/>
                <w:lang w:bidi="ar"/>
              </w:rPr>
              <w:t xml:space="preserve">:00（北京时间）</w:t>
            </w:r>
            <w:r>
              <w:rPr>
                <w:color w:val="auto"/>
              </w:rPr>
            </w:r>
            <w:r/>
          </w:p>
          <w:p>
            <w:pP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磋商地点：“</w:t>
            </w:r>
            <w:r>
              <w:rPr>
                <w:rFonts w:hint="eastAsia" w:ascii="宋体" w:hAnsi="宋体" w:eastAsia="宋体" w:cs="宋体"/>
                <w:bCs/>
                <w:color w:val="auto"/>
                <w:sz w:val="21"/>
                <w:szCs w:val="21"/>
                <w:highlight w:val="none"/>
                <w:lang w:bidi="ar"/>
              </w:rPr>
              <w:t xml:space="preserve">苏采云</w:t>
            </w:r>
            <w:r>
              <w:rPr>
                <w:rFonts w:hint="eastAsia" w:ascii="宋体" w:hAnsi="宋体" w:eastAsia="宋体" w:cs="宋体"/>
                <w:color w:val="auto"/>
                <w:sz w:val="21"/>
                <w:szCs w:val="21"/>
                <w:highlight w:val="none"/>
                <w:lang w:bidi="ar"/>
              </w:rPr>
              <w:t xml:space="preserve">”</w:t>
            </w:r>
            <w:r>
              <w:rPr>
                <w:rFonts w:hint="eastAsia" w:ascii="宋体" w:hAnsi="宋体" w:eastAsia="宋体" w:cs="宋体"/>
                <w:bCs/>
                <w:color w:val="auto"/>
                <w:sz w:val="21"/>
                <w:szCs w:val="21"/>
                <w:highlight w:val="none"/>
                <w:lang w:bidi="ar"/>
              </w:rPr>
              <w:t xml:space="preserve">系统</w:t>
            </w:r>
            <w:r>
              <w:rPr>
                <w:color w:val="auto"/>
              </w:rPr>
            </w:r>
            <w:r/>
          </w:p>
        </w:tc>
      </w:tr>
      <w:tr>
        <w:trPr>
          <w:jc w:val="center"/>
          <w:trHeight w:val="84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代理服务费</w:t>
            </w:r>
            <w:r>
              <w:rPr>
                <w:color w:val="auto"/>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代理服务费收费标准：</w:t>
            </w:r>
            <w:r>
              <w:rPr>
                <w:color w:val="auto"/>
              </w:rPr>
            </w:r>
            <w:r/>
          </w:p>
          <w:p>
            <w:pPr>
              <w:ind w:right="18"/>
              <w:jc w:val="left"/>
              <w:keepLines w:val="0"/>
              <w:keepNext w:val="0"/>
              <w:pageBreakBefore w:val="0"/>
              <w:widowControl w:val="off"/>
              <w:tabs>
                <w:tab w:val="left" w:pos="7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代理服务费：</w:t>
            </w:r>
            <w:r>
              <w:rPr>
                <w:rFonts w:hint="eastAsia" w:ascii="宋体" w:hAnsi="宋体" w:eastAsia="宋体" w:cs="宋体"/>
                <w:color w:val="auto"/>
                <w:sz w:val="21"/>
                <w:szCs w:val="21"/>
                <w:highlight w:val="none"/>
                <w:lang w:val="zh-CN" w:eastAsia="zh-CN"/>
              </w:rPr>
              <w:t xml:space="preserve">根据省厅《关于进一步规范政府采购活动相关费用管理的通知》（苏财规〔2026〕1号）相关要求，本项目代理服务费由采购人支付。</w:t>
            </w:r>
            <w:r>
              <w:rPr>
                <w:color w:val="auto"/>
              </w:rPr>
            </w:r>
            <w:r/>
          </w:p>
          <w:p>
            <w:pPr>
              <w:ind w:right="18"/>
              <w:jc w:val="left"/>
              <w:keepLines w:val="0"/>
              <w:keepNext w:val="0"/>
              <w:pageBreakBefore w:val="0"/>
              <w:widowControl w:val="off"/>
              <w:tabs>
                <w:tab w:val="left" w:pos="7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代理服务费收费按以下标准收取：</w:t>
            </w:r>
            <w:r>
              <w:rPr>
                <w:color w:val="auto"/>
              </w:rPr>
            </w:r>
            <w:r/>
          </w:p>
          <w:p>
            <w:pPr>
              <w:ind w:right="18"/>
              <w:jc w:val="left"/>
              <w:keepLines w:val="0"/>
              <w:keepNext w:val="0"/>
              <w:pageBreakBefore w:val="0"/>
              <w:widowControl w:val="off"/>
              <w:tabs>
                <w:tab w:val="left" w:pos="7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预算金额100万元以下部分，费率为该部分预算金额的1.5%；</w:t>
            </w:r>
            <w:r>
              <w:rPr>
                <w:color w:val="auto"/>
              </w:rPr>
            </w:r>
            <w:r/>
          </w:p>
          <w:p>
            <w:pPr>
              <w:ind w:right="18"/>
              <w:jc w:val="left"/>
              <w:keepLines w:val="0"/>
              <w:keepNext w:val="0"/>
              <w:pageBreakBefore w:val="0"/>
              <w:widowControl w:val="off"/>
              <w:tabs>
                <w:tab w:val="left" w:pos="7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预算金额100万元（含）－500万元部分，费率为该部分预算金额的1.1%；</w:t>
            </w:r>
            <w:r>
              <w:rPr>
                <w:color w:val="auto"/>
              </w:rPr>
            </w:r>
            <w:r/>
          </w:p>
          <w:p>
            <w:pPr>
              <w:ind w:right="18"/>
              <w:jc w:val="left"/>
              <w:keepLines w:val="0"/>
              <w:keepNext w:val="0"/>
              <w:pageBreakBefore w:val="0"/>
              <w:widowControl w:val="off"/>
              <w:tabs>
                <w:tab w:val="left" w:pos="7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预算金额500万元（含）-1000万元部分，费率为该部分预算金额的0.8%；</w:t>
            </w:r>
            <w:r>
              <w:rPr>
                <w:color w:val="auto"/>
              </w:rPr>
            </w:r>
            <w:r/>
          </w:p>
          <w:p>
            <w:pPr>
              <w:ind w:right="18"/>
              <w:jc w:val="left"/>
              <w:keepLines w:val="0"/>
              <w:keepNext w:val="0"/>
              <w:pageBreakBefore w:val="0"/>
              <w:widowControl w:val="off"/>
              <w:tabs>
                <w:tab w:val="left" w:pos="7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预算金额1000万元（含）-5000万元部分，费率为该部分预算金额的0.5%；</w:t>
            </w:r>
            <w:r>
              <w:rPr>
                <w:color w:val="auto"/>
              </w:rPr>
            </w:r>
            <w:r/>
          </w:p>
          <w:p>
            <w:pPr>
              <w:ind w:right="18"/>
              <w:jc w:val="left"/>
              <w:keepLines w:val="0"/>
              <w:keepNext w:val="0"/>
              <w:pageBreakBefore w:val="0"/>
              <w:widowControl w:val="off"/>
              <w:tabs>
                <w:tab w:val="left" w:pos="7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预算金额5000万元以上部分，费率为该部分预算金额的0.25%。</w:t>
            </w:r>
            <w:r>
              <w:rPr>
                <w:color w:val="auto"/>
              </w:rPr>
            </w:r>
            <w:r/>
          </w:p>
          <w:p>
            <w:pPr>
              <w:ind w:right="18"/>
              <w:jc w:val="left"/>
              <w:keepLines w:val="0"/>
              <w:keepNext w:val="0"/>
              <w:pageBreakBefore w:val="0"/>
              <w:widowControl w:val="off"/>
              <w:tabs>
                <w:tab w:val="left" w:pos="7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color w:val="auto"/>
              </w:rPr>
            </w:r>
            <w:r/>
          </w:p>
          <w:p>
            <w:pPr>
              <w:ind w:right="18"/>
              <w:jc w:val="left"/>
              <w:keepLines w:val="0"/>
              <w:keepNext w:val="0"/>
              <w:pageBreakBefore w:val="0"/>
              <w:widowControl w:val="off"/>
              <w:tabs>
                <w:tab w:val="left" w:pos="7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收款单位：苏州合亿盛工程咨询有限公司</w:t>
            </w:r>
            <w:r>
              <w:rPr>
                <w:color w:val="auto"/>
              </w:rPr>
            </w:r>
            <w:r/>
          </w:p>
          <w:p>
            <w:pPr>
              <w:ind w:right="18"/>
              <w:jc w:val="left"/>
              <w:keepLines w:val="0"/>
              <w:keepNext w:val="0"/>
              <w:pageBreakBefore w:val="0"/>
              <w:widowControl w:val="off"/>
              <w:tabs>
                <w:tab w:val="left" w:pos="7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银行账号：10541101040028625</w:t>
            </w:r>
            <w:r>
              <w:rPr>
                <w:color w:val="auto"/>
              </w:rPr>
            </w:r>
            <w:r/>
          </w:p>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开户银行：中国农业银行股份有限公司苏州元和支行</w:t>
            </w:r>
            <w:r>
              <w:rPr>
                <w:color w:val="auto"/>
              </w:rPr>
            </w:r>
            <w:r/>
          </w:p>
        </w:tc>
      </w:tr>
      <w:tr>
        <w:trPr>
          <w:jc w:val="center"/>
          <w:trHeight w:val="84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938"/>
              <w:jc w:val="center"/>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特别提醒</w:t>
            </w:r>
            <w:r>
              <w:rPr>
                <w:color w:val="auto"/>
              </w:rPr>
            </w: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1、本项目支持网上不见面开标，供应商不需到现场参加磋商会。</w:t>
            </w:r>
            <w:r>
              <w:rPr>
                <w:color w:val="auto"/>
              </w:rPr>
            </w:r>
            <w:r/>
          </w:p>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rPr>
                <w:color w:val="auto"/>
              </w:rPr>
            </w:r>
            <w:r/>
          </w:p>
        </w:tc>
      </w:tr>
    </w:tbl>
    <w:p>
      <w:pPr>
        <w:jc w:val="center"/>
        <w:spacing w:line="360" w:lineRule="auto"/>
        <w:rPr>
          <w:rFonts w:hint="eastAsia" w:ascii="宋体" w:hAnsi="宋体" w:eastAsia="宋体" w:cs="宋体"/>
          <w:b/>
          <w:color w:val="auto"/>
          <w:sz w:val="48"/>
          <w:szCs w:val="48"/>
          <w:highlight w:val="none"/>
        </w:rPr>
      </w:pPr>
      <w:r>
        <w:rPr>
          <w:rFonts w:hint="eastAsia" w:ascii="宋体" w:hAnsi="宋体" w:eastAsia="宋体" w:cs="宋体"/>
          <w:color w:val="auto"/>
          <w:sz w:val="48"/>
          <w:szCs w:val="48"/>
          <w:highlight w:val="none"/>
        </w:rPr>
        <w:br w:type="page" w:clear="all"/>
      </w:r>
      <w:r>
        <w:rPr>
          <w:rFonts w:hint="eastAsia" w:ascii="宋体" w:hAnsi="宋体" w:eastAsia="宋体" w:cs="宋体"/>
          <w:color w:val="auto"/>
          <w:sz w:val="44"/>
          <w:szCs w:val="44"/>
          <w:highlight w:val="none"/>
        </w:rPr>
        <w:t xml:space="preserve">目     录</w:t>
      </w:r>
      <w:r>
        <w:rPr>
          <w:color w:val="auto"/>
        </w:rPr>
      </w:r>
      <w:r/>
    </w:p>
    <w:p>
      <w:pPr>
        <w:pStyle w:val="937"/>
        <w:spacing w:line="360" w:lineRule="auto"/>
        <w:tabs>
          <w:tab w:val="right" w:pos="9032"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TOC \o "1-1"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color w:val="auto"/>
          <w:sz w:val="28"/>
          <w:szCs w:val="28"/>
          <w:highlight w:val="none"/>
        </w:rPr>
        <w:t xml:space="preserve">第一章 磋商邀请函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_Toc8780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color w:val="auto"/>
        </w:rPr>
      </w:r>
      <w:r/>
    </w:p>
    <w:p>
      <w:pPr>
        <w:pStyle w:val="937"/>
        <w:spacing w:line="360" w:lineRule="auto"/>
        <w:tabs>
          <w:tab w:val="right" w:pos="9032"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_Toc30838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color w:val="auto"/>
        </w:rPr>
      </w:r>
      <w:r/>
    </w:p>
    <w:p>
      <w:pPr>
        <w:pStyle w:val="937"/>
        <w:spacing w:line="360" w:lineRule="auto"/>
        <w:tabs>
          <w:tab w:val="right" w:pos="9032"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第三章 磋商响应文件格式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_Toc32554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13</w:t>
      </w:r>
      <w:r>
        <w:rPr>
          <w:rFonts w:hint="eastAsia" w:ascii="宋体" w:hAnsi="宋体" w:eastAsia="宋体" w:cs="宋体"/>
          <w:color w:val="auto"/>
          <w:sz w:val="28"/>
          <w:szCs w:val="28"/>
          <w:highlight w:val="none"/>
        </w:rPr>
        <w:fldChar w:fldCharType="end"/>
      </w:r>
      <w:r>
        <w:rPr>
          <w:color w:val="auto"/>
        </w:rPr>
      </w:r>
      <w:r/>
    </w:p>
    <w:p>
      <w:pPr>
        <w:pStyle w:val="937"/>
        <w:spacing w:line="360" w:lineRule="auto"/>
        <w:tabs>
          <w:tab w:val="right" w:pos="9032"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第四章 采购内容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_Toc23397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32</w:t>
      </w:r>
      <w:r>
        <w:rPr>
          <w:rFonts w:hint="eastAsia" w:ascii="宋体" w:hAnsi="宋体" w:eastAsia="宋体" w:cs="宋体"/>
          <w:color w:val="auto"/>
          <w:sz w:val="28"/>
          <w:szCs w:val="28"/>
          <w:highlight w:val="none"/>
        </w:rPr>
        <w:fldChar w:fldCharType="end"/>
      </w:r>
      <w:r>
        <w:rPr>
          <w:color w:val="auto"/>
        </w:rPr>
      </w:r>
      <w:r/>
    </w:p>
    <w:p>
      <w:pPr>
        <w:pStyle w:val="937"/>
        <w:spacing w:line="360" w:lineRule="auto"/>
        <w:tabs>
          <w:tab w:val="right" w:pos="9032"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第五章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_Toc4569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36</w:t>
      </w:r>
      <w:r>
        <w:rPr>
          <w:rFonts w:hint="eastAsia" w:ascii="宋体" w:hAnsi="宋体" w:eastAsia="宋体" w:cs="宋体"/>
          <w:color w:val="auto"/>
          <w:sz w:val="28"/>
          <w:szCs w:val="28"/>
          <w:highlight w:val="none"/>
        </w:rPr>
        <w:fldChar w:fldCharType="end"/>
      </w:r>
      <w:r>
        <w:rPr>
          <w:color w:val="auto"/>
        </w:rPr>
      </w:r>
      <w:r/>
    </w:p>
    <w:p>
      <w:pPr>
        <w:pStyle w:val="937"/>
        <w:spacing w:line="360" w:lineRule="auto"/>
        <w:tabs>
          <w:tab w:val="right" w:pos="9032"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第六章 评审办法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_Toc30850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41</w:t>
      </w:r>
      <w:r>
        <w:rPr>
          <w:rFonts w:hint="eastAsia" w:ascii="宋体" w:hAnsi="宋体" w:eastAsia="宋体" w:cs="宋体"/>
          <w:color w:val="auto"/>
          <w:sz w:val="28"/>
          <w:szCs w:val="28"/>
          <w:highlight w:val="none"/>
        </w:rPr>
        <w:fldChar w:fldCharType="end"/>
      </w:r>
      <w:r>
        <w:rPr>
          <w:color w:val="auto"/>
        </w:rPr>
      </w:r>
      <w:r/>
    </w:p>
    <w:p>
      <w:pPr>
        <w:pStyle w:val="950"/>
        <w:ind w:firstLine="0"/>
        <w:jc w:val="both"/>
        <w:spacing w:line="360" w:lineRule="auto"/>
        <w:rPr>
          <w:rFonts w:hint="eastAsia" w:ascii="宋体" w:hAnsi="宋体" w:eastAsia="宋体" w:cs="宋体"/>
          <w:color w:val="auto"/>
          <w:highlight w:val="none"/>
        </w:rPr>
        <w:sectPr>
          <w:footerReference w:type="default" r:id="rId12"/>
          <w:footnotePr/>
          <w:endnotePr/>
          <w:type w:val="nextPage"/>
          <w:pgSz w:w="11906" w:h="16838" w:orient="portrait"/>
          <w:pgMar w:top="1134" w:right="1366" w:bottom="1134" w:left="1508" w:header="567" w:footer="675" w:gutter="0"/>
          <w:pgNumType w:start="1"/>
          <w:cols w:num="1" w:sep="0" w:space="720" w:equalWidth="1"/>
          <w:docGrid w:linePitch="360"/>
        </w:sectPr>
      </w:pPr>
      <w:r>
        <w:rPr>
          <w:rFonts w:hint="eastAsia" w:ascii="宋体" w:hAnsi="宋体" w:eastAsia="宋体" w:cs="宋体"/>
          <w:bCs/>
          <w:color w:val="auto"/>
          <w:sz w:val="28"/>
          <w:szCs w:val="28"/>
          <w:highlight w:val="none"/>
        </w:rPr>
        <w:fldChar w:fldCharType="end"/>
      </w:r>
      <w:r>
        <w:rPr>
          <w:rFonts w:hint="eastAsia" w:ascii="宋体" w:hAnsi="宋体" w:eastAsia="宋体" w:cs="宋体"/>
          <w:color w:val="auto"/>
          <w:highlight w:val="none"/>
        </w:rPr>
        <w:br w:type="page" w:clear="all"/>
      </w:r>
      <w:r>
        <w:rPr>
          <w:color w:val="auto"/>
        </w:rPr>
      </w:r>
      <w:r/>
    </w:p>
    <w:p>
      <w:pPr>
        <w:pStyle w:val="950"/>
        <w:ind w:firstLine="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pStyle w:val="950"/>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pStyle w:val="950"/>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pStyle w:val="950"/>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pStyle w:val="950"/>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pStyle w:val="950"/>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pStyle w:val="950"/>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pStyle w:val="950"/>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pStyle w:val="950"/>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pStyle w:val="950"/>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pStyle w:val="950"/>
        <w:ind w:firstLine="0"/>
        <w:jc w:val="both"/>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ind w:firstLine="1044"/>
        <w:jc w:val="center"/>
        <w:keepLines w:val="0"/>
        <w:keepNext w:val="0"/>
        <w:pageBreakBefore w:val="0"/>
        <w:spacing w:line="360" w:lineRule="auto"/>
        <w:widowControl w:val="off"/>
        <w:rPr>
          <w:rFonts w:hint="eastAsia" w:ascii="宋体" w:hAnsi="宋体" w:eastAsia="宋体" w:cs="宋体"/>
          <w:b/>
          <w:bCs/>
          <w:color w:val="auto"/>
          <w:sz w:val="52"/>
          <w:highlight w:val="none"/>
        </w:rPr>
      </w:pPr>
      <w:r>
        <w:rPr>
          <w:color w:val="auto"/>
          <w:highlight w:val="none"/>
        </w:rPr>
      </w:r>
      <w:bookmarkStart w:id="1" w:name="_Toc8780"/>
      <w:r>
        <w:rPr>
          <w:rFonts w:hint="eastAsia" w:ascii="宋体" w:hAnsi="宋体" w:eastAsia="宋体" w:cs="宋体"/>
          <w:b/>
          <w:bCs/>
          <w:color w:val="auto"/>
          <w:sz w:val="52"/>
          <w:highlight w:val="none"/>
        </w:rPr>
        <w:t xml:space="preserve">第一章 磋商邀请函</w:t>
      </w:r>
      <w:bookmarkEnd w:id="1"/>
      <w:r>
        <w:rPr>
          <w:color w:val="auto"/>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br w:type="page" w:clear="all"/>
      </w:r>
      <w:r>
        <w:rPr>
          <w:color w:val="auto"/>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苏州合亿盛工程咨询有限公司受</w:t>
      </w:r>
      <w:r>
        <w:rPr>
          <w:rFonts w:hint="eastAsia" w:ascii="宋体" w:hAnsi="宋体" w:eastAsia="宋体" w:cs="宋体"/>
          <w:color w:val="auto"/>
          <w:sz w:val="24"/>
          <w:szCs w:val="24"/>
          <w:highlight w:val="none"/>
          <w:u w:val="single"/>
          <w:lang w:eastAsia="zh-CN"/>
        </w:rPr>
        <w:t xml:space="preserve">南京航空航天大学苏州附属中学</w:t>
      </w:r>
      <w:r>
        <w:rPr>
          <w:rFonts w:hint="eastAsia" w:ascii="宋体" w:hAnsi="宋体" w:eastAsia="宋体" w:cs="宋体"/>
          <w:color w:val="auto"/>
          <w:sz w:val="24"/>
          <w:szCs w:val="24"/>
          <w:highlight w:val="none"/>
        </w:rPr>
        <w:t xml:space="preserve">的委托，就</w:t>
      </w:r>
      <w:r>
        <w:rPr>
          <w:rFonts w:hint="eastAsia" w:ascii="宋体" w:hAnsi="宋体" w:eastAsia="宋体" w:cs="宋体"/>
          <w:color w:val="auto"/>
          <w:sz w:val="24"/>
          <w:szCs w:val="24"/>
          <w:highlight w:val="none"/>
          <w:u w:val="single"/>
          <w:lang w:eastAsia="zh-CN"/>
        </w:rPr>
        <w:t xml:space="preserve">唯亭校区足球场及附属设施维修改造工程</w:t>
      </w:r>
      <w:r>
        <w:rPr>
          <w:rFonts w:hint="eastAsia" w:ascii="宋体" w:hAnsi="宋体" w:eastAsia="宋体" w:cs="宋体"/>
          <w:color w:val="auto"/>
          <w:sz w:val="24"/>
          <w:szCs w:val="24"/>
          <w:highlight w:val="none"/>
        </w:rPr>
        <w:t xml:space="preserve">组织竞争性磋商采购，欢迎符合资格条件的供应商前来参加磋商。</w:t>
      </w:r>
      <w:r>
        <w:rPr>
          <w:color w:val="auto"/>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color w:val="auto"/>
          <w:highlight w:val="none"/>
        </w:rPr>
      </w:r>
      <w:bookmarkStart w:id="2" w:name="_Toc19838"/>
      <w:r>
        <w:rPr>
          <w:color w:val="auto"/>
          <w:highlight w:val="none"/>
        </w:rPr>
      </w:r>
      <w:bookmarkStart w:id="3" w:name="_Toc14794"/>
      <w:r>
        <w:rPr>
          <w:rFonts w:hint="eastAsia" w:ascii="宋体" w:hAnsi="宋体" w:eastAsia="宋体" w:cs="宋体"/>
          <w:b/>
          <w:bCs/>
          <w:color w:val="auto"/>
          <w:sz w:val="24"/>
          <w:szCs w:val="24"/>
          <w:highlight w:val="none"/>
        </w:rPr>
        <w:t xml:space="preserve">一、项目基本情况：</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val="en-US" w:eastAsia="zh-CN"/>
        </w:rPr>
        <w:t xml:space="preserve">JSZC-320591-SHYS-C2026-0017</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唯亭校区足球场及附属设施维修改造工程</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3、采购方式：竞争性磋商</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4、采购预算：</w:t>
      </w:r>
      <w:r>
        <w:rPr>
          <w:color w:val="auto"/>
        </w:rPr>
      </w:r>
      <w:r/>
    </w:p>
    <w:p>
      <w:p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人民币（大写）：壹佰叁拾肆万叁仟贰佰陆拾元贰角玖分</w:t>
      </w:r>
      <w:r>
        <w:rPr>
          <w:color w:val="auto"/>
        </w:rPr>
      </w:r>
      <w:r/>
    </w:p>
    <w:p>
      <w:pPr>
        <w:ind w:left="0" w:firstLine="480"/>
        <w:jc w:val="both"/>
        <w:keepLines w:val="0"/>
        <w:keepNext w:val="0"/>
        <w:pageBreakBefore w:val="0"/>
        <w:spacing w:before="0" w:after="0"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人民币（小写）：¥1343260.29</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5、最高限价：</w:t>
      </w:r>
      <w:r>
        <w:rPr>
          <w:color w:val="auto"/>
        </w:rPr>
      </w:r>
      <w:r/>
    </w:p>
    <w:p>
      <w:p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人民币（大写）：壹佰叁拾肆万叁仟贰佰陆拾元贰角玖分</w:t>
      </w:r>
      <w:r>
        <w:rPr>
          <w:color w:val="auto"/>
        </w:rPr>
      </w:r>
      <w:r/>
    </w:p>
    <w:p>
      <w:pPr>
        <w:ind w:left="0" w:firstLine="480"/>
        <w:jc w:val="both"/>
        <w:keepLines w:val="0"/>
        <w:keepNext w:val="0"/>
        <w:pageBreakBefore w:val="0"/>
        <w:spacing w:before="0" w:after="0"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人民币（小写）：¥1343260.29</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6、本项目不接受联合体。</w:t>
      </w:r>
      <w:bookmarkEnd w:id="2"/>
      <w:r>
        <w:rPr>
          <w:color w:val="auto"/>
        </w:rPr>
      </w:r>
      <w:bookmarkEnd w:id="3"/>
      <w:r>
        <w:rPr>
          <w:color w:val="auto"/>
        </w:rPr>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二、合格磋商供应商的一般条件：</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rPr>
          <w:color w:val="auto"/>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rPr>
          <w:color w:val="auto"/>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（5）参加政府采购活动近三年内，在经营活动中没有重大违法记录；</w:t>
      </w:r>
      <w:r>
        <w:rPr>
          <w:color w:val="auto"/>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rPr>
          <w:color w:val="auto"/>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color w:val="auto"/>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根据《政府采购促进中小企业发展管理办法》及《关于印发&lt;苏州市政府采购促进中小企业发展实施意见&gt;的通知》（苏财购〔2022〕16号）的相关规定，</w:t>
      </w:r>
      <w:r>
        <w:rPr>
          <w:rFonts w:hint="eastAsia" w:ascii="宋体" w:hAnsi="宋体" w:eastAsia="宋体" w:cs="宋体"/>
          <w:b/>
          <w:bCs/>
          <w:color w:val="auto"/>
          <w:sz w:val="24"/>
          <w:szCs w:val="24"/>
          <w:highlight w:val="none"/>
        </w:rPr>
        <w:t xml:space="preserve">本项目专门面向中小企业</w:t>
      </w:r>
      <w:r>
        <w:rPr>
          <w:rFonts w:hint="eastAsia" w:ascii="宋体" w:hAnsi="宋体" w:eastAsia="宋体" w:cs="宋体"/>
          <w:color w:val="auto"/>
          <w:sz w:val="24"/>
          <w:szCs w:val="24"/>
          <w:highlight w:val="none"/>
        </w:rPr>
        <w:t xml:space="preserve">，供应商应为中小微企业、监狱企业、残疾人福利性单位。</w:t>
      </w:r>
      <w:r>
        <w:rPr>
          <w:color w:val="auto"/>
        </w:rPr>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本项目的特定资格要求：</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（1）未被“信用中国”网站（www.creditchina.gov.cn）列入失信被执行人、重大税收违法案件当事人名单、政府采购严重失信行为记录名单</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具有市政公用工程施工总承包叁级及以上资质</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）具有安全生产许可证；</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项目经理应具备有效的市政公用工程专业二级建造师及以上且具有建设行政主管部门核发的《建筑施工企业项目负责人安全生产考核合格证书》（B类证）</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color w:val="auto"/>
        </w:rPr>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1、获取时间：采购公告发布之日起5个工作日</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2、获取方式：网上报名</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（1）申领CA证书</w:t>
      </w:r>
      <w:r>
        <w:rPr>
          <w:color w:val="auto"/>
        </w:rPr>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auto"/>
          <w:sz w:val="24"/>
          <w:szCs w:val="24"/>
          <w:highlight w:val="none"/>
          <w:shd w:val="clear" w:color="auto" w:fill="ffffff"/>
        </w:rPr>
        <w:t xml:space="preserve">苏州现场办理地址：苏州市高新区邓</w:t>
      </w:r>
      <w:r>
        <w:rPr>
          <w:rFonts w:hint="eastAsia" w:ascii="宋体" w:hAnsi="宋体" w:eastAsia="宋体" w:cs="宋体"/>
          <w:b/>
          <w:bCs/>
          <w:color w:val="auto"/>
          <w:sz w:val="24"/>
          <w:szCs w:val="24"/>
          <w:highlight w:val="none"/>
          <w:shd w:val="clear" w:color="auto" w:fill="ffffff"/>
          <w:lang w:val="en-US" w:eastAsia="zh-CN"/>
        </w:rPr>
        <w:t xml:space="preserve">尉</w:t>
      </w:r>
      <w:r>
        <w:rPr>
          <w:rFonts w:hint="eastAsia" w:ascii="宋体" w:hAnsi="宋体" w:eastAsia="宋体" w:cs="宋体"/>
          <w:b/>
          <w:bCs/>
          <w:color w:val="auto"/>
          <w:sz w:val="24"/>
          <w:szCs w:val="24"/>
          <w:highlight w:val="none"/>
          <w:shd w:val="clear" w:color="auto" w:fill="ffffff"/>
        </w:rPr>
        <w:t xml:space="preserve">路105号狮山科技馆一楼服务大厅，咨询电话：051265737699。</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（2）登录报名</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（3）在系统操作过程中如有疑问，请按以下方式联系：</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注册咨询：18261002950；</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CA技术咨询电话：400-608-6099；</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签章使用问题：025-83633811、025-83633812、15380932027、15371015030；</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系统使用指导与咨询：联系电话：</w:t>
      </w:r>
      <w:r>
        <w:rPr>
          <w:rFonts w:hint="eastAsia" w:ascii="宋体" w:hAnsi="宋体" w:eastAsia="宋体" w:cs="宋体"/>
          <w:color w:val="auto"/>
          <w:sz w:val="24"/>
          <w:szCs w:val="24"/>
          <w:highlight w:val="none"/>
          <w:shd w:val="clear" w:color="auto" w:fill="ffffff"/>
          <w:lang w:val="en-US" w:eastAsia="zh-CN"/>
        </w:rPr>
        <w:t xml:space="preserve">13914088964、</w:t>
      </w:r>
      <w:r>
        <w:rPr>
          <w:rFonts w:hint="eastAsia" w:ascii="宋体" w:hAnsi="宋体" w:eastAsia="宋体" w:cs="宋体"/>
          <w:color w:val="auto"/>
          <w:sz w:val="24"/>
          <w:szCs w:val="24"/>
          <w:highlight w:val="none"/>
          <w:shd w:val="clear" w:color="auto" w:fill="ffffff"/>
        </w:rPr>
        <w:t xml:space="preserve">18261002950；智能客服：登录苏采云系统后，联系系统右下方智能客服图标进行咨询。</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供应商在“苏采云”系统中操作成功参与项目后，必须在“已参与项目”界面中下载电子采购文件（后缀名为“.kedt”）并导入政府采购客户端工具后方可进行投标文件制作和提交（具体详见《苏采云系统供应商操作手册》。</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3、售价：无</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4、本项目采用网上投标电子评标方式。</w:t>
      </w:r>
      <w:r>
        <w:rPr>
          <w:color w:val="auto"/>
        </w:rPr>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color w:val="auto"/>
          <w:highlight w:val="none"/>
        </w:rPr>
      </w:r>
      <w:bookmarkStart w:id="4" w:name="_Toc28359016"/>
      <w:r>
        <w:rPr>
          <w:color w:val="auto"/>
          <w:highlight w:val="none"/>
        </w:rPr>
      </w:r>
      <w:bookmarkStart w:id="5" w:name="_Toc35393802"/>
      <w:r>
        <w:rPr>
          <w:color w:val="auto"/>
          <w:highlight w:val="none"/>
        </w:rPr>
      </w:r>
      <w:bookmarkStart w:id="6" w:name="_Toc35393633"/>
      <w:r>
        <w:rPr>
          <w:color w:val="auto"/>
          <w:highlight w:val="none"/>
        </w:rPr>
      </w:r>
      <w:bookmarkStart w:id="7" w:name="_Toc28359093"/>
      <w:r>
        <w:rPr>
          <w:rFonts w:hint="eastAsia" w:ascii="宋体" w:hAnsi="宋体" w:eastAsia="宋体" w:cs="宋体"/>
          <w:color w:val="auto"/>
          <w:sz w:val="24"/>
          <w:szCs w:val="24"/>
          <w:highlight w:val="none"/>
        </w:rPr>
        <w:t xml:space="preserve">1、截止时间：</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eastAsia="zh-CN"/>
        </w:rPr>
        <w:t xml:space="preserve">25日14</w:t>
      </w:r>
      <w:r>
        <w:rPr>
          <w:rFonts w:hint="eastAsia" w:ascii="宋体" w:hAnsi="宋体" w:eastAsia="宋体" w:cs="宋体"/>
          <w:color w:val="auto"/>
          <w:sz w:val="24"/>
          <w:szCs w:val="24"/>
          <w:highlight w:val="none"/>
        </w:rPr>
        <w:t xml:space="preserve">点00分（北京时间）</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2、地点：“苏采云”系统（网址：http://jszfcg.jsczt.cn/）</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3、方式：本项目提交电子投标（响应）文件，供应商不需到现场参加开标会，不接受纸质投标（响应）文件。</w:t>
      </w:r>
      <w:r>
        <w:rPr>
          <w:color w:val="auto"/>
        </w:rPr>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五、开启</w:t>
      </w:r>
      <w:bookmarkEnd w:id="4"/>
      <w:r>
        <w:rPr>
          <w:color w:val="auto"/>
          <w:highlight w:val="none"/>
        </w:rPr>
      </w:r>
      <w:bookmarkEnd w:id="5"/>
      <w:r>
        <w:rPr>
          <w:color w:val="auto"/>
          <w:highlight w:val="none"/>
        </w:rPr>
      </w:r>
      <w:bookmarkEnd w:id="6"/>
      <w:r>
        <w:rPr>
          <w:color w:val="auto"/>
          <w:highlight w:val="none"/>
        </w:rPr>
      </w:r>
      <w:bookmarkEnd w:id="7"/>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年6</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eastAsia="zh-CN"/>
        </w:rPr>
        <w:t xml:space="preserve">25日</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点00分（北京时间）</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2、地点：“苏采云”系统（网址：http://jszfcg.jsczt.cn/）</w:t>
      </w:r>
      <w:r>
        <w:rPr>
          <w:color w:val="auto"/>
        </w:rPr>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六、其他应说明事项：</w:t>
      </w:r>
      <w:r>
        <w:rPr>
          <w:color w:val="auto"/>
        </w:rPr>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未依照采购公告要求依法获取采购文件的供应商，视为未参加该项政府采购活动，不具备对该政府采购项目提出质疑的法定权利。但因投标人资格条件或获取时间设定不符合有关法律法规规定等原因使供应商权益受损的除外。</w:t>
      </w:r>
      <w:r>
        <w:rPr>
          <w:color w:val="auto"/>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color w:val="auto"/>
          <w:sz w:val="24"/>
          <w:szCs w:val="24"/>
          <w:highlight w:val="none"/>
        </w:rPr>
        <w:t xml:space="preserve">供应商应充分考虑到网络环境、网络带宽等风险因素，如因供应商自身原因造成的电子投标文件上传不成功由供应商自行承担全部责任。</w:t>
      </w:r>
      <w:r>
        <w:rPr>
          <w:color w:val="auto"/>
        </w:rPr>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auto"/>
          <w:sz w:val="24"/>
          <w:szCs w:val="24"/>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rPr>
          <w:color w:val="auto"/>
        </w:rPr>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4、请供应商确保电脑、系统及其他设备（视频输入输出设备等）无误，且开标直至项目结束始终保持系统在线状态。</w:t>
      </w:r>
      <w:r>
        <w:rPr>
          <w:color w:val="auto"/>
        </w:rPr>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5、本次采购的有关信息将在以下网站上发布：</w:t>
      </w:r>
      <w:r>
        <w:rPr>
          <w:color w:val="auto"/>
        </w:rPr>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5.1江苏政府采购网</w:t>
      </w:r>
      <w:r>
        <w:rPr>
          <w:color w:val="auto"/>
        </w:rPr>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5.2苏州市政府采购网</w:t>
      </w:r>
      <w:r>
        <w:rPr>
          <w:color w:val="auto"/>
        </w:rPr>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en-US" w:eastAsia="zh-CN"/>
        </w:rPr>
        <w:t xml:space="preserve">苏州工业园区政府采购监督电话：0512-66681110</w:t>
      </w:r>
      <w:r>
        <w:rPr>
          <w:rFonts w:hint="eastAsia" w:ascii="宋体" w:hAnsi="宋体" w:eastAsia="宋体" w:cs="宋体"/>
          <w:bCs/>
          <w:color w:val="auto"/>
          <w:sz w:val="24"/>
          <w:szCs w:val="24"/>
          <w:highlight w:val="none"/>
        </w:rPr>
        <w:t xml:space="preserve">。</w:t>
      </w:r>
      <w:r>
        <w:rPr>
          <w:color w:val="auto"/>
        </w:rPr>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7、单位负责人为同一人或者存在直接控股、管理关系的不同供应商，不得参加同一合同项下的政府采购活动。</w:t>
      </w:r>
      <w:r>
        <w:rPr>
          <w:color w:val="auto"/>
        </w:rPr>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8、为采购项目提供整体设计、规范编制或者项目管理、监理、检测等服务的供应商，不得再参加该采购项目的其他采购活动。</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9、根据《政府采购促进中小企业发展管理办法》（财库〔2020〕46号）及《中小企业划型标准规定》（工信部联企业〔2011〕300号），</w:t>
      </w:r>
      <w:r>
        <w:rPr>
          <w:rFonts w:hint="eastAsia" w:ascii="宋体" w:hAnsi="宋体" w:eastAsia="宋体" w:cs="宋体"/>
          <w:b/>
          <w:bCs/>
          <w:color w:val="auto"/>
          <w:sz w:val="24"/>
          <w:szCs w:val="24"/>
          <w:highlight w:val="none"/>
        </w:rPr>
        <w:t xml:space="preserve">本采购标的对应的中小企业划分标准所属行业为：建筑业</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10、本项目获取采购文件截止日期之后仍可以下载采购文件，但截止日期之后下载的采购文件，视为非有效方式且不作为供应商权益受到损害的证明材料和依据。</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不同供应商响应文件的制作机器码一致，均视为无效响应。</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、本项目支持政府采购合同信用融资。</w:t>
      </w:r>
      <w:r>
        <w:rPr>
          <w:color w:val="auto"/>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七、凡对本次采购提出询问，请按以下方式联系：</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1、采购单位</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南京航空航天大学苏州附属中学</w:t>
      </w:r>
      <w:r>
        <w:rPr>
          <w:color w:val="auto"/>
        </w:rPr>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地址：</w:t>
      </w:r>
      <w:r>
        <w:rPr>
          <w:rFonts w:ascii="SimSun" w:hAnsi="SimSun" w:eastAsia="SimSun" w:cs="SimSun"/>
          <w:color w:val="auto"/>
          <w:sz w:val="24"/>
          <w:highlight w:val="none"/>
        </w:rPr>
        <w:t xml:space="preserve">苏州工业园区运澄路65号</w:t>
      </w:r>
      <w:r>
        <w:rPr>
          <w:color w:val="auto"/>
        </w:rPr>
      </w:r>
      <w:r/>
    </w:p>
    <w:p>
      <w:pPr>
        <w:ind w:left="0" w:firstLine="480"/>
        <w:keepLines w:val="0"/>
        <w:keepNext w:val="0"/>
        <w:pageBreakBefore w:val="0"/>
        <w:spacing w:line="360" w:lineRule="auto"/>
        <w:widowControl w:val="off"/>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联系人：江</w:t>
      </w:r>
      <w:r>
        <w:rPr>
          <w:rFonts w:hint="eastAsia" w:ascii="宋体" w:hAnsi="宋体" w:eastAsia="宋体" w:cs="宋体"/>
          <w:b w:val="0"/>
          <w:bCs w:val="0"/>
          <w:color w:val="auto"/>
          <w:sz w:val="24"/>
          <w:szCs w:val="24"/>
          <w:highlight w:val="none"/>
          <w:lang w:val="en-US" w:eastAsia="zh-CN"/>
        </w:rPr>
        <w:t xml:space="preserve">老师</w:t>
      </w:r>
      <w:r>
        <w:rPr>
          <w:color w:val="auto"/>
        </w:rPr>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电话：</w:t>
      </w:r>
      <w:r>
        <w:rPr>
          <w:rFonts w:hint="eastAsia" w:ascii="宋体" w:hAnsi="宋体" w:eastAsia="宋体" w:cs="宋体"/>
          <w:b w:val="0"/>
          <w:bCs w:val="0"/>
          <w:color w:val="auto"/>
          <w:sz w:val="24"/>
          <w:szCs w:val="24"/>
          <w:highlight w:val="none"/>
          <w:u w:val="none"/>
          <w:lang w:val="en-US" w:eastAsia="zh-CN"/>
        </w:rPr>
        <w:t xml:space="preserve">0512-62719810</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称：苏州合亿盛工程咨询有限公司</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址：苏州市相城区聚茂路185号活力大厦B座502</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联系方式：0512-67210880</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项目联系人：徐晓逸/胡欢/吴雯瑜</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话：0512-67210880</w:t>
      </w:r>
      <w:r>
        <w:rPr>
          <w:color w:val="auto"/>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rPr>
          <w:rFonts w:hint="eastAsia" w:ascii="宋体" w:hAnsi="宋体" w:eastAsia="宋体" w:cs="宋体"/>
          <w:color w:val="auto"/>
          <w:sz w:val="52"/>
          <w:highlight w:val="none"/>
        </w:rPr>
      </w:pPr>
      <w:r>
        <w:rPr>
          <w:color w:val="auto"/>
          <w:highlight w:val="none"/>
        </w:rPr>
      </w:r>
      <w:bookmarkStart w:id="8" w:name="_Toc30838"/>
      <w:r>
        <w:rPr>
          <w:color w:val="auto"/>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rPr>
          <w:color w:val="auto"/>
        </w:rPr>
      </w:r>
      <w:r/>
    </w:p>
    <w:p>
      <w:pPr>
        <w:pStyle w:val="951"/>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rPr>
          <w:color w:val="auto"/>
        </w:rPr>
      </w:r>
      <w:r/>
    </w:p>
    <w:p>
      <w:pPr>
        <w:pStyle w:val="951"/>
        <w:jc w:val="center"/>
        <w:rPr>
          <w:rFonts w:hint="eastAsia" w:ascii="宋体" w:hAnsi="宋体" w:eastAsia="宋体" w:cs="宋体"/>
          <w:b w:val="0"/>
          <w:color w:val="auto"/>
          <w:sz w:val="52"/>
          <w:highlight w:val="none"/>
        </w:rPr>
      </w:pPr>
      <w:r>
        <w:rPr>
          <w:rFonts w:hint="eastAsia" w:ascii="宋体" w:hAnsi="宋体" w:eastAsia="宋体" w:cs="宋体"/>
          <w:color w:val="auto"/>
          <w:sz w:val="52"/>
          <w:highlight w:val="none"/>
        </w:rPr>
        <w:t xml:space="preserve">第二章 磋商须知</w:t>
      </w:r>
      <w:bookmarkEnd w:id="8"/>
      <w:r>
        <w:rPr>
          <w:color w:val="auto"/>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rPr>
      </w:r>
      <w:r/>
    </w:p>
    <w:p>
      <w:pPr>
        <w:ind w:firstLine="482"/>
        <w:spacing w:line="360" w:lineRule="auto"/>
        <w:rPr>
          <w:rFonts w:hint="eastAsia" w:ascii="宋体" w:hAnsi="宋体" w:eastAsia="宋体" w:cs="宋体"/>
          <w:b/>
          <w:bCs/>
          <w:color w:val="auto"/>
          <w:sz w:val="24"/>
          <w:szCs w:val="24"/>
          <w:highlight w:val="none"/>
        </w:rPr>
      </w:pPr>
      <w:r>
        <w:rPr>
          <w:color w:val="auto"/>
          <w:highlight w:val="none"/>
        </w:rPr>
      </w:r>
      <w:bookmarkStart w:id="9" w:name="_Toc16525"/>
      <w:r>
        <w:rPr>
          <w:rFonts w:hint="eastAsia" w:ascii="宋体" w:hAnsi="宋体" w:eastAsia="宋体" w:cs="宋体"/>
          <w:b/>
          <w:bCs/>
          <w:color w:val="auto"/>
          <w:sz w:val="24"/>
          <w:szCs w:val="24"/>
          <w:highlight w:val="none"/>
        </w:rPr>
        <w:t xml:space="preserve">一、响应文件的组成及要求</w:t>
      </w:r>
      <w:r>
        <w:rPr>
          <w:color w:val="auto"/>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（一）文件组成：</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1、响应文件一（报价部分）(格式见第三章)：</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1.1磋商响应函；</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1.2磋商报价表；</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1.3磋商报价明细表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2、响应文件二（资格及技术部分）（部分格式见第三章）：</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2.1关于资格文件的声明函；</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2.2磋商响应单位基本情况表；</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2.3磋商响应单位《营业执照》副本复印件或相应主体资格证明文件；</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2.4磋商响应单位法定代表人身份证复印件；</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2.5磋商响应单位代理人身份证复印件、法定代表人授权委托书（如有授权）；</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2.6合格供应商的基本条件、特定条件所需提供的相应证明材料，具体包括：</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2.6.1具有独立承担民事责任的能力证明。包括法人或者其他组织的营业执照等证明文件，自然人的身份证明；</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2.6.2具有良好的商业信誉和健全的财务会计制度证明。包括但不限于最近一期经审计的财务报告或提供银行出具的资信证明；</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2.6.3履行合同所必备的设备和专业技术能力的证明材料。包括履行合同所必需的设备和专业技术能力的书面声明等材料；</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有依法缴纳税收和社会保障资金的良好记录。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2.6.5参加政府采购活动前三年内在经营活动中没有重大违法记录的书面声明函；</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rPr>
          <w:color w:val="auto"/>
        </w:rPr>
      </w:r>
      <w:r/>
    </w:p>
    <w:p>
      <w:pPr>
        <w:ind w:left="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2.6.7特定资格要求：</w:t>
      </w:r>
      <w:r>
        <w:rPr>
          <w:color w:val="auto"/>
        </w:rPr>
      </w:r>
      <w:r/>
    </w:p>
    <w:p>
      <w:pPr>
        <w:ind w:firstLine="480"/>
        <w:spacing w:line="360" w:lineRule="auto"/>
        <w:tabs>
          <w:tab w:val="left" w:pos="567"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2.6.7.1</w:t>
      </w:r>
      <w:r>
        <w:rPr>
          <w:rFonts w:hint="eastAsia"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2.6.7.2</w:t>
      </w:r>
      <w:r>
        <w:rPr>
          <w:rFonts w:hint="eastAsia" w:ascii="宋体" w:hAnsi="宋体" w:eastAsia="宋体" w:cs="宋体"/>
          <w:color w:val="auto"/>
          <w:sz w:val="24"/>
          <w:szCs w:val="24"/>
          <w:highlight w:val="none"/>
          <w:lang w:eastAsia="zh-CN"/>
        </w:rPr>
        <w:t xml:space="preserve">具有市政公用工程施工总承包叁级及以上资质</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2.6.7.3</w:t>
      </w:r>
      <w:r>
        <w:rPr>
          <w:rFonts w:hint="eastAsia" w:ascii="宋体" w:hAnsi="宋体" w:eastAsia="宋体" w:cs="宋体"/>
          <w:color w:val="auto"/>
          <w:sz w:val="24"/>
          <w:szCs w:val="24"/>
          <w:highlight w:val="none"/>
        </w:rPr>
        <w:t xml:space="preserve">具有安全生产许可证；</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2.6.7.4</w:t>
      </w:r>
      <w:r>
        <w:rPr>
          <w:rFonts w:hint="eastAsia" w:ascii="宋体" w:hAnsi="宋体" w:eastAsia="宋体" w:cs="宋体"/>
          <w:color w:val="auto"/>
          <w:sz w:val="24"/>
          <w:szCs w:val="24"/>
          <w:highlight w:val="none"/>
          <w:lang w:eastAsia="zh-CN"/>
        </w:rPr>
        <w:t xml:space="preserve">项目经理应具备有效的市政公用工程专业二级建造师及以上且具有建设行政主管部门核发的《建筑施工企业项目负责人安全生产考核合格证书》（B类证）</w:t>
      </w:r>
      <w:r>
        <w:rPr>
          <w:rFonts w:hint="eastAsia" w:ascii="宋体" w:hAnsi="宋体" w:eastAsia="宋体" w:cs="宋体"/>
          <w:color w:val="auto"/>
          <w:sz w:val="24"/>
          <w:szCs w:val="24"/>
          <w:highlight w:val="none"/>
        </w:rPr>
        <w:t xml:space="preserve">。</w:t>
      </w:r>
      <w:r>
        <w:rPr>
          <w:color w:val="auto"/>
        </w:rPr>
      </w: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6.8《中小企业声明函》；《残疾人福利性单位声明函》；省级以上监狱管理局、戒毒管理局（含新疆生产建设兵团）出具的属于监狱企业的证明文件；</w:t>
      </w:r>
      <w:r>
        <w:rPr>
          <w:color w:val="auto"/>
        </w:rPr>
      </w:r>
      <w:r/>
    </w:p>
    <w:p>
      <w:pPr>
        <w:ind w:left="0" w:firstLine="482"/>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注：根据《政府采购促进中小企业发展管理办法》的相关规定，本项目专门面向中小企业，《中小企业声明函》为必须提供的资格证明材料，否则磋商响应文件按响应无效处理。提供了《残疾人福利性单位</w:t>
      </w:r>
      <w:r>
        <w:rPr>
          <w:rFonts w:hint="eastAsia" w:ascii="宋体" w:hAnsi="宋体" w:eastAsia="宋体" w:cs="宋体"/>
          <w:b/>
          <w:color w:val="auto"/>
          <w:sz w:val="24"/>
          <w:szCs w:val="24"/>
          <w:highlight w:val="none"/>
          <w:lang w:val="en-US" w:eastAsia="zh-CN"/>
        </w:rPr>
        <w:t xml:space="preserve">声明</w:t>
      </w:r>
      <w:r>
        <w:rPr>
          <w:rFonts w:hint="eastAsia" w:ascii="宋体" w:hAnsi="宋体" w:eastAsia="宋体" w:cs="宋体"/>
          <w:b/>
          <w:color w:val="auto"/>
          <w:sz w:val="24"/>
          <w:szCs w:val="24"/>
          <w:highlight w:val="none"/>
        </w:rPr>
        <w:t xml:space="preserve">函》或监狱企业证明文件的供应商视同为小型、微型企业。若供应商提供的《中小企业声明函》或《残疾人福利性单位</w:t>
      </w:r>
      <w:r>
        <w:rPr>
          <w:rFonts w:hint="eastAsia" w:ascii="宋体" w:hAnsi="宋体" w:eastAsia="宋体" w:cs="宋体"/>
          <w:b/>
          <w:color w:val="auto"/>
          <w:sz w:val="24"/>
          <w:szCs w:val="24"/>
          <w:highlight w:val="none"/>
          <w:lang w:val="en-US" w:eastAsia="zh-CN"/>
        </w:rPr>
        <w:t xml:space="preserve">声明</w:t>
      </w:r>
      <w:r>
        <w:rPr>
          <w:rFonts w:hint="eastAsia" w:ascii="宋体" w:hAnsi="宋体" w:eastAsia="宋体" w:cs="宋体"/>
          <w:b/>
          <w:color w:val="auto"/>
          <w:sz w:val="24"/>
          <w:szCs w:val="24"/>
          <w:highlight w:val="none"/>
        </w:rPr>
        <w:t xml:space="preserve">函》或监狱企业证明文件为虚假声明则视同提供虚假材料，按《政府采购法》相关规定处理并报请政府监管部门给予行政处罚。</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磋商供应商证明其为合格磋商供应商的证书、证明、文件等资料：</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施工组织设计（包括但不限于总体概述比较、施工总进度计、分部、分项工程的施工方案、安全文明施工措施等）；</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《拟投入本项目人员配备一览表》；</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《商务条款偏离表》；</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《施工质量验收标准、质量承诺》；</w:t>
      </w:r>
      <w:r>
        <w:rPr>
          <w:color w:val="auto"/>
        </w:rPr>
      </w: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拟投入本项目设备清单；</w:t>
      </w:r>
      <w:r>
        <w:rPr>
          <w:color w:val="auto"/>
        </w:rPr>
      </w: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rPr>
        <w:t xml:space="preserve">材料品牌表；</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《投标（响应）保证承诺书》《磋商响应单位与其他单位存在控股、管理关系情况表》；</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磋商采购文件中要求必须提供的其他相关证明材料；</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《企业类似项目一览表》；</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其它有关资格证明文件：其他可以证明磋商供应商资信、资质和货物、服务质量的证书、文件、推荐信等资料。</w:t>
      </w:r>
      <w:r>
        <w:rPr>
          <w:color w:val="auto"/>
        </w:rPr>
      </w:r>
      <w:r/>
    </w:p>
    <w:p>
      <w:pPr>
        <w:ind w:firstLine="482"/>
        <w:spacing w:line="360" w:lineRule="auto"/>
        <w:rPr>
          <w:rFonts w:hint="eastAsia" w:ascii="宋体" w:hAnsi="宋体" w:eastAsia="宋体" w:cs="宋体"/>
          <w:color w:val="auto"/>
          <w:sz w:val="21"/>
          <w:szCs w:val="22"/>
          <w:highlight w:val="none"/>
        </w:rPr>
        <w:outlineLvl w:val="1"/>
      </w:pPr>
      <w:r>
        <w:rPr>
          <w:rFonts w:hint="eastAsia" w:ascii="宋体" w:hAnsi="宋体" w:eastAsia="宋体" w:cs="宋体"/>
          <w:b/>
          <w:color w:val="auto"/>
          <w:sz w:val="24"/>
          <w:szCs w:val="24"/>
          <w:highlight w:val="none"/>
        </w:rPr>
        <w:t xml:space="preserve">注1：以上2.6为资格审查要求提供的材料，是作为对供应商资格审查、质疑身份认定的依据，响应供应商必须提供并加盖电子公章。否则，磋商响应文件将被认定为不符合资格审查要求。</w:t>
      </w:r>
      <w:r>
        <w:rPr>
          <w:color w:val="auto"/>
        </w:rPr>
      </w:r>
      <w:r/>
    </w:p>
    <w:p>
      <w:pPr>
        <w:ind w:firstLine="482"/>
        <w:spacing w:line="360" w:lineRule="auto"/>
        <w:rPr>
          <w:rFonts w:hint="eastAsia" w:ascii="宋体" w:hAnsi="宋体" w:eastAsia="宋体" w:cs="宋体"/>
          <w:color w:val="auto"/>
          <w:sz w:val="21"/>
          <w:szCs w:val="22"/>
          <w:highlight w:val="none"/>
        </w:rPr>
        <w:outlineLvl w:val="1"/>
      </w:pPr>
      <w:r>
        <w:rPr>
          <w:rFonts w:hint="eastAsia" w:ascii="宋体" w:hAnsi="宋体" w:eastAsia="宋体" w:cs="宋体"/>
          <w:b/>
          <w:color w:val="auto"/>
          <w:sz w:val="24"/>
          <w:szCs w:val="24"/>
          <w:highlight w:val="none"/>
        </w:rPr>
        <w:t xml:space="preserve">注2：以上1.1-2.5,2.</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-2.1</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为符合性审查须提供的资料，响应供应商必须提供并加盖电子公章。否则，磋商响应文件将被认定为未实质性响应。</w:t>
      </w:r>
      <w:r>
        <w:rPr>
          <w:color w:val="auto"/>
        </w:rPr>
      </w:r>
      <w:r/>
    </w:p>
    <w:p>
      <w:pPr>
        <w:ind w:firstLine="482"/>
        <w:spacing w:line="360" w:lineRule="auto"/>
        <w:rPr>
          <w:rFonts w:hint="eastAsia" w:ascii="宋体" w:hAnsi="宋体" w:eastAsia="宋体" w:cs="宋体"/>
          <w:color w:val="auto"/>
          <w:sz w:val="21"/>
          <w:szCs w:val="22"/>
          <w:highlight w:val="none"/>
        </w:rPr>
        <w:outlineLvl w:val="1"/>
      </w:pPr>
      <w:r>
        <w:rPr>
          <w:rFonts w:hint="eastAsia" w:ascii="宋体" w:hAnsi="宋体" w:eastAsia="宋体" w:cs="宋体"/>
          <w:b/>
          <w:color w:val="auto"/>
          <w:sz w:val="24"/>
          <w:szCs w:val="24"/>
          <w:highlight w:val="none"/>
        </w:rPr>
        <w:t xml:space="preserve">注3：制作电子响应文件时必须与投标文件制作软件目录一一对应，将相关资料上传至相应模块。</w:t>
      </w:r>
      <w:r>
        <w:rPr>
          <w:color w:val="auto"/>
        </w:rPr>
      </w:r>
      <w:r/>
    </w:p>
    <w:p>
      <w:pPr>
        <w:ind w:firstLine="482"/>
        <w:spacing w:line="360" w:lineRule="auto"/>
        <w:rPr>
          <w:rFonts w:hint="eastAsia" w:ascii="宋体" w:hAnsi="宋体" w:eastAsia="宋体" w:cs="宋体"/>
          <w:color w:val="auto"/>
          <w:sz w:val="21"/>
          <w:szCs w:val="22"/>
          <w:highlight w:val="none"/>
        </w:rPr>
        <w:outlineLvl w:val="1"/>
      </w:pPr>
      <w:r>
        <w:rPr>
          <w:rFonts w:hint="eastAsia" w:ascii="宋体" w:hAnsi="宋体" w:eastAsia="宋体" w:cs="宋体"/>
          <w:b/>
          <w:color w:val="auto"/>
          <w:sz w:val="24"/>
          <w:szCs w:val="24"/>
          <w:highlight w:val="none"/>
        </w:rPr>
        <w:t xml:space="preserve">注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auto"/>
        </w:rPr>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color w:val="auto"/>
          <w:sz w:val="24"/>
          <w:szCs w:val="24"/>
          <w:highlight w:val="none"/>
        </w:rPr>
        <w:t xml:space="preserve">注5：磋商过程中如有问题采购代理机构工作人员会及时通过《投标供应商确认函》留存的手机号与供应商联系。请供应商确保该手机号磋商当日通讯畅通，否则导致的对供应商不利的后果由供应商自行承担。</w:t>
      </w:r>
      <w:r>
        <w:rPr>
          <w:color w:val="auto"/>
        </w:rPr>
      </w:r>
      <w:r/>
    </w:p>
    <w:p>
      <w:pPr>
        <w:ind w:firstLine="482"/>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二、磋商程序</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1、采购代理机构按本须知规定的时间、地点主持磋商采购活动。</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2、供应商通过“苏采云”系统在线参与磋商活动。供应商应当按照《苏采云系统供应商操作手册》规定在“苏采云”系统规定的时间内对响应文件进行解密。</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3、在磋商响应文件网上递交截止时间止成功解密的磋商供应商少于三家，则本次采购失败。</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4、由磋商小组审查供应商解密的响应文件。</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6、磋商小组要求供应商澄清、说明或者更正响应文件应当以书面形式做出。供应商的澄清、说明或者更正应当由其单位加盖电子公章。</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eastAsia="宋体" w:cs="宋体"/>
          <w:b/>
          <w:color w:val="auto"/>
          <w:sz w:val="24"/>
          <w:szCs w:val="24"/>
          <w:highlight w:val="none"/>
          <w:lang w:val="zh-CN"/>
        </w:rPr>
        <w:t xml:space="preserve">，如因供应商自身原因未在规定时间内提交澄清确认资料的，导致的不利后果由供应商自行承担</w:t>
      </w:r>
      <w:r>
        <w:rPr>
          <w:rFonts w:hint="eastAsia" w:ascii="宋体" w:hAnsi="宋体" w:eastAsia="宋体" w:cs="宋体"/>
          <w:bCs/>
          <w:color w:val="auto"/>
          <w:sz w:val="24"/>
          <w:szCs w:val="24"/>
          <w:highlight w:val="none"/>
          <w:lang w:val="zh-CN"/>
        </w:rPr>
        <w:t xml:space="preserve">）。</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szCs w:val="24"/>
          <w:highlight w:val="none"/>
          <w:lang w:val="zh-CN"/>
        </w:rPr>
        <w:t xml:space="preserve">提交“磋商响应函”并加盖CA电子公章。</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auto"/>
        </w:rPr>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t xml:space="preserve">9、磋商结束后，磋商小组将在“苏采云”系统向所有实质性响应的供应商发布“最后报价要求函”及最后报价格式表，要求所有实质性响应的供应商在规定时间内提交最后报价。</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此处规定时间的计算以系统中的倒计时间为准，系统中的线上最后报价只有一次机会，提交后无法撤回，请供应商慎重提交</w:t>
      </w:r>
      <w:r>
        <w:rPr>
          <w:rFonts w:hint="eastAsia" w:ascii="宋体" w:hAnsi="宋体" w:eastAsia="宋体" w:cs="宋体"/>
          <w:bCs/>
          <w:color w:val="auto"/>
          <w:sz w:val="24"/>
          <w:szCs w:val="24"/>
          <w:highlight w:val="none"/>
          <w:lang w:val="zh-CN"/>
        </w:rPr>
        <w:t xml:space="preserve">）。</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已提交响应文件的供应商，在提交最后报价之前，可以根据磋商情况退出磋商，并在“苏采云”系统中提交“退出磋商函”并加盖CA电子公章。</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进入项目评审流程后，建议各供应商法定代表人或授权委托人始终保持通讯顺畅，及时登录苏采云系统查阅、答复相关信息。</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11、经磋商确定最终采购需求和提交最后报价的供应商后，由磋商小组采用综合</w:t>
      </w:r>
      <w:r>
        <w:rPr>
          <w:rFonts w:hint="eastAsia" w:ascii="宋体" w:hAnsi="宋体" w:eastAsia="宋体" w:cs="宋体"/>
          <w:bCs/>
          <w:color w:val="auto"/>
          <w:sz w:val="24"/>
          <w:szCs w:val="24"/>
          <w:highlight w:val="none"/>
          <w:lang w:val="zh-CN"/>
        </w:rPr>
        <w:t xml:space="preserve">评分法对提交最后报价的供应商的响应文件和最后报价进行综合评分。</w:t>
      </w:r>
      <w:r>
        <w:rPr>
          <w:color w:val="auto"/>
        </w:rPr>
      </w:r>
      <w:r/>
    </w:p>
    <w:p>
      <w:pPr>
        <w:pStyle w:val="930"/>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lang w:val="en-US" w:eastAsia="en-US"/>
        </w:rPr>
        <w:t xml:space="preserve">政府采购异常低价审查</w:t>
      </w:r>
      <w:r>
        <w:rPr>
          <w:color w:val="auto"/>
        </w:rPr>
      </w:r>
      <w:r/>
    </w:p>
    <w:p>
      <w:pPr>
        <w:pStyle w:val="93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12.1</w:t>
      </w:r>
      <w:r>
        <w:rPr>
          <w:rFonts w:hint="eastAsia" w:ascii="宋体" w:hAnsi="宋体" w:eastAsia="宋体" w:cs="宋体"/>
          <w:color w:val="auto"/>
          <w:sz w:val="24"/>
          <w:szCs w:val="24"/>
          <w:highlight w:val="none"/>
          <w:lang w:val="en-US" w:eastAsia="en-US"/>
        </w:rPr>
        <w:t xml:space="preserve">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en-US"/>
        </w:rPr>
        <w:t xml:space="preserve">应当启动异常低价投标（响应）审查程序：</w:t>
      </w:r>
      <w:r>
        <w:rPr>
          <w:color w:val="auto"/>
        </w:rPr>
      </w:r>
      <w:r/>
    </w:p>
    <w:p>
      <w:pPr>
        <w:pStyle w:val="93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en-US"/>
        </w:rPr>
        <w:t xml:space="preserve">投标（响应）报价低于全部通过符合性审查供应商投标（响应）报价平均值50%的，即投标（响应）报价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全部通过符合性审查供应商投标（响应）报价平均值×50%；</w:t>
      </w:r>
      <w:r>
        <w:rPr>
          <w:color w:val="auto"/>
        </w:rPr>
      </w:r>
      <w:r/>
    </w:p>
    <w:p>
      <w:pPr>
        <w:pStyle w:val="93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en-US"/>
        </w:rPr>
        <w:t xml:space="preserve">投标（响应）报价低于通过符合性审查的次低报价供应商投标（响应）报价50%的，即投标（响应）报价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通过符合性审查的次低报价供应商投标（响应）报价×50%；</w:t>
      </w:r>
      <w:r>
        <w:rPr>
          <w:color w:val="auto"/>
        </w:rPr>
      </w:r>
      <w:r/>
    </w:p>
    <w:p>
      <w:pPr>
        <w:pStyle w:val="93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投标（响应）报价低于采购项目最高限价45%的，即投标（响应）报价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采购项目最高限价×45%；</w:t>
      </w:r>
      <w:r>
        <w:rPr>
          <w:color w:val="auto"/>
        </w:rPr>
      </w:r>
      <w:r/>
    </w:p>
    <w:p>
      <w:pPr>
        <w:pStyle w:val="93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（4）磋商小组</w:t>
      </w:r>
      <w:r>
        <w:rPr>
          <w:rFonts w:hint="eastAsia" w:ascii="宋体" w:hAnsi="宋体" w:eastAsia="宋体" w:cs="宋体"/>
          <w:color w:val="auto"/>
          <w:sz w:val="24"/>
          <w:szCs w:val="24"/>
          <w:highlight w:val="none"/>
          <w:lang w:val="en-US" w:eastAsia="en-US"/>
        </w:rPr>
        <w:t xml:space="preserve">基于专业判断，认为供应商报价过低，有可能影响产品质量或者不能诚信履约的其他情形。</w:t>
      </w:r>
      <w:r>
        <w:rPr>
          <w:color w:val="auto"/>
        </w:rPr>
      </w:r>
      <w:r/>
    </w:p>
    <w:p>
      <w:pPr>
        <w:pStyle w:val="93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auto"/>
        </w:rPr>
      </w:r>
      <w:r/>
    </w:p>
    <w:p>
      <w:pPr>
        <w:pStyle w:val="93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auto"/>
        </w:rPr>
      </w:r>
      <w:r/>
    </w:p>
    <w:p>
      <w:pPr>
        <w:pStyle w:val="93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auto"/>
        </w:rPr>
      </w:r>
      <w:r/>
    </w:p>
    <w:p>
      <w:pPr>
        <w:pStyle w:val="93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rPr>
        <w:t xml:space="preserve">、磋商小组根据磋商成交原则确定成交供应商，并将结果通知所有参加磋商的供应商。</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、如磋商过程中出现本采购文件未尽事宜，由磋商小组根据政府采购有关法律、法规讨论决定。</w:t>
      </w:r>
      <w:r>
        <w:rPr>
          <w:color w:val="auto"/>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三、质疑</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1、质疑及答复遵守《政府采购质疑和投诉办法》（中华人民共和国财政部令第94号）规定。</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2、供应商认为采购文件、采购过程和采购</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结果使自己的权益受到损害的，可以在知道或应知其权益受到损害之日起七个工作日内，以书面形式根据下述条款的规定向代理提出质疑。上述应知其权益受到损害之日，是指：</w:t>
      </w:r>
      <w:r>
        <w:rPr>
          <w:color w:val="auto"/>
        </w:rPr>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①对可以质疑的采购文件提出质疑的，为收到采购文件之日或者采购文件公告期限届满之日；</w:t>
      </w:r>
      <w:r>
        <w:rPr>
          <w:color w:val="auto"/>
        </w:rPr>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②对采购过程提出质疑的，为各采购程序环节结束之日；</w:t>
      </w:r>
      <w:r>
        <w:rPr>
          <w:color w:val="auto"/>
        </w:rPr>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③对中标或者成交结果提出质疑的，为中标或者成交结果公告期限届满之日。</w:t>
      </w:r>
      <w:r>
        <w:rPr>
          <w:color w:val="auto"/>
        </w:rPr>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3、供应商应当在法定质疑期内一次性提出针对同一采购程序环节的质疑。供应商如在法定期限内对同一采购程序环节提出多次质疑的，代理将只对供应商第一次质疑作出答复。</w:t>
      </w:r>
      <w:r>
        <w:rPr>
          <w:color w:val="auto"/>
        </w:rPr>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4、提出质疑的供应商应当是参与所质疑项目采购活动的供应商，未依照采购公告要求获取采购文件的供应商，视为未参与该项政府采购活动，不具备对该政府采购项目提出质疑的法定权利。</w:t>
      </w:r>
      <w:r>
        <w:rPr>
          <w:color w:val="auto"/>
        </w:rPr>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对采购文件内容质疑时，需提供在采购交易系统中下载本项目磋商文件的</w:t>
      </w:r>
      <w:bookmarkStart w:id="10" w:name="_Hlk159144357"/>
      <w:r>
        <w:rPr>
          <w:rFonts w:hint="eastAsia" w:ascii="宋体" w:hAnsi="宋体" w:eastAsia="宋体" w:cs="宋体"/>
          <w:b/>
          <w:bCs/>
          <w:color w:val="auto"/>
          <w:sz w:val="24"/>
          <w:szCs w:val="24"/>
          <w:highlight w:val="none"/>
        </w:rPr>
        <w:t xml:space="preserve">《投标供应商确认函》</w:t>
      </w:r>
      <w:bookmarkEnd w:id="10"/>
      <w:r>
        <w:rPr>
          <w:rFonts w:hint="eastAsia" w:ascii="宋体" w:hAnsi="宋体" w:eastAsia="宋体" w:cs="宋体"/>
          <w:b/>
          <w:bCs/>
          <w:color w:val="auto"/>
          <w:sz w:val="24"/>
          <w:szCs w:val="24"/>
          <w:highlight w:val="none"/>
        </w:rPr>
        <w:t xml:space="preserve">，未提供的视为未依照采购公告要求获取磋商文件的供应商，不具备对该政府采购项目提出质疑的法定权利。</w:t>
      </w:r>
      <w:r>
        <w:rPr>
          <w:color w:val="auto"/>
        </w:rPr>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5、接收质疑函的方式为书面形式（当场送达或邮寄方式）。供应商质疑函范本格式请参照“苏州市政府采购”网站——“下载中心”——“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”。供应商如组成联合体参加投标，则《质疑函范本》中要求签字、盖章、加盖公章之处，联合体各方均须按要求签字、盖章、加盖公章。</w:t>
      </w:r>
      <w:r>
        <w:rPr>
          <w:color w:val="auto"/>
        </w:rPr>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color w:val="auto"/>
        </w:rPr>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四、项目的终止</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出现下列情形之一的，将终止竞争性磋商采购活动：</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1、因情况变化，不再符合规定的竞争性磋商采购方式适用情形的；</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2、出现影响采购公正的违法、违规行为的；</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3、在采购过程中符合要求的供应商或者报价未超过采购预算的供应商不足3家的；</w:t>
      </w:r>
      <w:r>
        <w:rPr>
          <w:color w:val="auto"/>
        </w:rPr>
      </w:r>
      <w:r/>
    </w:p>
    <w:p>
      <w:pPr>
        <w:ind w:firstLine="480"/>
        <w:spacing w:line="360" w:lineRule="auto"/>
        <w:tabs>
          <w:tab w:val="left" w:pos="7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4、在采购活动中因重大变故，采购任务取消的。</w:t>
      </w:r>
      <w:r>
        <w:rPr>
          <w:color w:val="auto"/>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五、服务费及履约保证金</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eastAsia="zh-CN"/>
        </w:rPr>
        <w:t xml:space="preserve">根据省厅《关于进一步规范政府采购活动相关费用管理的通知》（苏财规〔2026〕1号）相关要求，本项目代理服务费由采购人支付</w:t>
      </w:r>
      <w:r>
        <w:rPr>
          <w:rFonts w:hint="eastAsia" w:ascii="宋体" w:hAnsi="宋体" w:eastAsia="宋体" w:cs="宋体"/>
          <w:color w:val="auto"/>
          <w:sz w:val="24"/>
          <w:szCs w:val="24"/>
          <w:highlight w:val="none"/>
        </w:rPr>
        <w:t xml:space="preserve">。</w:t>
      </w:r>
      <w:r>
        <w:rPr>
          <w:color w:val="auto"/>
        </w:rPr>
      </w:r>
      <w:r/>
    </w:p>
    <w:p>
      <w:pPr>
        <w:ind w:left="0" w:right="0" w:firstLine="48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履约保证金：本项目无需提交履约保证金。</w:t>
      </w:r>
      <w:r>
        <w:rPr>
          <w:rFonts w:hint="eastAsia" w:ascii="宋体" w:hAnsi="宋体" w:eastAsia="宋体" w:cs="宋体"/>
          <w:b/>
          <w:color w:val="auto"/>
          <w:sz w:val="24"/>
          <w:szCs w:val="24"/>
          <w:highlight w:val="none"/>
        </w:rPr>
      </w:r>
      <w:r>
        <w:rPr>
          <w:rFonts w:ascii="SimSun" w:hAnsi="SimSun" w:eastAsia="SimSun" w:cs="SimSun"/>
          <w:color w:val="000000"/>
          <w:sz w:val="24"/>
        </w:rPr>
      </w:r>
      <w:r>
        <w:rPr>
          <w:sz w:val="26"/>
        </w:rPr>
      </w:r>
    </w:p>
    <w:p>
      <w:pPr>
        <w:ind w:left="0" w:right="0" w:firstLine="480"/>
        <w:jc w:val="both"/>
        <w:spacing w:before="0" w:after="0" w:line="85" w:lineRule="atLeast"/>
        <w:rPr>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本项目支持提供符合《关于在全省政府采购领域推行电子履约保函（保险）的通知》（苏财购〔2023〕150 号）要求的电子履约保函作为履约保证金。</w:t>
      </w:r>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bCs/>
          <w:color w:val="auto"/>
          <w:sz w:val="24"/>
          <w:szCs w:val="24"/>
          <w:highlight w:val="none"/>
        </w:rPr>
        <w:t xml:space="preserve">六、</w:t>
      </w:r>
      <w:r>
        <w:rPr>
          <w:rFonts w:hint="eastAsia" w:ascii="宋体" w:hAnsi="宋体" w:eastAsia="宋体" w:cs="宋体"/>
          <w:b/>
          <w:color w:val="auto"/>
          <w:sz w:val="24"/>
          <w:szCs w:val="24"/>
          <w:highlight w:val="none"/>
        </w:rPr>
        <w:t xml:space="preserve">信用记录</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w:t>
      </w:r>
      <w:bookmarkStart w:id="11" w:name="OLE_LINK2"/>
      <w:r>
        <w:rPr>
          <w:rFonts w:hint="eastAsia" w:ascii="宋体" w:hAnsi="宋体" w:eastAsia="宋体" w:cs="宋体"/>
          <w:b/>
          <w:color w:val="auto"/>
          <w:sz w:val="24"/>
          <w:szCs w:val="24"/>
          <w:highlight w:val="none"/>
        </w:rPr>
        <w:t xml:space="preserve">苏州市财政局《关于印发苏州市市级政府采购信用记录查询和使用工作试行办法的通知》（苏财购（2017）11号）文件</w:t>
      </w:r>
      <w:r>
        <w:rPr>
          <w:rFonts w:hint="eastAsia" w:ascii="宋体" w:hAnsi="宋体" w:eastAsia="宋体" w:cs="宋体"/>
          <w:color w:val="auto"/>
          <w:sz w:val="24"/>
          <w:szCs w:val="24"/>
          <w:highlight w:val="none"/>
        </w:rPr>
        <w:t xml:space="preserve">的规定，我们将依法对</w:t>
      </w:r>
      <w:bookmarkEnd w:id="11"/>
      <w:r>
        <w:rPr>
          <w:rFonts w:hint="eastAsia" w:ascii="宋体" w:hAnsi="宋体" w:eastAsia="宋体" w:cs="宋体"/>
          <w:color w:val="auto"/>
          <w:sz w:val="24"/>
          <w:szCs w:val="24"/>
          <w:highlight w:val="none"/>
        </w:rPr>
        <w:t xml:space="preserve">供应商进行信用查询，凡经确认不符合政府采购相关法律法规规定的，将拒绝其参与政府采购活动。</w:t>
      </w:r>
      <w:r>
        <w:rPr>
          <w:color w:val="auto"/>
        </w:rPr>
      </w:r>
      <w:r/>
    </w:p>
    <w:p>
      <w:pPr>
        <w:ind w:firstLine="480"/>
        <w:jc w:val="left"/>
        <w:spacing w:line="360" w:lineRule="auto"/>
        <w:tabs>
          <w:tab w:val="left" w:pos="7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1、查询截止时点：响应文件递交截止时间。</w:t>
      </w:r>
      <w:r>
        <w:rPr>
          <w:color w:val="auto"/>
        </w:rPr>
      </w:r>
      <w:r/>
    </w:p>
    <w:p>
      <w:pPr>
        <w:ind w:firstLine="480"/>
        <w:jc w:val="left"/>
        <w:spacing w:line="360" w:lineRule="auto"/>
        <w:tabs>
          <w:tab w:val="left" w:pos="7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2、查询渠道：</w:t>
      </w:r>
      <w:r>
        <w:rPr>
          <w:color w:val="auto"/>
        </w:rPr>
      </w:r>
      <w:r/>
    </w:p>
    <w:p>
      <w:pPr>
        <w:ind w:firstLine="480"/>
        <w:spacing w:line="360" w:lineRule="auto"/>
        <w:tabs>
          <w:tab w:val="left" w:pos="7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采购代理机构会在接收响应文件截止时间后，登录信用中国网站（www.creditchina.gov.cn/）和中国政府采购网（www.ccgp.gov.cn/）查询供应商的信用记录，并将查询结果递交评标委员会。</w:t>
      </w:r>
      <w:r>
        <w:rPr>
          <w:color w:val="auto"/>
        </w:rPr>
      </w:r>
      <w:r/>
    </w:p>
    <w:p>
      <w:pPr>
        <w:ind w:firstLine="480"/>
        <w:jc w:val="left"/>
        <w:spacing w:line="360" w:lineRule="auto"/>
        <w:tabs>
          <w:tab w:val="left" w:pos="7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3、查询证据留存方式：</w:t>
      </w:r>
      <w:r>
        <w:rPr>
          <w:color w:val="auto"/>
        </w:rPr>
      </w:r>
      <w:r/>
    </w:p>
    <w:p>
      <w:pPr>
        <w:ind w:firstLine="480"/>
        <w:jc w:val="left"/>
        <w:spacing w:line="360" w:lineRule="auto"/>
        <w:tabs>
          <w:tab w:val="left" w:pos="7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对存在失信信息的供应商，由失信供应商进行确认。同时，采购代理机构工作人员应根据评标委员会确认的失信信息，登陆到相关来源网站页面进行复核并打印，作为证据留存。</w:t>
      </w:r>
      <w:r>
        <w:rPr>
          <w:color w:val="auto"/>
        </w:rPr>
      </w:r>
      <w:r/>
    </w:p>
    <w:p>
      <w:pPr>
        <w:ind w:firstLine="480"/>
        <w:jc w:val="left"/>
        <w:spacing w:line="360" w:lineRule="auto"/>
        <w:tabs>
          <w:tab w:val="left" w:pos="7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4、信用记录使用规则：</w:t>
      </w:r>
      <w:r>
        <w:rPr>
          <w:color w:val="auto"/>
        </w:rPr>
      </w:r>
      <w:r/>
    </w:p>
    <w:p>
      <w:pPr>
        <w:ind w:firstLine="480"/>
        <w:jc w:val="left"/>
        <w:spacing w:line="360" w:lineRule="auto"/>
        <w:tabs>
          <w:tab w:val="left" w:pos="753"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在对供应商进行资格性审查时，应根据查询结果对供应商的不良信用记录逐项甄别确认。</w:t>
      </w:r>
      <w:r>
        <w:rPr>
          <w:color w:val="auto"/>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bookmarkEnd w:id="9"/>
      <w:r>
        <w:rPr>
          <w:color w:val="auto"/>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pStyle w:val="951"/>
        <w:jc w:val="center"/>
        <w:rPr>
          <w:rFonts w:hint="eastAsia" w:ascii="宋体" w:hAnsi="宋体" w:eastAsia="宋体" w:cs="宋体"/>
          <w:b w:val="0"/>
          <w:color w:val="auto"/>
          <w:sz w:val="52"/>
          <w:highlight w:val="none"/>
        </w:rPr>
      </w:pPr>
      <w:r>
        <w:rPr>
          <w:color w:val="auto"/>
          <w:highlight w:val="none"/>
        </w:rPr>
      </w:r>
      <w:bookmarkStart w:id="12" w:name="_Toc32554"/>
      <w:r>
        <w:rPr>
          <w:rFonts w:hint="eastAsia" w:ascii="宋体" w:hAnsi="宋体" w:eastAsia="宋体" w:cs="宋体"/>
          <w:color w:val="auto"/>
          <w:sz w:val="52"/>
          <w:highlight w:val="none"/>
        </w:rPr>
        <w:t xml:space="preserve">第三章 磋商响应文件格式</w:t>
      </w:r>
      <w:bookmarkEnd w:id="12"/>
      <w:r>
        <w:rPr>
          <w:color w:val="auto"/>
        </w:rPr>
      </w:r>
      <w:r/>
    </w:p>
    <w:p>
      <w:pPr>
        <w:pStyle w:val="950"/>
        <w:ind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说明：</w:t>
      </w:r>
      <w:r>
        <w:rPr>
          <w:color w:val="auto"/>
        </w:rPr>
      </w:r>
      <w:r/>
    </w:p>
    <w:p>
      <w:pPr>
        <w:pStyle w:val="950"/>
        <w:ind w:firstLine="482"/>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对本章所有的格式，磋商供应商可根据自身情况进行补充和修改，但补充和修改不得造成与本格式内容有实质性的违背。</w:t>
      </w:r>
      <w:r>
        <w:rPr>
          <w:color w:val="auto"/>
        </w:rPr>
      </w:r>
      <w:r/>
    </w:p>
    <w:p>
      <w:pPr>
        <w:pStyle w:val="950"/>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Cs w:val="24"/>
          <w:highlight w:val="none"/>
        </w:rPr>
        <w:t xml:space="preserve">1、（供应商）法定代表人授权委托书</w:t>
      </w:r>
      <w:r>
        <w:rPr>
          <w:color w:val="auto"/>
        </w:rPr>
      </w:r>
      <w:r/>
    </w:p>
    <w:p>
      <w:pPr>
        <w:pStyle w:val="950"/>
        <w:ind w:firstLine="0"/>
        <w:jc w:val="center"/>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授权委托书</w:t>
      </w:r>
      <w:r>
        <w:rPr>
          <w:color w:val="auto"/>
        </w:rPr>
      </w:r>
      <w:r/>
    </w:p>
    <w:p>
      <w:pPr>
        <w:pStyle w:val="950"/>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p>
      <w:pPr>
        <w:ind w:firstLine="480"/>
        <w:jc w:val="left"/>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供应商名称）的法定代表人，现授权委托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（姓名）为我公司授权代表（即代理人），以本公司的名义参加</w:t>
      </w:r>
      <w:r>
        <w:rPr>
          <w:rFonts w:hint="eastAsia" w:ascii="宋体" w:hAnsi="宋体" w:eastAsia="宋体" w:cs="宋体"/>
          <w:color w:val="auto"/>
          <w:sz w:val="24"/>
          <w:szCs w:val="24"/>
          <w:highlight w:val="none"/>
          <w:u w:val="single"/>
        </w:rPr>
        <w:t xml:space="preserve">苏州合亿盛工程咨询有限公司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号（项目编号）的竞争性磋商活动。代理人在磋商活动过程中所签署的一切文件和处理与这有关的一切事务，我均予以承认。</w:t>
      </w:r>
      <w:r>
        <w:rPr>
          <w:color w:val="auto"/>
        </w:rPr>
      </w:r>
      <w:r/>
    </w:p>
    <w:p>
      <w:pPr>
        <w:ind w:firstLine="480"/>
        <w:jc w:val="left"/>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color w:val="auto"/>
        </w:rPr>
      </w:r>
      <w:r/>
    </w:p>
    <w:p>
      <w:pPr>
        <w:ind w:firstLine="480"/>
        <w:jc w:val="left"/>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rPr>
          <w:color w:val="auto"/>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法定代表人：（签字或盖章）</w:t>
      </w:r>
      <w:r>
        <w:rPr>
          <w:color w:val="auto"/>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代理人：（签字或盖章）</w:t>
      </w:r>
      <w:r>
        <w:rPr>
          <w:color w:val="auto"/>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rPr>
      </w:r>
      <w:r/>
    </w:p>
    <w:p>
      <w:pPr>
        <w:pStyle w:val="950"/>
        <w:ind w:firstLine="0"/>
        <w:jc w:val="both"/>
        <w:spacing w:line="320" w:lineRule="exact"/>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2、响应函</w:t>
      </w:r>
      <w:r>
        <w:rPr>
          <w:color w:val="auto"/>
        </w:rPr>
      </w:r>
      <w:r/>
    </w:p>
    <w:p>
      <w:pPr>
        <w:pStyle w:val="948"/>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响应函</w:t>
      </w:r>
      <w:r>
        <w:rPr>
          <w:color w:val="auto"/>
        </w:rPr>
      </w:r>
      <w:r/>
    </w:p>
    <w:p>
      <w:pPr>
        <w:pStyle w:val="9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苏州合亿盛工程咨询有限公司</w:t>
      </w:r>
      <w:r>
        <w:rPr>
          <w:rFonts w:hint="eastAsia" w:ascii="宋体" w:hAnsi="宋体" w:eastAsia="宋体" w:cs="宋体"/>
          <w:color w:val="auto"/>
          <w:sz w:val="24"/>
          <w:szCs w:val="24"/>
          <w:highlight w:val="none"/>
        </w:rPr>
        <w:t xml:space="preserve">：</w:t>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我们收到贵公司</w:t>
      </w:r>
      <w:r>
        <w:rPr>
          <w:rFonts w:hint="eastAsia" w:hAnsi="宋体" w:eastAsia="宋体" w:cs="宋体"/>
          <w:color w:val="auto"/>
          <w:sz w:val="24"/>
          <w:szCs w:val="24"/>
          <w:highlight w:val="none"/>
          <w:u w:val="single"/>
          <w:lang w:val="zh-CN"/>
        </w:rPr>
        <w:t xml:space="preserve">JSZC-320591-SHYS-C2026-0017</w:t>
      </w:r>
      <w:r>
        <w:rPr>
          <w:rFonts w:hint="eastAsia" w:ascii="宋体" w:hAnsi="宋体" w:eastAsia="宋体" w:cs="宋体"/>
          <w:color w:val="auto"/>
          <w:sz w:val="24"/>
          <w:szCs w:val="24"/>
          <w:highlight w:val="none"/>
        </w:rPr>
        <w:t xml:space="preserve">号采购文件，经仔细阅读和研究，我们决定参加磋商活动。</w:t>
      </w:r>
      <w:r>
        <w:rPr>
          <w:color w:val="auto"/>
        </w:rPr>
      </w:r>
      <w:r/>
    </w:p>
    <w:p>
      <w:pPr>
        <w:pStyle w:val="948"/>
        <w:numPr>
          <w:ilvl w:val="0"/>
          <w:numId w:val="0"/>
        </w:num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我们愿意按照采购文件的一切要求，提供完成该项目的全部内容，我们的报价应</w:t>
      </w:r>
      <w:r>
        <w:rPr>
          <w:rFonts w:hint="eastAsia" w:ascii="宋体" w:hAnsi="宋体" w:eastAsia="宋体" w:cs="宋体"/>
          <w:color w:val="auto"/>
          <w:sz w:val="24"/>
          <w:szCs w:val="24"/>
          <w:highlight w:val="none"/>
          <w:lang w:eastAsia="zh-CN"/>
        </w:rPr>
        <w:t xml:space="preserve">包括完成该项目所需的全部人工费、材料费、机械费、管理费、利润、工程风险、规费、税金，以及所需的施工准备、施工过程、保修期等所需的供货、运输、运杂保险、装卸、备品、备件、损耗、安装、调试、人员培训、售后服务、专利技术等一切费用</w:t>
      </w:r>
      <w:r>
        <w:rPr>
          <w:rFonts w:hint="eastAsia" w:ascii="宋体" w:hAnsi="宋体" w:eastAsia="宋体" w:cs="宋体"/>
          <w:color w:val="auto"/>
          <w:sz w:val="24"/>
          <w:szCs w:val="24"/>
          <w:highlight w:val="none"/>
        </w:rPr>
        <w:t xml:space="preserve">。同时，除非合同条款中另有规定，否则，成交供应商所报价格在合同实施期间不因市场变化因素而变动。</w:t>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2、如果我们的磋商响应文件被接受，我们将严格履行采购文件中规定的每一项要求，按期、按质、按量履行合同的义务。</w:t>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3、我们已详细审查全部采购文件，包括更正公告(如有)。我们完全理解并同意放弃对这方面有不明及误解的权力。</w:t>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4、我们同意按采购文件中的规定，本磋商响应文件的有效期限为响应文件提交截止之日起六十天。</w:t>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5、我们愿意提供磋商采购单位在采购文件中要求的所有资料。</w:t>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6、我们愿意遵守采购文件中所列的收费标准。</w:t>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7、我们承诺该磋商响应文件在磋商开始后的全过程中保持有效，不做任何更改和变动。</w:t>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8、我们承诺我公司符合采购文件中“合格磋商供应商的一般条件和特殊条件”的要求，若与真实情况不符，本公司愿意承担由此而产生的一切后果。</w:t>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9、我们声明：我们在参加本次政府采购活动前3年内在经营活动中没有重大违法记录。</w:t>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10、综合说明：</w:t>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（1）伴随服务及配合措施；（2）要求甲方提供的配合；</w:t>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（3）对采购文件有不同意见的偏离说明；（4）其它说明。</w:t>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所有有关磋商响应文件的函电，请按下列地址联系：</w:t>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单位：联系人：</w:t>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地址：邮政编码：</w:t>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联系电话：传真：</w:t>
      </w:r>
      <w:r>
        <w:rPr>
          <w:color w:val="auto"/>
        </w:rPr>
      </w:r>
      <w:r/>
    </w:p>
    <w:p>
      <w:pPr>
        <w:pStyle w:val="948"/>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rPr>
          <w:color w:val="auto"/>
        </w:rPr>
      </w:r>
      <w:r/>
    </w:p>
    <w:p>
      <w:pPr>
        <w:pStyle w:val="948"/>
        <w:ind w:firstLine="48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rPr>
      </w:r>
      <w:r/>
    </w:p>
    <w:p>
      <w:pPr>
        <w:pStyle w:val="950"/>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3、磋商报价表</w:t>
      </w:r>
      <w:r>
        <w:rPr>
          <w:color w:val="auto"/>
        </w:rPr>
      </w:r>
      <w:r/>
    </w:p>
    <w:p>
      <w:pPr>
        <w:pStyle w:val="948"/>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磋商报价表</w:t>
      </w:r>
      <w:r>
        <w:rPr>
          <w:color w:val="auto"/>
        </w:rPr>
      </w:r>
      <w:r/>
    </w:p>
    <w:p>
      <w:pPr>
        <w:jc w:val="center"/>
        <w:spacing w:line="360" w:lineRule="auto"/>
        <w:widowControl/>
        <w:rPr>
          <w:rFonts w:hint="eastAsia" w:ascii="宋体" w:hAnsi="宋体" w:eastAsia="宋体" w:cs="宋体"/>
          <w:b/>
          <w:color w:val="auto"/>
          <w:sz w:val="21"/>
          <w:szCs w:val="21"/>
          <w:highlight w:val="none"/>
        </w:rPr>
      </w:pPr>
      <w:r>
        <w:rPr>
          <w:rStyle w:val="953"/>
          <w:rFonts w:hint="eastAsia" w:ascii="宋体" w:hAnsi="宋体" w:eastAsia="宋体" w:cs="宋体"/>
          <w:color w:val="auto"/>
          <w:sz w:val="24"/>
          <w:szCs w:val="24"/>
          <w:highlight w:val="none"/>
        </w:rPr>
        <w:t xml:space="preserve">采购编号：                                               价格单位：元</w:t>
      </w:r>
      <w:r>
        <w:rPr>
          <w:color w:val="auto"/>
        </w:rPr>
      </w:r>
      <w:r/>
    </w:p>
    <w:tbl>
      <w:tblPr>
        <w:tblStyle w:val="92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4"/>
        <w:gridCol w:w="2581"/>
        <w:gridCol w:w="4461"/>
        <w:gridCol w:w="1328"/>
      </w:tblGrid>
      <w:tr>
        <w:trPr>
          <w:jc w:val="center"/>
          <w:trHeight w:val="801"/>
        </w:trPr>
        <w:tc>
          <w:tcPr>
            <w:tcW w:w="473" w:type="pct"/>
            <w:vAlign w:val="center"/>
            <w:textDirection w:val="lrTb"/>
            <w:noWrap w:val="false"/>
          </w:tcPr>
          <w:p>
            <w:pPr>
              <w:ind w:left="0"/>
              <w:jc w:val="center"/>
              <w:keepLines w:val="0"/>
              <w:keepNext w:val="0"/>
              <w:pageBreakBefore w:val="0"/>
              <w:widowControl/>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序号</w:t>
            </w:r>
            <w:r>
              <w:rPr>
                <w:color w:val="auto"/>
              </w:rPr>
            </w:r>
            <w:r/>
          </w:p>
        </w:tc>
        <w:tc>
          <w:tcPr>
            <w:tcW w:w="1396" w:type="pct"/>
            <w:vAlign w:val="center"/>
            <w:textDirection w:val="lrTb"/>
            <w:noWrap w:val="false"/>
          </w:tcPr>
          <w:p>
            <w:pPr>
              <w:ind w:left="0"/>
              <w:jc w:val="center"/>
              <w:keepLines w:val="0"/>
              <w:keepNext w:val="0"/>
              <w:pageBreakBefore w:val="0"/>
              <w:widowControl/>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工程名称</w:t>
            </w:r>
            <w:r>
              <w:rPr>
                <w:color w:val="auto"/>
              </w:rPr>
            </w:r>
            <w:r/>
          </w:p>
        </w:tc>
        <w:tc>
          <w:tcPr>
            <w:tcW w:w="2413" w:type="pct"/>
            <w:vAlign w:val="center"/>
            <w:textDirection w:val="lrTb"/>
            <w:noWrap w:val="false"/>
          </w:tcPr>
          <w:p>
            <w:pPr>
              <w:ind w:left="0"/>
              <w:jc w:val="center"/>
              <w:keepLines w:val="0"/>
              <w:keepNext w:val="0"/>
              <w:pageBreakBefore w:val="0"/>
              <w:widowControl/>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磋商响应报价</w:t>
            </w:r>
            <w:r>
              <w:rPr>
                <w:color w:val="auto"/>
              </w:rPr>
            </w:r>
            <w:r/>
          </w:p>
        </w:tc>
        <w:tc>
          <w:tcPr>
            <w:tcW w:w="717" w:type="pct"/>
            <w:vAlign w:val="center"/>
            <w:textDirection w:val="lrTb"/>
            <w:noWrap w:val="false"/>
          </w:tcPr>
          <w:p>
            <w:pPr>
              <w:ind w:left="0"/>
              <w:jc w:val="center"/>
              <w:keepLines w:val="0"/>
              <w:keepNext w:val="0"/>
              <w:pageBreakBefore w:val="0"/>
              <w:widowControl/>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备注</w:t>
            </w:r>
            <w:r>
              <w:rPr>
                <w:color w:val="auto"/>
              </w:rPr>
            </w:r>
            <w:r/>
          </w:p>
        </w:tc>
      </w:tr>
      <w:tr>
        <w:trPr>
          <w:jc w:val="center"/>
        </w:trPr>
        <w:tc>
          <w:tcPr>
            <w:tcW w:w="473" w:type="pct"/>
            <w:vAlign w:val="center"/>
            <w:textDirection w:val="lrTb"/>
            <w:noWrap w:val="false"/>
          </w:tcPr>
          <w:p>
            <w:pPr>
              <w:ind w:left="0"/>
              <w:jc w:val="center"/>
              <w:keepLines w:val="0"/>
              <w:keepNext w:val="0"/>
              <w:pageBreakBefore w:val="0"/>
              <w:widowControl/>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lang w:val="en-US" w:eastAsia="zh-CN"/>
              </w:rPr>
              <w:t xml:space="preserve">1</w:t>
            </w:r>
            <w:r>
              <w:rPr>
                <w:color w:val="auto"/>
              </w:rPr>
            </w:r>
            <w:r/>
          </w:p>
        </w:tc>
        <w:tc>
          <w:tcPr>
            <w:tcW w:w="1396" w:type="pct"/>
            <w:vAlign w:val="center"/>
            <w:textDirection w:val="lrTb"/>
            <w:noWrap w:val="false"/>
          </w:tcPr>
          <w:p>
            <w:pPr>
              <w:ind w:left="0"/>
              <w:jc w:val="center"/>
              <w:keepLines w:val="0"/>
              <w:keepNext w:val="0"/>
              <w:pageBreakBefore w:val="0"/>
              <w:widowControl/>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lang w:eastAsia="zh-CN"/>
              </w:rPr>
              <w:t xml:space="preserve">唯亭校区足球场及附属设施维修改造工程</w:t>
            </w:r>
            <w:r>
              <w:rPr>
                <w:color w:val="auto"/>
              </w:rPr>
            </w:r>
            <w:r/>
          </w:p>
        </w:tc>
        <w:tc>
          <w:tcPr>
            <w:tcW w:w="2413" w:type="pct"/>
            <w:vAlign w:val="center"/>
            <w:textDirection w:val="lrTb"/>
            <w:noWrap w:val="false"/>
          </w:tcPr>
          <w:p>
            <w:pPr>
              <w:ind w:left="0"/>
              <w:keepLines w:val="0"/>
              <w:keepNext w:val="0"/>
              <w:pageBreakBefore w:val="0"/>
              <w:spacing w:line="960" w:lineRule="auto"/>
              <w:widowControl/>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717" w:type="pct"/>
            <w:vAlign w:val="center"/>
            <w:textDirection w:val="lrTb"/>
            <w:noWrap w:val="false"/>
          </w:tcPr>
          <w:p>
            <w:pPr>
              <w:ind w:left="0"/>
              <w:keepLines w:val="0"/>
              <w:keepNext w:val="0"/>
              <w:pageBreakBefore w:val="0"/>
              <w:spacing w:line="960" w:lineRule="auto"/>
              <w:widowControl/>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561"/>
        </w:trPr>
        <w:tc>
          <w:tcPr>
            <w:gridSpan w:val="4"/>
            <w:tcW w:w="5000" w:type="pct"/>
            <w:vAlign w:val="center"/>
            <w:textDirection w:val="lrTb"/>
            <w:noWrap w:val="false"/>
          </w:tcPr>
          <w:p>
            <w:pPr>
              <w:ind w:left="0"/>
              <w:keepLines w:val="0"/>
              <w:keepNext w:val="0"/>
              <w:pageBreakBefore w:val="0"/>
              <w:widowControl/>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磋商响应总报价：人民币（大写）            （小写¥：             ）</w:t>
            </w:r>
            <w:r>
              <w:rPr>
                <w:color w:val="auto"/>
              </w:rPr>
            </w:r>
            <w:r/>
          </w:p>
        </w:tc>
      </w:tr>
      <w:tr>
        <w:trPr>
          <w:jc w:val="center"/>
          <w:trHeight w:val="561"/>
        </w:trPr>
        <w:tc>
          <w:tcPr>
            <w:gridSpan w:val="4"/>
            <w:tcW w:w="5000" w:type="pct"/>
            <w:vAlign w:val="center"/>
            <w:textDirection w:val="lrTb"/>
            <w:noWrap w:val="false"/>
          </w:tcPr>
          <w:p>
            <w:pPr>
              <w:ind w:left="0"/>
              <w:keepLines w:val="0"/>
              <w:keepNext w:val="0"/>
              <w:pageBreakBefore w:val="0"/>
              <w:widowControl/>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工期：</w:t>
            </w:r>
            <w:r>
              <w:rPr>
                <w:color w:val="auto"/>
              </w:rPr>
            </w:r>
            <w:r/>
          </w:p>
        </w:tc>
      </w:tr>
      <w:tr>
        <w:trPr>
          <w:jc w:val="center"/>
          <w:trHeight w:val="561"/>
        </w:trPr>
        <w:tc>
          <w:tcPr>
            <w:gridSpan w:val="4"/>
            <w:tcW w:w="5000" w:type="pct"/>
            <w:vAlign w:val="center"/>
            <w:textDirection w:val="lrTb"/>
            <w:noWrap w:val="false"/>
          </w:tcPr>
          <w:p>
            <w:pPr>
              <w:ind w:left="0"/>
              <w:keepLines w:val="0"/>
              <w:keepNext w:val="0"/>
              <w:pageBreakBefore w:val="0"/>
              <w:widowControl/>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工程质量标准：</w:t>
            </w:r>
            <w:r>
              <w:rPr>
                <w:color w:val="auto"/>
              </w:rPr>
            </w:r>
            <w:r/>
          </w:p>
        </w:tc>
      </w:tr>
      <w:tr>
        <w:trPr>
          <w:jc w:val="center"/>
          <w:trHeight w:val="561"/>
        </w:trPr>
        <w:tc>
          <w:tcPr>
            <w:gridSpan w:val="4"/>
            <w:tcW w:w="5000" w:type="pct"/>
            <w:vAlign w:val="center"/>
            <w:textDirection w:val="lrTb"/>
            <w:noWrap w:val="false"/>
          </w:tcPr>
          <w:p>
            <w:pPr>
              <w:ind w:left="0"/>
              <w:keepLines w:val="0"/>
              <w:keepNext w:val="0"/>
              <w:pageBreakBefore w:val="0"/>
              <w:widowControl/>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备注：</w:t>
            </w:r>
            <w:r>
              <w:rPr>
                <w:color w:val="auto"/>
              </w:rPr>
            </w:r>
            <w:r/>
          </w:p>
        </w:tc>
      </w:tr>
    </w:tbl>
    <w:p>
      <w:pPr>
        <w:ind w:right="-200"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color w:val="auto"/>
        </w:rPr>
      </w:r>
      <w:r/>
    </w:p>
    <w:p>
      <w:pPr>
        <w:ind w:right="-200"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4"/>
          <w:szCs w:val="24"/>
          <w:highlight w:val="none"/>
        </w:rPr>
        <w:t xml:space="preserve">注：上述报价应</w:t>
      </w:r>
      <w:r>
        <w:rPr>
          <w:rFonts w:hint="eastAsia" w:ascii="宋体" w:hAnsi="宋体" w:eastAsia="宋体" w:cs="宋体"/>
          <w:bCs/>
          <w:color w:val="auto"/>
          <w:sz w:val="24"/>
          <w:szCs w:val="24"/>
          <w:highlight w:val="none"/>
          <w:lang w:eastAsia="zh-CN"/>
        </w:rPr>
        <w:t xml:space="preserve">包括完成该项目所需的全部人工费、材料费、机械费、管理费、利润、工程风险、规费、税金，以及所需的施工准备、施工过程、保修期等所需的供货、运输、运杂保险、装卸、备品、备件、损耗、安装、调试、人员培训、售后服务、专利技术等一切费用</w:t>
      </w:r>
      <w:r>
        <w:rPr>
          <w:rFonts w:hint="eastAsia" w:ascii="宋体" w:hAnsi="宋体" w:eastAsia="宋体" w:cs="宋体"/>
          <w:bCs/>
          <w:color w:val="auto"/>
          <w:sz w:val="24"/>
          <w:szCs w:val="24"/>
          <w:highlight w:val="none"/>
        </w:rPr>
        <w:t xml:space="preserve">。同时，除非合同条款中另有规定，否则，成交供应商所报价格在合同实施期间不因市场变化因素而变动。</w:t>
      </w:r>
      <w:r>
        <w:rPr>
          <w:color w:val="auto"/>
        </w:rPr>
      </w:r>
      <w:r/>
    </w:p>
    <w:p>
      <w:pPr>
        <w:ind w:right="-20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p>
      <w:pPr>
        <w:ind w:right="-2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rPr>
      </w:r>
      <w:r/>
    </w:p>
    <w:p>
      <w:pPr>
        <w:jc w:val="left"/>
        <w:spacing w:line="360" w:lineRule="auto"/>
        <w:widowControl/>
        <w:rPr>
          <w:rFonts w:hint="eastAsia" w:ascii="宋体" w:hAnsi="宋体" w:eastAsia="宋体" w:cs="宋体"/>
          <w:color w:val="auto"/>
          <w:sz w:val="24"/>
          <w:szCs w:val="24"/>
          <w:highlight w:val="none"/>
        </w:rPr>
      </w:pPr>
      <w:r>
        <w:rPr>
          <w:color w:val="auto"/>
          <w:highlight w:val="none"/>
        </w:rPr>
      </w:r>
      <w:bookmarkStart w:id="13" w:name="_Toc301441710"/>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rPr>
      </w:r>
      <w:r/>
    </w:p>
    <w:p>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4、工程量清单</w:t>
      </w:r>
      <w:r>
        <w:rPr>
          <w:color w:val="auto"/>
        </w:rPr>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（工程量清单请前往江苏省政府采购网本项目采购公告下载，响应文件需按全套表内容报价，不得缺少）</w:t>
      </w:r>
      <w:r>
        <w:rPr>
          <w:color w:val="auto"/>
        </w:rPr>
      </w:r>
      <w:r/>
    </w:p>
    <w:p>
      <w:pPr>
        <w:ind w:firstLine="482"/>
        <w:spacing w:line="360" w:lineRule="auto"/>
        <w:rPr>
          <w:rStyle w:val="953"/>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p>
      <w:pPr>
        <w:ind w:firstLine="42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spacing w:line="3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rPr>
          <w:color w:val="auto"/>
        </w:rPr>
      </w:r>
      <w:r/>
    </w:p>
    <w:p>
      <w:pPr>
        <w:pStyle w:val="954"/>
        <w:spacing w:line="36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 w:val="24"/>
          <w:szCs w:val="24"/>
          <w:highlight w:val="none"/>
        </w:rPr>
        <w:t xml:space="preserve">5、</w:t>
      </w:r>
      <w:bookmarkEnd w:id="13"/>
      <w:r>
        <w:rPr>
          <w:rFonts w:hint="eastAsia" w:ascii="宋体" w:hAnsi="宋体" w:eastAsia="宋体" w:cs="宋体"/>
          <w:b/>
          <w:color w:val="auto"/>
          <w:sz w:val="24"/>
          <w:szCs w:val="24"/>
          <w:highlight w:val="none"/>
          <w:lang w:val="en-US" w:eastAsia="zh-CN"/>
        </w:rPr>
        <w:t xml:space="preserve">施工组织设计方案</w:t>
      </w:r>
      <w:r>
        <w:rPr>
          <w:color w:val="auto"/>
        </w:rPr>
      </w:r>
      <w:r/>
    </w:p>
    <w:p>
      <w:pPr>
        <w:pStyle w:val="954"/>
        <w:jc w:val="center"/>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施工组织设计方案</w:t>
      </w:r>
      <w:r>
        <w:rPr>
          <w:color w:val="auto"/>
        </w:rPr>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73"/>
      </w:tblGrid>
      <w:tr>
        <w:trPr>
          <w:jc w:val="center"/>
          <w:trHeight w:val="1209"/>
        </w:trPr>
        <w:tc>
          <w:tcPr>
            <w:tcW w:w="8473" w:type="dxa"/>
            <w:textDirection w:val="lrTb"/>
            <w:noWrap w:val="false"/>
          </w:tcPr>
          <w:p>
            <w:pPr>
              <w:pStyle w:val="950"/>
              <w:ind w:firstLine="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提示：</w:t>
            </w:r>
            <w:r>
              <w:rPr>
                <w:color w:val="auto"/>
              </w:rPr>
            </w:r>
            <w:r/>
          </w:p>
          <w:p>
            <w:pPr>
              <w:pStyle w:val="950"/>
              <w:ind w:firstLine="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1.供应商应根据本次采购项目要求，对所投</w:t>
            </w:r>
            <w:r>
              <w:rPr>
                <w:rFonts w:hint="eastAsia" w:ascii="宋体" w:hAnsi="宋体" w:eastAsia="宋体" w:cs="宋体"/>
                <w:bCs/>
                <w:color w:val="auto"/>
                <w:szCs w:val="24"/>
                <w:highlight w:val="none"/>
                <w:lang w:val="en-US" w:eastAsia="zh-CN"/>
              </w:rPr>
              <w:t xml:space="preserve">工程</w:t>
            </w:r>
            <w:r>
              <w:rPr>
                <w:rFonts w:hint="eastAsia" w:ascii="宋体" w:hAnsi="宋体" w:eastAsia="宋体" w:cs="宋体"/>
                <w:bCs/>
                <w:color w:val="auto"/>
                <w:szCs w:val="24"/>
                <w:highlight w:val="none"/>
              </w:rPr>
              <w:t xml:space="preserve">进行详细的说明与描述。</w:t>
            </w:r>
            <w:r>
              <w:rPr>
                <w:color w:val="auto"/>
              </w:rPr>
            </w:r>
            <w:r/>
          </w:p>
          <w:p>
            <w:pPr>
              <w:pStyle w:val="950"/>
              <w:ind w:firstLine="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2.供应商可根据自身情况编写，本页不够可另加页附后。</w:t>
            </w:r>
            <w:r>
              <w:rPr>
                <w:color w:val="auto"/>
              </w:rPr>
            </w:r>
            <w:r/>
          </w:p>
        </w:tc>
      </w:tr>
      <w:tr>
        <w:trPr>
          <w:jc w:val="center"/>
          <w:trHeight w:val="8913"/>
        </w:trPr>
        <w:tc>
          <w:tcPr>
            <w:tcW w:w="8473" w:type="dxa"/>
            <w:vAlign w:val="bottom"/>
            <w:textDirection w:val="lrTb"/>
            <w:noWrap w:val="false"/>
          </w:tcPr>
          <w:p>
            <w:pPr>
              <w:ind w:firstLine="240"/>
              <w:jc w:val="center"/>
              <w:spacing w:line="360" w:lineRule="auto"/>
              <w:tabs>
                <w:tab w:val="left" w:pos="132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rPr>
                <w:color w:val="auto"/>
              </w:rPr>
            </w:r>
            <w:r/>
          </w:p>
        </w:tc>
      </w:tr>
    </w:tbl>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pStyle w:val="955"/>
        <w:ind w:firstLine="480"/>
        <w:spacing w:before="120" w:after="12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pStyle w:val="950"/>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br w:type="page" w:clear="all"/>
      </w:r>
      <w:bookmarkStart w:id="14" w:name="_Toc301441711"/>
      <w:r>
        <w:rPr>
          <w:rFonts w:hint="eastAsia" w:ascii="宋体" w:hAnsi="宋体" w:eastAsia="宋体" w:cs="宋体"/>
          <w:b/>
          <w:bCs/>
          <w:color w:val="auto"/>
          <w:szCs w:val="24"/>
          <w:highlight w:val="none"/>
        </w:rPr>
        <w:t xml:space="preserve">6、</w:t>
      </w:r>
      <w:bookmarkEnd w:id="14"/>
      <w:r>
        <w:rPr>
          <w:rStyle w:val="962"/>
          <w:rFonts w:hint="eastAsia" w:ascii="宋体" w:hAnsi="宋体" w:eastAsia="宋体" w:cs="宋体"/>
          <w:b/>
          <w:color w:val="auto"/>
          <w:szCs w:val="24"/>
          <w:highlight w:val="none"/>
        </w:rPr>
        <w:t xml:space="preserve">拟投入本项目设备清单、材料表</w:t>
      </w:r>
      <w:r>
        <w:rPr>
          <w:color w:val="auto"/>
        </w:rPr>
      </w:r>
      <w:r/>
    </w:p>
    <w:p>
      <w:pPr>
        <w:jc w:val="center"/>
        <w:spacing w:line="360" w:lineRule="auto"/>
        <w:rPr>
          <w:rStyle w:val="962"/>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r/>
    </w:p>
    <w:p>
      <w:pPr>
        <w:jc w:val="center"/>
        <w:spacing w:line="360" w:lineRule="auto"/>
        <w:rPr>
          <w:rStyle w:val="962"/>
          <w:rFonts w:hint="eastAsia" w:ascii="宋体" w:hAnsi="宋体" w:eastAsia="宋体" w:cs="宋体"/>
          <w:b/>
          <w:color w:val="auto"/>
          <w:szCs w:val="24"/>
          <w:highlight w:val="none"/>
        </w:rPr>
      </w:pPr>
      <w:r>
        <w:rPr>
          <w:rStyle w:val="962"/>
          <w:rFonts w:hint="eastAsia" w:ascii="宋体" w:hAnsi="宋体" w:eastAsia="宋体" w:cs="宋体"/>
          <w:b/>
          <w:color w:val="auto"/>
          <w:sz w:val="24"/>
          <w:szCs w:val="24"/>
          <w:highlight w:val="none"/>
        </w:rPr>
        <w:t xml:space="preserve">拟投入本项目设备清单</w:t>
      </w:r>
      <w:r>
        <w:rPr>
          <w:color w:val="auto"/>
        </w:rPr>
      </w:r>
      <w:r/>
    </w:p>
    <w:tbl>
      <w:tblPr>
        <w:tblStyle w:val="929"/>
        <w:tblpPr w:horzAnchor="page" w:tblpX="1065" w:vertAnchor="text" w:tblpY="104" w:leftFromText="180" w:topFromText="0" w:rightFromText="180" w:bottomFromText="0"/>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46"/>
        <w:gridCol w:w="1435"/>
        <w:gridCol w:w="1594"/>
        <w:gridCol w:w="797"/>
        <w:gridCol w:w="797"/>
        <w:gridCol w:w="2051"/>
        <w:gridCol w:w="1522"/>
      </w:tblGrid>
      <w:tr>
        <w:trPr>
          <w:trHeight w:val="294"/>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序号</w:t>
            </w:r>
            <w:r>
              <w:rPr>
                <w:color w:val="auto"/>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spacing w:line="340" w:lineRule="exact"/>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设备名称</w:t>
            </w:r>
            <w:r>
              <w:rPr>
                <w:color w:val="auto"/>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规格型号</w:t>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数量</w:t>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产地</w:t>
            </w:r>
            <w:r>
              <w:rPr>
                <w:color w:val="auto"/>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用于施工部位</w:t>
            </w:r>
            <w:r>
              <w:rPr>
                <w:color w:val="auto"/>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备注</w:t>
            </w:r>
            <w:r>
              <w:rPr>
                <w:color w:val="auto"/>
              </w:rPr>
            </w:r>
            <w:r/>
          </w:p>
        </w:tc>
      </w:tr>
      <w:tr>
        <w:trPr>
          <w:trHeight w:val="463"/>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440"/>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19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w:t>
            </w:r>
            <w:r>
              <w:rPr>
                <w:color w:val="auto"/>
              </w:rPr>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bl>
    <w:p>
      <w:pPr>
        <w:pStyle w:val="930"/>
        <w:ind w:left="0" w:firstLine="0"/>
        <w:jc w:val="center"/>
        <w:spacing w:line="360" w:lineRule="auto"/>
        <w:rPr>
          <w:rStyle w:val="962"/>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r/>
    </w:p>
    <w:tbl>
      <w:tblPr>
        <w:tblStyle w:val="929"/>
        <w:tblpPr w:horzAnchor="page" w:tblpX="1041" w:vertAnchor="text" w:tblpY="938" w:leftFromText="180" w:topFromText="0" w:rightFromText="180" w:bottomFromText="0"/>
        <w:tblW w:w="5247" w:type="pct"/>
        <w:tblInd w:w="0" w:type="dxa"/>
        <w:tblLayout w:type="autofit"/>
        <w:tblCellMar>
          <w:left w:w="108" w:type="dxa"/>
          <w:top w:w="0" w:type="dxa"/>
          <w:right w:w="108" w:type="dxa"/>
          <w:bottom w:w="0" w:type="dxa"/>
        </w:tblCellMar>
        <w:tblLook w:val="04A0" w:firstRow="1" w:lastRow="0" w:firstColumn="1" w:lastColumn="0" w:noHBand="0" w:noVBand="1"/>
      </w:tblPr>
      <w:tblGrid>
        <w:gridCol w:w="2178"/>
        <w:gridCol w:w="2904"/>
        <w:gridCol w:w="2904"/>
        <w:gridCol w:w="1719"/>
      </w:tblGrid>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序号</w:t>
            </w:r>
            <w:r>
              <w:rPr>
                <w:color w:val="auto"/>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材料名称</w:t>
            </w:r>
            <w:r>
              <w:rPr>
                <w:color w:val="auto"/>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响应品牌</w:t>
            </w:r>
            <w:r>
              <w:rPr>
                <w:color w:val="auto"/>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备注</w:t>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w:t>
            </w:r>
            <w:r>
              <w:rPr>
                <w:color w:val="auto"/>
              </w:rPr>
            </w: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bl>
    <w:p>
      <w:pPr>
        <w:pStyle w:val="930"/>
        <w:ind w:left="0" w:firstLine="0"/>
        <w:jc w:val="center"/>
        <w:spacing w:line="360" w:lineRule="auto"/>
        <w:rPr>
          <w:rStyle w:val="962"/>
          <w:rFonts w:hint="eastAsia" w:ascii="宋体" w:hAnsi="宋体" w:eastAsia="宋体" w:cs="宋体"/>
          <w:b/>
          <w:color w:val="auto"/>
          <w:szCs w:val="24"/>
          <w:highlight w:val="none"/>
        </w:rPr>
      </w:pPr>
      <w:r>
        <w:rPr>
          <w:rStyle w:val="962"/>
          <w:rFonts w:hint="eastAsia" w:ascii="宋体" w:hAnsi="宋体" w:eastAsia="宋体" w:cs="宋体"/>
          <w:b/>
          <w:color w:val="auto"/>
          <w:sz w:val="24"/>
          <w:szCs w:val="24"/>
          <w:highlight w:val="none"/>
        </w:rPr>
        <w:t xml:space="preserve">材料品牌表</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rPr>
      </w:r>
      <w:r/>
    </w:p>
    <w:p>
      <w:pPr>
        <w:pStyle w:val="950"/>
        <w:ind w:firstLine="0"/>
        <w:rPr>
          <w:rFonts w:hint="eastAsia" w:ascii="宋体" w:hAnsi="宋体" w:eastAsia="宋体" w:cs="宋体"/>
          <w:b/>
          <w:color w:val="auto"/>
          <w:szCs w:val="24"/>
          <w:highlight w:val="none"/>
        </w:rPr>
        <w:outlineLvl w:val="1"/>
      </w:pPr>
      <w:r>
        <w:rPr>
          <w:rFonts w:hint="eastAsia" w:ascii="宋体" w:hAnsi="宋体" w:eastAsia="宋体" w:cs="宋体"/>
          <w:color w:val="auto"/>
          <w:szCs w:val="24"/>
          <w:highlight w:val="none"/>
        </w:rPr>
        <w:br w:type="page" w:clear="all"/>
      </w:r>
      <w:r>
        <w:rPr>
          <w:rFonts w:hint="eastAsia" w:ascii="宋体" w:hAnsi="宋体" w:eastAsia="宋体" w:cs="宋体"/>
          <w:b/>
          <w:color w:val="auto"/>
          <w:szCs w:val="24"/>
          <w:highlight w:val="none"/>
        </w:rPr>
        <w:t xml:space="preserve">7、商务条款偏离表</w:t>
      </w:r>
      <w:r>
        <w:rPr>
          <w:color w:val="auto"/>
        </w:rPr>
      </w:r>
      <w:r/>
    </w:p>
    <w:p>
      <w:pPr>
        <w:pStyle w:val="956"/>
        <w:ind w:firstLine="0"/>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商务条款偏离表</w:t>
      </w:r>
      <w:r>
        <w:rPr>
          <w:color w:val="auto"/>
        </w:rPr>
      </w:r>
      <w:r/>
    </w:p>
    <w:tbl>
      <w:tblPr>
        <w:tblStyle w:val="929"/>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Height w:val="680"/>
        </w:trPr>
        <w:tc>
          <w:tcPr>
            <w:tcBorders>
              <w:top w:val="single" w:color="000000" w:sz="12"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序号</w:t>
            </w:r>
            <w:r>
              <w:rPr>
                <w:color w:val="auto"/>
              </w:rPr>
            </w:r>
            <w:r/>
          </w:p>
        </w:tc>
        <w:tc>
          <w:tcPr>
            <w:tcBorders>
              <w:top w:val="single" w:color="000000" w:sz="12"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磋商文件条目号</w:t>
            </w:r>
            <w:r>
              <w:rPr>
                <w:color w:val="auto"/>
              </w:rPr>
            </w: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磋商文件的商务条款</w:t>
            </w:r>
            <w:r>
              <w:rPr>
                <w:color w:val="auto"/>
              </w:rPr>
            </w: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响应文件的商务条款</w:t>
            </w:r>
            <w:r>
              <w:rPr>
                <w:color w:val="auto"/>
              </w:rPr>
            </w:r>
            <w:r/>
          </w:p>
        </w:tc>
        <w:tc>
          <w:tcPr>
            <w:tcBorders>
              <w:top w:val="single" w:color="000000" w:sz="12"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Style w:val="962"/>
                <w:rFonts w:hint="eastAsia" w:ascii="宋体" w:hAnsi="宋体" w:eastAsia="宋体" w:cs="宋体"/>
                <w:color w:val="auto"/>
                <w:sz w:val="24"/>
                <w:szCs w:val="24"/>
                <w:highlight w:val="none"/>
              </w:rPr>
              <w:t xml:space="preserve">说明</w:t>
            </w:r>
            <w:r>
              <w:rPr>
                <w:color w:val="auto"/>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680"/>
        </w:trPr>
        <w:tc>
          <w:tcPr>
            <w:tcBorders>
              <w:top w:val="single" w:color="000000" w:sz="4" w:space="0"/>
              <w:left w:val="single" w:color="000000" w:sz="12" w:space="0"/>
              <w:bottom w:val="single" w:color="000000" w:sz="12"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12"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12"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bl>
    <w:p>
      <w:pPr>
        <w:pStyle w:val="957"/>
        <w:spacing w:line="240" w:lineRule="auto"/>
        <w:rPr>
          <w:rStyle w:val="953"/>
          <w:rFonts w:hint="eastAsia" w:ascii="宋体" w:hAnsi="宋体" w:eastAsia="宋体" w:cs="宋体"/>
          <w:b/>
          <w:bCs w:val="0"/>
          <w:color w:val="auto"/>
          <w:sz w:val="24"/>
          <w:szCs w:val="24"/>
          <w:highlight w:val="none"/>
        </w:rPr>
      </w:pPr>
      <w:r>
        <w:rPr>
          <w:rStyle w:val="953"/>
          <w:rFonts w:hint="eastAsia" w:ascii="宋体" w:hAnsi="宋体" w:eastAsia="宋体" w:cs="宋体"/>
          <w:b/>
          <w:bCs w:val="0"/>
          <w:color w:val="auto"/>
          <w:sz w:val="24"/>
          <w:szCs w:val="24"/>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color w:val="auto"/>
        </w:rPr>
      </w:r>
      <w:r/>
    </w:p>
    <w:p>
      <w:pPr>
        <w:pStyle w:val="956"/>
        <w:ind w:firstLine="482"/>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rPr>
      </w:r>
      <w:r/>
    </w:p>
    <w:p>
      <w:pPr>
        <w:pStyle w:val="950"/>
        <w:ind w:firstLine="0"/>
        <w:rPr>
          <w:rFonts w:hint="eastAsia" w:ascii="宋体" w:hAnsi="宋体" w:eastAsia="宋体" w:cs="宋体"/>
          <w:b/>
          <w:color w:val="auto"/>
          <w:szCs w:val="24"/>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Cs w:val="24"/>
          <w:highlight w:val="none"/>
        </w:rPr>
        <w:t xml:space="preserve">8、拟投入本项目人员配备一览表</w:t>
      </w:r>
      <w:r>
        <w:rPr>
          <w:color w:val="auto"/>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r/>
    </w:p>
    <w:p>
      <w:pPr>
        <w:pStyle w:val="956"/>
        <w:ind w:firstLine="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拟投入本项目人员配备一览表</w:t>
      </w:r>
      <w:r>
        <w:rPr>
          <w:color w:val="auto"/>
        </w:rPr>
      </w:r>
      <w:r/>
    </w:p>
    <w:tbl>
      <w:tblPr>
        <w:tblStyle w:val="929"/>
        <w:tblW w:w="8897"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
        <w:gridCol w:w="1211"/>
        <w:gridCol w:w="991"/>
        <w:gridCol w:w="566"/>
        <w:gridCol w:w="567"/>
        <w:gridCol w:w="931"/>
        <w:gridCol w:w="1337"/>
        <w:gridCol w:w="1288"/>
        <w:gridCol w:w="1547"/>
      </w:tblGrid>
      <w:tr>
        <w:trPr>
          <w:jc w:val="center"/>
        </w:trPr>
        <w:tc>
          <w:tcPr>
            <w:tcW w:w="459"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序号</w:t>
            </w:r>
            <w:r>
              <w:rPr>
                <w:color w:val="auto"/>
              </w:rPr>
            </w:r>
            <w:r/>
          </w:p>
        </w:tc>
        <w:tc>
          <w:tcPr>
            <w:tcW w:w="121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项目组所任职务</w:t>
            </w:r>
            <w:r>
              <w:rPr>
                <w:color w:val="auto"/>
              </w:rPr>
            </w:r>
            <w:r/>
          </w:p>
        </w:tc>
        <w:tc>
          <w:tcPr>
            <w:tcW w:w="99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姓名</w:t>
            </w:r>
            <w:r>
              <w:rPr>
                <w:color w:val="auto"/>
              </w:rPr>
            </w:r>
            <w:r/>
          </w:p>
        </w:tc>
        <w:tc>
          <w:tcPr>
            <w:tcW w:w="566"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性别</w:t>
            </w:r>
            <w:r>
              <w:rPr>
                <w:color w:val="auto"/>
              </w:rPr>
            </w:r>
            <w:r/>
          </w:p>
        </w:tc>
        <w:tc>
          <w:tcPr>
            <w:tcW w:w="56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年龄</w:t>
            </w:r>
            <w:r>
              <w:rPr>
                <w:color w:val="auto"/>
              </w:rPr>
            </w:r>
            <w:r/>
          </w:p>
        </w:tc>
        <w:tc>
          <w:tcPr>
            <w:tcW w:w="93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职称</w:t>
            </w:r>
            <w:r>
              <w:rPr>
                <w:color w:val="auto"/>
              </w:rPr>
            </w:r>
            <w:r/>
          </w:p>
        </w:tc>
        <w:tc>
          <w:tcPr>
            <w:tcW w:w="133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专业/资格</w:t>
            </w:r>
            <w:r>
              <w:rPr>
                <w:color w:val="auto"/>
              </w:rPr>
            </w:r>
            <w:r/>
          </w:p>
        </w:tc>
        <w:tc>
          <w:tcPr>
            <w:tcW w:w="1288"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从事本工作时间</w:t>
            </w:r>
            <w:r>
              <w:rPr>
                <w:color w:val="auto"/>
              </w:rPr>
            </w:r>
            <w:r/>
          </w:p>
        </w:tc>
        <w:tc>
          <w:tcPr>
            <w:tcW w:w="154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典型业务与技术专长</w:t>
            </w:r>
            <w:r>
              <w:rPr>
                <w:color w:val="auto"/>
              </w:rPr>
            </w:r>
            <w:r/>
          </w:p>
        </w:tc>
      </w:tr>
      <w:tr>
        <w:trPr>
          <w:jc w:val="center"/>
        </w:trPr>
        <w:tc>
          <w:tcPr>
            <w:tcW w:w="459"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1</w:t>
            </w:r>
            <w:r>
              <w:rPr>
                <w:color w:val="auto"/>
              </w:rPr>
            </w:r>
            <w:r/>
          </w:p>
        </w:tc>
        <w:tc>
          <w:tcPr>
            <w:tcW w:w="121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9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6"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3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33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88"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4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Pr>
        <w:tc>
          <w:tcPr>
            <w:tcW w:w="459"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2</w:t>
            </w:r>
            <w:r>
              <w:rPr>
                <w:color w:val="auto"/>
              </w:rPr>
            </w:r>
            <w:r/>
          </w:p>
        </w:tc>
        <w:tc>
          <w:tcPr>
            <w:tcW w:w="121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9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6"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3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33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88"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4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Pr>
        <w:tc>
          <w:tcPr>
            <w:tcW w:w="459"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3</w:t>
            </w:r>
            <w:r>
              <w:rPr>
                <w:color w:val="auto"/>
              </w:rPr>
            </w:r>
            <w:r/>
          </w:p>
        </w:tc>
        <w:tc>
          <w:tcPr>
            <w:tcW w:w="121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9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6"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3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33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88"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4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Pr>
        <w:tc>
          <w:tcPr>
            <w:tcW w:w="459"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4</w:t>
            </w:r>
            <w:r>
              <w:rPr>
                <w:color w:val="auto"/>
              </w:rPr>
            </w:r>
            <w:r/>
          </w:p>
        </w:tc>
        <w:tc>
          <w:tcPr>
            <w:tcW w:w="121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9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6"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3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33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88"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4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Pr>
        <w:tc>
          <w:tcPr>
            <w:tcW w:w="459"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5</w:t>
            </w:r>
            <w:r>
              <w:rPr>
                <w:color w:val="auto"/>
              </w:rPr>
            </w:r>
            <w:r/>
          </w:p>
        </w:tc>
        <w:tc>
          <w:tcPr>
            <w:tcW w:w="121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9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6"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3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33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88"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4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Pr>
        <w:tc>
          <w:tcPr>
            <w:tcW w:w="459"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6</w:t>
            </w:r>
            <w:r>
              <w:rPr>
                <w:color w:val="auto"/>
              </w:rPr>
            </w:r>
            <w:r/>
          </w:p>
        </w:tc>
        <w:tc>
          <w:tcPr>
            <w:tcW w:w="121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9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6"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3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33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88"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4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Pr>
        <w:tc>
          <w:tcPr>
            <w:tcW w:w="459"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7</w:t>
            </w:r>
            <w:r>
              <w:rPr>
                <w:color w:val="auto"/>
              </w:rPr>
            </w:r>
            <w:r/>
          </w:p>
        </w:tc>
        <w:tc>
          <w:tcPr>
            <w:tcW w:w="121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9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6"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3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33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88"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4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Pr>
        <w:tc>
          <w:tcPr>
            <w:tcW w:w="459"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8</w:t>
            </w:r>
            <w:r>
              <w:rPr>
                <w:color w:val="auto"/>
              </w:rPr>
            </w:r>
            <w:r/>
          </w:p>
        </w:tc>
        <w:tc>
          <w:tcPr>
            <w:tcW w:w="121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9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6"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3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33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88"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4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Pr>
        <w:tc>
          <w:tcPr>
            <w:tcW w:w="459"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9</w:t>
            </w:r>
            <w:r>
              <w:rPr>
                <w:color w:val="auto"/>
              </w:rPr>
            </w:r>
            <w:r/>
          </w:p>
        </w:tc>
        <w:tc>
          <w:tcPr>
            <w:tcW w:w="121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9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6"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3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33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88"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4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Pr>
        <w:tc>
          <w:tcPr>
            <w:tcW w:w="459"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rPr>
              <w:t xml:space="preserve">10</w:t>
            </w:r>
            <w:r>
              <w:rPr>
                <w:color w:val="auto"/>
              </w:rPr>
            </w:r>
            <w:r/>
          </w:p>
        </w:tc>
        <w:tc>
          <w:tcPr>
            <w:tcW w:w="121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9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6"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56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931"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33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88"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47" w:type="dxa"/>
            <w:vAlign w:val="center"/>
            <w:textDirection w:val="lrTb"/>
            <w:noWrap w:val="false"/>
          </w:tcPr>
          <w:p>
            <w:pPr>
              <w:jc w:val="center"/>
              <w:spacing w:line="360" w:lineRule="auto"/>
              <w:rPr>
                <w:rStyle w:val="95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bl>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rPr>
      </w:r>
      <w:r/>
    </w:p>
    <w:p>
      <w:pPr>
        <w:pStyle w:val="956"/>
        <w:ind w:firstLine="0"/>
        <w:rPr>
          <w:rFonts w:hint="eastAsia" w:ascii="宋体" w:hAnsi="宋体" w:eastAsia="宋体" w:cs="宋体"/>
          <w:b/>
          <w:color w:val="auto"/>
          <w:highlight w:val="none"/>
        </w:rPr>
        <w:outlineLvl w:val="1"/>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9、企业类似项目一览表</w:t>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企业类似项目一览表</w:t>
      </w:r>
      <w:r>
        <w:rPr>
          <w:color w:val="auto"/>
        </w:rPr>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jc w:val="center"/>
          <w:trHeight w:val="1253"/>
        </w:trPr>
        <w:tc>
          <w:tcPr>
            <w:tcW w:w="8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rPr>
            </w:r>
            <w:r/>
          </w:p>
        </w:tc>
        <w:tc>
          <w:tcPr>
            <w:tcW w:w="1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合同名称</w:t>
            </w:r>
            <w:r>
              <w:rPr>
                <w:color w:val="auto"/>
              </w:rPr>
            </w:r>
            <w:r/>
          </w:p>
        </w:tc>
        <w:tc>
          <w:tcPr>
            <w:tcW w:w="1506"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rPr>
                <w:color w:val="auto"/>
              </w:rPr>
            </w:r>
            <w:r/>
          </w:p>
        </w:tc>
        <w:tc>
          <w:tcPr>
            <w:tcW w:w="1506"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项目时间</w:t>
            </w:r>
            <w:r>
              <w:rPr>
                <w:color w:val="auto"/>
              </w:rPr>
            </w:r>
            <w:r/>
          </w:p>
        </w:tc>
        <w:tc>
          <w:tcPr>
            <w:tcW w:w="1757"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rPr>
                <w:color w:val="auto"/>
              </w:rPr>
            </w:r>
            <w:r/>
          </w:p>
        </w:tc>
        <w:tc>
          <w:tcPr>
            <w:tcW w:w="1201"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color w:val="auto"/>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r/>
          </w:p>
        </w:tc>
        <w:tc>
          <w:tcPr>
            <w:tcW w:w="164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r/>
          </w:p>
        </w:tc>
        <w:tc>
          <w:tcPr>
            <w:tcW w:w="164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rPr>
            </w:r>
            <w:r/>
          </w:p>
        </w:tc>
        <w:tc>
          <w:tcPr>
            <w:tcW w:w="164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rPr>
            </w:r>
            <w:r/>
          </w:p>
        </w:tc>
        <w:tc>
          <w:tcPr>
            <w:tcW w:w="164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rPr>
            </w:r>
            <w:r/>
          </w:p>
        </w:tc>
        <w:tc>
          <w:tcPr>
            <w:tcW w:w="164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rPr>
            </w:r>
            <w:r/>
          </w:p>
        </w:tc>
        <w:tc>
          <w:tcPr>
            <w:tcW w:w="164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color w:val="auto"/>
              </w:rPr>
            </w:r>
            <w:r/>
          </w:p>
        </w:tc>
        <w:tc>
          <w:tcPr>
            <w:tcW w:w="164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tc>
        <w:tc>
          <w:tcPr>
            <w:tcW w:w="164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c>
          <w:tcPr>
            <w:tcW w:w="12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clear="all"/>
      </w:r>
      <w:r>
        <w:rPr>
          <w:color w:val="auto"/>
        </w:rPr>
      </w:r>
      <w:r/>
    </w:p>
    <w:p>
      <w:pPr>
        <w:pStyle w:val="957"/>
        <w:ind w:left="0" w:firstLine="0"/>
        <w:keepLines w:val="0"/>
        <w:keepNext w:val="0"/>
        <w:pageBreakBefore w:val="0"/>
        <w:widowControl w:val="off"/>
        <w:rPr>
          <w:rStyle w:val="962"/>
          <w:rFonts w:hint="eastAsia" w:ascii="宋体" w:hAnsi="宋体" w:eastAsia="宋体" w:cs="宋体"/>
          <w:b/>
          <w:color w:val="auto"/>
          <w:sz w:val="24"/>
          <w:szCs w:val="24"/>
          <w:highlight w:val="none"/>
        </w:rPr>
        <w:outlineLvl w:val="1"/>
      </w:pPr>
      <w:r>
        <w:rPr>
          <w:rStyle w:val="962"/>
          <w:rFonts w:hint="eastAsia" w:ascii="宋体" w:hAnsi="宋体" w:eastAsia="宋体" w:cs="宋体"/>
          <w:b/>
          <w:color w:val="auto"/>
          <w:sz w:val="24"/>
          <w:szCs w:val="24"/>
          <w:highlight w:val="none"/>
          <w:lang w:val="en-US" w:eastAsia="zh-CN" w:bidi="ar-SA"/>
        </w:rPr>
        <w:t xml:space="preserve">10、施工质量验收标准、质量承诺</w:t>
      </w:r>
      <w:r>
        <w:rPr>
          <w:color w:val="auto"/>
        </w:rPr>
      </w:r>
      <w:r/>
    </w:p>
    <w:p>
      <w:pPr>
        <w:pStyle w:val="957"/>
        <w:ind w:left="0" w:firstLine="0"/>
        <w:jc w:val="center"/>
        <w:keepLines w:val="0"/>
        <w:keepNext w:val="0"/>
        <w:pageBreakBefore w:val="0"/>
        <w:widowControl w:val="off"/>
        <w:rPr>
          <w:rStyle w:val="962"/>
          <w:rFonts w:hint="eastAsia" w:ascii="宋体" w:hAnsi="宋体" w:eastAsia="宋体" w:cs="宋体"/>
          <w:b/>
          <w:color w:val="auto"/>
          <w:sz w:val="24"/>
          <w:szCs w:val="24"/>
          <w:highlight w:val="none"/>
        </w:rPr>
      </w:pPr>
      <w:r>
        <w:rPr>
          <w:rStyle w:val="962"/>
          <w:rFonts w:hint="eastAsia" w:ascii="宋体" w:hAnsi="宋体" w:eastAsia="宋体" w:cs="宋体"/>
          <w:b/>
          <w:color w:val="auto"/>
          <w:sz w:val="24"/>
          <w:szCs w:val="24"/>
          <w:highlight w:val="none"/>
        </w:rPr>
        <w:t xml:space="preserve">施工质量验收标准、质量承诺</w:t>
      </w:r>
      <w:r>
        <w:rPr>
          <w:color w:val="auto"/>
        </w:rPr>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42"/>
      </w:tblGrid>
      <w:tr>
        <w:trPr>
          <w:trHeight w:val="1076"/>
        </w:trPr>
        <w:tc>
          <w:tcPr>
            <w:tcW w:w="9042" w:type="dxa"/>
            <w:vAlign w:val="top"/>
            <w:textDirection w:val="lrTb"/>
            <w:noWrap w:val="false"/>
          </w:tcPr>
          <w:p>
            <w:pPr>
              <w:pStyle w:val="930"/>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提示：</w:t>
            </w:r>
            <w:r>
              <w:rPr>
                <w:color w:val="auto"/>
              </w:rPr>
            </w:r>
            <w:r/>
          </w:p>
          <w:p>
            <w:pPr>
              <w:pStyle w:val="930"/>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1、磋商供应商应根据本次采购项目要求，对所投工程在服务期内质量及验收标准进行承诺</w:t>
            </w:r>
            <w:r>
              <w:rPr>
                <w:color w:val="auto"/>
              </w:rPr>
            </w:r>
            <w:r/>
          </w:p>
        </w:tc>
      </w:tr>
      <w:tr>
        <w:trPr>
          <w:trHeight w:val="9418"/>
        </w:trPr>
        <w:tc>
          <w:tcPr>
            <w:tcW w:w="9042" w:type="dxa"/>
            <w:vAlign w:val="bottom"/>
            <w:textDirection w:val="lrTb"/>
            <w:noWrap w:val="false"/>
          </w:tcPr>
          <w:p>
            <w:pPr>
              <w:ind w:firstLine="240"/>
              <w:jc w:val="center"/>
              <w:spacing w:line="360" w:lineRule="auto"/>
              <w:tabs>
                <w:tab w:val="left" w:pos="132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rPr>
                <w:color w:val="auto"/>
              </w:rPr>
            </w:r>
            <w:r/>
          </w:p>
        </w:tc>
      </w:tr>
    </w:tbl>
    <w:p>
      <w:pPr>
        <w:pStyle w:val="933"/>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rPr>
          <w:rFonts w:hint="eastAsia" w:ascii="宋体" w:hAnsi="宋体" w:eastAsia="宋体" w:cs="宋体"/>
          <w:b/>
          <w:color w:val="auto"/>
          <w:sz w:val="24"/>
          <w:szCs w:val="24"/>
          <w:highlight w:val="none"/>
        </w:rPr>
      </w:pPr>
      <w:r>
        <w:rPr>
          <w:color w:val="auto"/>
          <w:highlight w:val="none"/>
        </w:rPr>
      </w:r>
      <w:bookmarkStart w:id="15" w:name="_Toc7573"/>
      <w:r>
        <w:rPr>
          <w:rFonts w:hint="eastAsia" w:ascii="宋体" w:hAnsi="宋体" w:eastAsia="宋体" w:cs="宋体"/>
          <w:b/>
          <w:color w:val="auto"/>
          <w:sz w:val="24"/>
          <w:szCs w:val="24"/>
          <w:highlight w:val="none"/>
        </w:rPr>
        <w:br w:type="page" w:clear="all"/>
      </w:r>
      <w:r>
        <w:rPr>
          <w:color w:val="auto"/>
        </w:rPr>
      </w:r>
      <w:r/>
    </w:p>
    <w:p>
      <w:pPr>
        <w:spacing w:line="400" w:lineRule="exact"/>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w:t>
      </w:r>
      <w:bookmarkEnd w:id="15"/>
      <w:r>
        <w:rPr>
          <w:rFonts w:hint="eastAsia" w:ascii="宋体" w:hAnsi="宋体" w:eastAsia="宋体" w:cs="宋体"/>
          <w:b/>
          <w:color w:val="auto"/>
          <w:sz w:val="24"/>
          <w:szCs w:val="24"/>
          <w:highlight w:val="none"/>
        </w:rPr>
        <w:t xml:space="preserve">响应保证承诺书</w:t>
      </w:r>
      <w:r>
        <w:rPr>
          <w:color w:val="auto"/>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响应</w:t>
      </w:r>
      <w:r>
        <w:rPr>
          <w:rFonts w:hint="eastAsia" w:ascii="宋体" w:hAnsi="宋体" w:eastAsia="宋体" w:cs="宋体"/>
          <w:b/>
          <w:bCs/>
          <w:color w:val="auto"/>
          <w:sz w:val="24"/>
          <w:szCs w:val="24"/>
          <w:highlight w:val="none"/>
        </w:rPr>
        <w:t xml:space="preserve">保证承诺书</w:t>
      </w:r>
      <w:r>
        <w:rPr>
          <w:color w:val="auto"/>
        </w:rPr>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：（采购代理机构名称）</w:t>
      </w:r>
      <w:r>
        <w:rPr>
          <w:color w:val="auto"/>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我（单位/本人，以下统称我单位）自愿参加（项目名称和采购编号）的响应,并做出如下承诺：</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1.自响应截止时间至本项目发布成交公告为止，撤销响应；</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2.成交后不依法与采购人签订合同；</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3.成交后不按本采购文件规定向采购人提交履约保证金；</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4.成交后不按本采购文件规定向贵方缴纳采购代理费。</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二、我单位知晓上述行为的法律后果，承认本承诺书作为贵方（或采购人）要求我单位履行违约赔偿义务的依据作用。</w:t>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投标（响应）人：（盖公章）</w:t>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电话：传真：</w:t>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电子邮件：邮编：</w:t>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法定代表人或委托代理人(签字或签章)：</w:t>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color w:val="auto"/>
        </w:rPr>
      </w:r>
      <w:r/>
    </w:p>
    <w:p>
      <w:pPr>
        <w:pStyle w:val="950"/>
        <w:ind w:firstLine="0"/>
        <w:rPr>
          <w:rFonts w:hint="eastAsia" w:ascii="宋体" w:hAnsi="宋体" w:eastAsia="宋体" w:cs="宋体"/>
          <w:b/>
          <w:color w:val="auto"/>
          <w:szCs w:val="24"/>
          <w:highlight w:val="none"/>
        </w:rPr>
        <w:outlineLvl w:val="1"/>
      </w:pPr>
      <w:r>
        <w:rPr>
          <w:rFonts w:hint="eastAsia" w:ascii="宋体" w:hAnsi="宋体" w:eastAsia="宋体" w:cs="宋体"/>
          <w:color w:val="auto"/>
          <w:szCs w:val="24"/>
          <w:highlight w:val="none"/>
        </w:rPr>
        <w:br w:type="page" w:clear="all"/>
      </w:r>
      <w:r>
        <w:rPr>
          <w:rFonts w:hint="eastAsia" w:ascii="宋体" w:hAnsi="宋体" w:eastAsia="宋体" w:cs="宋体"/>
          <w:b/>
          <w:color w:val="auto"/>
          <w:szCs w:val="24"/>
          <w:highlight w:val="none"/>
        </w:rPr>
        <w:t xml:space="preserve">1</w:t>
      </w:r>
      <w:r>
        <w:rPr>
          <w:rFonts w:hint="eastAsia" w:ascii="宋体" w:hAnsi="宋体" w:eastAsia="宋体" w:cs="宋体"/>
          <w:b/>
          <w:color w:val="auto"/>
          <w:szCs w:val="24"/>
          <w:highlight w:val="none"/>
          <w:lang w:val="en-US" w:eastAsia="zh-CN"/>
        </w:rPr>
        <w:t xml:space="preserve">2</w:t>
      </w:r>
      <w:r>
        <w:rPr>
          <w:rFonts w:hint="eastAsia" w:ascii="宋体" w:hAnsi="宋体" w:eastAsia="宋体" w:cs="宋体"/>
          <w:b/>
          <w:color w:val="auto"/>
          <w:szCs w:val="24"/>
          <w:highlight w:val="none"/>
        </w:rPr>
        <w:t xml:space="preserve">、资格证明文件</w:t>
      </w:r>
      <w:r>
        <w:rPr>
          <w:color w:val="auto"/>
        </w:rPr>
      </w:r>
      <w:r/>
    </w:p>
    <w:p>
      <w:pPr>
        <w:pStyle w:val="950"/>
        <w:ind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rPr>
          <w:color w:val="auto"/>
        </w:rPr>
      </w:r>
      <w:r/>
    </w:p>
    <w:p>
      <w:pPr>
        <w:pStyle w:val="950"/>
        <w:ind w:firstLine="0"/>
        <w:jc w:val="both"/>
        <w:spacing w:line="360" w:lineRule="auto"/>
        <w:rPr>
          <w:rFonts w:hint="eastAsia" w:ascii="宋体" w:hAnsi="宋体" w:eastAsia="宋体" w:cs="宋体"/>
          <w:b/>
          <w:color w:val="auto"/>
          <w:szCs w:val="24"/>
          <w:highlight w:val="none"/>
        </w:rPr>
        <w:outlineLvl w:val="2"/>
      </w:pPr>
      <w:r>
        <w:rPr>
          <w:rFonts w:hint="eastAsia" w:ascii="宋体" w:hAnsi="宋体" w:eastAsia="宋体" w:cs="宋体"/>
          <w:b/>
          <w:color w:val="auto"/>
          <w:szCs w:val="24"/>
          <w:highlight w:val="none"/>
        </w:rPr>
        <w:t xml:space="preserve">（1）关于资格文件的声明函</w:t>
      </w:r>
      <w:r>
        <w:rPr>
          <w:color w:val="auto"/>
        </w:rPr>
      </w:r>
      <w:r/>
    </w:p>
    <w:p>
      <w:pPr>
        <w:pStyle w:val="950"/>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关于资格文件的声明函</w:t>
      </w:r>
      <w:r>
        <w:rPr>
          <w:color w:val="auto"/>
        </w:rPr>
      </w:r>
      <w:r/>
    </w:p>
    <w:p>
      <w:pPr>
        <w:pStyle w:val="950"/>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p>
      <w:pPr>
        <w:pStyle w:val="950"/>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苏州合亿盛工程咨询有限公司</w:t>
      </w:r>
      <w:r>
        <w:rPr>
          <w:rFonts w:hint="eastAsia" w:ascii="宋体" w:hAnsi="宋体" w:eastAsia="宋体" w:cs="宋体"/>
          <w:color w:val="auto"/>
          <w:szCs w:val="24"/>
          <w:highlight w:val="none"/>
        </w:rPr>
        <w:t xml:space="preserve">：</w:t>
      </w:r>
      <w:r>
        <w:rPr>
          <w:color w:val="auto"/>
        </w:rPr>
      </w:r>
      <w:r/>
    </w:p>
    <w:p>
      <w:pPr>
        <w:pStyle w:val="95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公司愿就由贵公司组织实施的编号为号的磋商采购活动进行响应。本公司所提交的响应文件中所有关于磋商资格的文件、证明和陈述均是真实的、准确的。若与真实情况不符，本公司愿意承担由此而产生的一切后果。</w:t>
      </w:r>
      <w:r>
        <w:rPr>
          <w:color w:val="auto"/>
        </w:rPr>
      </w:r>
      <w:r/>
    </w:p>
    <w:p>
      <w:pPr>
        <w:pStyle w:val="95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p>
      <w:pPr>
        <w:pStyle w:val="95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rPr>
      </w:r>
      <w:r/>
    </w:p>
    <w:p>
      <w:pPr>
        <w:pStyle w:val="95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p>
      <w:pPr>
        <w:pStyle w:val="950"/>
        <w:ind w:firstLine="0"/>
        <w:jc w:val="both"/>
        <w:spacing w:line="360" w:lineRule="auto"/>
        <w:rPr>
          <w:rFonts w:hint="eastAsia" w:ascii="宋体" w:hAnsi="宋体" w:eastAsia="宋体" w:cs="宋体"/>
          <w:b/>
          <w:color w:val="auto"/>
          <w:szCs w:val="24"/>
          <w:highlight w:val="none"/>
        </w:rPr>
        <w:outlineLvl w:val="2"/>
      </w:pPr>
      <w:r>
        <w:rPr>
          <w:rFonts w:hint="eastAsia" w:ascii="宋体" w:hAnsi="宋体" w:eastAsia="宋体" w:cs="宋体"/>
          <w:color w:val="auto"/>
          <w:szCs w:val="24"/>
          <w:highlight w:val="none"/>
        </w:rPr>
        <w:br w:type="page" w:clear="all"/>
      </w:r>
      <w:r>
        <w:rPr>
          <w:rFonts w:hint="eastAsia" w:ascii="宋体" w:hAnsi="宋体" w:eastAsia="宋体" w:cs="宋体"/>
          <w:b/>
          <w:color w:val="auto"/>
          <w:szCs w:val="24"/>
          <w:highlight w:val="none"/>
        </w:rPr>
        <w:t xml:space="preserve">（2）磋商响应单位基本情况表</w:t>
      </w:r>
      <w:r>
        <w:rPr>
          <w:color w:val="auto"/>
        </w:rPr>
      </w:r>
      <w:r/>
    </w:p>
    <w:p>
      <w:pPr>
        <w:pStyle w:val="950"/>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磋商响应单位基本情况表</w:t>
      </w:r>
      <w:r>
        <w:rPr>
          <w:color w:val="auto"/>
        </w:rPr>
      </w:r>
      <w:r/>
    </w:p>
    <w:p>
      <w:pPr>
        <w:pStyle w:val="95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rPr>
          <w:color w:val="auto"/>
        </w:rPr>
      </w:r>
      <w:r/>
    </w:p>
    <w:tbl>
      <w:tblPr>
        <w:tblStyle w:val="929"/>
        <w:tblW w:w="92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center"/>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rPr>
                <w:color w:val="auto"/>
              </w:rPr>
            </w:r>
            <w:r/>
          </w:p>
        </w:tc>
        <w:tc>
          <w:tcPr>
            <w:tcW w:w="2005"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tc>
        <w:tc>
          <w:tcPr>
            <w:tcW w:w="1461"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rPr>
                <w:color w:val="auto"/>
              </w:rPr>
            </w:r>
            <w:r/>
          </w:p>
        </w:tc>
        <w:tc>
          <w:tcPr>
            <w:gridSpan w:val="2"/>
            <w:tcW w:w="3292"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tc>
      </w:tr>
      <w:tr>
        <w:trPr>
          <w:cantSplit/>
        </w:trPr>
        <w:tc>
          <w:tcPr>
            <w:tcW w:w="2510" w:type="dxa"/>
            <w:vAlign w:val="center"/>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rPr>
                <w:color w:val="auto"/>
              </w:rPr>
            </w:r>
            <w:r/>
          </w:p>
        </w:tc>
        <w:tc>
          <w:tcPr>
            <w:tcW w:w="2005"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tc>
        <w:tc>
          <w:tcPr>
            <w:tcW w:w="1461"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rPr>
                <w:color w:val="auto"/>
              </w:rPr>
            </w:r>
            <w:r/>
          </w:p>
        </w:tc>
        <w:tc>
          <w:tcPr>
            <w:gridSpan w:val="2"/>
            <w:tcW w:w="3292" w:type="dxa"/>
            <w:vAlign w:val="center"/>
            <w:textDirection w:val="lrTb"/>
            <w:noWrap w:val="false"/>
          </w:tcPr>
          <w:p>
            <w:pPr>
              <w:pStyle w:val="950"/>
              <w:ind w:firstLine="216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rPr>
                <w:color w:val="auto"/>
              </w:rPr>
            </w:r>
            <w:r/>
          </w:p>
        </w:tc>
      </w:tr>
      <w:tr>
        <w:trPr>
          <w:cantSplit/>
        </w:trPr>
        <w:tc>
          <w:tcPr>
            <w:tcW w:w="2510" w:type="dxa"/>
            <w:vAlign w:val="center"/>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rPr>
                <w:color w:val="auto"/>
              </w:rPr>
            </w:r>
            <w:r/>
          </w:p>
        </w:tc>
        <w:tc>
          <w:tcPr>
            <w:gridSpan w:val="4"/>
            <w:tcW w:w="6758"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tc>
      </w:tr>
      <w:tr>
        <w:trPr>
          <w:cantSplit/>
        </w:trPr>
        <w:tc>
          <w:tcPr>
            <w:tcW w:w="2510" w:type="dxa"/>
            <w:vAlign w:val="center"/>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rPr>
                <w:color w:val="auto"/>
              </w:rPr>
            </w:r>
            <w:r/>
          </w:p>
        </w:tc>
        <w:tc>
          <w:tcPr>
            <w:tcW w:w="2005"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tc>
        <w:tc>
          <w:tcPr>
            <w:gridSpan w:val="2"/>
            <w:tcW w:w="3517"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其中：有中高级以上职称的人数</w:t>
            </w:r>
            <w:r>
              <w:rPr>
                <w:color w:val="auto"/>
              </w:rPr>
            </w:r>
            <w:r/>
          </w:p>
        </w:tc>
        <w:tc>
          <w:tcPr>
            <w:tcW w:w="1236"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tc>
      </w:tr>
      <w:tr>
        <w:trPr>
          <w:cantSplit/>
        </w:trPr>
        <w:tc>
          <w:tcPr>
            <w:tcW w:w="2510" w:type="dxa"/>
            <w:vAlign w:val="center"/>
            <w:textDirection w:val="lrTb"/>
            <w:noWrap w:val="false"/>
          </w:tcPr>
          <w:p>
            <w:pPr>
              <w:pStyle w:val="95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资产总计</w:t>
            </w:r>
            <w:r>
              <w:rPr>
                <w:color w:val="auto"/>
              </w:rPr>
            </w:r>
            <w:r/>
          </w:p>
        </w:tc>
        <w:tc>
          <w:tcPr>
            <w:tcW w:w="2005"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rPr>
                <w:color w:val="auto"/>
              </w:rPr>
            </w:r>
            <w:r/>
          </w:p>
        </w:tc>
        <w:tc>
          <w:tcPr>
            <w:tcW w:w="1461"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rPr>
                <w:color w:val="auto"/>
              </w:rPr>
            </w:r>
            <w:r/>
          </w:p>
        </w:tc>
        <w:tc>
          <w:tcPr>
            <w:gridSpan w:val="2"/>
            <w:tcW w:w="3292"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rPr>
                <w:color w:val="auto"/>
              </w:rPr>
            </w:r>
            <w:r/>
          </w:p>
        </w:tc>
      </w:tr>
      <w:tr>
        <w:trPr>
          <w:cantSplit/>
        </w:trPr>
        <w:tc>
          <w:tcPr>
            <w:tcW w:w="2510" w:type="dxa"/>
            <w:vAlign w:val="center"/>
            <w:textDirection w:val="lrTb"/>
            <w:noWrap w:val="false"/>
          </w:tcPr>
          <w:p>
            <w:pPr>
              <w:pStyle w:val="95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股东权益</w:t>
            </w:r>
            <w:r>
              <w:rPr>
                <w:color w:val="auto"/>
              </w:rPr>
            </w:r>
            <w:r/>
          </w:p>
        </w:tc>
        <w:tc>
          <w:tcPr>
            <w:tcW w:w="2005"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rPr>
                <w:color w:val="auto"/>
              </w:rPr>
            </w:r>
            <w:r/>
          </w:p>
        </w:tc>
        <w:tc>
          <w:tcPr>
            <w:tcW w:w="1461"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销售收入</w:t>
            </w:r>
            <w:r>
              <w:rPr>
                <w:color w:val="auto"/>
              </w:rPr>
            </w:r>
            <w:r/>
          </w:p>
        </w:tc>
        <w:tc>
          <w:tcPr>
            <w:gridSpan w:val="2"/>
            <w:tcW w:w="3292"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年万元</w:t>
            </w:r>
            <w:r>
              <w:rPr>
                <w:color w:val="auto"/>
              </w:rPr>
            </w:r>
            <w:r/>
          </w:p>
        </w:tc>
      </w:tr>
      <w:tr>
        <w:trPr>
          <w:cantSplit/>
        </w:trPr>
        <w:tc>
          <w:tcPr>
            <w:tcW w:w="2510" w:type="dxa"/>
            <w:vAlign w:val="center"/>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实现利润</w:t>
            </w:r>
            <w:r>
              <w:rPr>
                <w:color w:val="auto"/>
              </w:rPr>
            </w:r>
            <w:r/>
          </w:p>
        </w:tc>
        <w:tc>
          <w:tcPr>
            <w:tcW w:w="2005"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年万元</w:t>
            </w:r>
            <w:r>
              <w:rPr>
                <w:color w:val="auto"/>
              </w:rPr>
            </w:r>
            <w:r/>
          </w:p>
        </w:tc>
        <w:tc>
          <w:tcPr>
            <w:tcW w:w="1461"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tc>
        <w:tc>
          <w:tcPr>
            <w:gridSpan w:val="2"/>
            <w:tcW w:w="3292"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tc>
      </w:tr>
      <w:tr>
        <w:trPr>
          <w:cantSplit/>
        </w:trPr>
        <w:tc>
          <w:tcPr>
            <w:tcW w:w="2510" w:type="dxa"/>
            <w:vAlign w:val="center"/>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营业面积（含厂房面积）</w:t>
            </w:r>
            <w:r>
              <w:rPr>
                <w:color w:val="auto"/>
              </w:rPr>
            </w:r>
            <w:r/>
          </w:p>
        </w:tc>
        <w:tc>
          <w:tcPr>
            <w:tcW w:w="2005"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平方米</w:t>
            </w:r>
            <w:r>
              <w:rPr>
                <w:color w:val="auto"/>
              </w:rPr>
            </w:r>
            <w:r/>
          </w:p>
        </w:tc>
        <w:tc>
          <w:tcPr>
            <w:tcW w:w="1461"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rPr>
                <w:color w:val="auto"/>
              </w:rPr>
            </w:r>
            <w:r/>
          </w:p>
        </w:tc>
        <w:tc>
          <w:tcPr>
            <w:gridSpan w:val="2"/>
            <w:tcW w:w="3292" w:type="dxa"/>
            <w:vAlign w:val="center"/>
            <w:textDirection w:val="lrTb"/>
            <w:noWrap w:val="false"/>
          </w:tcPr>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自有面积平方米</w:t>
            </w:r>
            <w:r>
              <w:rPr>
                <w:color w:val="auto"/>
              </w:rPr>
            </w:r>
            <w:r/>
          </w:p>
          <w:p>
            <w:pPr>
              <w:pStyle w:val="950"/>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承租面积平方米</w:t>
            </w:r>
            <w:r>
              <w:rPr>
                <w:color w:val="auto"/>
              </w:rPr>
            </w:r>
            <w:r/>
          </w:p>
        </w:tc>
      </w:tr>
      <w:tr>
        <w:trPr>
          <w:cantSplit/>
        </w:trPr>
        <w:tc>
          <w:tcPr>
            <w:tcW w:w="2510" w:type="dxa"/>
            <w:vAlign w:val="center"/>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rPr>
                <w:color w:val="auto"/>
              </w:rPr>
            </w:r>
            <w:r/>
          </w:p>
        </w:tc>
        <w:tc>
          <w:tcPr>
            <w:gridSpan w:val="4"/>
            <w:tcW w:w="6758" w:type="dxa"/>
            <w:vAlign w:val="center"/>
            <w:textDirection w:val="lrTb"/>
            <w:noWrap w:val="false"/>
          </w:tcPr>
          <w:p>
            <w:pPr>
              <w:pStyle w:val="950"/>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tc>
      </w:tr>
      <w:tr>
        <w:trPr>
          <w:cantSplit/>
        </w:trPr>
        <w:tc>
          <w:tcPr>
            <w:tcW w:w="2510" w:type="dxa"/>
            <w:vAlign w:val="center"/>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rPr>
                <w:color w:val="auto"/>
              </w:rPr>
            </w:r>
            <w:r/>
          </w:p>
        </w:tc>
        <w:tc>
          <w:tcPr>
            <w:gridSpan w:val="4"/>
            <w:tcW w:w="6758" w:type="dxa"/>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tc>
      </w:tr>
      <w:tr>
        <w:trPr>
          <w:cantSplit/>
        </w:trPr>
        <w:tc>
          <w:tcPr>
            <w:tcW w:w="2510" w:type="dxa"/>
            <w:vAlign w:val="center"/>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近三年来完成或正在履行的重大合同情况</w:t>
            </w:r>
            <w:r>
              <w:rPr>
                <w:color w:val="auto"/>
              </w:rPr>
            </w:r>
            <w:r/>
          </w:p>
        </w:tc>
        <w:tc>
          <w:tcPr>
            <w:gridSpan w:val="4"/>
            <w:tcW w:w="6758" w:type="dxa"/>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tc>
      </w:tr>
      <w:tr>
        <w:trPr>
          <w:cantSplit/>
        </w:trPr>
        <w:tc>
          <w:tcPr>
            <w:tcW w:w="2510" w:type="dxa"/>
            <w:vAlign w:val="center"/>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最近2年内在经营过程中受到何种奖励或处分（包括情况和结果）</w:t>
            </w:r>
            <w:r>
              <w:rPr>
                <w:color w:val="auto"/>
              </w:rPr>
            </w:r>
            <w:r/>
          </w:p>
        </w:tc>
        <w:tc>
          <w:tcPr>
            <w:gridSpan w:val="4"/>
            <w:tcW w:w="6758" w:type="dxa"/>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tc>
      </w:tr>
      <w:tr>
        <w:trPr>
          <w:cantSplit/>
        </w:trPr>
        <w:tc>
          <w:tcPr>
            <w:tcW w:w="2510" w:type="dxa"/>
            <w:vAlign w:val="center"/>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最近3年内有无因售假、售劣或是其他原因被消费者投诉或起诉的情况及说明（包括解决方式和结果）</w:t>
            </w:r>
            <w:r>
              <w:rPr>
                <w:color w:val="auto"/>
              </w:rPr>
            </w:r>
            <w:r/>
          </w:p>
        </w:tc>
        <w:tc>
          <w:tcPr>
            <w:gridSpan w:val="4"/>
            <w:tcW w:w="6758" w:type="dxa"/>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tc>
      </w:tr>
      <w:tr>
        <w:trPr>
          <w:cantSplit/>
        </w:trPr>
        <w:tc>
          <w:tcPr>
            <w:tcW w:w="2510" w:type="dxa"/>
            <w:vAlign w:val="center"/>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最近3年内主要负责人有无因经济犯罪被司法机关追究的情况及说明</w:t>
            </w:r>
            <w:r>
              <w:rPr>
                <w:color w:val="auto"/>
              </w:rPr>
            </w:r>
            <w:r/>
          </w:p>
        </w:tc>
        <w:tc>
          <w:tcPr>
            <w:gridSpan w:val="4"/>
            <w:tcW w:w="6758" w:type="dxa"/>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tc>
      </w:tr>
      <w:tr>
        <w:trPr>
          <w:cantSplit/>
        </w:trPr>
        <w:tc>
          <w:tcPr>
            <w:tcW w:w="2510" w:type="dxa"/>
            <w:vAlign w:val="center"/>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获得技术认证的工程师及简介</w:t>
            </w:r>
            <w:r>
              <w:rPr>
                <w:color w:val="auto"/>
              </w:rPr>
            </w:r>
            <w:r/>
          </w:p>
        </w:tc>
        <w:tc>
          <w:tcPr>
            <w:gridSpan w:val="4"/>
            <w:tcW w:w="6758" w:type="dxa"/>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tc>
      </w:tr>
      <w:tr>
        <w:trPr>
          <w:cantSplit/>
          <w:trHeight w:val="560"/>
        </w:trPr>
        <w:tc>
          <w:tcPr>
            <w:tcW w:w="2510" w:type="dxa"/>
            <w:vAlign w:val="center"/>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rPr>
                <w:color w:val="auto"/>
              </w:rPr>
            </w:r>
            <w:r/>
          </w:p>
        </w:tc>
        <w:tc>
          <w:tcPr>
            <w:gridSpan w:val="4"/>
            <w:tcW w:w="6758" w:type="dxa"/>
            <w:textDirection w:val="lrTb"/>
            <w:noWrap w:val="false"/>
          </w:tcPr>
          <w:p>
            <w:pPr>
              <w:pStyle w:val="950"/>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r/>
          </w:p>
        </w:tc>
      </w:tr>
    </w:tbl>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rPr>
      </w:r>
      <w:r/>
    </w:p>
    <w:p>
      <w:pPr>
        <w:jc w:val="center"/>
        <w:spacing w:line="588" w:lineRule="exac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rPr>
          <w:color w:val="auto"/>
        </w:rPr>
      </w:r>
      <w:r/>
    </w:p>
    <w:p>
      <w:pPr>
        <w:pStyle w:val="950"/>
        <w:ind w:firstLine="0"/>
        <w:jc w:val="both"/>
        <w:spacing w:line="360" w:lineRule="auto"/>
        <w:rPr>
          <w:rFonts w:hint="eastAsia" w:ascii="宋体" w:hAnsi="宋体" w:eastAsia="宋体" w:cs="宋体"/>
          <w:color w:val="auto"/>
          <w:szCs w:val="24"/>
          <w:highlight w:val="none"/>
        </w:rPr>
        <w:outlineLvl w:val="2"/>
      </w:pPr>
      <w:r>
        <w:rPr>
          <w:rFonts w:hint="eastAsia" w:ascii="宋体" w:hAnsi="宋体" w:eastAsia="宋体" w:cs="宋体"/>
          <w:b/>
          <w:color w:val="auto"/>
          <w:highlight w:val="none"/>
        </w:rPr>
        <w:br w:type="page" w:clear="all"/>
      </w:r>
      <w:r>
        <w:rPr>
          <w:rFonts w:hint="eastAsia" w:ascii="宋体" w:hAnsi="宋体" w:eastAsia="宋体" w:cs="宋体"/>
          <w:b/>
          <w:color w:val="auto"/>
          <w:szCs w:val="24"/>
          <w:highlight w:val="none"/>
        </w:rPr>
        <w:t xml:space="preserve">（3）中小企业声明函</w:t>
      </w:r>
      <w:r>
        <w:rPr>
          <w:color w:val="auto"/>
        </w:rPr>
      </w:r>
      <w:r/>
    </w:p>
    <w:p>
      <w:pPr>
        <w:ind w:left="0" w:firstLine="0"/>
        <w:jc w:val="cente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bidi="ar-SA"/>
        </w:rPr>
        <w:t xml:space="preserve">中小企业声明函</w:t>
      </w:r>
      <w:r>
        <w:rPr>
          <w:color w:val="auto"/>
        </w:rPr>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lang w:val="en-US" w:eastAsia="zh-CN" w:bidi="ar-SA"/>
        </w:rPr>
        <w:t xml:space="preserve">（单位名称）</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（项目名称）</w:t>
      </w:r>
      <w:r>
        <w:rPr>
          <w:rFonts w:hint="eastAsia" w:ascii="宋体" w:hAnsi="宋体" w:eastAsia="宋体" w:cs="宋体"/>
          <w:color w:val="auto"/>
          <w:sz w:val="24"/>
          <w:szCs w:val="24"/>
          <w:highlight w:val="none"/>
          <w:lang w:val="en-US" w:eastAsia="zh-CN" w:bidi="ar-SA"/>
        </w:rPr>
        <w:t xml:space="preserve">采购活动，工程的施工单位全部为符合政策要求的中小企业。相关企业的具体情况如下：</w:t>
      </w:r>
      <w:r>
        <w:rPr>
          <w:color w:val="auto"/>
        </w:rPr>
      </w:r>
      <w:r/>
    </w:p>
    <w:p>
      <w:pPr>
        <w:numPr>
          <w:ilvl w:val="0"/>
          <w:numId w:val="1"/>
        </w:num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bidi="ar-SA"/>
        </w:rPr>
        <w:t xml:space="preserve">（标的名称）</w:t>
      </w:r>
      <w:r>
        <w:rPr>
          <w:rFonts w:hint="eastAsia" w:ascii="宋体" w:hAnsi="宋体" w:eastAsia="宋体" w:cs="宋体"/>
          <w:color w:val="auto"/>
          <w:sz w:val="24"/>
          <w:szCs w:val="24"/>
          <w:highlight w:val="none"/>
          <w:lang w:val="en-US" w:eastAsia="zh-CN" w:bidi="ar-SA"/>
        </w:rPr>
        <w:t xml:space="preserve">，属于</w:t>
      </w:r>
      <w:r>
        <w:rPr>
          <w:rFonts w:hint="eastAsia" w:ascii="宋体" w:hAnsi="宋体" w:eastAsia="宋体" w:cs="宋体"/>
          <w:color w:val="auto"/>
          <w:sz w:val="24"/>
          <w:szCs w:val="24"/>
          <w:highlight w:val="none"/>
          <w:u w:val="single"/>
          <w:lang w:val="en-US" w:eastAsia="zh-CN" w:bidi="ar-SA"/>
        </w:rPr>
        <w:t xml:space="preserve">（建筑业）</w:t>
      </w:r>
      <w:r>
        <w:rPr>
          <w:rFonts w:hint="eastAsia" w:ascii="宋体" w:hAnsi="宋体" w:eastAsia="宋体" w:cs="宋体"/>
          <w:color w:val="auto"/>
          <w:sz w:val="24"/>
          <w:szCs w:val="24"/>
          <w:highlight w:val="none"/>
          <w:lang w:val="en-US" w:eastAsia="zh-CN" w:bidi="ar-SA"/>
        </w:rPr>
        <w:t xml:space="preserve">；承接企业为</w:t>
      </w:r>
      <w:r>
        <w:rPr>
          <w:rFonts w:hint="eastAsia" w:ascii="宋体" w:hAnsi="宋体" w:eastAsia="宋体" w:cs="宋体"/>
          <w:color w:val="auto"/>
          <w:sz w:val="24"/>
          <w:szCs w:val="24"/>
          <w:highlight w:val="none"/>
          <w:u w:val="single"/>
          <w:lang w:val="en-US" w:eastAsia="zh-CN" w:bidi="ar-SA"/>
        </w:rPr>
        <w:t xml:space="preserve">（企业名称）</w:t>
      </w:r>
      <w:r>
        <w:rPr>
          <w:rFonts w:hint="eastAsia" w:ascii="宋体" w:hAnsi="宋体" w:eastAsia="宋体" w:cs="宋体"/>
          <w:color w:val="auto"/>
          <w:sz w:val="24"/>
          <w:szCs w:val="24"/>
          <w:highlight w:val="none"/>
          <w:lang w:val="en-US" w:eastAsia="zh-CN" w:bidi="ar-SA"/>
        </w:rPr>
        <w:t xml:space="preserve">，从业人员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万元，属于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（中型企业、小型企业、微型企业）；</w:t>
      </w:r>
      <w:r>
        <w:rPr>
          <w:color w:val="auto"/>
        </w:rPr>
      </w:r>
      <w:r/>
    </w:p>
    <w:p>
      <w:pPr>
        <w:numPr>
          <w:ilvl w:val="0"/>
          <w:numId w:val="1"/>
        </w:num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bidi="ar-SA"/>
        </w:rPr>
        <w:t xml:space="preserve">（标的名称）</w:t>
      </w:r>
      <w:r>
        <w:rPr>
          <w:rFonts w:hint="eastAsia" w:ascii="宋体" w:hAnsi="宋体" w:eastAsia="宋体" w:cs="宋体"/>
          <w:color w:val="auto"/>
          <w:sz w:val="24"/>
          <w:szCs w:val="24"/>
          <w:highlight w:val="none"/>
          <w:lang w:val="en-US" w:eastAsia="zh-CN" w:bidi="ar-SA"/>
        </w:rPr>
        <w:t xml:space="preserve">，属于</w:t>
      </w:r>
      <w:r>
        <w:rPr>
          <w:rFonts w:hint="eastAsia" w:ascii="宋体" w:hAnsi="宋体" w:eastAsia="宋体" w:cs="宋体"/>
          <w:color w:val="auto"/>
          <w:sz w:val="24"/>
          <w:szCs w:val="24"/>
          <w:highlight w:val="none"/>
          <w:u w:val="single"/>
          <w:lang w:val="en-US" w:eastAsia="zh-CN" w:bidi="ar-SA"/>
        </w:rPr>
        <w:t xml:space="preserve">（建筑业）</w:t>
      </w:r>
      <w:r>
        <w:rPr>
          <w:rFonts w:hint="eastAsia" w:ascii="宋体" w:hAnsi="宋体" w:eastAsia="宋体" w:cs="宋体"/>
          <w:color w:val="auto"/>
          <w:sz w:val="24"/>
          <w:szCs w:val="24"/>
          <w:highlight w:val="none"/>
          <w:lang w:val="en-US" w:eastAsia="zh-CN" w:bidi="ar-SA"/>
        </w:rPr>
        <w:t xml:space="preserve">；承接企业为</w:t>
      </w:r>
      <w:r>
        <w:rPr>
          <w:rFonts w:hint="eastAsia" w:ascii="宋体" w:hAnsi="宋体" w:eastAsia="宋体" w:cs="宋体"/>
          <w:color w:val="auto"/>
          <w:sz w:val="24"/>
          <w:szCs w:val="24"/>
          <w:highlight w:val="none"/>
          <w:u w:val="single"/>
          <w:lang w:val="en-US" w:eastAsia="zh-CN" w:bidi="ar-SA"/>
        </w:rPr>
        <w:t xml:space="preserve">（企业名称）</w:t>
      </w:r>
      <w:r>
        <w:rPr>
          <w:rFonts w:hint="eastAsia" w:ascii="宋体" w:hAnsi="宋体" w:eastAsia="宋体" w:cs="宋体"/>
          <w:color w:val="auto"/>
          <w:sz w:val="24"/>
          <w:szCs w:val="24"/>
          <w:highlight w:val="none"/>
          <w:lang w:val="en-US" w:eastAsia="zh-CN" w:bidi="ar-SA"/>
        </w:rPr>
        <w:t xml:space="preserve">，从业人员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万元，属于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（中型企业、小型企业、微型企业）；</w:t>
      </w:r>
      <w:r>
        <w:rPr>
          <w:color w:val="auto"/>
        </w:rPr>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rPr>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以上企业，不属于大企业的分支机构，不存在控股股东为大企业的情形，也不存在与大企业的负责人为同一人的情形。</w:t>
      </w:r>
      <w:r>
        <w:rPr>
          <w:color w:val="auto"/>
        </w:rPr>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本企业对上述声明内容的真实性负责。如有虚假，将依法承担相应责任。</w:t>
      </w:r>
      <w:r>
        <w:rPr>
          <w:color w:val="auto"/>
        </w:rPr>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注：从业人员、营业收入、资产总额填报上一年度数据，无上一年度数据的新成立企业可不填报。</w:t>
      </w:r>
      <w:r>
        <w:rPr>
          <w:color w:val="auto"/>
        </w:rPr>
      </w:r>
      <w:r/>
    </w:p>
    <w:p>
      <w:pPr>
        <w:ind w:left="42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p>
      <w:pPr>
        <w:ind w:left="0" w:firstLine="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企业名称（盖章）：</w:t>
      </w:r>
      <w:r>
        <w:rPr>
          <w:color w:val="auto"/>
        </w:rPr>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rPr>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日  期：</w:t>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color w:val="auto"/>
        </w:rPr>
      </w:r>
      <w:r/>
    </w:p>
    <w:p>
      <w:pPr>
        <w:ind w:firstLine="422"/>
        <w:keepLines w:val="0"/>
        <w:keepNext w:val="0"/>
        <w:pageBreakBefore w:val="0"/>
        <w:spacing w:line="360" w:lineRule="auto"/>
        <w:widowControl w:val="off"/>
        <w:rPr>
          <w:rFonts w:hint="eastAsia" w:ascii="宋体" w:hAnsi="宋体" w:eastAsia="宋体" w:cs="宋体"/>
          <w:b/>
          <w:color w:val="auto"/>
          <w:sz w:val="21"/>
          <w:szCs w:val="22"/>
          <w:highlight w:val="none"/>
        </w:rPr>
      </w:pPr>
      <w:r>
        <w:rPr>
          <w:rFonts w:hint="eastAsia" w:ascii="宋体" w:hAnsi="宋体" w:eastAsia="宋体" w:cs="宋体"/>
          <w:b/>
          <w:color w:val="auto"/>
          <w:sz w:val="21"/>
          <w:szCs w:val="22"/>
          <w:highlight w:val="none"/>
        </w:rPr>
        <w:t xml:space="preserve">附：中小企业划型标准规定（工信部联企业〔2011〕300号）</w:t>
      </w:r>
      <w:r>
        <w:rPr>
          <w:color w:val="auto"/>
        </w:rPr>
      </w:r>
      <w:r/>
    </w:p>
    <w:p>
      <w:pPr>
        <w:ind w:firstLine="422"/>
        <w:keepLines w:val="0"/>
        <w:keepNext w:val="0"/>
        <w:pageBreakBefore w:val="0"/>
        <w:spacing w:line="360" w:lineRule="auto"/>
        <w:widowControl w:val="off"/>
        <w:rPr>
          <w:rFonts w:hint="eastAsia" w:ascii="宋体" w:hAnsi="宋体" w:eastAsia="宋体" w:cs="宋体"/>
          <w:b/>
          <w:color w:val="auto"/>
          <w:sz w:val="21"/>
          <w:szCs w:val="22"/>
          <w:highlight w:val="none"/>
        </w:rPr>
      </w:pPr>
      <w:r>
        <w:rPr>
          <w:rFonts w:hint="eastAsia" w:ascii="宋体" w:hAnsi="宋体" w:eastAsia="宋体" w:cs="宋体"/>
          <w:b/>
          <w:color w:val="auto"/>
          <w:sz w:val="21"/>
          <w:szCs w:val="22"/>
          <w:highlight w:val="none"/>
        </w:rPr>
      </w:r>
      <w:r>
        <w:rPr>
          <w:color w:val="auto"/>
        </w:rPr>
      </w: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（一）农、林、牧、渔业。</w:t>
      </w:r>
      <w:r>
        <w:rPr>
          <w:rFonts w:hint="eastAsia" w:ascii="宋体" w:hAnsi="宋体" w:eastAsia="宋体" w:cs="宋体"/>
          <w:color w:val="auto"/>
          <w:sz w:val="21"/>
          <w:szCs w:val="22"/>
          <w:highlight w:val="none"/>
        </w:rPr>
        <w:t xml:space="preserve">营业收入20000万元以下的为中小微型企业。其中，营业收入500万元及以上的为中型企业，营业收入50万元及以上的为小型企业，营业收入50万元以下的为微型企业。</w:t>
      </w:r>
      <w:r>
        <w:rPr>
          <w:color w:val="auto"/>
        </w:rPr>
      </w: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（二）工业。</w:t>
      </w:r>
      <w:r>
        <w:rPr>
          <w:rFonts w:hint="eastAsia" w:ascii="宋体" w:hAnsi="宋体" w:eastAsia="宋体" w:cs="宋体"/>
          <w:color w:val="auto"/>
          <w:sz w:val="21"/>
          <w:szCs w:val="22"/>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rPr>
      </w: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（三）建筑业。</w:t>
      </w:r>
      <w:r>
        <w:rPr>
          <w:rFonts w:hint="eastAsia" w:ascii="宋体" w:hAnsi="宋体" w:eastAsia="宋体" w:cs="宋体"/>
          <w:color w:val="auto"/>
          <w:sz w:val="21"/>
          <w:szCs w:val="22"/>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auto"/>
        </w:rPr>
      </w: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（四）批发业。</w:t>
      </w:r>
      <w:r>
        <w:rPr>
          <w:rFonts w:hint="eastAsia" w:ascii="宋体" w:hAnsi="宋体" w:eastAsia="宋体" w:cs="宋体"/>
          <w:color w:val="auto"/>
          <w:sz w:val="21"/>
          <w:szCs w:val="22"/>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rPr>
      </w: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（五）零售业。</w:t>
      </w:r>
      <w:r>
        <w:rPr>
          <w:rFonts w:hint="eastAsia" w:ascii="宋体" w:hAnsi="宋体" w:eastAsia="宋体" w:cs="宋体"/>
          <w:color w:val="auto"/>
          <w:sz w:val="21"/>
          <w:szCs w:val="22"/>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rPr>
      </w: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（六）交通运输业。</w:t>
      </w:r>
      <w:r>
        <w:rPr>
          <w:rFonts w:hint="eastAsia" w:ascii="宋体" w:hAnsi="宋体" w:eastAsia="宋体" w:cs="宋体"/>
          <w:color w:val="auto"/>
          <w:sz w:val="21"/>
          <w:szCs w:val="22"/>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rPr>
      </w: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（七）仓储业。</w:t>
      </w:r>
      <w:r>
        <w:rPr>
          <w:rFonts w:hint="eastAsia" w:ascii="宋体" w:hAnsi="宋体" w:eastAsia="宋体" w:cs="宋体"/>
          <w:color w:val="auto"/>
          <w:sz w:val="21"/>
          <w:szCs w:val="22"/>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rPr>
      </w: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（八）邮政业。</w:t>
      </w:r>
      <w:r>
        <w:rPr>
          <w:rFonts w:hint="eastAsia" w:ascii="宋体" w:hAnsi="宋体" w:eastAsia="宋体" w:cs="宋体"/>
          <w:color w:val="auto"/>
          <w:sz w:val="21"/>
          <w:szCs w:val="22"/>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rPr>
      </w: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（九）住宿业。</w:t>
      </w:r>
      <w:r>
        <w:rPr>
          <w:rFonts w:hint="eastAsia" w:ascii="宋体" w:hAnsi="宋体" w:eastAsia="宋体" w:cs="宋体"/>
          <w:color w:val="auto"/>
          <w:sz w:val="21"/>
          <w:szCs w:val="22"/>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rPr>
      </w: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（十）餐饮业。</w:t>
      </w:r>
      <w:r>
        <w:rPr>
          <w:rFonts w:hint="eastAsia" w:ascii="宋体" w:hAnsi="宋体" w:eastAsia="宋体" w:cs="宋体"/>
          <w:color w:val="auto"/>
          <w:sz w:val="21"/>
          <w:szCs w:val="22"/>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rPr>
      </w: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（十一）信息传输业。</w:t>
      </w:r>
      <w:r>
        <w:rPr>
          <w:rFonts w:hint="eastAsia" w:ascii="宋体" w:hAnsi="宋体" w:eastAsia="宋体" w:cs="宋体"/>
          <w:color w:val="auto"/>
          <w:sz w:val="21"/>
          <w:szCs w:val="22"/>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rPr>
      </w: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（十二）软件和信息技术服务业。</w:t>
      </w:r>
      <w:r>
        <w:rPr>
          <w:rFonts w:hint="eastAsia" w:ascii="宋体" w:hAnsi="宋体" w:eastAsia="宋体" w:cs="宋体"/>
          <w:color w:val="auto"/>
          <w:sz w:val="21"/>
          <w:szCs w:val="22"/>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rPr>
      </w: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（十三）房地产开发经营。</w:t>
      </w:r>
      <w:r>
        <w:rPr>
          <w:rFonts w:hint="eastAsia" w:ascii="宋体" w:hAnsi="宋体" w:eastAsia="宋体" w:cs="宋体"/>
          <w:color w:val="auto"/>
          <w:sz w:val="21"/>
          <w:szCs w:val="22"/>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rPr>
      </w: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（十四）物业管理。</w:t>
      </w:r>
      <w:r>
        <w:rPr>
          <w:rFonts w:hint="eastAsia" w:ascii="宋体" w:hAnsi="宋体" w:eastAsia="宋体" w:cs="宋体"/>
          <w:color w:val="auto"/>
          <w:sz w:val="21"/>
          <w:szCs w:val="22"/>
          <w:highlight w:val="none"/>
        </w:rPr>
        <w:t xml:space="preserve">从业人员1000人以下或营业收入5000万元以下的为中小微型企业。其中，从业人员</w:t>
      </w:r>
      <w:r>
        <w:rPr>
          <w:color w:val="auto"/>
        </w:rPr>
      </w:r>
      <w:r/>
    </w:p>
    <w:p>
      <w:pPr>
        <w:ind w:firstLine="420"/>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auto"/>
        </w:rPr>
      </w: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（十五）租赁和商务服务业。</w:t>
      </w:r>
      <w:r>
        <w:rPr>
          <w:rFonts w:hint="eastAsia" w:ascii="宋体" w:hAnsi="宋体" w:eastAsia="宋体" w:cs="宋体"/>
          <w:color w:val="auto"/>
          <w:sz w:val="21"/>
          <w:szCs w:val="22"/>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auto"/>
        </w:rPr>
      </w:r>
      <w:r/>
    </w:p>
    <w:p>
      <w:pPr>
        <w:jc w:val="left"/>
        <w:spacing w:line="360" w:lineRule="auto"/>
        <w:rPr>
          <w:rFonts w:hint="eastAsia" w:ascii="宋体" w:hAnsi="宋体" w:eastAsia="宋体" w:cs="宋体"/>
          <w:color w:val="auto"/>
          <w:sz w:val="21"/>
          <w:szCs w:val="22"/>
          <w:highlight w:val="none"/>
        </w:rPr>
        <w:outlineLvl w:val="1"/>
      </w:pPr>
      <w:r>
        <w:rPr>
          <w:rFonts w:hint="eastAsia" w:ascii="宋体" w:hAnsi="宋体" w:eastAsia="宋体" w:cs="宋体"/>
          <w:b/>
          <w:color w:val="auto"/>
          <w:sz w:val="21"/>
          <w:szCs w:val="22"/>
          <w:highlight w:val="none"/>
        </w:rPr>
        <w:t xml:space="preserve">（十六）其他未列明行业。</w:t>
      </w:r>
      <w:r>
        <w:rPr>
          <w:rFonts w:hint="eastAsia" w:ascii="宋体" w:hAnsi="宋体" w:eastAsia="宋体" w:cs="宋体"/>
          <w:color w:val="auto"/>
          <w:sz w:val="21"/>
          <w:szCs w:val="22"/>
          <w:highlight w:val="none"/>
        </w:rPr>
        <w:t xml:space="preserve">从业人员300人以下的为中小微型企业。其中，从业人员100人及以上的为中型企业；从业人员10人及以上的为小型企业；从业人员10人以下的为微型企业。</w:t>
      </w:r>
      <w:r>
        <w:rPr>
          <w:color w:val="auto"/>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rPr>
          <w:color w:val="auto"/>
        </w:rPr>
      </w:r>
      <w:r/>
    </w:p>
    <w:p>
      <w:pPr>
        <w:jc w:val="left"/>
        <w:spacing w:line="360" w:lineRule="auto"/>
        <w:rPr>
          <w:rFonts w:hint="eastAsia" w:ascii="宋体" w:hAnsi="宋体" w:eastAsia="宋体" w:cs="宋体"/>
          <w:b/>
          <w:bCs/>
          <w:color w:val="auto"/>
          <w:szCs w:val="24"/>
          <w:highlight w:val="none"/>
        </w:rPr>
        <w:outlineLvl w:val="1"/>
      </w:pPr>
      <w:r>
        <w:rPr>
          <w:rFonts w:hint="eastAsia" w:ascii="宋体" w:hAnsi="宋体" w:eastAsia="宋体" w:cs="宋体"/>
          <w:b/>
          <w:bCs/>
          <w:color w:val="auto"/>
          <w:sz w:val="24"/>
          <w:szCs w:val="24"/>
          <w:highlight w:val="none"/>
        </w:rPr>
        <w:t xml:space="preserve">（4）残疾人福利性单位声明函</w:t>
      </w:r>
      <w:r>
        <w:rPr>
          <w:color w:val="auto"/>
        </w:rPr>
      </w:r>
      <w:r/>
    </w:p>
    <w:p>
      <w:pPr>
        <w:pStyle w:val="958"/>
        <w:jc w:val="center"/>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残疾人福利性单位声明函</w:t>
      </w:r>
      <w:r>
        <w:rPr>
          <w:color w:val="auto"/>
        </w:rPr>
      </w:r>
      <w:r/>
    </w:p>
    <w:p>
      <w:pPr>
        <w:pStyle w:val="958"/>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pStyle w:val="958"/>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rPr>
      </w:r>
      <w:r/>
    </w:p>
    <w:p>
      <w:pPr>
        <w:pStyle w:val="958"/>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rPr>
          <w:color w:val="auto"/>
        </w:rPr>
      </w:r>
      <w:r/>
    </w:p>
    <w:p>
      <w:pPr>
        <w:pStyle w:val="958"/>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pStyle w:val="958"/>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pStyle w:val="958"/>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w:t>
      </w:r>
      <w:r>
        <w:rPr>
          <w:color w:val="auto"/>
        </w:rPr>
      </w:r>
      <w:r/>
    </w:p>
    <w:p>
      <w:pPr>
        <w:pStyle w:val="958"/>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color w:val="auto"/>
        </w:rPr>
      </w:r>
      <w:r/>
    </w:p>
    <w:p>
      <w:pPr>
        <w:rPr>
          <w:rFonts w:hint="eastAsia" w:ascii="宋体" w:hAnsi="宋体" w:eastAsia="宋体" w:cs="宋体"/>
          <w:b/>
          <w:color w:val="auto"/>
          <w:sz w:val="24"/>
          <w:szCs w:val="24"/>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24"/>
          <w:szCs w:val="24"/>
          <w:highlight w:val="none"/>
        </w:rPr>
        <w:t xml:space="preserve">（5）</w:t>
      </w:r>
      <w:bookmarkStart w:id="16" w:name="_Toc9516"/>
      <w:r>
        <w:rPr>
          <w:rFonts w:hint="eastAsia" w:ascii="宋体" w:hAnsi="宋体" w:eastAsia="宋体" w:cs="宋体"/>
          <w:b/>
          <w:bCs/>
          <w:color w:val="auto"/>
          <w:sz w:val="24"/>
          <w:szCs w:val="24"/>
          <w:highlight w:val="none"/>
        </w:rPr>
        <w:t xml:space="preserve">响应单位</w:t>
      </w:r>
      <w:r>
        <w:rPr>
          <w:rFonts w:hint="eastAsia" w:ascii="宋体" w:hAnsi="宋体" w:eastAsia="宋体" w:cs="宋体"/>
          <w:b/>
          <w:color w:val="auto"/>
          <w:sz w:val="24"/>
          <w:szCs w:val="24"/>
          <w:highlight w:val="none"/>
        </w:rPr>
        <w:t xml:space="preserve">与其他单位存在控股、管理关系情况表</w:t>
      </w:r>
      <w:bookmarkEnd w:id="16"/>
      <w:r>
        <w:rPr>
          <w:color w:val="auto"/>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响应单位与其他单位存在控股、管理关系情况表</w:t>
      </w:r>
      <w:r>
        <w:rPr>
          <w:color w:val="auto"/>
        </w:rPr>
      </w:r>
      <w:r/>
    </w:p>
    <w:p>
      <w:pPr>
        <w:ind w:firstLine="256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tbl>
      <w:tblPr>
        <w:tblStyle w:val="929"/>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与响应供应商存在控股、管理关系的单位名称</w:t>
            </w:r>
            <w:r>
              <w:rPr>
                <w:color w:val="auto"/>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控股、管理关系情况说明</w:t>
            </w:r>
            <w:r>
              <w:rPr>
                <w:color w:val="auto"/>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r/>
          </w:p>
        </w:tc>
      </w:tr>
    </w:tbl>
    <w:p>
      <w:pPr>
        <w:ind w:firstLine="482"/>
        <w:jc w:val="left"/>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注：响应单位应当按实填写所有与之有控股、管理关系的情况。</w:t>
      </w:r>
      <w:r>
        <w:rPr>
          <w:color w:val="auto"/>
        </w:rPr>
      </w:r>
      <w:r/>
    </w:p>
    <w:p>
      <w:pPr>
        <w:ind w:firstLine="566"/>
        <w:spacing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rPr>
      </w: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b/>
          <w:color w:val="auto"/>
          <w:szCs w:val="24"/>
          <w:highlight w:val="none"/>
        </w:rPr>
        <w:br w:type="page" w:clear="all"/>
      </w:r>
      <w:r>
        <w:rPr>
          <w:color w:val="auto"/>
        </w:rPr>
      </w:r>
      <w:r/>
    </w:p>
    <w:p>
      <w:pPr>
        <w:pStyle w:val="957"/>
        <w:ind w:left="0" w:firstLine="0"/>
        <w:widowControl w:val="off"/>
        <w:rPr>
          <w:rStyle w:val="962"/>
          <w:rFonts w:hint="eastAsia" w:ascii="宋体" w:hAnsi="宋体" w:eastAsia="宋体" w:cs="宋体"/>
          <w:color w:val="auto"/>
          <w:szCs w:val="24"/>
          <w:highlight w:val="none"/>
        </w:rPr>
      </w:pPr>
      <w:r>
        <w:rPr>
          <w:rFonts w:hint="eastAsia" w:ascii="宋体" w:hAnsi="宋体" w:eastAsia="宋体" w:cs="宋体"/>
          <w:b/>
          <w:color w:val="auto"/>
          <w:sz w:val="24"/>
          <w:szCs w:val="24"/>
          <w:highlight w:val="none"/>
          <w:lang w:val="en-US" w:eastAsia="zh-CN"/>
        </w:rPr>
        <w:t xml:space="preserve">13、</w:t>
      </w:r>
      <w:r>
        <w:rPr>
          <w:rFonts w:hint="eastAsia" w:ascii="宋体" w:hAnsi="宋体" w:eastAsia="宋体" w:cs="宋体"/>
          <w:b/>
          <w:color w:val="auto"/>
          <w:sz w:val="24"/>
          <w:szCs w:val="24"/>
          <w:highlight w:val="none"/>
        </w:rPr>
        <w:t xml:space="preserve">关于响应报价合理性的澄清说明</w:t>
      </w:r>
      <w:r>
        <w:rPr>
          <w:color w:val="auto"/>
        </w:rPr>
      </w:r>
      <w:r/>
    </w:p>
    <w:p>
      <w:pPr>
        <w:pStyle w:val="933"/>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rPr>
      </w:r>
      <w:r/>
    </w:p>
    <w:p>
      <w:pPr>
        <w:pStyle w:val="933"/>
        <w:ind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关于响应报价合理性的澄清说明</w:t>
      </w:r>
      <w:r>
        <w:rPr>
          <w:color w:val="auto"/>
        </w:rPr>
      </w:r>
      <w:r/>
    </w:p>
    <w:p>
      <w:pPr>
        <w:ind w:left="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苏州合亿盛工程咨询有限公司</w:t>
      </w:r>
      <w:r>
        <w:rPr>
          <w:rFonts w:hint="eastAsia" w:ascii="宋体" w:hAnsi="宋体" w:eastAsia="宋体" w:cs="宋体"/>
          <w:color w:val="auto"/>
          <w:sz w:val="24"/>
          <w:szCs w:val="24"/>
          <w:highlight w:val="none"/>
        </w:rPr>
        <w:t xml:space="preserve">：</w:t>
      </w:r>
      <w:r>
        <w:rPr>
          <w:color w:val="auto"/>
        </w:rPr>
      </w:r>
      <w:r/>
    </w:p>
    <w:p>
      <w:pPr>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号（项目编号）的采购活动进行响应，对于本公司的响应报价合理性作出说明如下：</w:t>
      </w:r>
      <w:r>
        <w:rPr>
          <w:color w:val="auto"/>
        </w:rPr>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jc w:val="center"/>
              <w:spacing w:line="600" w:lineRule="auto"/>
              <w:widowControl w:val="off"/>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1"/>
                <w:szCs w:val="21"/>
                <w:highlight w:val="none"/>
              </w:rPr>
              <w:t xml:space="preserve">供应商应当根据实际情况自拟答复并根据磋商小组关于澄清的要求提供相关证明材料作为附件。</w:t>
            </w:r>
            <w:r>
              <w:rPr>
                <w:color w:val="auto"/>
              </w:rPr>
            </w:r>
            <w:r/>
          </w:p>
        </w:tc>
      </w:tr>
    </w:tbl>
    <w:p>
      <w:pPr>
        <w:ind w:left="0" w:firstLine="422"/>
        <w:keepLines w:val="0"/>
        <w:keepNext w:val="0"/>
        <w:pageBreakBefore w:val="0"/>
        <w:spacing w:line="288"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备注：根据采购文件第二章“磋商须知”要求，磋商小组认为供应商的报价符合异常低价投标（</w:t>
      </w:r>
      <w:r>
        <w:rPr>
          <w:rFonts w:hint="eastAsia" w:ascii="宋体" w:hAnsi="宋体" w:eastAsia="宋体" w:cs="宋体"/>
          <w:b/>
          <w:bCs/>
          <w:color w:val="auto"/>
          <w:sz w:val="21"/>
          <w:szCs w:val="21"/>
          <w:highlight w:val="none"/>
          <w:lang w:val="en-US" w:eastAsia="zh-CN" w:bidi="ar-SA"/>
        </w:rPr>
        <w:t xml:space="preserve">响应）审查的情形时，磋商小组应当要求相关供应商在评审现场合理的时间内对投标（响应）价格作出解释，提供项目具体成本测算等与报价合理性相关的书面说明及必要的证明材料，包括但不限于原材料成本、人工成本、制造费用等。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auto"/>
        </w:rPr>
      </w:r>
      <w:r/>
    </w:p>
    <w:p>
      <w:pPr>
        <w:pStyle w:val="945"/>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pStyle w:val="945"/>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rPr>
      </w:r>
      <w:r/>
    </w:p>
    <w:p>
      <w:pPr>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rPr>
          <w:color w:val="auto"/>
        </w:rPr>
      </w:r>
      <w:r/>
    </w:p>
    <w:p>
      <w:pPr>
        <w:ind w:firstLine="480"/>
        <w:rPr>
          <w:rFonts w:hint="eastAsia" w:ascii="宋体" w:hAnsi="宋体" w:eastAsia="宋体" w:cs="宋体"/>
          <w:color w:val="auto"/>
          <w:sz w:val="30"/>
          <w:szCs w:val="30"/>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pStyle w:val="94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pStyle w:val="94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pStyle w:val="94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pStyle w:val="94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pStyle w:val="94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pStyle w:val="94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pStyle w:val="943"/>
        <w:rPr>
          <w:rFonts w:hint="eastAsia"/>
          <w:color w:val="auto"/>
          <w:highlight w:val="none"/>
        </w:rPr>
      </w:pPr>
      <w:r>
        <w:rPr>
          <w:rFonts w:hint="eastAsia"/>
          <w:color w:val="auto"/>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pStyle w:val="951"/>
        <w:jc w:val="center"/>
        <w:rPr>
          <w:rFonts w:hint="eastAsia" w:ascii="宋体" w:hAnsi="宋体" w:eastAsia="宋体" w:cs="宋体"/>
          <w:color w:val="auto"/>
          <w:sz w:val="52"/>
          <w:highlight w:val="none"/>
        </w:rPr>
      </w:pPr>
      <w:r>
        <w:rPr>
          <w:color w:val="auto"/>
          <w:highlight w:val="none"/>
        </w:rPr>
      </w:r>
      <w:bookmarkStart w:id="17" w:name="_Toc13642115"/>
      <w:r>
        <w:rPr>
          <w:color w:val="auto"/>
          <w:highlight w:val="none"/>
        </w:rPr>
      </w:r>
      <w:bookmarkStart w:id="18" w:name="_Toc23397"/>
      <w:r>
        <w:rPr>
          <w:rFonts w:hint="eastAsia" w:ascii="宋体" w:hAnsi="宋体" w:eastAsia="宋体" w:cs="宋体"/>
          <w:color w:val="auto"/>
          <w:sz w:val="52"/>
          <w:highlight w:val="none"/>
        </w:rPr>
        <w:t xml:space="preserve">第四章</w:t>
      </w:r>
      <w:bookmarkEnd w:id="17"/>
      <w:r>
        <w:rPr>
          <w:rFonts w:hint="eastAsia" w:ascii="宋体" w:hAnsi="宋体" w:eastAsia="宋体" w:cs="宋体"/>
          <w:color w:val="auto"/>
          <w:sz w:val="52"/>
          <w:highlight w:val="none"/>
        </w:rPr>
        <w:t xml:space="preserve"> 采购内容</w:t>
      </w:r>
      <w:bookmarkEnd w:id="18"/>
      <w:r>
        <w:rPr>
          <w:color w:val="auto"/>
        </w:rPr>
      </w:r>
      <w:r/>
    </w:p>
    <w:p>
      <w:pPr>
        <w:jc w:val="center"/>
        <w:spacing w:line="360" w:lineRule="auto"/>
        <w:rPr>
          <w:rFonts w:hint="eastAsia" w:ascii="宋体" w:hAnsi="宋体" w:eastAsia="宋体" w:cs="宋体"/>
          <w:b/>
          <w:color w:val="auto"/>
          <w:sz w:val="28"/>
          <w:szCs w:val="28"/>
          <w:highlight w:val="none"/>
        </w:rPr>
      </w:pPr>
      <w:r>
        <w:rPr>
          <w:color w:val="auto"/>
          <w:highlight w:val="none"/>
        </w:rPr>
      </w:r>
      <w:bookmarkStart w:id="19" w:name="_Toc13543212"/>
      <w:r>
        <w:rPr>
          <w:rFonts w:hint="eastAsia" w:ascii="宋体" w:hAnsi="宋体" w:eastAsia="宋体" w:cs="宋体"/>
          <w:color w:val="auto"/>
          <w:sz w:val="52"/>
          <w:szCs w:val="52"/>
          <w:highlight w:val="none"/>
        </w:rPr>
        <w:br w:type="page" w:clear="all"/>
      </w:r>
      <w:r>
        <w:rPr>
          <w:rFonts w:hint="eastAsia" w:ascii="宋体" w:hAnsi="宋体" w:eastAsia="宋体" w:cs="宋体"/>
          <w:b/>
          <w:color w:val="auto"/>
          <w:sz w:val="28"/>
          <w:szCs w:val="28"/>
          <w:highlight w:val="none"/>
        </w:rPr>
        <w:t xml:space="preserve">采购内容</w:t>
      </w:r>
      <w:bookmarkEnd w:id="19"/>
      <w:r>
        <w:rPr>
          <w:color w:val="auto"/>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color w:val="auto"/>
          <w:highlight w:val="none"/>
        </w:rPr>
      </w:r>
      <w:bookmarkStart w:id="20" w:name="_Toc13642116"/>
      <w:r>
        <w:rPr>
          <w:rFonts w:hint="eastAsia" w:ascii="宋体" w:hAnsi="宋体" w:eastAsia="宋体" w:cs="宋体"/>
          <w:color w:val="auto"/>
          <w:sz w:val="24"/>
          <w:szCs w:val="24"/>
          <w:highlight w:val="none"/>
        </w:rPr>
        <w:t xml:space="preserve">苏州合亿盛工程咨询有限公司受</w:t>
      </w:r>
      <w:r>
        <w:rPr>
          <w:rFonts w:hint="eastAsia" w:ascii="宋体" w:hAnsi="宋体" w:eastAsia="宋体" w:cs="宋体"/>
          <w:color w:val="auto"/>
          <w:sz w:val="24"/>
          <w:szCs w:val="24"/>
          <w:highlight w:val="none"/>
          <w:lang w:eastAsia="zh-CN"/>
        </w:rPr>
        <w:t xml:space="preserve">南京航空航天大学苏州附属中学</w:t>
      </w:r>
      <w:r>
        <w:rPr>
          <w:rFonts w:hint="eastAsia" w:ascii="宋体" w:hAnsi="宋体" w:eastAsia="宋体" w:cs="宋体"/>
          <w:color w:val="auto"/>
          <w:sz w:val="24"/>
          <w:szCs w:val="24"/>
          <w:highlight w:val="none"/>
        </w:rPr>
        <w:t xml:space="preserve">的委托，就</w:t>
      </w:r>
      <w:r>
        <w:rPr>
          <w:rFonts w:hint="eastAsia" w:ascii="宋体" w:hAnsi="宋体" w:eastAsia="宋体" w:cs="宋体"/>
          <w:color w:val="auto"/>
          <w:sz w:val="24"/>
          <w:szCs w:val="24"/>
          <w:highlight w:val="none"/>
          <w:lang w:eastAsia="zh-CN"/>
        </w:rPr>
        <w:t xml:space="preserve">唯亭校区足球场及附属设施维修改造工程</w:t>
      </w:r>
      <w:r>
        <w:rPr>
          <w:rFonts w:hint="eastAsia" w:ascii="宋体" w:hAnsi="宋体" w:eastAsia="宋体" w:cs="宋体"/>
          <w:color w:val="auto"/>
          <w:sz w:val="24"/>
          <w:szCs w:val="24"/>
          <w:highlight w:val="none"/>
        </w:rPr>
        <w:t xml:space="preserve">组织竞争性磋商采购，欢迎符合资格条件的供应商前来参加磋商。</w:t>
      </w:r>
      <w:r>
        <w:rPr>
          <w:color w:val="auto"/>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color w:val="auto"/>
          <w:highlight w:val="none"/>
        </w:rPr>
      </w:r>
      <w:bookmarkStart w:id="21" w:name="_Toc30080"/>
      <w:r>
        <w:rPr>
          <w:color w:val="auto"/>
          <w:highlight w:val="none"/>
        </w:rPr>
      </w:r>
      <w:bookmarkStart w:id="22" w:name="_Toc14261"/>
      <w:r>
        <w:rPr>
          <w:rFonts w:hint="eastAsia" w:ascii="宋体" w:hAnsi="宋体" w:eastAsia="宋体" w:cs="宋体"/>
          <w:b/>
          <w:bCs/>
          <w:color w:val="auto"/>
          <w:sz w:val="24"/>
          <w:szCs w:val="24"/>
          <w:highlight w:val="none"/>
        </w:rPr>
        <w:t xml:space="preserve">一、磋商编号：</w:t>
      </w:r>
      <w:bookmarkEnd w:id="21"/>
      <w:r>
        <w:rPr>
          <w:color w:val="auto"/>
          <w:highlight w:val="none"/>
        </w:rPr>
      </w:r>
      <w:bookmarkEnd w:id="22"/>
      <w:r>
        <w:rPr>
          <w:rFonts w:hint="eastAsia" w:ascii="宋体" w:hAnsi="宋体" w:eastAsia="宋体" w:cs="宋体"/>
          <w:b/>
          <w:bCs/>
          <w:color w:val="auto"/>
          <w:sz w:val="24"/>
          <w:szCs w:val="24"/>
          <w:highlight w:val="none"/>
          <w:lang w:val="en-US" w:eastAsia="zh-CN"/>
        </w:rPr>
        <w:t xml:space="preserve">JSZC-320591-SHYS-C2026-0017</w:t>
      </w:r>
      <w:r>
        <w:rPr>
          <w:rFonts w:hint="eastAsia" w:ascii="宋体" w:hAnsi="宋体" w:eastAsia="宋体" w:cs="宋体"/>
          <w:b/>
          <w:bCs/>
          <w:color w:val="auto"/>
          <w:sz w:val="24"/>
          <w:szCs w:val="24"/>
          <w:highlight w:val="none"/>
        </w:rPr>
        <w:t xml:space="preserve">号</w:t>
      </w:r>
      <w:r>
        <w:rPr>
          <w:color w:val="auto"/>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color w:val="auto"/>
          <w:highlight w:val="none"/>
        </w:rPr>
      </w:r>
      <w:bookmarkStart w:id="23" w:name="_Toc22665"/>
      <w:r>
        <w:rPr>
          <w:color w:val="auto"/>
          <w:highlight w:val="none"/>
        </w:rPr>
      </w:r>
      <w:bookmarkStart w:id="24" w:name="_Toc8029"/>
      <w:r>
        <w:rPr>
          <w:rFonts w:hint="eastAsia" w:ascii="宋体" w:hAnsi="宋体" w:eastAsia="宋体" w:cs="宋体"/>
          <w:b/>
          <w:bCs/>
          <w:color w:val="auto"/>
          <w:sz w:val="24"/>
          <w:szCs w:val="24"/>
          <w:highlight w:val="none"/>
        </w:rPr>
        <w:t xml:space="preserve">二、项目名称：</w:t>
      </w:r>
      <w:bookmarkEnd w:id="23"/>
      <w:r>
        <w:rPr>
          <w:color w:val="auto"/>
          <w:highlight w:val="none"/>
        </w:rPr>
      </w:r>
      <w:bookmarkEnd w:id="24"/>
      <w:r>
        <w:rPr>
          <w:rFonts w:hint="eastAsia" w:ascii="宋体" w:hAnsi="宋体" w:eastAsia="宋体" w:cs="宋体"/>
          <w:b/>
          <w:bCs/>
          <w:color w:val="auto"/>
          <w:sz w:val="24"/>
          <w:szCs w:val="24"/>
          <w:highlight w:val="none"/>
          <w:lang w:eastAsia="zh-CN"/>
        </w:rPr>
        <w:t xml:space="preserve">唯亭校区足球场及附属设施维修改造工程</w:t>
      </w:r>
      <w:r>
        <w:rPr>
          <w:color w:val="auto"/>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color w:val="auto"/>
          <w:highlight w:val="none"/>
        </w:rPr>
      </w:r>
      <w:bookmarkStart w:id="25" w:name="_Toc31907"/>
      <w:r>
        <w:rPr>
          <w:rFonts w:hint="eastAsia" w:ascii="宋体" w:hAnsi="宋体" w:eastAsia="宋体" w:cs="宋体"/>
          <w:b/>
          <w:bCs/>
          <w:color w:val="auto"/>
          <w:sz w:val="24"/>
          <w:szCs w:val="24"/>
          <w:highlight w:val="none"/>
        </w:rPr>
        <w:t xml:space="preserve">三、采购需求：</w:t>
      </w:r>
      <w:bookmarkEnd w:id="25"/>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1、项目概况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本工程项目地址为苏州市，主要内容为</w:t>
      </w:r>
      <w:r>
        <w:rPr>
          <w:rFonts w:hint="eastAsia" w:ascii="宋体" w:hAnsi="宋体" w:eastAsia="宋体" w:cs="宋体"/>
          <w:color w:val="auto"/>
          <w:sz w:val="24"/>
          <w:szCs w:val="24"/>
          <w:highlight w:val="none"/>
          <w:lang w:val="en-US" w:eastAsia="zh-CN"/>
        </w:rPr>
        <w:t xml:space="preserve">市政</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具体详见工程量清单</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2、工程采购范围：具体见工程量清单。</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3、承包方式：包工包料。</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4、施工工期：自合同签订之日起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天内完工，具体开工时间以采购单位通知为准。</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5、工程质量要求：合格。</w:t>
      </w:r>
      <w:r>
        <w:rPr>
          <w:color w:val="auto"/>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、工程量清单编制依据：</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建设单位提供的本工程设计图纸</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规范及定额使用：中华人民共和国国家标准《建设工程工程量清单计价规范》（GB/T50500-2024）及9本工程量计量规范；（2026）《江苏省建筑与装饰工程消耗量定额》、（2026）《江苏省市政工程消耗量定额》、（2026）《江苏省通用安装工程消耗量定额》；2026年《江苏省建设工程费用定额》及省市有关文件。</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、专业工程暂估价及暂列金额：无。</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、计价取费说明：</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、工程税金为：税金以除税工程造价为计取基础，费率为9%。</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、材料价格：</w:t>
      </w:r>
      <w:r>
        <w:rPr>
          <w:rFonts w:hint="eastAsia" w:ascii="宋体" w:hAnsi="宋体" w:eastAsia="宋体" w:cs="宋体"/>
          <w:color w:val="auto"/>
          <w:sz w:val="24"/>
          <w:szCs w:val="24"/>
          <w:highlight w:val="none"/>
          <w:lang w:val="en-US" w:eastAsia="zh-CN"/>
        </w:rPr>
        <w:t xml:space="preserve">按照苏州市2026年5月建设工程材料信息价</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C</w:t>
      </w:r>
      <w:r>
        <w:rPr>
          <w:rFonts w:hint="eastAsia" w:ascii="宋体" w:hAnsi="宋体" w:eastAsia="宋体" w:cs="宋体"/>
          <w:color w:val="auto"/>
          <w:sz w:val="24"/>
          <w:szCs w:val="24"/>
          <w:highlight w:val="none"/>
        </w:rPr>
        <w:t xml:space="preserve">、本工程人工费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消耗量人工单价执行计入</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、其他须说明的问题：</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（1）报价要求：本工程项目采用固定单价报价。</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固定单价报价：磋商供应商应充分考虑施工期间各类建材的市场风险和国家政策性调整风险系数，具体按照国家和苏州市相关文件执行。本工程的具体结算方式在合同条款中约定。执行固定单价报价的基本规定：</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A、参加磋商供应商报价时，必须按统一的工程量清单报价，成交后，本工程中工程量清单项目的综合单价按供应商己标价工程量清单下浮之后的综合单价执行，最终价格以审计为准。</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B、本工程在磋商文件中已明确的各项施工措施费，均包含在合同总价中。其他在磋商文件和答疑中未提及、未明确部分的施工措施费项目，可以根据相关资料按实调整，并作相应的下浮。</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2)报价时，不可竞争费用均按规定计算，不得让利或随意调整计算标准，否则报价无效。</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供应商不得将不可竞争费用降低标准收取，不可竞争费费率详见工程量清单说明。</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计价格式中列明的所有需要填报的单价和合价，供应商均需填报，未填报的单价和合价，视为此项费用已包含在工程量清单的其他单价和合价中。</w:t>
      </w:r>
      <w:r>
        <w:rPr>
          <w:color w:val="auto"/>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四、综合说明：</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1、本项目</w:t>
      </w:r>
      <w:r>
        <w:rPr>
          <w:rFonts w:hint="eastAsia" w:ascii="宋体" w:hAnsi="宋体" w:eastAsia="宋体" w:cs="宋体"/>
          <w:bCs/>
          <w:color w:val="auto"/>
          <w:sz w:val="24"/>
          <w:szCs w:val="24"/>
          <w:highlight w:val="none"/>
        </w:rPr>
        <w:t xml:space="preserve">报价应</w:t>
      </w:r>
      <w:r>
        <w:rPr>
          <w:rFonts w:hint="eastAsia" w:ascii="宋体" w:hAnsi="宋体" w:eastAsia="宋体" w:cs="宋体"/>
          <w:bCs/>
          <w:color w:val="auto"/>
          <w:sz w:val="24"/>
          <w:szCs w:val="24"/>
          <w:highlight w:val="none"/>
          <w:lang w:eastAsia="zh-CN"/>
        </w:rPr>
        <w:t xml:space="preserve">包括完成该项目所需的全部人工费、材料费、机械费、管理费、利润、工程风险、规费、税金，以及所需的施工准备、施工过程、保修期等所需的供货、运输、运杂保险、装卸、备品、备件、损耗、安装、调试、人员培训、售后服务、专利技术等一切费用</w:t>
      </w:r>
      <w:r>
        <w:rPr>
          <w:rFonts w:hint="eastAsia" w:ascii="宋体" w:hAnsi="宋体" w:eastAsia="宋体" w:cs="宋体"/>
          <w:bCs/>
          <w:color w:val="auto"/>
          <w:sz w:val="24"/>
          <w:szCs w:val="24"/>
          <w:highlight w:val="none"/>
        </w:rPr>
        <w:t xml:space="preserve">。同时，除非合同条款中另有规定，否则，成交供应商所报价格在合同实施期间不因市场变化因素而变动。</w:t>
      </w:r>
      <w:r>
        <w:rPr>
          <w:color w:val="auto"/>
        </w:rPr>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、合同追加金额的说明：</w:t>
      </w:r>
      <w:r>
        <w:rPr>
          <w:color w:val="auto"/>
        </w:rPr>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在履行合同过程中，由于设计变更或其他原因确需调整合同金额的，经上级主管部门部门批准同意后，根据追加的采购计划签订补充合同，但全部补充合同的采购金额不得超过原合同金额的10%，超过部分上级主管部门不予安排资金。</w:t>
      </w:r>
      <w:r>
        <w:rPr>
          <w:color w:val="auto"/>
        </w:rPr>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eastAsia="zh-CN"/>
        </w:rPr>
        <w:t xml:space="preserve">（2）追加金额不得超过原合同金额的10%。原合同金额10%以内的追加费用，限于原合同内工程清单数量调整增加的工程费用，原合同外工程内容不得计入。</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3、工程地点：</w:t>
      </w:r>
      <w:r>
        <w:rPr>
          <w:rFonts w:hint="eastAsia" w:ascii="宋体" w:hAnsi="宋体" w:eastAsia="宋体" w:cs="宋体"/>
          <w:b w:val="0"/>
          <w:bCs w:val="0"/>
          <w:color w:val="auto"/>
          <w:sz w:val="24"/>
          <w:szCs w:val="24"/>
          <w:highlight w:val="none"/>
          <w:lang w:eastAsia="zh-CN"/>
        </w:rPr>
        <w:t xml:space="preserve">甲方指定地点。</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4、付款方式：</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color w:val="auto"/>
          <w:sz w:val="24"/>
          <w:szCs w:val="24"/>
          <w:highlight w:val="none"/>
        </w:rPr>
        <w:t xml:space="preserve">工程预付款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本项目无需预付款</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color w:val="auto"/>
          <w:sz w:val="24"/>
          <w:szCs w:val="24"/>
          <w:highlight w:val="none"/>
        </w:rPr>
        <w:t xml:space="preserve">工程进度款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签订合同后，项目完工并经验收合格后安排审计，审计结束后一次性支付审计价款的95%，余款待验收合格后一年付清。</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付款前，乙方需先向甲方提供：</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（1）合格的发票。</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（2）由甲乙双方及采购代理机构签章的《</w:t>
      </w:r>
      <w:r>
        <w:rPr>
          <w:rFonts w:hint="eastAsia" w:ascii="宋体" w:hAnsi="宋体" w:eastAsia="宋体" w:cs="宋体"/>
          <w:color w:val="auto"/>
          <w:sz w:val="24"/>
          <w:szCs w:val="24"/>
          <w:highlight w:val="none"/>
          <w:lang w:eastAsia="zh-CN"/>
        </w:rPr>
        <w:t xml:space="preserve">政府采购履约验收书</w:t>
      </w:r>
      <w:r>
        <w:rPr>
          <w:rFonts w:hint="eastAsia" w:ascii="宋体" w:hAnsi="宋体" w:eastAsia="宋体" w:cs="宋体"/>
          <w:color w:val="auto"/>
          <w:sz w:val="24"/>
          <w:szCs w:val="24"/>
          <w:highlight w:val="none"/>
        </w:rPr>
        <w:t xml:space="preserve">》。</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5、工程质量保修要求：</w:t>
      </w:r>
      <w:r>
        <w:rPr>
          <w:rFonts w:hint="eastAsia" w:ascii="宋体" w:hAnsi="宋体" w:eastAsia="宋体" w:cs="宋体"/>
          <w:color w:val="auto"/>
          <w:sz w:val="24"/>
          <w:szCs w:val="24"/>
          <w:highlight w:val="none"/>
          <w:lang w:val="zh-CN"/>
        </w:rPr>
        <w:t xml:space="preserve">本项目免费质保期为</w:t>
      </w:r>
      <w:r>
        <w:rPr>
          <w:rFonts w:hint="eastAsia" w:ascii="宋体" w:hAnsi="宋体" w:eastAsia="宋体" w:cs="宋体"/>
          <w:color w:val="auto"/>
          <w:sz w:val="24"/>
          <w:szCs w:val="24"/>
          <w:highlight w:val="none"/>
        </w:rPr>
        <w:t xml:space="preserve">2年，自项目验收合格之日起开始计算。保修期内工程出现质量问题的，响应供应商在接到采购单位的维修通知后60分钟内响应，4小时内到达现场，8小时内完成采购单位提出维修要求，如在8小时内不能解决问题，采购单位将自行或直接委托第三方进行维修，由此产生的全部费用（以审计机关的审定数为准）均由响应供应商承担。其他未尽事宜按其磋商响应文件中的承诺执行。</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6、验收</w:t>
      </w:r>
      <w:r>
        <w:rPr>
          <w:color w:val="auto"/>
        </w:rPr>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将根据政府采购法及相关法规，以及《江苏省政府采购履约验收管理办法》、《苏州工业园区政府采购履约验收管理暂行办法》文件的规定，甲方对乙方进行履约验收，经甲方确认验收合格的，将出具《政府采购履约验收书》。《政府采购履约验收书》、合同是申请支付政府采购合同价款的必备资料。</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履约验收主体为：南京航空航天大学苏州附属中学；验收时间：工程竣工后15个工作日内。验收申请由乙方提出，如乙方未及时履约或发出验收申请的，甲方发出催告，提出履约验收要求。乙方在收到催告后五个工作日内拒不配合的，甲方应依照合同约定追究其责任；验收方式：分段验收；验收程序：①由乙方提出验收申请，甲方组织成立验收小组进行验收，出具验收意见；②待上述验收意见出具后，形成政府采购履约验收书并经甲乙双方确认盖章③形成的政府采购履约验收书与合同约定一致的，甲方将及时支付资金；形成的政府采购履约验收书如与合同约定</w:t>
      </w:r>
      <w:r>
        <w:rPr>
          <w:rFonts w:ascii="SimSun" w:hAnsi="SimSun" w:eastAsia="SimSun" w:cs="SimSun"/>
          <w:color w:val="000000"/>
          <w:sz w:val="24"/>
        </w:rPr>
        <w:t xml:space="preserve">不一致的甲方发出整改通知书依法追究违约责任，甲方有权立即解除本合同并扣除当期款项，本合同不再继续履行。验收资料的保存：由甲方保存，保存期限为从采购结束之日起至少十五年；验收小组：甲方组织成立验收小组，其人员构成、人员数量以及负责人由甲方确定，验收小组负责实施项目验收工作；验收标准：国家或行业相关标准（如有）、《苏州工业园区政府采购履约验收管理暂行办法》、《江苏省政府采购履约验收管理办法》、合同条款、采购需求的所有内容，采购文件、投标(响应)文件、乙方在评标过程中做出的有关澄清说明或补充文件、中标(成交)通知</w:t>
      </w:r>
      <w:r>
        <w:rPr>
          <w:rFonts w:ascii="SimSun" w:hAnsi="SimSun" w:eastAsia="SimSun" w:cs="SimSun"/>
          <w:color w:val="000000"/>
          <w:sz w:val="24"/>
        </w:rPr>
        <w:t xml:space="preserve">书等。</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（3）履约验收费用：由乙方承担一切履约验收费用（此费用不包含在本合同价款中，需乙方另行支付）。</w:t>
      </w:r>
      <w:r/>
    </w:p>
    <w:p>
      <w:pPr>
        <w:ind w:left="0" w:right="0" w:firstLine="48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（4）费用参照标准：按《江苏省政府采购履约验收管理办法》、《苏州工业园区政府采购履约验收管理暂行办法》文件规定。</w:t>
      </w:r>
      <w:r/>
      <w:r>
        <w:rPr>
          <w:rFonts w:hint="eastAsia" w:ascii="宋体" w:hAnsi="宋体" w:eastAsia="宋体" w:cs="宋体"/>
          <w:color w:val="auto"/>
          <w:sz w:val="24"/>
          <w:szCs w:val="24"/>
          <w:highlight w:val="none"/>
        </w:rPr>
      </w:r>
      <w:r/>
      <w:r>
        <w:rPr>
          <w:sz w:val="26"/>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7、根据《关于贯彻执行绿色采购、促进残疾人就业和支持监狱企业发展有关政策的通知（苏财购〔2019〕10号）》的通知规定。采购人拟采购产品属于《中国环境标志产品认证》范围内的，应当通过中国政府采购网查询、了解国家确定的认证机构和获证产品相关情况，依据认证机构出具的、处于有效期之内的节能产品、环境标志产品认证证书，对获得证书的产品实施政府优先采购或强制采购，并按照节能产品、环境标志产品政府采购执行机制的最新规定执行，作为投标（响应）文件的组成部分，否则为无效投标（响应）。</w:t>
      </w:r>
      <w:r>
        <w:rPr>
          <w:rFonts w:hint="eastAsia" w:ascii="宋体" w:hAnsi="宋体" w:eastAsia="宋体" w:cs="宋体"/>
          <w:color w:val="auto"/>
          <w:sz w:val="24"/>
          <w:szCs w:val="24"/>
          <w:highlight w:val="none"/>
        </w:rPr>
        <w:br w:type="page" w:clear="all"/>
      </w:r>
      <w:r>
        <w:rPr>
          <w:color w:val="auto"/>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pStyle w:val="951"/>
        <w:jc w:val="center"/>
        <w:rPr>
          <w:rFonts w:hint="eastAsia" w:ascii="宋体" w:hAnsi="宋体" w:eastAsia="宋体" w:cs="宋体"/>
          <w:color w:val="auto"/>
          <w:sz w:val="52"/>
          <w:highlight w:val="none"/>
        </w:rPr>
      </w:pPr>
      <w:r>
        <w:rPr>
          <w:color w:val="auto"/>
          <w:highlight w:val="none"/>
        </w:rPr>
      </w:r>
      <w:bookmarkStart w:id="26" w:name="_Toc4569"/>
      <w:r>
        <w:rPr>
          <w:rFonts w:hint="eastAsia" w:ascii="宋体" w:hAnsi="宋体" w:eastAsia="宋体" w:cs="宋体"/>
          <w:color w:val="auto"/>
          <w:sz w:val="52"/>
          <w:highlight w:val="none"/>
        </w:rPr>
        <w:t xml:space="preserve">第五章 合同主要条款</w:t>
      </w:r>
      <w:bookmarkEnd w:id="20"/>
      <w:r>
        <w:rPr>
          <w:color w:val="auto"/>
          <w:highlight w:val="none"/>
        </w:rPr>
      </w:r>
      <w:bookmarkEnd w:id="26"/>
      <w:r>
        <w:rPr>
          <w:color w:val="auto"/>
        </w:rPr>
      </w:r>
      <w:r/>
    </w:p>
    <w:p>
      <w:pPr>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r/>
    </w:p>
    <w:p>
      <w:pPr>
        <w:jc w:val="center"/>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b/>
          <w:color w:val="auto"/>
          <w:sz w:val="30"/>
          <w:szCs w:val="30"/>
          <w:highlight w:val="none"/>
        </w:rPr>
        <w:t xml:space="preserve">合同主要条款</w:t>
      </w:r>
      <w:r>
        <w:rPr>
          <w:color w:val="auto"/>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甲方（采购方）：</w:t>
      </w:r>
      <w:r>
        <w:rPr>
          <w:color w:val="auto"/>
        </w:rPr>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联系人：</w:t>
      </w:r>
      <w:r>
        <w:rPr>
          <w:color w:val="auto"/>
        </w:rPr>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单位地址：</w:t>
      </w:r>
      <w:r>
        <w:rPr>
          <w:color w:val="auto"/>
        </w:rPr>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电话：</w:t>
      </w:r>
      <w:r>
        <w:rPr>
          <w:color w:val="auto"/>
        </w:rPr>
      </w:r>
      <w:r/>
    </w:p>
    <w:p>
      <w:pPr>
        <w:ind w:firstLine="482"/>
        <w:spacing w:before="100" w:beforeAutospacing="1"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乙方（供应方）：</w:t>
      </w:r>
      <w:r>
        <w:rPr>
          <w:color w:val="auto"/>
        </w:rPr>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联系人：</w:t>
      </w:r>
      <w:r>
        <w:rPr>
          <w:color w:val="auto"/>
        </w:rPr>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单位地址：</w:t>
      </w:r>
      <w:r>
        <w:rPr>
          <w:color w:val="auto"/>
        </w:rPr>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电话：</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480"/>
        <w:spacing w:line="360" w:lineRule="auto"/>
        <w:rPr>
          <w:rStyle w:val="953"/>
          <w:rFonts w:hint="eastAsia" w:ascii="宋体" w:hAnsi="宋体" w:eastAsia="宋体" w:cs="宋体"/>
          <w:color w:val="auto"/>
          <w:sz w:val="24"/>
          <w:highlight w:val="none"/>
        </w:rPr>
      </w:pPr>
      <w:r>
        <w:rPr>
          <w:rStyle w:val="953"/>
          <w:rFonts w:hint="eastAsia" w:ascii="宋体" w:hAnsi="宋体" w:eastAsia="宋体" w:cs="宋体"/>
          <w:color w:val="auto"/>
          <w:sz w:val="24"/>
          <w:highlight w:val="none"/>
        </w:rPr>
        <w:t xml:space="preserve">依据甲方委托</w:t>
      </w:r>
      <w:r>
        <w:rPr>
          <w:rStyle w:val="953"/>
          <w:rFonts w:hint="eastAsia" w:ascii="宋体" w:hAnsi="宋体" w:eastAsia="宋体" w:cs="宋体"/>
          <w:color w:val="auto"/>
          <w:sz w:val="24"/>
          <w:highlight w:val="none"/>
          <w:u w:val="single"/>
        </w:rPr>
        <w:t xml:space="preserve">苏州合亿盛工程咨询有限公司</w:t>
      </w:r>
      <w:r>
        <w:rPr>
          <w:rStyle w:val="953"/>
          <w:rFonts w:hint="eastAsia" w:ascii="宋体" w:hAnsi="宋体" w:eastAsia="宋体" w:cs="宋体"/>
          <w:color w:val="auto"/>
          <w:sz w:val="24"/>
          <w:highlight w:val="none"/>
        </w:rPr>
        <w:t xml:space="preserve">进行本项目政府采购</w:t>
      </w:r>
      <w:r>
        <w:rPr>
          <w:rStyle w:val="953"/>
          <w:rFonts w:hint="eastAsia" w:ascii="宋体" w:hAnsi="宋体" w:eastAsia="宋体" w:cs="宋体"/>
          <w:color w:val="auto"/>
          <w:sz w:val="24"/>
          <w:highlight w:val="none"/>
          <w:u w:val="single"/>
        </w:rPr>
        <w:t xml:space="preserve">（采购编号：</w:t>
      </w:r>
      <w:r>
        <w:rPr>
          <w:rFonts w:hint="eastAsia" w:ascii="宋体" w:hAnsi="宋体" w:eastAsia="宋体" w:cs="宋体"/>
          <w:color w:val="auto"/>
          <w:sz w:val="24"/>
          <w:szCs w:val="24"/>
          <w:highlight w:val="none"/>
          <w:u w:val="single"/>
          <w:lang w:val="zh-CN"/>
        </w:rPr>
        <w:t xml:space="preserve">JSZC-320591-SHYS-C2026-0017</w:t>
      </w:r>
      <w:r>
        <w:rPr>
          <w:rStyle w:val="953"/>
          <w:rFonts w:hint="eastAsia" w:ascii="宋体" w:hAnsi="宋体" w:eastAsia="宋体" w:cs="宋体"/>
          <w:color w:val="auto"/>
          <w:sz w:val="24"/>
          <w:highlight w:val="none"/>
          <w:u w:val="single"/>
        </w:rPr>
        <w:t xml:space="preserve">）</w:t>
      </w:r>
      <w:r>
        <w:rPr>
          <w:rStyle w:val="953"/>
          <w:rFonts w:hint="eastAsia" w:ascii="宋体" w:hAnsi="宋体" w:eastAsia="宋体" w:cs="宋体"/>
          <w:color w:val="auto"/>
          <w:sz w:val="24"/>
          <w:highlight w:val="none"/>
        </w:rPr>
        <w:t xml:space="preserve">的采购结果，确定乙方为本次成交供应商，现依照采购文件、乙方的响应文件及相关文件的内容，签订本合同书。</w:t>
      </w:r>
      <w:r>
        <w:rPr>
          <w:color w:val="auto"/>
        </w:rPr>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一、工程概况</w:t>
      </w:r>
      <w:r>
        <w:rPr>
          <w:color w:val="auto"/>
        </w:rPr>
      </w:r>
      <w:r/>
    </w:p>
    <w:p>
      <w:pPr>
        <w:ind w:firstLine="480"/>
        <w:jc w:val="left"/>
        <w:spacing w:line="360" w:lineRule="auto"/>
        <w:tabs>
          <w:tab w:val="left" w:pos="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工程名称：</w:t>
      </w:r>
      <w:r>
        <w:rPr>
          <w:rFonts w:hint="eastAsia" w:ascii="宋体" w:hAnsi="宋体" w:eastAsia="宋体" w:cs="宋体"/>
          <w:color w:val="auto"/>
          <w:sz w:val="24"/>
          <w:szCs w:val="24"/>
          <w:highlight w:val="none"/>
          <w:u w:val="single"/>
          <w:lang w:eastAsia="zh-CN"/>
        </w:rPr>
        <w:t xml:space="preserve">唯亭校区足球场及附属设施维修改造工程</w:t>
      </w:r>
      <w:r>
        <w:rPr>
          <w:rFonts w:hint="eastAsia" w:ascii="宋体" w:hAnsi="宋体" w:eastAsia="宋体" w:cs="宋体"/>
          <w:color w:val="auto"/>
          <w:sz w:val="24"/>
          <w:szCs w:val="24"/>
          <w:highlight w:val="none"/>
          <w:u w:val="single"/>
        </w:rPr>
        <w:t xml:space="preserve">；</w:t>
      </w:r>
      <w:r>
        <w:rPr>
          <w:color w:val="auto"/>
        </w:rPr>
      </w:r>
      <w:r/>
    </w:p>
    <w:p>
      <w:pPr>
        <w:ind w:firstLine="480"/>
        <w:jc w:val="left"/>
        <w:spacing w:line="360" w:lineRule="auto"/>
        <w:tabs>
          <w:tab w:val="left" w:pos="0" w:leader="none"/>
          <w:tab w:val="left" w:pos="375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工程地点：</w:t>
      </w:r>
      <w:r>
        <w:rPr>
          <w:rFonts w:hint="eastAsia" w:ascii="宋体" w:hAnsi="宋体" w:eastAsia="宋体" w:cs="宋体"/>
          <w:color w:val="auto"/>
          <w:sz w:val="24"/>
          <w:szCs w:val="24"/>
          <w:highlight w:val="none"/>
          <w:u w:val="single"/>
          <w:lang w:eastAsia="zh-CN"/>
        </w:rPr>
        <w:t xml:space="preserve">南京航空航天大学苏州附属中学</w:t>
      </w:r>
      <w:r>
        <w:rPr>
          <w:rFonts w:hint="eastAsia" w:ascii="宋体" w:hAnsi="宋体" w:eastAsia="宋体" w:cs="宋体"/>
          <w:color w:val="auto"/>
          <w:sz w:val="24"/>
          <w:szCs w:val="24"/>
          <w:highlight w:val="none"/>
          <w:u w:val="single"/>
        </w:rPr>
        <w:t xml:space="preserve">；</w:t>
      </w:r>
      <w:r>
        <w:rPr>
          <w:color w:val="auto"/>
        </w:rPr>
      </w:r>
      <w:r/>
    </w:p>
    <w:p>
      <w:pPr>
        <w:ind w:firstLine="480"/>
        <w:jc w:val="left"/>
        <w:spacing w:line="360" w:lineRule="auto"/>
        <w:tabs>
          <w:tab w:val="left" w:pos="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工程内容：</w:t>
      </w:r>
      <w:r>
        <w:rPr>
          <w:rFonts w:hint="eastAsia" w:ascii="宋体" w:hAnsi="宋体" w:eastAsia="宋体" w:cs="宋体"/>
          <w:color w:val="auto"/>
          <w:sz w:val="24"/>
          <w:szCs w:val="24"/>
          <w:highlight w:val="none"/>
          <w:u w:val="single"/>
        </w:rPr>
        <w:t xml:space="preserve">具体内容见设计图纸及报价清单；</w:t>
      </w:r>
      <w:r>
        <w:rPr>
          <w:color w:val="auto"/>
        </w:rPr>
      </w:r>
      <w:r/>
    </w:p>
    <w:p>
      <w:pPr>
        <w:ind w:firstLine="480"/>
        <w:jc w:val="left"/>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工程立项批准文号：</w:t>
      </w:r>
      <w:r>
        <w:rPr>
          <w:rFonts w:hint="eastAsia" w:ascii="宋体" w:hAnsi="宋体" w:eastAsia="宋体" w:cs="宋体"/>
          <w:color w:val="auto"/>
          <w:sz w:val="24"/>
          <w:szCs w:val="24"/>
          <w:highlight w:val="none"/>
          <w:u w:val="single"/>
        </w:rPr>
        <w:t xml:space="preserve">/；</w:t>
      </w:r>
      <w:r>
        <w:rPr>
          <w:color w:val="auto"/>
        </w:rPr>
      </w:r>
      <w:r/>
    </w:p>
    <w:p>
      <w:pPr>
        <w:ind w:firstLine="480"/>
        <w:jc w:val="left"/>
        <w:spacing w:line="360" w:lineRule="auto"/>
        <w:tabs>
          <w:tab w:val="left" w:pos="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资金来源：</w:t>
      </w:r>
      <w:r>
        <w:rPr>
          <w:rFonts w:hint="eastAsia" w:ascii="宋体" w:hAnsi="宋体" w:eastAsia="宋体" w:cs="宋体"/>
          <w:color w:val="auto"/>
          <w:sz w:val="24"/>
          <w:szCs w:val="24"/>
          <w:highlight w:val="none"/>
          <w:u w:val="single"/>
        </w:rPr>
        <w:t xml:space="preserve">财政；</w:t>
      </w:r>
      <w:r>
        <w:rPr>
          <w:color w:val="auto"/>
        </w:rPr>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二、工程承包范围</w:t>
      </w:r>
      <w:r>
        <w:rPr>
          <w:color w:val="auto"/>
        </w:rPr>
      </w:r>
      <w:r/>
    </w:p>
    <w:p>
      <w:pPr>
        <w:ind w:firstLine="480"/>
        <w:jc w:val="left"/>
        <w:spacing w:line="360" w:lineRule="auto"/>
        <w:tabs>
          <w:tab w:val="left" w:pos="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承包范围：</w:t>
      </w:r>
      <w:r>
        <w:rPr>
          <w:rFonts w:hint="eastAsia" w:ascii="宋体" w:hAnsi="宋体" w:eastAsia="宋体" w:cs="宋体"/>
          <w:color w:val="auto"/>
          <w:sz w:val="24"/>
          <w:szCs w:val="24"/>
          <w:highlight w:val="none"/>
          <w:u w:val="single"/>
        </w:rPr>
        <w:t xml:space="preserve">具体内容见设计图纸及报价清单（最终具体数量以承包人与发包人现场确认的工作量为准）</w:t>
      </w:r>
      <w:r>
        <w:rPr>
          <w:rFonts w:hint="eastAsia" w:ascii="宋体" w:hAnsi="宋体" w:eastAsia="宋体" w:cs="宋体"/>
          <w:color w:val="auto"/>
          <w:sz w:val="24"/>
          <w:szCs w:val="24"/>
          <w:highlight w:val="none"/>
        </w:rPr>
        <w:t xml:space="preserve">。</w:t>
      </w:r>
      <w:r>
        <w:rPr>
          <w:color w:val="auto"/>
        </w:rPr>
      </w:r>
      <w:r/>
    </w:p>
    <w:p>
      <w:pPr>
        <w:ind w:firstLine="480"/>
        <w:jc w:val="left"/>
        <w:spacing w:line="360" w:lineRule="auto"/>
        <w:tabs>
          <w:tab w:val="left" w:pos="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承包方式：</w:t>
      </w:r>
      <w:r>
        <w:rPr>
          <w:rFonts w:hint="eastAsia" w:ascii="宋体" w:hAnsi="宋体" w:eastAsia="宋体" w:cs="宋体"/>
          <w:color w:val="auto"/>
          <w:sz w:val="24"/>
          <w:szCs w:val="24"/>
          <w:highlight w:val="none"/>
          <w:u w:val="single"/>
        </w:rPr>
        <w:t xml:space="preserve">包工包料</w:t>
      </w:r>
      <w:r>
        <w:rPr>
          <w:rFonts w:hint="eastAsia" w:ascii="宋体" w:hAnsi="宋体" w:eastAsia="宋体" w:cs="宋体"/>
          <w:color w:val="auto"/>
          <w:sz w:val="24"/>
          <w:szCs w:val="24"/>
          <w:highlight w:val="none"/>
        </w:rPr>
        <w:t xml:space="preserve">。</w:t>
      </w:r>
      <w:r>
        <w:rPr>
          <w:color w:val="auto"/>
        </w:rPr>
      </w:r>
      <w:r/>
    </w:p>
    <w:p>
      <w:pPr>
        <w:ind w:firstLine="482"/>
        <w:jc w:val="left"/>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三、合同工期</w:t>
      </w:r>
      <w:r>
        <w:rPr>
          <w:color w:val="auto"/>
        </w:rPr>
      </w:r>
      <w:r/>
    </w:p>
    <w:p>
      <w:pPr>
        <w:ind w:firstLine="480"/>
        <w:jc w:val="left"/>
        <w:spacing w:line="360" w:lineRule="auto"/>
        <w:tabs>
          <w:tab w:val="left" w:pos="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自合同签订之日起30天内完工，具体开工时间以采购单位通知为准。</w:t>
      </w:r>
      <w:r>
        <w:rPr>
          <w:color w:val="auto"/>
        </w:rPr>
      </w:r>
      <w:r/>
    </w:p>
    <w:p>
      <w:pPr>
        <w:ind w:firstLine="482"/>
        <w:jc w:val="left"/>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四、合同价款</w:t>
      </w:r>
      <w:r>
        <w:rPr>
          <w:color w:val="auto"/>
        </w:rPr>
      </w:r>
      <w:r/>
    </w:p>
    <w:p>
      <w:pPr>
        <w:ind w:firstLine="480"/>
        <w:jc w:val="left"/>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1、金额（大写）：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color w:val="auto"/>
        </w:rPr>
      </w:r>
      <w:r/>
    </w:p>
    <w:p>
      <w:pPr>
        <w:ind w:firstLine="480"/>
        <w:jc w:val="left"/>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固定综合单价</w:t>
      </w:r>
      <w:r>
        <w:rPr>
          <w:rFonts w:hint="eastAsia" w:ascii="宋体" w:hAnsi="宋体" w:eastAsia="宋体" w:cs="宋体"/>
          <w:color w:val="auto"/>
          <w:sz w:val="24"/>
          <w:szCs w:val="24"/>
          <w:highlight w:val="none"/>
        </w:rPr>
        <w:t xml:space="preserve">。</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3、未尽事宜详见国家规范。</w:t>
      </w:r>
      <w:bookmarkStart w:id="27" w:name="_Toc351203485"/>
      <w:r>
        <w:rPr>
          <w:color w:val="auto"/>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bookmarkEnd w:id="27"/>
      <w:r>
        <w:rPr>
          <w:rFonts w:hint="eastAsia" w:ascii="宋体" w:hAnsi="宋体" w:eastAsia="宋体" w:cs="宋体"/>
          <w:b/>
          <w:color w:val="auto"/>
          <w:sz w:val="24"/>
          <w:szCs w:val="24"/>
          <w:highlight w:val="none"/>
        </w:rPr>
        <w:t xml:space="preserve">项目经理</w:t>
      </w:r>
      <w:r>
        <w:rPr>
          <w:color w:val="auto"/>
        </w:rPr>
      </w:r>
      <w:r/>
    </w:p>
    <w:p>
      <w:pPr>
        <w:ind w:firstLine="480"/>
        <w:jc w:val="left"/>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rPr>
        <w:t xml:space="preserve">项目经理：         ，证书编号：          。</w:t>
      </w:r>
      <w:r>
        <w:rPr>
          <w:color w:val="auto"/>
        </w:rPr>
      </w:r>
      <w:r/>
    </w:p>
    <w:p>
      <w:pPr>
        <w:ind w:firstLine="482"/>
        <w:jc w:val="left"/>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六、组成合同的文件</w:t>
      </w:r>
      <w:r>
        <w:rPr>
          <w:color w:val="auto"/>
        </w:rPr>
      </w:r>
      <w:r/>
    </w:p>
    <w:p>
      <w:pPr>
        <w:ind w:firstLine="480"/>
        <w:jc w:val="left"/>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组成本合同的文件包括：</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（1）成交通知书；</w:t>
      </w:r>
      <w:r>
        <w:rPr>
          <w:color w:val="auto"/>
        </w:rPr>
      </w:r>
      <w:r/>
    </w:p>
    <w:p>
      <w:pPr>
        <w:ind w:firstLine="48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（2）响应函及其附录；</w:t>
      </w:r>
      <w:r>
        <w:rPr>
          <w:color w:val="auto"/>
        </w:rPr>
      </w:r>
      <w:r/>
    </w:p>
    <w:p>
      <w:pPr>
        <w:ind w:firstLine="48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（3）本合同协议书；</w:t>
      </w:r>
      <w:r>
        <w:rPr>
          <w:color w:val="auto"/>
        </w:rPr>
      </w:r>
      <w:r/>
    </w:p>
    <w:p>
      <w:pPr>
        <w:ind w:firstLine="48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（4）通用合同条款；</w:t>
      </w:r>
      <w:r>
        <w:rPr>
          <w:color w:val="auto"/>
        </w:rPr>
      </w:r>
      <w:r/>
    </w:p>
    <w:p>
      <w:pPr>
        <w:ind w:firstLine="48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（5）标准、规范及有关技术文件；</w:t>
      </w:r>
      <w:r>
        <w:rPr>
          <w:color w:val="auto"/>
        </w:rPr>
      </w:r>
      <w:r/>
    </w:p>
    <w:p>
      <w:pPr>
        <w:ind w:firstLine="48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（6）工程报价单或预算书；</w:t>
      </w:r>
      <w:r>
        <w:rPr>
          <w:color w:val="auto"/>
        </w:rPr>
      </w:r>
      <w:r/>
    </w:p>
    <w:p>
      <w:pPr>
        <w:ind w:firstLine="480"/>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（7）承包人及发包人现场确认的工作量；</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有关工程的洽商、变更、工程联系单、签证单、会议纪要、工程进度计划等书面协议或文件视为本合同协议书的组成部分。上述文件互相补充和解释，如有不明确或不一致之处，按本条排序在先的文件进行优先解释。</w:t>
      </w:r>
      <w:r>
        <w:rPr>
          <w:color w:val="auto"/>
        </w:rPr>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七、付款方式</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color w:val="auto"/>
          <w:sz w:val="24"/>
          <w:szCs w:val="24"/>
          <w:highlight w:val="none"/>
        </w:rPr>
        <w:t xml:space="preserve">工程预付款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本项目无需预付款</w:t>
      </w:r>
      <w:r>
        <w:rPr>
          <w:rFonts w:hint="eastAsia" w:ascii="宋体" w:hAnsi="宋体" w:eastAsia="宋体" w:cs="宋体"/>
          <w:color w:val="auto"/>
          <w:sz w:val="24"/>
          <w:szCs w:val="24"/>
          <w:highlight w:val="none"/>
          <w:lang w:eastAsia="zh-CN"/>
        </w:rPr>
        <w:t xml:space="preserve">；</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color w:val="auto"/>
          <w:sz w:val="24"/>
          <w:szCs w:val="24"/>
          <w:highlight w:val="none"/>
        </w:rPr>
        <w:t xml:space="preserve">工程进度款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签订合同后，项目完工并经验收合格后安排审计，审计结束后一次性支付审计价款的95%，余款待验收合格后一年付清。</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材料、设备供应方式：</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（1）甲供材料、设备</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（2）乙供材料、设备</w:t>
      </w:r>
      <w:r>
        <w:rPr>
          <w:rFonts w:hint="eastAsia" w:ascii="宋体" w:hAnsi="宋体" w:eastAsia="宋体" w:cs="宋体"/>
          <w:color w:val="auto"/>
          <w:sz w:val="24"/>
          <w:szCs w:val="24"/>
          <w:highlight w:val="none"/>
          <w:u w:val="single"/>
        </w:rPr>
        <w:t xml:space="preserve">   全部乙供   </w:t>
      </w:r>
      <w:r>
        <w:rPr>
          <w:rFonts w:hint="eastAsia" w:ascii="宋体" w:hAnsi="宋体" w:eastAsia="宋体" w:cs="宋体"/>
          <w:color w:val="auto"/>
          <w:sz w:val="24"/>
          <w:szCs w:val="24"/>
          <w:highlight w:val="none"/>
        </w:rPr>
        <w:t xml:space="preserve">。</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3、本工程为财政投资项目，以审计机构审定结果为建设项目价款结算依据。</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4、工程施工期间涉及安全由乙方全部负责，涉及安全所产生的相关费用一律由乙方承担。</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5、质量必须达到合格，凡因施工单位责任，经验收达不到合格要求，必须返工到合格并承担因返工引起的一切经济损失。</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6、伴随服务：承包人除应履行按期按量交付合格的工程及设备、材料的义务之外，还应提供下列服务</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（1）设备的现场安装、启动、调试、监督（如果必须安装、调试的话）。</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（2）除合同另有约定之外，伴随服务的费用均已含在合同价款中，甲方不再另行进行支付。</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7、承包人应当办理有关施工现场交通、环卫、施工噪声等管理手续，若发生费用由承包人负责。</w:t>
      </w:r>
      <w:r>
        <w:rPr>
          <w:color w:val="auto"/>
        </w:rPr>
      </w:r>
      <w:r/>
    </w:p>
    <w:p>
      <w:pPr>
        <w:ind w:firstLine="482"/>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八</w:t>
      </w:r>
      <w:r>
        <w:rPr>
          <w:rFonts w:hint="eastAsia" w:ascii="宋体" w:hAnsi="宋体" w:eastAsia="宋体" w:cs="宋体"/>
          <w:b/>
          <w:bCs/>
          <w:color w:val="auto"/>
          <w:sz w:val="24"/>
          <w:szCs w:val="24"/>
          <w:highlight w:val="none"/>
        </w:rPr>
        <w:t xml:space="preserve">、施工安全的约定：</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1、工程施工期间涉及安全由乙方全部负责，涉及安全所产生的相关费用一律由乙方承担。</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2、质量必须达到合格，凡因施工单位责任，经验收达不到合格要求，必须返工到合格并承担因返工引起的一切经济损失。</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3、承包人应当办理有关施工现场交通、环卫、施工噪声等管理手续，若发生费用由承包人负责。</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4、工程未交付之前，承包人应自始至终对成品进行保护和防止丢失。</w:t>
      </w:r>
      <w:r>
        <w:rPr>
          <w:color w:val="auto"/>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5、施工人员需服从甲方安全管理。</w:t>
      </w:r>
      <w:r>
        <w:rPr>
          <w:color w:val="auto"/>
        </w:rPr>
      </w:r>
      <w:r/>
    </w:p>
    <w:p>
      <w:pPr>
        <w:ind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6、工程施工期间涉及安全由乙方全部负责，涉及安全所产生的相关费用一律由乙方承担。</w:t>
      </w:r>
      <w:r>
        <w:rPr>
          <w:color w:val="auto"/>
        </w:rPr>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九、质量保修期</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本项目的质保期为二年，自验收合格之日起算。</w:t>
      </w:r>
      <w:r>
        <w:rPr>
          <w:color w:val="auto"/>
        </w:rPr>
      </w:r>
      <w:r/>
    </w:p>
    <w:p>
      <w:pPr>
        <w:ind w:firstLine="482"/>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十、承诺</w:t>
      </w:r>
      <w:r>
        <w:rPr>
          <w:color w:val="auto"/>
        </w:rPr>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1.发包人承诺按照合同约定的期限和方式支付合同价款。</w:t>
      </w:r>
      <w:r>
        <w:rPr>
          <w:color w:val="auto"/>
        </w:rPr>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rPr>
          <w:color w:val="auto"/>
        </w:rPr>
      </w:r>
      <w:r/>
    </w:p>
    <w:p>
      <w:pPr>
        <w:ind w:firstLine="482"/>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十一、合同生效及其它：</w:t>
      </w:r>
      <w:r>
        <w:rPr>
          <w:color w:val="auto"/>
        </w:rPr>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1、合同经甲乙双方法定代表人或被授权代表签字并盖章可生效。</w:t>
      </w:r>
      <w:r>
        <w:rPr>
          <w:color w:val="auto"/>
        </w:rPr>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2、本合同一式</w:t>
      </w:r>
      <w:r>
        <w:rPr>
          <w:rFonts w:hint="eastAsia" w:ascii="宋体" w:hAnsi="宋体" w:eastAsia="宋体" w:cs="宋体"/>
          <w:bCs/>
          <w:color w:val="auto"/>
          <w:sz w:val="24"/>
          <w:szCs w:val="24"/>
          <w:highlight w:val="none"/>
          <w:lang w:val="en-US" w:eastAsia="zh-CN"/>
        </w:rPr>
        <w:t xml:space="preserve">叁</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val="en-US" w:eastAsia="zh-CN"/>
        </w:rPr>
        <w:t xml:space="preserve">甲乙双方</w:t>
      </w:r>
      <w:r>
        <w:rPr>
          <w:rFonts w:hint="eastAsia" w:ascii="宋体" w:hAnsi="宋体" w:eastAsia="宋体" w:cs="宋体"/>
          <w:bCs/>
          <w:color w:val="auto"/>
          <w:sz w:val="24"/>
          <w:szCs w:val="24"/>
          <w:highlight w:val="none"/>
        </w:rPr>
        <w:t xml:space="preserve">各执一份，采购代理机构一份。</w:t>
      </w:r>
      <w:r>
        <w:rPr>
          <w:color w:val="auto"/>
        </w:rPr>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3、合同在执行过程中出现的未尽事宜，双方在不违背本合同的原则下协商解决，协商结果以书面形式记录在案，作为本合同附件，与本合同具有同等效力。</w:t>
      </w:r>
      <w:r>
        <w:rPr>
          <w:color w:val="auto"/>
        </w:rPr>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4、本合同未尽事宜应按照《中华人民共和国民法典》、《中华人民共和国政府采购法》等相关法律法规之规定解释。</w:t>
      </w:r>
      <w:r>
        <w:rPr>
          <w:color w:val="auto"/>
        </w:rPr>
      </w:r>
      <w:r/>
    </w:p>
    <w:p>
      <w:pPr>
        <w:pStyle w:val="925"/>
        <w:ind w:left="0" w:firstLine="0"/>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shd w:val="clear" w:color="auto" w:fill="ffffff"/>
        </w:rPr>
        <w:br w:type="page" w:clear="all"/>
      </w:r>
      <w:r>
        <w:rPr>
          <w:rFonts w:hint="eastAsia" w:ascii="宋体" w:hAnsi="宋体" w:eastAsia="宋体" w:cs="宋体"/>
          <w:bCs/>
          <w:color w:val="auto"/>
          <w:sz w:val="24"/>
          <w:szCs w:val="24"/>
          <w:highlight w:val="none"/>
        </w:rPr>
        <w:t xml:space="preserve">附件：</w:t>
      </w:r>
      <w:r>
        <w:rPr>
          <w:color w:val="auto"/>
        </w:rPr>
      </w:r>
      <w:r/>
    </w:p>
    <w:p>
      <w:pPr>
        <w:jc w:val="center"/>
        <w:spacing w:before="340" w:after="330" w:line="578"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政府采购合同信用融资政策告知函</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rPr>
          <w:color w:val="auto"/>
        </w:rPr>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color w:val="auto"/>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color w:val="auto"/>
        </w:rPr>
      </w:r>
      <w:r/>
    </w:p>
    <w:p>
      <w:pPr>
        <w:pStyle w:val="93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pStyle w:val="93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pStyle w:val="93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pStyle w:val="93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pStyle w:val="93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pStyle w:val="951"/>
        <w:jc w:val="center"/>
        <w:rPr>
          <w:rFonts w:hint="eastAsia" w:ascii="宋体" w:hAnsi="宋体" w:eastAsia="宋体" w:cs="宋体"/>
          <w:color w:val="auto"/>
          <w:sz w:val="52"/>
          <w:highlight w:val="none"/>
        </w:rPr>
      </w:pPr>
      <w:r>
        <w:rPr>
          <w:color w:val="auto"/>
          <w:highlight w:val="none"/>
        </w:rPr>
      </w:r>
      <w:bookmarkStart w:id="28" w:name="_Toc30850"/>
      <w:r>
        <w:rPr>
          <w:rFonts w:hint="eastAsia" w:ascii="宋体" w:hAnsi="宋体" w:eastAsia="宋体" w:cs="宋体"/>
          <w:color w:val="auto"/>
          <w:sz w:val="52"/>
          <w:highlight w:val="none"/>
        </w:rPr>
        <w:t xml:space="preserve">第六章 评审办法</w:t>
      </w:r>
      <w:bookmarkEnd w:id="28"/>
      <w:r>
        <w:rPr>
          <w:color w:val="auto"/>
        </w:rPr>
      </w: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rPr>
      </w:r>
      <w:r/>
    </w:p>
    <w:p>
      <w:pPr>
        <w:pStyle w:val="950"/>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highlight w:val="none"/>
        </w:rPr>
        <w:br w:type="page" w:clear="all"/>
      </w:r>
      <w:r>
        <w:rPr>
          <w:rFonts w:hint="eastAsia" w:ascii="宋体" w:hAnsi="宋体" w:eastAsia="宋体" w:cs="宋体"/>
          <w:b/>
          <w:color w:val="auto"/>
          <w:sz w:val="24"/>
          <w:szCs w:val="24"/>
          <w:highlight w:val="none"/>
        </w:rPr>
        <w:t xml:space="preserve">一、评审方法</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1、评价和比较采用综合评分法，即指响应文件满足采购文件全部实质性要求，且按照评审因素的量化指标评审得分最高的供应商为排名第一的成交候选人的评审方法。</w:t>
      </w:r>
      <w:r>
        <w:rPr>
          <w:color w:val="auto"/>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2、评审小组各成员独立对每个进入打分程序的有效磋商供应商的响应文件技术和资质部分以打分的形式进行评审和评价。</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响应文件满足采购文件全部实质性要求，且按照前述综合评审得分由高到低的排序选择前三名供应商作为成交候选人。如选取成交候选人时出现评审得分相同，且磋商报价也相同的并列情况的，则由采购人组织以抽签方式确定优先选取顺序。</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4、评审小组根据采购人的授权，按照成交候选人的顺序在成交候选人中直接确定成交供应商。</w:t>
      </w:r>
      <w:r>
        <w:rPr>
          <w:color w:val="auto"/>
        </w:rPr>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二、评分标准</w:t>
      </w:r>
      <w:r>
        <w:rPr>
          <w:color w:val="auto"/>
        </w:rPr>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0分）</w:t>
      </w:r>
      <w:r>
        <w:rPr>
          <w:color w:val="auto"/>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第一步：磋商报价低于或等于财政预算价格的，为有效磋商报价。超财政预算的磋商报价文件为未实质性响应文件，不参与评审。</w:t>
      </w:r>
      <w:r>
        <w:rPr>
          <w:color w:val="auto"/>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第二步：在所有有效磋商报价中满足采购文件要求，且磋商价格最低的磋商报价为评标基准价，其价格分为</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分，其他磋商供应商的价格分按照下列公式计算（计算结果四舍五入保留两位小数）。</w:t>
      </w:r>
      <w:r>
        <w:rPr>
          <w:color w:val="auto"/>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磋商报价得分＝（评标基准价/磋商报价）×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%×100。</w:t>
      </w:r>
      <w:r>
        <w:rPr>
          <w:color w:val="auto"/>
        </w:rPr>
      </w:r>
      <w:r/>
    </w:p>
    <w:p>
      <w:pPr>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(二）施工组织设计（</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0分）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1、项目施工整体方案（8分）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方案科学、严密、合理，描述详细且具有针对性的得8分；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方案较合理、严密、描述较为详细，不存在实施难度的得5分；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方案基本合理、描述一般、存在可操作性得3分；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方案具有不合理项、描述略欠缺、存在一定的实施难度得1分；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其余不得分。</w:t>
      </w:r>
      <w:r>
        <w:rPr>
          <w:color w:val="auto"/>
        </w:rPr>
      </w:r>
      <w:r/>
    </w:p>
    <w:p>
      <w:pPr>
        <w:numPr>
          <w:ilvl w:val="0"/>
          <w:numId w:val="2"/>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质量安全保证体系及措施（8分）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措施科学、严密、合理，描述详细且具有针对性，得8分；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措施较科学、合理，描述较详细，针对性较强的，得5分；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措施基本合理、描述一般、针对性一般的，得3分；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措施具有不合理项、描述略欠缺，存在一定实施难度的得1分；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其余不得分。</w:t>
      </w:r>
      <w:r>
        <w:rPr>
          <w:color w:val="auto"/>
        </w:rPr>
      </w:r>
      <w:r/>
    </w:p>
    <w:p>
      <w:pPr>
        <w:numPr>
          <w:ilvl w:val="0"/>
          <w:numId w:val="2"/>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shd w:val="clear" w:color="auto" w:fill="auto"/>
        </w:rPr>
        <w:t xml:space="preserve">施工进度计划及工期保证措施</w:t>
      </w:r>
      <w:r>
        <w:rPr>
          <w:rFonts w:hint="eastAsia" w:ascii="宋体" w:hAnsi="宋体" w:eastAsia="宋体" w:cs="宋体"/>
          <w:b w:val="0"/>
          <w:bCs/>
          <w:color w:val="auto"/>
          <w:sz w:val="24"/>
          <w:szCs w:val="24"/>
          <w:highlight w:val="none"/>
          <w:lang w:val="en-US" w:eastAsia="zh-CN"/>
        </w:rPr>
        <w:t xml:space="preserve">（8分）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方案科学合理、描述完整，针对性强的，得8分；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方案较科学合理、描述较完整，针对性较强的，得5分；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方案描述一般，可操作性一般的，得3分；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方案具有不合理项、描述略欠缺，存在一定实施难度的得1分；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未提供方案的不得分。</w:t>
      </w:r>
      <w:r>
        <w:rPr>
          <w:color w:val="auto"/>
        </w:rPr>
      </w:r>
      <w:r/>
    </w:p>
    <w:p>
      <w:pPr>
        <w:numPr>
          <w:ilvl w:val="0"/>
          <w:numId w:val="2"/>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保证项目实施的技术设备和人力资源安排（8分）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投入项目的技术设备科学、严密、合理，管理制度完备、使用方案详细且具有针对性；技术人员配备合理、考虑周全的得8分；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投入技术设备基本符合项目实际、管理制度一般、使用方案一般；技术人员配备一般、能满足项目实施需要的得5分；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投入技术设备有欠缺，基本能满足项目实施需要；技术人员配备简单，基本能满足项目实施需要的得3分；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投入技术设备明显不足，不能满足项目实施需要；技术人员明显欠缺，不能满足项目实施需要的得1分；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其余不得分。</w:t>
      </w:r>
      <w:r>
        <w:rPr>
          <w:color w:val="auto"/>
        </w:rPr>
      </w:r>
      <w:r/>
    </w:p>
    <w:p>
      <w:pPr>
        <w:numPr>
          <w:ilvl w:val="0"/>
          <w:numId w:val="2"/>
        </w:num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服务保障（8分）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供应商提出后期质保承诺、维护响应、服务方式等，评委根据方案综合打分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服务保障科学、严密、合理，描述详细且具有针对性的得8分；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服务保障较合理、严密、描述较详细且较有针对性的得5分；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服务保障有不合理项，描述略欠缺且存在一定实施难度的得3分；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明显欠缺，不能满足项目实施需要的得1分；</w:t>
      </w:r>
      <w:r>
        <w:rPr>
          <w:color w:val="auto"/>
        </w:rPr>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其余不得分。</w:t>
      </w:r>
      <w:r>
        <w:rPr>
          <w:color w:val="auto"/>
        </w:rPr>
      </w:r>
      <w:r/>
    </w:p>
    <w:p>
      <w:pPr>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w:t>
      </w:r>
      <w:r>
        <w:rPr>
          <w:rFonts w:hint="eastAsia" w:ascii="宋体" w:hAnsi="宋体" w:eastAsia="宋体" w:cs="宋体"/>
          <w:b/>
          <w:bCs w:val="0"/>
          <w:color w:val="auto"/>
          <w:sz w:val="24"/>
          <w:szCs w:val="24"/>
          <w:highlight w:val="none"/>
          <w:lang w:val="en-US" w:eastAsia="zh-CN"/>
        </w:rPr>
        <w:t xml:space="preserve">产品质量分（12分）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1、人造草坪产品依据GB/T 20394-20</w:t>
      </w:r>
      <w:r>
        <w:rPr>
          <w:rFonts w:hint="eastAsia" w:ascii="宋体" w:hAnsi="宋体" w:eastAsia="宋体" w:cs="宋体"/>
          <w:color w:val="auto"/>
          <w:sz w:val="24"/>
          <w:szCs w:val="24"/>
          <w:highlight w:val="none"/>
          <w:lang w:val="en-US" w:eastAsia="zh-CN" w:bidi="ar-SA"/>
        </w:rPr>
        <w:t xml:space="preserve">19、GB36246-2018、GB/T 43566-2023标准测试草丝拉断力≥25N、单簇草丝拔出力≥115N，底布拉断力（纵向）≥2200N,底布拉断力（横向）≥2000N，经过氙灯168h+耐酸（30%硫酸）48h+耐碱（20%碳酸钠）48h+常温常湿（23℃、湿度50%）48h+高温（90℃、湿度5%）48h+低温（-40℃、湿度5%）48h老化后测试草丝色牢度≥7级、草丝拉断力保留率≥94%、单簇草丝拔出力保留率≥94%，底布拉断力保留率（纵向）≥95%,底布拉断力（横向）≥95%的报告得3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2、人造草坪产品依据GB/T 20394-2019、GB36246-2018、</w:t>
      </w:r>
      <w:r>
        <w:rPr>
          <w:rFonts w:hint="eastAsia" w:ascii="宋体" w:hAnsi="宋体" w:eastAsia="宋体" w:cs="宋体"/>
          <w:color w:val="auto"/>
          <w:sz w:val="24"/>
          <w:szCs w:val="24"/>
          <w:highlight w:val="none"/>
          <w:lang w:val="en-US" w:eastAsia="zh-CN" w:bidi="ar-SA"/>
        </w:rPr>
        <w:t xml:space="preserve">GB/T 43566-2023标准进行氙灯168h+耐酸（30%硫酸）48h+耐碱（20%碳酸钠）48h+常温常湿（23℃、湿度50%）48h+高温（90℃、湿度5%）48h+低温（-40℃、湿度5%）48h老化后测试三种邻苯二甲酸酯类化合物（DBP、BBP、DEHP）总和、三种邻苯二甲酸酯类化合物（DNOP、DINP、DIDP）总和、18 种多环芳烃总和、苯并[a]芘、可溶性铅、可溶性镉、可溶性铬、可溶性汞、可迁移元素钡、总挥发性有机化合物（TVOC）、甲醛、苯、甲苯、二甲苯和乙苯总和均为未检出的得3分；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3、人造草坪产品依据GB/T 20394-2019、GB/T 43566-2023标准测试阻燃率（中心到损毁边沿最大距离≤45mm），经过氙灯老化168小时+雨水（3%乙酸，40℃）老化168小时+高低温老化7次循环（每个循环60℃ 12小时、常温1小时、－40℃ 12小时）老化测试后草丝耐磨保留率≥98%、阻燃率（中心到损毁边沿最大距离≤46mm）、表面电阻合格的得3分；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4、人造草坪产品依据GB 36246-2018、GB/T 14833-2020标准检测拉伸强度≥11Mpa，经过氙灯老化500小时+雨水（3%乙酸，40℃）老化500小时+高低温老化20次循环（每个循环60℃ 12小时、常温1小时、－40℃ 12小时）后测试抗滑值≥85BPN、拉断伸长率≥45%、阻燃性能Ⅰ级、拉伸强度保留率≥85%的合格报告得3分；</w:t>
      </w:r>
      <w:r>
        <w:rPr>
          <w:color w:val="auto"/>
        </w:rPr>
      </w:r>
      <w:r/>
    </w:p>
    <w:p>
      <w:pPr>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注：以上须提供带有“CMA”或“CNAS”标识的检测报告原件扫描件以及国家市场监督管理总局全国认证认可信息公共服务平台查询截图，加盖供应商公章或电子签章上传至电子响应文件，不提供不得分。</w:t>
      </w:r>
      <w:r>
        <w:rPr>
          <w:color w:val="auto"/>
        </w:rPr>
      </w:r>
      <w:r/>
    </w:p>
    <w:p>
      <w:pPr>
        <w:numPr>
          <w:ilvl w:val="0"/>
          <w:numId w:val="3"/>
        </w:numPr>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Style w:val="962"/>
          <w:rFonts w:hint="eastAsia" w:ascii="宋体" w:hAnsi="宋体" w:cs="宋体"/>
          <w:b/>
          <w:bCs/>
          <w:color w:val="auto"/>
          <w:sz w:val="24"/>
          <w:highlight w:val="none"/>
        </w:rPr>
        <w:t xml:space="preserve">响应单位综合实力比较</w:t>
      </w:r>
      <w:r>
        <w:rPr>
          <w:rFonts w:hint="eastAsia" w:ascii="宋体" w:hAnsi="宋体" w:eastAsia="宋体" w:cs="宋体"/>
          <w:b/>
          <w:bCs w:val="0"/>
          <w:color w:val="auto"/>
          <w:sz w:val="24"/>
          <w:szCs w:val="24"/>
          <w:highlight w:val="none"/>
          <w:lang w:val="en-US" w:eastAsia="zh-CN"/>
        </w:rPr>
        <w:t xml:space="preserve">（18</w:t>
      </w:r>
      <w:r>
        <w:rPr>
          <w:rFonts w:hint="eastAsia" w:ascii="宋体" w:hAnsi="宋体" w:eastAsia="宋体" w:cs="宋体"/>
          <w:b/>
          <w:bCs w:val="0"/>
          <w:color w:val="auto"/>
          <w:sz w:val="24"/>
          <w:szCs w:val="24"/>
          <w:highlight w:val="none"/>
          <w:lang w:eastAsia="zh-CN"/>
        </w:rPr>
        <w:t xml:space="preserve">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供应商具备有效期内的质量管理体系认证证书，环境管理体系认证证书，职业健康安全管理体系认证证书，每有一个得1分，最高3分（提供有效证书原件扫描上传及“国家市场监督管理总局-全国认证认可信息公共服务平台”查询截图（网址：</w:t>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"http://cx.cnca.cn/CertECloud/index/index/page））"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http://cx.cnca.cn/CertECloud/index/index/page））</w:t>
      </w:r>
      <w:r>
        <w:rPr>
          <w:rFonts w:hint="eastAsia" w:ascii="宋体" w:hAnsi="宋体" w:eastAsia="宋体" w:cs="宋体"/>
          <w:color w:val="auto"/>
          <w:sz w:val="24"/>
          <w:szCs w:val="24"/>
          <w:highlight w:val="none"/>
          <w:lang w:val="en-US" w:eastAsia="zh-CN" w:bidi="ar-SA"/>
        </w:rPr>
        <w:fldChar w:fldCharType="end"/>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2、项目组成员中(不含项目负责人)具有质量员、施工员、安全员、资料员的，每有一人得1分，最高得4分。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3、拟投入本项目组人员具有中级及以上职称有一个得1分，最多得3分。（提供以上人员相关证书及供应商近三个月内任意一个月为其缴纳社保的证明材料，原件扫描上传）</w:t>
      </w:r>
      <w:r>
        <w:rPr>
          <w:color w:val="auto"/>
        </w:rPr>
      </w:r>
      <w:r/>
    </w:p>
    <w:p>
      <w:p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4、类似业绩（8分）</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响应单位自2023年1月1日以来承担过类似业绩提供1个得2分，本项满分8分。</w:t>
      </w:r>
      <w:r>
        <w:rPr>
          <w:color w:val="auto"/>
        </w:rPr>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注：①时间以合同签订日期为准；②响应文件中提供合同复印件。材料不提供或提供不全或无法认定的，此项不得分。</w:t>
      </w:r>
      <w:r>
        <w:rPr>
          <w:color w:val="auto"/>
        </w:rPr>
      </w:r>
      <w:r/>
    </w:p>
    <w:p>
      <w:pPr>
        <w:ind w:left="0" w:firstLine="482"/>
        <w:keepLines w:val="0"/>
        <w:keepNext w:val="0"/>
        <w:pageBreakBefore w:val="0"/>
        <w:spacing w:line="360" w:lineRule="auto"/>
        <w:widowControl w:val="off"/>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lang w:val="en-US" w:eastAsia="zh-CN"/>
        </w:rPr>
      </w:r>
      <w:r>
        <w:rPr>
          <w:color w:val="auto"/>
        </w:rPr>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注：针对评分标准中评分的每一条，响应人在响应文件中均应提供清晰明了的相关资料并做出相应说明供评委评判，不提供相关资料的视为不具备该项得分的条件</w:t>
      </w:r>
      <w:r>
        <w:rPr>
          <w:rFonts w:hint="eastAsia" w:ascii="宋体" w:hAnsi="宋体" w:eastAsia="宋体" w:cs="宋体"/>
          <w:b/>
          <w:color w:val="auto"/>
          <w:sz w:val="24"/>
          <w:szCs w:val="24"/>
          <w:highlight w:val="none"/>
          <w:lang w:eastAsia="zh-CN"/>
        </w:rPr>
        <w:t xml:space="preserve">。</w:t>
      </w:r>
      <w:r>
        <w:rPr>
          <w:color w:val="auto"/>
        </w:rPr>
      </w:r>
      <w:r/>
    </w:p>
    <w:p>
      <w:pPr>
        <w:ind w:firstLine="482"/>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（全文完）</w:t>
      </w:r>
      <w:r>
        <w:rPr>
          <w:color w:val="auto"/>
        </w:rPr>
      </w:r>
      <w:r/>
    </w:p>
    <w:sectPr>
      <w:footerReference w:type="default" r:id="rId13"/>
      <w:footnotePr/>
      <w:endnotePr/>
      <w:type w:val="nextPage"/>
      <w:pgSz w:w="11906" w:h="16838" w:orient="portrait"/>
      <w:pgMar w:top="1134" w:right="1366" w:bottom="1134" w:left="1508" w:header="567" w:footer="675"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60"/>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60"/>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2127885</wp:posOffset>
              </wp:positionH>
              <wp:positionV relativeFrom="paragraph">
                <wp:posOffset>0</wp:posOffset>
              </wp:positionV>
              <wp:extent cx="1021715" cy="296545"/>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021715" cy="296545"/>
                      </a:xfrm>
                      <a:prstGeom prst="rect">
                        <a:avLst/>
                      </a:prstGeom>
                      <a:noFill/>
                      <a:ln>
                        <a:noFill/>
                      </a:ln>
                    </wps:spPr>
                    <wps:txbx>
                      <w:txbxContent>
                        <w:p>
                          <w:pPr>
                            <w:pStyle w:val="935"/>
                            <w:rPr>
                              <w:rFonts w:ascii="宋体" w:hAnsi="宋体" w:eastAsia="宋体" w:cs="宋体"/>
                              <w:sz w:val="18"/>
                              <w:szCs w:val="18"/>
                            </w:rPr>
                          </w:pPr>
                          <w:r>
                            <w:rPr>
                              <w:rFonts w:ascii="宋体" w:hAnsi="宋体" w:eastAsia="宋体" w:cs="宋体"/>
                              <w:sz w:val="18"/>
                              <w:szCs w:val="18"/>
                            </w:rPr>
                            <w:t xml:space="preserve">第 </w:t>
                          </w:r>
                          <w:r>
                            <w:rPr>
                              <w:rFonts w:ascii="宋体" w:hAnsi="宋体" w:eastAsia="宋体" w:cs="宋体"/>
                              <w:sz w:val="18"/>
                              <w:szCs w:val="18"/>
                            </w:rPr>
                            <w:fldChar w:fldCharType="begin"/>
                          </w:r>
                          <w:r>
                            <w:rPr>
                              <w:rFonts w:ascii="宋体" w:hAnsi="宋体" w:eastAsia="宋体" w:cs="宋体"/>
                              <w:sz w:val="18"/>
                              <w:szCs w:val="18"/>
                            </w:rPr>
                            <w:instrText xml:space="preserve"> PAGE  \* MERGEFORMAT </w:instrText>
                          </w:r>
                          <w:r>
                            <w:rPr>
                              <w:rFonts w:ascii="宋体" w:hAnsi="宋体" w:eastAsia="宋体" w:cs="宋体"/>
                              <w:sz w:val="18"/>
                              <w:szCs w:val="18"/>
                            </w:rPr>
                            <w:fldChar w:fldCharType="separate"/>
                          </w:r>
                          <w:r>
                            <w:rPr>
                              <w:rFonts w:ascii="宋体" w:hAnsi="宋体" w:eastAsia="宋体" w:cs="宋体"/>
                              <w:sz w:val="18"/>
                              <w:szCs w:val="18"/>
                            </w:rPr>
                            <w:t xml:space="preserve">1</w:t>
                          </w:r>
                          <w:r>
                            <w:rPr>
                              <w:rFonts w:ascii="宋体" w:hAnsi="宋体" w:eastAsia="宋体" w:cs="宋体"/>
                              <w:sz w:val="18"/>
                              <w:szCs w:val="18"/>
                            </w:rPr>
                            <w:fldChar w:fldCharType="end"/>
                          </w:r>
                          <w:r>
                            <w:rPr>
                              <w:rFonts w:ascii="宋体" w:hAnsi="宋体" w:eastAsia="宋体" w:cs="宋体"/>
                              <w:sz w:val="18"/>
                              <w:szCs w:val="18"/>
                            </w:rPr>
                            <w:t xml:space="preserve"> 页 共</w:t>
                          </w:r>
                          <w:r>
                            <w:rPr>
                              <w:rFonts w:hint="eastAsia" w:ascii="宋体" w:hAnsi="宋体" w:eastAsia="宋体" w:cs="宋体"/>
                              <w:sz w:val="18"/>
                              <w:szCs w:val="18"/>
                              <w:lang w:val="en-US" w:eastAsia="zh-CN"/>
                            </w:rPr>
                            <w:t xml:space="preserve">48</w:t>
                          </w:r>
                          <w:r>
                            <w:rPr>
                              <w:rFonts w:ascii="宋体" w:hAnsi="宋体" w:eastAsia="宋体" w:cs="宋体"/>
                              <w:sz w:val="18"/>
                              <w:szCs w:val="18"/>
                            </w:rPr>
                            <w:t xml:space="preserve"> 页</w:t>
                          </w:r>
                          <w:r/>
                        </w:p>
                      </w:txbxContent>
                    </wps:txbx>
                    <wps:bodyPr wrap="square" lIns="0" tIns="0" rIns="0" bIns="0">
                      <a:noAutofit/>
                    </wps:bodyPr>
                  </wps:wsp>
                </a:graphicData>
              </a:graphic>
            </wp:anchor>
          </w:drawing>
        </mc:Choice>
        <mc:Fallback>
          <w:pict>
            <v:shape id="shape 1" o:spid="_x0000_s1" o:spt="202" type="#_x0000_t202" style="position:absolute;z-index:251661312;o:allowoverlap:true;o:allowincell:true;mso-position-horizontal-relative:margin;margin-left:167.5pt;mso-position-horizontal:absolute;mso-position-vertical-relative:text;margin-top:0.0pt;mso-position-vertical:absolute;width:80.5pt;height:23.3pt;mso-wrap-distance-left:9.0pt;mso-wrap-distance-top:0.0pt;mso-wrap-distance-right:9.0pt;mso-wrap-distance-bottom:0.0pt;visibility:visible;" filled="f" stroked="f">
              <v:textbox inset="0,0,0,0">
                <w:txbxContent>
                  <w:p>
                    <w:pPr>
                      <w:pStyle w:val="935"/>
                      <w:rPr>
                        <w:rFonts w:ascii="宋体" w:hAnsi="宋体" w:eastAsia="宋体" w:cs="宋体"/>
                        <w:sz w:val="18"/>
                        <w:szCs w:val="18"/>
                      </w:rPr>
                    </w:pPr>
                    <w:r>
                      <w:rPr>
                        <w:rFonts w:ascii="宋体" w:hAnsi="宋体" w:eastAsia="宋体" w:cs="宋体"/>
                        <w:sz w:val="18"/>
                        <w:szCs w:val="18"/>
                      </w:rPr>
                      <w:t xml:space="preserve">第 </w:t>
                    </w:r>
                    <w:r>
                      <w:rPr>
                        <w:rFonts w:ascii="宋体" w:hAnsi="宋体" w:eastAsia="宋体" w:cs="宋体"/>
                        <w:sz w:val="18"/>
                        <w:szCs w:val="18"/>
                      </w:rPr>
                      <w:fldChar w:fldCharType="begin"/>
                    </w:r>
                    <w:r>
                      <w:rPr>
                        <w:rFonts w:ascii="宋体" w:hAnsi="宋体" w:eastAsia="宋体" w:cs="宋体"/>
                        <w:sz w:val="18"/>
                        <w:szCs w:val="18"/>
                      </w:rPr>
                      <w:instrText xml:space="preserve"> PAGE  \* MERGEFORMAT </w:instrText>
                    </w:r>
                    <w:r>
                      <w:rPr>
                        <w:rFonts w:ascii="宋体" w:hAnsi="宋体" w:eastAsia="宋体" w:cs="宋体"/>
                        <w:sz w:val="18"/>
                        <w:szCs w:val="18"/>
                      </w:rPr>
                      <w:fldChar w:fldCharType="separate"/>
                    </w:r>
                    <w:r>
                      <w:rPr>
                        <w:rFonts w:ascii="宋体" w:hAnsi="宋体" w:eastAsia="宋体" w:cs="宋体"/>
                        <w:sz w:val="18"/>
                        <w:szCs w:val="18"/>
                      </w:rPr>
                      <w:t xml:space="preserve">1</w:t>
                    </w:r>
                    <w:r>
                      <w:rPr>
                        <w:rFonts w:ascii="宋体" w:hAnsi="宋体" w:eastAsia="宋体" w:cs="宋体"/>
                        <w:sz w:val="18"/>
                        <w:szCs w:val="18"/>
                      </w:rPr>
                      <w:fldChar w:fldCharType="end"/>
                    </w:r>
                    <w:r>
                      <w:rPr>
                        <w:rFonts w:ascii="宋体" w:hAnsi="宋体" w:eastAsia="宋体" w:cs="宋体"/>
                        <w:sz w:val="18"/>
                        <w:szCs w:val="18"/>
                      </w:rPr>
                      <w:t xml:space="preserve"> 页 共</w:t>
                    </w:r>
                    <w:r>
                      <w:rPr>
                        <w:rFonts w:hint="eastAsia" w:ascii="宋体" w:hAnsi="宋体" w:eastAsia="宋体" w:cs="宋体"/>
                        <w:sz w:val="18"/>
                        <w:szCs w:val="18"/>
                        <w:lang w:val="en-US" w:eastAsia="zh-CN"/>
                      </w:rPr>
                      <w:t xml:space="preserve">48</w:t>
                    </w:r>
                    <w:r>
                      <w:rPr>
                        <w:rFonts w:ascii="宋体" w:hAnsi="宋体" w:eastAsia="宋体" w:cs="宋体"/>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Fonts w:hint="eastAsia" w:ascii="宋体" w:hAnsi="宋体" w:eastAsia="宋体"/>
        <w:highlight w:val="none"/>
        <w:lang w:eastAsia="zh-CN"/>
      </w:rPr>
    </w:pPr>
    <w:r>
      <w:rPr>
        <w:rFonts w:hint="eastAsia" w:ascii="宋体" w:hAnsi="宋体" w:eastAsia="宋体"/>
      </w:rPr>
      <w:t xml:space="preserve">苏州合亿盛工程咨询有限公司                                       </w:t>
    </w:r>
    <w:r>
      <w:rPr>
        <w:rFonts w:hint="eastAsia" w:ascii="宋体" w:hAnsi="宋体" w:eastAsia="宋体"/>
        <w:highlight w:val="none"/>
      </w:rPr>
      <w:t xml:space="preserve">        </w:t>
    </w:r>
    <w:r>
      <w:rPr>
        <w:rFonts w:hint="eastAsia" w:ascii="宋体" w:hAnsi="宋体" w:eastAsia="宋体"/>
        <w:highlight w:val="none"/>
        <w:lang w:val="en-US" w:eastAsia="zh-CN"/>
      </w:rPr>
      <w:t xml:space="preserve">JSZC-320591-SHYS-C2026-0017</w:t>
    </w:r>
    <w:r/>
  </w:p>
  <w:p>
    <w:pPr>
      <w:rPr>
        <w:rFonts w:ascii="宋体" w:hAnsi="宋体" w:eastAsia="宋体"/>
        <w:highlight w:val="none"/>
      </w:rPr>
    </w:pPr>
    <w:r>
      <w:rPr>
        <w:rFonts w:ascii="宋体" w:hAnsi="宋体" w:eastAsia="宋体"/>
        <w:highlight w:val="no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Fonts w:hint="default" w:ascii="宋体" w:hAnsi="宋体" w:eastAsia="宋体"/>
        <w:highlight w:val="none"/>
        <w:lang w:val="en-US" w:eastAsia="zh-CN"/>
      </w:rPr>
    </w:pPr>
    <w:r>
      <w:rPr>
        <w:rFonts w:hint="eastAsia" w:ascii="宋体" w:hAnsi="宋体" w:eastAsia="宋体"/>
      </w:rPr>
      <w:t xml:space="preserve">苏州合亿盛工程咨询有限公司                                      </w:t>
    </w:r>
    <w:r>
      <w:rPr>
        <w:rFonts w:hint="eastAsia" w:ascii="宋体" w:hAnsi="宋体" w:eastAsia="宋体"/>
        <w:highlight w:val="none"/>
      </w:rPr>
      <w:t xml:space="preserve">         </w:t>
    </w:r>
    <w:r>
      <w:rPr>
        <w:rFonts w:hint="eastAsia" w:ascii="宋体" w:hAnsi="宋体" w:eastAsia="宋体"/>
        <w:highlight w:val="none"/>
        <w:lang w:val="en-US" w:eastAsia="zh-CN"/>
      </w:rPr>
      <w:t xml:space="preserve">JSZC-320591-SHYS-C2026-0017</w:t>
    </w:r>
    <w:r/>
  </w:p>
  <w:p>
    <w:pPr>
      <w:pStyle w:val="936"/>
      <w:rPr>
        <w:highlight w:val="none"/>
      </w:rPr>
    </w:pPr>
    <w:r>
      <w:rPr>
        <w:highlight w:val="non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28"/>
    <w:link w:val="925"/>
    <w:uiPriority w:val="9"/>
    <w:rPr>
      <w:rFonts w:ascii="Arial" w:hAnsi="Arial" w:eastAsia="Arial" w:cs="Arial"/>
      <w:sz w:val="40"/>
      <w:szCs w:val="40"/>
    </w:rPr>
  </w:style>
  <w:style w:type="character" w:styleId="755">
    <w:name w:val="Heading 2 Char"/>
    <w:basedOn w:val="928"/>
    <w:link w:val="926"/>
    <w:uiPriority w:val="9"/>
    <w:rPr>
      <w:rFonts w:ascii="Arial" w:hAnsi="Arial" w:eastAsia="Arial" w:cs="Arial"/>
      <w:sz w:val="34"/>
    </w:rPr>
  </w:style>
  <w:style w:type="paragraph" w:styleId="756">
    <w:name w:val="Heading 3"/>
    <w:basedOn w:val="924"/>
    <w:next w:val="924"/>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basedOn w:val="928"/>
    <w:link w:val="756"/>
    <w:uiPriority w:val="9"/>
    <w:rPr>
      <w:rFonts w:ascii="Arial" w:hAnsi="Arial" w:eastAsia="Arial" w:cs="Arial"/>
      <w:sz w:val="30"/>
      <w:szCs w:val="30"/>
    </w:rPr>
  </w:style>
  <w:style w:type="character" w:styleId="758">
    <w:name w:val="Heading 4 Char"/>
    <w:basedOn w:val="928"/>
    <w:link w:val="927"/>
    <w:uiPriority w:val="9"/>
    <w:rPr>
      <w:rFonts w:ascii="Arial" w:hAnsi="Arial" w:eastAsia="Arial" w:cs="Arial"/>
      <w:b/>
      <w:bCs/>
      <w:sz w:val="26"/>
      <w:szCs w:val="26"/>
    </w:rPr>
  </w:style>
  <w:style w:type="paragraph" w:styleId="759">
    <w:name w:val="Heading 5"/>
    <w:basedOn w:val="924"/>
    <w:next w:val="924"/>
    <w:link w:val="760"/>
    <w:uiPriority w:val="9"/>
    <w:unhideWhenUsed/>
    <w:qFormat/>
    <w:pPr>
      <w:keepLines/>
      <w:keepNext/>
      <w:spacing w:before="320" w:after="200"/>
      <w:outlineLvl w:val="4"/>
    </w:pPr>
    <w:rPr>
      <w:rFonts w:ascii="Arial" w:hAnsi="Arial" w:eastAsia="Arial" w:cs="Arial"/>
      <w:b/>
      <w:bCs/>
      <w:sz w:val="24"/>
      <w:szCs w:val="24"/>
    </w:rPr>
  </w:style>
  <w:style w:type="character" w:styleId="760">
    <w:name w:val="Heading 5 Char"/>
    <w:basedOn w:val="928"/>
    <w:link w:val="759"/>
    <w:uiPriority w:val="9"/>
    <w:rPr>
      <w:rFonts w:ascii="Arial" w:hAnsi="Arial" w:eastAsia="Arial" w:cs="Arial"/>
      <w:b/>
      <w:bCs/>
      <w:sz w:val="24"/>
      <w:szCs w:val="24"/>
    </w:rPr>
  </w:style>
  <w:style w:type="paragraph" w:styleId="761">
    <w:name w:val="Heading 6"/>
    <w:basedOn w:val="924"/>
    <w:next w:val="924"/>
    <w:link w:val="762"/>
    <w:uiPriority w:val="9"/>
    <w:unhideWhenUsed/>
    <w:qFormat/>
    <w:pPr>
      <w:keepLines/>
      <w:keepNext/>
      <w:spacing w:before="320" w:after="200"/>
      <w:outlineLvl w:val="5"/>
    </w:pPr>
    <w:rPr>
      <w:rFonts w:ascii="Arial" w:hAnsi="Arial" w:eastAsia="Arial" w:cs="Arial"/>
      <w:b/>
      <w:bCs/>
      <w:sz w:val="22"/>
      <w:szCs w:val="22"/>
    </w:rPr>
  </w:style>
  <w:style w:type="character" w:styleId="762">
    <w:name w:val="Heading 6 Char"/>
    <w:basedOn w:val="928"/>
    <w:link w:val="761"/>
    <w:uiPriority w:val="9"/>
    <w:rPr>
      <w:rFonts w:ascii="Arial" w:hAnsi="Arial" w:eastAsia="Arial" w:cs="Arial"/>
      <w:b/>
      <w:bCs/>
      <w:sz w:val="22"/>
      <w:szCs w:val="22"/>
    </w:rPr>
  </w:style>
  <w:style w:type="paragraph" w:styleId="763">
    <w:name w:val="Heading 7"/>
    <w:basedOn w:val="924"/>
    <w:next w:val="924"/>
    <w:link w:val="764"/>
    <w:uiPriority w:val="9"/>
    <w:unhideWhenUsed/>
    <w:qFormat/>
    <w:pPr>
      <w:keepLines/>
      <w:keepNext/>
      <w:spacing w:before="320" w:after="200"/>
      <w:outlineLvl w:val="6"/>
    </w:pPr>
    <w:rPr>
      <w:rFonts w:ascii="Arial" w:hAnsi="Arial" w:eastAsia="Arial" w:cs="Arial"/>
      <w:b/>
      <w:bCs/>
      <w:i/>
      <w:iCs/>
      <w:sz w:val="22"/>
      <w:szCs w:val="22"/>
    </w:rPr>
  </w:style>
  <w:style w:type="character" w:styleId="764">
    <w:name w:val="Heading 7 Char"/>
    <w:basedOn w:val="928"/>
    <w:link w:val="763"/>
    <w:uiPriority w:val="9"/>
    <w:rPr>
      <w:rFonts w:ascii="Arial" w:hAnsi="Arial" w:eastAsia="Arial" w:cs="Arial"/>
      <w:b/>
      <w:bCs/>
      <w:i/>
      <w:iCs/>
      <w:sz w:val="22"/>
      <w:szCs w:val="22"/>
    </w:rPr>
  </w:style>
  <w:style w:type="paragraph" w:styleId="765">
    <w:name w:val="Heading 8"/>
    <w:basedOn w:val="924"/>
    <w:next w:val="924"/>
    <w:link w:val="766"/>
    <w:uiPriority w:val="9"/>
    <w:unhideWhenUsed/>
    <w:qFormat/>
    <w:pPr>
      <w:keepLines/>
      <w:keepNext/>
      <w:spacing w:before="320" w:after="200"/>
      <w:outlineLvl w:val="7"/>
    </w:pPr>
    <w:rPr>
      <w:rFonts w:ascii="Arial" w:hAnsi="Arial" w:eastAsia="Arial" w:cs="Arial"/>
      <w:i/>
      <w:iCs/>
      <w:sz w:val="22"/>
      <w:szCs w:val="22"/>
    </w:rPr>
  </w:style>
  <w:style w:type="character" w:styleId="766">
    <w:name w:val="Heading 8 Char"/>
    <w:basedOn w:val="928"/>
    <w:link w:val="765"/>
    <w:uiPriority w:val="9"/>
    <w:rPr>
      <w:rFonts w:ascii="Arial" w:hAnsi="Arial" w:eastAsia="Arial" w:cs="Arial"/>
      <w:i/>
      <w:iCs/>
      <w:sz w:val="22"/>
      <w:szCs w:val="22"/>
    </w:rPr>
  </w:style>
  <w:style w:type="paragraph" w:styleId="767">
    <w:name w:val="Heading 9"/>
    <w:basedOn w:val="924"/>
    <w:next w:val="924"/>
    <w:link w:val="768"/>
    <w:uiPriority w:val="9"/>
    <w:unhideWhenUsed/>
    <w:qFormat/>
    <w:pPr>
      <w:keepLines/>
      <w:keepNext/>
      <w:spacing w:before="320" w:after="200"/>
      <w:outlineLvl w:val="8"/>
    </w:pPr>
    <w:rPr>
      <w:rFonts w:ascii="Arial" w:hAnsi="Arial" w:eastAsia="Arial" w:cs="Arial"/>
      <w:i/>
      <w:iCs/>
      <w:sz w:val="21"/>
      <w:szCs w:val="21"/>
    </w:rPr>
  </w:style>
  <w:style w:type="character" w:styleId="768">
    <w:name w:val="Heading 9 Char"/>
    <w:basedOn w:val="928"/>
    <w:link w:val="767"/>
    <w:uiPriority w:val="9"/>
    <w:rPr>
      <w:rFonts w:ascii="Arial" w:hAnsi="Arial" w:eastAsia="Arial" w:cs="Arial"/>
      <w:i/>
      <w:iCs/>
      <w:sz w:val="21"/>
      <w:szCs w:val="21"/>
    </w:rPr>
  </w:style>
  <w:style w:type="paragraph" w:styleId="769">
    <w:name w:val="List Paragraph"/>
    <w:basedOn w:val="924"/>
    <w:uiPriority w:val="34"/>
    <w:qFormat/>
    <w:pPr>
      <w:contextualSpacing/>
      <w:ind w:left="720"/>
    </w:pPr>
  </w:style>
  <w:style w:type="paragraph" w:styleId="770">
    <w:name w:val="No Spacing"/>
    <w:uiPriority w:val="1"/>
    <w:qFormat/>
    <w:pPr>
      <w:spacing w:before="0" w:after="0" w:line="240" w:lineRule="auto"/>
    </w:pPr>
  </w:style>
  <w:style w:type="paragraph" w:styleId="771">
    <w:name w:val="Title"/>
    <w:basedOn w:val="924"/>
    <w:next w:val="924"/>
    <w:link w:val="772"/>
    <w:uiPriority w:val="10"/>
    <w:qFormat/>
    <w:pPr>
      <w:contextualSpacing/>
      <w:spacing w:before="300" w:after="200"/>
    </w:pPr>
    <w:rPr>
      <w:sz w:val="48"/>
      <w:szCs w:val="48"/>
    </w:rPr>
  </w:style>
  <w:style w:type="character" w:styleId="772">
    <w:name w:val="Title Char"/>
    <w:basedOn w:val="928"/>
    <w:link w:val="771"/>
    <w:uiPriority w:val="10"/>
    <w:rPr>
      <w:sz w:val="48"/>
      <w:szCs w:val="48"/>
    </w:rPr>
  </w:style>
  <w:style w:type="paragraph" w:styleId="773">
    <w:name w:val="Subtitle"/>
    <w:basedOn w:val="924"/>
    <w:next w:val="924"/>
    <w:link w:val="774"/>
    <w:uiPriority w:val="11"/>
    <w:qFormat/>
    <w:pPr>
      <w:spacing w:before="200" w:after="200"/>
    </w:pPr>
    <w:rPr>
      <w:sz w:val="24"/>
      <w:szCs w:val="24"/>
    </w:rPr>
  </w:style>
  <w:style w:type="character" w:styleId="774">
    <w:name w:val="Subtitle Char"/>
    <w:basedOn w:val="928"/>
    <w:link w:val="773"/>
    <w:uiPriority w:val="11"/>
    <w:rPr>
      <w:sz w:val="24"/>
      <w:szCs w:val="24"/>
    </w:rPr>
  </w:style>
  <w:style w:type="paragraph" w:styleId="775">
    <w:name w:val="Quote"/>
    <w:basedOn w:val="924"/>
    <w:next w:val="924"/>
    <w:link w:val="776"/>
    <w:uiPriority w:val="29"/>
    <w:qFormat/>
    <w:pPr>
      <w:ind w:left="720" w:right="720"/>
    </w:pPr>
    <w:rPr>
      <w:i/>
    </w:rPr>
  </w:style>
  <w:style w:type="character" w:styleId="776">
    <w:name w:val="Quote Char"/>
    <w:link w:val="775"/>
    <w:uiPriority w:val="29"/>
    <w:rPr>
      <w:i/>
    </w:rPr>
  </w:style>
  <w:style w:type="paragraph" w:styleId="777">
    <w:name w:val="Intense Quote"/>
    <w:basedOn w:val="924"/>
    <w:next w:val="924"/>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character" w:styleId="779">
    <w:name w:val="Header Char"/>
    <w:basedOn w:val="928"/>
    <w:link w:val="936"/>
    <w:uiPriority w:val="99"/>
  </w:style>
  <w:style w:type="character" w:styleId="780">
    <w:name w:val="Footer Char"/>
    <w:basedOn w:val="928"/>
    <w:link w:val="935"/>
    <w:uiPriority w:val="99"/>
  </w:style>
  <w:style w:type="paragraph" w:styleId="781">
    <w:name w:val="Caption"/>
    <w:basedOn w:val="924"/>
    <w:next w:val="924"/>
    <w:uiPriority w:val="35"/>
    <w:semiHidden/>
    <w:unhideWhenUsed/>
    <w:qFormat/>
    <w:pPr>
      <w:spacing w:line="276" w:lineRule="auto"/>
    </w:pPr>
    <w:rPr>
      <w:b/>
      <w:bCs/>
      <w:color w:val="4f81bd" w:themeColor="accent1"/>
      <w:sz w:val="18"/>
      <w:szCs w:val="18"/>
    </w:rPr>
  </w:style>
  <w:style w:type="character" w:styleId="782">
    <w:name w:val="Caption Char"/>
    <w:basedOn w:val="781"/>
    <w:link w:val="935"/>
    <w:uiPriority w:val="99"/>
  </w:style>
  <w:style w:type="table" w:styleId="783">
    <w:name w:val="Table Grid Light"/>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basedOn w:val="9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basedOn w:val="9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basedOn w:val="9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basedOn w:val="9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basedOn w:val="9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basedOn w:val="9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9">
    <w:name w:val="Grid Table 5 Dark - Accent 2"/>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0">
    <w:name w:val="Grid Table 5 Dark - Accent 3"/>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1">
    <w:name w:val="Grid Table 5 Dark- Accent 4"/>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2">
    <w:name w:val="Grid Table 5 Dark - Accent 5"/>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3">
    <w:name w:val="Grid Table 5 Dark - Accent 6"/>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4">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basedOn w:val="9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basedOn w:val="9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basedOn w:val="9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0">
    <w:name w:val="Grid Table 6 Colorful - Accent 6"/>
    <w:basedOn w:val="9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1">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basedOn w:val="9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basedOn w:val="9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basedOn w:val="9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basedOn w:val="9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basedOn w:val="9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basedOn w:val="9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basedOn w:val="92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basedOn w:val="92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basedOn w:val="92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basedOn w:val="92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basedOn w:val="92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basedOn w:val="92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basedOn w:val="9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basedOn w:val="9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basedOn w:val="9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basedOn w:val="9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basedOn w:val="9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basedOn w:val="9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basedOn w:val="9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4">
    <w:name w:val="List Table 3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5">
    <w:name w:val="List Table 3 - Accent 3"/>
    <w:basedOn w:val="9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6">
    <w:name w:val="List Table 3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7">
    <w:name w:val="List Table 3 - Accent 5"/>
    <w:basedOn w:val="9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8">
    <w:name w:val="List Table 3 - Accent 6"/>
    <w:basedOn w:val="9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9">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basedOn w:val="9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1">
    <w:name w:val="List Table 4 - Accent 2"/>
    <w:basedOn w:val="9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2">
    <w:name w:val="List Table 4 - Accent 3"/>
    <w:basedOn w:val="9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3">
    <w:name w:val="List Table 4 - Accent 4"/>
    <w:basedOn w:val="9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4">
    <w:name w:val="List Table 4 - Accent 5"/>
    <w:basedOn w:val="9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5">
    <w:name w:val="List Table 4 - Accent 6"/>
    <w:basedOn w:val="9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6">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basedOn w:val="9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basedOn w:val="9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basedOn w:val="9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basedOn w:val="9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basedOn w:val="9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basedOn w:val="9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basedOn w:val="9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5">
    <w:name w:val="List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6">
    <w:name w:val="List Table 6 Colorful - Accent 3"/>
    <w:basedOn w:val="9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7">
    <w:name w:val="List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8">
    <w:name w:val="List Table 6 Colorful - Accent 5"/>
    <w:basedOn w:val="9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9">
    <w:name w:val="List Table 6 Colorful - Accent 6"/>
    <w:basedOn w:val="9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0">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basedOn w:val="9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2">
    <w:name w:val="List Table 7 Colorful - Accent 2"/>
    <w:basedOn w:val="9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3">
    <w:name w:val="List Table 7 Colorful - Accent 3"/>
    <w:basedOn w:val="9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4">
    <w:name w:val="List Table 7 Colorful - Accent 4"/>
    <w:basedOn w:val="9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5">
    <w:name w:val="List Table 7 Colorful - Accent 5"/>
    <w:basedOn w:val="9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6">
    <w:name w:val="List Table 7 Colorful - Accent 6"/>
    <w:basedOn w:val="9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7">
    <w:name w:val="Lined - Accent"/>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9">
    <w:name w:val="Lined - Accent 2"/>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0">
    <w:name w:val="Lined - Accent 3"/>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1">
    <w:name w:val="Lined - Accent 4"/>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2">
    <w:name w:val="Lined - Accent 5"/>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3">
    <w:name w:val="Lined - Accent 6"/>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4">
    <w:name w:val="Bordered &amp; Lined - Accent"/>
    <w:basedOn w:val="9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basedOn w:val="9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6">
    <w:name w:val="Bordered &amp; Lined - Accent 2"/>
    <w:basedOn w:val="9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7">
    <w:name w:val="Bordered &amp; Lined - Accent 3"/>
    <w:basedOn w:val="9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8">
    <w:name w:val="Bordered &amp; Lined - Accent 4"/>
    <w:basedOn w:val="9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9">
    <w:name w:val="Bordered &amp; Lined - Accent 5"/>
    <w:basedOn w:val="9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0">
    <w:name w:val="Bordered &amp; Lined - Accent 6"/>
    <w:basedOn w:val="9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1">
    <w:name w:val="Bordered"/>
    <w:basedOn w:val="9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8">
    <w:name w:val="footnote text"/>
    <w:basedOn w:val="924"/>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basedOn w:val="928"/>
    <w:uiPriority w:val="99"/>
    <w:unhideWhenUsed/>
    <w:rPr>
      <w:vertAlign w:val="superscript"/>
    </w:rPr>
  </w:style>
  <w:style w:type="paragraph" w:styleId="911">
    <w:name w:val="endnote text"/>
    <w:basedOn w:val="924"/>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basedOn w:val="928"/>
    <w:uiPriority w:val="99"/>
    <w:semiHidden/>
    <w:unhideWhenUsed/>
    <w:rPr>
      <w:vertAlign w:val="superscript"/>
    </w:rPr>
  </w:style>
  <w:style w:type="paragraph" w:styleId="914">
    <w:name w:val="toc 2"/>
    <w:basedOn w:val="924"/>
    <w:next w:val="924"/>
    <w:uiPriority w:val="39"/>
    <w:unhideWhenUsed/>
    <w:pPr>
      <w:ind w:left="283" w:right="0" w:firstLine="0"/>
      <w:spacing w:after="57"/>
    </w:pPr>
  </w:style>
  <w:style w:type="paragraph" w:styleId="915">
    <w:name w:val="toc 3"/>
    <w:basedOn w:val="924"/>
    <w:next w:val="924"/>
    <w:uiPriority w:val="39"/>
    <w:unhideWhenUsed/>
    <w:pPr>
      <w:ind w:left="567" w:right="0" w:firstLine="0"/>
      <w:spacing w:after="57"/>
    </w:p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link w:val="953"/>
    <w:uiPriority w:val="0"/>
    <w:qFormat/>
    <w:pPr>
      <w:jc w:val="both"/>
      <w:widowControl w:val="off"/>
    </w:pPr>
    <w:rPr>
      <w:rFonts w:ascii="Times New Roman" w:hAnsi="Times New Roman" w:eastAsia="楷体_GB2312" w:cs="Times New Roman"/>
      <w:sz w:val="26"/>
      <w:lang w:val="en-US" w:eastAsia="zh-CN" w:bidi="ar-SA"/>
    </w:rPr>
  </w:style>
  <w:style w:type="paragraph" w:styleId="925">
    <w:name w:val="Heading 1"/>
    <w:basedOn w:val="924"/>
    <w:next w:val="924"/>
    <w:uiPriority w:val="0"/>
    <w:qFormat/>
    <w:pPr>
      <w:ind w:left="432" w:firstLine="18"/>
      <w:spacing w:before="340" w:after="330" w:line="578" w:lineRule="auto"/>
      <w:outlineLvl w:val="0"/>
    </w:pPr>
    <w:rPr>
      <w:rFonts w:ascii="Calibri" w:hAnsi="Calibri" w:eastAsia="宋体"/>
    </w:rPr>
  </w:style>
  <w:style w:type="paragraph" w:styleId="926">
    <w:name w:val="Heading 2"/>
    <w:basedOn w:val="924"/>
    <w:next w:val="924"/>
    <w:uiPriority w:val="0"/>
    <w:qFormat/>
    <w:pPr>
      <w:jc w:val="center"/>
      <w:keepLines/>
      <w:keepNext/>
      <w:outlineLvl w:val="1"/>
    </w:pPr>
    <w:rPr>
      <w:rFonts w:ascii="宋体" w:hAnsi="宋体"/>
      <w:b/>
      <w:sz w:val="44"/>
    </w:rPr>
  </w:style>
  <w:style w:type="paragraph" w:styleId="927">
    <w:name w:val="Heading 4"/>
    <w:basedOn w:val="924"/>
    <w:next w:val="924"/>
    <w:uiPriority w:val="0"/>
    <w:qFormat/>
    <w:pPr>
      <w:tabs>
        <w:tab w:val="left" w:pos="709" w:leader="none"/>
        <w:tab w:val="left" w:pos="993" w:leader="none"/>
      </w:tabs>
      <w:outlineLvl w:val="3"/>
    </w:pPr>
  </w:style>
  <w:style w:type="character" w:styleId="928" w:default="1">
    <w:name w:val="Default Paragraph Font"/>
    <w:uiPriority w:val="1"/>
    <w:semiHidden/>
    <w:unhideWhenUsed/>
    <w:qFormat/>
  </w:style>
  <w:style w:type="table" w:styleId="929" w:default="1">
    <w:name w:val="Normal Table"/>
    <w:uiPriority w:val="99"/>
    <w:semiHidden/>
    <w:unhideWhenUsed/>
    <w:qFormat/>
    <w:tblPr>
      <w:tblCellMar>
        <w:left w:w="108" w:type="dxa"/>
        <w:top w:w="0" w:type="dxa"/>
        <w:right w:w="108" w:type="dxa"/>
        <w:bottom w:w="0" w:type="dxa"/>
      </w:tblCellMar>
    </w:tblPr>
  </w:style>
  <w:style w:type="paragraph" w:styleId="930">
    <w:name w:val="Normal Indent"/>
    <w:basedOn w:val="924"/>
    <w:next w:val="924"/>
    <w:uiPriority w:val="0"/>
    <w:qFormat/>
    <w:pPr>
      <w:ind w:left="420" w:firstLine="4772"/>
    </w:pPr>
  </w:style>
  <w:style w:type="paragraph" w:styleId="931">
    <w:name w:val="Document Map"/>
    <w:basedOn w:val="924"/>
    <w:uiPriority w:val="0"/>
    <w:qFormat/>
    <w:pPr>
      <w:shd w:val="clear" w:color="auto" w:fill="000080"/>
    </w:pPr>
    <w:rPr>
      <w:rFonts w:eastAsia="@楷体_GB2312"/>
    </w:rPr>
  </w:style>
  <w:style w:type="paragraph" w:styleId="932">
    <w:name w:val="annotation text"/>
    <w:basedOn w:val="924"/>
    <w:uiPriority w:val="0"/>
    <w:qFormat/>
    <w:pPr>
      <w:jc w:val="left"/>
    </w:pPr>
  </w:style>
  <w:style w:type="paragraph" w:styleId="933">
    <w:name w:val="Body Text"/>
    <w:basedOn w:val="924"/>
    <w:uiPriority w:val="0"/>
    <w:qFormat/>
    <w:pPr>
      <w:ind w:firstLine="2560"/>
    </w:pPr>
  </w:style>
  <w:style w:type="paragraph" w:styleId="934">
    <w:name w:val="Body Text Indent"/>
    <w:basedOn w:val="924"/>
    <w:uiPriority w:val="0"/>
    <w:qFormat/>
    <w:pPr>
      <w:ind w:left="420"/>
      <w:spacing w:after="120"/>
    </w:pPr>
  </w:style>
  <w:style w:type="paragraph" w:styleId="935">
    <w:name w:val="Footer"/>
    <w:basedOn w:val="924"/>
    <w:uiPriority w:val="99"/>
    <w:unhideWhenUsed/>
    <w:qFormat/>
    <w:pPr>
      <w:tabs>
        <w:tab w:val="center" w:pos="7143" w:leader="none"/>
        <w:tab w:val="right" w:pos="14287" w:leader="none"/>
      </w:tabs>
    </w:pPr>
  </w:style>
  <w:style w:type="paragraph" w:styleId="936">
    <w:name w:val="Header"/>
    <w:basedOn w:val="924"/>
    <w:uiPriority w:val="99"/>
    <w:unhideWhenUsed/>
    <w:qFormat/>
    <w:pPr>
      <w:tabs>
        <w:tab w:val="center" w:pos="7143" w:leader="none"/>
        <w:tab w:val="right" w:pos="14287" w:leader="none"/>
      </w:tabs>
    </w:pPr>
  </w:style>
  <w:style w:type="paragraph" w:styleId="937">
    <w:name w:val="toc 1"/>
    <w:basedOn w:val="924"/>
    <w:next w:val="924"/>
    <w:uiPriority w:val="39"/>
    <w:qFormat/>
    <w:pPr>
      <w:jc w:val="left"/>
    </w:pPr>
    <w:rPr>
      <w:sz w:val="24"/>
    </w:rPr>
  </w:style>
  <w:style w:type="paragraph" w:styleId="938">
    <w:name w:val="Normal (Web)"/>
    <w:basedOn w:val="924"/>
    <w:uiPriority w:val="0"/>
    <w:qFormat/>
    <w:pPr>
      <w:jc w:val="left"/>
      <w:spacing w:before="100" w:beforeAutospacing="1" w:after="100" w:afterAutospacing="1"/>
      <w:widowControl/>
    </w:pPr>
    <w:rPr>
      <w:rFonts w:ascii="宋体" w:hAnsi="宋体" w:eastAsia="宋体" w:cs="宋体"/>
      <w:sz w:val="24"/>
      <w:szCs w:val="24"/>
    </w:rPr>
  </w:style>
  <w:style w:type="table" w:styleId="939">
    <w:name w:val="Table Grid"/>
    <w:basedOn w:val="92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0">
    <w:name w:val="FollowedHyperlink"/>
    <w:basedOn w:val="928"/>
    <w:uiPriority w:val="0"/>
    <w:qFormat/>
    <w:rPr>
      <w:color w:val="333333"/>
      <w:u w:val="none"/>
    </w:rPr>
  </w:style>
  <w:style w:type="character" w:styleId="941">
    <w:name w:val="Emphasis"/>
    <w:basedOn w:val="928"/>
    <w:uiPriority w:val="0"/>
    <w:qFormat/>
  </w:style>
  <w:style w:type="character" w:styleId="942">
    <w:name w:val="Hyperlink"/>
    <w:basedOn w:val="928"/>
    <w:uiPriority w:val="0"/>
    <w:qFormat/>
    <w:rPr>
      <w:color w:val="333333"/>
      <w:u w:val="none"/>
    </w:rPr>
  </w:style>
  <w:style w:type="paragraph" w:styleId="943" w:customStyle="1">
    <w:name w:val="正文文本缩进11"/>
    <w:basedOn w:val="924"/>
    <w:next w:val="924"/>
    <w:uiPriority w:val="0"/>
    <w:qFormat/>
    <w:pPr>
      <w:ind w:left="420" w:firstLine="1188"/>
      <w:spacing w:line="360" w:lineRule="exact"/>
    </w:pPr>
    <w:rPr>
      <w:rFonts w:ascii="Times New Roman" w:hAnsi="Times New Roman" w:cs="Times New Roman"/>
    </w:rPr>
  </w:style>
  <w:style w:type="paragraph" w:styleId="944" w:customStyle="1">
    <w:name w:val="正文1"/>
    <w:basedOn w:val="924"/>
    <w:next w:val="924"/>
    <w:uiPriority w:val="0"/>
    <w:qFormat/>
    <w:pPr>
      <w:ind w:left="420" w:firstLine="527"/>
      <w:spacing w:before="120" w:line="360" w:lineRule="auto"/>
    </w:pPr>
    <w:rPr>
      <w:rFonts w:ascii="宋体" w:hAnsi="宋体"/>
    </w:rPr>
  </w:style>
  <w:style w:type="paragraph" w:styleId="945" w:customStyle="1">
    <w:name w:val="正文文本缩进1"/>
    <w:basedOn w:val="924"/>
    <w:uiPriority w:val="0"/>
    <w:qFormat/>
    <w:pPr>
      <w:ind w:left="420" w:firstLine="1188"/>
      <w:spacing w:before="0" w:after="0" w:line="360" w:lineRule="exact"/>
    </w:pPr>
  </w:style>
  <w:style w:type="paragraph" w:styleId="946" w:customStyle="1">
    <w:name w:val="段"/>
    <w:next w:val="924"/>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947" w:customStyle="1">
    <w:name w:val="首行缩进"/>
    <w:basedOn w:val="924"/>
    <w:uiPriority w:val="0"/>
    <w:qFormat/>
    <w:pPr>
      <w:ind w:left="1024" w:firstLine="480"/>
      <w:widowControl/>
    </w:pPr>
    <w:rPr>
      <w:rFonts w:ascii="Calibri" w:hAnsi="Calibri"/>
      <w:sz w:val="20"/>
      <w:lang w:val="zh-CN"/>
    </w:rPr>
  </w:style>
  <w:style w:type="paragraph" w:styleId="948" w:customStyle="1">
    <w:name w:val="Plain Text1"/>
    <w:basedOn w:val="924"/>
    <w:uiPriority w:val="0"/>
    <w:qFormat/>
    <w:rPr>
      <w:rFonts w:ascii="宋体" w:hAnsi="Courier New"/>
    </w:rPr>
  </w:style>
  <w:style w:type="paragraph" w:styleId="949" w:customStyle="1">
    <w:name w:val="日期1"/>
    <w:basedOn w:val="924"/>
    <w:next w:val="924"/>
    <w:uiPriority w:val="0"/>
    <w:qFormat/>
    <w:rPr>
      <w:rFonts w:ascii="宋体" w:hAnsi="宋体"/>
      <w:sz w:val="24"/>
    </w:rPr>
  </w:style>
  <w:style w:type="paragraph" w:styleId="950" w:customStyle="1">
    <w:name w:val="正文缩进1"/>
    <w:basedOn w:val="924"/>
    <w:uiPriority w:val="0"/>
    <w:qFormat/>
    <w:pPr>
      <w:ind w:firstLine="420"/>
      <w:jc w:val="left"/>
    </w:pPr>
    <w:rPr>
      <w:sz w:val="24"/>
    </w:rPr>
  </w:style>
  <w:style w:type="paragraph" w:styleId="951" w:customStyle="1">
    <w:name w:val="标题 11"/>
    <w:basedOn w:val="924"/>
    <w:next w:val="924"/>
    <w:uiPriority w:val="0"/>
    <w:qFormat/>
    <w:pPr>
      <w:keepLines/>
      <w:keepNext/>
      <w:spacing w:before="340" w:after="330" w:line="578" w:lineRule="auto"/>
      <w:outlineLvl w:val="0"/>
    </w:pPr>
    <w:rPr>
      <w:b/>
      <w:sz w:val="44"/>
    </w:rPr>
  </w:style>
  <w:style w:type="paragraph" w:styleId="952" w:customStyle="1">
    <w:name w:val="纯文本111"/>
    <w:basedOn w:val="924"/>
    <w:uiPriority w:val="0"/>
    <w:qFormat/>
    <w:rPr>
      <w:rFonts w:ascii="宋体" w:hAnsi="Courier New"/>
    </w:rPr>
  </w:style>
  <w:style w:type="character" w:styleId="953" w:customStyle="1">
    <w:name w:val="NormalCharacter1"/>
    <w:link w:val="924"/>
    <w:uiPriority w:val="0"/>
    <w:semiHidden/>
    <w:qFormat/>
    <w:rPr>
      <w:rFonts w:ascii="Times New Roman" w:hAnsi="Times New Roman" w:eastAsia="楷体_GB2312" w:cs="Times New Roman"/>
      <w:sz w:val="26"/>
      <w:lang w:val="en-US" w:eastAsia="zh-CN" w:bidi="ar-SA"/>
    </w:rPr>
  </w:style>
  <w:style w:type="paragraph" w:styleId="954" w:customStyle="1">
    <w:name w:val="纯文本1"/>
    <w:basedOn w:val="924"/>
    <w:uiPriority w:val="0"/>
    <w:qFormat/>
    <w:rPr>
      <w:rFonts w:ascii="宋体" w:hAnsi="Courier New"/>
    </w:rPr>
  </w:style>
  <w:style w:type="paragraph" w:styleId="955" w:customStyle="1">
    <w:name w:val="_正文段落"/>
    <w:basedOn w:val="924"/>
    <w:uiPriority w:val="0"/>
    <w:qFormat/>
    <w:pPr>
      <w:ind w:firstLine="200"/>
      <w:spacing w:line="360" w:lineRule="auto"/>
    </w:pPr>
    <w:rPr>
      <w:rFonts w:eastAsia="宋体"/>
      <w:sz w:val="24"/>
      <w:szCs w:val="24"/>
    </w:rPr>
  </w:style>
  <w:style w:type="paragraph" w:styleId="956" w:customStyle="1">
    <w:name w:val="Andy_正文"/>
    <w:basedOn w:val="924"/>
    <w:uiPriority w:val="0"/>
    <w:qFormat/>
    <w:pPr>
      <w:ind w:firstLine="480"/>
      <w:spacing w:line="360" w:lineRule="auto"/>
    </w:pPr>
    <w:rPr>
      <w:rFonts w:ascii="Calibri" w:hAnsi="Calibri" w:eastAsia="宋体"/>
      <w:sz w:val="24"/>
      <w:szCs w:val="24"/>
    </w:rPr>
  </w:style>
  <w:style w:type="paragraph" w:styleId="957" w:customStyle="1">
    <w:name w:val="UserStyle_28"/>
    <w:basedOn w:val="924"/>
    <w:uiPriority w:val="0"/>
    <w:qFormat/>
    <w:pPr>
      <w:ind w:firstLine="480"/>
      <w:spacing w:line="360" w:lineRule="auto"/>
    </w:pPr>
    <w:rPr>
      <w:rFonts w:ascii="Calibri" w:hAnsi="Calibri" w:eastAsia="宋体"/>
      <w:sz w:val="24"/>
    </w:rPr>
  </w:style>
  <w:style w:type="paragraph" w:styleId="958" w:customStyle="1">
    <w:name w:val="普通(网站)1"/>
    <w:basedOn w:val="924"/>
    <w:uiPriority w:val="99"/>
    <w:qFormat/>
    <w:pPr>
      <w:jc w:val="left"/>
      <w:spacing w:before="100" w:beforeAutospacing="1" w:after="100" w:afterAutospacing="1"/>
      <w:widowControl/>
    </w:pPr>
    <w:rPr>
      <w:rFonts w:ascii="宋体" w:hAnsi="宋体" w:eastAsia="宋体" w:cs="宋体"/>
      <w:sz w:val="24"/>
      <w:szCs w:val="24"/>
    </w:rPr>
  </w:style>
  <w:style w:type="paragraph" w:styleId="959" w:customStyle="1">
    <w:name w:val="页眉1"/>
    <w:basedOn w:val="924"/>
    <w:uiPriority w:val="99"/>
    <w:qFormat/>
    <w:pPr>
      <w:jc w:val="center"/>
      <w:tabs>
        <w:tab w:val="center" w:pos="4153" w:leader="none"/>
        <w:tab w:val="right" w:pos="8306" w:leader="none"/>
      </w:tabs>
      <w:pBdr>
        <w:bottom w:val="single" w:color="000000" w:sz="6" w:space="1"/>
      </w:pBdr>
    </w:pPr>
    <w:rPr>
      <w:sz w:val="18"/>
    </w:rPr>
  </w:style>
  <w:style w:type="paragraph" w:styleId="960" w:customStyle="1">
    <w:name w:val="页脚1"/>
    <w:basedOn w:val="951"/>
    <w:next w:val="961"/>
    <w:uiPriority w:val="99"/>
    <w:qFormat/>
    <w:pPr>
      <w:jc w:val="left"/>
      <w:tabs>
        <w:tab w:val="center" w:pos="4153" w:leader="none"/>
        <w:tab w:val="right" w:pos="8306" w:leader="none"/>
      </w:tabs>
    </w:pPr>
    <w:rPr>
      <w:sz w:val="18"/>
    </w:rPr>
  </w:style>
  <w:style w:type="paragraph" w:styleId="961" w:customStyle="1">
    <w:name w:val="Char Char Char Char Char Char Char Char Char Char Char Char Char"/>
    <w:basedOn w:val="951"/>
    <w:next w:val="924"/>
    <w:uiPriority w:val="0"/>
    <w:qFormat/>
    <w:pPr>
      <w:ind w:firstLine="3584"/>
      <w:spacing w:before="0" w:after="160" w:line="240" w:lineRule="exact"/>
    </w:pPr>
  </w:style>
  <w:style w:type="character" w:styleId="962" w:customStyle="1">
    <w:name w:val="NormalCharacter"/>
    <w:basedOn w:val="928"/>
    <w:link w:val="963"/>
    <w:uiPriority w:val="0"/>
    <w:semiHidden/>
    <w:qFormat/>
    <w:rPr>
      <w:rFonts w:ascii="Calibri" w:hAnsi="Calibri" w:eastAsia="宋体" w:cs="Times New Roman"/>
    </w:rPr>
  </w:style>
  <w:style w:type="paragraph" w:styleId="963" w:customStyle="1">
    <w:name w:val="UserStyle_3"/>
    <w:basedOn w:val="924"/>
    <w:link w:val="962"/>
    <w:uiPriority w:val="0"/>
    <w:qFormat/>
    <w:pPr>
      <w:ind w:left="0"/>
      <w:jc w:val="left"/>
      <w:spacing w:line="360" w:lineRule="auto"/>
      <w:shd w:val="clear" w:color="auto" w:fill="000080"/>
    </w:pPr>
    <w:rPr>
      <w:rFonts w:ascii="Calibri" w:hAnsi="Calibri" w:eastAsia="宋体" w:cs="Times New Roman"/>
    </w:rPr>
  </w:style>
  <w:style w:type="paragraph" w:styleId="964" w:customStyle="1">
    <w:name w:val="NormalIndent"/>
    <w:basedOn w:val="924"/>
    <w:uiPriority w:val="0"/>
    <w:qFormat/>
    <w:pPr>
      <w:ind w:firstLine="420"/>
      <w:jc w:val="left"/>
    </w:pPr>
    <w:rPr>
      <w:sz w:val="24"/>
    </w:rPr>
  </w:style>
  <w:style w:type="paragraph" w:styleId="965" w:customStyle="1">
    <w:name w:val="纯文本2"/>
    <w:uiPriority w:val="0"/>
    <w:qFormat/>
    <w:pPr>
      <w:jc w:val="both"/>
      <w:widowControl w:val="off"/>
    </w:pPr>
    <w:rPr>
      <w:rFonts w:ascii="宋体" w:hAnsi="宋体" w:eastAsia="宋体" w:cs="宋体"/>
      <w:color w:val="000000"/>
      <w:sz w:val="26"/>
      <w:szCs w:val="26"/>
      <w:lang w:val="en-US" w:eastAsia="zh-CN" w:bidi="ar-SA"/>
    </w:rPr>
  </w:style>
  <w:style w:type="table" w:styleId="966" w:customStyle="1">
    <w:name w:val="Table Normal"/>
    <w:uiPriority w:val="0"/>
    <w:semiHidden/>
    <w:unhideWhenUsed/>
    <w:qFormat/>
    <w:tblPr>
      <w:tblCellMar>
        <w:left w:w="0" w:type="dxa"/>
        <w:top w:w="0" w:type="dxa"/>
        <w:right w:w="0" w:type="dxa"/>
        <w:bottom w:w="0" w:type="dxa"/>
      </w:tblCellMar>
    </w:tblPr>
  </w:style>
  <w:style w:type="paragraph" w:styleId="967" w:customStyle="1">
    <w:name w:val="纯文本11"/>
    <w:basedOn w:val="924"/>
    <w:uiPriority w:val="0"/>
    <w:qFormat/>
    <w:pPr>
      <w:jc w:val="both"/>
      <w:widowControl w:val="off"/>
    </w:pPr>
    <w:rPr>
      <w:rFonts w:ascii="宋体" w:hAnsi="Courier New" w:eastAsia="楷体_GB2312"/>
      <w:sz w:val="26"/>
      <w:szCs w:val="20"/>
    </w:rPr>
  </w:style>
  <w:style w:type="paragraph" w:styleId="968" w:customStyle="1">
    <w:name w:val="文本块1"/>
    <w:basedOn w:val="924"/>
    <w:uiPriority w:val="99"/>
    <w:unhideWhenUsed/>
    <w:qFormat/>
    <w:pPr>
      <w:ind w:left="1440" w:right="1440"/>
      <w:spacing w:after="120"/>
    </w:pPr>
    <w:rPr>
      <w:sz w:val="24"/>
    </w:rPr>
  </w:style>
  <w:style w:type="paragraph" w:styleId="969" w:customStyle="1">
    <w:name w:val="正文（缩进）"/>
    <w:basedOn w:val="924"/>
    <w:uiPriority w:val="99"/>
    <w:qFormat/>
    <w:pPr>
      <w:ind w:firstLine="480"/>
    </w:pPr>
  </w:style>
  <w:style w:type="paragraph" w:styleId="970" w:customStyle="1">
    <w:name w:val="正文首行缩进 21"/>
    <w:basedOn w:val="945"/>
    <w:uiPriority w:val="0"/>
    <w:qFormat/>
    <w:pPr>
      <w:ind w:left="0" w:firstLine="420"/>
      <w:spacing w:after="0" w:line="360" w:lineRule="auto"/>
    </w:pPr>
    <w:rPr>
      <w:rFonts w:ascii="宋体" w:hAnsi="宋体" w:eastAsia="宋体" w:cs="Times New Roman"/>
      <w:szCs w:val="20"/>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月亮小饼干</dc:creator>
  <cp:lastModifiedBy>许菊根</cp:lastModifiedBy>
  <cp:revision>7</cp:revision>
  <dcterms:created xsi:type="dcterms:W3CDTF">2024-04-02T08:45:00Z</dcterms:created>
  <dcterms:modified xsi:type="dcterms:W3CDTF">2026-06-10T06:32:14Z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BFC0C4EC4C23414F913F1AE6213674B3_13</vt:lpwstr>
  </property>
  <property fmtid="{D5CDD505-2E9C-101B-9397-08002B2CF9AE}" pid="4" name="KSOTemplateDocerSaveRecord">
    <vt:lpwstr>eyJoZGlkIjoiZDlmOWVkMWIzMTNhMTc5OTI4NWM5ZjI5OWEwZjk2NmUiLCJ1c2VySWQiOiIzOTQ4NTMzMjYifQ==</vt:lpwstr>
  </property>
</Properties>
</file>