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color w:val="auto"/>
          <w:sz w:val="84"/>
          <w:highlight w:val="none"/>
          <w:lang w:val="en-US" w:eastAsia="zh-CN"/>
        </w:rPr>
      </w:pPr>
      <w:r>
        <w:rPr>
          <w:rFonts w:hint="eastAsia" w:ascii="宋体" w:hAnsi="宋体" w:eastAsia="宋体" w:cs="宋体"/>
          <w:b/>
          <w:color w:val="auto"/>
          <w:sz w:val="84"/>
          <w:highlight w:val="none"/>
          <w:lang w:val="en-US" w:eastAsia="zh-CN"/>
        </w:rPr>
        <w:t xml:space="preserve">                                                                                                        </w:t>
      </w:r>
      <w:r/>
    </w:p>
    <w:p>
      <w:pPr>
        <w:jc w:val="center"/>
        <w:spacing w:line="360" w:lineRule="auto"/>
        <w:rPr>
          <w:rFonts w:hint="eastAsia" w:ascii="宋体" w:hAnsi="宋体" w:cs="宋体"/>
          <w:b/>
          <w:color w:val="auto"/>
          <w:sz w:val="84"/>
          <w:highlight w:val="none"/>
          <w:lang w:val="en-US" w:eastAsia="zh-CN"/>
        </w:rPr>
      </w:pPr>
      <w:r>
        <w:rPr>
          <w:rFonts w:hint="eastAsia" w:ascii="宋体" w:hAnsi="宋体" w:eastAsia="宋体" w:cs="宋体"/>
          <w:b/>
          <w:color w:val="auto"/>
          <w:sz w:val="84"/>
          <w:highlight w:val="none"/>
        </w:rPr>
        <w:t xml:space="preserve">招   标   文   件</w:t>
      </w:r>
      <w:r/>
    </w:p>
    <w:p>
      <w:pPr>
        <w:jc w:val="center"/>
        <w:spacing w:line="360" w:lineRule="auto"/>
        <w:rPr>
          <w:rFonts w:hint="eastAsia" w:ascii="宋体" w:hAnsi="宋体" w:cs="宋体"/>
          <w:b/>
          <w:color w:val="auto"/>
          <w:sz w:val="84"/>
          <w:highlight w:val="none"/>
          <w:lang w:val="en-US" w:eastAsia="zh-CN"/>
        </w:rPr>
      </w:pPr>
      <w:r>
        <w:rPr>
          <w:rFonts w:hint="eastAsia" w:ascii="宋体" w:hAnsi="宋体" w:cs="宋体"/>
          <w:b/>
          <w:color w:val="auto"/>
          <w:sz w:val="84"/>
          <w:highlight w:val="none"/>
          <w:lang w:val="en-US" w:eastAsia="zh-CN"/>
        </w:rPr>
      </w:r>
      <w:r/>
    </w:p>
    <w:p>
      <w:pPr>
        <w:jc w:val="center"/>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43"/>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61"/>
        <w:jc w:val="both"/>
        <w:spacing w:line="360" w:lineRule="auto"/>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rPr>
        <w:t xml:space="preserve">项目编号：</w:t>
      </w:r>
      <w:r>
        <w:rPr>
          <w:rFonts w:hint="eastAsia" w:ascii="宋体" w:hAnsi="宋体" w:cs="宋体"/>
          <w:b/>
          <w:color w:val="auto"/>
          <w:sz w:val="36"/>
          <w:highlight w:val="none"/>
          <w:lang w:eastAsia="zh-CN"/>
        </w:rPr>
        <w:t xml:space="preserve">JSZC-321183-DDTC-G2026-0001</w:t>
      </w:r>
      <w:r/>
    </w:p>
    <w:p>
      <w:pP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b/>
          <w:color w:val="auto"/>
          <w:sz w:val="36"/>
          <w:highlight w:val="none"/>
          <w:lang w:eastAsia="zh-CN"/>
        </w:rPr>
      </w:pPr>
      <w:r>
        <w:rPr>
          <w:rFonts w:hint="eastAsia" w:ascii="宋体" w:hAnsi="宋体" w:eastAsia="宋体" w:cs="宋体"/>
          <w:b/>
          <w:color w:val="auto"/>
          <w:sz w:val="36"/>
          <w:szCs w:val="36"/>
          <w:highlight w:val="none"/>
        </w:rPr>
        <w:t xml:space="preserve">项目名称</w:t>
      </w:r>
      <w:r>
        <w:rPr>
          <w:rFonts w:hint="eastAsia" w:ascii="宋体" w:hAnsi="宋体" w:eastAsia="宋体" w:cs="宋体"/>
          <w:color w:val="auto"/>
          <w:sz w:val="36"/>
          <w:szCs w:val="36"/>
          <w:highlight w:val="none"/>
        </w:rPr>
        <w:t xml:space="preserve">：</w:t>
      </w:r>
      <w:r>
        <w:rPr>
          <w:rFonts w:hint="eastAsia" w:ascii="宋体" w:hAnsi="宋体" w:cs="宋体"/>
          <w:b/>
          <w:color w:val="auto"/>
          <w:sz w:val="36"/>
          <w:highlight w:val="none"/>
          <w:lang w:eastAsia="zh-CN"/>
        </w:rPr>
        <w:t xml:space="preserve">宝华新城实验幼儿园教育教学设备设施、办公家具采购</w:t>
      </w:r>
      <w:r>
        <w:rPr>
          <w:rFonts w:hint="eastAsia" w:ascii="宋体" w:hAnsi="宋体" w:eastAsia="宋体" w:cs="宋体"/>
          <w:b/>
          <w:color w:val="auto"/>
          <w:sz w:val="36"/>
          <w:highlight w:val="none"/>
          <w:lang w:eastAsia="zh-CN"/>
        </w:rPr>
        <w:t xml:space="preserve"> </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b/>
          <w:color w:val="auto"/>
          <w:sz w:val="36"/>
          <w:highlight w:val="none"/>
        </w:rPr>
      </w:pPr>
      <w:r/>
      <w:bookmarkStart w:id="0" w:name="EB741dc7ac76b840eda3655487e97e50de"/>
      <w:r/>
      <w:bookmarkEnd w:id="0"/>
      <w:r/>
      <w:r/>
    </w:p>
    <w:p>
      <w:pPr>
        <w:jc w:val="center"/>
        <w:spacing w:line="360" w:lineRule="auto"/>
        <w:rPr>
          <w:rFonts w:hint="eastAsia" w:ascii="宋体" w:hAnsi="宋体" w:cs="宋体"/>
          <w:b/>
          <w:color w:val="auto"/>
          <w:sz w:val="36"/>
          <w:highlight w:val="none"/>
          <w:lang w:eastAsia="zh-CN"/>
        </w:rPr>
      </w:pPr>
      <w:r/>
      <w:bookmarkStart w:id="1" w:name="EBeeeac7429c024d7f89f845ec6ed233d6"/>
      <w:r>
        <w:rPr>
          <w:rFonts w:hint="eastAsia" w:ascii="宋体" w:hAnsi="宋体" w:cs="宋体"/>
          <w:b/>
          <w:color w:val="auto"/>
          <w:sz w:val="36"/>
          <w:highlight w:val="none"/>
          <w:lang w:eastAsia="zh-CN"/>
        </w:rPr>
        <w:t xml:space="preserve">德道天诚（南京）房地产评估咨询有限公司</w:t>
      </w:r>
      <w:bookmarkEnd w:id="1"/>
      <w:r/>
    </w:p>
    <w:p>
      <w:pPr>
        <w:jc w:val="center"/>
        <w:spacing w:line="360" w:lineRule="auto"/>
        <w:rPr>
          <w:rFonts w:ascii="宋体" w:hAnsi="宋体" w:eastAsia="宋体" w:cs="宋体"/>
          <w:b/>
          <w:color w:val="auto"/>
          <w:sz w:val="36"/>
          <w:szCs w:val="22"/>
          <w:highlight w:val="none"/>
        </w:rPr>
      </w:pPr>
      <w:r>
        <w:rPr>
          <w:rFonts w:hint="eastAsia" w:ascii="宋体" w:hAnsi="宋体" w:cs="宋体"/>
          <w:b/>
          <w:color w:val="auto"/>
          <w:sz w:val="36"/>
          <w:szCs w:val="22"/>
          <w:highlight w:val="none"/>
          <w:lang w:eastAsia="zh-CN"/>
        </w:rPr>
        <w:t xml:space="preserve">2026-</w:t>
      </w:r>
      <w:r>
        <w:rPr>
          <w:rFonts w:hint="eastAsia" w:ascii="宋体" w:hAnsi="宋体" w:cs="宋体"/>
          <w:b/>
          <w:color w:val="auto"/>
          <w:sz w:val="36"/>
          <w:szCs w:val="22"/>
          <w:highlight w:val="none"/>
          <w:lang w:val="en-US" w:eastAsia="zh-CN"/>
        </w:rPr>
        <w:t xml:space="preserve">6</w:t>
      </w:r>
      <w:r>
        <w:rPr>
          <w:rFonts w:hint="eastAsia" w:ascii="宋体" w:hAnsi="宋体" w:cs="宋体"/>
          <w:b/>
          <w:color w:val="auto"/>
          <w:sz w:val="36"/>
          <w:szCs w:val="22"/>
          <w:highlight w:val="none"/>
          <w:lang w:eastAsia="zh-CN"/>
        </w:rPr>
        <w:t xml:space="preserve">-</w:t>
      </w:r>
      <w:r>
        <w:rPr>
          <w:rFonts w:hint="eastAsia" w:ascii="宋体" w:hAnsi="宋体" w:cs="宋体"/>
          <w:b/>
          <w:color w:val="auto"/>
          <w:sz w:val="36"/>
          <w:szCs w:val="22"/>
          <w:highlight w:val="none"/>
          <w:lang w:val="en-US" w:eastAsia="zh-CN"/>
        </w:rPr>
        <w:t xml:space="preserve">8</w:t>
      </w:r>
      <w:r/>
    </w:p>
    <w:p>
      <w:pP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both"/>
        <w:spacing w:line="360" w:lineRule="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jc w:val="center"/>
        <w:spacing w:line="360" w:lineRule="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jc w:val="center"/>
        <w:spacing w:line="360" w:lineRule="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t xml:space="preserve">招标文件目录</w:t>
      </w:r>
      <w:r/>
    </w:p>
    <w:p>
      <w:pPr>
        <w:ind w:firstLine="883"/>
        <w:jc w:val="center"/>
        <w:spacing w:line="360" w:lineRule="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第一部分    投标邀请   </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第二部分    投标人须知                  </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第三部分    拟签订的合同文本</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第四部分    采购需求</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第五部分    评标办法和标准</w:t>
      </w:r>
      <w:r/>
    </w:p>
    <w:p>
      <w:pPr>
        <w:jc w:val="left"/>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第六部分    投标文件（格式）</w:t>
      </w:r>
      <w:r/>
    </w:p>
    <w:p>
      <w:pPr>
        <w:pStyle w:val="844"/>
        <w:ind w:left="779" w:right="900" w:firstLine="420"/>
        <w:jc w:val="center"/>
        <w:keepLines w:val="0"/>
        <w:keepNext w:val="0"/>
        <w:spacing w:before="200" w:after="200"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0"/>
          <w:highlight w:val="none"/>
        </w:rPr>
        <w:br w:type="page" w:clear="all"/>
      </w:r>
      <w:bookmarkStart w:id="2" w:name="_Toc20732967"/>
      <w:r/>
      <w:bookmarkStart w:id="3" w:name="_Toc100386033"/>
      <w:r/>
      <w:bookmarkStart w:id="4" w:name="_Toc92167999"/>
      <w:r>
        <w:rPr>
          <w:rFonts w:hint="eastAsia" w:ascii="宋体" w:hAnsi="宋体" w:eastAsia="宋体" w:cs="宋体"/>
          <w:color w:val="auto"/>
          <w:sz w:val="36"/>
          <w:szCs w:val="36"/>
          <w:highlight w:val="none"/>
        </w:rPr>
        <w:t xml:space="preserve">第一部分  投标邀请</w:t>
      </w:r>
      <w:bookmarkEnd w:id="2"/>
      <w:r/>
      <w:bookmarkEnd w:id="3"/>
      <w:r/>
      <w:bookmarkEnd w:id="4"/>
      <w:r/>
      <w:r/>
    </w:p>
    <w:p>
      <w:pPr>
        <w:ind w:firstLine="480"/>
        <w:spacing w:line="360" w:lineRule="auto"/>
        <w:rPr>
          <w:rFonts w:hint="eastAsia" w:ascii="宋体" w:hAnsi="宋体" w:eastAsia="宋体" w:cs="宋体"/>
          <w:color w:val="auto"/>
          <w:sz w:val="24"/>
          <w:szCs w:val="28"/>
          <w:highlight w:val="none"/>
        </w:rPr>
        <w:pBdr>
          <w:top w:val="single" w:color="000000" w:sz="4" w:space="1"/>
          <w:left w:val="single" w:color="000000" w:sz="4" w:space="4"/>
          <w:bottom w:val="single" w:color="000000" w:sz="4" w:space="1"/>
          <w:right w:val="single" w:color="000000" w:sz="4" w:space="4"/>
        </w:pBdr>
      </w:pPr>
      <w:r/>
      <w:bookmarkStart w:id="5" w:name="_Toc92168010"/>
      <w:r/>
      <w:bookmarkStart w:id="6" w:name="_Toc20732978"/>
      <w:r/>
      <w:bookmarkStart w:id="7" w:name="_Toc98669699"/>
      <w:r/>
      <w:bookmarkStart w:id="8" w:name="_Toc98669341"/>
      <w:r/>
      <w:bookmarkStart w:id="9" w:name="_Toc100386044"/>
      <w:r>
        <w:rPr>
          <w:rFonts w:hint="eastAsia" w:ascii="宋体" w:hAnsi="宋体" w:eastAsia="宋体" w:cs="宋体"/>
          <w:color w:val="auto"/>
          <w:sz w:val="24"/>
          <w:szCs w:val="28"/>
          <w:highlight w:val="none"/>
        </w:rPr>
        <w:t xml:space="preserve">项目概况</w:t>
      </w:r>
      <w:r/>
    </w:p>
    <w:p>
      <w:pPr>
        <w:ind w:firstLine="480"/>
        <w:spacing w:line="360" w:lineRule="auto"/>
        <w:rPr>
          <w:rFonts w:hint="eastAsia" w:ascii="宋体" w:hAnsi="宋体" w:eastAsia="宋体" w:cs="宋体"/>
          <w:color w:val="auto"/>
          <w:sz w:val="24"/>
          <w:szCs w:val="28"/>
          <w:highlight w:val="none"/>
          <w:u w:val="single"/>
        </w:rPr>
        <w:pBdr>
          <w:top w:val="single" w:color="000000" w:sz="4" w:space="0"/>
          <w:left w:val="single" w:color="000000" w:sz="4" w:space="3"/>
          <w:bottom w:val="single" w:color="000000" w:sz="4" w:space="0"/>
          <w:right w:val="single" w:color="000000" w:sz="4" w:space="3"/>
        </w:pBdr>
      </w:pPr>
      <w:r>
        <w:rPr>
          <w:rFonts w:hint="eastAsia" w:ascii="宋体" w:hAnsi="宋体" w:cs="宋体"/>
          <w:color w:val="auto"/>
          <w:sz w:val="24"/>
          <w:szCs w:val="28"/>
          <w:highlight w:val="none"/>
          <w:u w:val="single"/>
          <w:lang w:eastAsia="zh-CN"/>
        </w:rPr>
        <w:t xml:space="preserve">宝华新城实验幼儿园教育教学设备设施、办公家具采购</w:t>
      </w:r>
      <w:r>
        <w:rPr>
          <w:rFonts w:hint="eastAsia" w:ascii="宋体" w:hAnsi="宋体" w:eastAsia="宋体" w:cs="宋体"/>
          <w:color w:val="auto"/>
          <w:sz w:val="24"/>
          <w:szCs w:val="28"/>
          <w:highlight w:val="none"/>
          <w:u w:val="single"/>
          <w:lang w:eastAsia="zh-CN"/>
        </w:rPr>
        <w:t xml:space="preserve"> </w:t>
      </w:r>
      <w:r>
        <w:rPr>
          <w:rFonts w:hint="eastAsia" w:ascii="宋体" w:hAnsi="宋体" w:eastAsia="宋体" w:cs="宋体"/>
          <w:color w:val="auto"/>
          <w:sz w:val="24"/>
          <w:szCs w:val="28"/>
          <w:highlight w:val="none"/>
          <w:u w:val="none"/>
        </w:rPr>
        <w:t xml:space="preserve">项目</w:t>
      </w:r>
      <w:r>
        <w:rPr>
          <w:rFonts w:hint="eastAsia" w:ascii="宋体" w:hAnsi="宋体" w:eastAsia="宋体" w:cs="宋体"/>
          <w:color w:val="auto"/>
          <w:sz w:val="24"/>
          <w:szCs w:val="28"/>
          <w:highlight w:val="none"/>
        </w:rPr>
        <w:t xml:space="preserve">的潜在投标人应在</w:t>
      </w:r>
      <w:r>
        <w:rPr>
          <w:rFonts w:hint="eastAsia" w:ascii="宋体" w:hAnsi="宋体" w:eastAsia="宋体" w:cs="宋体"/>
          <w:color w:val="auto"/>
          <w:sz w:val="24"/>
          <w:szCs w:val="28"/>
          <w:highlight w:val="none"/>
          <w:u w:val="single"/>
        </w:rPr>
        <w:t xml:space="preserve">江苏政府采购网-苏采云平台</w:t>
      </w:r>
      <w:r>
        <w:rPr>
          <w:rFonts w:hint="eastAsia" w:ascii="宋体" w:hAnsi="宋体" w:eastAsia="宋体" w:cs="宋体"/>
          <w:color w:val="auto"/>
          <w:sz w:val="24"/>
          <w:highlight w:val="none"/>
          <w:u w:val="single"/>
        </w:rPr>
        <w:t xml:space="preserve">http://jszfcg.jsczt.cn/jszc/login</w:t>
      </w:r>
      <w:r>
        <w:rPr>
          <w:rFonts w:hint="eastAsia" w:ascii="宋体" w:hAnsi="宋体" w:eastAsia="宋体" w:cs="宋体"/>
          <w:color w:val="auto"/>
          <w:sz w:val="24"/>
          <w:szCs w:val="28"/>
          <w:highlight w:val="none"/>
        </w:rPr>
        <w:t xml:space="preserve">获取招标文件，并于</w:t>
      </w:r>
      <w:r>
        <w:rPr>
          <w:rFonts w:hint="eastAsia" w:ascii="宋体" w:hAnsi="宋体" w:eastAsia="宋体" w:cs="宋体"/>
          <w:color w:val="auto"/>
          <w:sz w:val="24"/>
          <w:szCs w:val="24"/>
          <w:highlight w:val="none"/>
          <w:u w:val="single"/>
          <w:lang w:eastAsia="zh-CN"/>
        </w:rPr>
        <w:t xml:space="preserve">2026年</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lang w:eastAsia="zh-CN"/>
        </w:rPr>
        <w:t xml:space="preserve">月</w:t>
      </w:r>
      <w:r>
        <w:rPr>
          <w:rFonts w:hint="eastAsia" w:ascii="宋体" w:hAnsi="宋体" w:cs="宋体"/>
          <w:color w:val="auto"/>
          <w:sz w:val="24"/>
          <w:szCs w:val="24"/>
          <w:highlight w:val="none"/>
          <w:u w:val="single"/>
          <w:lang w:val="en-US" w:eastAsia="zh-CN"/>
        </w:rPr>
        <w:t xml:space="preserve">25</w:t>
      </w:r>
      <w:r>
        <w:rPr>
          <w:rFonts w:hint="eastAsia" w:ascii="宋体" w:hAnsi="宋体" w:eastAsia="宋体" w:cs="宋体"/>
          <w:color w:val="auto"/>
          <w:sz w:val="24"/>
          <w:szCs w:val="24"/>
          <w:highlight w:val="none"/>
          <w:u w:val="single"/>
          <w:lang w:eastAsia="zh-CN"/>
        </w:rPr>
        <w:t xml:space="preserve">日</w:t>
      </w:r>
      <w:r>
        <w:rPr>
          <w:rFonts w:hint="eastAsia" w:ascii="宋体" w:hAnsi="宋体" w:eastAsia="宋体" w:cs="宋体"/>
          <w:color w:val="auto"/>
          <w:sz w:val="24"/>
          <w:szCs w:val="24"/>
          <w:highlight w:val="none"/>
          <w:u w:val="single"/>
        </w:rPr>
        <w:t xml:space="preserve">09点</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8"/>
          <w:highlight w:val="none"/>
        </w:rPr>
        <w:t xml:space="preserve">（</w:t>
      </w:r>
      <w:r>
        <w:rPr>
          <w:rFonts w:hint="eastAsia" w:ascii="宋体" w:hAnsi="宋体" w:eastAsia="宋体" w:cs="宋体"/>
          <w:bCs/>
          <w:color w:val="auto"/>
          <w:sz w:val="24"/>
          <w:szCs w:val="28"/>
          <w:highlight w:val="none"/>
        </w:rPr>
        <w:t xml:space="preserve">北京时间）前按要求递交投标文件</w:t>
      </w:r>
      <w:r>
        <w:rPr>
          <w:rFonts w:hint="eastAsia" w:ascii="宋体" w:hAnsi="宋体" w:eastAsia="宋体" w:cs="宋体"/>
          <w:color w:val="auto"/>
          <w:sz w:val="24"/>
          <w:szCs w:val="28"/>
          <w:highlight w:val="none"/>
        </w:rPr>
        <w:t xml:space="preserve">。</w:t>
      </w:r>
      <w:r/>
    </w:p>
    <w:p>
      <w:pPr>
        <w:pStyle w:val="843"/>
        <w:ind w:left="-142"/>
        <w:jc w:val="both"/>
        <w:spacing w:line="360" w:lineRule="auto"/>
        <w:rPr>
          <w:rFonts w:hint="eastAsia" w:ascii="宋体" w:hAnsi="宋体" w:eastAsia="宋体" w:cs="宋体"/>
          <w:b w:val="0"/>
          <w:color w:val="auto"/>
          <w:sz w:val="24"/>
          <w:szCs w:val="28"/>
          <w:highlight w:val="none"/>
        </w:rPr>
      </w:pPr>
      <w:r/>
      <w:bookmarkStart w:id="10" w:name="_Toc35393790"/>
      <w:r/>
      <w:bookmarkStart w:id="11" w:name="_Toc35393621"/>
      <w:r/>
      <w:bookmarkStart w:id="12" w:name="_Toc28359002"/>
      <w:r/>
      <w:bookmarkStart w:id="13" w:name="_Toc28359079"/>
      <w:r/>
      <w:bookmarkStart w:id="14" w:name="_Hlk24379207"/>
      <w:r>
        <w:rPr>
          <w:rFonts w:hint="eastAsia" w:ascii="宋体" w:hAnsi="宋体" w:eastAsia="宋体" w:cs="宋体"/>
          <w:b w:val="0"/>
          <w:color w:val="auto"/>
          <w:sz w:val="24"/>
          <w:szCs w:val="28"/>
          <w:highlight w:val="none"/>
        </w:rPr>
        <w:t xml:space="preserve">一、项目基本情况</w:t>
      </w:r>
      <w:bookmarkEnd w:id="10"/>
      <w:r/>
      <w:bookmarkEnd w:id="11"/>
      <w:r/>
      <w:bookmarkEnd w:id="12"/>
      <w:r/>
      <w:bookmarkEnd w:id="13"/>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项目编号：</w:t>
      </w:r>
      <w:r>
        <w:rPr>
          <w:rFonts w:hint="eastAsia" w:ascii="宋体" w:hAnsi="宋体" w:cs="宋体"/>
          <w:color w:val="auto"/>
          <w:sz w:val="24"/>
          <w:szCs w:val="28"/>
          <w:highlight w:val="none"/>
          <w:lang w:eastAsia="zh-CN"/>
        </w:rPr>
        <w:t xml:space="preserve">JSZC-321183-DDTC-G2026-0001</w:t>
      </w:r>
      <w:r/>
    </w:p>
    <w:p>
      <w:pPr>
        <w:ind w:left="479" w:firstLine="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项目名称：</w:t>
      </w:r>
      <w:bookmarkEnd w:id="14"/>
      <w:r>
        <w:rPr>
          <w:rFonts w:hint="eastAsia" w:ascii="宋体" w:hAnsi="宋体" w:cs="宋体"/>
          <w:color w:val="auto"/>
          <w:sz w:val="24"/>
          <w:szCs w:val="28"/>
          <w:highlight w:val="none"/>
          <w:lang w:eastAsia="zh-CN"/>
        </w:rPr>
        <w:t xml:space="preserve">宝华新城实验幼儿园教育教学设备设施、办公家具采购</w:t>
      </w:r>
      <w:r>
        <w:rPr>
          <w:rFonts w:hint="eastAsia" w:ascii="宋体" w:hAnsi="宋体" w:eastAsia="宋体" w:cs="宋体"/>
          <w:color w:val="auto"/>
          <w:sz w:val="24"/>
          <w:szCs w:val="28"/>
          <w:highlight w:val="none"/>
          <w:lang w:eastAsia="zh-CN"/>
        </w:rPr>
        <w:t xml:space="preserve">  </w:t>
      </w:r>
      <w:r/>
    </w:p>
    <w:p>
      <w:pPr>
        <w:ind w:firstLine="480"/>
        <w:spacing w:line="360" w:lineRule="auto"/>
        <w:rPr>
          <w:rFonts w:hint="eastAsia" w:ascii="宋体" w:hAnsi="宋体" w:cs="宋体"/>
          <w:color w:val="auto"/>
          <w:sz w:val="24"/>
          <w:szCs w:val="28"/>
          <w:highlight w:val="none"/>
        </w:rPr>
      </w:pPr>
      <w:r>
        <w:rPr>
          <w:rFonts w:hint="eastAsia" w:ascii="宋体" w:hAnsi="宋体" w:eastAsia="宋体" w:cs="宋体"/>
          <w:color w:val="auto"/>
          <w:sz w:val="24"/>
          <w:szCs w:val="28"/>
          <w:highlight w:val="none"/>
        </w:rPr>
        <w:t xml:space="preserve">预算金额：</w:t>
      </w:r>
      <w:r>
        <w:rPr>
          <w:rFonts w:hint="eastAsia" w:ascii="宋体" w:hAnsi="宋体" w:cs="宋体"/>
          <w:color w:val="auto"/>
          <w:sz w:val="24"/>
          <w:szCs w:val="28"/>
          <w:highlight w:val="none"/>
          <w:lang w:val="en-US" w:eastAsia="zh-CN"/>
        </w:rPr>
        <w:t xml:space="preserve">3491120.00元</w:t>
      </w:r>
      <w:r/>
    </w:p>
    <w:p>
      <w:pPr>
        <w:pStyle w:val="843"/>
        <w:ind w:firstLine="480"/>
        <w:jc w:val="both"/>
        <w:spacing w:before="0" w:after="0" w:line="360" w:lineRule="auto"/>
        <w:rPr>
          <w:rFonts w:hint="eastAsia" w:ascii="宋体" w:hAnsi="宋体" w:eastAsia="宋体" w:cs="宋体"/>
          <w:b w:val="0"/>
          <w:color w:val="auto"/>
          <w:sz w:val="24"/>
          <w:szCs w:val="28"/>
          <w:highlight w:val="none"/>
        </w:rPr>
      </w:pPr>
      <w:r>
        <w:rPr>
          <w:rFonts w:hint="eastAsia" w:ascii="宋体" w:hAnsi="宋体" w:eastAsia="宋体" w:cs="宋体"/>
          <w:b w:val="0"/>
          <w:color w:val="auto"/>
          <w:sz w:val="24"/>
          <w:szCs w:val="28"/>
          <w:highlight w:val="none"/>
          <w:lang w:val="en-US" w:eastAsia="zh-CN" w:bidi="ar-SA"/>
        </w:rPr>
        <w:t xml:space="preserve">最高限价：3491120.00元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8"/>
          <w:highlight w:val="none"/>
        </w:rPr>
        <w:t xml:space="preserve">采购需求：详细内容及要求见招标文件。</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合同履行期限：详细内容及要求见招标文件。</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 xml:space="preserve">本项目是否接受联合体投标：</w:t>
      </w:r>
      <w:r>
        <w:rPr>
          <w:rFonts w:hint="eastAsia" w:ascii="宋体" w:hAnsi="宋体" w:eastAsia="宋体" w:cs="宋体"/>
          <w:color w:val="auto"/>
          <w:sz w:val="24"/>
          <w:szCs w:val="28"/>
          <w:highlight w:val="none"/>
        </w:rPr>
        <w:t xml:space="preserve">不接受</w:t>
      </w:r>
      <w:r/>
    </w:p>
    <w:p>
      <w:pPr>
        <w:pStyle w:val="843"/>
        <w:ind w:left="-142"/>
        <w:jc w:val="both"/>
        <w:spacing w:line="360" w:lineRule="auto"/>
        <w:rPr>
          <w:rFonts w:hint="eastAsia" w:ascii="宋体" w:hAnsi="宋体" w:eastAsia="宋体" w:cs="宋体"/>
          <w:b w:val="0"/>
          <w:color w:val="auto"/>
          <w:sz w:val="24"/>
          <w:szCs w:val="28"/>
          <w:highlight w:val="none"/>
        </w:rPr>
      </w:pPr>
      <w:r/>
      <w:bookmarkStart w:id="15" w:name="_Toc35393622"/>
      <w:r/>
      <w:bookmarkStart w:id="16" w:name="_Toc28359080"/>
      <w:r/>
      <w:bookmarkStart w:id="17" w:name="_Toc35393791"/>
      <w:r/>
      <w:bookmarkStart w:id="18" w:name="_Toc28359003"/>
      <w:r>
        <w:rPr>
          <w:rFonts w:hint="eastAsia" w:ascii="宋体" w:hAnsi="宋体" w:eastAsia="宋体" w:cs="宋体"/>
          <w:b w:val="0"/>
          <w:color w:val="auto"/>
          <w:sz w:val="24"/>
          <w:szCs w:val="28"/>
          <w:highlight w:val="none"/>
        </w:rPr>
        <w:t xml:space="preserve">二、申请人的资格要求：</w:t>
      </w:r>
      <w:bookmarkEnd w:id="15"/>
      <w:r/>
      <w:bookmarkEnd w:id="16"/>
      <w:r/>
      <w:bookmarkEnd w:id="17"/>
      <w:r/>
      <w:bookmarkEnd w:id="18"/>
      <w:r/>
      <w:r/>
    </w:p>
    <w:p>
      <w:pPr>
        <w:ind w:firstLine="480"/>
        <w:spacing w:line="360" w:lineRule="auto"/>
        <w:rPr>
          <w:rFonts w:hint="eastAsia" w:ascii="宋体" w:hAnsi="宋体" w:eastAsia="宋体" w:cs="宋体"/>
          <w:color w:val="auto"/>
          <w:sz w:val="24"/>
          <w:szCs w:val="28"/>
          <w:highlight w:val="none"/>
        </w:rPr>
      </w:pPr>
      <w:r/>
      <w:bookmarkStart w:id="19" w:name="_Toc28359081"/>
      <w:r/>
      <w:bookmarkStart w:id="20" w:name="_Toc35393792"/>
      <w:r/>
      <w:bookmarkStart w:id="21" w:name="_Toc35393623"/>
      <w:r/>
      <w:bookmarkStart w:id="22" w:name="_Toc28359004"/>
      <w:r>
        <w:rPr>
          <w:rFonts w:hint="eastAsia" w:ascii="宋体" w:hAnsi="宋体" w:eastAsia="宋体" w:cs="宋体"/>
          <w:color w:val="auto"/>
          <w:sz w:val="24"/>
          <w:szCs w:val="28"/>
          <w:highlight w:val="none"/>
        </w:rPr>
        <w:t xml:space="preserve">1.满足《中华人民共和国政府采购法》第二十二条规定：</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1.1具有独立承担民事责任的能力（提供法人或者其他组织的营业执照等证明文件扫描件；投标人为自然人的，提供其身份证扫描件）；</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1.2具有良好的商业信誉和健全的财务会计制度</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提供</w:t>
      </w:r>
      <w:r>
        <w:rPr>
          <w:rFonts w:hint="eastAsia" w:ascii="宋体" w:hAnsi="宋体" w:eastAsia="宋体" w:cs="宋体"/>
          <w:color w:val="auto"/>
          <w:sz w:val="24"/>
          <w:szCs w:val="28"/>
          <w:highlight w:val="none"/>
          <w:lang w:val="en-US" w:eastAsia="zh-CN"/>
        </w:rPr>
        <w:t xml:space="preserve">2024</w:t>
      </w:r>
      <w:r>
        <w:rPr>
          <w:rFonts w:hint="eastAsia" w:ascii="宋体" w:hAnsi="宋体" w:eastAsia="宋体" w:cs="宋体"/>
          <w:color w:val="auto"/>
          <w:sz w:val="24"/>
          <w:szCs w:val="28"/>
          <w:highlight w:val="none"/>
        </w:rPr>
        <w:t xml:space="preserve">年或2025年度财务报告、成立不满一年的提供至少一个月财务报告，或银行出具的资信证明，或财政部门认可的政府采购专业担保机构出具的投标担保函等，或资格承诺函</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1.3具有履行合同所必需的设备和专业技术能力</w:t>
      </w:r>
      <w:r>
        <w:rPr>
          <w:rFonts w:hint="eastAsia" w:ascii="宋体" w:hAnsi="宋体" w:eastAsia="宋体" w:cs="宋体"/>
          <w:color w:val="auto"/>
          <w:sz w:val="24"/>
          <w:szCs w:val="28"/>
          <w:highlight w:val="none"/>
          <w:lang w:eastAsia="zh-CN"/>
        </w:rPr>
        <w:t xml:space="preserve">（提供具备履行合同所必需的设备和专业技术能力的书面声明或资格承诺函）</w:t>
      </w:r>
      <w:r>
        <w:rPr>
          <w:rFonts w:hint="eastAsia" w:ascii="宋体" w:hAnsi="宋体" w:eastAsia="宋体" w:cs="宋体"/>
          <w:color w:val="auto"/>
          <w:sz w:val="24"/>
          <w:szCs w:val="28"/>
          <w:highlight w:val="none"/>
        </w:rPr>
        <w:t xml:space="preserve">；</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1.4有依法缴纳税收和社会保障资金的良好记录</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提供参加本次政府采购活动前半年内至少一个月依法缴纳税收和社会保险的凭据或资格承诺函</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w:t>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rPr>
        <w:t xml:space="preserve">1.5参加政府采购活动前三年内，在经营活动中没有重大违法记录</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见投标函或提供资格承诺函</w:t>
      </w:r>
      <w:r>
        <w:rPr>
          <w:rFonts w:hint="eastAsia" w:ascii="宋体" w:hAnsi="宋体" w:eastAsia="宋体" w:cs="宋体"/>
          <w:color w:val="auto"/>
          <w:sz w:val="24"/>
          <w:szCs w:val="28"/>
          <w:highlight w:val="none"/>
          <w:lang w:eastAsia="zh-CN"/>
        </w:rPr>
        <w:t xml:space="preserve">）</w:t>
      </w:r>
      <w:r>
        <w:rPr>
          <w:rFonts w:hint="eastAsia" w:ascii="宋体" w:hAnsi="宋体" w:cs="宋体"/>
          <w:color w:val="auto"/>
          <w:sz w:val="24"/>
          <w:szCs w:val="28"/>
          <w:highlight w:val="none"/>
          <w:lang w:eastAsia="zh-CN"/>
        </w:rPr>
        <w:t xml:space="preserve">；</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1.6法律、行政法规规定的其他条件：无。</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2.落实政府采购政策需满足的资格要求：</w:t>
      </w:r>
      <w:r/>
    </w:p>
    <w:p>
      <w:pPr>
        <w:pStyle w:val="845"/>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2.1</w:t>
      </w:r>
      <w:r>
        <w:rPr>
          <w:rFonts w:hint="eastAsia" w:ascii="宋体" w:hAnsi="宋体" w:eastAsia="宋体" w:cs="宋体"/>
          <w:color w:val="auto"/>
          <w:sz w:val="24"/>
          <w:highlight w:val="none"/>
        </w:rPr>
        <w:t xml:space="preserve">本项目属于</w:t>
      </w:r>
      <w:r>
        <w:rPr>
          <w:rFonts w:hint="eastAsia" w:ascii="宋体" w:hAnsi="宋体" w:cs="宋体"/>
          <w:color w:val="auto"/>
          <w:sz w:val="24"/>
          <w:highlight w:val="none"/>
          <w:lang w:eastAsia="zh-CN"/>
        </w:rPr>
        <w:t xml:space="preserve">不专门面向中小微企业采购</w:t>
      </w:r>
      <w:r>
        <w:rPr>
          <w:rFonts w:hint="eastAsia" w:ascii="宋体" w:hAnsi="宋体" w:eastAsia="宋体" w:cs="宋体"/>
          <w:color w:val="auto"/>
          <w:sz w:val="24"/>
          <w:highlight w:val="none"/>
        </w:rPr>
        <w:t xml:space="preserve">的项目，根据《关于做好政府采购支持企业发展有关事项的通知》(苏财购(2020) 52号)及关于转发《江苏省财政厅关于做好政府采购支持企业发展有关事项的通知》的通知(镇财采(2020) 12号) 的要求，划型标准请对照《关于印发中小企业划型标准规定的通知》(工信部联企业 (2011) 300号)。</w:t>
      </w:r>
      <w:r/>
    </w:p>
    <w:p>
      <w:pPr>
        <w:ind w:firstLine="480"/>
        <w:spacing w:line="360" w:lineRule="auto"/>
        <w:rPr>
          <w:rFonts w:hint="eastAsia" w:ascii="宋体" w:hAnsi="宋体" w:eastAsia="宋体" w:cs="宋体"/>
          <w:color w:val="auto"/>
          <w:sz w:val="24"/>
          <w:highlight w:val="none"/>
        </w:rPr>
      </w:pPr>
      <w:r>
        <w:rPr>
          <w:rFonts w:hint="eastAsia" w:ascii="宋体" w:hAnsi="宋体"/>
          <w:color w:val="auto"/>
          <w:sz w:val="24"/>
          <w:szCs w:val="28"/>
          <w:highlight w:val="none"/>
          <w:lang w:val="en-US" w:eastAsia="zh-CN"/>
        </w:rPr>
        <w:t xml:space="preserve">2.2 本项目</w:t>
      </w:r>
      <w:r>
        <w:rPr>
          <w:rFonts w:hint="eastAsia" w:ascii="宋体" w:hAnsi="宋体" w:eastAsia="宋体" w:cs="宋体"/>
          <w:color w:val="auto"/>
          <w:sz w:val="24"/>
          <w:highlight w:val="none"/>
        </w:rPr>
        <w:t xml:space="preserve">不允许采购</w:t>
      </w:r>
      <w:r>
        <w:rPr>
          <w:rFonts w:hint="eastAsia" w:ascii="宋体" w:hAnsi="宋体" w:cs="宋体"/>
          <w:color w:val="auto"/>
          <w:sz w:val="24"/>
          <w:highlight w:val="none"/>
          <w:lang w:val="en-US" w:eastAsia="zh-CN"/>
        </w:rPr>
        <w:t xml:space="preserve">进口</w:t>
      </w:r>
      <w:r>
        <w:rPr>
          <w:rFonts w:hint="eastAsia" w:ascii="宋体" w:hAnsi="宋体" w:eastAsia="宋体" w:cs="宋体"/>
          <w:color w:val="auto"/>
          <w:sz w:val="24"/>
          <w:highlight w:val="none"/>
        </w:rPr>
        <w:t xml:space="preserve">产品</w:t>
      </w:r>
      <w:r>
        <w:rPr>
          <w:rFonts w:hint="eastAsia" w:ascii="宋体" w:hAnsi="宋体" w:cs="宋体"/>
          <w:color w:val="auto"/>
          <w:sz w:val="24"/>
          <w:highlight w:val="none"/>
          <w:lang w:eastAsia="zh-CN"/>
        </w:rPr>
        <w:t xml:space="preserve">。</w:t>
      </w:r>
      <w:r>
        <w:rPr>
          <w:rFonts w:hint="eastAsia" w:ascii="宋体" w:hAnsi="宋体" w:eastAsia="宋体" w:cs="宋体"/>
          <w:color w:val="auto"/>
          <w:sz w:val="24"/>
          <w:szCs w:val="28"/>
          <w:highlight w:val="none"/>
        </w:rPr>
        <w:t xml:space="preserve">根据</w:t>
      </w:r>
      <w:r>
        <w:rPr>
          <w:rFonts w:ascii="宋体" w:hAnsi="宋体" w:eastAsia="宋体" w:cs="宋体"/>
          <w:color w:val="auto"/>
          <w:sz w:val="24"/>
          <w:szCs w:val="28"/>
          <w:highlight w:val="none"/>
        </w:rPr>
        <w:fldChar w:fldCharType="begin"/>
      </w:r>
      <w:r>
        <w:rPr>
          <w:rFonts w:ascii="宋体" w:hAnsi="宋体" w:eastAsia="宋体" w:cs="宋体"/>
          <w:color w:val="auto"/>
          <w:sz w:val="24"/>
          <w:szCs w:val="28"/>
          <w:highlight w:val="none"/>
        </w:rPr>
        <w:instrText xml:space="preserve"> HYPERLINK "https://www.gov.cn/zhengce/content/202509/content_7042999.htm" \t "http://jszfcg.jsczt.cn/jszc/wf/project/purchaseDocEdit/_blank" </w:instrText>
      </w:r>
      <w:r>
        <w:rPr>
          <w:rFonts w:ascii="宋体" w:hAnsi="宋体" w:eastAsia="宋体" w:cs="宋体"/>
          <w:color w:val="auto"/>
          <w:sz w:val="24"/>
          <w:szCs w:val="28"/>
          <w:highlight w:val="none"/>
        </w:rPr>
        <w:fldChar w:fldCharType="separate"/>
      </w:r>
      <w:r>
        <w:rPr>
          <w:rFonts w:ascii="宋体" w:hAnsi="宋体" w:eastAsia="宋体" w:cs="宋体"/>
          <w:color w:val="auto"/>
          <w:sz w:val="24"/>
          <w:szCs w:val="28"/>
          <w:highlight w:val="none"/>
        </w:rPr>
        <w:t xml:space="preserve">《国务院办公厅关于在政府采购中实施本国产品标准及相关政策的通知》</w:t>
      </w:r>
      <w:r>
        <w:rPr>
          <w:rFonts w:ascii="宋体" w:hAnsi="宋体" w:eastAsia="宋体" w:cs="宋体"/>
          <w:color w:val="auto"/>
          <w:sz w:val="24"/>
          <w:szCs w:val="28"/>
          <w:highlight w:val="none"/>
        </w:rPr>
        <w:fldChar w:fldCharType="end"/>
      </w:r>
      <w:r>
        <w:rPr>
          <w:rFonts w:ascii="宋体" w:hAnsi="宋体" w:eastAsia="宋体" w:cs="宋体"/>
          <w:color w:val="auto"/>
          <w:sz w:val="24"/>
          <w:szCs w:val="28"/>
          <w:highlight w:val="none"/>
        </w:rPr>
        <w:t xml:space="preserve">(国办发〔2025〕34号)和</w:t>
      </w:r>
      <w:r>
        <w:rPr>
          <w:rFonts w:ascii="宋体" w:hAnsi="宋体" w:eastAsia="宋体" w:cs="宋体"/>
          <w:color w:val="auto"/>
          <w:sz w:val="24"/>
          <w:szCs w:val="28"/>
          <w:highlight w:val="none"/>
        </w:rPr>
        <w:fldChar w:fldCharType="begin"/>
      </w:r>
      <w:r>
        <w:rPr>
          <w:rFonts w:ascii="宋体" w:hAnsi="宋体" w:eastAsia="宋体" w:cs="宋体"/>
          <w:color w:val="auto"/>
          <w:sz w:val="24"/>
          <w:szCs w:val="28"/>
          <w:highlight w:val="none"/>
        </w:rPr>
        <w:instrText xml:space="preserve"> HYPERLINK "https://gks.mof.gov.cn/guizhangzhidu/202512/t20251219_3979568.htm" \t "http://jszfcg.jsczt.cn/jszc/wf/project/purchaseDocEdit/_blank" </w:instrText>
      </w:r>
      <w:r>
        <w:rPr>
          <w:rFonts w:ascii="宋体" w:hAnsi="宋体" w:eastAsia="宋体" w:cs="宋体"/>
          <w:color w:val="auto"/>
          <w:sz w:val="24"/>
          <w:szCs w:val="28"/>
          <w:highlight w:val="none"/>
        </w:rPr>
        <w:fldChar w:fldCharType="separate"/>
      </w:r>
      <w:r>
        <w:rPr>
          <w:rFonts w:ascii="宋体" w:hAnsi="宋体" w:eastAsia="宋体" w:cs="宋体"/>
          <w:color w:val="auto"/>
          <w:sz w:val="24"/>
          <w:szCs w:val="28"/>
          <w:highlight w:val="none"/>
        </w:rPr>
        <w:t xml:space="preserve">《关于贯彻落实〈国务院办公厅关于在政府采购中实施本国产品标准及相关政策的通知〉的意见》</w:t>
      </w:r>
      <w:r>
        <w:rPr>
          <w:rFonts w:ascii="宋体" w:hAnsi="宋体" w:eastAsia="宋体" w:cs="宋体"/>
          <w:color w:val="auto"/>
          <w:sz w:val="24"/>
          <w:szCs w:val="28"/>
          <w:highlight w:val="none"/>
        </w:rPr>
        <w:fldChar w:fldCharType="end"/>
      </w:r>
      <w:r>
        <w:rPr>
          <w:rFonts w:ascii="宋体" w:hAnsi="宋体" w:eastAsia="宋体" w:cs="宋体"/>
          <w:color w:val="auto"/>
          <w:sz w:val="24"/>
          <w:szCs w:val="28"/>
          <w:highlight w:val="none"/>
        </w:rPr>
        <w:t xml:space="preserve">(财库〔2025〕30号)</w:t>
      </w:r>
      <w:r>
        <w:rPr>
          <w:rFonts w:hint="eastAsia" w:ascii="宋体" w:hAnsi="宋体" w:cs="宋体"/>
          <w:color w:val="auto"/>
          <w:sz w:val="24"/>
          <w:szCs w:val="28"/>
          <w:highlight w:val="none"/>
          <w:lang w:eastAsia="zh-CN"/>
        </w:rPr>
        <w:t xml:space="preserve">的要求，供应商</w:t>
      </w:r>
      <w:r>
        <w:rPr>
          <w:rFonts w:hint="eastAsia" w:ascii="宋体" w:hAnsi="宋体" w:eastAsia="宋体" w:cs="宋体"/>
          <w:color w:val="auto"/>
          <w:sz w:val="24"/>
          <w:szCs w:val="28"/>
          <w:highlight w:val="none"/>
        </w:rPr>
        <w:t xml:space="preserve">必须提供</w:t>
      </w:r>
      <w:r>
        <w:rPr>
          <w:rFonts w:hint="eastAsia" w:ascii="宋体" w:hAnsi="宋体" w:cs="宋体"/>
          <w:color w:val="auto"/>
          <w:sz w:val="24"/>
          <w:szCs w:val="28"/>
          <w:highlight w:val="none"/>
          <w:lang w:eastAsia="zh-CN"/>
        </w:rPr>
        <w:t xml:space="preserve">《关于符合本国产品标准的声明函》</w:t>
      </w:r>
      <w:r>
        <w:rPr>
          <w:rFonts w:hint="eastAsia" w:ascii="宋体" w:hAnsi="宋体" w:eastAsia="宋体" w:cs="宋体"/>
          <w:color w:val="auto"/>
          <w:sz w:val="24"/>
          <w:szCs w:val="28"/>
          <w:highlight w:val="none"/>
        </w:rPr>
        <w:t xml:space="preserve">（见格式）</w:t>
      </w:r>
      <w:r/>
    </w:p>
    <w:p>
      <w:pPr>
        <w:ind w:firstLine="480"/>
        <w:spacing w:line="440" w:lineRule="exact"/>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szCs w:val="28"/>
          <w:highlight w:val="none"/>
        </w:rPr>
        <w:t xml:space="preserve">本项目的特定资格要求：</w:t>
      </w:r>
      <w:r>
        <w:rPr>
          <w:rFonts w:hint="eastAsia" w:ascii="宋体" w:hAnsi="宋体" w:cs="宋体"/>
          <w:color w:val="auto"/>
          <w:sz w:val="24"/>
          <w:highlight w:val="none"/>
          <w:lang w:val="en-US" w:eastAsia="zh-CN"/>
        </w:rPr>
        <w:t xml:space="preserve">无。</w:t>
      </w:r>
      <w:r/>
    </w:p>
    <w:p>
      <w:pPr>
        <w:ind w:firstLine="480"/>
        <w:spacing w:line="440" w:lineRule="exac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4.拒绝下述供应商参加本次采购活动： </w:t>
      </w:r>
      <w:r/>
    </w:p>
    <w:p>
      <w:pPr>
        <w:ind w:firstLine="480"/>
        <w:spacing w:line="440" w:lineRule="exac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（1）供应商单位负责人为同一人或者存在直接控股、管理关系的不同供应商，不得参加同一合同项下的政府采购活动； </w:t>
      </w:r>
      <w:r/>
    </w:p>
    <w:p>
      <w:pPr>
        <w:ind w:firstLine="480"/>
        <w:spacing w:line="440" w:lineRule="exac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（2）为采购项目提供整体设计、规范编制或者项目管理、监理、检测等服务的供应商，不得参加本项目的采购活动； </w:t>
      </w:r>
      <w:r/>
    </w:p>
    <w:p>
      <w:pPr>
        <w:ind w:firstLine="480"/>
        <w:spacing w:line="440" w:lineRule="exact"/>
        <w:rPr>
          <w:rFonts w:hint="eastAsia" w:ascii="宋体" w:hAnsi="宋体" w:eastAsia="宋体" w:cs="宋体"/>
          <w:b/>
          <w:color w:val="auto"/>
          <w:highlight w:val="none"/>
        </w:rPr>
      </w:pPr>
      <w:r>
        <w:rPr>
          <w:rFonts w:hint="eastAsia" w:ascii="宋体" w:hAnsi="宋体" w:eastAsia="宋体" w:cs="宋体"/>
          <w:color w:val="auto"/>
          <w:sz w:val="24"/>
          <w:szCs w:val="28"/>
          <w:highlight w:val="none"/>
        </w:rPr>
        <w:t xml:space="preserve">（3）供应商被“信用中国”网站（www.creditchina.gov.cn）、“中国政府采购网”(www.ccgp.gov.cn)列入失信被执行人、重大税收违法案件当事人名单、政府采购严重违法失信行为记录名单。</w:t>
      </w:r>
      <w:r/>
    </w:p>
    <w:p>
      <w:pPr>
        <w:pStyle w:val="843"/>
        <w:ind w:left="-142"/>
        <w:jc w:val="both"/>
        <w:spacing w:line="360" w:lineRule="auto"/>
        <w:rPr>
          <w:rFonts w:hint="eastAsia" w:ascii="宋体" w:hAnsi="宋体" w:eastAsia="宋体" w:cs="宋体"/>
          <w:b w:val="0"/>
          <w:color w:val="auto"/>
          <w:sz w:val="24"/>
          <w:szCs w:val="28"/>
          <w:highlight w:val="none"/>
        </w:rPr>
      </w:pPr>
      <w:r>
        <w:rPr>
          <w:rFonts w:hint="eastAsia" w:ascii="宋体" w:hAnsi="宋体" w:eastAsia="宋体" w:cs="宋体"/>
          <w:b w:val="0"/>
          <w:color w:val="auto"/>
          <w:sz w:val="24"/>
          <w:szCs w:val="28"/>
          <w:highlight w:val="none"/>
        </w:rPr>
        <w:t xml:space="preserve">三、获取招标文件</w:t>
      </w:r>
      <w:bookmarkEnd w:id="19"/>
      <w:r/>
      <w:bookmarkEnd w:id="20"/>
      <w:r/>
      <w:bookmarkEnd w:id="21"/>
      <w:r/>
      <w:bookmarkEnd w:id="22"/>
      <w:r/>
      <w:r/>
    </w:p>
    <w:p>
      <w:pPr>
        <w:ind w:firstLine="480"/>
        <w:spacing w:line="360" w:lineRule="auto"/>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 xml:space="preserve">获取时间：</w:t>
      </w:r>
      <w:r>
        <w:rPr>
          <w:rFonts w:hint="eastAsia" w:ascii="宋体" w:hAnsi="宋体" w:eastAsia="宋体" w:cs="宋体"/>
          <w:color w:val="auto"/>
          <w:sz w:val="24"/>
          <w:highlight w:val="none"/>
        </w:rPr>
        <w:t xml:space="preserve">自招标公告发布起5个</w:t>
      </w:r>
      <w:r>
        <w:rPr>
          <w:rFonts w:hint="eastAsia" w:ascii="宋体" w:hAnsi="宋体" w:cs="宋体"/>
          <w:color w:val="auto"/>
          <w:sz w:val="24"/>
          <w:highlight w:val="none"/>
          <w:lang w:val="en-US" w:eastAsia="zh-CN"/>
        </w:rPr>
        <w:t xml:space="preserve">工作日</w:t>
      </w:r>
      <w:r/>
    </w:p>
    <w:p>
      <w:pPr>
        <w:ind w:firstLine="480"/>
        <w:spacing w:line="360" w:lineRule="auto"/>
        <w:rPr>
          <w:rFonts w:hint="eastAsia" w:ascii="宋体" w:hAnsi="宋体" w:eastAsia="宋体" w:cs="宋体"/>
          <w:i/>
          <w:iCs/>
          <w:color w:val="auto"/>
          <w:sz w:val="24"/>
          <w:szCs w:val="28"/>
          <w:highlight w:val="none"/>
        </w:rPr>
      </w:pPr>
      <w:r>
        <w:rPr>
          <w:rFonts w:hint="eastAsia" w:ascii="宋体" w:hAnsi="宋体" w:eastAsia="宋体" w:cs="宋体"/>
          <w:color w:val="auto"/>
          <w:sz w:val="24"/>
          <w:szCs w:val="28"/>
          <w:highlight w:val="none"/>
        </w:rPr>
        <w:t xml:space="preserve">获取地点：江苏政府采购网-苏采云平台获取招标文件</w:t>
      </w:r>
      <w:r/>
    </w:p>
    <w:p>
      <w:pPr>
        <w:ind w:left="479"/>
        <w:jc w:val="left"/>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获取方式：（操作指南：http://www.ccgp-jiangsu.gov.cn/jiangsu/zlxz/ee/ee3a4bc5a3454aa2b0d9312230633ce9.html）</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采购文件售价：免费</w:t>
      </w:r>
      <w:r/>
    </w:p>
    <w:p>
      <w:pPr>
        <w:pStyle w:val="843"/>
        <w:ind w:left="-142"/>
        <w:jc w:val="both"/>
        <w:spacing w:line="360" w:lineRule="auto"/>
        <w:rPr>
          <w:rFonts w:hint="eastAsia" w:ascii="宋体" w:hAnsi="宋体" w:eastAsia="宋体" w:cs="宋体"/>
          <w:b w:val="0"/>
          <w:color w:val="auto"/>
          <w:sz w:val="24"/>
          <w:szCs w:val="28"/>
          <w:highlight w:val="none"/>
        </w:rPr>
      </w:pPr>
      <w:r/>
      <w:bookmarkStart w:id="23" w:name="_Toc35393793"/>
      <w:r/>
      <w:bookmarkStart w:id="24" w:name="_Toc28359005"/>
      <w:r/>
      <w:bookmarkStart w:id="25" w:name="_Toc35393624"/>
      <w:r/>
      <w:bookmarkStart w:id="26" w:name="_Toc28359082"/>
      <w:r>
        <w:rPr>
          <w:rFonts w:hint="eastAsia" w:ascii="宋体" w:hAnsi="宋体" w:eastAsia="宋体" w:cs="宋体"/>
          <w:b w:val="0"/>
          <w:color w:val="auto"/>
          <w:sz w:val="24"/>
          <w:szCs w:val="28"/>
          <w:highlight w:val="none"/>
        </w:rPr>
        <w:t xml:space="preserve">四、</w:t>
      </w:r>
      <w:bookmarkEnd w:id="23"/>
      <w:r/>
      <w:bookmarkEnd w:id="24"/>
      <w:r/>
      <w:bookmarkEnd w:id="25"/>
      <w:r/>
      <w:bookmarkEnd w:id="26"/>
      <w:r>
        <w:rPr>
          <w:rFonts w:hint="eastAsia" w:ascii="宋体" w:hAnsi="宋体" w:eastAsia="宋体" w:cs="宋体"/>
          <w:b w:val="0"/>
          <w:color w:val="auto"/>
          <w:sz w:val="24"/>
          <w:szCs w:val="28"/>
          <w:highlight w:val="none"/>
        </w:rPr>
        <w:t xml:space="preserve">提交投标文件截止时间、开标时间和地点</w:t>
      </w:r>
      <w:r/>
    </w:p>
    <w:p>
      <w:pPr>
        <w:ind w:firstLine="480"/>
        <w:spacing w:line="360" w:lineRule="auto"/>
        <w:rPr>
          <w:rFonts w:hint="eastAsia" w:ascii="宋体" w:hAnsi="宋体" w:eastAsia="宋体" w:cs="宋体"/>
          <w:bCs/>
          <w:color w:val="auto"/>
          <w:sz w:val="24"/>
          <w:szCs w:val="28"/>
          <w:highlight w:val="none"/>
          <w:u w:val="single"/>
        </w:rPr>
      </w:pPr>
      <w:r>
        <w:rPr>
          <w:rFonts w:hint="eastAsia" w:ascii="宋体" w:hAnsi="宋体" w:eastAsia="宋体" w:cs="宋体"/>
          <w:bCs/>
          <w:color w:val="auto"/>
          <w:sz w:val="24"/>
          <w:szCs w:val="28"/>
          <w:highlight w:val="none"/>
        </w:rPr>
        <w:t xml:space="preserve">提交截止时间及开标时间：</w:t>
      </w:r>
      <w:r>
        <w:rPr>
          <w:rFonts w:hint="eastAsia" w:ascii="宋体" w:hAnsi="宋体" w:cs="宋体"/>
          <w:bCs/>
          <w:color w:val="auto"/>
          <w:sz w:val="24"/>
          <w:szCs w:val="28"/>
          <w:highlight w:val="none"/>
          <w:u w:val="single"/>
          <w:lang w:eastAsia="zh-CN"/>
        </w:rPr>
        <w:t xml:space="preserve">2026年6月25日</w:t>
      </w:r>
      <w:r>
        <w:rPr>
          <w:rFonts w:hint="eastAsia" w:ascii="宋体" w:hAnsi="宋体" w:eastAsia="宋体" w:cs="宋体"/>
          <w:bCs/>
          <w:color w:val="auto"/>
          <w:sz w:val="24"/>
          <w:szCs w:val="28"/>
          <w:highlight w:val="none"/>
          <w:u w:val="single"/>
        </w:rPr>
        <w:t xml:space="preserve">09点</w:t>
      </w:r>
      <w:r>
        <w:rPr>
          <w:rFonts w:hint="eastAsia" w:ascii="宋体" w:hAnsi="宋体" w:eastAsia="宋体" w:cs="宋体"/>
          <w:bCs/>
          <w:color w:val="auto"/>
          <w:sz w:val="24"/>
          <w:szCs w:val="28"/>
          <w:highlight w:val="none"/>
          <w:u w:val="single"/>
          <w:lang w:val="en-US" w:eastAsia="zh-CN"/>
        </w:rPr>
        <w:t xml:space="preserve">30</w:t>
      </w:r>
      <w:r>
        <w:rPr>
          <w:rFonts w:hint="eastAsia" w:ascii="宋体" w:hAnsi="宋体" w:eastAsia="宋体" w:cs="宋体"/>
          <w:bCs/>
          <w:color w:val="auto"/>
          <w:sz w:val="24"/>
          <w:szCs w:val="28"/>
          <w:highlight w:val="none"/>
          <w:u w:val="single"/>
        </w:rPr>
        <w:t xml:space="preserve">分</w:t>
      </w:r>
      <w:r>
        <w:rPr>
          <w:rFonts w:hint="eastAsia" w:ascii="宋体" w:hAnsi="宋体" w:eastAsia="宋体" w:cs="宋体"/>
          <w:bCs/>
          <w:color w:val="auto"/>
          <w:sz w:val="24"/>
          <w:szCs w:val="28"/>
          <w:highlight w:val="none"/>
        </w:rPr>
        <w:t xml:space="preserve">（北京时间）</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开标地点：“苏采云”系统（网址：http://jszfcg.jsczt.cn/）“开标大厅”</w:t>
      </w:r>
      <w:r/>
    </w:p>
    <w:p>
      <w:pPr>
        <w:pStyle w:val="843"/>
        <w:ind w:left="-142"/>
        <w:jc w:val="both"/>
        <w:spacing w:line="360" w:lineRule="auto"/>
        <w:rPr>
          <w:rFonts w:hint="eastAsia" w:ascii="宋体" w:hAnsi="宋体" w:eastAsia="宋体" w:cs="宋体"/>
          <w:b w:val="0"/>
          <w:bCs/>
          <w:color w:val="auto"/>
          <w:sz w:val="24"/>
          <w:szCs w:val="28"/>
          <w:highlight w:val="none"/>
        </w:rPr>
      </w:pPr>
      <w:r/>
      <w:bookmarkStart w:id="27" w:name="_Toc35393625"/>
      <w:r/>
      <w:bookmarkStart w:id="28" w:name="_Toc28359007"/>
      <w:r/>
      <w:bookmarkStart w:id="29" w:name="_Toc35393794"/>
      <w:r/>
      <w:bookmarkStart w:id="30" w:name="_Toc28359084"/>
      <w:r>
        <w:rPr>
          <w:rFonts w:hint="eastAsia" w:ascii="宋体" w:hAnsi="宋体" w:eastAsia="宋体" w:cs="宋体"/>
          <w:b w:val="0"/>
          <w:bCs/>
          <w:color w:val="auto"/>
          <w:sz w:val="24"/>
          <w:szCs w:val="28"/>
          <w:highlight w:val="none"/>
        </w:rPr>
        <w:t xml:space="preserve">五、公告期限</w:t>
      </w:r>
      <w:bookmarkEnd w:id="27"/>
      <w:r/>
      <w:bookmarkEnd w:id="28"/>
      <w:r/>
      <w:bookmarkEnd w:id="29"/>
      <w:r/>
      <w:bookmarkEnd w:id="30"/>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自本公告发布之日起5个工作日。</w:t>
      </w:r>
      <w:r/>
    </w:p>
    <w:p>
      <w:pPr>
        <w:pStyle w:val="843"/>
        <w:ind w:left="-142"/>
        <w:jc w:val="both"/>
        <w:spacing w:line="360" w:lineRule="auto"/>
        <w:rPr>
          <w:rFonts w:hint="eastAsia" w:ascii="宋体" w:hAnsi="宋体" w:eastAsia="宋体" w:cs="宋体"/>
          <w:color w:val="auto"/>
          <w:sz w:val="24"/>
          <w:szCs w:val="28"/>
          <w:highlight w:val="none"/>
        </w:rPr>
      </w:pPr>
      <w:r/>
      <w:bookmarkStart w:id="31" w:name="_Toc35393795"/>
      <w:r/>
      <w:bookmarkStart w:id="32" w:name="_Toc35393626"/>
      <w:r>
        <w:rPr>
          <w:rFonts w:hint="eastAsia" w:ascii="宋体" w:hAnsi="宋体" w:eastAsia="宋体" w:cs="宋体"/>
          <w:b w:val="0"/>
          <w:color w:val="auto"/>
          <w:sz w:val="24"/>
          <w:szCs w:val="28"/>
          <w:highlight w:val="none"/>
        </w:rPr>
        <w:t xml:space="preserve">六、其他补充事宜</w:t>
      </w:r>
      <w:bookmarkEnd w:id="31"/>
      <w:r/>
      <w:bookmarkEnd w:id="32"/>
      <w:r/>
      <w:bookmarkStart w:id="33" w:name="_Toc35393627"/>
      <w:r/>
      <w:bookmarkStart w:id="34" w:name="_Toc28359085"/>
      <w:r/>
      <w:bookmarkStart w:id="35" w:name="_Toc35393796"/>
      <w:r/>
      <w:bookmarkStart w:id="36" w:name="_Toc28359008"/>
      <w:r/>
      <w:r/>
    </w:p>
    <w:p>
      <w:pPr>
        <w:pStyle w:val="846"/>
        <w:numPr>
          <w:ilvl w:val="0"/>
          <w:numId w:val="1"/>
        </w:numPr>
        <w:ind w:firstLine="48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本项目通过电子交易平台进行采购，投标人须通过“苏采云”平台在线制作并提交投标文件。请在投标前详细阅读《</w:t>
      </w:r>
      <w:r>
        <w:rPr>
          <w:rFonts w:hint="eastAsia" w:ascii="宋体" w:hAnsi="宋体" w:eastAsia="宋体" w:cs="宋体"/>
          <w:color w:val="auto"/>
          <w:sz w:val="24"/>
          <w:szCs w:val="28"/>
          <w:highlight w:val="none"/>
          <w:lang w:eastAsia="zh-CN"/>
        </w:rPr>
        <w:t xml:space="preserve">苏采云</w:t>
      </w:r>
      <w:r>
        <w:rPr>
          <w:rFonts w:hint="eastAsia" w:ascii="宋体" w:hAnsi="宋体" w:eastAsia="宋体" w:cs="宋体"/>
          <w:color w:val="auto"/>
          <w:sz w:val="24"/>
          <w:szCs w:val="28"/>
          <w:highlight w:val="none"/>
        </w:rPr>
        <w:t xml:space="preserve">操作手册》（网址：</w:t>
      </w:r>
      <w:r>
        <w:rPr>
          <w:rFonts w:hint="eastAsia" w:ascii="宋体" w:hAnsi="宋体" w:eastAsia="宋体" w:cs="宋体"/>
          <w:color w:val="auto"/>
          <w:sz w:val="24"/>
          <w:szCs w:val="28"/>
          <w:highlight w:val="none"/>
        </w:rPr>
        <w:fldChar w:fldCharType="begin"/>
      </w:r>
      <w:r>
        <w:rPr>
          <w:rFonts w:hint="eastAsia" w:ascii="宋体" w:hAnsi="宋体" w:eastAsia="宋体" w:cs="宋体"/>
          <w:color w:val="auto"/>
          <w:sz w:val="24"/>
          <w:szCs w:val="28"/>
          <w:highlight w:val="none"/>
        </w:rPr>
        <w:instrText xml:space="preserve"> HYPERLINK "http://www.ccgp-jiangsu.gov.cn/jiangsu/zlxz/ee/ee3a4bc5a3454aa2b0d9312230633ce9.html）；" </w:instrText>
      </w:r>
      <w:r>
        <w:rPr>
          <w:rFonts w:hint="eastAsia" w:ascii="宋体" w:hAnsi="宋体" w:eastAsia="宋体" w:cs="宋体"/>
          <w:color w:val="auto"/>
          <w:sz w:val="24"/>
          <w:szCs w:val="28"/>
          <w:highlight w:val="none"/>
        </w:rPr>
        <w:fldChar w:fldCharType="separate"/>
      </w:r>
      <w:r>
        <w:rPr>
          <w:rStyle w:val="847"/>
          <w:rFonts w:hint="eastAsia" w:ascii="宋体" w:hAnsi="宋体" w:eastAsia="宋体" w:cs="宋体"/>
          <w:color w:val="auto"/>
          <w:sz w:val="24"/>
          <w:szCs w:val="28"/>
          <w:highlight w:val="none"/>
        </w:rPr>
        <w:t xml:space="preserve">http://www.ccgp-jiangsu.gov.cn/jiangsu/zlxz/ee/ee3a4bc5a3454aa2b0d9312230633ce9.html）；</w:t>
      </w:r>
      <w:r>
        <w:rPr>
          <w:rFonts w:hint="eastAsia" w:ascii="宋体" w:hAnsi="宋体" w:eastAsia="宋体" w:cs="宋体"/>
          <w:color w:val="auto"/>
          <w:sz w:val="24"/>
          <w:szCs w:val="28"/>
          <w:highlight w:val="none"/>
        </w:rPr>
        <w:fldChar w:fldCharType="end"/>
      </w:r>
      <w:r>
        <w:rPr>
          <w:rFonts w:hint="eastAsia" w:ascii="宋体" w:hAnsi="宋体" w:eastAsia="宋体" w:cs="宋体"/>
          <w:color w:val="auto"/>
          <w:sz w:val="24"/>
          <w:szCs w:val="28"/>
          <w:highlight w:val="none"/>
        </w:rPr>
        <w:t xml:space="preserve">截至投标截止时间，电子交易平台投标通道将关闭，投标人未完成电子投标文件有效提交的，其投标将被拒绝。</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2.</w:t>
      </w:r>
      <w:r>
        <w:rPr>
          <w:rFonts w:hint="eastAsia" w:ascii="宋体" w:hAnsi="宋体" w:eastAsia="宋体" w:cs="宋体"/>
          <w:color w:val="auto"/>
          <w:sz w:val="24"/>
          <w:szCs w:val="28"/>
          <w:highlight w:val="none"/>
        </w:rPr>
        <w:t xml:space="preserve">本项目采用网上开标方式，考虑到网络环境、网络带宽等风险因素，请投标人事先做好电脑环境准备，自行选择互联网连接畅通的场地，在规定的开标时间登录网上开标大厅进行投标文件解密。竞争性磋商、竞争性谈判、单一来源采购项目将与供应商就磋商（谈判）文件进行线上磋商（谈判），需要同时准备好耳麦和摄像设备。因供应商网络或电源不稳定、未按要求配置上述设备、上述设备发生故障</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解密锁发生故障等自身原因，导致响应文件在规定时间内未能解密、解密失败或解密超时，供应商自行承担其后果。</w:t>
      </w:r>
      <w:r/>
    </w:p>
    <w:p>
      <w:pPr>
        <w:pStyle w:val="846"/>
        <w:numPr>
          <w:ilvl w:val="0"/>
          <w:numId w:val="0"/>
        </w:numPr>
        <w:ind w:firstLine="48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3.</w:t>
      </w:r>
      <w:r>
        <w:rPr>
          <w:rFonts w:hint="eastAsia" w:ascii="宋体" w:hAnsi="宋体" w:eastAsia="宋体" w:cs="宋体"/>
          <w:color w:val="auto"/>
          <w:sz w:val="24"/>
          <w:szCs w:val="28"/>
          <w:highlight w:val="none"/>
        </w:rPr>
        <w:t xml:space="preserve">投标人在使用系统进行投标的过程中如遇到涉及平台使用的任何问题，应在工作日上午9：00-11:30 下午13:30-17:30期间致电技术支持热线咨询，联系方式:0519-86722803、0519-86722805。</w:t>
      </w:r>
      <w:r/>
    </w:p>
    <w:p>
      <w:pPr>
        <w:pStyle w:val="846"/>
        <w:ind w:firstLine="48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4</w:t>
      </w:r>
      <w:r>
        <w:rPr>
          <w:rFonts w:hint="eastAsia" w:ascii="宋体" w:hAnsi="宋体" w:eastAsia="宋体" w:cs="宋体"/>
          <w:color w:val="auto"/>
          <w:sz w:val="24"/>
          <w:szCs w:val="28"/>
          <w:highlight w:val="none"/>
        </w:rPr>
        <w:t xml:space="preserve">.投标人投标需提前办理数字认证证书，办理方式和注意事项详见:</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苏采云系统目前支持意源CA数字证书和方正电子签章，镇江地区意源（方正）办理方式：镇江市润州区冠城路8号工人大厦7楼公共资源交易中心大厅CA窗口，工作日办公时间：9:00-12:00、13:30-17:30联系人：邵娟，联系电话：13655287962。</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5.</w:t>
      </w:r>
      <w:r>
        <w:rPr>
          <w:rFonts w:hint="eastAsia" w:ascii="宋体" w:hAnsi="宋体" w:eastAsia="宋体" w:cs="宋体"/>
          <w:color w:val="auto"/>
          <w:sz w:val="24"/>
          <w:szCs w:val="28"/>
          <w:highlight w:val="none"/>
        </w:rPr>
        <w:t xml:space="preserve">苏采云系统使用谷歌浏览器参与不见面开标。</w:t>
      </w:r>
      <w:r/>
    </w:p>
    <w:p>
      <w:pPr>
        <w:pStyle w:val="843"/>
        <w:ind w:left="-142"/>
        <w:jc w:val="both"/>
        <w:spacing w:line="360" w:lineRule="auto"/>
        <w:rPr>
          <w:rFonts w:hint="eastAsia" w:ascii="宋体" w:hAnsi="宋体" w:eastAsia="宋体" w:cs="宋体"/>
          <w:b w:val="0"/>
          <w:color w:val="auto"/>
          <w:sz w:val="24"/>
          <w:szCs w:val="28"/>
          <w:highlight w:val="none"/>
        </w:rPr>
      </w:pPr>
      <w:r>
        <w:rPr>
          <w:rFonts w:hint="eastAsia" w:ascii="宋体" w:hAnsi="宋体" w:eastAsia="宋体" w:cs="宋体"/>
          <w:b w:val="0"/>
          <w:color w:val="auto"/>
          <w:sz w:val="24"/>
          <w:szCs w:val="28"/>
          <w:highlight w:val="none"/>
        </w:rPr>
        <w:t xml:space="preserve">七、对本次招标提出询问，请按以下方式联系。</w:t>
      </w:r>
      <w:bookmarkEnd w:id="33"/>
      <w:r/>
      <w:bookmarkEnd w:id="34"/>
      <w:r/>
      <w:bookmarkEnd w:id="35"/>
      <w:r/>
      <w:bookmarkEnd w:id="36"/>
      <w:r/>
      <w:r/>
    </w:p>
    <w:p>
      <w:pPr>
        <w:ind w:firstLine="72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1.采购人信息</w:t>
      </w:r>
      <w:r/>
    </w:p>
    <w:p>
      <w:pPr>
        <w:ind w:left="1079" w:hanging="300"/>
        <w:jc w:val="left"/>
        <w:spacing w:line="360" w:lineRule="auto"/>
        <w:rPr>
          <w:rFonts w:hint="eastAsia" w:ascii="宋体" w:hAnsi="宋体" w:eastAsia="宋体" w:cs="宋体"/>
          <w:color w:val="auto"/>
          <w:sz w:val="24"/>
          <w:szCs w:val="24"/>
          <w:highlight w:val="none"/>
          <w:u w:val="none"/>
        </w:rPr>
      </w:pPr>
      <w:r/>
      <w:bookmarkStart w:id="37" w:name="_Toc28359009"/>
      <w:r/>
      <w:bookmarkStart w:id="38" w:name="_Toc28359086"/>
      <w:r>
        <w:rPr>
          <w:rFonts w:hint="eastAsia" w:ascii="宋体" w:hAnsi="宋体" w:eastAsia="宋体" w:cs="宋体"/>
          <w:color w:val="auto"/>
          <w:sz w:val="24"/>
          <w:szCs w:val="24"/>
          <w:highlight w:val="none"/>
          <w:u w:val="none"/>
        </w:rPr>
        <w:t xml:space="preserve">名 称：句容市宝华镇人民政府</w:t>
      </w:r>
      <w:r/>
    </w:p>
    <w:p>
      <w:pPr>
        <w:ind w:left="1079" w:hanging="300"/>
        <w:jc w:val="left"/>
        <w:spacing w:line="360" w:lineRule="auto"/>
        <w:rPr>
          <w:rFonts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 xml:space="preserve">地址：镇江市句容市</w:t>
      </w:r>
      <w:r>
        <w:rPr>
          <w:rFonts w:hint="eastAsia" w:ascii="宋体" w:hAnsi="宋体" w:cs="宋体"/>
          <w:color w:val="auto"/>
          <w:sz w:val="24"/>
          <w:szCs w:val="24"/>
          <w:highlight w:val="none"/>
          <w:u w:val="none"/>
          <w:lang w:val="en-US" w:eastAsia="zh-CN"/>
        </w:rPr>
        <w:t xml:space="preserve">宝华镇</w:t>
      </w:r>
      <w:r/>
    </w:p>
    <w:p>
      <w:pPr>
        <w:ind w:left="1079" w:hanging="300"/>
        <w:jc w:val="left"/>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联系人：</w:t>
      </w:r>
      <w:r>
        <w:rPr>
          <w:rFonts w:hint="eastAsia" w:ascii="宋体" w:hAnsi="宋体" w:cs="宋体"/>
          <w:color w:val="auto"/>
          <w:sz w:val="24"/>
          <w:szCs w:val="24"/>
          <w:highlight w:val="none"/>
          <w:u w:val="none"/>
          <w:lang w:eastAsia="zh-CN"/>
        </w:rPr>
        <w:t xml:space="preserve">经超</w:t>
      </w:r>
      <w:r/>
    </w:p>
    <w:p>
      <w:pPr>
        <w:ind w:left="1079" w:hanging="300"/>
        <w:jc w:val="left"/>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联系方式：</w:t>
      </w:r>
      <w:bookmarkEnd w:id="37"/>
      <w:r/>
      <w:bookmarkEnd w:id="38"/>
      <w:r>
        <w:rPr>
          <w:rFonts w:hint="eastAsia" w:ascii="宋体" w:hAnsi="宋体" w:cs="宋体"/>
          <w:color w:val="auto"/>
          <w:sz w:val="24"/>
          <w:szCs w:val="24"/>
          <w:highlight w:val="none"/>
          <w:u w:val="none"/>
          <w:lang w:eastAsia="zh-CN"/>
        </w:rPr>
        <w:t xml:space="preserve">18205294797</w:t>
      </w:r>
      <w:r/>
    </w:p>
    <w:p>
      <w:pPr>
        <w:ind w:left="1079" w:hanging="300"/>
        <w:jc w:val="left"/>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2.采购代理机构信息</w:t>
      </w:r>
      <w:r/>
    </w:p>
    <w:p>
      <w:pPr>
        <w:ind w:left="1079" w:hanging="300"/>
        <w:jc w:val="left"/>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名 称：</w:t>
      </w:r>
      <w:r>
        <w:rPr>
          <w:rFonts w:hint="eastAsia" w:ascii="宋体" w:hAnsi="宋体" w:cs="宋体"/>
          <w:color w:val="auto"/>
          <w:sz w:val="24"/>
          <w:szCs w:val="24"/>
          <w:highlight w:val="none"/>
          <w:u w:val="none"/>
          <w:lang w:eastAsia="zh-CN"/>
        </w:rPr>
        <w:t xml:space="preserve">德道天诚（南京）房地产评估咨询有限公司</w:t>
      </w:r>
      <w:r/>
    </w:p>
    <w:p>
      <w:pPr>
        <w:ind w:left="1079" w:hanging="300"/>
        <w:jc w:val="left"/>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地 址：</w:t>
      </w:r>
      <w:r>
        <w:rPr>
          <w:rFonts w:hint="eastAsia" w:ascii="宋体" w:hAnsi="宋体" w:cs="宋体"/>
          <w:color w:val="auto"/>
          <w:sz w:val="24"/>
          <w:szCs w:val="24"/>
          <w:highlight w:val="none"/>
          <w:u w:val="none"/>
          <w:lang w:eastAsia="zh-CN"/>
        </w:rPr>
        <w:t xml:space="preserve">句容市龙锦新天地1幢702室</w:t>
      </w:r>
      <w:r/>
    </w:p>
    <w:p>
      <w:pPr>
        <w:ind w:left="1079" w:hanging="300"/>
        <w:jc w:val="left"/>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联系方式：</w:t>
      </w:r>
      <w:r>
        <w:rPr>
          <w:rFonts w:hint="eastAsia" w:ascii="宋体" w:hAnsi="宋体" w:cs="宋体"/>
          <w:color w:val="auto"/>
          <w:sz w:val="24"/>
          <w:szCs w:val="24"/>
          <w:highlight w:val="none"/>
          <w:u w:val="none"/>
          <w:lang w:eastAsia="zh-CN"/>
        </w:rPr>
        <w:t xml:space="preserve">18952993344</w:t>
      </w:r>
      <w:r/>
    </w:p>
    <w:p>
      <w:pPr>
        <w:ind w:left="1079" w:hanging="300"/>
        <w:jc w:val="left"/>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3.项目联系方式</w:t>
      </w:r>
      <w:r/>
    </w:p>
    <w:p>
      <w:pPr>
        <w:ind w:left="1079" w:hanging="300"/>
        <w:jc w:val="left"/>
        <w:spacing w:line="360" w:lineRule="auto"/>
        <w:rPr>
          <w:rFonts w:hint="default"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 xml:space="preserve">项目联系人：</w:t>
      </w:r>
      <w:r>
        <w:rPr>
          <w:rFonts w:hint="eastAsia" w:ascii="宋体" w:hAnsi="宋体" w:cs="宋体"/>
          <w:color w:val="auto"/>
          <w:sz w:val="24"/>
          <w:szCs w:val="24"/>
          <w:highlight w:val="none"/>
          <w:u w:val="none"/>
          <w:lang w:eastAsia="zh-CN"/>
        </w:rPr>
        <w:t xml:space="preserve">陈</w:t>
      </w:r>
      <w:r>
        <w:rPr>
          <w:rFonts w:hint="eastAsia" w:ascii="宋体" w:hAnsi="宋体" w:cs="宋体"/>
          <w:color w:val="auto"/>
          <w:sz w:val="24"/>
          <w:szCs w:val="24"/>
          <w:highlight w:val="none"/>
          <w:u w:val="none"/>
          <w:lang w:val="en-US" w:eastAsia="zh-CN"/>
        </w:rPr>
        <w:t xml:space="preserve">涛</w:t>
      </w:r>
      <w:r/>
    </w:p>
    <w:p>
      <w:pPr>
        <w:ind w:left="1079" w:hanging="300"/>
        <w:jc w:val="left"/>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电话：</w:t>
      </w:r>
      <w:r>
        <w:rPr>
          <w:rFonts w:hint="eastAsia" w:ascii="宋体" w:hAnsi="宋体" w:cs="宋体"/>
          <w:color w:val="auto"/>
          <w:sz w:val="24"/>
          <w:szCs w:val="24"/>
          <w:highlight w:val="none"/>
          <w:u w:val="none"/>
          <w:lang w:eastAsia="zh-CN"/>
        </w:rPr>
        <w:t xml:space="preserve">18952993344</w:t>
      </w:r>
      <w:r/>
    </w:p>
    <w:p>
      <w:pPr>
        <w:ind w:left="1079" w:hanging="300"/>
        <w:jc w:val="right"/>
        <w:spacing w:line="360" w:lineRule="auto"/>
        <w:rPr>
          <w:rFonts w:hint="eastAsia" w:ascii="宋体" w:hAnsi="宋体" w:cs="宋体"/>
          <w:color w:val="auto"/>
          <w:sz w:val="24"/>
          <w:szCs w:val="28"/>
          <w:highlight w:val="none"/>
          <w:lang w:eastAsia="zh-CN"/>
        </w:rPr>
      </w:pPr>
      <w:r>
        <w:rPr>
          <w:rFonts w:hint="eastAsia" w:ascii="宋体" w:hAnsi="宋体" w:cs="宋体"/>
          <w:color w:val="auto"/>
          <w:sz w:val="24"/>
          <w:szCs w:val="28"/>
          <w:highlight w:val="none"/>
          <w:lang w:eastAsia="zh-CN"/>
        </w:rPr>
      </w:r>
      <w:r/>
    </w:p>
    <w:p>
      <w:pPr>
        <w:ind w:left="1079" w:hanging="300"/>
        <w:jc w:val="right"/>
        <w:spacing w:line="360" w:lineRule="auto"/>
        <w:rPr>
          <w:rFonts w:hint="eastAsia" w:ascii="宋体" w:hAnsi="宋体" w:eastAsia="宋体" w:cs="宋体"/>
          <w:color w:val="auto"/>
          <w:sz w:val="24"/>
          <w:szCs w:val="28"/>
          <w:highlight w:val="none"/>
        </w:rPr>
      </w:pPr>
      <w:r>
        <w:rPr>
          <w:rFonts w:hint="eastAsia" w:ascii="宋体" w:hAnsi="宋体" w:cs="宋体"/>
          <w:color w:val="auto"/>
          <w:sz w:val="24"/>
          <w:szCs w:val="28"/>
          <w:highlight w:val="none"/>
          <w:lang w:eastAsia="zh-CN"/>
        </w:rPr>
        <w:t xml:space="preserve">德道天诚（南京）房地产评估咨询有限公司</w:t>
      </w:r>
      <w:r>
        <w:rPr>
          <w:rFonts w:hint="eastAsia" w:ascii="宋体" w:hAnsi="宋体" w:eastAsia="宋体" w:cs="宋体"/>
          <w:color w:val="auto"/>
          <w:sz w:val="24"/>
          <w:szCs w:val="28"/>
          <w:highlight w:val="none"/>
        </w:rPr>
        <w:t xml:space="preserve">                                              </w:t>
      </w:r>
      <w:bookmarkEnd w:id="5"/>
      <w:r/>
      <w:bookmarkEnd w:id="6"/>
      <w:r/>
      <w:bookmarkEnd w:id="7"/>
      <w:r/>
      <w:bookmarkEnd w:id="8"/>
      <w:r/>
      <w:bookmarkEnd w:id="9"/>
      <w:r/>
      <w:bookmarkStart w:id="39" w:name="_Toc92168000"/>
      <w:r/>
      <w:bookmarkStart w:id="40" w:name="_Toc100386034"/>
      <w:r>
        <w:rPr>
          <w:rFonts w:hint="eastAsia" w:ascii="宋体" w:hAnsi="宋体" w:cs="宋体"/>
          <w:color w:val="auto"/>
          <w:sz w:val="24"/>
          <w:szCs w:val="28"/>
          <w:highlight w:val="none"/>
          <w:lang w:eastAsia="zh-CN"/>
        </w:rPr>
        <w:t xml:space="preserve">2026年</w:t>
      </w:r>
      <w:r>
        <w:rPr>
          <w:rFonts w:hint="eastAsia" w:ascii="宋体" w:hAnsi="宋体" w:cs="宋体"/>
          <w:color w:val="auto"/>
          <w:sz w:val="24"/>
          <w:szCs w:val="28"/>
          <w:highlight w:val="none"/>
          <w:lang w:val="en-US" w:eastAsia="zh-CN"/>
        </w:rPr>
        <w:t xml:space="preserve">6</w:t>
      </w:r>
      <w:r>
        <w:rPr>
          <w:rFonts w:hint="eastAsia" w:ascii="宋体" w:hAnsi="宋体" w:cs="宋体"/>
          <w:color w:val="auto"/>
          <w:sz w:val="24"/>
          <w:szCs w:val="28"/>
          <w:highlight w:val="none"/>
          <w:lang w:eastAsia="zh-CN"/>
        </w:rPr>
        <w:t xml:space="preserve">月</w:t>
      </w:r>
      <w:r>
        <w:rPr>
          <w:rFonts w:hint="eastAsia" w:ascii="宋体" w:hAnsi="宋体" w:cs="宋体"/>
          <w:color w:val="auto"/>
          <w:sz w:val="24"/>
          <w:szCs w:val="28"/>
          <w:highlight w:val="none"/>
          <w:lang w:val="en-US" w:eastAsia="zh-CN"/>
        </w:rPr>
        <w:t xml:space="preserve">8</w:t>
      </w:r>
      <w:r>
        <w:rPr>
          <w:rFonts w:hint="eastAsia" w:ascii="宋体" w:hAnsi="宋体" w:cs="宋体"/>
          <w:color w:val="auto"/>
          <w:sz w:val="24"/>
          <w:szCs w:val="28"/>
          <w:highlight w:val="none"/>
          <w:lang w:eastAsia="zh-CN"/>
        </w:rPr>
        <w:t xml:space="preserve">日</w:t>
      </w:r>
      <w:r>
        <w:rPr>
          <w:rFonts w:hint="eastAsia" w:ascii="宋体" w:hAnsi="宋体" w:eastAsia="宋体" w:cs="宋体"/>
          <w:color w:val="auto"/>
          <w:szCs w:val="32"/>
          <w:highlight w:val="none"/>
        </w:rPr>
        <w:br w:type="page" w:clear="all"/>
      </w:r>
      <w:r/>
    </w:p>
    <w:p>
      <w:pPr>
        <w:pStyle w:val="844"/>
        <w:ind w:left="779" w:right="900" w:firstLine="420"/>
        <w:jc w:val="center"/>
        <w:keepLines w:val="0"/>
        <w:keepNext w:val="0"/>
        <w:spacing w:before="200" w:after="200"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第二部分    投标人须知</w:t>
      </w:r>
      <w:r/>
    </w:p>
    <w:p>
      <w:pPr>
        <w:pStyle w:val="844"/>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前附表</w:t>
      </w:r>
      <w:r/>
    </w:p>
    <w:tbl>
      <w:tblPr>
        <w:tblStyle w:val="83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5"/>
        <w:gridCol w:w="1343"/>
        <w:gridCol w:w="6517"/>
      </w:tblGrid>
      <w:tr>
        <w:trPr/>
        <w:tc>
          <w:tcPr>
            <w:tcW w:w="816" w:type="dxa"/>
            <w:vAlign w:val="center"/>
            <w:textDirection w:val="lrTb"/>
            <w:noWrap w:val="false"/>
          </w:tcPr>
          <w:p>
            <w:pPr>
              <w:pStyle w:val="845"/>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序号</w:t>
            </w:r>
            <w:r/>
          </w:p>
        </w:tc>
        <w:tc>
          <w:tcPr>
            <w:tcW w:w="1994" w:type="dxa"/>
            <w:vAlign w:val="center"/>
            <w:textDirection w:val="lrTb"/>
            <w:noWrap w:val="false"/>
          </w:tcPr>
          <w:p>
            <w:pPr>
              <w:pStyle w:val="845"/>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事项</w:t>
            </w:r>
            <w:r/>
          </w:p>
        </w:tc>
        <w:tc>
          <w:tcPr>
            <w:tcW w:w="6819" w:type="dxa"/>
            <w:vAlign w:val="center"/>
            <w:textDirection w:val="lrTb"/>
            <w:noWrap w:val="false"/>
          </w:tcPr>
          <w:p>
            <w:pPr>
              <w:pStyle w:val="845"/>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本项目规定</w:t>
            </w:r>
            <w:r/>
          </w:p>
        </w:tc>
      </w:tr>
      <w:tr>
        <w:trPr/>
        <w:tc>
          <w:tcPr>
            <w:tcW w:w="816" w:type="dxa"/>
            <w:vAlign w:val="center"/>
            <w:textDirection w:val="lrTb"/>
            <w:noWrap w:val="false"/>
          </w:tcPr>
          <w:p>
            <w:pPr>
              <w:pStyle w:val="845"/>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1</w:t>
            </w:r>
            <w:r/>
          </w:p>
        </w:tc>
        <w:tc>
          <w:tcPr>
            <w:tcW w:w="1994" w:type="dxa"/>
            <w:vAlign w:val="center"/>
            <w:textDirection w:val="lrTb"/>
            <w:noWrap w:val="false"/>
          </w:tcPr>
          <w:p>
            <w:pPr>
              <w:pStyle w:val="845"/>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报价要求</w:t>
            </w:r>
            <w:r/>
          </w:p>
        </w:tc>
        <w:tc>
          <w:tcPr>
            <w:tcW w:w="6819" w:type="dxa"/>
            <w:vAlign w:val="center"/>
            <w:textDirection w:val="lrTb"/>
            <w:noWrap w:val="false"/>
          </w:tcPr>
          <w:p>
            <w:pPr>
              <w:pStyle w:val="845"/>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本次投标报价的币种为人民币。</w:t>
            </w:r>
            <w:r/>
          </w:p>
          <w:p>
            <w:pPr>
              <w:pStyle w:val="845"/>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投标人应按招标文件所提供的各报价表格式报价。</w:t>
            </w:r>
            <w:r/>
          </w:p>
          <w:p>
            <w:pPr>
              <w:pStyle w:val="845"/>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投标人应对本项目报出最具有竞争力的价格，应包括本次招标要求提供的货物（服务）已支付或将支付的所有费用（含税费）。</w:t>
            </w:r>
            <w:r/>
          </w:p>
          <w:p>
            <w:pPr>
              <w:pStyle w:val="845"/>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最低投标报价不能作为中标的保证。</w:t>
            </w:r>
            <w:r/>
          </w:p>
          <w:p>
            <w:pPr>
              <w:pStyle w:val="845"/>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中标价即为合同签约价。</w:t>
            </w:r>
            <w:r/>
          </w:p>
          <w:p>
            <w:pPr>
              <w:pStyle w:val="845"/>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如出现报价前后不一致的，将按招标文件第五部分“评标办法和标准”第5项规定进行修正。</w:t>
            </w:r>
            <w:r/>
          </w:p>
          <w:p>
            <w:pPr>
              <w:pStyle w:val="845"/>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r>
      <w:tr>
        <w:trPr>
          <w:trHeight w:val="1366"/>
        </w:trPr>
        <w:tc>
          <w:tcPr>
            <w:tcW w:w="816" w:type="dxa"/>
            <w:vAlign w:val="center"/>
            <w:textDirection w:val="lrTb"/>
            <w:noWrap w:val="false"/>
          </w:tcPr>
          <w:p>
            <w:pPr>
              <w:pStyle w:val="845"/>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2</w:t>
            </w:r>
            <w:r/>
          </w:p>
        </w:tc>
        <w:tc>
          <w:tcPr>
            <w:tcW w:w="1994" w:type="dxa"/>
            <w:vAlign w:val="center"/>
            <w:textDirection w:val="lrTb"/>
            <w:noWrap w:val="false"/>
          </w:tcPr>
          <w:p>
            <w:pPr>
              <w:pStyle w:val="845"/>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转包及分包</w:t>
            </w:r>
            <w:r/>
          </w:p>
        </w:tc>
        <w:tc>
          <w:tcPr>
            <w:tcW w:w="6819" w:type="dxa"/>
            <w:vAlign w:val="center"/>
            <w:textDirection w:val="lrTb"/>
            <w:noWrap w:val="false"/>
          </w:tcPr>
          <w:p>
            <w:pPr>
              <w:pStyle w:val="845"/>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项目依法不得转包</w:t>
            </w:r>
            <w:r/>
          </w:p>
          <w:p>
            <w:pPr>
              <w:pStyle w:val="845"/>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☑A本项目不同意分包。</w:t>
            </w:r>
            <w:r/>
          </w:p>
          <w:p>
            <w:pPr>
              <w:pStyle w:val="845"/>
              <w:ind w:firstLine="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B同意将非主体、非关键性的</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工作分包。投标人应当在投标文件中载明分包承担主体，分包承担主体应当具备相应资质条件且不得再次分包。享受中小企业扶持政策获得政府采购合同的，小微企业不得将合同分包给大中型企业，中型企业不得将合同分包给大型企业。（提醒：采购人允许采用分包方式履行合同的，应当在采购文件中明确可以分包履行的具体内容、金额或者比例，分包承担主体所需要具有的资质。）</w:t>
            </w:r>
            <w:r/>
          </w:p>
        </w:tc>
      </w:tr>
      <w:tr>
        <w:trPr>
          <w:trHeight w:val="1366"/>
        </w:trPr>
        <w:tc>
          <w:tcPr>
            <w:tcW w:w="816" w:type="dxa"/>
            <w:vAlign w:val="center"/>
            <w:textDirection w:val="lrTb"/>
            <w:noWrap w:val="false"/>
          </w:tcPr>
          <w:p>
            <w:pPr>
              <w:pStyle w:val="845"/>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3</w:t>
            </w:r>
            <w:r/>
          </w:p>
        </w:tc>
        <w:tc>
          <w:tcPr>
            <w:tcW w:w="1994" w:type="dxa"/>
            <w:vAlign w:val="center"/>
            <w:textDirection w:val="lrTb"/>
            <w:noWrap w:val="false"/>
          </w:tcPr>
          <w:p>
            <w:pPr>
              <w:pStyle w:val="849"/>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rPr>
              <w:t xml:space="preserve">开标前答疑会</w:t>
            </w:r>
            <w:r/>
          </w:p>
        </w:tc>
        <w:tc>
          <w:tcPr>
            <w:tcW w:w="6819" w:type="dxa"/>
            <w:vAlign w:val="center"/>
            <w:textDirection w:val="lrTb"/>
            <w:noWrap w:val="false"/>
          </w:tcPr>
          <w:p>
            <w:pPr>
              <w:pStyle w:val="849"/>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☑A不组织</w:t>
            </w:r>
            <w:r/>
          </w:p>
          <w:p>
            <w:pPr>
              <w:pStyle w:val="849"/>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□B组织</w:t>
            </w:r>
            <w:r/>
          </w:p>
          <w:p>
            <w:pPr>
              <w:pStyle w:val="849"/>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时间：</w:t>
            </w:r>
            <w:r>
              <w:rPr>
                <w:rFonts w:hint="eastAsia" w:ascii="宋体" w:hAnsi="宋体" w:eastAsia="宋体" w:cs="宋体"/>
                <w:color w:val="auto"/>
                <w:sz w:val="24"/>
                <w:highlight w:val="none"/>
                <w:u w:val="single"/>
              </w:rPr>
              <w:t xml:space="preserve">            </w:t>
            </w:r>
            <w:r/>
          </w:p>
          <w:p>
            <w:pPr>
              <w:pStyle w:val="849"/>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地点：</w:t>
            </w:r>
            <w:r>
              <w:rPr>
                <w:rFonts w:hint="eastAsia" w:ascii="宋体" w:hAnsi="宋体" w:eastAsia="宋体" w:cs="宋体"/>
                <w:color w:val="auto"/>
                <w:sz w:val="24"/>
                <w:highlight w:val="none"/>
                <w:u w:val="single"/>
              </w:rPr>
              <w:t xml:space="preserve">           </w:t>
            </w:r>
            <w:r/>
          </w:p>
          <w:p>
            <w:pPr>
              <w:pStyle w:val="849"/>
              <w:ind w:firstLine="0"/>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u w:val="single"/>
              </w:rPr>
              <w:t xml:space="preserve">        </w:t>
            </w:r>
            <w:r/>
          </w:p>
        </w:tc>
      </w:tr>
      <w:tr>
        <w:trPr>
          <w:trHeight w:val="1366"/>
        </w:trPr>
        <w:tc>
          <w:tcPr>
            <w:tcW w:w="816" w:type="dxa"/>
            <w:vAlign w:val="center"/>
            <w:textDirection w:val="lrTb"/>
            <w:noWrap w:val="false"/>
          </w:tcPr>
          <w:p>
            <w:pPr>
              <w:pStyle w:val="845"/>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4</w:t>
            </w:r>
            <w:r/>
          </w:p>
        </w:tc>
        <w:tc>
          <w:tcPr>
            <w:tcW w:w="1994" w:type="dxa"/>
            <w:vAlign w:val="center"/>
            <w:textDirection w:val="lrTb"/>
            <w:noWrap w:val="false"/>
          </w:tcPr>
          <w:p>
            <w:pPr>
              <w:pStyle w:val="849"/>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rPr>
              <w:t xml:space="preserve">现场踏勘</w:t>
            </w:r>
            <w:r/>
          </w:p>
        </w:tc>
        <w:tc>
          <w:tcPr>
            <w:tcW w:w="6819" w:type="dxa"/>
            <w:vAlign w:val="center"/>
            <w:textDirection w:val="lrTb"/>
            <w:noWrap w:val="false"/>
          </w:tcPr>
          <w:p>
            <w:pPr>
              <w:pStyle w:val="849"/>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☑A不统一组织</w:t>
            </w:r>
            <w:r/>
          </w:p>
          <w:p>
            <w:pPr>
              <w:pStyle w:val="849"/>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□B统一组织</w:t>
            </w:r>
            <w:r/>
          </w:p>
          <w:p>
            <w:pPr>
              <w:pStyle w:val="849"/>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时间：</w:t>
            </w:r>
            <w:r>
              <w:rPr>
                <w:rFonts w:hint="eastAsia" w:ascii="宋体" w:hAnsi="宋体" w:eastAsia="宋体" w:cs="宋体"/>
                <w:color w:val="auto"/>
                <w:sz w:val="24"/>
                <w:highlight w:val="none"/>
                <w:u w:val="single"/>
              </w:rPr>
              <w:t xml:space="preserve">            </w:t>
            </w:r>
            <w:r/>
          </w:p>
          <w:p>
            <w:pPr>
              <w:pStyle w:val="849"/>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地点：</w:t>
            </w:r>
            <w:r>
              <w:rPr>
                <w:rFonts w:hint="eastAsia" w:ascii="宋体" w:hAnsi="宋体" w:eastAsia="宋体" w:cs="宋体"/>
                <w:color w:val="auto"/>
                <w:sz w:val="24"/>
                <w:highlight w:val="none"/>
                <w:u w:val="single"/>
              </w:rPr>
              <w:t xml:space="preserve">           </w:t>
            </w:r>
            <w:r/>
          </w:p>
          <w:p>
            <w:pPr>
              <w:pStyle w:val="849"/>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u w:val="single"/>
              </w:rPr>
              <w:t xml:space="preserve">        </w:t>
            </w:r>
            <w:r/>
          </w:p>
        </w:tc>
      </w:tr>
      <w:tr>
        <w:trPr>
          <w:trHeight w:val="1366"/>
        </w:trPr>
        <w:tc>
          <w:tcPr>
            <w:tcW w:w="816" w:type="dxa"/>
            <w:vAlign w:val="center"/>
            <w:textDirection w:val="lrTb"/>
            <w:noWrap w:val="false"/>
          </w:tcPr>
          <w:p>
            <w:pPr>
              <w:pStyle w:val="845"/>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5</w:t>
            </w:r>
            <w:r/>
          </w:p>
        </w:tc>
        <w:tc>
          <w:tcPr>
            <w:tcW w:w="1994" w:type="dxa"/>
            <w:vAlign w:val="center"/>
            <w:textDirection w:val="lrTb"/>
            <w:noWrap w:val="false"/>
          </w:tcPr>
          <w:p>
            <w:pPr>
              <w:pStyle w:val="849"/>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rPr>
              <w:t xml:space="preserve">演示</w:t>
            </w:r>
            <w:r/>
          </w:p>
        </w:tc>
        <w:tc>
          <w:tcPr>
            <w:tcW w:w="6819" w:type="dxa"/>
            <w:vAlign w:val="center"/>
            <w:textDirection w:val="lrTb"/>
            <w:noWrap w:val="false"/>
          </w:tcPr>
          <w:p>
            <w:pPr>
              <w:pStyle w:val="849"/>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☑A无</w:t>
            </w:r>
            <w:r/>
          </w:p>
          <w:p>
            <w:pPr>
              <w:pStyle w:val="849"/>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□B有，本项目演示使用录播上传形式，各投标人自行将录播内容上传至苏采云平台。上传前请详细阅读苏采云操作指南。</w:t>
            </w:r>
            <w:r/>
          </w:p>
        </w:tc>
      </w:tr>
      <w:tr>
        <w:trPr/>
        <w:tc>
          <w:tcPr>
            <w:tcW w:w="816" w:type="dxa"/>
            <w:vAlign w:val="center"/>
            <w:textDirection w:val="lrTb"/>
            <w:noWrap w:val="false"/>
          </w:tcPr>
          <w:p>
            <w:pPr>
              <w:pStyle w:val="845"/>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6</w:t>
            </w:r>
            <w:r/>
          </w:p>
        </w:tc>
        <w:tc>
          <w:tcPr>
            <w:tcW w:w="1994" w:type="dxa"/>
            <w:vAlign w:val="center"/>
            <w:textDirection w:val="lrTb"/>
            <w:noWrap w:val="false"/>
          </w:tcPr>
          <w:p>
            <w:pPr>
              <w:pStyle w:val="849"/>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rPr>
              <w:t xml:space="preserve">样品</w:t>
            </w:r>
            <w:r/>
          </w:p>
        </w:tc>
        <w:tc>
          <w:tcPr>
            <w:tcW w:w="6819" w:type="dxa"/>
            <w:vAlign w:val="center"/>
            <w:textDirection w:val="lrTb"/>
            <w:noWrap w:val="false"/>
          </w:tcPr>
          <w:p>
            <w:pPr>
              <w:pStyle w:val="849"/>
              <w:ind w:firstLine="0"/>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A不要求提供。</w:t>
            </w:r>
            <w:r/>
          </w:p>
          <w:p>
            <w:pPr>
              <w:pStyle w:val="849"/>
              <w:ind w:firstLine="0"/>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B要求提供（</w:t>
            </w:r>
            <w:r>
              <w:rPr>
                <w:rFonts w:hint="eastAsia" w:ascii="宋体" w:hAnsi="宋体" w:eastAsia="宋体" w:cs="宋体"/>
                <w:i/>
                <w:iCs/>
                <w:color w:val="auto"/>
                <w:sz w:val="24"/>
                <w:highlight w:val="none"/>
                <w:u w:val="single"/>
              </w:rPr>
              <w:t xml:space="preserve">提醒：除仅凭书面方式不能准确描述采购需求或者需要对样品进行主观判断以确认是否满足采购需求等特殊情况外，不得要求投标人提供样品。</w:t>
            </w:r>
            <w:r>
              <w:rPr>
                <w:rFonts w:hint="eastAsia" w:ascii="宋体" w:hAnsi="宋体" w:eastAsia="宋体" w:cs="宋体"/>
                <w:color w:val="auto"/>
                <w:sz w:val="24"/>
                <w:highlight w:val="none"/>
              </w:rPr>
              <w:t xml:space="preserve">）</w:t>
            </w:r>
            <w:r/>
          </w:p>
          <w:p>
            <w:pPr>
              <w:pStyle w:val="849"/>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（1）样品：</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单人操作台，玩具柜（带轮）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849"/>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（2）样品制作的标准和要求：</w:t>
            </w:r>
            <w:r>
              <w:rPr>
                <w:rFonts w:hint="eastAsia" w:ascii="宋体" w:hAnsi="宋体" w:eastAsia="宋体" w:cs="宋体"/>
                <w:color w:val="auto"/>
                <w:sz w:val="24"/>
                <w:highlight w:val="none"/>
                <w:u w:val="single"/>
                <w:lang w:val="en-US" w:eastAsia="zh-CN"/>
              </w:rPr>
              <w:t xml:space="preserve">具体详见评</w:t>
            </w:r>
            <w:r>
              <w:rPr>
                <w:rFonts w:hint="eastAsia" w:ascii="宋体" w:hAnsi="宋体" w:cs="宋体"/>
                <w:color w:val="auto"/>
                <w:sz w:val="24"/>
                <w:highlight w:val="none"/>
                <w:u w:val="single"/>
                <w:lang w:val="en-US" w:eastAsia="zh-CN"/>
              </w:rPr>
              <w:t xml:space="preserve">标</w:t>
            </w:r>
            <w:r>
              <w:rPr>
                <w:rFonts w:hint="eastAsia" w:ascii="宋体" w:hAnsi="宋体" w:eastAsia="宋体" w:cs="宋体"/>
                <w:color w:val="auto"/>
                <w:sz w:val="24"/>
                <w:highlight w:val="none"/>
                <w:u w:val="single"/>
                <w:lang w:val="en-US" w:eastAsia="zh-CN"/>
              </w:rPr>
              <w:t xml:space="preserve">办法</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849"/>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（3）样品的评审方法以及评审标准：详见评标办法；</w:t>
            </w:r>
            <w:r/>
          </w:p>
          <w:p>
            <w:pPr>
              <w:pStyle w:val="849"/>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（4）是否需要随样品提交检测报告：</w:t>
            </w: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否；</w:t>
            </w: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是，检测机构的要求：</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；检测内容：</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849"/>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（5）提供样品的时间：</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2026年6月24日，上午8:30到下午17:30，过时不受理  </w:t>
            </w:r>
            <w:r>
              <w:rPr>
                <w:rFonts w:hint="eastAsia" w:ascii="宋体" w:hAnsi="宋体" w:eastAsia="宋体" w:cs="宋体"/>
                <w:color w:val="auto"/>
                <w:sz w:val="24"/>
                <w:highlight w:val="none"/>
              </w:rPr>
              <w:t xml:space="preserve">；地点：</w:t>
            </w:r>
            <w:r>
              <w:rPr>
                <w:rFonts w:hint="eastAsia" w:ascii="宋体" w:hAnsi="宋体" w:cs="宋体"/>
                <w:color w:val="auto"/>
                <w:sz w:val="24"/>
                <w:highlight w:val="none"/>
                <w:u w:val="single"/>
                <w:lang w:val="en-US" w:eastAsia="zh-CN"/>
              </w:rPr>
              <w:t xml:space="preserve">江苏省句容市行政服务中心1号楼5楼样品室 </w:t>
            </w: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郑工</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，联系电话：</w:t>
            </w:r>
            <w:r>
              <w:rPr>
                <w:rFonts w:hint="eastAsia" w:ascii="宋体" w:hAnsi="宋体" w:cs="宋体"/>
                <w:color w:val="auto"/>
                <w:sz w:val="24"/>
                <w:highlight w:val="none"/>
                <w:u w:val="single"/>
                <w:lang w:val="en-US" w:eastAsia="zh-CN"/>
              </w:rPr>
              <w:t xml:space="preserve">15365965301</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。请投标人在上述时间内提供样品并按规定位置安装完毕。超过截止时间的，采购人或采购代理机构将不予接收及安装，并将清场并封闭样品现场。</w:t>
            </w:r>
            <w:r/>
          </w:p>
          <w:p>
            <w:pPr>
              <w:pStyle w:val="849"/>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849"/>
              <w:ind w:firstLine="0"/>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rPr>
              <w:t xml:space="preserve">（7）制作、运输、安装和保管样品所发生的一切费用由投标人自理。</w:t>
            </w:r>
            <w:r/>
          </w:p>
        </w:tc>
      </w:tr>
      <w:tr>
        <w:trPr/>
        <w:tc>
          <w:tcPr>
            <w:tcW w:w="816" w:type="dxa"/>
            <w:vAlign w:val="center"/>
            <w:textDirection w:val="lrTb"/>
            <w:noWrap w:val="false"/>
          </w:tcPr>
          <w:p>
            <w:pPr>
              <w:pStyle w:val="845"/>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7</w:t>
            </w:r>
            <w:r/>
          </w:p>
        </w:tc>
        <w:tc>
          <w:tcPr>
            <w:tcW w:w="1994" w:type="dxa"/>
            <w:vAlign w:val="center"/>
            <w:textDirection w:val="lrTb"/>
            <w:noWrap w:val="false"/>
          </w:tcPr>
          <w:p>
            <w:pPr>
              <w:pStyle w:val="849"/>
              <w:ind w:firstLine="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是否允许采购</w:t>
            </w:r>
            <w:r>
              <w:rPr>
                <w:rFonts w:hint="eastAsia" w:ascii="宋体" w:hAnsi="宋体" w:cs="宋体"/>
                <w:color w:val="auto"/>
                <w:sz w:val="24"/>
                <w:highlight w:val="none"/>
                <w:lang w:val="en-US" w:eastAsia="zh-CN"/>
              </w:rPr>
              <w:t xml:space="preserve">进口</w:t>
            </w:r>
            <w:r>
              <w:rPr>
                <w:rFonts w:hint="eastAsia" w:ascii="宋体" w:hAnsi="宋体" w:eastAsia="宋体" w:cs="宋体"/>
                <w:color w:val="auto"/>
                <w:sz w:val="24"/>
                <w:highlight w:val="none"/>
              </w:rPr>
              <w:t xml:space="preserve">产品</w:t>
            </w:r>
            <w:r/>
          </w:p>
        </w:tc>
        <w:tc>
          <w:tcPr>
            <w:tcW w:w="6819" w:type="dxa"/>
            <w:vAlign w:val="center"/>
            <w:textDirection w:val="lrTb"/>
            <w:noWrap w:val="false"/>
          </w:tcPr>
          <w:p>
            <w:pPr>
              <w:pStyle w:val="849"/>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☑A本项目不允许采购</w:t>
            </w:r>
            <w:r>
              <w:rPr>
                <w:rFonts w:hint="eastAsia" w:ascii="宋体" w:hAnsi="宋体" w:cs="宋体"/>
                <w:color w:val="auto"/>
                <w:sz w:val="24"/>
                <w:highlight w:val="none"/>
                <w:lang w:val="en-US" w:eastAsia="zh-CN"/>
              </w:rPr>
              <w:t xml:space="preserve">进口</w:t>
            </w:r>
            <w:r>
              <w:rPr>
                <w:rFonts w:hint="eastAsia" w:ascii="宋体" w:hAnsi="宋体" w:eastAsia="宋体" w:cs="宋体"/>
                <w:color w:val="auto"/>
                <w:sz w:val="24"/>
                <w:highlight w:val="none"/>
              </w:rPr>
              <w:t xml:space="preserve">产品。</w:t>
            </w:r>
            <w:r/>
          </w:p>
          <w:p>
            <w:pPr>
              <w:pStyle w:val="849"/>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□B可以采购</w:t>
            </w:r>
            <w:r>
              <w:rPr>
                <w:rFonts w:hint="eastAsia" w:ascii="宋体" w:hAnsi="宋体" w:cs="宋体"/>
                <w:color w:val="auto"/>
                <w:sz w:val="24"/>
                <w:highlight w:val="none"/>
                <w:lang w:val="en-US" w:eastAsia="zh-CN"/>
              </w:rPr>
              <w:t xml:space="preserve">进口</w:t>
            </w:r>
            <w:r>
              <w:rPr>
                <w:rFonts w:hint="eastAsia" w:ascii="宋体" w:hAnsi="宋体" w:eastAsia="宋体" w:cs="宋体"/>
                <w:color w:val="auto"/>
                <w:sz w:val="24"/>
                <w:highlight w:val="none"/>
              </w:rPr>
              <w:t xml:space="preserve">产品，优先采购向我国企业转让技术、与我国企业签订消化吸收再创新方案的供应商的</w:t>
            </w:r>
            <w:r>
              <w:rPr>
                <w:rFonts w:hint="eastAsia" w:ascii="宋体" w:hAnsi="宋体" w:cs="宋体"/>
                <w:color w:val="auto"/>
                <w:sz w:val="24"/>
                <w:highlight w:val="none"/>
                <w:lang w:val="en-US" w:eastAsia="zh-CN"/>
              </w:rPr>
              <w:t xml:space="preserve">进口</w:t>
            </w:r>
            <w:r>
              <w:rPr>
                <w:rFonts w:hint="eastAsia" w:ascii="宋体" w:hAnsi="宋体" w:eastAsia="宋体" w:cs="宋体"/>
                <w:color w:val="auto"/>
                <w:sz w:val="24"/>
                <w:highlight w:val="none"/>
              </w:rPr>
              <w:t xml:space="preserve">产品；但如果因信息不对称等原因，仍有满足需求的国内产品要求参与采购竞争的，采购人及其委托的采购代理机构不对其加以限制，将按照公平竞争原则实施采购。</w:t>
            </w:r>
            <w:r/>
          </w:p>
        </w:tc>
      </w:tr>
      <w:tr>
        <w:trPr>
          <w:trHeight w:val="90"/>
        </w:trPr>
        <w:tc>
          <w:tcPr>
            <w:tcW w:w="816" w:type="dxa"/>
            <w:vAlign w:val="center"/>
            <w:textDirection w:val="lrTb"/>
            <w:noWrap w:val="false"/>
          </w:tcPr>
          <w:p>
            <w:pPr>
              <w:pStyle w:val="845"/>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8</w:t>
            </w:r>
            <w:r/>
          </w:p>
        </w:tc>
        <w:tc>
          <w:tcPr>
            <w:tcW w:w="1994" w:type="dxa"/>
            <w:vAlign w:val="center"/>
            <w:textDirection w:val="lrTb"/>
            <w:noWrap w:val="false"/>
          </w:tcPr>
          <w:p>
            <w:pPr>
              <w:pStyle w:val="845"/>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项目属性与核心产品</w:t>
            </w:r>
            <w:r/>
          </w:p>
        </w:tc>
        <w:tc>
          <w:tcPr>
            <w:tcW w:w="6819" w:type="dxa"/>
            <w:vAlign w:val="center"/>
            <w:textDirection w:val="lrTb"/>
            <w:noWrap w:val="false"/>
          </w:tcPr>
          <w:p>
            <w:pPr>
              <w:pStyle w:val="849"/>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☑A货物类。</w:t>
            </w:r>
            <w:r/>
          </w:p>
          <w:p>
            <w:pPr>
              <w:pStyle w:val="849"/>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□B服务类。</w:t>
            </w:r>
            <w:r/>
          </w:p>
          <w:p>
            <w:pPr>
              <w:pStyle w:val="845"/>
              <w:ind w:firstLine="0"/>
              <w:rPr>
                <w:rFonts w:ascii="宋体" w:hAnsi="宋体" w:eastAsia="宋体" w:cs="宋体"/>
                <w:color w:val="auto"/>
                <w:sz w:val="24"/>
                <w:highlight w:val="none"/>
                <w:lang w:val="en-US"/>
              </w:rPr>
            </w:pPr>
            <w:r>
              <w:rPr>
                <w:rFonts w:hint="eastAsia" w:ascii="宋体" w:hAnsi="宋体" w:eastAsia="宋体" w:cs="宋体"/>
                <w:color w:val="auto"/>
                <w:sz w:val="24"/>
                <w:highlight w:val="none"/>
                <w:lang w:val="en-US" w:eastAsia="zh-CN"/>
              </w:rPr>
              <w:t xml:space="preserve">本项目核心产品为</w:t>
            </w:r>
            <w:r>
              <w:rPr>
                <w:rFonts w:hint="eastAsia" w:ascii="宋体" w:hAnsi="宋体" w:eastAsia="宋体" w:cs="宋体"/>
                <w:color w:val="auto"/>
                <w:sz w:val="24"/>
                <w:highlight w:val="none"/>
                <w:u w:val="single"/>
                <w:lang w:val="en-US" w:eastAsia="zh-CN"/>
              </w:rPr>
              <w:t xml:space="preserve">：</w:t>
            </w:r>
            <w:r>
              <w:rPr>
                <w:rFonts w:hint="eastAsia" w:ascii="宋体" w:hAnsi="宋体" w:cs="宋体"/>
                <w:color w:val="auto"/>
                <w:sz w:val="24"/>
                <w:szCs w:val="28"/>
                <w:highlight w:val="none"/>
                <w:u w:val="single"/>
                <w:lang w:eastAsia="zh-CN"/>
              </w:rPr>
              <w:t xml:space="preserve">自由组合区角柜2、VR系统、户外大型运动组合器械</w:t>
            </w:r>
            <w:r>
              <w:rPr>
                <w:rFonts w:hint="eastAsia" w:ascii="宋体" w:hAnsi="宋体" w:cs="宋体"/>
                <w:color w:val="auto"/>
                <w:sz w:val="24"/>
                <w:szCs w:val="28"/>
                <w:highlight w:val="none"/>
                <w:u w:val="none"/>
                <w:lang w:eastAsia="zh-CN"/>
              </w:rPr>
              <w:t xml:space="preserve">。</w:t>
            </w:r>
            <w:r/>
          </w:p>
        </w:tc>
      </w:tr>
      <w:tr>
        <w:trPr/>
        <w:tc>
          <w:tcPr>
            <w:tcW w:w="816" w:type="dxa"/>
            <w:vAlign w:val="center"/>
            <w:textDirection w:val="lrTb"/>
            <w:noWrap w:val="false"/>
          </w:tcPr>
          <w:p>
            <w:pPr>
              <w:pStyle w:val="845"/>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9</w:t>
            </w:r>
            <w:r/>
          </w:p>
        </w:tc>
        <w:tc>
          <w:tcPr>
            <w:tcW w:w="1994" w:type="dxa"/>
            <w:vAlign w:val="center"/>
            <w:textDirection w:val="lrTb"/>
            <w:noWrap w:val="false"/>
          </w:tcPr>
          <w:p>
            <w:pPr>
              <w:pStyle w:val="845"/>
              <w:ind w:firstLine="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采购标的对应的中小企业划分标准所属行业</w:t>
            </w:r>
            <w:r/>
          </w:p>
        </w:tc>
        <w:tc>
          <w:tcPr>
            <w:tcW w:w="6819" w:type="dxa"/>
            <w:vAlign w:val="center"/>
            <w:textDirection w:val="lrTb"/>
            <w:noWrap w:val="false"/>
          </w:tcPr>
          <w:p>
            <w:pPr>
              <w:pStyle w:val="845"/>
              <w:numPr>
                <w:ilvl w:val="0"/>
                <w:numId w:val="2"/>
              </w:numPr>
              <w:ind w:firstLine="0"/>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zh-CN"/>
              </w:rPr>
              <w:t xml:space="preserve">标的：</w:t>
            </w:r>
            <w:r>
              <w:rPr>
                <w:rFonts w:hint="eastAsia" w:ascii="宋体" w:hAnsi="宋体" w:cs="宋体"/>
                <w:color w:val="auto"/>
                <w:sz w:val="24"/>
                <w:szCs w:val="28"/>
                <w:highlight w:val="none"/>
                <w:u w:val="single"/>
                <w:lang w:eastAsia="zh-CN"/>
              </w:rPr>
              <w:t xml:space="preserve">宝华新城实验幼儿园教育教学设备设施、办公家具采购</w:t>
            </w:r>
            <w:r>
              <w:rPr>
                <w:rFonts w:hint="eastAsia" w:ascii="宋体" w:hAnsi="宋体" w:eastAsia="宋体" w:cs="宋体"/>
                <w:color w:val="auto"/>
                <w:sz w:val="24"/>
                <w:szCs w:val="28"/>
                <w:highlight w:val="none"/>
                <w:u w:val="single"/>
                <w:lang w:eastAsia="zh-CN"/>
              </w:rPr>
              <w:t xml:space="preserve">（具体详见采购需求）</w:t>
            </w:r>
            <w:r>
              <w:rPr>
                <w:rFonts w:hint="eastAsia" w:ascii="宋体" w:hAnsi="宋体" w:eastAsia="宋体" w:cs="宋体"/>
                <w:color w:val="auto"/>
                <w:sz w:val="24"/>
                <w:szCs w:val="28"/>
                <w:highlight w:val="none"/>
                <w:lang w:eastAsia="zh-CN"/>
              </w:rPr>
              <w:t xml:space="preserve"> </w:t>
            </w:r>
            <w:r>
              <w:rPr>
                <w:rFonts w:hint="eastAsia" w:ascii="宋体" w:hAnsi="宋体" w:eastAsia="宋体" w:cs="宋体"/>
                <w:color w:val="auto"/>
                <w:sz w:val="24"/>
                <w:highlight w:val="none"/>
                <w:lang w:val="en-US" w:eastAsia="zh-CN"/>
              </w:rPr>
              <w:t xml:space="preserve">，属于行业；</w:t>
            </w:r>
            <w:r>
              <w:rPr>
                <w:rFonts w:hint="eastAsia" w:ascii="宋体" w:hAnsi="宋体" w:eastAsia="宋体" w:cs="宋体"/>
                <w:color w:val="auto"/>
                <w:sz w:val="24"/>
                <w:highlight w:val="none"/>
                <w:u w:val="single"/>
                <w:lang w:val="en-US" w:eastAsia="zh-CN"/>
              </w:rPr>
              <w:t xml:space="preserve">工业</w:t>
            </w:r>
            <w:r>
              <w:rPr>
                <w:rFonts w:hint="eastAsia" w:ascii="宋体" w:hAnsi="宋体" w:eastAsia="宋体" w:cs="宋体"/>
                <w:color w:val="auto"/>
                <w:sz w:val="24"/>
                <w:highlight w:val="none"/>
                <w:lang w:val="en-US" w:eastAsia="zh-CN"/>
              </w:rPr>
              <w:t xml:space="preserve">行业</w:t>
            </w:r>
            <w:r/>
          </w:p>
        </w:tc>
      </w:tr>
      <w:tr>
        <w:trPr/>
        <w:tc>
          <w:tcPr>
            <w:tcW w:w="816" w:type="dxa"/>
            <w:vAlign w:val="center"/>
            <w:textDirection w:val="lrTb"/>
            <w:noWrap w:val="false"/>
          </w:tcPr>
          <w:p>
            <w:pPr>
              <w:pStyle w:val="845"/>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10</w:t>
            </w:r>
            <w:r/>
          </w:p>
        </w:tc>
        <w:tc>
          <w:tcPr>
            <w:tcW w:w="1994" w:type="dxa"/>
            <w:vAlign w:val="center"/>
            <w:textDirection w:val="lrTb"/>
            <w:noWrap w:val="false"/>
          </w:tcPr>
          <w:p>
            <w:pPr>
              <w:pStyle w:val="849"/>
              <w:ind w:firstLine="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节能产品、环境标志产品</w:t>
            </w:r>
            <w:r/>
          </w:p>
        </w:tc>
        <w:tc>
          <w:tcPr>
            <w:tcW w:w="6819" w:type="dxa"/>
            <w:vAlign w:val="center"/>
            <w:textDirection w:val="lrTb"/>
            <w:noWrap w:val="false"/>
          </w:tcPr>
          <w:p>
            <w:pPr>
              <w:pStyle w:val="849"/>
              <w:ind w:firstLine="0"/>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816" w:type="dxa"/>
            <w:vAlign w:val="center"/>
            <w:textDirection w:val="lrTb"/>
            <w:noWrap w:val="false"/>
          </w:tcPr>
          <w:p>
            <w:pPr>
              <w:pStyle w:val="845"/>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11</w:t>
            </w:r>
            <w:r/>
          </w:p>
        </w:tc>
        <w:tc>
          <w:tcPr>
            <w:tcW w:w="1994" w:type="dxa"/>
            <w:vAlign w:val="center"/>
            <w:textDirection w:val="lrTb"/>
            <w:noWrap w:val="false"/>
          </w:tcPr>
          <w:p>
            <w:pPr>
              <w:pStyle w:val="845"/>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中小企业信用融资</w:t>
            </w:r>
            <w:r/>
          </w:p>
        </w:tc>
        <w:tc>
          <w:tcPr>
            <w:tcW w:w="6819" w:type="dxa"/>
            <w:vAlign w:val="center"/>
            <w:textDirection w:val="lrTb"/>
            <w:noWrap w:val="false"/>
          </w:tcPr>
          <w:p>
            <w:pPr>
              <w:pStyle w:val="845"/>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为进一步发挥政府采购政策导向作用，有效缓解企业融资难题，推进完善应收账款融资服务平台的融资服务功能，促进中小微企业平稳健康发展，</w:t>
            </w:r>
            <w:bookmarkStart w:id="41" w:name="_Hlk136445673"/>
            <w:r>
              <w:rPr>
                <w:rFonts w:hint="eastAsia" w:ascii="宋体" w:hAnsi="宋体" w:eastAsia="宋体" w:cs="宋体"/>
                <w:color w:val="auto"/>
                <w:sz w:val="24"/>
                <w:highlight w:val="none"/>
                <w:lang w:val="en-US" w:eastAsia="zh-CN"/>
              </w:rPr>
              <w:t xml:space="preserve">镇江市财政局和中国人民银行镇江市中心支行联合印发《关于转发〈关于深入推进政府采购线上合同信用融资工作的通知〉的通知》</w:t>
            </w:r>
            <w:bookmarkEnd w:id="41"/>
            <w:r>
              <w:rPr>
                <w:rFonts w:hint="eastAsia" w:ascii="宋体" w:hAnsi="宋体" w:eastAsia="宋体" w:cs="宋体"/>
                <w:color w:val="auto"/>
                <w:sz w:val="24"/>
                <w:highlight w:val="none"/>
                <w:lang w:val="en-US" w:eastAsia="zh-CN"/>
              </w:rPr>
              <w:t xml:space="preserve">，</w:t>
            </w:r>
            <w:bookmarkStart w:id="42" w:name="_Hlk136444446"/>
            <w:r>
              <w:rPr>
                <w:rFonts w:hint="eastAsia" w:ascii="宋体" w:hAnsi="宋体" w:eastAsia="宋体" w:cs="宋体"/>
                <w:color w:val="auto"/>
                <w:sz w:val="24"/>
                <w:highlight w:val="none"/>
                <w:lang w:val="en-US"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42"/>
            <w:r>
              <w:rPr>
                <w:rFonts w:hint="eastAsia" w:ascii="宋体" w:hAnsi="宋体" w:eastAsia="宋体" w:cs="宋体"/>
                <w:color w:val="auto"/>
                <w:sz w:val="24"/>
                <w:highlight w:val="none"/>
                <w:lang w:val="en-US" w:eastAsia="zh-CN"/>
              </w:rPr>
              <w:t xml:space="preserve">办理流程详见江苏政府采购网“政采贷”栏目，网址：http://www.ccgp-jiangsu.gov.cn/jiangsu/paying.html咨询电话：镇江市财政局政府采购处0511-80909958。</w:t>
            </w:r>
            <w:r/>
          </w:p>
        </w:tc>
      </w:tr>
      <w:tr>
        <w:trPr/>
        <w:tc>
          <w:tcPr>
            <w:tcW w:w="816" w:type="dxa"/>
            <w:vAlign w:val="center"/>
            <w:textDirection w:val="lrTb"/>
            <w:noWrap w:val="false"/>
          </w:tcPr>
          <w:p>
            <w:pPr>
              <w:pStyle w:val="845"/>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12</w:t>
            </w:r>
            <w:r/>
          </w:p>
        </w:tc>
        <w:tc>
          <w:tcPr>
            <w:tcW w:w="1994" w:type="dxa"/>
            <w:vAlign w:val="center"/>
            <w:textDirection w:val="lrTb"/>
            <w:noWrap w:val="false"/>
          </w:tcPr>
          <w:p>
            <w:pPr>
              <w:pStyle w:val="845"/>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特别说明</w:t>
            </w:r>
            <w:r/>
          </w:p>
        </w:tc>
        <w:tc>
          <w:tcPr>
            <w:tcW w:w="6819" w:type="dxa"/>
            <w:vAlign w:val="center"/>
            <w:textDirection w:val="lrTb"/>
            <w:noWrap w:val="false"/>
          </w:tcPr>
          <w:p>
            <w:pPr>
              <w:pStyle w:val="845"/>
              <w:ind w:firstLine="0"/>
              <w:rPr>
                <w:rFonts w:hint="eastAsia" w:ascii="宋体" w:hAnsi="宋体" w:eastAsia="宋体" w:cs="宋体"/>
                <w:i/>
                <w:iCs/>
                <w:color w:val="auto"/>
                <w:sz w:val="24"/>
                <w:highlight w:val="none"/>
                <w:lang w:val="en-US" w:eastAsia="en-US"/>
              </w:rPr>
            </w:pPr>
            <w:r>
              <w:rPr>
                <w:rFonts w:hint="eastAsia" w:ascii="宋体" w:hAnsi="宋体" w:eastAsia="宋体" w:cs="宋体"/>
                <w:color w:val="auto"/>
                <w:sz w:val="24"/>
                <w:highlight w:val="none"/>
                <w:lang w:val="en-US" w:eastAsia="en-US"/>
              </w:rPr>
              <w:t xml:space="preserve">无</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4"/>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szCs w:val="32"/>
          <w:highlight w:val="none"/>
        </w:rPr>
        <w:t xml:space="preserve">一、总  则</w:t>
      </w:r>
      <w:bookmarkEnd w:id="39"/>
      <w:r/>
      <w:bookmarkEnd w:id="40"/>
      <w:r/>
      <w:r/>
    </w:p>
    <w:p>
      <w:pPr>
        <w:pStyle w:val="844"/>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bookmarkStart w:id="43" w:name="_Toc100386035"/>
      <w:r/>
      <w:bookmarkStart w:id="44" w:name="_Toc92168001"/>
      <w:r>
        <w:rPr>
          <w:rFonts w:hint="eastAsia" w:ascii="宋体" w:hAnsi="宋体" w:eastAsia="宋体" w:cs="宋体"/>
          <w:color w:val="auto"/>
          <w:sz w:val="30"/>
          <w:highlight w:val="none"/>
        </w:rPr>
        <w:t xml:space="preserve">1．适用范围</w:t>
      </w:r>
      <w:bookmarkEnd w:id="43"/>
      <w:r/>
      <w:bookmarkEnd w:id="44"/>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1.1 本招标文件仅适用于</w:t>
      </w:r>
      <w:r>
        <w:rPr>
          <w:rFonts w:hint="eastAsia" w:ascii="宋体" w:hAnsi="宋体" w:cs="宋体"/>
          <w:color w:val="auto"/>
          <w:sz w:val="24"/>
          <w:highlight w:val="none"/>
          <w:u w:val="single"/>
          <w:lang w:eastAsia="zh-CN"/>
        </w:rPr>
        <w:t xml:space="preserve">宝华新城实验幼儿园教育教学设备设施、办公家具采购</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u w:val="single"/>
        </w:rPr>
        <w:t xml:space="preserve">。</w:t>
      </w:r>
      <w:r/>
    </w:p>
    <w:p>
      <w:pPr>
        <w:pStyle w:val="844"/>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bookmarkStart w:id="45" w:name="_Toc92168002"/>
      <w:r/>
      <w:bookmarkStart w:id="46" w:name="_Toc100386036"/>
      <w:r>
        <w:rPr>
          <w:rFonts w:hint="eastAsia" w:ascii="宋体" w:hAnsi="宋体" w:eastAsia="宋体" w:cs="宋体"/>
          <w:color w:val="auto"/>
          <w:sz w:val="30"/>
          <w:highlight w:val="none"/>
        </w:rPr>
        <w:t xml:space="preserve">2．定义</w:t>
      </w:r>
      <w:bookmarkEnd w:id="45"/>
      <w:r/>
      <w:bookmarkEnd w:id="46"/>
      <w:r/>
      <w:r/>
    </w:p>
    <w:p>
      <w:pPr>
        <w:ind w:firstLine="480"/>
        <w:spacing w:line="360" w:lineRule="auto"/>
        <w:rPr>
          <w:rFonts w:hint="eastAsia" w:ascii="宋体" w:hAnsi="宋体" w:eastAsia="宋体" w:cs="宋体"/>
          <w:color w:val="auto"/>
          <w:sz w:val="24"/>
          <w:highlight w:val="none"/>
        </w:rPr>
      </w:pPr>
      <w:r/>
      <w:bookmarkStart w:id="47" w:name="_Toc92168004"/>
      <w:r/>
      <w:bookmarkStart w:id="48" w:name="_Toc98669335"/>
      <w:r/>
      <w:bookmarkStart w:id="49" w:name="_Toc20732971"/>
      <w:r/>
      <w:bookmarkStart w:id="50" w:name="_Toc100386038"/>
      <w:r/>
      <w:bookmarkStart w:id="51" w:name="_Toc98669693"/>
      <w:r>
        <w:rPr>
          <w:rFonts w:hint="eastAsia" w:ascii="宋体" w:hAnsi="宋体" w:eastAsia="宋体" w:cs="宋体"/>
          <w:color w:val="auto"/>
          <w:sz w:val="24"/>
          <w:highlight w:val="none"/>
        </w:rPr>
        <w:t xml:space="preserve">招标文件中下列术语应解释为：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 “采购人”系指依法进行政府采购的国家机关、事业单位、团体组织，即：</w:t>
      </w:r>
      <w:r>
        <w:rPr>
          <w:rFonts w:hint="eastAsia" w:ascii="宋体" w:hAnsi="宋体" w:eastAsia="宋体" w:cs="宋体"/>
          <w:color w:val="auto"/>
          <w:sz w:val="24"/>
          <w:highlight w:val="none"/>
          <w:u w:val="single"/>
          <w:lang w:eastAsia="zh-CN"/>
        </w:rPr>
        <w:t xml:space="preserve">句容市宝华镇人民政府</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“投标人”系指响应招标、参加投标竞争的法人、其他组织或者自然人。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 “采购代理机构”系指组织本次采购活动的单位，即：</w:t>
      </w:r>
      <w:r>
        <w:rPr>
          <w:rFonts w:hint="eastAsia" w:ascii="宋体" w:hAnsi="宋体" w:cs="宋体"/>
          <w:color w:val="auto"/>
          <w:sz w:val="24"/>
          <w:highlight w:val="none"/>
          <w:u w:val="single"/>
          <w:lang w:eastAsia="zh-CN"/>
        </w:rPr>
        <w:t xml:space="preserve">德道天诚（南京）房地产评估咨询有限公司</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 xml:space="preserve">2.4“货物”系指本招标文件所述采购标的涉及的各种形态和种类的物品，即：</w:t>
      </w:r>
      <w:r>
        <w:rPr>
          <w:rFonts w:hint="eastAsia" w:ascii="宋体" w:hAnsi="宋体" w:eastAsia="宋体" w:cs="宋体"/>
          <w:color w:val="auto"/>
          <w:sz w:val="24"/>
          <w:highlight w:val="none"/>
          <w:u w:val="single"/>
          <w:lang w:val="en-US" w:eastAsia="zh-CN"/>
        </w:rPr>
        <w:t xml:space="preserve">宝华新城实验幼儿园教育教学设备设施、办公家具。 </w:t>
      </w:r>
      <w:r/>
    </w:p>
    <w:p>
      <w:pPr>
        <w:ind w:firstLine="480"/>
        <w:spacing w:line="360" w:lineRule="auto"/>
        <w:rPr>
          <w:rFonts w:hint="eastAsia" w:ascii="宋体" w:hAnsi="宋体" w:eastAsia="宋体" w:cs="宋体"/>
          <w:color w:val="auto"/>
          <w:sz w:val="24"/>
          <w:highlight w:val="none"/>
          <w:u w:val="single"/>
          <w:lang w:val="en-US" w:eastAsia="zh-CN"/>
        </w:rPr>
      </w:pPr>
      <w:r>
        <w:rPr>
          <w:rFonts w:hint="eastAsia" w:ascii="楷体" w:hAnsi="楷体" w:eastAsia="楷体"/>
          <w:color w:val="auto"/>
          <w:sz w:val="24"/>
          <w:highlight w:val="none"/>
        </w:rPr>
        <w:t xml:space="preserve">2.5“服务”系指本招标文件所述投标人应该履行的承诺和义务，</w:t>
      </w:r>
      <w:r>
        <w:rPr>
          <w:rFonts w:hint="eastAsia" w:ascii="宋体" w:hAnsi="宋体" w:eastAsia="宋体" w:cs="宋体"/>
          <w:color w:val="auto"/>
          <w:sz w:val="24"/>
          <w:highlight w:val="none"/>
          <w:u w:val="single"/>
          <w:lang w:val="en-US" w:eastAsia="zh-CN"/>
        </w:rPr>
        <w:t xml:space="preserve">即有关教育教学设备设施、办公家具的相关服务。</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2.6“</w:t>
      </w:r>
      <w:r>
        <w:rPr>
          <w:rFonts w:ascii="Wingdings" w:hAnsi="Wingdings" w:eastAsia="楷体"/>
          <w:color w:val="auto"/>
          <w:sz w:val="24"/>
          <w:highlight w:val="none"/>
        </w:rPr>
        <w:t xml:space="preserve"></w:t>
      </w:r>
      <w:r>
        <w:rPr>
          <w:rFonts w:hint="eastAsia" w:ascii="楷体" w:hAnsi="楷体" w:eastAsia="楷体"/>
          <w:color w:val="auto"/>
          <w:sz w:val="24"/>
          <w:highlight w:val="none"/>
        </w:rPr>
        <w:t xml:space="preserve">”系指适用本项目的要求，“☐”系指不适用本项目的要求。</w:t>
      </w:r>
      <w:r/>
    </w:p>
    <w:p>
      <w:pPr>
        <w:pStyle w:val="844"/>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3．采购方式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本次采购采取公开招标方式☑综合评分法□最低评标价法。</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3.2 本项目资格审查方式：</w:t>
      </w:r>
      <w:r>
        <w:rPr>
          <w:rFonts w:hint="eastAsia" w:ascii="宋体" w:hAnsi="宋体" w:eastAsia="宋体" w:cs="宋体"/>
          <w:color w:val="auto"/>
          <w:sz w:val="24"/>
          <w:highlight w:val="none"/>
        </w:rPr>
        <w:t xml:space="preserve">式☑</w:t>
      </w:r>
      <w:r>
        <w:rPr>
          <w:rFonts w:hint="eastAsia" w:ascii="宋体" w:hAnsi="宋体" w:eastAsia="宋体" w:cs="宋体"/>
          <w:color w:val="auto"/>
          <w:sz w:val="24"/>
          <w:szCs w:val="28"/>
          <w:highlight w:val="none"/>
        </w:rPr>
        <w:t xml:space="preserve">资格后审  □资格预审</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3.3 本次采购确定的中标人数量：1名</w:t>
      </w:r>
      <w:r/>
    </w:p>
    <w:p>
      <w:pPr>
        <w:pStyle w:val="844"/>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4．投标费用</w:t>
      </w:r>
      <w:bookmarkEnd w:id="47"/>
      <w:r/>
      <w:bookmarkEnd w:id="48"/>
      <w:r/>
      <w:bookmarkEnd w:id="49"/>
      <w:r/>
      <w:bookmarkEnd w:id="50"/>
      <w:r/>
      <w:bookmarkEnd w:id="51"/>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4.1 投标人应自行承担所有与参加投标有关的费用</w:t>
      </w:r>
      <w:r>
        <w:rPr>
          <w:rFonts w:hint="eastAsia" w:ascii="宋体" w:hAnsi="宋体" w:eastAsia="宋体" w:cs="宋体"/>
          <w:b/>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（1）☑因采购人年度预算中未单独列支代理服务费，中标供应商需向代理机构缴纳招标代理服务费。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收费标准是参照国家计委关于印发《代理服务收费管理暂行办法》的通知（计价格[2002]1980 号）的70%计算。</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代理费用收款信息：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收款单位：</w:t>
      </w:r>
      <w:r>
        <w:rPr>
          <w:rFonts w:hint="eastAsia" w:ascii="宋体" w:hAnsi="宋体" w:cs="宋体"/>
          <w:color w:val="auto"/>
          <w:sz w:val="24"/>
          <w:highlight w:val="none"/>
          <w:lang w:eastAsia="zh-CN"/>
        </w:rPr>
        <w:t xml:space="preserve">德道天诚（南京）房地产评估咨询有限公司</w:t>
      </w:r>
      <w:r>
        <w:rPr>
          <w:rFonts w:hint="eastAsia" w:ascii="宋体" w:hAnsi="宋体" w:eastAsia="宋体" w:cs="宋体"/>
          <w:color w:val="auto"/>
          <w:sz w:val="24"/>
          <w:highlight w:val="none"/>
        </w:rPr>
        <w:t xml:space="preserve">句容分公司    </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收款账号：</w:t>
      </w:r>
      <w:r>
        <w:rPr>
          <w:rFonts w:hint="eastAsia" w:ascii="宋体" w:hAnsi="宋体" w:cs="宋体"/>
          <w:color w:val="auto"/>
          <w:sz w:val="24"/>
          <w:highlight w:val="none"/>
          <w:lang w:eastAsia="zh-CN"/>
        </w:rPr>
        <w:t xml:space="preserve">70660188000006207</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开户银行：</w:t>
      </w:r>
      <w:r>
        <w:rPr>
          <w:rFonts w:hint="eastAsia" w:ascii="宋体" w:hAnsi="宋体" w:cs="宋体"/>
          <w:color w:val="auto"/>
          <w:sz w:val="24"/>
          <w:highlight w:val="none"/>
          <w:lang w:eastAsia="zh-CN"/>
        </w:rPr>
        <w:t xml:space="preserve">江苏银行股份有限公司句容长江路支行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4.2不论投标的结果如何，采购人和采购代理机构在任何情况下均无义务和责任承担上述费用。</w:t>
      </w:r>
      <w:r/>
    </w:p>
    <w:p>
      <w:pPr>
        <w:pStyle w:val="844"/>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bookmarkStart w:id="52" w:name="_Toc20732973"/>
      <w:r/>
      <w:bookmarkStart w:id="53" w:name="_Toc100386039"/>
      <w:r/>
      <w:bookmarkStart w:id="54" w:name="_Toc98669694"/>
      <w:r/>
      <w:bookmarkStart w:id="55" w:name="_Toc98669336"/>
      <w:r/>
      <w:bookmarkStart w:id="56" w:name="_Toc92168005"/>
      <w:r>
        <w:rPr>
          <w:rFonts w:hint="eastAsia" w:ascii="宋体" w:hAnsi="宋体" w:eastAsia="宋体" w:cs="宋体"/>
          <w:color w:val="auto"/>
          <w:sz w:val="30"/>
          <w:highlight w:val="none"/>
        </w:rPr>
        <w:t xml:space="preserve">5．政策功能</w:t>
      </w:r>
      <w:bookmarkEnd w:id="52"/>
      <w:r/>
      <w:bookmarkEnd w:id="53"/>
      <w:r/>
      <w:bookmarkEnd w:id="54"/>
      <w:r/>
      <w:bookmarkEnd w:id="55"/>
      <w:r/>
      <w:bookmarkEnd w:id="56"/>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5.1支持中小企业发展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符合中小企业划分标准的个体工商户，在政府采购活动中视同中小企业。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5.1.2.1在货物采购项目中，货物由中小企业制造，即货物由中小企业生产且使用该中小企业商号或者注册商标；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5.1.2.2在工程采购项目中，工程由中小企业承建，即工程施工单位为中小企业；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10%的扣除，用扣除后的价格参与评审。接受大中型企业与小微企业组成联合体或者允许大中型企业向一家或者多家小微企业分包的政府采购货物或服务项目，对于联合协议</w:t>
      </w:r>
      <w:r>
        <w:rPr>
          <w:rFonts w:hint="eastAsia" w:ascii="宋体" w:hAnsi="宋体" w:eastAsia="宋体" w:cs="宋体"/>
          <w:color w:val="auto"/>
          <w:sz w:val="24"/>
          <w:highlight w:val="none"/>
        </w:rPr>
        <w:t xml:space="preserve">或者分包意向协议约定小型、微型企业的协议合同金额占到合同总金额30%以上的，给予联合体4%的价格扣除。联合体各方均为小型、微型企业的，联合体视同为小型、微型企业享受10%的价格扣除，用扣除后的价格参与评审。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5.2强制采购信息安全产品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信息安全产品指国家质检总局国家认监委《信息安全产品强制性认证目录》，并获得强制性产品认证证书的产品。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5.3支持绿色发展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5.5支持创新发展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5.5.1采购人优先采购被认定为重点推广应用、首台（套）重大装备、重点领域首版次软件的自主创新产品。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5.6平等对待内外资企业和符合条件的破产重整企业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5.6.1平等对待内外资企业和符合条件的破产重整企业，切实保障企业公平竞争，平等维护企业的合法利益。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5.7 强化政府采购异常低价审查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5.7.1政府采购评审中出现下列情形之一的，评审委员会应当启动异常低价投标（响应）审查程序：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（3）投标（响应）报价低于采购项目最高限价45%的，即投标（响应）报价&lt;采购项目最高限价×45%；</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采购人可以结合具体项目实际情况，提高上述第1项至第3项中启动异常低价投标（响应）审查的数值标准，但是最高不得超过65%。</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5.8实施本国产品标准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5.8.1本国产品是指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（1）在中国境内生产</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产品应当在中国境内生产，即在中华人民共和国关境内实现从原材料、组件到产品的属性改变。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①为确保产品在运输或者储存期间保持某种状态而进行的操作；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②为产品运输或者销售进行的包装或者展示；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③在产品或者其包装上粘贴或者印刷品牌、标志、标识以及其他用于区别的标记；</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④简单的上漆、磨光和分装；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⑤其他不属于属性改变的情形。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（2）在中国境内生产的组件成本占比达到规定比例</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（3）特定产品的关键组件、关键工序符合相关要求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对特定产品，在符合第（1）项和第（2）项条件的基础上，应当符合财政部会同有关行业主管部门确定的其关键组件、关键工序在中国境内生产、完成等要求。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5.8.3.1产品在中国境内生产的组件成本核算规则。产品在中国境内生产的组件成本，按照《中国境内生产的组件成本核算基本规则》计算。</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5.8.3.2有关证明文件。</w:t>
      </w:r>
      <w:r>
        <w:rPr>
          <w:rFonts w:hint="eastAsia" w:ascii="宋体" w:hAnsi="宋体" w:eastAsia="宋体" w:cs="宋体"/>
          <w:color w:val="auto"/>
          <w:sz w:val="24"/>
          <w:highlight w:val="none"/>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5.8.3.4中华人民共和国缔结或者共同参加的国际条约、协定对政府采购中本国产品政策另有规定的，按照有关条约、协定执行。</w:t>
      </w:r>
      <w:r/>
    </w:p>
    <w:p>
      <w:pPr>
        <w:pStyle w:val="844"/>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二、招标文件</w:t>
      </w:r>
      <w:r/>
    </w:p>
    <w:p>
      <w:pPr>
        <w:pStyle w:val="844"/>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bookmarkStart w:id="57" w:name="_Toc100386042"/>
      <w:r/>
      <w:bookmarkStart w:id="58" w:name="_Toc20732976"/>
      <w:r/>
      <w:bookmarkStart w:id="59" w:name="_Toc98669697"/>
      <w:r/>
      <w:bookmarkStart w:id="60" w:name="_Toc92168008"/>
      <w:r/>
      <w:bookmarkStart w:id="61" w:name="_Toc98669339"/>
      <w:r>
        <w:rPr>
          <w:rFonts w:hint="eastAsia" w:ascii="宋体" w:hAnsi="宋体" w:eastAsia="宋体" w:cs="宋体"/>
          <w:color w:val="auto"/>
          <w:sz w:val="30"/>
          <w:highlight w:val="none"/>
        </w:rPr>
        <w:t xml:space="preserve">6.招标文件组成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招标文件包括：</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（1）投标邀请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（2）投标人须知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（3）拟签订的合同文本</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（4）采购需求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（5）评标办法和标准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（6）投标文件（格式）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 投标人获取本文件后，应认真阅读本文件中所有的事项、格式条款和规范等要求。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 </w:t>
      </w:r>
      <w:r>
        <w:rPr>
          <w:rFonts w:hint="eastAsia" w:ascii="宋体" w:hAnsi="宋体" w:eastAsia="宋体" w:cs="宋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eastAsia="宋体" w:cs="宋体"/>
          <w:color w:val="auto"/>
          <w:sz w:val="24"/>
          <w:highlight w:val="none"/>
        </w:rPr>
        <w:t xml:space="preserve">。</w:t>
      </w:r>
      <w:r/>
    </w:p>
    <w:p>
      <w:pPr>
        <w:pStyle w:val="844"/>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7．招标文件的澄清</w:t>
      </w:r>
      <w:bookmarkEnd w:id="57"/>
      <w:r/>
      <w:bookmarkEnd w:id="58"/>
      <w:r/>
      <w:bookmarkEnd w:id="59"/>
      <w:r/>
      <w:bookmarkEnd w:id="60"/>
      <w:r/>
      <w:bookmarkEnd w:id="61"/>
      <w:r/>
      <w:bookmarkStart w:id="62" w:name="_Toc100386043"/>
      <w:r/>
      <w:bookmarkStart w:id="63" w:name="_Toc98669698"/>
      <w:r/>
      <w:bookmarkStart w:id="64" w:name="_Toc98669340"/>
      <w:r/>
      <w:bookmarkStart w:id="65" w:name="_Toc20732977"/>
      <w:r/>
      <w:bookmarkStart w:id="66" w:name="_Toc92168009"/>
      <w:r>
        <w:rPr>
          <w:rFonts w:hint="eastAsia" w:ascii="宋体" w:hAnsi="宋体" w:eastAsia="宋体" w:cs="宋体"/>
          <w:color w:val="auto"/>
          <w:sz w:val="30"/>
          <w:highlight w:val="none"/>
        </w:rPr>
        <w:t xml:space="preserve">和修改</w:t>
      </w:r>
      <w:bookmarkEnd w:id="62"/>
      <w:r/>
      <w:bookmarkEnd w:id="63"/>
      <w:r/>
      <w:bookmarkEnd w:id="64"/>
      <w:r/>
      <w:bookmarkEnd w:id="65"/>
      <w:r/>
      <w:bookmarkEnd w:id="66"/>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任何要求对招标文件进行澄清的潜在投标人，应及时联系项目联系人。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 </w:t>
      </w:r>
      <w:r>
        <w:rPr>
          <w:rFonts w:hint="eastAsia" w:ascii="宋体" w:hAnsi="宋体" w:eastAsia="宋体" w:cs="宋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844"/>
        <w:keepLines w:val="0"/>
        <w:keepNext w:val="0"/>
        <w:spacing w:before="0" w:after="0" w:line="360" w:lineRule="auto"/>
        <w:tabs>
          <w:tab w:val="left" w:pos="492"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ab/>
      </w:r>
      <w:r>
        <w:rPr>
          <w:rFonts w:hint="eastAsia" w:ascii="宋体" w:hAnsi="宋体" w:eastAsia="宋体" w:cs="宋体"/>
          <w:b w:val="0"/>
          <w:color w:val="auto"/>
          <w:sz w:val="24"/>
          <w:szCs w:val="24"/>
          <w:highlight w:val="none"/>
        </w:rPr>
        <w:t xml:space="preserve">7.5</w:t>
      </w:r>
      <w:r>
        <w:rPr>
          <w:rFonts w:hint="eastAsia" w:ascii="宋体" w:hAnsi="宋体" w:eastAsia="宋体" w:cs="宋体"/>
          <w:color w:val="auto"/>
          <w:sz w:val="24"/>
          <w:szCs w:val="24"/>
          <w:highlight w:val="none"/>
        </w:rPr>
        <w:t xml:space="preserve"> 如</w:t>
      </w:r>
      <w:r>
        <w:rPr>
          <w:rFonts w:hint="eastAsia" w:ascii="宋体" w:hAnsi="宋体" w:eastAsia="宋体" w:cs="宋体"/>
          <w:color w:val="auto"/>
          <w:sz w:val="24"/>
          <w:highlight w:val="none"/>
        </w:rPr>
        <w:t xml:space="preserve">澄清或修改公告</w:t>
      </w:r>
      <w:r>
        <w:rPr>
          <w:rFonts w:hint="eastAsia" w:ascii="宋体" w:hAnsi="宋体" w:eastAsia="宋体" w:cs="宋体"/>
          <w:color w:val="auto"/>
          <w:sz w:val="24"/>
          <w:szCs w:val="24"/>
          <w:highlight w:val="none"/>
        </w:rPr>
        <w:t xml:space="preserve">有重新发布招标文件的，投标人应下载最新发布的招标文件制作投标文件。因投标人自身原因未能及时获取的，一切后果由投标人自行承担。</w:t>
      </w:r>
      <w:r/>
    </w:p>
    <w:p>
      <w:pPr>
        <w:pStyle w:val="844"/>
        <w:jc w:val="center"/>
        <w:keepLines w:val="0"/>
        <w:keepNext w:val="0"/>
        <w:spacing w:before="200" w:after="20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三、投标文件</w:t>
      </w:r>
      <w:r/>
    </w:p>
    <w:p>
      <w:pPr>
        <w:pStyle w:val="844"/>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8.编制投标文件的工具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供应商须通“苏采云”系统的相关要求编制投标文件。</w:t>
      </w:r>
      <w:r/>
    </w:p>
    <w:p>
      <w:pPr>
        <w:pStyle w:val="844"/>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9.投标文件语言及度量衡单位</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 投标文件中所使用的计量单位除招标文件中另有特殊规定外，一律使用法定计量单位。</w:t>
      </w:r>
      <w:r/>
    </w:p>
    <w:p>
      <w:pPr>
        <w:pStyle w:val="844"/>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10.投标文件的构成</w:t>
      </w:r>
      <w:r/>
    </w:p>
    <w:p>
      <w:pPr>
        <w:pStyle w:val="850"/>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 投标文件分为资格部分、商务部分、技术部分和价格部分。</w:t>
      </w:r>
      <w:r/>
    </w:p>
    <w:p>
      <w:pPr>
        <w:pStyle w:val="850"/>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资格部分系指投标人提交的证明其有资格参加投标的文件。</w:t>
      </w:r>
      <w:r/>
    </w:p>
    <w:p>
      <w:pPr>
        <w:pStyle w:val="850"/>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商务部分系指投标人提交的证明其中标后有能力履行合同的文件。</w:t>
      </w:r>
      <w:r/>
    </w:p>
    <w:p>
      <w:pPr>
        <w:pStyle w:val="850"/>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10.3 技术部分系指投标人提交的能够证明投标人提供的货物（服务）符合招标文件规定的文件。</w:t>
      </w:r>
      <w:r/>
    </w:p>
    <w:p>
      <w:pPr>
        <w:pStyle w:val="850"/>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10.4 具体填写格式详见招标文件第六部分。</w:t>
      </w:r>
      <w:r/>
    </w:p>
    <w:p>
      <w:pPr>
        <w:pStyle w:val="844"/>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11．投标文件的编制</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11.2 </w:t>
      </w:r>
      <w:r>
        <w:rPr>
          <w:rFonts w:hint="eastAsia" w:ascii="宋体" w:hAnsi="宋体" w:eastAsia="宋体" w:cs="宋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11.4 </w:t>
      </w:r>
      <w:r>
        <w:rPr>
          <w:rFonts w:hint="eastAsia" w:ascii="宋体" w:hAnsi="宋体" w:eastAsia="宋体" w:cs="宋体"/>
          <w:b/>
          <w:color w:val="auto"/>
          <w:sz w:val="24"/>
          <w:highlight w:val="none"/>
        </w:rPr>
        <w:t xml:space="preserve">投标人必须保证投标文件所提供的全部资料合法、真实、可靠。</w:t>
      </w:r>
      <w:r/>
    </w:p>
    <w:p>
      <w:pPr>
        <w:ind w:firstLine="446"/>
        <w:spacing w:line="360" w:lineRule="auto"/>
        <w:rPr>
          <w:rFonts w:hint="eastAsia" w:ascii="宋体" w:hAnsi="宋体" w:eastAsia="宋体" w:cs="宋体"/>
          <w:color w:val="auto"/>
          <w:sz w:val="24"/>
          <w:highlight w:val="none"/>
        </w:rPr>
      </w:pPr>
      <w:r>
        <w:rPr>
          <w:rFonts w:hint="eastAsia" w:ascii="宋体" w:hAnsi="宋体" w:eastAsia="宋体" w:cs="宋体"/>
          <w:b/>
          <w:color w:val="auto"/>
          <w:sz w:val="30"/>
          <w:highlight w:val="none"/>
        </w:rPr>
        <w:t xml:space="preserve">13．投标保证金</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 本项目不收投标保证金。</w:t>
      </w:r>
      <w:r/>
    </w:p>
    <w:p>
      <w:pPr>
        <w:pStyle w:val="844"/>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14．投标有效期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投标有效期为：投标文件自</w:t>
      </w:r>
      <w:r>
        <w:rPr>
          <w:rFonts w:hint="eastAsia" w:ascii="宋体" w:hAnsi="宋体" w:eastAsia="宋体" w:cs="宋体"/>
          <w:color w:val="auto"/>
          <w:sz w:val="24"/>
          <w:szCs w:val="28"/>
          <w:highlight w:val="none"/>
        </w:rPr>
        <w:t xml:space="preserve">提交投标文件截止时间</w:t>
      </w:r>
      <w:r>
        <w:rPr>
          <w:rFonts w:hint="eastAsia" w:ascii="宋体" w:hAnsi="宋体" w:eastAsia="宋体" w:cs="宋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15.投标文件的式样和签署</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 投标人应通过响应文件制作软件使用数字认证证书对投标文件进行合成、电子签章及加密打包。</w:t>
      </w:r>
      <w:r/>
    </w:p>
    <w:p>
      <w:pPr>
        <w:pStyle w:val="844"/>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16．投标文件的提交</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 投标文件提交</w:t>
      </w:r>
      <w:r/>
    </w:p>
    <w:p>
      <w:pPr>
        <w:ind w:left="1"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16.1.1 投标人须在招标文件规定的截止时间前，通过响应文件编制软件或登录电子交易平台在规定时间内完成提交，提交成功后系统将发送投标回执。</w:t>
      </w:r>
      <w:r>
        <w:rPr>
          <w:rFonts w:hint="eastAsia" w:ascii="宋体" w:hAnsi="宋体" w:eastAsia="宋体" w:cs="宋体"/>
          <w:b/>
          <w:color w:val="auto"/>
          <w:sz w:val="24"/>
          <w:highlight w:val="none"/>
          <w:u w:val="single"/>
        </w:rPr>
        <w:t xml:space="preserve">时间以“苏采云”系统时间为准。</w:t>
      </w:r>
      <w:r/>
    </w:p>
    <w:p>
      <w:pPr>
        <w:ind w:left="1"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16.1.2 </w:t>
      </w:r>
      <w:r>
        <w:rPr>
          <w:rFonts w:hint="eastAsia" w:ascii="宋体" w:hAnsi="宋体" w:eastAsia="宋体" w:cs="宋体"/>
          <w:b/>
          <w:color w:val="auto"/>
          <w:sz w:val="24"/>
          <w:highlight w:val="none"/>
          <w:u w:val="single"/>
        </w:rPr>
        <w:t xml:space="preserve">截止时间以后提交的投标文件，“苏采云” 系统将拒绝接收。投标人应充分考虑网络环境、网络带宽等风险因素。</w:t>
      </w:r>
      <w:r/>
    </w:p>
    <w:p>
      <w:pPr>
        <w:ind w:firstLine="480"/>
        <w:spacing w:line="360" w:lineRule="auto"/>
        <w:rPr>
          <w:rFonts w:hint="eastAsia" w:ascii="宋体" w:hAnsi="宋体" w:eastAsia="宋体" w:cs="宋体"/>
          <w:b/>
          <w:color w:val="auto"/>
          <w:sz w:val="24"/>
          <w:szCs w:val="20"/>
          <w:highlight w:val="none"/>
          <w:u w:val="single"/>
        </w:rPr>
      </w:pPr>
      <w:r>
        <w:rPr>
          <w:rFonts w:hint="eastAsia" w:ascii="宋体" w:hAnsi="宋体" w:eastAsia="宋体" w:cs="宋体"/>
          <w:color w:val="auto"/>
          <w:sz w:val="24"/>
          <w:highlight w:val="none"/>
        </w:rPr>
        <w:t xml:space="preserve">16.1.3 </w:t>
      </w:r>
      <w:r>
        <w:rPr>
          <w:rFonts w:hint="eastAsia" w:ascii="宋体" w:hAnsi="宋体" w:eastAsia="宋体" w:cs="宋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16.1.4</w:t>
      </w:r>
      <w:r>
        <w:rPr>
          <w:rFonts w:hint="eastAsia" w:ascii="宋体" w:hAnsi="宋体" w:eastAsia="宋体" w:cs="宋体"/>
          <w:b/>
          <w:color w:val="auto"/>
          <w:sz w:val="24"/>
          <w:highlight w:val="none"/>
          <w:u w:val="single"/>
        </w:rPr>
        <w:t xml:space="preserve">提交完成后至解密前，</w:t>
      </w:r>
      <w:r>
        <w:rPr>
          <w:rFonts w:hint="eastAsia" w:ascii="宋体" w:hAnsi="宋体" w:eastAsia="宋体" w:cs="宋体"/>
          <w:b/>
          <w:color w:val="auto"/>
          <w:sz w:val="24"/>
          <w:szCs w:val="20"/>
          <w:highlight w:val="none"/>
          <w:u w:val="single"/>
        </w:rPr>
        <w:t xml:space="preserve">投标人</w:t>
      </w:r>
      <w:r>
        <w:rPr>
          <w:rFonts w:hint="eastAsia" w:ascii="宋体" w:hAnsi="宋体" w:eastAsia="宋体" w:cs="宋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16.1.5因不可抗力事件造成的投标文件的损坏、丢失的，采购代理机构不承担责任。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844"/>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17．投标文件的补充、修改或者撤回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17.1在提交截止时间前，投标人可以对所提交的投标文件进行补充、修改或者撤回。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17.2投标人在提交截止时间前需要对投标文件进行补充、修改的，应当使用响应文件制作软件重新制作并提交。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17.3 在提交截止时间之后，投标人不得对其投标文件作任何修改或撤回。</w:t>
      </w:r>
      <w:r/>
    </w:p>
    <w:p>
      <w:pPr>
        <w:pStyle w:val="844"/>
        <w:ind w:firstLine="480"/>
        <w:jc w:val="left"/>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17.4 在提交截止时间至招标文件中规定的投标有效期满之间，投标人不得撤回其投标。</w:t>
      </w:r>
      <w:r/>
    </w:p>
    <w:p>
      <w:pPr>
        <w:pStyle w:val="844"/>
        <w:ind w:firstLine="643"/>
        <w:jc w:val="center"/>
        <w:keepLines w:val="0"/>
        <w:keepNext w:val="0"/>
        <w:spacing w:before="200" w:after="20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五、开标及评标</w:t>
      </w:r>
      <w:r/>
    </w:p>
    <w:p>
      <w:pPr>
        <w:pStyle w:val="844"/>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18．开标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 采购代理机构将按招标文件规定的时间、地点主持开标。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 投标人应当在开标前做好充分准备，使用制作该投标文件的同一数字认证证书准时参加开标。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18.3开标仪式由采购代理机构组织。苏采云系统将自动对项目进行开标，并公布各投标人名称和投标价格。</w:t>
      </w:r>
      <w:r/>
    </w:p>
    <w:p>
      <w:pPr>
        <w:ind w:left="1" w:firstLine="482"/>
        <w:spacing w:line="360" w:lineRule="auto"/>
        <w:rPr>
          <w:rFonts w:hint="eastAsia" w:ascii="宋体" w:hAnsi="宋体" w:eastAsia="宋体" w:cs="宋体"/>
          <w:color w:val="auto"/>
          <w:highlight w:val="none"/>
        </w:rPr>
      </w:pPr>
      <w:r>
        <w:rPr>
          <w:rFonts w:hint="eastAsia" w:ascii="宋体" w:hAnsi="宋体" w:eastAsia="宋体" w:cs="宋体"/>
          <w:b/>
          <w:color w:val="auto"/>
          <w:sz w:val="24"/>
          <w:highlight w:val="none"/>
        </w:rPr>
        <w:t xml:space="preserve">18.</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 投标人不足3家，不进入解密程序。</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投标人应当按照《操作手册》规定，在苏采云系统规定的时间内对投标文件进行解密。</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eastAsia="宋体" w:cs="宋体"/>
          <w:b/>
          <w:color w:val="auto"/>
          <w:sz w:val="24"/>
          <w:highlight w:val="none"/>
        </w:rPr>
        <w:t xml:space="preserve">若解密成功的投标人不足三家，不进入后续程序。</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本项目在限定的解密时间内，只要有任一家投标人解密成功，即视为电子交易平台运行无故障。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电子投标文件解密全部完成后，按</w:t>
      </w:r>
      <w:r>
        <w:rPr>
          <w:rFonts w:hint="eastAsia" w:ascii="宋体" w:hAnsi="宋体" w:eastAsia="宋体" w:cs="宋体"/>
          <w:b/>
          <w:color w:val="auto"/>
          <w:sz w:val="24"/>
          <w:highlight w:val="none"/>
        </w:rPr>
        <w:t xml:space="preserve">投标文件解密成功顺序</w:t>
      </w:r>
      <w:r>
        <w:rPr>
          <w:rFonts w:hint="eastAsia" w:ascii="宋体" w:hAnsi="宋体" w:eastAsia="宋体" w:cs="宋体"/>
          <w:color w:val="auto"/>
          <w:sz w:val="24"/>
          <w:highlight w:val="none"/>
        </w:rPr>
        <w:t xml:space="preserve">向所有投标人宣布投标人名称、投标价格以及招标文件规定的其他内容。</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 电子交易平台自动记录开标过程，由参加开标的各投标人代表和相关工作人员确认开标结果。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投标人如果对开标过程和开标记录有疑义，应当根据《操作手册》规定提出，如 苏采云系统中《开标记录表》宣布后5分钟内未提出的，视同认可开标结果。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投标人须配合开标工作，否则一切后果由投标人自行承担。</w:t>
      </w:r>
      <w:r/>
    </w:p>
    <w:p>
      <w:pPr>
        <w:pStyle w:val="844"/>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19.投标人资格审查</w:t>
      </w:r>
      <w:r/>
    </w:p>
    <w:p>
      <w:pPr>
        <w:pStyle w:val="845"/>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19.1 开标结束后，采购人或者采购代理机构将依法对投标人的资格进行审查。</w:t>
      </w:r>
      <w:r>
        <w:rPr>
          <w:rFonts w:hint="eastAsia" w:ascii="宋体" w:hAnsi="宋体" w:eastAsia="宋体" w:cs="宋体"/>
          <w:b/>
          <w:color w:val="auto"/>
          <w:sz w:val="24"/>
          <w:highlight w:val="none"/>
        </w:rPr>
        <w:t xml:space="preserve">合格投标人不足3家的，不进入后续程序。</w:t>
      </w:r>
      <w:r/>
    </w:p>
    <w:p>
      <w:pPr>
        <w:pStyle w:val="844"/>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20．评标委员会组成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采购项目符合下列情形之一的，评标委员会成员人数应当为7人以上单数：</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（一）采购预算金额在1000万元以上；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（二）技术复杂；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（三）社会影响较大。</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评标委员会成员名单在评标结果公告前应当保密。</w:t>
      </w:r>
      <w:r/>
    </w:p>
    <w:p>
      <w:pPr>
        <w:pStyle w:val="844"/>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21.投标人符合性审查</w:t>
      </w:r>
      <w:r/>
    </w:p>
    <w:p>
      <w:pPr>
        <w:pStyle w:val="845"/>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21.1 评标委员会将按照招标文件第四部分“评标办法和标准”第7项规定对通过资格审查的投标人的投标文件进行符合性审查，以确定是否满足招标文件的实质性要求。</w:t>
      </w:r>
      <w:r>
        <w:rPr>
          <w:rFonts w:hint="eastAsia" w:ascii="宋体" w:hAnsi="宋体" w:eastAsia="宋体" w:cs="宋体"/>
          <w:b/>
          <w:color w:val="auto"/>
          <w:sz w:val="24"/>
          <w:highlight w:val="none"/>
        </w:rPr>
        <w:t xml:space="preserve">符合性审查合格投标人不足3家的，不进入详细评审环节。</w:t>
      </w:r>
      <w:r/>
    </w:p>
    <w:p>
      <w:pPr>
        <w:pStyle w:val="844"/>
        <w:ind w:firstLine="480"/>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21.2 投标文件澄清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21.2.2投标人的澄清应登录电子交易平台进入“澄清事项”模块进行。</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21.3 开标至评标结束期间，投标人应保持系统在线，如因</w:t>
      </w:r>
      <w:r>
        <w:rPr>
          <w:rFonts w:hint="eastAsia" w:ascii="宋体" w:hAnsi="宋体" w:eastAsia="宋体" w:cs="宋体"/>
          <w:b/>
          <w:bCs/>
          <w:color w:val="auto"/>
          <w:sz w:val="24"/>
          <w:highlight w:val="none"/>
        </w:rPr>
        <w:t xml:space="preserve">投标人自身原因</w:t>
      </w:r>
      <w:r>
        <w:rPr>
          <w:rFonts w:hint="eastAsia" w:ascii="宋体" w:hAnsi="宋体" w:eastAsia="宋体" w:cs="宋体"/>
          <w:b/>
          <w:color w:val="auto"/>
          <w:sz w:val="24"/>
          <w:highlight w:val="none"/>
        </w:rPr>
        <w:t xml:space="preserve">未在规定时间内按评标委员会要求进行澄清、说明或者补正的，一切后果由投标人自行承担。</w:t>
      </w:r>
      <w:r/>
    </w:p>
    <w:p>
      <w:pPr>
        <w:pStyle w:val="844"/>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22．无效投标的情形</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 投标人存在下列情况之一的，其投标无效：　</w:t>
      </w:r>
      <w:r/>
    </w:p>
    <w:p>
      <w:pPr>
        <w:ind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（1）投标文件未按招标文件要求进行有效签章的；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（2）报价超过招标文件中规定的预算金额或最高限价的；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宋体" w:hAnsi="宋体" w:eastAsia="宋体" w:cs="宋体"/>
          <w:b/>
          <w:color w:val="auto"/>
          <w:sz w:val="24"/>
          <w:highlight w:val="none"/>
          <w:u w:val="single"/>
          <w:lang w:eastAsia="zh-CN"/>
        </w:rPr>
      </w:pPr>
      <w:r>
        <w:rPr>
          <w:rFonts w:hint="eastAsia" w:ascii="宋体" w:hAnsi="宋体" w:eastAsia="宋体" w:cs="宋体"/>
          <w:b/>
          <w:color w:val="auto"/>
          <w:sz w:val="24"/>
          <w:highlight w:val="none"/>
          <w:u w:val="single"/>
        </w:rPr>
        <w:t xml:space="preserve">（4）投标文件含有采购人不能接受的附加条件的</w:t>
      </w:r>
      <w:r>
        <w:rPr>
          <w:rFonts w:hint="eastAsia" w:ascii="宋体" w:hAnsi="宋体" w:cs="宋体"/>
          <w:b/>
          <w:color w:val="auto"/>
          <w:sz w:val="24"/>
          <w:highlight w:val="none"/>
          <w:u w:val="single"/>
          <w:lang w:eastAsia="zh-CN"/>
        </w:rPr>
        <w:t xml:space="preserve">；</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（6）投标人对根据修正原则修正后的报价不确认的；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（7）投标文件中提供了虚假或失实资料的；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24"/>
          <w:highlight w:val="none"/>
          <w:u w:val="single"/>
          <w:lang w:val="en-US" w:eastAsia="zh-CN"/>
        </w:rPr>
        <w:t xml:space="preserve">8</w:t>
      </w:r>
      <w:r>
        <w:rPr>
          <w:rFonts w:hint="eastAsia" w:ascii="宋体" w:hAnsi="宋体" w:eastAsia="宋体" w:cs="宋体"/>
          <w:b/>
          <w:color w:val="auto"/>
          <w:sz w:val="24"/>
          <w:highlight w:val="none"/>
          <w:u w:val="single"/>
        </w:rPr>
        <w:t xml:space="preserve">）投标人未通过符合性审查或资格审查的；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24"/>
          <w:highlight w:val="none"/>
          <w:u w:val="single"/>
          <w:lang w:val="en-US" w:eastAsia="zh-CN"/>
        </w:rPr>
        <w:t xml:space="preserve">9</w:t>
      </w:r>
      <w:r>
        <w:rPr>
          <w:rFonts w:hint="eastAsia" w:ascii="宋体" w:hAnsi="宋体" w:eastAsia="宋体" w:cs="宋体"/>
          <w:b/>
          <w:color w:val="auto"/>
          <w:sz w:val="24"/>
          <w:highlight w:val="none"/>
          <w:u w:val="single"/>
        </w:rPr>
        <w:t xml:space="preserve">）投标人存在串通投标情形的；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w:t>
      </w:r>
      <w:r>
        <w:rPr>
          <w:rFonts w:hint="eastAsia" w:ascii="宋体" w:hAnsi="宋体" w:eastAsia="宋体" w:cs="宋体"/>
          <w:b/>
          <w:color w:val="auto"/>
          <w:sz w:val="24"/>
          <w:highlight w:val="none"/>
          <w:u w:val="single"/>
          <w:lang w:val="en-US" w:eastAsia="zh-CN"/>
        </w:rPr>
        <w:t xml:space="preserve">0</w:t>
      </w:r>
      <w:r>
        <w:rPr>
          <w:rFonts w:hint="eastAsia" w:ascii="宋体" w:hAnsi="宋体" w:eastAsia="宋体" w:cs="宋体"/>
          <w:b/>
          <w:color w:val="auto"/>
          <w:sz w:val="24"/>
          <w:highlight w:val="none"/>
          <w:u w:val="single"/>
        </w:rPr>
        <w:t xml:space="preserve">）为本项目提供整体设计、规范编制或者项目管理、监理、检测等服务的；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w:t>
      </w:r>
      <w:r>
        <w:rPr>
          <w:rFonts w:hint="eastAsia" w:ascii="宋体" w:hAnsi="宋体" w:eastAsia="宋体" w:cs="宋体"/>
          <w:b/>
          <w:color w:val="auto"/>
          <w:sz w:val="24"/>
          <w:highlight w:val="none"/>
          <w:u w:val="single"/>
          <w:lang w:val="en-US" w:eastAsia="zh-CN"/>
        </w:rPr>
        <w:t xml:space="preserve">1</w:t>
      </w:r>
      <w:r>
        <w:rPr>
          <w:rFonts w:hint="eastAsia" w:ascii="宋体" w:hAnsi="宋体" w:eastAsia="宋体" w:cs="宋体"/>
          <w:b/>
          <w:color w:val="auto"/>
          <w:sz w:val="24"/>
          <w:highlight w:val="none"/>
          <w:u w:val="single"/>
        </w:rPr>
        <w:t xml:space="preserve">）不同投标人的法定代表人或单位负责人为同一个人或者存在直接控股、管理关系的；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w:t>
      </w:r>
      <w:r>
        <w:rPr>
          <w:rFonts w:hint="eastAsia" w:ascii="宋体" w:hAnsi="宋体" w:eastAsia="宋体" w:cs="宋体"/>
          <w:b/>
          <w:color w:val="auto"/>
          <w:sz w:val="24"/>
          <w:highlight w:val="none"/>
          <w:u w:val="single"/>
          <w:lang w:val="en-US" w:eastAsia="zh-CN"/>
        </w:rPr>
        <w:t xml:space="preserve">2</w:t>
      </w:r>
      <w:r>
        <w:rPr>
          <w:rFonts w:hint="eastAsia" w:ascii="宋体" w:hAnsi="宋体" w:eastAsia="宋体" w:cs="宋体"/>
          <w:b/>
          <w:color w:val="auto"/>
          <w:sz w:val="24"/>
          <w:highlight w:val="none"/>
          <w:u w:val="single"/>
        </w:rPr>
        <w:t xml:space="preserve">）投标文件不满足招标文件的其它实质性要求的；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w:t>
      </w:r>
      <w:r>
        <w:rPr>
          <w:rFonts w:hint="eastAsia" w:ascii="宋体" w:hAnsi="宋体" w:eastAsia="宋体" w:cs="宋体"/>
          <w:b/>
          <w:color w:val="auto"/>
          <w:sz w:val="24"/>
          <w:highlight w:val="none"/>
          <w:u w:val="single"/>
          <w:lang w:val="en-US" w:eastAsia="zh-CN"/>
        </w:rPr>
        <w:t xml:space="preserve">3</w:t>
      </w:r>
      <w:r>
        <w:rPr>
          <w:rFonts w:hint="eastAsia" w:ascii="宋体" w:hAnsi="宋体" w:eastAsia="宋体" w:cs="宋体"/>
          <w:b/>
          <w:color w:val="auto"/>
          <w:sz w:val="24"/>
          <w:highlight w:val="none"/>
          <w:u w:val="single"/>
        </w:rPr>
        <w:t xml:space="preserve">）如有委托代理人，未提供投标人为其缴纳社保证明材料的；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w:t>
      </w:r>
      <w:r>
        <w:rPr>
          <w:rFonts w:hint="eastAsia" w:ascii="宋体" w:hAnsi="宋体" w:eastAsia="宋体" w:cs="宋体"/>
          <w:b/>
          <w:color w:val="auto"/>
          <w:sz w:val="24"/>
          <w:highlight w:val="none"/>
          <w:u w:val="single"/>
          <w:lang w:val="en-US" w:eastAsia="zh-CN"/>
        </w:rPr>
        <w:t xml:space="preserve">4</w:t>
      </w:r>
      <w:r>
        <w:rPr>
          <w:rFonts w:hint="eastAsia" w:ascii="宋体" w:hAnsi="宋体" w:eastAsia="宋体" w:cs="宋体"/>
          <w:b/>
          <w:color w:val="auto"/>
          <w:sz w:val="24"/>
          <w:highlight w:val="none"/>
          <w:u w:val="single"/>
        </w:rPr>
        <w:t xml:space="preserve">）参数部分负偏离程度过大或过多，经评委会认定影响采购人实际使用的；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w:t>
      </w:r>
      <w:r>
        <w:rPr>
          <w:rFonts w:hint="eastAsia" w:ascii="宋体" w:hAnsi="宋体" w:eastAsia="宋体" w:cs="宋体"/>
          <w:b/>
          <w:color w:val="auto"/>
          <w:sz w:val="24"/>
          <w:highlight w:val="none"/>
          <w:u w:val="single"/>
          <w:lang w:val="en-US" w:eastAsia="zh-CN"/>
        </w:rPr>
        <w:t xml:space="preserve">5</w:t>
      </w:r>
      <w:r>
        <w:rPr>
          <w:rFonts w:hint="eastAsia" w:ascii="宋体" w:hAnsi="宋体" w:eastAsia="宋体" w:cs="宋体"/>
          <w:b/>
          <w:color w:val="auto"/>
          <w:sz w:val="24"/>
          <w:highlight w:val="none"/>
          <w:u w:val="single"/>
        </w:rPr>
        <w:t xml:space="preserve">）投标文件不满足招标文件的加★要求的；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w:t>
      </w:r>
      <w:r>
        <w:rPr>
          <w:rFonts w:hint="eastAsia" w:ascii="宋体" w:hAnsi="宋体" w:eastAsia="宋体" w:cs="宋体"/>
          <w:b/>
          <w:color w:val="auto"/>
          <w:sz w:val="24"/>
          <w:highlight w:val="none"/>
          <w:u w:val="single"/>
          <w:lang w:val="en-US" w:eastAsia="zh-CN"/>
        </w:rPr>
        <w:t xml:space="preserve">6</w:t>
      </w:r>
      <w:r>
        <w:rPr>
          <w:rFonts w:hint="eastAsia" w:ascii="宋体" w:hAnsi="宋体" w:eastAsia="宋体" w:cs="宋体"/>
          <w:b/>
          <w:color w:val="auto"/>
          <w:sz w:val="24"/>
          <w:highlight w:val="none"/>
          <w:u w:val="single"/>
        </w:rPr>
        <w:t xml:space="preserve">）法律、法规、规章（适用本市的）及省级以上规范性文件（适用本市的）规定的其他无效情形。</w:t>
      </w:r>
      <w:r/>
    </w:p>
    <w:p>
      <w:pPr>
        <w:pStyle w:val="844"/>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23. 串通投标的情形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23.1 有下列情形之一的，视为投标人串通投标，投标无效：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（1）不同投标人的投标文件由同一单位或者个人编制；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（2）不同投标人委托同一单位或者个人办理投标事宜；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（3）不同投标人的投标文件载明的项目管理成员或者联系人员为同一人；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（4）不同投标人的投标文件异常一致或者投标报价呈规律性差异；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（5）不同投标人的投标文件相互混装。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（6）不同投标人存在电子投标文件预算编制软件密码锁号、IP地址、机器码一致的情形。</w:t>
      </w:r>
      <w:r/>
    </w:p>
    <w:p>
      <w:pPr>
        <w:pStyle w:val="844"/>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24.投标文件详细评审</w:t>
      </w:r>
      <w:r/>
    </w:p>
    <w:p>
      <w:pPr>
        <w:pStyle w:val="845"/>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24.1 评标委员会将按照招标文件第五部分“评标办法和标准”第8项规定，对符合性审查合格的投标文件进行商务、技术和价格评估，综合比较与评价。</w:t>
      </w:r>
      <w:r/>
    </w:p>
    <w:p>
      <w:pPr>
        <w:pStyle w:val="844"/>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25.评标过程的保密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25.2 </w:t>
      </w:r>
      <w:r>
        <w:rPr>
          <w:rFonts w:hint="eastAsia" w:ascii="宋体" w:hAnsi="宋体" w:eastAsia="宋体" w:cs="宋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44"/>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26．废标的情形</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 出现下列情形之一的，将予废标：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（1）符合专业条件的供应商或者对招标文件作实质响应的供应商不足三家的；  </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（2）出现影响采购公正的违法、违规行为的；  </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（3）投标人的报价均超过了采购预算，采购人不能支付的；</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（4）因重大变故，采购任务取消的；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废标后，采购人应当将废标理由通知所有投标人。</w:t>
      </w:r>
      <w:r/>
    </w:p>
    <w:p>
      <w:pPr>
        <w:pStyle w:val="844"/>
        <w:jc w:val="center"/>
        <w:keepLines w:val="0"/>
        <w:keepNext w:val="0"/>
        <w:spacing w:before="200" w:after="20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六、确定结果</w:t>
      </w:r>
      <w:r/>
    </w:p>
    <w:p>
      <w:pPr>
        <w:pStyle w:val="844"/>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27.确定中标人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27.1采购代理机构在评标结束后2个工作日内将评标报告送采购人。</w:t>
      </w:r>
      <w:r/>
    </w:p>
    <w:p>
      <w:pPr>
        <w:ind w:firstLine="480"/>
        <w:spacing w:line="360" w:lineRule="auto"/>
        <w:rPr>
          <w:rFonts w:hint="eastAsia" w:ascii="宋体" w:hAnsi="宋体" w:eastAsia="宋体" w:cs="宋体"/>
          <w:color w:val="auto"/>
          <w:sz w:val="24"/>
          <w:highlight w:val="none"/>
        </w:rPr>
      </w:pPr>
      <w:r/>
      <w:bookmarkStart w:id="67" w:name="_Hlk132702541"/>
      <w:r/>
      <w:bookmarkStart w:id="68" w:name="_Hlk132702790"/>
      <w:r>
        <w:rPr>
          <w:rFonts w:hint="eastAsia" w:ascii="宋体" w:hAnsi="宋体" w:eastAsia="宋体" w:cs="宋体"/>
          <w:color w:val="auto"/>
          <w:sz w:val="24"/>
          <w:highlight w:val="none"/>
        </w:rPr>
        <w:t xml:space="preserve">27.</w:t>
      </w:r>
      <w:bookmarkEnd w:id="67"/>
      <w:r>
        <w:rPr>
          <w:rFonts w:hint="eastAsia" w:ascii="宋体" w:hAnsi="宋体" w:eastAsia="宋体" w:cs="宋体"/>
          <w:color w:val="auto"/>
          <w:sz w:val="24"/>
          <w:highlight w:val="none"/>
        </w:rPr>
        <w:t xml:space="preserve">2</w:t>
      </w:r>
      <w:bookmarkEnd w:id="68"/>
      <w:r>
        <w:rPr>
          <w:rFonts w:hint="eastAsia" w:ascii="宋体" w:hAnsi="宋体" w:eastAsia="宋体" w:cs="宋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.3</w:t>
      </w:r>
      <w:r>
        <w:rPr>
          <w:rFonts w:hint="eastAsia" w:ascii="宋体" w:hAnsi="宋体" w:eastAsia="宋体" w:cs="宋体"/>
          <w:b/>
          <w:bCs/>
          <w:color w:val="auto"/>
          <w:sz w:val="22"/>
          <w:highlight w:val="none"/>
          <w:lang w:val="zh-CN"/>
        </w:rPr>
        <w:t xml:space="preserve">成交供应商在成交公告发布后，须向采购代理机构提供与线上内容一致的纸质响应文件三份（正本1份、副本2份）</w:t>
      </w:r>
      <w:r/>
    </w:p>
    <w:p>
      <w:pPr>
        <w:pStyle w:val="844"/>
        <w:ind w:firstLine="643"/>
        <w:jc w:val="center"/>
        <w:keepLines w:val="0"/>
        <w:keepNext w:val="0"/>
        <w:spacing w:before="200" w:after="20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七、授予合同</w:t>
      </w:r>
      <w:r/>
    </w:p>
    <w:p>
      <w:pPr>
        <w:pStyle w:val="844"/>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28．中标通知书</w:t>
      </w:r>
      <w:r/>
    </w:p>
    <w:p>
      <w:pPr>
        <w:pStyle w:val="844"/>
        <w:ind w:firstLine="470"/>
        <w:keepLines w:val="0"/>
        <w:keepNext w:val="0"/>
        <w:spacing w:before="0" w:after="0"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28.1 自中标人确定之日起2个工作日内，采购代理机构向中标人发出中标通知书，同时编制发布采购结果公告。</w:t>
      </w:r>
      <w:r/>
    </w:p>
    <w:p>
      <w:pPr>
        <w:pStyle w:val="844"/>
        <w:ind w:firstLine="355"/>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b w:val="0"/>
          <w:color w:val="auto"/>
          <w:sz w:val="24"/>
          <w:highlight w:val="none"/>
        </w:rPr>
        <w:t xml:space="preserve">28.2中标通知书发出后，采购人不得违法改变中标结果，中标人无正当理由不得放弃中标。</w:t>
      </w:r>
      <w:r/>
    </w:p>
    <w:p>
      <w:pPr>
        <w:pStyle w:val="844"/>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29.履约保证金</w:t>
      </w:r>
      <w:r/>
    </w:p>
    <w:p>
      <w:pPr>
        <w:pStyle w:val="84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29.1 </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本项目不收取履约保证金。</w:t>
      </w:r>
      <w:r/>
    </w:p>
    <w:p>
      <w:pPr>
        <w:pStyle w:val="849"/>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szCs w:val="24"/>
          <w:highlight w:val="none"/>
          <w:lang w:val="en-US" w:eastAsia="zh-CN" w:bidi="ar-SA"/>
        </w:rPr>
        <w:t xml:space="preserve">□本项目中标供应商应提交政府采购合同金额XX%的履约保证金（不得超过政府采购合同金额的10%），履约保证金应以支票、汇票、本票、保函、保险保单等非现金形式缴纳或提交。支持和鼓励中标供应商自愿使用履约(保函) 保险代替缴纳履约保证金。省财政厅已上线政府采购电子履约保函(保险)平台，平台可通过域名www.jisdzbh.com直接访问，也可通过江苏省政府采购网、“苏采云”系统链接访问。</w:t>
      </w:r>
      <w:r/>
    </w:p>
    <w:p>
      <w:pPr>
        <w:pStyle w:val="844"/>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30．签订合同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30.1 采购人应当自中标通知书发出之日起</w:t>
      </w:r>
      <w:r>
        <w:rPr>
          <w:rFonts w:hint="eastAsia" w:ascii="宋体" w:hAnsi="宋体" w:eastAsia="宋体" w:cs="宋体"/>
          <w:color w:val="auto"/>
          <w:sz w:val="24"/>
          <w:highlight w:val="none"/>
          <w:u w:val="single"/>
        </w:rPr>
        <w:t xml:space="preserve">15日</w:t>
      </w:r>
      <w:r>
        <w:rPr>
          <w:rFonts w:hint="eastAsia" w:ascii="宋体" w:hAnsi="宋体" w:eastAsia="宋体" w:cs="宋体"/>
          <w:color w:val="auto"/>
          <w:sz w:val="24"/>
          <w:highlight w:val="none"/>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30.4采购人应当自采购合同签订之日起2个工作日内，将政府采购合同在政府采购指定媒体予以公告。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43"/>
        <w:jc w:val="center"/>
        <w:spacing w:line="360" w:lineRule="auto"/>
        <w:rPr>
          <w:rFonts w:hint="eastAsia" w:ascii="宋体" w:hAnsi="宋体" w:eastAsia="宋体" w:cs="宋体"/>
          <w:b/>
          <w:color w:val="auto"/>
          <w:sz w:val="32"/>
          <w:szCs w:val="32"/>
          <w:highlight w:val="none"/>
          <w:shd w:val="clear" w:color="auto" w:fill="ffffff"/>
        </w:rPr>
      </w:pPr>
      <w:r>
        <w:rPr>
          <w:rFonts w:hint="eastAsia" w:ascii="宋体" w:hAnsi="宋体" w:eastAsia="宋体" w:cs="宋体"/>
          <w:b/>
          <w:color w:val="auto"/>
          <w:sz w:val="32"/>
          <w:szCs w:val="32"/>
          <w:highlight w:val="none"/>
          <w:shd w:val="clear" w:color="auto" w:fill="ffffff"/>
        </w:rPr>
        <w:t xml:space="preserve">八、询问、质疑、投诉</w:t>
      </w:r>
      <w:r/>
    </w:p>
    <w:p>
      <w:pPr>
        <w:pStyle w:val="844"/>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31．询问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844"/>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32．质疑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以上规定的供应商应知其权益受到损害之日，是指：</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（1）对可以质疑的采购文件提出质疑的，为收到采购文件之日或者采购文件公告期限届满之日；</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（2）对采购过程提出质疑的，为各采购程序环节结束之日；</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（3）对中标结果提出质疑的，为中标结果公告期限届满之日。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69" w:name="_Hlk132706924"/>
      <w:r>
        <w:rPr>
          <w:rFonts w:hint="eastAsia" w:ascii="宋体" w:hAnsi="宋体" w:eastAsia="宋体" w:cs="宋体"/>
          <w:color w:val="auto"/>
          <w:sz w:val="24"/>
          <w:highlight w:val="none"/>
        </w:rPr>
        <w:t xml:space="preserve">政府采购监管部门</w:t>
      </w:r>
      <w:bookmarkEnd w:id="69"/>
      <w:r>
        <w:rPr>
          <w:rFonts w:hint="eastAsia" w:ascii="宋体" w:hAnsi="宋体" w:eastAsia="宋体" w:cs="宋体"/>
          <w:color w:val="auto"/>
          <w:sz w:val="24"/>
          <w:highlight w:val="none"/>
        </w:rPr>
        <w:t xml:space="preserve">将其列入不良行为记录名单，并依法予以处罚。</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宋体" w:hAnsi="宋体" w:eastAsia="宋体" w:cs="宋体"/>
          <w:b/>
          <w:color w:val="auto"/>
          <w:sz w:val="24"/>
          <w:highlight w:val="none"/>
        </w:rPr>
        <w:t xml:space="preserve">供应商如对采购需求提出质疑，采购人负责处理和答复涉及采购需求的质疑内容。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32.4 集中采购接受质疑函联系部门、联系电话和通讯地址、质疑流程及注意事项见</w:t>
      </w:r>
      <w:r>
        <w:rPr>
          <w:rFonts w:hint="eastAsia" w:ascii="宋体" w:hAnsi="宋体" w:eastAsia="宋体" w:cs="宋体"/>
          <w:color w:val="auto"/>
          <w:sz w:val="24"/>
          <w:highlight w:val="none"/>
          <w:lang w:val="en-US" w:eastAsia="zh-CN"/>
        </w:rPr>
        <w:t xml:space="preserve">江苏政府采购网</w:t>
      </w:r>
      <w:r>
        <w:rPr>
          <w:rFonts w:hint="eastAsia" w:ascii="宋体" w:hAnsi="宋体" w:eastAsia="宋体" w:cs="宋体"/>
          <w:color w:val="auto"/>
          <w:sz w:val="24"/>
          <w:highlight w:val="none"/>
        </w:rPr>
        <w:t xml:space="preserve">。分散采购接受质疑函请联系代理机构。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32.5采购人、采购代理机构不得拒收质疑供应商在法定质疑期内发出的质疑函，应当在收到质疑函后7个工作日内作出答复，并以书面形式通知质疑供应商和其他有关供应商。</w:t>
      </w:r>
      <w:r/>
    </w:p>
    <w:p>
      <w:pPr>
        <w:pStyle w:val="844"/>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33．投诉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33.2以联合体形式参加政府采购活动的，其投诉应当由组成联合体的所有供应商共同提出。</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33.3投诉流程及注意事项见“</w:t>
      </w:r>
      <w:r>
        <w:rPr>
          <w:rFonts w:hint="eastAsia" w:ascii="宋体" w:hAnsi="宋体" w:eastAsia="宋体" w:cs="宋体"/>
          <w:color w:val="auto"/>
          <w:sz w:val="24"/>
          <w:highlight w:val="none"/>
          <w:lang w:val="en-US" w:eastAsia="zh-CN"/>
        </w:rPr>
        <w:t xml:space="preserve">江苏政府采购</w:t>
      </w:r>
      <w:r>
        <w:rPr>
          <w:rFonts w:hint="eastAsia" w:ascii="宋体" w:hAnsi="宋体" w:eastAsia="宋体" w:cs="宋体"/>
          <w:color w:val="auto"/>
          <w:sz w:val="24"/>
          <w:highlight w:val="none"/>
        </w:rPr>
        <w:t xml:space="preserve">”网站。</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shd w:val="clear" w:color="auto" w:fill="ffffff"/>
        </w:rPr>
        <w:t xml:space="preserve">九、诚实信用和解释权</w:t>
      </w:r>
      <w:r/>
    </w:p>
    <w:p>
      <w:pPr>
        <w:pStyle w:val="844"/>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34．诚实信用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34.2 供应商不得以向采购人或采购代理机构工作人员、评标委员会成员行贿或者采取其他不正当手段谋取中标。经查实供应商有此行为的，将在“</w:t>
      </w:r>
      <w:r>
        <w:rPr>
          <w:rFonts w:hint="eastAsia" w:ascii="宋体" w:hAnsi="宋体" w:eastAsia="宋体" w:cs="宋体"/>
          <w:color w:val="auto"/>
          <w:sz w:val="24"/>
          <w:highlight w:val="none"/>
          <w:lang w:val="en-US" w:eastAsia="zh-CN"/>
        </w:rPr>
        <w:t xml:space="preserve">江苏政府采购网</w:t>
      </w:r>
      <w:r>
        <w:rPr>
          <w:rFonts w:hint="eastAsia" w:ascii="宋体" w:hAnsi="宋体" w:eastAsia="宋体" w:cs="宋体"/>
          <w:color w:val="auto"/>
          <w:sz w:val="24"/>
          <w:highlight w:val="none"/>
        </w:rPr>
        <w:t xml:space="preserve">”网站公告，政府采购监管部门将供应商列入不良行为记录名单，按照政府采购有关规定处理。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34.3 供应商不得虚假承诺，否则，按照提供虚假材料谋取中标处理。</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34.5根据《财政部关于在政府采购活动中查询及使用信息记录有关问题的通知》（财库〔2016〕125号）、江苏省财政厅《关于做好政府采购信用信息查询使用及登记等工作的通知》（苏财购〔2016〕50号）等文件精</w:t>
      </w:r>
      <w:r>
        <w:rPr>
          <w:rFonts w:hint="eastAsia" w:ascii="宋体" w:hAnsi="宋体" w:eastAsia="宋体" w:cs="宋体"/>
          <w:color w:val="auto"/>
          <w:sz w:val="24"/>
          <w:highlight w:val="none"/>
        </w:rPr>
        <w:t xml:space="preserve">神，采购人或采购代理机构在项目资格审查时对参加本项目的各供应商进行信用记录查询，信用记录查询渠道为“信用中国”网站（www.creditchina.gov.cn ）、中国政府采购网（www.ccgp.gov.cn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44"/>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w:t>
      </w:r>
      <w:r>
        <w:rPr>
          <w:rFonts w:hint="eastAsia" w:ascii="宋体" w:hAnsi="宋体" w:eastAsia="宋体" w:cs="宋体"/>
          <w:color w:val="auto"/>
          <w:sz w:val="30"/>
          <w:highlight w:val="none"/>
          <w:lang w:val="en-US" w:eastAsia="zh-CN"/>
        </w:rPr>
        <w:t xml:space="preserve">5</w:t>
      </w:r>
      <w:r>
        <w:rPr>
          <w:rFonts w:hint="eastAsia" w:ascii="宋体" w:hAnsi="宋体" w:eastAsia="宋体" w:cs="宋体"/>
          <w:color w:val="auto"/>
          <w:sz w:val="30"/>
          <w:highlight w:val="none"/>
        </w:rPr>
        <w:t xml:space="preserve">.适用法律及约束力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.1 </w:t>
      </w:r>
      <w:r>
        <w:rPr>
          <w:rFonts w:hint="eastAsia" w:ascii="宋体" w:hAnsi="宋体" w:eastAsia="宋体" w:cs="宋体"/>
          <w:b/>
          <w:color w:val="auto"/>
          <w:sz w:val="24"/>
          <w:highlight w:val="none"/>
        </w:rPr>
        <w:t xml:space="preserve">投标人一旦获取了本招标文件并参加投标，即被认为接受了本招标文件的规定和约束。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.2 本次招标及由本次招标产生的合同受中华人民共和国法律制约和保护。</w:t>
      </w:r>
      <w:r/>
    </w:p>
    <w:p>
      <w:pPr>
        <w:pStyle w:val="844"/>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w:t>
      </w:r>
      <w:r>
        <w:rPr>
          <w:rFonts w:hint="eastAsia" w:ascii="宋体" w:hAnsi="宋体" w:eastAsia="宋体" w:cs="宋体"/>
          <w:color w:val="auto"/>
          <w:sz w:val="30"/>
          <w:highlight w:val="none"/>
          <w:lang w:val="en-US" w:eastAsia="zh-CN"/>
        </w:rPr>
        <w:t xml:space="preserve">6</w:t>
      </w:r>
      <w:r>
        <w:rPr>
          <w:rFonts w:hint="eastAsia" w:ascii="宋体" w:hAnsi="宋体" w:eastAsia="宋体" w:cs="宋体"/>
          <w:color w:val="auto"/>
          <w:sz w:val="30"/>
          <w:highlight w:val="none"/>
        </w:rPr>
        <w:t xml:space="preserve">.解释权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除相关法律、法规规定外，本招标文件的解释权归</w:t>
      </w:r>
      <w:r>
        <w:rPr>
          <w:rFonts w:hint="eastAsia" w:ascii="宋体" w:hAnsi="宋体" w:eastAsia="宋体" w:cs="宋体"/>
          <w:color w:val="auto"/>
          <w:sz w:val="24"/>
          <w:highlight w:val="none"/>
          <w:u w:val="single"/>
          <w:lang w:eastAsia="zh-CN"/>
        </w:rPr>
        <w:t xml:space="preserve">采购代理机构</w:t>
      </w:r>
      <w:r>
        <w:rPr>
          <w:rFonts w:hint="eastAsia" w:ascii="宋体" w:hAnsi="宋体" w:eastAsia="宋体" w:cs="宋体"/>
          <w:color w:val="auto"/>
          <w:sz w:val="24"/>
          <w:highlight w:val="none"/>
        </w:rPr>
        <w:t xml:space="preserve">所有。</w:t>
      </w:r>
      <w:r/>
    </w:p>
    <w:p>
      <w:pPr>
        <w:jc w:val="both"/>
        <w:spacing w:line="360" w:lineRule="auto"/>
        <w:widowControl/>
        <w:rPr>
          <w:rFonts w:hint="eastAsia" w:ascii="宋体" w:hAnsi="宋体" w:eastAsia="宋体" w:cs="宋体"/>
          <w:b/>
          <w:color w:val="auto"/>
          <w:sz w:val="30"/>
          <w:highlight w:val="none"/>
        </w:rPr>
      </w:pPr>
      <w:r>
        <w:rPr>
          <w:rFonts w:hint="eastAsia" w:ascii="宋体" w:hAnsi="宋体" w:eastAsia="宋体" w:cs="宋体"/>
          <w:b/>
          <w:color w:val="auto"/>
          <w:sz w:val="30"/>
          <w:highlight w:val="none"/>
        </w:rPr>
      </w:r>
      <w:r/>
    </w:p>
    <w:p>
      <w:pPr>
        <w:jc w:val="center"/>
        <w:spacing w:line="360" w:lineRule="auto"/>
        <w:widowControl/>
        <w:rPr>
          <w:rFonts w:hint="eastAsia" w:ascii="宋体" w:hAnsi="宋体" w:eastAsia="宋体" w:cs="宋体"/>
          <w:b/>
          <w:color w:val="auto"/>
          <w:sz w:val="30"/>
          <w:highlight w:val="none"/>
        </w:rPr>
      </w:pPr>
      <w:r>
        <w:rPr>
          <w:rFonts w:hint="eastAsia" w:ascii="宋体" w:hAnsi="宋体" w:eastAsia="宋体" w:cs="宋体"/>
          <w:b/>
          <w:color w:val="auto"/>
          <w:sz w:val="30"/>
          <w:highlight w:val="none"/>
        </w:rPr>
      </w:r>
      <w:r/>
    </w:p>
    <w:p>
      <w:pPr>
        <w:jc w:val="center"/>
        <w:spacing w:line="360" w:lineRule="auto"/>
        <w:widowControl/>
        <w:rPr>
          <w:rFonts w:hint="eastAsia" w:ascii="宋体" w:hAnsi="宋体" w:eastAsia="宋体" w:cs="宋体"/>
          <w:b/>
          <w:color w:val="auto"/>
          <w:sz w:val="30"/>
          <w:highlight w:val="none"/>
        </w:rPr>
      </w:pPr>
      <w:r>
        <w:rPr>
          <w:rFonts w:hint="eastAsia" w:ascii="宋体" w:hAnsi="宋体" w:eastAsia="宋体" w:cs="宋体"/>
          <w:b/>
          <w:color w:val="auto"/>
          <w:sz w:val="30"/>
          <w:highlight w:val="none"/>
        </w:rPr>
        <w:br w:type="page" w:clear="all"/>
      </w:r>
      <w:r>
        <w:rPr>
          <w:rFonts w:hint="eastAsia" w:ascii="宋体" w:hAnsi="宋体" w:eastAsia="宋体" w:cs="宋体"/>
          <w:b/>
          <w:color w:val="auto"/>
          <w:sz w:val="30"/>
          <w:highlight w:val="none"/>
        </w:rPr>
        <w:t xml:space="preserve">第三部分  拟签订的合同文本（货物、服务类）</w:t>
      </w:r>
      <w:r/>
    </w:p>
    <w:p>
      <w:pP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合同编号：</w:t>
      </w:r>
      <w:r/>
    </w:p>
    <w:p>
      <w:pPr>
        <w:jc w:val="center"/>
        <w:spacing w:line="48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48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spacing w:line="48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668"/>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第一</w:t>
      </w:r>
      <w:bookmarkStart w:id="70" w:name="_Hlk136502621"/>
      <w:r>
        <w:rPr>
          <w:rFonts w:hint="eastAsia" w:ascii="宋体" w:hAnsi="宋体" w:eastAsia="宋体" w:cs="宋体"/>
          <w:b/>
          <w:color w:val="auto"/>
          <w:sz w:val="28"/>
          <w:szCs w:val="28"/>
          <w:highlight w:val="none"/>
        </w:rPr>
        <w:t xml:space="preserve">部分</w:t>
      </w:r>
      <w:bookmarkEnd w:id="70"/>
      <w:r>
        <w:rPr>
          <w:rFonts w:hint="eastAsia" w:ascii="宋体" w:hAnsi="宋体" w:eastAsia="宋体" w:cs="宋体"/>
          <w:b/>
          <w:color w:val="auto"/>
          <w:sz w:val="28"/>
          <w:szCs w:val="28"/>
          <w:highlight w:val="none"/>
        </w:rPr>
        <w:t xml:space="preserve"> 合同书</w:t>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960"/>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p>
      <w:pPr>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960"/>
        <w:spacing w:before="120" w:line="22" w:lineRule="atLeas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甲方：</w:t>
      </w:r>
      <w:r/>
    </w:p>
    <w:p>
      <w:pPr>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960"/>
        <w:spacing w:before="120" w:line="22" w:lineRule="atLeas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乙方：</w:t>
      </w:r>
      <w:r/>
    </w:p>
    <w:p>
      <w:pPr>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960"/>
        <w:spacing w:before="120" w:line="22" w:lineRule="atLeast"/>
        <w:rPr>
          <w:rFonts w:hint="eastAsia" w:ascii="宋体" w:hAnsi="宋体" w:eastAsia="宋体" w:cs="宋体"/>
          <w:color w:val="auto"/>
          <w:sz w:val="24"/>
          <w:highlight w:val="none"/>
          <w:lang w:val="en-US" w:eastAsia="zh-CN"/>
        </w:rPr>
        <w:sectPr>
          <w:headerReference w:type="even" r:id="rId9"/>
          <w:footerReference w:type="default" r:id="rId10"/>
          <w:footerReference w:type="first" r:id="rId11"/>
          <w:footnotePr/>
          <w:endnotePr/>
          <w:type w:val="nextPage"/>
          <w:pgSz w:w="11907" w:h="16840" w:orient="portrait"/>
          <w:pgMar w:top="1474" w:right="1814" w:bottom="1474" w:left="1814" w:header="851" w:footer="851" w:gutter="0"/>
          <w:pgNumType w:start="1"/>
          <w:cols w:num="1" w:sep="0" w:space="1701" w:equalWidth="1"/>
          <w:docGrid w:linePitch="360"/>
        </w:sectPr>
      </w:pPr>
      <w:r>
        <w:rPr>
          <w:rFonts w:hint="eastAsia" w:ascii="宋体" w:hAnsi="宋体" w:eastAsia="宋体" w:cs="宋体"/>
          <w:color w:val="auto"/>
          <w:sz w:val="24"/>
          <w:highlight w:val="none"/>
        </w:rPr>
        <w:t xml:space="preserve">签订日期：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none"/>
          <w:lang w:val="en-US" w:eastAsia="zh-CN"/>
        </w:rPr>
        <w:t xml:space="preserve">日</w:t>
      </w:r>
      <w:r/>
    </w:p>
    <w:p>
      <w:pPr>
        <w:ind w:firstLine="480"/>
        <w:keepLines w:val="0"/>
        <w:keepNext w:val="0"/>
        <w:pageBreakBefore w:val="0"/>
        <w:spacing w:before="120" w:line="360" w:lineRule="auto"/>
        <w:widowControl w:val="off"/>
        <w:rPr>
          <w:rFonts w:ascii="宋体" w:hAnsi="宋体" w:cs="宋体"/>
          <w:color w:val="auto"/>
          <w:sz w:val="24"/>
          <w:highlight w:val="none"/>
        </w:rPr>
      </w:pPr>
      <w:r/>
      <w:bookmarkStart w:id="71" w:name="_Toc22000633"/>
      <w:r>
        <w:rPr>
          <w:rFonts w:hint="eastAsia" w:ascii="宋体" w:hAnsi="宋体" w:cs="宋体"/>
          <w:color w:val="auto"/>
          <w:sz w:val="24"/>
          <w:highlight w:val="none"/>
          <w:lang w:val="zh-CN"/>
        </w:rPr>
        <w:t xml:space="preserve">根据《中华人民共和国民法典》《中华人民共和国政府采购法》等相关法律法规之规定和</w:t>
      </w:r>
      <w:r>
        <w:rPr>
          <w:rFonts w:hint="eastAsia" w:ascii="宋体" w:hAnsi="宋体" w:cs="宋体"/>
          <w:color w:val="auto"/>
          <w:sz w:val="24"/>
          <w:highlight w:val="none"/>
          <w:u w:val="single"/>
          <w:lang w:val="zh-CN"/>
        </w:rPr>
        <w:t xml:space="preserve">（</w:t>
      </w:r>
      <w:r>
        <w:rPr>
          <w:rFonts w:hint="eastAsia" w:ascii="宋体" w:hAnsi="宋体"/>
          <w:color w:val="auto"/>
          <w:sz w:val="24"/>
          <w:highlight w:val="none"/>
          <w:u w:val="single"/>
        </w:rPr>
        <w:t xml:space="preserve">项目名称）（项目编号）</w:t>
      </w:r>
      <w:r>
        <w:rPr>
          <w:rFonts w:hint="eastAsia" w:ascii="宋体" w:hAnsi="宋体"/>
          <w:color w:val="auto"/>
          <w:sz w:val="24"/>
          <w:highlight w:val="none"/>
        </w:rPr>
        <w:t xml:space="preserve">的招标结果，</w:t>
      </w:r>
      <w:r>
        <w:rPr>
          <w:rFonts w:hint="eastAsia" w:ascii="宋体" w:hAnsi="宋体" w:cs="宋体"/>
          <w:color w:val="auto"/>
          <w:sz w:val="24"/>
          <w:highlight w:val="none"/>
          <w:lang w:val="zh-CN"/>
        </w:rPr>
        <w:t xml:space="preserve">按照平等、自愿、公平、诚实信用和绿色的原则，经甲方和乙方协商一致，约定以下合同</w:t>
      </w:r>
      <w:r>
        <w:rPr>
          <w:rFonts w:hint="eastAsia" w:ascii="宋体" w:hAnsi="宋体" w:cs="宋体"/>
          <w:color w:val="auto"/>
          <w:sz w:val="24"/>
          <w:highlight w:val="none"/>
        </w:rPr>
        <w:t xml:space="preserve">条款，以兹共同遵守、全面履行。</w:t>
      </w:r>
      <w:r/>
    </w:p>
    <w:p>
      <w:pPr>
        <w:ind w:firstLine="482"/>
        <w:spacing w:line="360" w:lineRule="auto"/>
        <w:rPr>
          <w:rFonts w:ascii="宋体" w:hAnsi="宋体" w:cs="宋体"/>
          <w:b/>
          <w:color w:val="auto"/>
          <w:sz w:val="24"/>
          <w:highlight w:val="none"/>
        </w:rPr>
        <w:outlineLvl w:val="0"/>
      </w:pPr>
      <w:r/>
      <w:bookmarkStart w:id="72" w:name="_Toc24059"/>
      <w:r/>
      <w:bookmarkStart w:id="73" w:name="_Toc2232"/>
      <w:r/>
      <w:bookmarkStart w:id="74" w:name="_Toc3029"/>
      <w:r>
        <w:rPr>
          <w:rFonts w:hint="eastAsia" w:ascii="宋体" w:hAnsi="宋体" w:cs="宋体"/>
          <w:b/>
          <w:color w:val="auto"/>
          <w:sz w:val="24"/>
          <w:highlight w:val="none"/>
        </w:rPr>
        <w:t xml:space="preserve">1.1合同组成部分</w:t>
      </w:r>
      <w:bookmarkEnd w:id="72"/>
      <w:r/>
      <w:bookmarkEnd w:id="73"/>
      <w:r/>
      <w:bookmarkEnd w:id="74"/>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1.1.1 本合同第一部分、第二部分、第三部分及其补充合同、变更协议；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1.1.2 中标或者成交通知书；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1.1.3 投标或者响应文件（含澄清或者说明文件）；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1.1.4 采购文件（含澄清或者修改文件）；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1.1.5 其他相关采购文件。</w:t>
      </w:r>
      <w:r/>
    </w:p>
    <w:p>
      <w:pPr>
        <w:ind w:firstLine="482"/>
        <w:spacing w:line="360" w:lineRule="auto"/>
        <w:rPr>
          <w:rFonts w:ascii="宋体" w:hAnsi="宋体" w:cs="宋体"/>
          <w:b/>
          <w:color w:val="auto"/>
          <w:sz w:val="24"/>
          <w:highlight w:val="none"/>
        </w:rPr>
        <w:outlineLvl w:val="0"/>
      </w:pPr>
      <w:r/>
      <w:bookmarkStart w:id="75" w:name="_Toc27126"/>
      <w:r/>
      <w:bookmarkStart w:id="76" w:name="_Toc24300"/>
      <w:r/>
      <w:bookmarkStart w:id="77" w:name="_Toc21295"/>
      <w:r>
        <w:rPr>
          <w:rFonts w:hint="eastAsia" w:ascii="宋体" w:hAnsi="宋体" w:cs="宋体"/>
          <w:b/>
          <w:color w:val="auto"/>
          <w:sz w:val="24"/>
          <w:highlight w:val="none"/>
        </w:rPr>
        <w:t xml:space="preserve">1.2 货物</w:t>
      </w:r>
      <w:bookmarkEnd w:id="75"/>
      <w:r/>
      <w:bookmarkEnd w:id="76"/>
      <w:r/>
      <w:bookmarkEnd w:id="77"/>
      <w:r>
        <w:rPr>
          <w:rFonts w:hint="eastAsia" w:ascii="宋体" w:hAnsi="宋体" w:cs="宋体"/>
          <w:b/>
          <w:i/>
          <w:iCs/>
          <w:color w:val="auto"/>
          <w:sz w:val="24"/>
          <w:highlight w:val="none"/>
        </w:rPr>
        <w:t xml:space="preserve">（可附货物清单）</w:t>
      </w:r>
      <w:r/>
    </w:p>
    <w:p>
      <w:pPr>
        <w:ind w:firstLine="482"/>
        <w:spacing w:line="360" w:lineRule="auto"/>
        <w:rPr>
          <w:rFonts w:ascii="宋体" w:hAnsi="宋体" w:cs="宋体"/>
          <w:color w:val="auto"/>
          <w:sz w:val="24"/>
          <w:highlight w:val="none"/>
          <w:u w:val="singl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.2.1 货物名称、品牌、规格型号等：；</w:t>
      </w:r>
      <w:r/>
    </w:p>
    <w:p>
      <w:pPr>
        <w:ind w:firstLine="482"/>
        <w:spacing w:line="360" w:lineRule="auto"/>
        <w:rPr>
          <w:rFonts w:ascii="宋体" w:hAnsi="宋体" w:cs="宋体"/>
          <w:color w:val="auto"/>
          <w:sz w:val="24"/>
          <w:highlight w:val="none"/>
          <w:u w:val="singl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.2.2 货物数量：；</w:t>
      </w:r>
      <w:r/>
    </w:p>
    <w:p>
      <w:pPr>
        <w:ind w:firstLine="482"/>
        <w:spacing w:line="360" w:lineRule="auto"/>
        <w:rPr>
          <w:rFonts w:ascii="宋体" w:hAnsi="宋体" w:cs="宋体"/>
          <w:color w:val="auto"/>
          <w:sz w:val="24"/>
          <w:highlight w:val="none"/>
          <w:u w:val="singl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.2.3 货物质量：</w:t>
      </w:r>
      <w:r>
        <w:rPr>
          <w:rFonts w:hint="eastAsia" w:ascii="宋体" w:hAnsi="宋体" w:cs="宋体"/>
          <w:color w:val="auto"/>
          <w:sz w:val="24"/>
          <w:highlight w:val="none"/>
          <w:u w:val="single"/>
        </w:rPr>
        <w:t xml:space="preserve">　　　　　　　　　                      　      ；</w:t>
      </w:r>
      <w:r/>
    </w:p>
    <w:p>
      <w:pPr>
        <w:ind w:firstLine="480"/>
        <w:spacing w:line="360" w:lineRule="auto"/>
        <w:rPr>
          <w:rFonts w:ascii="宋体" w:hAnsi="宋体" w:cs="宋体"/>
          <w:i/>
          <w:iCs/>
          <w:color w:val="auto"/>
          <w:sz w:val="24"/>
          <w:highlight w:val="none"/>
          <w:u w:val="single"/>
        </w:rPr>
      </w:pPr>
      <w:r>
        <w:rPr>
          <w:rFonts w:hint="eastAsia" w:ascii="宋体" w:hAnsi="宋体"/>
          <w:i/>
          <w:iCs/>
          <w:color w:val="auto"/>
          <w:sz w:val="24"/>
          <w:highlight w:val="none"/>
        </w:rPr>
        <w:t xml:space="preserve">1.2.4 详细货物清单可在合同专用条款中列出</w:t>
      </w:r>
      <w:r/>
    </w:p>
    <w:p>
      <w:pPr>
        <w:ind w:firstLine="482"/>
        <w:spacing w:line="360" w:lineRule="auto"/>
        <w:rPr>
          <w:rFonts w:ascii="宋体" w:hAnsi="宋体" w:cs="宋体"/>
          <w:b/>
          <w:color w:val="auto"/>
          <w:sz w:val="24"/>
          <w:highlight w:val="none"/>
        </w:rPr>
        <w:outlineLvl w:val="0"/>
      </w:pPr>
      <w:r/>
      <w:bookmarkStart w:id="78" w:name="_Toc21551"/>
      <w:r/>
      <w:bookmarkStart w:id="79" w:name="_Toc21631"/>
      <w:r/>
      <w:bookmarkStart w:id="80" w:name="_Toc23292"/>
      <w:r>
        <w:rPr>
          <w:rFonts w:hint="eastAsia" w:ascii="宋体" w:hAnsi="宋体" w:cs="宋体"/>
          <w:b/>
          <w:color w:val="auto"/>
          <w:sz w:val="24"/>
          <w:highlight w:val="none"/>
        </w:rPr>
        <w:t xml:space="preserve">1.3 服务</w:t>
      </w:r>
      <w:r>
        <w:rPr>
          <w:rFonts w:hint="eastAsia" w:ascii="宋体" w:hAnsi="宋体" w:cs="宋体"/>
          <w:b/>
          <w:i/>
          <w:iCs/>
          <w:color w:val="auto"/>
          <w:sz w:val="24"/>
          <w:highlight w:val="none"/>
        </w:rPr>
        <w:t xml:space="preserve">（可附服务清单）</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1.3.1 服务内容：；</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1.3.2 服务标准：；</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1.3.3 技术保障：</w:t>
      </w:r>
      <w:r>
        <w:rPr>
          <w:rFonts w:hint="eastAsia" w:ascii="宋体" w:hAnsi="宋体"/>
          <w:color w:val="auto"/>
          <w:sz w:val="24"/>
          <w:highlight w:val="none"/>
          <w:u w:val="single"/>
        </w:rPr>
        <w:t xml:space="preserve">　　　　　　　　　                      　      ；</w:t>
      </w:r>
      <w:r/>
    </w:p>
    <w:p>
      <w:pPr>
        <w:ind w:firstLine="480"/>
        <w:jc w:val="left"/>
        <w:spacing w:line="360" w:lineRule="auto"/>
        <w:rPr>
          <w:rFonts w:ascii="宋体" w:hAnsi="宋体"/>
          <w:color w:val="auto"/>
          <w:sz w:val="24"/>
          <w:highlight w:val="none"/>
          <w:u w:val="single"/>
        </w:rPr>
      </w:pPr>
      <w:r>
        <w:rPr>
          <w:rFonts w:hint="eastAsia" w:ascii="宋体" w:hAnsi="宋体"/>
          <w:color w:val="auto"/>
          <w:sz w:val="24"/>
          <w:highlight w:val="none"/>
        </w:rPr>
        <w:t xml:space="preserve">1.3.4 服务人员组成：</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i/>
          <w:iCs/>
          <w:color w:val="auto"/>
          <w:sz w:val="24"/>
          <w:highlight w:val="none"/>
          <w:u w:val="single"/>
        </w:rPr>
        <w:t xml:space="preserve">（投标文件中按要求提供了服务人员姓名的，需填写具体服务人员姓名作为履约验收条件）</w:t>
      </w:r>
      <w:r/>
    </w:p>
    <w:p>
      <w:pPr>
        <w:ind w:firstLine="480"/>
        <w:jc w:val="left"/>
        <w:spacing w:line="360" w:lineRule="auto"/>
        <w:rPr>
          <w:rFonts w:ascii="宋体" w:hAnsi="宋体"/>
          <w:i/>
          <w:iCs/>
          <w:color w:val="auto"/>
          <w:sz w:val="24"/>
          <w:highlight w:val="none"/>
          <w:u w:val="single"/>
        </w:rPr>
      </w:pPr>
      <w:r/>
      <w:bookmarkStart w:id="81" w:name="_Hlk134193344"/>
      <w:r>
        <w:rPr>
          <w:rFonts w:hint="eastAsia" w:ascii="宋体" w:hAnsi="宋体"/>
          <w:i/>
          <w:iCs/>
          <w:color w:val="auto"/>
          <w:sz w:val="24"/>
          <w:highlight w:val="none"/>
          <w:u w:val="single"/>
        </w:rPr>
        <w:t xml:space="preserve">提醒：详细服务要求可在合同专用条</w:t>
      </w:r>
      <w:bookmarkEnd w:id="81"/>
      <w:r>
        <w:rPr>
          <w:rFonts w:hint="eastAsia" w:ascii="宋体" w:hAnsi="宋体"/>
          <w:i/>
          <w:iCs/>
          <w:color w:val="auto"/>
          <w:sz w:val="24"/>
          <w:highlight w:val="none"/>
          <w:u w:val="single"/>
        </w:rPr>
        <w:t xml:space="preserve">款中列出</w:t>
      </w:r>
      <w:r/>
    </w:p>
    <w:p>
      <w:pPr>
        <w:ind w:firstLine="482"/>
        <w:spacing w:line="360" w:lineRule="auto"/>
        <w:rPr>
          <w:rFonts w:ascii="宋体" w:hAnsi="宋体" w:cs="宋体"/>
          <w:b/>
          <w:color w:val="auto"/>
          <w:sz w:val="24"/>
          <w:highlight w:val="none"/>
        </w:rPr>
        <w:outlineLvl w:val="0"/>
      </w:pPr>
      <w:r>
        <w:rPr>
          <w:rFonts w:hint="eastAsia" w:ascii="宋体" w:hAnsi="宋体" w:cs="宋体"/>
          <w:b/>
          <w:color w:val="auto"/>
          <w:sz w:val="24"/>
          <w:highlight w:val="none"/>
        </w:rPr>
        <w:t xml:space="preserve">1.4 </w:t>
      </w:r>
      <w:bookmarkEnd w:id="78"/>
      <w:r/>
      <w:bookmarkEnd w:id="79"/>
      <w:r/>
      <w:bookmarkEnd w:id="80"/>
      <w:r>
        <w:rPr>
          <w:rFonts w:hint="eastAsia" w:ascii="宋体" w:hAnsi="宋体" w:cs="宋体"/>
          <w:b/>
          <w:color w:val="auto"/>
          <w:sz w:val="24"/>
          <w:highlight w:val="none"/>
        </w:rPr>
        <w:t xml:space="preserve">合同金额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金额包括提供招标范围内确定的采购内容、税金及合同包含的所有风险、责任等各项应有费用。同时，除非合同条款中另有规定，合同总金额在合同履行期间不因市场变化因素而变动。本项目采用合同的计价方式计价。</w:t>
      </w:r>
      <w:r/>
    </w:p>
    <w:p>
      <w:pPr>
        <w:ind w:firstLine="480"/>
        <w:spacing w:line="360" w:lineRule="auto"/>
        <w:rPr>
          <w:rFonts w:ascii="宋体" w:hAnsi="宋体" w:cs="宋体"/>
          <w:color w:val="auto"/>
          <w:sz w:val="24"/>
          <w:highlight w:val="none"/>
        </w:rPr>
      </w:pPr>
      <w:r>
        <w:rPr>
          <w:rFonts w:hint="eastAsia" w:ascii="宋体" w:hAnsi="宋体"/>
          <w:color w:val="auto"/>
          <w:sz w:val="24"/>
          <w:highlight w:val="none"/>
        </w:rPr>
        <w:t xml:space="preserve">1.4.1总价合同。</w:t>
      </w:r>
      <w:r>
        <w:rPr>
          <w:rFonts w:hint="eastAsia" w:ascii="宋体" w:hAnsi="宋体" w:cs="宋体"/>
          <w:color w:val="auto"/>
          <w:sz w:val="24"/>
          <w:highlight w:val="none"/>
        </w:rPr>
        <w:t xml:space="preserve">本合同总价（含税）为：￥元（大写：元人民币）。</w:t>
      </w:r>
      <w:r/>
    </w:p>
    <w:p>
      <w:pPr>
        <w:ind w:firstLine="480"/>
        <w:spacing w:line="360" w:lineRule="auto"/>
        <w:rPr>
          <w:rFonts w:ascii="宋体" w:hAnsi="宋体"/>
          <w:color w:val="auto"/>
          <w:sz w:val="24"/>
          <w:highlight w:val="none"/>
        </w:rPr>
      </w:pPr>
      <w:r/>
      <w:bookmarkStart w:id="82" w:name="_Hlk134193576"/>
      <w:r/>
      <w:bookmarkStart w:id="83" w:name="_Toc14993"/>
      <w:r/>
      <w:bookmarkStart w:id="84" w:name="_Toc30506"/>
      <w:r/>
      <w:bookmarkStart w:id="85" w:name="_Toc26916"/>
      <w:r/>
      <w:bookmarkStart w:id="86" w:name="_Toc3654"/>
      <w:r/>
      <w:bookmarkStart w:id="87" w:name="_Toc30158"/>
      <w:r/>
      <w:bookmarkStart w:id="88" w:name="_Toc1814"/>
      <w:r/>
      <w:bookmarkStart w:id="89" w:name="_Toc22618"/>
      <w:r/>
      <w:bookmarkStart w:id="90" w:name="_Toc10340"/>
      <w:r>
        <w:rPr>
          <w:rFonts w:hint="eastAsia" w:ascii="宋体" w:hAnsi="宋体"/>
          <w:bCs/>
          <w:color w:val="auto"/>
          <w:sz w:val="24"/>
          <w:highlight w:val="none"/>
        </w:rPr>
        <w:t xml:space="preserve">1.4.2</w:t>
      </w:r>
      <w:bookmarkEnd w:id="82"/>
      <w:r>
        <w:rPr>
          <w:rFonts w:hint="eastAsia" w:ascii="宋体" w:hAnsi="宋体"/>
          <w:bCs/>
          <w:color w:val="auto"/>
          <w:sz w:val="24"/>
          <w:highlight w:val="none"/>
        </w:rPr>
        <w:t xml:space="preserve">单价合同，本合同单价（含税）标准为：</w:t>
      </w:r>
      <w:r>
        <w:rPr>
          <w:rFonts w:hint="eastAsia" w:ascii="宋体" w:hAnsi="宋体"/>
          <w:color w:val="auto"/>
          <w:sz w:val="24"/>
          <w:highlight w:val="none"/>
        </w:rPr>
        <w:t xml:space="preserve">。计量方式为：</w:t>
      </w:r>
      <w:r>
        <w:rPr>
          <w:rFonts w:hint="eastAsia" w:ascii="宋体" w:hAnsi="宋体" w:cs="宋体"/>
          <w:b/>
          <w:iCs/>
          <w:color w:val="auto"/>
          <w:sz w:val="24"/>
          <w:highlight w:val="none"/>
          <w:u w:val="single"/>
        </w:rPr>
        <w:t xml:space="preserve">合同专用条款</w:t>
      </w:r>
      <w:r>
        <w:rPr>
          <w:rFonts w:hint="eastAsia" w:ascii="宋体" w:hAnsi="宋体"/>
          <w:bCs/>
          <w:iCs/>
          <w:color w:val="auto"/>
          <w:sz w:val="24"/>
          <w:highlight w:val="none"/>
          <w:u w:val="single"/>
        </w:rPr>
        <w:t xml:space="preserve"> 1.4.2</w:t>
      </w:r>
      <w:r>
        <w:rPr>
          <w:rFonts w:hint="eastAsia" w:ascii="宋体" w:hAnsi="宋体"/>
          <w:color w:val="auto"/>
          <w:sz w:val="24"/>
          <w:highlight w:val="none"/>
        </w:rPr>
        <w:t xml:space="preserve">。单价合同，在合同履行期间内，根据实际完成的工作量据实结算，但结算总价上限不得超过预算金额或者双方确定的金额￥元（大写：元人民币）。</w:t>
      </w:r>
      <w:r/>
    </w:p>
    <w:p>
      <w:pPr>
        <w:ind w:firstLine="480"/>
        <w:spacing w:line="360" w:lineRule="auto"/>
        <w:rPr>
          <w:rFonts w:ascii="宋体" w:hAnsi="宋体"/>
          <w:color w:val="auto"/>
          <w:sz w:val="24"/>
          <w:highlight w:val="none"/>
        </w:rPr>
      </w:pPr>
      <w:r>
        <w:rPr>
          <w:rFonts w:hint="eastAsia" w:ascii="宋体" w:hAnsi="宋体" w:cs="宋体"/>
          <w:color w:val="auto"/>
          <w:sz w:val="24"/>
          <w:highlight w:val="none"/>
        </w:rPr>
        <w:t xml:space="preserve">1.4.3其他计价方式：。</w:t>
      </w:r>
      <w:bookmarkEnd w:id="83"/>
      <w:r/>
      <w:bookmarkEnd w:id="84"/>
      <w:r/>
      <w:bookmarkEnd w:id="85"/>
      <w:r/>
      <w:bookmarkEnd w:id="86"/>
      <w:r/>
      <w:bookmarkEnd w:id="87"/>
      <w:r/>
      <w:r/>
    </w:p>
    <w:p>
      <w:pPr>
        <w:ind w:firstLine="482"/>
        <w:spacing w:line="360" w:lineRule="auto"/>
        <w:rPr>
          <w:rFonts w:ascii="宋体" w:hAnsi="宋体" w:cs="宋体"/>
          <w:b/>
          <w:color w:val="auto"/>
          <w:sz w:val="24"/>
          <w:highlight w:val="none"/>
        </w:rPr>
        <w:outlineLvl w:val="0"/>
      </w:pPr>
      <w:r>
        <w:rPr>
          <w:rFonts w:hint="eastAsia" w:ascii="宋体" w:hAnsi="宋体" w:cs="宋体"/>
          <w:b/>
          <w:color w:val="auto"/>
          <w:sz w:val="24"/>
          <w:highlight w:val="none"/>
        </w:rPr>
        <w:t xml:space="preserve">1.5履约保证金</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否</w:t>
      </w:r>
      <w:r>
        <w:rPr>
          <w:rFonts w:hint="eastAsia" w:ascii="宋体" w:hAnsi="宋体" w:cs="宋体"/>
          <w:color w:val="auto"/>
          <w:sz w:val="24"/>
          <w:highlight w:val="none"/>
        </w:rPr>
        <w:t xml:space="preserve">（是 /否）需要支付履约保证金。若需要支付履约保证金的，则：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1.5.1履约保证金的比例为合同金额的%；（提醒：履约保证金的比例不得超过合同金额的10%）</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1.5.2履约保证金支付方式详见</w:t>
      </w:r>
      <w:r>
        <w:rPr>
          <w:rFonts w:hint="eastAsia" w:ascii="宋体" w:hAnsi="宋体" w:cs="宋体"/>
          <w:b/>
          <w:color w:val="auto"/>
          <w:sz w:val="24"/>
          <w:highlight w:val="none"/>
          <w:u w:val="single"/>
        </w:rPr>
        <w:t xml:space="preserve">    合同专用条款 1.5.2          </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rPr>
          <w:color w:val="auto"/>
          <w:highlight w:val="none"/>
        </w:rPr>
        <w:outlineLvl w:val="0"/>
      </w:pPr>
      <w:r>
        <w:rPr>
          <w:rFonts w:hint="eastAsia" w:ascii="宋体" w:hAnsi="宋体" w:cs="宋体"/>
          <w:color w:val="auto"/>
          <w:sz w:val="24"/>
          <w:highlight w:val="none"/>
        </w:rPr>
        <w:t xml:space="preserve">1.5.4 甲方在项目验收结束后及时退还履约保证金。甲方在项目通过验收之日起</w:t>
      </w:r>
      <w:r>
        <w:rPr>
          <w:rFonts w:hint="eastAsia" w:ascii="宋体" w:hAnsi="宋体" w:cs="宋体"/>
          <w:color w:val="auto"/>
          <w:sz w:val="24"/>
          <w:highlight w:val="none"/>
          <w:u w:val="single"/>
        </w:rPr>
        <w:t xml:space="preserve"> 5</w:t>
      </w:r>
      <w:r>
        <w:rPr>
          <w:rFonts w:hint="eastAsia" w:ascii="宋体" w:hAnsi="宋体" w:cs="宋体"/>
          <w:color w:val="auto"/>
          <w:sz w:val="24"/>
          <w:highlight w:val="none"/>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color w:val="auto"/>
          <w:sz w:val="24"/>
          <w:highlight w:val="none"/>
          <w:u w:val="single"/>
        </w:rPr>
        <w:t xml:space="preserve">  （</w:t>
      </w:r>
      <w:r>
        <w:rPr>
          <w:rFonts w:hint="eastAsia" w:ascii="宋体" w:hAnsi="宋体" w:cs="宋体"/>
          <w:i/>
          <w:iCs/>
          <w:color w:val="auto"/>
          <w:sz w:val="24"/>
          <w:highlight w:val="none"/>
          <w:u w:val="single"/>
        </w:rPr>
        <w:t xml:space="preserve">按同期银行活期存款利息</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%计算，最高限额为本合同履约保证金的</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 %。</w:t>
      </w:r>
      <w:r/>
    </w:p>
    <w:p>
      <w:pPr>
        <w:ind w:firstLine="480"/>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1.</w:t>
      </w:r>
      <w:bookmarkEnd w:id="88"/>
      <w:r/>
      <w:bookmarkEnd w:id="89"/>
      <w:r/>
      <w:bookmarkEnd w:id="90"/>
      <w:r>
        <w:rPr>
          <w:rFonts w:hint="eastAsia" w:ascii="宋体" w:hAnsi="宋体" w:cs="宋体"/>
          <w:b/>
          <w:bCs/>
          <w:color w:val="auto"/>
          <w:sz w:val="24"/>
          <w:highlight w:val="none"/>
        </w:rPr>
        <w:t xml:space="preserve">6预付款</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需要  </w:t>
      </w:r>
      <w:r>
        <w:rPr>
          <w:rFonts w:hint="eastAsia" w:ascii="宋体" w:hAnsi="宋体" w:cs="宋体"/>
          <w:color w:val="auto"/>
          <w:sz w:val="24"/>
          <w:highlight w:val="none"/>
        </w:rPr>
        <w:t xml:space="preserve">（需要/不需要）甲方支付预付款。若需要支付预付款的，则：</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1.6.1预付款比例、支付方式、时间详见</w:t>
      </w:r>
      <w:r>
        <w:rPr>
          <w:rFonts w:hint="eastAsia" w:ascii="宋体" w:hAnsi="宋体" w:cs="宋体"/>
          <w:b/>
          <w:color w:val="auto"/>
          <w:sz w:val="24"/>
          <w:highlight w:val="none"/>
          <w:u w:val="single"/>
        </w:rPr>
        <w:t xml:space="preserve">    合同专用条款1.6.1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1.7资金支付</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1.7.1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1.7.2资金支付的方式、时间和条件详见</w:t>
      </w:r>
      <w:r>
        <w:rPr>
          <w:rFonts w:hint="eastAsia" w:ascii="宋体" w:hAnsi="宋体" w:cs="宋体"/>
          <w:b/>
          <w:color w:val="auto"/>
          <w:sz w:val="24"/>
          <w:highlight w:val="none"/>
          <w:u w:val="single"/>
        </w:rPr>
        <w:t xml:space="preserve">    合同专用条款1.7.2    </w:t>
      </w:r>
      <w:r>
        <w:rPr>
          <w:rFonts w:hint="eastAsia" w:ascii="宋体" w:hAnsi="宋体" w:cs="宋体"/>
          <w:b/>
          <w:color w:val="auto"/>
          <w:sz w:val="24"/>
          <w:highlight w:val="none"/>
        </w:rPr>
        <w:t xml:space="preserve">；</w:t>
      </w:r>
      <w:r/>
    </w:p>
    <w:p>
      <w:pPr>
        <w:ind w:firstLine="480"/>
        <w:jc w:val="left"/>
        <w:spacing w:line="360" w:lineRule="auto"/>
        <w:widowControl/>
        <w:rPr>
          <w:rFonts w:ascii="宋体" w:hAnsi="宋体" w:cs="宋体"/>
          <w:b/>
          <w:bCs/>
          <w:color w:val="auto"/>
          <w:sz w:val="24"/>
          <w:highlight w:val="none"/>
        </w:rPr>
      </w:pPr>
      <w:r/>
      <w:bookmarkStart w:id="91" w:name="_Toc19304"/>
      <w:r/>
      <w:bookmarkStart w:id="92" w:name="_Toc2846"/>
      <w:r/>
      <w:bookmarkStart w:id="93" w:name="_Toc32071"/>
      <w:r>
        <w:rPr>
          <w:rFonts w:hint="eastAsia" w:ascii="宋体" w:hAnsi="宋体" w:cs="宋体"/>
          <w:b/>
          <w:bCs/>
          <w:color w:val="auto"/>
          <w:sz w:val="24"/>
          <w:highlight w:val="none"/>
        </w:rPr>
        <w:t xml:space="preserve">1.8货物（服务）交付期限、地点和方式</w:t>
      </w:r>
      <w:bookmarkEnd w:id="91"/>
      <w:r/>
      <w:bookmarkEnd w:id="92"/>
      <w:r/>
      <w:bookmarkEnd w:id="93"/>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1.8.1 交付期限：</w:t>
      </w:r>
      <w:bookmarkStart w:id="94" w:name="_Hlk134193824"/>
      <w:r>
        <w:rPr>
          <w:rFonts w:hint="eastAsia" w:ascii="宋体" w:hAnsi="宋体" w:cs="宋体"/>
          <w:b/>
          <w:color w:val="auto"/>
          <w:sz w:val="24"/>
          <w:highlight w:val="none"/>
          <w:u w:val="single"/>
        </w:rPr>
        <w:t xml:space="preserve">详见</w:t>
      </w:r>
      <w:bookmarkEnd w:id="94"/>
      <w:r>
        <w:rPr>
          <w:rFonts w:hint="eastAsia" w:ascii="宋体" w:hAnsi="宋体" w:cs="宋体"/>
          <w:b/>
          <w:color w:val="auto"/>
          <w:sz w:val="24"/>
          <w:highlight w:val="none"/>
          <w:u w:val="single"/>
        </w:rPr>
        <w:t xml:space="preserve">合同专用条款1.8.1</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1.8.2 交付地点：</w:t>
      </w:r>
      <w:r>
        <w:rPr>
          <w:rFonts w:hint="eastAsia" w:ascii="宋体" w:hAnsi="宋体" w:cs="宋体"/>
          <w:b/>
          <w:color w:val="auto"/>
          <w:sz w:val="24"/>
          <w:highlight w:val="none"/>
          <w:u w:val="single"/>
        </w:rPr>
        <w:t xml:space="preserve">详见合同专用条款1.8.2</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1.8.3 交付方式：</w:t>
      </w:r>
      <w:r>
        <w:rPr>
          <w:rFonts w:hint="eastAsia" w:ascii="宋体" w:hAnsi="宋体" w:cs="宋体"/>
          <w:b/>
          <w:color w:val="auto"/>
          <w:sz w:val="24"/>
          <w:highlight w:val="none"/>
          <w:u w:val="single"/>
        </w:rPr>
        <w:t xml:space="preserve">详见合同专用条款1.8.3</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b/>
          <w:bCs/>
          <w:color w:val="auto"/>
          <w:sz w:val="24"/>
          <w:highlight w:val="none"/>
        </w:rPr>
      </w:pPr>
      <w:r/>
      <w:bookmarkStart w:id="95" w:name="_Toc21423"/>
      <w:r/>
      <w:bookmarkStart w:id="96" w:name="_Toc19554"/>
      <w:r/>
      <w:bookmarkStart w:id="97" w:name="_Toc27250"/>
      <w:r>
        <w:rPr>
          <w:rFonts w:hint="eastAsia" w:ascii="宋体" w:hAnsi="宋体" w:cs="宋体"/>
          <w:b/>
          <w:bCs/>
          <w:color w:val="auto"/>
          <w:sz w:val="24"/>
          <w:highlight w:val="none"/>
        </w:rPr>
        <w:t xml:space="preserve">1.9违约责任</w:t>
      </w:r>
      <w:bookmarkEnd w:id="95"/>
      <w:r/>
      <w:bookmarkEnd w:id="96"/>
      <w:r/>
      <w:bookmarkEnd w:id="97"/>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1.9.1 除不可抗力外，如果乙方没有按照本合同约定的期限、地点和方式交付货物或服务，那么甲方可要求乙方支付违约金，每延迟一日，违约金按合同金额的</w:t>
      </w:r>
      <w:r>
        <w:rPr>
          <w:rFonts w:hint="eastAsia" w:ascii="宋体" w:hAnsi="宋体" w:cs="宋体"/>
          <w:color w:val="auto"/>
          <w:sz w:val="24"/>
          <w:highlight w:val="none"/>
          <w:u w:val="single"/>
        </w:rPr>
        <w:t xml:space="preserve">  XX（可根据情况修改） %/</w:t>
      </w:r>
      <w:r>
        <w:rPr>
          <w:rFonts w:hint="eastAsia" w:ascii="宋体" w:hAnsi="宋体" w:cs="宋体"/>
          <w:color w:val="auto"/>
          <w:sz w:val="24"/>
          <w:highlight w:val="none"/>
        </w:rPr>
        <w:t xml:space="preserve">计算，最高限额为本合同金额的</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%；迟延交付货物或服务的违约金计算数额达到前述最高限额之日起，甲方有权在要求乙方支付违约金的同时，书面通知乙方解除本合同；</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1.9.2 除不可抗力外，如果甲方没有按照本合同约定的付款方式付款，乙方可要求甲方支付违约金，每延迟一日，违约金按应付而未付款的</w:t>
      </w:r>
      <w:r>
        <w:rPr>
          <w:rFonts w:hint="eastAsia" w:ascii="宋体" w:hAnsi="宋体" w:cs="宋体"/>
          <w:color w:val="auto"/>
          <w:sz w:val="24"/>
          <w:highlight w:val="none"/>
          <w:u w:val="single"/>
        </w:rPr>
        <w:t xml:space="preserve"> XX（可根据情况修改） </w:t>
      </w:r>
      <w:r>
        <w:rPr>
          <w:rFonts w:hint="eastAsia" w:ascii="宋体" w:hAnsi="宋体" w:cs="宋体"/>
          <w:color w:val="auto"/>
          <w:sz w:val="24"/>
          <w:highlight w:val="none"/>
        </w:rPr>
        <w:t xml:space="preserve">%计算，最高限额为本合同总价的</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%；迟延付款的违约金计算数额达到前述最高限额之日起，乙方有权在要求甲方支付违约金的同时，书面通知甲方解除本合同；</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1.9.4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1.9.6违约责任</w:t>
      </w:r>
      <w:r>
        <w:rPr>
          <w:rFonts w:hint="eastAsia" w:ascii="宋体" w:hAnsi="宋体" w:cs="宋体"/>
          <w:color w:val="auto"/>
          <w:sz w:val="24"/>
          <w:highlight w:val="none"/>
          <w:u w:val="single"/>
        </w:rPr>
        <w:t xml:space="preserve">合同专用条款1.9.6</w:t>
      </w:r>
      <w:r>
        <w:rPr>
          <w:rFonts w:hint="eastAsia" w:ascii="宋体" w:hAnsi="宋体" w:cs="宋体"/>
          <w:color w:val="auto"/>
          <w:sz w:val="24"/>
          <w:highlight w:val="none"/>
        </w:rPr>
        <w:t xml:space="preserve">约定其他责任的，从其约定。</w:t>
      </w:r>
      <w:r/>
    </w:p>
    <w:p>
      <w:pPr>
        <w:ind w:firstLine="480"/>
        <w:jc w:val="left"/>
        <w:spacing w:line="360" w:lineRule="auto"/>
        <w:widowControl/>
        <w:rPr>
          <w:rFonts w:ascii="宋体" w:hAnsi="宋体" w:cs="宋体"/>
          <w:b/>
          <w:bCs/>
          <w:color w:val="auto"/>
          <w:sz w:val="24"/>
          <w:highlight w:val="none"/>
        </w:rPr>
      </w:pPr>
      <w:r/>
      <w:bookmarkStart w:id="98" w:name="_Toc16021"/>
      <w:r/>
      <w:bookmarkStart w:id="99" w:name="_Toc15583"/>
      <w:r/>
      <w:bookmarkStart w:id="100" w:name="_Toc28375"/>
      <w:r>
        <w:rPr>
          <w:rFonts w:hint="eastAsia" w:ascii="宋体" w:hAnsi="宋体" w:cs="宋体"/>
          <w:b/>
          <w:bCs/>
          <w:color w:val="auto"/>
          <w:sz w:val="24"/>
          <w:highlight w:val="none"/>
        </w:rPr>
        <w:t xml:space="preserve">1.10合同争议的解决</w:t>
      </w:r>
      <w:bookmarkEnd w:id="98"/>
      <w:r/>
      <w:bookmarkEnd w:id="99"/>
      <w:r/>
      <w:bookmarkEnd w:id="100"/>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1.10.1本合同履行过程中发生的任何争议，双方当事人均可通过和解或者调解解决；不愿和解、调解或者和解、调解不成的，向</w:t>
      </w:r>
      <w:r>
        <w:rPr>
          <w:rFonts w:hint="eastAsia" w:ascii="宋体" w:hAnsi="宋体" w:cs="宋体"/>
          <w:b/>
          <w:color w:val="auto"/>
          <w:sz w:val="24"/>
          <w:highlight w:val="none"/>
        </w:rPr>
        <w:t xml:space="preserve">甲方所在地</w:t>
      </w:r>
      <w:r>
        <w:rPr>
          <w:rFonts w:hint="eastAsia" w:ascii="宋体" w:hAnsi="宋体" w:cs="宋体"/>
          <w:color w:val="auto"/>
          <w:sz w:val="24"/>
          <w:highlight w:val="none"/>
        </w:rPr>
        <w:t xml:space="preserve">人民法院起诉。</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1.10.2如对任何争议向人民法院提起诉讼，除争议事项或争议事项所涉及的条款外，双方应继续履行本合同项下的其它义务。</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1.11合同生效及其他</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1.11.1本合同自双方当事人盖章时生效。</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1.11.2本合同未尽事宜，遵照《中华人民共和国民法典》有关条文执行。 </w:t>
      </w:r>
      <w:r/>
    </w:p>
    <w:p>
      <w:pPr>
        <w:spacing w:line="360" w:lineRule="auto"/>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rPr>
          <w:rFonts w:ascii="宋体" w:hAnsi="宋体" w:cs="宋体"/>
          <w:b/>
          <w:color w:val="auto"/>
          <w:sz w:val="24"/>
          <w:highlight w:val="none"/>
          <w:lang w:val="zh-CN"/>
        </w:rPr>
      </w:pPr>
      <w:r>
        <w:rPr>
          <w:rFonts w:ascii="宋体" w:hAnsi="宋体" w:cs="宋体"/>
          <w:b/>
          <w:color w:val="auto"/>
          <w:sz w:val="24"/>
          <w:highlight w:val="none"/>
          <w:lang w:val="zh-CN"/>
        </w:rPr>
      </w:r>
      <w:r/>
    </w:p>
    <w:p>
      <w:pPr>
        <w:spacing w:line="480" w:lineRule="auto"/>
        <w:rPr>
          <w:rFonts w:hint="eastAsia" w:ascii="宋体" w:hAnsi="宋体" w:cs="宋体"/>
          <w:b/>
          <w:color w:val="auto"/>
          <w:sz w:val="24"/>
          <w:highlight w:val="none"/>
          <w:lang w:val="zh-CN"/>
        </w:rPr>
      </w:pPr>
      <w:r>
        <w:rPr>
          <w:rFonts w:hint="eastAsia" w:ascii="宋体" w:hAnsi="宋体" w:cs="宋体"/>
          <w:b/>
          <w:color w:val="auto"/>
          <w:sz w:val="24"/>
          <w:highlight w:val="none"/>
          <w:lang w:val="zh-CN"/>
        </w:rPr>
      </w:r>
      <w:r/>
    </w:p>
    <w:p>
      <w:pPr>
        <w:spacing w:line="480" w:lineRule="auto"/>
        <w:rPr>
          <w:rFonts w:hint="eastAsia" w:ascii="宋体" w:hAnsi="宋体" w:cs="宋体"/>
          <w:b/>
          <w:color w:val="auto"/>
          <w:sz w:val="24"/>
          <w:highlight w:val="none"/>
          <w:lang w:val="zh-CN"/>
        </w:rPr>
      </w:pPr>
      <w:r>
        <w:rPr>
          <w:rFonts w:hint="eastAsia" w:ascii="宋体" w:hAnsi="宋体" w:cs="宋体"/>
          <w:b/>
          <w:color w:val="auto"/>
          <w:sz w:val="24"/>
          <w:highlight w:val="none"/>
          <w:lang w:val="zh-CN"/>
        </w:rPr>
      </w:r>
      <w:r/>
    </w:p>
    <w:p>
      <w:pPr>
        <w:spacing w:line="480" w:lineRule="auto"/>
        <w:rPr>
          <w:rFonts w:hint="eastAsia" w:ascii="宋体" w:hAnsi="宋体" w:cs="宋体"/>
          <w:b/>
          <w:color w:val="auto"/>
          <w:sz w:val="24"/>
          <w:highlight w:val="none"/>
          <w:lang w:val="zh-CN"/>
        </w:rPr>
      </w:pPr>
      <w:r>
        <w:rPr>
          <w:rFonts w:hint="eastAsia" w:ascii="宋体" w:hAnsi="宋体" w:cs="宋体"/>
          <w:b/>
          <w:color w:val="auto"/>
          <w:sz w:val="24"/>
          <w:highlight w:val="none"/>
          <w:lang w:val="zh-CN"/>
        </w:rPr>
      </w:r>
      <w:r/>
    </w:p>
    <w:p>
      <w:pPr>
        <w:spacing w:line="480" w:lineRule="auto"/>
        <w:rPr>
          <w:rFonts w:ascii="宋体" w:hAnsi="宋体" w:cs="宋体"/>
          <w:color w:val="auto"/>
          <w:sz w:val="24"/>
          <w:highlight w:val="none"/>
          <w:lang w:val="zh-CN"/>
        </w:rPr>
      </w:pPr>
      <w:r>
        <w:rPr>
          <w:rFonts w:hint="eastAsia" w:ascii="宋体" w:hAnsi="宋体" w:cs="宋体"/>
          <w:b/>
          <w:color w:val="auto"/>
          <w:sz w:val="24"/>
          <w:highlight w:val="none"/>
          <w:lang w:val="zh-CN"/>
        </w:rPr>
        <w:t xml:space="preserve">甲方（</w:t>
      </w:r>
      <w:r>
        <w:rPr>
          <w:rFonts w:hint="eastAsia" w:ascii="宋体" w:hAnsi="宋体" w:cs="宋体"/>
          <w:b/>
          <w:color w:val="auto"/>
          <w:sz w:val="24"/>
          <w:highlight w:val="none"/>
        </w:rPr>
        <w:t xml:space="preserve">盖章</w:t>
      </w:r>
      <w:r>
        <w:rPr>
          <w:rFonts w:hint="eastAsia" w:ascii="宋体" w:hAnsi="宋体" w:cs="宋体"/>
          <w:b/>
          <w:color w:val="auto"/>
          <w:sz w:val="24"/>
          <w:highlight w:val="none"/>
          <w:lang w:val="zh-CN"/>
        </w:rPr>
        <w:t xml:space="preserve">）</w:t>
      </w:r>
      <w:r>
        <w:rPr>
          <w:rFonts w:hint="eastAsia" w:ascii="宋体" w:hAnsi="宋体" w:cs="宋体"/>
          <w:color w:val="auto"/>
          <w:sz w:val="24"/>
          <w:highlight w:val="none"/>
          <w:lang w:val="zh-CN"/>
        </w:rPr>
        <w:t xml:space="preserve">： </w:t>
      </w:r>
      <w:r/>
    </w:p>
    <w:p>
      <w:pPr>
        <w:spacing w:line="48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统一社会信用代码： </w:t>
      </w:r>
      <w:r/>
    </w:p>
    <w:p>
      <w:pPr>
        <w:spacing w:line="48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法定代表人或授权代表姓名： </w:t>
      </w:r>
      <w:r/>
    </w:p>
    <w:p>
      <w:pPr>
        <w:spacing w:line="48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约定送达地址： </w:t>
      </w:r>
      <w:r/>
    </w:p>
    <w:p>
      <w:pPr>
        <w:spacing w:line="360" w:lineRule="auto"/>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rPr>
          <w:rFonts w:ascii="宋体" w:hAnsi="宋体" w:cs="宋体"/>
          <w:b/>
          <w:color w:val="auto"/>
          <w:sz w:val="24"/>
          <w:highlight w:val="none"/>
          <w:lang w:val="zh-CN"/>
        </w:rPr>
      </w:pPr>
      <w:r>
        <w:rPr>
          <w:rFonts w:ascii="宋体" w:hAnsi="宋体" w:cs="宋体"/>
          <w:b/>
          <w:color w:val="auto"/>
          <w:sz w:val="24"/>
          <w:highlight w:val="none"/>
          <w:lang w:val="zh-CN"/>
        </w:rPr>
      </w:r>
      <w:r/>
    </w:p>
    <w:p>
      <w:pPr>
        <w:spacing w:line="480" w:lineRule="auto"/>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乙方（盖章）：</w:t>
      </w:r>
      <w:r/>
    </w:p>
    <w:p>
      <w:pPr>
        <w:spacing w:line="48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统一社会信用代码：</w:t>
      </w:r>
      <w:r/>
    </w:p>
    <w:p>
      <w:pPr>
        <w:spacing w:line="48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法定代表人或授权代表姓名:</w:t>
      </w:r>
      <w:r/>
    </w:p>
    <w:p>
      <w:pPr>
        <w:spacing w:line="48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约定送达地址：</w:t>
      </w:r>
      <w:r/>
    </w:p>
    <w:p>
      <w:pP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br w:type="page" w:clear="all"/>
      </w:r>
      <w:r/>
    </w:p>
    <w:p>
      <w:pPr>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第二部分 合同一般条款</w:t>
      </w:r>
      <w:r/>
    </w:p>
    <w:p>
      <w:pPr>
        <w:ind w:firstLine="482"/>
        <w:spacing w:line="360" w:lineRule="auto"/>
        <w:rPr>
          <w:rFonts w:ascii="宋体" w:hAnsi="宋体" w:cs="宋体"/>
          <w:b/>
          <w:color w:val="auto"/>
          <w:sz w:val="24"/>
          <w:highlight w:val="none"/>
        </w:rPr>
        <w:outlineLvl w:val="0"/>
      </w:pPr>
      <w:r/>
      <w:bookmarkStart w:id="101" w:name="_Toc28763"/>
      <w:r/>
      <w:bookmarkStart w:id="102" w:name="_Ref467379205"/>
      <w:r/>
      <w:bookmarkStart w:id="103" w:name="_Toc259093669"/>
      <w:r/>
      <w:bookmarkStart w:id="104" w:name="_Ref467379214"/>
      <w:r/>
      <w:bookmarkStart w:id="105" w:name="_Toc487900349"/>
      <w:r/>
      <w:bookmarkStart w:id="106" w:name="_Ref467379101"/>
      <w:r/>
      <w:bookmarkStart w:id="107" w:name="_Ref467379225"/>
      <w:r/>
      <w:bookmarkStart w:id="108" w:name="_Toc279701240"/>
      <w:r/>
      <w:bookmarkStart w:id="109" w:name="_Ref467378499"/>
      <w:r/>
      <w:bookmarkStart w:id="110" w:name="_Ref467378404"/>
      <w:r/>
      <w:bookmarkStart w:id="111" w:name="_Toc16917"/>
      <w:r/>
      <w:bookmarkStart w:id="112" w:name="_Ref467379094"/>
      <w:r/>
      <w:bookmarkStart w:id="113" w:name="_Toc19614"/>
      <w:r/>
      <w:bookmarkStart w:id="114" w:name="_Ref467379109"/>
      <w:r/>
      <w:bookmarkStart w:id="115" w:name="_Ref467379195"/>
      <w:r/>
      <w:bookmarkStart w:id="116" w:name="_Ref467378463"/>
      <w:r>
        <w:rPr>
          <w:rFonts w:hint="eastAsia" w:ascii="宋体" w:hAnsi="宋体" w:cs="宋体"/>
          <w:b/>
          <w:color w:val="auto"/>
          <w:sz w:val="24"/>
          <w:highlight w:val="none"/>
        </w:rPr>
        <w:t xml:space="preserve">2.1 定义</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本合同中的下列词语应按以下内容进行解释：</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2.1.1 “合同”系指采购人和中标或成交供应商签订的载明双方当事人所达成的协议，并包括所有的附件、附录和构成合同的其他文件。</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2.1.2 “合同价”系指根据合同约定，中标或成交供应商在完全履行合同义务后，采购人应支付给中标或成交供应商的价格。</w:t>
      </w:r>
      <w:r/>
    </w:p>
    <w:p>
      <w:pPr>
        <w:ind w:firstLine="480"/>
        <w:jc w:val="left"/>
        <w:spacing w:line="360" w:lineRule="auto"/>
        <w:widowControl/>
        <w:rPr>
          <w:rFonts w:ascii="宋体" w:hAnsi="宋体" w:cs="宋体"/>
          <w:color w:val="auto"/>
          <w:sz w:val="24"/>
          <w:highlight w:val="none"/>
        </w:rPr>
      </w:pPr>
      <w:r/>
      <w:bookmarkStart w:id="117" w:name="_Hlk132880551"/>
      <w:r>
        <w:rPr>
          <w:rFonts w:hint="eastAsia" w:ascii="宋体" w:hAnsi="宋体" w:cs="宋体"/>
          <w:color w:val="auto"/>
          <w:sz w:val="24"/>
          <w:highlight w:val="none"/>
        </w:rPr>
        <w:t xml:space="preserve">2.1.3</w:t>
      </w:r>
      <w:bookmarkEnd w:id="117"/>
      <w:r>
        <w:rPr>
          <w:rFonts w:hint="eastAsia" w:ascii="宋体" w:hAnsi="宋体" w:cs="宋体"/>
          <w:color w:val="auto"/>
          <w:sz w:val="24"/>
          <w:highlight w:val="none"/>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2.1.4“服务”系指中标或成交供应商根据合同约定应向采购人履行的除货物和工程以外的其他政府采购对象，包括采购人自身需要的服务和向社会公众提供的公共服务。</w:t>
      </w:r>
      <w:r/>
    </w:p>
    <w:p>
      <w:pPr>
        <w:ind w:firstLine="480"/>
        <w:spacing w:line="360" w:lineRule="auto"/>
        <w:rPr>
          <w:rFonts w:ascii="宋体" w:hAnsi="宋体" w:cs="宋体"/>
          <w:color w:val="auto"/>
          <w:sz w:val="24"/>
          <w:highlight w:val="none"/>
        </w:rPr>
      </w:pPr>
      <w:r/>
      <w:bookmarkStart w:id="118" w:name="_Ref467378840"/>
      <w:r>
        <w:rPr>
          <w:rFonts w:hint="eastAsia" w:ascii="宋体" w:hAnsi="宋体" w:cs="宋体"/>
          <w:color w:val="auto"/>
          <w:sz w:val="24"/>
          <w:highlight w:val="none"/>
        </w:rPr>
        <w:t xml:space="preserve">2.1.5 “甲方”系指与中标或成交供应商签署合同的采购人</w:t>
      </w:r>
      <w:bookmarkEnd w:id="118"/>
      <w:r>
        <w:rPr>
          <w:rFonts w:hint="eastAsia" w:ascii="宋体" w:hAnsi="宋体" w:cs="宋体"/>
          <w:color w:val="auto"/>
          <w:sz w:val="24"/>
          <w:highlight w:val="none"/>
        </w:rPr>
        <w:t xml:space="preserve">；采购人委托采购代理机构代表其与乙方签订合同的，采购人的授权委托书作为合同附件。</w:t>
      </w:r>
      <w:r/>
    </w:p>
    <w:p>
      <w:pPr>
        <w:ind w:firstLine="480"/>
        <w:spacing w:line="360" w:lineRule="auto"/>
        <w:rPr>
          <w:rFonts w:ascii="宋体" w:hAnsi="宋体" w:cs="宋体"/>
          <w:color w:val="auto"/>
          <w:sz w:val="24"/>
          <w:highlight w:val="none"/>
        </w:rPr>
      </w:pPr>
      <w:r/>
      <w:bookmarkStart w:id="119" w:name="_Ref467379400"/>
      <w:r>
        <w:rPr>
          <w:rFonts w:hint="eastAsia" w:ascii="宋体" w:hAnsi="宋体" w:cs="宋体"/>
          <w:color w:val="auto"/>
          <w:sz w:val="24"/>
          <w:highlight w:val="none"/>
        </w:rPr>
        <w:t xml:space="preserve">2.1.6 “乙方”系指根据合同约定交付货物的中标或成交供应商</w:t>
      </w:r>
      <w:bookmarkEnd w:id="119"/>
      <w:r>
        <w:rPr>
          <w:rFonts w:hint="eastAsia" w:ascii="宋体" w:hAnsi="宋体" w:cs="宋体"/>
          <w:color w:val="auto"/>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360" w:lineRule="auto"/>
        <w:rPr>
          <w:rFonts w:ascii="宋体" w:hAnsi="宋体" w:cs="宋体"/>
          <w:color w:val="auto"/>
          <w:sz w:val="24"/>
          <w:highlight w:val="none"/>
        </w:rPr>
      </w:pPr>
      <w:r/>
      <w:bookmarkStart w:id="120" w:name="_Ref467379436"/>
      <w:r>
        <w:rPr>
          <w:rFonts w:hint="eastAsia" w:ascii="宋体" w:hAnsi="宋体" w:cs="宋体"/>
          <w:color w:val="auto"/>
          <w:sz w:val="24"/>
          <w:highlight w:val="none"/>
        </w:rPr>
        <w:t xml:space="preserve">2.1.7 “现场”系指合同约定货物将要运至或者安装的地点。</w:t>
      </w:r>
      <w:bookmarkEnd w:id="120"/>
      <w:r/>
      <w:r/>
    </w:p>
    <w:p>
      <w:pPr>
        <w:ind w:firstLine="482"/>
        <w:spacing w:line="360" w:lineRule="auto"/>
        <w:rPr>
          <w:rFonts w:ascii="宋体" w:hAnsi="宋体" w:cs="宋体"/>
          <w:b/>
          <w:color w:val="auto"/>
          <w:sz w:val="24"/>
          <w:highlight w:val="none"/>
        </w:rPr>
        <w:outlineLvl w:val="0"/>
      </w:pPr>
      <w:r/>
      <w:bookmarkStart w:id="121" w:name="_Toc487900350"/>
      <w:r/>
      <w:bookmarkStart w:id="122" w:name="_Toc279701241"/>
      <w:r/>
      <w:bookmarkStart w:id="123" w:name="_Toc27635"/>
      <w:r/>
      <w:bookmarkStart w:id="124" w:name="_Toc13336"/>
      <w:r/>
      <w:bookmarkStart w:id="125" w:name="_Toc259093670"/>
      <w:r/>
      <w:bookmarkStart w:id="126" w:name="_Toc32504"/>
      <w:r>
        <w:rPr>
          <w:rFonts w:hint="eastAsia" w:ascii="宋体" w:hAnsi="宋体" w:cs="宋体"/>
          <w:b/>
          <w:color w:val="auto"/>
          <w:sz w:val="24"/>
          <w:highlight w:val="none"/>
        </w:rPr>
        <w:t xml:space="preserve">2.2 技术规范</w:t>
      </w:r>
      <w:bookmarkEnd w:id="121"/>
      <w:r/>
      <w:bookmarkEnd w:id="122"/>
      <w:r/>
      <w:bookmarkEnd w:id="123"/>
      <w:r/>
      <w:bookmarkEnd w:id="124"/>
      <w:r/>
      <w:bookmarkEnd w:id="125"/>
      <w:r/>
      <w:bookmarkEnd w:id="126"/>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货物或服务所应遵守的技术规范应与采购文件规定的技术规范</w:t>
      </w:r>
      <w:r>
        <w:rPr>
          <w:rFonts w:hint="eastAsia" w:ascii="宋体" w:hAnsi="宋体" w:cs="宋体"/>
          <w:i/>
          <w:color w:val="auto"/>
          <w:sz w:val="24"/>
          <w:highlight w:val="none"/>
        </w:rPr>
        <w:t xml:space="preserve">和技术规范附件(</w:t>
      </w:r>
      <w:r>
        <w:rPr>
          <w:rFonts w:hint="eastAsia" w:ascii="宋体" w:hAnsi="宋体" w:cs="宋体"/>
          <w:i/>
          <w:iCs/>
          <w:color w:val="auto"/>
          <w:sz w:val="24"/>
          <w:highlight w:val="none"/>
        </w:rPr>
        <w:t xml:space="preserve">如果有的话</w:t>
      </w:r>
      <w:r>
        <w:rPr>
          <w:rFonts w:hint="eastAsia" w:ascii="宋体" w:hAnsi="宋体" w:cs="宋体"/>
          <w:i/>
          <w:color w:val="auto"/>
          <w:sz w:val="24"/>
          <w:highlight w:val="none"/>
        </w:rPr>
        <w:t xml:space="preserve">)</w:t>
      </w:r>
      <w:r>
        <w:rPr>
          <w:rFonts w:hint="eastAsia" w:ascii="宋体" w:hAnsi="宋体" w:cs="宋体"/>
          <w:color w:val="auto"/>
          <w:sz w:val="24"/>
          <w:highlight w:val="none"/>
        </w:rPr>
        <w:t xml:space="preserve">及其技术规范偏差表(</w:t>
      </w:r>
      <w:r>
        <w:rPr>
          <w:rFonts w:hint="eastAsia" w:ascii="宋体" w:hAnsi="宋体" w:cs="宋体"/>
          <w:i/>
          <w:iCs/>
          <w:color w:val="auto"/>
          <w:sz w:val="24"/>
          <w:highlight w:val="none"/>
        </w:rPr>
        <w:t xml:space="preserve">如果被甲方接受的话)</w:t>
      </w:r>
      <w:r>
        <w:rPr>
          <w:rFonts w:hint="eastAsia" w:ascii="宋体" w:hAnsi="宋体" w:cs="宋体"/>
          <w:color w:val="auto"/>
          <w:sz w:val="24"/>
          <w:highlight w:val="none"/>
        </w:rPr>
        <w:t xml:space="preserve">相一致；如果采购文件中没有技术规范的相应说明，那么应以国家有关部门最新颁布的相应标准和规范为准。</w:t>
      </w:r>
      <w:r/>
    </w:p>
    <w:p>
      <w:pPr>
        <w:ind w:firstLine="482"/>
        <w:spacing w:line="360" w:lineRule="auto"/>
        <w:rPr>
          <w:rFonts w:ascii="宋体" w:hAnsi="宋体" w:cs="宋体"/>
          <w:b/>
          <w:color w:val="auto"/>
          <w:sz w:val="24"/>
          <w:highlight w:val="none"/>
        </w:rPr>
        <w:outlineLvl w:val="0"/>
      </w:pPr>
      <w:r/>
      <w:bookmarkStart w:id="127" w:name="_Toc487900351"/>
      <w:r/>
      <w:bookmarkStart w:id="128" w:name="_Toc27853"/>
      <w:r/>
      <w:bookmarkStart w:id="129" w:name="_Toc31634"/>
      <w:r/>
      <w:bookmarkStart w:id="130" w:name="_Toc9829"/>
      <w:r/>
      <w:bookmarkStart w:id="131" w:name="_Toc259093671"/>
      <w:r/>
      <w:bookmarkStart w:id="132" w:name="_Toc279701242"/>
      <w:r>
        <w:rPr>
          <w:rFonts w:hint="eastAsia" w:ascii="宋体" w:hAnsi="宋体" w:cs="宋体"/>
          <w:b/>
          <w:color w:val="auto"/>
          <w:sz w:val="24"/>
          <w:highlight w:val="none"/>
        </w:rPr>
        <w:t xml:space="preserve">2.3 知识产权</w:t>
      </w:r>
      <w:bookmarkEnd w:id="127"/>
      <w:r/>
      <w:bookmarkEnd w:id="128"/>
      <w:r/>
      <w:bookmarkEnd w:id="129"/>
      <w:r/>
      <w:bookmarkEnd w:id="130"/>
      <w:r/>
      <w:bookmarkEnd w:id="131"/>
      <w:r/>
      <w:bookmarkEnd w:id="132"/>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360" w:lineRule="auto"/>
        <w:rPr>
          <w:rFonts w:ascii="宋体" w:hAnsi="宋体" w:cs="宋体"/>
          <w:iCs/>
          <w:color w:val="auto"/>
          <w:sz w:val="24"/>
          <w:highlight w:val="none"/>
        </w:rPr>
      </w:pPr>
      <w:r>
        <w:rPr>
          <w:rFonts w:hint="eastAsia" w:ascii="宋体" w:hAnsi="宋体" w:cs="宋体"/>
          <w:color w:val="auto"/>
          <w:sz w:val="24"/>
          <w:highlight w:val="none"/>
        </w:rPr>
        <w:t xml:space="preserve">2.3.2具有知识产权的计算机软件等货物或</w:t>
      </w:r>
      <w:r>
        <w:rPr>
          <w:rFonts w:hint="eastAsia" w:ascii="宋体" w:hAnsi="宋体"/>
          <w:color w:val="auto"/>
          <w:sz w:val="24"/>
          <w:highlight w:val="none"/>
        </w:rPr>
        <w:t xml:space="preserve">技术成果</w:t>
      </w:r>
      <w:r>
        <w:rPr>
          <w:rFonts w:hint="eastAsia" w:ascii="宋体" w:hAnsi="宋体" w:cs="宋体"/>
          <w:color w:val="auto"/>
          <w:sz w:val="24"/>
          <w:highlight w:val="none"/>
        </w:rPr>
        <w:t xml:space="preserve">的知识产权归属，详见</w:t>
      </w:r>
      <w:r>
        <w:rPr>
          <w:rFonts w:hint="eastAsia" w:ascii="宋体" w:hAnsi="宋体" w:cs="宋体"/>
          <w:b/>
          <w:iCs/>
          <w:color w:val="auto"/>
          <w:sz w:val="24"/>
          <w:highlight w:val="none"/>
          <w:u w:val="single"/>
        </w:rPr>
        <w:t xml:space="preserve">合同专用条款2.3.2</w:t>
      </w:r>
      <w:r>
        <w:rPr>
          <w:rFonts w:hint="eastAsia" w:ascii="宋体" w:hAnsi="宋体" w:cs="宋体"/>
          <w:iCs/>
          <w:color w:val="auto"/>
          <w:sz w:val="24"/>
          <w:highlight w:val="none"/>
        </w:rPr>
        <w:t xml:space="preserve">。</w:t>
      </w:r>
      <w:r/>
    </w:p>
    <w:p>
      <w:pPr>
        <w:ind w:firstLine="482"/>
        <w:spacing w:line="360" w:lineRule="auto"/>
        <w:rPr>
          <w:rFonts w:ascii="宋体" w:hAnsi="宋体" w:cs="宋体"/>
          <w:b/>
          <w:color w:val="auto"/>
          <w:sz w:val="24"/>
          <w:highlight w:val="none"/>
        </w:rPr>
        <w:outlineLvl w:val="0"/>
      </w:pPr>
      <w:r/>
      <w:bookmarkStart w:id="133" w:name="_Toc4194"/>
      <w:r/>
      <w:bookmarkStart w:id="134" w:name="_Toc29149"/>
      <w:r/>
      <w:bookmarkStart w:id="135" w:name="_Toc11932"/>
      <w:r>
        <w:rPr>
          <w:rFonts w:hint="eastAsia" w:ascii="宋体" w:hAnsi="宋体" w:cs="宋体"/>
          <w:b/>
          <w:color w:val="auto"/>
          <w:sz w:val="24"/>
          <w:highlight w:val="none"/>
        </w:rPr>
        <w:t xml:space="preserve">2.4 包装和装运</w:t>
      </w:r>
      <w:bookmarkEnd w:id="133"/>
      <w:r/>
      <w:bookmarkEnd w:id="134"/>
      <w:r/>
      <w:bookmarkEnd w:id="135"/>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2.4.1除</w:t>
      </w:r>
      <w:r>
        <w:rPr>
          <w:rFonts w:hint="eastAsia" w:ascii="宋体" w:hAnsi="宋体" w:cs="宋体"/>
          <w:b/>
          <w:iCs/>
          <w:color w:val="auto"/>
          <w:sz w:val="24"/>
          <w:highlight w:val="none"/>
          <w:u w:val="single"/>
        </w:rPr>
        <w:t xml:space="preserve">合同专用条款2.4.1</w:t>
      </w:r>
      <w:r>
        <w:rPr>
          <w:rFonts w:hint="eastAsia" w:ascii="宋体" w:hAnsi="宋体" w:cs="宋体"/>
          <w:color w:val="auto"/>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2.4.3 装运货物的要求和通知，详见</w:t>
      </w:r>
      <w:r>
        <w:rPr>
          <w:rFonts w:hint="eastAsia" w:ascii="宋体" w:hAnsi="宋体" w:cs="宋体"/>
          <w:b/>
          <w:iCs/>
          <w:color w:val="auto"/>
          <w:sz w:val="24"/>
          <w:highlight w:val="none"/>
          <w:u w:val="single"/>
        </w:rPr>
        <w:t xml:space="preserve">合同专用条款2.4.3</w:t>
      </w:r>
      <w:r>
        <w:rPr>
          <w:rFonts w:hint="eastAsia" w:ascii="宋体" w:hAnsi="宋体" w:cs="宋体"/>
          <w:iCs/>
          <w:color w:val="auto"/>
          <w:sz w:val="24"/>
          <w:highlight w:val="none"/>
        </w:rPr>
        <w:t xml:space="preserve">。</w:t>
      </w:r>
      <w:r/>
    </w:p>
    <w:p>
      <w:pPr>
        <w:ind w:firstLine="482"/>
        <w:spacing w:line="360" w:lineRule="auto"/>
        <w:rPr>
          <w:rFonts w:ascii="宋体" w:hAnsi="宋体" w:cs="宋体"/>
          <w:b/>
          <w:color w:val="auto"/>
          <w:sz w:val="24"/>
          <w:highlight w:val="none"/>
        </w:rPr>
        <w:outlineLvl w:val="0"/>
      </w:pPr>
      <w:r/>
      <w:bookmarkStart w:id="136" w:name="_Toc259093674"/>
      <w:r/>
      <w:bookmarkStart w:id="137" w:name="_Ref467378541"/>
      <w:r/>
      <w:bookmarkStart w:id="138" w:name="_Ref467378591"/>
      <w:r/>
      <w:bookmarkStart w:id="139" w:name="_Ref467379527"/>
      <w:r/>
      <w:bookmarkStart w:id="140" w:name="_Ref467379536"/>
      <w:r/>
      <w:bookmarkStart w:id="141" w:name="_Toc279701245"/>
      <w:r/>
      <w:bookmarkStart w:id="142" w:name="_Ref467379542"/>
      <w:r/>
      <w:bookmarkStart w:id="143" w:name="_Toc487900354"/>
      <w:r/>
      <w:bookmarkStart w:id="144" w:name="_Toc19074"/>
      <w:r/>
      <w:bookmarkStart w:id="145" w:name="_Toc30272"/>
      <w:r/>
      <w:bookmarkStart w:id="146" w:name="_Toc26182"/>
      <w:r>
        <w:rPr>
          <w:rFonts w:hint="eastAsia" w:ascii="宋体" w:hAnsi="宋体" w:cs="宋体"/>
          <w:b/>
          <w:color w:val="auto"/>
          <w:sz w:val="24"/>
          <w:highlight w:val="none"/>
        </w:rPr>
        <w:t xml:space="preserve">2.</w:t>
      </w:r>
      <w:bookmarkEnd w:id="136"/>
      <w:r/>
      <w:bookmarkEnd w:id="137"/>
      <w:r/>
      <w:bookmarkEnd w:id="138"/>
      <w:r/>
      <w:bookmarkEnd w:id="139"/>
      <w:r/>
      <w:bookmarkEnd w:id="140"/>
      <w:r/>
      <w:bookmarkEnd w:id="141"/>
      <w:r/>
      <w:bookmarkEnd w:id="142"/>
      <w:r/>
      <w:bookmarkEnd w:id="143"/>
      <w:r>
        <w:rPr>
          <w:rFonts w:hint="eastAsia" w:ascii="宋体" w:hAnsi="宋体" w:cs="宋体"/>
          <w:b/>
          <w:color w:val="auto"/>
          <w:sz w:val="24"/>
          <w:highlight w:val="none"/>
        </w:rPr>
        <w:t xml:space="preserve">5 履约检查和问题反馈</w:t>
      </w:r>
      <w:bookmarkEnd w:id="144"/>
      <w:r/>
      <w:bookmarkEnd w:id="145"/>
      <w:r/>
      <w:bookmarkEnd w:id="146"/>
      <w:r/>
      <w:r/>
    </w:p>
    <w:p>
      <w:pPr>
        <w:ind w:firstLine="480"/>
        <w:spacing w:line="360" w:lineRule="auto"/>
        <w:rPr>
          <w:rFonts w:ascii="宋体" w:hAnsi="宋体" w:cs="宋体"/>
          <w:color w:val="auto"/>
          <w:sz w:val="24"/>
          <w:highlight w:val="none"/>
        </w:rPr>
      </w:pPr>
      <w:r/>
      <w:bookmarkStart w:id="147" w:name="_Ref467379657"/>
      <w:r>
        <w:rPr>
          <w:rFonts w:hint="eastAsia" w:ascii="宋体" w:hAnsi="宋体" w:cs="宋体"/>
          <w:color w:val="auto"/>
          <w:sz w:val="24"/>
          <w:highlight w:val="none"/>
        </w:rPr>
        <w:t xml:space="preserve">2.5.1</w:t>
      </w:r>
      <w:bookmarkEnd w:id="147"/>
      <w:r/>
      <w:bookmarkStart w:id="148" w:name="_Toc186431854"/>
      <w:r/>
      <w:bookmarkStart w:id="149" w:name="_Toc487900357"/>
      <w:r/>
      <w:bookmarkStart w:id="150" w:name="_Toc279701247"/>
      <w:r/>
      <w:bookmarkStart w:id="151" w:name="_Ref467379807"/>
      <w:r/>
      <w:bookmarkStart w:id="152" w:name="_Ref467379793"/>
      <w:r/>
      <w:bookmarkStart w:id="153" w:name="_Toc259093676"/>
      <w:r>
        <w:rPr>
          <w:rFonts w:hint="eastAsia" w:ascii="宋体" w:hAnsi="宋体" w:cs="宋体"/>
          <w:color w:val="auto"/>
          <w:sz w:val="24"/>
          <w:highlight w:val="none"/>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2.5.2 合同履行期间，甲方有权将履行过程中出现的问题反馈给乙方，双方当事人应以书面形式约定需要完善和改进的内容</w:t>
      </w:r>
      <w:bookmarkEnd w:id="148"/>
      <w:r/>
      <w:bookmarkStart w:id="154" w:name="_Toc186431855"/>
      <w:r>
        <w:rPr>
          <w:rFonts w:hint="eastAsia" w:ascii="宋体" w:hAnsi="宋体" w:cs="宋体"/>
          <w:color w:val="auto"/>
          <w:sz w:val="24"/>
          <w:highlight w:val="none"/>
        </w:rPr>
        <w:t xml:space="preserve">。</w:t>
      </w:r>
      <w:bookmarkEnd w:id="149"/>
      <w:r/>
      <w:bookmarkEnd w:id="150"/>
      <w:r/>
      <w:bookmarkEnd w:id="151"/>
      <w:r/>
      <w:bookmarkEnd w:id="152"/>
      <w:r/>
      <w:bookmarkEnd w:id="153"/>
      <w:r/>
      <w:bookmarkEnd w:id="154"/>
      <w:r/>
      <w:r/>
    </w:p>
    <w:p>
      <w:pPr>
        <w:ind w:firstLine="482"/>
        <w:spacing w:line="360" w:lineRule="auto"/>
        <w:rPr>
          <w:rFonts w:ascii="宋体" w:hAnsi="宋体" w:cs="宋体"/>
          <w:b/>
          <w:color w:val="auto"/>
          <w:sz w:val="24"/>
          <w:highlight w:val="none"/>
        </w:rPr>
        <w:outlineLvl w:val="0"/>
      </w:pPr>
      <w:r/>
      <w:bookmarkStart w:id="155" w:name="_Toc259093677"/>
      <w:r/>
      <w:bookmarkStart w:id="156" w:name="_Toc487900358"/>
      <w:r/>
      <w:bookmarkStart w:id="157" w:name="_Toc279701248"/>
      <w:r/>
      <w:bookmarkStart w:id="158" w:name="_Ref467379852"/>
      <w:r/>
      <w:bookmarkStart w:id="159" w:name="_Ref467379863"/>
      <w:r/>
      <w:bookmarkStart w:id="160" w:name="_Ref467379923"/>
      <w:r/>
      <w:bookmarkStart w:id="161" w:name="_Toc3225"/>
      <w:r/>
      <w:bookmarkStart w:id="162" w:name="_Toc774"/>
      <w:r/>
      <w:bookmarkStart w:id="163" w:name="_Toc16110"/>
      <w:r>
        <w:rPr>
          <w:rFonts w:hint="eastAsia" w:ascii="宋体" w:hAnsi="宋体" w:cs="宋体"/>
          <w:b/>
          <w:color w:val="auto"/>
          <w:sz w:val="24"/>
          <w:highlight w:val="none"/>
        </w:rPr>
        <w:t xml:space="preserve">2.6 技术资料</w:t>
      </w:r>
      <w:bookmarkEnd w:id="155"/>
      <w:r/>
      <w:bookmarkEnd w:id="156"/>
      <w:r/>
      <w:bookmarkEnd w:id="157"/>
      <w:r/>
      <w:bookmarkEnd w:id="158"/>
      <w:r/>
      <w:bookmarkEnd w:id="159"/>
      <w:r/>
      <w:bookmarkEnd w:id="160"/>
      <w:r>
        <w:rPr>
          <w:rFonts w:hint="eastAsia" w:ascii="宋体" w:hAnsi="宋体" w:cs="宋体"/>
          <w:b/>
          <w:color w:val="auto"/>
          <w:sz w:val="24"/>
          <w:highlight w:val="none"/>
        </w:rPr>
        <w:t xml:space="preserve">和保密义务</w:t>
      </w:r>
      <w:bookmarkEnd w:id="161"/>
      <w:r/>
      <w:bookmarkEnd w:id="162"/>
      <w:r/>
      <w:bookmarkEnd w:id="163"/>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2.6.1 乙方有权依据合同约定和项目需要，向甲方了解有关情况，调阅有关资料等，甲方应予积极配合；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2.6.2 乙方有义务妥善保管和保护由甲方提供的前款信息和资料等；</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2.6.4 除履行本合同义务内容所需外，未经对方事先书面同意，任一方不得擅自使用、复制商标、标志、商业信息、技术及其他资料。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2.6.5 本保密条款长期有效，本合同变更、终止或解除等均不影响本条款的效力。</w:t>
      </w:r>
      <w:r/>
    </w:p>
    <w:p>
      <w:pPr>
        <w:ind w:firstLine="482"/>
        <w:spacing w:line="360" w:lineRule="auto"/>
        <w:rPr>
          <w:rFonts w:ascii="宋体" w:hAnsi="宋体" w:cs="宋体"/>
          <w:b/>
          <w:color w:val="auto"/>
          <w:sz w:val="24"/>
          <w:highlight w:val="none"/>
        </w:rPr>
        <w:outlineLvl w:val="0"/>
      </w:pPr>
      <w:r/>
      <w:bookmarkStart w:id="164" w:name="_Toc7860"/>
      <w:r>
        <w:rPr>
          <w:rFonts w:hint="eastAsia" w:ascii="宋体" w:hAnsi="宋体" w:cs="宋体"/>
          <w:b/>
          <w:color w:val="auto"/>
          <w:sz w:val="24"/>
          <w:highlight w:val="none"/>
        </w:rPr>
        <w:t xml:space="preserve">2.7 质量保证</w:t>
      </w:r>
      <w:bookmarkEnd w:id="164"/>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2.7.1 乙方应建立和完善履行合同的内部质量保证体系，并提供相关内部规章制度给甲方，以便甲方进行监督检查；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2.7.2 乙方应保证履行合同的人员数量和素质、软件和硬件设备的配置、场地、环境和设施等满足全面履行合同的要求，并应接受甲方的监督检查。</w:t>
      </w:r>
      <w:r/>
    </w:p>
    <w:p>
      <w:pPr>
        <w:ind w:firstLine="482"/>
        <w:spacing w:line="360" w:lineRule="auto"/>
        <w:rPr>
          <w:rFonts w:ascii="宋体" w:hAnsi="宋体" w:cs="宋体"/>
          <w:b/>
          <w:color w:val="auto"/>
          <w:sz w:val="24"/>
          <w:highlight w:val="none"/>
        </w:rPr>
        <w:outlineLvl w:val="0"/>
      </w:pPr>
      <w:r/>
      <w:bookmarkStart w:id="165" w:name="_Toc17244"/>
      <w:r/>
      <w:bookmarkStart w:id="166" w:name="_Toc259093681"/>
      <w:r/>
      <w:bookmarkStart w:id="167" w:name="_Toc279701252"/>
      <w:r/>
      <w:bookmarkStart w:id="168" w:name="_Toc487900362"/>
      <w:r>
        <w:rPr>
          <w:rFonts w:hint="eastAsia" w:ascii="宋体" w:hAnsi="宋体" w:cs="宋体"/>
          <w:b/>
          <w:color w:val="auto"/>
          <w:sz w:val="24"/>
          <w:highlight w:val="none"/>
        </w:rPr>
        <w:t xml:space="preserve">2.8 货物的风险负担</w:t>
      </w:r>
      <w:bookmarkEnd w:id="165"/>
      <w:r/>
      <w:r/>
    </w:p>
    <w:p>
      <w:pPr>
        <w:ind w:firstLine="480"/>
        <w:spacing w:line="360" w:lineRule="auto"/>
        <w:rPr>
          <w:rFonts w:ascii="宋体" w:hAnsi="宋体" w:cs="宋体"/>
          <w:b/>
          <w:iCs/>
          <w:color w:val="auto"/>
          <w:sz w:val="24"/>
          <w:highlight w:val="none"/>
        </w:rPr>
      </w:pPr>
      <w:r>
        <w:rPr>
          <w:rFonts w:hint="eastAsia" w:ascii="宋体" w:hAnsi="宋体" w:cs="宋体"/>
          <w:color w:val="auto"/>
          <w:sz w:val="24"/>
          <w:highlight w:val="none"/>
        </w:rPr>
        <w:t xml:space="preserve">货物或者在途货物或者交付给第一承运人后的货物毁损、灭失的风险负担详见</w:t>
      </w:r>
      <w:r>
        <w:rPr>
          <w:rFonts w:hint="eastAsia" w:ascii="宋体" w:hAnsi="宋体" w:cs="宋体"/>
          <w:b/>
          <w:iCs/>
          <w:color w:val="auto"/>
          <w:sz w:val="24"/>
          <w:highlight w:val="none"/>
          <w:u w:val="single"/>
        </w:rPr>
        <w:t xml:space="preserve">合同专用条款2.8</w:t>
      </w:r>
      <w:r>
        <w:rPr>
          <w:rFonts w:hint="eastAsia" w:ascii="宋体" w:hAnsi="宋体" w:cs="宋体"/>
          <w:iCs/>
          <w:color w:val="auto"/>
          <w:sz w:val="24"/>
          <w:highlight w:val="none"/>
        </w:rPr>
        <w:t xml:space="preserve">。</w:t>
      </w:r>
      <w:r/>
    </w:p>
    <w:p>
      <w:pPr>
        <w:ind w:firstLine="482"/>
        <w:spacing w:line="360" w:lineRule="auto"/>
        <w:rPr>
          <w:rFonts w:ascii="宋体" w:hAnsi="宋体" w:cs="宋体"/>
          <w:b/>
          <w:color w:val="auto"/>
          <w:sz w:val="24"/>
          <w:highlight w:val="none"/>
        </w:rPr>
        <w:outlineLvl w:val="0"/>
      </w:pPr>
      <w:r/>
      <w:bookmarkStart w:id="169" w:name="_Toc14055"/>
      <w:r>
        <w:rPr>
          <w:rFonts w:hint="eastAsia" w:ascii="宋体" w:hAnsi="宋体" w:cs="宋体"/>
          <w:b/>
          <w:color w:val="auto"/>
          <w:sz w:val="24"/>
          <w:highlight w:val="none"/>
        </w:rPr>
        <w:t xml:space="preserve">2.9 延迟</w:t>
      </w:r>
      <w:bookmarkEnd w:id="166"/>
      <w:r/>
      <w:bookmarkEnd w:id="167"/>
      <w:r/>
      <w:bookmarkEnd w:id="168"/>
      <w:r/>
      <w:bookmarkEnd w:id="169"/>
      <w:r>
        <w:rPr>
          <w:rFonts w:hint="eastAsia" w:ascii="宋体" w:hAnsi="宋体" w:cs="宋体"/>
          <w:b/>
          <w:color w:val="auto"/>
          <w:sz w:val="24"/>
          <w:highlight w:val="none"/>
        </w:rPr>
        <w:t xml:space="preserve">交付</w:t>
      </w:r>
      <w:r/>
    </w:p>
    <w:p>
      <w:pPr>
        <w:ind w:firstLine="480"/>
        <w:spacing w:line="360" w:lineRule="auto"/>
        <w:rPr>
          <w:rFonts w:ascii="宋体" w:hAnsi="宋体" w:cs="宋体"/>
          <w:color w:val="auto"/>
          <w:sz w:val="24"/>
          <w:highlight w:val="none"/>
        </w:rPr>
      </w:pPr>
      <w:r>
        <w:rPr>
          <w:rFonts w:hint="eastAsia" w:ascii="宋体" w:hAnsi="宋体"/>
          <w:color w:val="auto"/>
          <w:sz w:val="24"/>
          <w:highlight w:val="none"/>
        </w:rPr>
        <w:t xml:space="preserve">甲乙双方签订合同后，乙方应按照合同约定履行合同义务，除不可抗力外，乙方不得延迟交付。</w:t>
      </w:r>
      <w:r>
        <w:rPr>
          <w:rFonts w:hint="eastAsia" w:ascii="宋体" w:hAnsi="宋体" w:cs="宋体"/>
          <w:color w:val="auto"/>
          <w:sz w:val="24"/>
          <w:highlight w:val="none"/>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360" w:lineRule="auto"/>
        <w:rPr>
          <w:rFonts w:ascii="宋体" w:hAnsi="宋体" w:cs="宋体"/>
          <w:b/>
          <w:color w:val="auto"/>
          <w:sz w:val="24"/>
          <w:highlight w:val="none"/>
        </w:rPr>
        <w:outlineLvl w:val="0"/>
      </w:pPr>
      <w:r/>
      <w:bookmarkStart w:id="170" w:name="_Toc7502"/>
      <w:r/>
      <w:bookmarkStart w:id="171" w:name="_Ref467378121"/>
      <w:r/>
      <w:bookmarkStart w:id="172" w:name="_Toc487900364"/>
      <w:r/>
      <w:bookmarkStart w:id="173" w:name="_Toc279701254"/>
      <w:r/>
      <w:bookmarkStart w:id="174" w:name="_Toc259093683"/>
      <w:r>
        <w:rPr>
          <w:rFonts w:hint="eastAsia" w:ascii="宋体" w:hAnsi="宋体" w:cs="宋体"/>
          <w:b/>
          <w:color w:val="auto"/>
          <w:sz w:val="24"/>
          <w:highlight w:val="none"/>
        </w:rPr>
        <w:t xml:space="preserve">2.10 合同变更</w:t>
      </w:r>
      <w:bookmarkEnd w:id="170"/>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合同继续履行将损害国家利益和社会公共利益的，双方当事人应当以书面形式变更合同。有过错的一方应当承担赔偿责任，双方当事人都有过错的，各自承担相应的责任。</w:t>
      </w:r>
      <w:bookmarkStart w:id="175" w:name="_Toc487900369"/>
      <w:r/>
      <w:bookmarkStart w:id="176" w:name="_Toc259093688"/>
      <w:r/>
      <w:bookmarkStart w:id="177" w:name="_Toc279701259"/>
      <w:r/>
      <w:r/>
    </w:p>
    <w:p>
      <w:pPr>
        <w:ind w:firstLine="482"/>
        <w:spacing w:line="360" w:lineRule="auto"/>
        <w:rPr>
          <w:rFonts w:ascii="宋体" w:hAnsi="宋体" w:cs="宋体"/>
          <w:b/>
          <w:color w:val="auto"/>
          <w:sz w:val="24"/>
          <w:highlight w:val="none"/>
        </w:rPr>
        <w:outlineLvl w:val="0"/>
      </w:pPr>
      <w:r/>
      <w:bookmarkStart w:id="178" w:name="_Toc15237"/>
      <w:r/>
      <w:bookmarkStart w:id="179" w:name="_Toc22955"/>
      <w:r/>
      <w:bookmarkStart w:id="180" w:name="_Toc10366"/>
      <w:r>
        <w:rPr>
          <w:rFonts w:hint="eastAsia" w:ascii="宋体" w:hAnsi="宋体" w:cs="宋体"/>
          <w:b/>
          <w:color w:val="auto"/>
          <w:sz w:val="24"/>
          <w:highlight w:val="none"/>
        </w:rPr>
        <w:t xml:space="preserve">2.11 合同转让</w:t>
      </w:r>
      <w:bookmarkEnd w:id="175"/>
      <w:r/>
      <w:bookmarkEnd w:id="176"/>
      <w:r/>
      <w:bookmarkEnd w:id="177"/>
      <w:r>
        <w:rPr>
          <w:rFonts w:hint="eastAsia" w:ascii="宋体" w:hAnsi="宋体" w:cs="宋体"/>
          <w:b/>
          <w:color w:val="auto"/>
          <w:sz w:val="24"/>
          <w:highlight w:val="none"/>
        </w:rPr>
        <w:t xml:space="preserve">和分包</w:t>
      </w:r>
      <w:bookmarkEnd w:id="178"/>
      <w:r/>
      <w:bookmarkEnd w:id="179"/>
      <w:r/>
      <w:bookmarkEnd w:id="180"/>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color w:val="auto"/>
          <w:sz w:val="24"/>
          <w:highlight w:val="none"/>
          <w:shd w:val="clear" w:color="auto" w:fill="ffffff"/>
        </w:rPr>
        <w:t xml:space="preserve">享受中小企业扶持政策获得政府采购合同的，小微企业不得将合同分包给大中型企业，中型企业不得将合同分包给大型企业。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2.11.2乙方采取分包方式履行合同的，甲方可直接向分包供应商支付款项。</w:t>
      </w:r>
      <w:r/>
    </w:p>
    <w:p>
      <w:pPr>
        <w:ind w:firstLine="482"/>
        <w:spacing w:line="360" w:lineRule="auto"/>
        <w:rPr>
          <w:rFonts w:ascii="宋体" w:hAnsi="宋体" w:cs="宋体"/>
          <w:b/>
          <w:color w:val="auto"/>
          <w:sz w:val="24"/>
          <w:highlight w:val="none"/>
        </w:rPr>
        <w:outlineLvl w:val="0"/>
      </w:pPr>
      <w:r/>
      <w:bookmarkStart w:id="181" w:name="_Toc16508"/>
      <w:r/>
      <w:bookmarkStart w:id="182" w:name="_Toc14066"/>
      <w:r/>
      <w:bookmarkStart w:id="183" w:name="_Toc13566"/>
      <w:r>
        <w:rPr>
          <w:rFonts w:hint="eastAsia" w:ascii="宋体" w:hAnsi="宋体" w:cs="宋体"/>
          <w:b/>
          <w:color w:val="auto"/>
          <w:sz w:val="24"/>
          <w:highlight w:val="none"/>
        </w:rPr>
        <w:t xml:space="preserve">2.12 不可抗力</w:t>
      </w:r>
      <w:bookmarkEnd w:id="181"/>
      <w:r/>
      <w:bookmarkEnd w:id="182"/>
      <w:r/>
      <w:bookmarkEnd w:id="183"/>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2.12.2如不可抗力无法消除，致使合同目的无法实现的，双方均有权解除合同，且均不互相索赔。</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2.12.3 因不可抗力致使合同有变更必要的，双方当事人应在</w:t>
      </w:r>
      <w:r>
        <w:rPr>
          <w:rFonts w:hint="eastAsia" w:ascii="宋体" w:hAnsi="宋体" w:cs="宋体"/>
          <w:b/>
          <w:iCs/>
          <w:color w:val="auto"/>
          <w:sz w:val="24"/>
          <w:highlight w:val="none"/>
          <w:u w:val="single"/>
        </w:rPr>
        <w:t xml:space="preserve">合同专用条款2.12.3</w:t>
      </w:r>
      <w:r>
        <w:rPr>
          <w:rFonts w:hint="eastAsia" w:ascii="宋体" w:hAnsi="宋体" w:cs="宋体"/>
          <w:color w:val="auto"/>
          <w:sz w:val="24"/>
          <w:highlight w:val="none"/>
        </w:rPr>
        <w:t xml:space="preserve">约定时间内以书面形式变更合同；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2.12.4受不可抗力影响的一方在不可抗力发生后，应在</w:t>
      </w:r>
      <w:r>
        <w:rPr>
          <w:rFonts w:hint="eastAsia" w:ascii="宋体" w:hAnsi="宋体" w:cs="宋体"/>
          <w:b/>
          <w:iCs/>
          <w:color w:val="auto"/>
          <w:sz w:val="24"/>
          <w:highlight w:val="none"/>
          <w:u w:val="single"/>
        </w:rPr>
        <w:t xml:space="preserve">合同专用条款2.12.4</w:t>
      </w:r>
      <w:r>
        <w:rPr>
          <w:rFonts w:hint="eastAsia" w:ascii="宋体" w:hAnsi="宋体" w:cs="宋体"/>
          <w:color w:val="auto"/>
          <w:sz w:val="24"/>
          <w:highlight w:val="none"/>
        </w:rPr>
        <w:t xml:space="preserve">约定时间内以书面形式通知对方当事人，并在</w:t>
      </w:r>
      <w:r>
        <w:rPr>
          <w:rFonts w:hint="eastAsia" w:ascii="宋体" w:hAnsi="宋体" w:cs="宋体"/>
          <w:b/>
          <w:iCs/>
          <w:color w:val="auto"/>
          <w:sz w:val="24"/>
          <w:highlight w:val="none"/>
          <w:u w:val="single"/>
        </w:rPr>
        <w:t xml:space="preserve">合同专用条款2.12.4</w:t>
      </w:r>
      <w:r>
        <w:rPr>
          <w:rFonts w:hint="eastAsia" w:ascii="宋体" w:hAnsi="宋体" w:cs="宋体"/>
          <w:color w:val="auto"/>
          <w:sz w:val="24"/>
          <w:highlight w:val="none"/>
        </w:rPr>
        <w:t xml:space="preserve">约定时间内，将有关部门出具的证明文件送达对方当事人。</w:t>
      </w:r>
      <w:r/>
    </w:p>
    <w:p>
      <w:pPr>
        <w:ind w:firstLine="482"/>
        <w:spacing w:line="360" w:lineRule="auto"/>
        <w:rPr>
          <w:rFonts w:ascii="宋体" w:hAnsi="宋体" w:cs="宋体"/>
          <w:b/>
          <w:color w:val="auto"/>
          <w:sz w:val="24"/>
          <w:highlight w:val="none"/>
        </w:rPr>
        <w:outlineLvl w:val="0"/>
      </w:pPr>
      <w:r/>
      <w:bookmarkStart w:id="184" w:name="_Toc279701255"/>
      <w:r/>
      <w:bookmarkStart w:id="185" w:name="_Toc689"/>
      <w:r/>
      <w:bookmarkStart w:id="186" w:name="_Toc259093684"/>
      <w:r/>
      <w:bookmarkStart w:id="187" w:name="_Toc6969"/>
      <w:r/>
      <w:bookmarkStart w:id="188" w:name="_Toc487900365"/>
      <w:r/>
      <w:bookmarkStart w:id="189" w:name="_Toc30676"/>
      <w:r>
        <w:rPr>
          <w:rFonts w:hint="eastAsia" w:ascii="宋体" w:hAnsi="宋体" w:cs="宋体"/>
          <w:b/>
          <w:color w:val="auto"/>
          <w:sz w:val="24"/>
          <w:highlight w:val="none"/>
        </w:rPr>
        <w:t xml:space="preserve">2.13 税费</w:t>
      </w:r>
      <w:bookmarkEnd w:id="184"/>
      <w:r/>
      <w:bookmarkEnd w:id="185"/>
      <w:r/>
      <w:bookmarkEnd w:id="186"/>
      <w:r/>
      <w:bookmarkEnd w:id="187"/>
      <w:r/>
      <w:bookmarkEnd w:id="188"/>
      <w:r/>
      <w:bookmarkEnd w:id="189"/>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与合同有关的一切税费，均按照中华人民共和国法律的相关规定。</w:t>
      </w:r>
      <w:r/>
    </w:p>
    <w:p>
      <w:pPr>
        <w:ind w:firstLine="482"/>
        <w:spacing w:line="360" w:lineRule="auto"/>
        <w:rPr>
          <w:rFonts w:ascii="宋体" w:hAnsi="宋体" w:cs="宋体"/>
          <w:b/>
          <w:color w:val="auto"/>
          <w:sz w:val="24"/>
          <w:highlight w:val="none"/>
        </w:rPr>
        <w:outlineLvl w:val="0"/>
      </w:pPr>
      <w:r/>
      <w:bookmarkStart w:id="190" w:name="_Toc487900368"/>
      <w:r/>
      <w:bookmarkStart w:id="191" w:name="_Toc279701258"/>
      <w:r/>
      <w:bookmarkStart w:id="192" w:name="_Toc8298"/>
      <w:r/>
      <w:bookmarkStart w:id="193" w:name="_Toc16959"/>
      <w:r/>
      <w:bookmarkStart w:id="194" w:name="_Toc7102"/>
      <w:r/>
      <w:bookmarkStart w:id="195" w:name="_Toc259093687"/>
      <w:r>
        <w:rPr>
          <w:rFonts w:hint="eastAsia" w:ascii="宋体" w:hAnsi="宋体" w:cs="宋体"/>
          <w:b/>
          <w:color w:val="auto"/>
          <w:sz w:val="24"/>
          <w:highlight w:val="none"/>
        </w:rPr>
        <w:t xml:space="preserve">2.14乙方破产</w:t>
      </w:r>
      <w:bookmarkEnd w:id="190"/>
      <w:r/>
      <w:bookmarkEnd w:id="191"/>
      <w:r/>
      <w:bookmarkEnd w:id="192"/>
      <w:r/>
      <w:bookmarkEnd w:id="193"/>
      <w:r/>
      <w:bookmarkEnd w:id="194"/>
      <w:r/>
      <w:bookmarkEnd w:id="195"/>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ascii="宋体" w:hAnsi="宋体" w:cs="宋体"/>
          <w:b/>
          <w:color w:val="auto"/>
          <w:sz w:val="24"/>
          <w:highlight w:val="none"/>
        </w:rPr>
        <w:outlineLvl w:val="0"/>
      </w:pPr>
      <w:r/>
      <w:bookmarkStart w:id="196" w:name="_Toc6134"/>
      <w:r/>
      <w:bookmarkStart w:id="197" w:name="_Toc29333"/>
      <w:r/>
      <w:bookmarkStart w:id="198" w:name="_Toc15387"/>
      <w:r>
        <w:rPr>
          <w:rFonts w:hint="eastAsia" w:ascii="宋体" w:hAnsi="宋体" w:cs="宋体"/>
          <w:b/>
          <w:color w:val="auto"/>
          <w:sz w:val="24"/>
          <w:highlight w:val="none"/>
        </w:rPr>
        <w:t xml:space="preserve">2.15 合同中止、终止</w:t>
      </w:r>
      <w:bookmarkEnd w:id="196"/>
      <w:r/>
      <w:bookmarkEnd w:id="197"/>
      <w:r/>
      <w:bookmarkEnd w:id="198"/>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2.15.1 双方当事人不得擅自中止或者终止合同；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ascii="宋体" w:hAnsi="宋体" w:cs="宋体"/>
          <w:b/>
          <w:color w:val="auto"/>
          <w:sz w:val="24"/>
          <w:highlight w:val="none"/>
        </w:rPr>
        <w:outlineLvl w:val="0"/>
      </w:pPr>
      <w:r/>
      <w:bookmarkStart w:id="199" w:name="_Toc14563"/>
      <w:r/>
      <w:bookmarkStart w:id="200" w:name="_Toc6596"/>
      <w:r/>
      <w:bookmarkStart w:id="201" w:name="_Toc1125"/>
      <w:r>
        <w:rPr>
          <w:rFonts w:hint="eastAsia" w:ascii="宋体" w:hAnsi="宋体" w:cs="宋体"/>
          <w:b/>
          <w:color w:val="auto"/>
          <w:sz w:val="24"/>
          <w:highlight w:val="none"/>
        </w:rPr>
        <w:t xml:space="preserve">2.16检验和验收</w:t>
      </w:r>
      <w:bookmarkEnd w:id="199"/>
      <w:r/>
      <w:bookmarkEnd w:id="200"/>
      <w:r/>
      <w:bookmarkEnd w:id="201"/>
      <w:r/>
      <w:r/>
    </w:p>
    <w:p>
      <w:pPr>
        <w:ind w:firstLine="480"/>
        <w:spacing w:line="360" w:lineRule="auto"/>
        <w:tabs>
          <w:tab w:val="left" w:pos="360" w:leader="none"/>
          <w:tab w:val="left" w:pos="540" w:leader="none"/>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color w:val="auto"/>
          <w:sz w:val="24"/>
          <w:highlight w:val="none"/>
          <w:u w:val="single"/>
        </w:rPr>
        <w:t xml:space="preserve">合同专用条款2.16.1（</w:t>
      </w:r>
      <w:r>
        <w:rPr>
          <w:rFonts w:hint="eastAsia" w:ascii="宋体" w:hAnsi="宋体" w:cs="宋体"/>
          <w:b/>
          <w:i/>
          <w:color w:val="auto"/>
          <w:sz w:val="24"/>
          <w:highlight w:val="none"/>
          <w:u w:val="single"/>
        </w:rPr>
        <w:t xml:space="preserve">提醒：必须填写</w:t>
      </w:r>
      <w:r>
        <w:rPr>
          <w:rFonts w:hint="eastAsia" w:ascii="宋体" w:hAnsi="宋体" w:cs="宋体"/>
          <w:b/>
          <w:iCs/>
          <w:color w:val="auto"/>
          <w:sz w:val="24"/>
          <w:highlight w:val="none"/>
          <w:u w:val="single"/>
        </w:rPr>
        <w:t xml:space="preserve">）</w:t>
      </w:r>
      <w:r>
        <w:rPr>
          <w:rFonts w:hint="eastAsia" w:ascii="宋体" w:hAnsi="宋体" w:cs="宋体"/>
          <w:color w:val="auto"/>
          <w:sz w:val="24"/>
          <w:highlight w:val="none"/>
        </w:rPr>
        <w:t xml:space="preserve">约定时间内组织验收，甲</w:t>
      </w:r>
      <w:r>
        <w:rPr>
          <w:rFonts w:hint="eastAsia" w:ascii="宋体" w:hAnsi="宋体" w:cs="宋体"/>
          <w:color w:val="auto"/>
          <w:sz w:val="24"/>
          <w:highlight w:val="non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360" w:lineRule="auto"/>
        <w:tabs>
          <w:tab w:val="left" w:pos="360" w:leader="none"/>
          <w:tab w:val="left" w:pos="540" w:leader="none"/>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360" w:lineRule="auto"/>
        <w:tabs>
          <w:tab w:val="left" w:pos="360" w:leader="none"/>
          <w:tab w:val="left" w:pos="540" w:leader="none"/>
          <w:tab w:val="left" w:pos="1080" w:leader="none"/>
        </w:tabs>
        <w:rPr>
          <w:rFonts w:ascii="宋体" w:hAnsi="宋体" w:cs="宋体"/>
          <w:iCs/>
          <w:color w:val="auto"/>
          <w:sz w:val="24"/>
          <w:highlight w:val="none"/>
        </w:rPr>
      </w:pPr>
      <w:r>
        <w:rPr>
          <w:rFonts w:hint="eastAsia" w:ascii="宋体" w:hAnsi="宋体" w:cs="宋体"/>
          <w:color w:val="auto"/>
          <w:sz w:val="24"/>
          <w:highlight w:val="none"/>
        </w:rPr>
        <w:t xml:space="preserve">2.16.3 检验和验收标准、程序等具体内容以及前述验收书的效力详见</w:t>
      </w:r>
      <w:r>
        <w:rPr>
          <w:rFonts w:hint="eastAsia" w:ascii="宋体" w:hAnsi="宋体" w:cs="宋体"/>
          <w:b/>
          <w:iCs/>
          <w:color w:val="auto"/>
          <w:sz w:val="24"/>
          <w:highlight w:val="none"/>
          <w:u w:val="single"/>
        </w:rPr>
        <w:t xml:space="preserve">合同专用条款2.16.3</w:t>
      </w:r>
      <w:r>
        <w:rPr>
          <w:rFonts w:hint="eastAsia" w:ascii="宋体" w:hAnsi="宋体" w:cs="宋体"/>
          <w:iCs/>
          <w:color w:val="auto"/>
          <w:sz w:val="24"/>
          <w:highlight w:val="none"/>
        </w:rPr>
        <w:t xml:space="preserve">。</w:t>
      </w:r>
      <w:r>
        <w:rPr>
          <w:rFonts w:hint="eastAsia" w:ascii="宋体" w:hAnsi="宋体" w:cs="宋体"/>
          <w:i/>
          <w:color w:val="auto"/>
          <w:sz w:val="24"/>
          <w:highlight w:val="none"/>
        </w:rPr>
        <w:t xml:space="preserve">（提醒：必须填写）</w:t>
      </w:r>
      <w:bookmarkEnd w:id="171"/>
      <w:r/>
      <w:bookmarkEnd w:id="172"/>
      <w:r/>
      <w:bookmarkEnd w:id="173"/>
      <w:r/>
      <w:bookmarkEnd w:id="174"/>
      <w:r/>
      <w:r/>
    </w:p>
    <w:p>
      <w:pPr>
        <w:ind w:firstLine="482"/>
        <w:spacing w:line="360" w:lineRule="auto"/>
        <w:rPr>
          <w:rFonts w:ascii="宋体" w:hAnsi="宋体" w:cs="宋体"/>
          <w:b/>
          <w:color w:val="auto"/>
          <w:sz w:val="24"/>
          <w:highlight w:val="none"/>
        </w:rPr>
        <w:outlineLvl w:val="0"/>
      </w:pPr>
      <w:r/>
      <w:bookmarkStart w:id="202" w:name="_Toc259093690"/>
      <w:r/>
      <w:bookmarkStart w:id="203" w:name="_Toc279701261"/>
      <w:r/>
      <w:bookmarkStart w:id="204" w:name="_Toc487900371"/>
      <w:r/>
      <w:bookmarkStart w:id="205" w:name="_Toc11284"/>
      <w:r/>
      <w:bookmarkStart w:id="206" w:name="_Toc19604"/>
      <w:r/>
      <w:bookmarkStart w:id="207" w:name="_Toc25182"/>
      <w:r>
        <w:rPr>
          <w:rFonts w:hint="eastAsia" w:ascii="宋体" w:hAnsi="宋体" w:cs="宋体"/>
          <w:b/>
          <w:color w:val="auto"/>
          <w:sz w:val="24"/>
          <w:highlight w:val="none"/>
        </w:rPr>
        <w:t xml:space="preserve">2.17 通知</w:t>
      </w:r>
      <w:bookmarkEnd w:id="202"/>
      <w:r/>
      <w:bookmarkEnd w:id="203"/>
      <w:r/>
      <w:bookmarkEnd w:id="204"/>
      <w:r>
        <w:rPr>
          <w:rFonts w:hint="eastAsia" w:ascii="宋体" w:hAnsi="宋体" w:cs="宋体"/>
          <w:b/>
          <w:color w:val="auto"/>
          <w:sz w:val="24"/>
          <w:highlight w:val="none"/>
        </w:rPr>
        <w:t xml:space="preserve">和送达</w:t>
      </w:r>
      <w:bookmarkEnd w:id="205"/>
      <w:r/>
      <w:bookmarkEnd w:id="206"/>
      <w:r/>
      <w:bookmarkEnd w:id="207"/>
      <w:r/>
      <w:r/>
    </w:p>
    <w:p>
      <w:pPr>
        <w:ind w:firstLine="480"/>
        <w:spacing w:line="360" w:lineRule="auto"/>
        <w:rPr>
          <w:rFonts w:ascii="宋体" w:hAnsi="宋体" w:cs="宋体"/>
          <w:color w:val="auto"/>
          <w:sz w:val="24"/>
          <w:highlight w:val="none"/>
        </w:rPr>
      </w:pPr>
      <w:r/>
      <w:bookmarkStart w:id="208" w:name="_Toc6698"/>
      <w:r/>
      <w:bookmarkStart w:id="209" w:name="_Toc3135"/>
      <w:r/>
      <w:bookmarkStart w:id="210" w:name="_Toc487900372"/>
      <w:r/>
      <w:bookmarkStart w:id="211" w:name="_Toc259093691"/>
      <w:r/>
      <w:bookmarkStart w:id="212" w:name="_Toc279701262"/>
      <w:r>
        <w:rPr>
          <w:rFonts w:hint="eastAsia" w:ascii="宋体" w:hAnsi="宋体" w:cs="宋体"/>
          <w:color w:val="auto"/>
          <w:sz w:val="24"/>
          <w:highlight w:val="none"/>
        </w:rPr>
        <w:t xml:space="preserve">2.17.1任何一方因履行合同而以合同第一部分尾部所列明的地址或电子邮件发出的所有通知、文件、材料，均视为已向对方当事人送达；任何一方变更上述送达方式或者地址的，应于</w:t>
      </w:r>
      <w:r>
        <w:rPr>
          <w:rFonts w:hint="eastAsia" w:ascii="宋体" w:hAnsi="宋体" w:cs="宋体"/>
          <w:color w:val="auto"/>
          <w:sz w:val="24"/>
          <w:highlight w:val="none"/>
          <w:u w:val="single"/>
        </w:rPr>
        <w:t xml:space="preserve">3</w:t>
      </w:r>
      <w:r>
        <w:rPr>
          <w:rFonts w:hint="eastAsia" w:ascii="宋体" w:hAnsi="宋体" w:cs="宋体"/>
          <w:color w:val="auto"/>
          <w:sz w:val="24"/>
          <w:highlight w:val="none"/>
        </w:rPr>
        <w:t xml:space="preserve">个工作日内书面通知对方当事人，在对方当事人收到有关变更通知之前，变更前的约定送达方式或者地址仍视为有效。</w:t>
      </w:r>
      <w:bookmarkEnd w:id="208"/>
      <w:r/>
      <w:bookmarkEnd w:id="209"/>
      <w:r/>
      <w:r/>
    </w:p>
    <w:p>
      <w:pPr>
        <w:ind w:firstLine="480"/>
        <w:spacing w:line="360" w:lineRule="auto"/>
        <w:rPr>
          <w:rFonts w:ascii="宋体" w:hAnsi="宋体" w:cs="宋体"/>
          <w:color w:val="auto"/>
          <w:sz w:val="24"/>
          <w:highlight w:val="none"/>
        </w:rPr>
      </w:pPr>
      <w:r/>
      <w:bookmarkStart w:id="213" w:name="_Toc23128"/>
      <w:r/>
      <w:bookmarkStart w:id="214" w:name="_Toc23294"/>
      <w:r>
        <w:rPr>
          <w:rFonts w:hint="eastAsia" w:ascii="宋体" w:hAnsi="宋体" w:cs="宋体"/>
          <w:color w:val="auto"/>
          <w:sz w:val="24"/>
          <w:highlight w:val="none"/>
        </w:rPr>
        <w:t xml:space="preserve">2.17.2</w:t>
      </w:r>
      <w:bookmarkEnd w:id="213"/>
      <w:r/>
      <w:bookmarkEnd w:id="214"/>
      <w:r>
        <w:rPr>
          <w:rFonts w:hint="eastAsia" w:ascii="宋体" w:hAnsi="宋体" w:cs="宋体"/>
          <w:color w:val="auto"/>
          <w:sz w:val="24"/>
          <w:highlight w:val="none"/>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360" w:lineRule="auto"/>
        <w:rPr>
          <w:rFonts w:ascii="宋体" w:hAnsi="宋体" w:cs="宋体"/>
          <w:b/>
          <w:color w:val="auto"/>
          <w:sz w:val="24"/>
          <w:highlight w:val="none"/>
        </w:rPr>
        <w:outlineLvl w:val="0"/>
      </w:pPr>
      <w:r/>
      <w:bookmarkStart w:id="215" w:name="_Toc18540"/>
      <w:r/>
      <w:bookmarkStart w:id="216" w:name="_Toc4355"/>
      <w:r/>
      <w:bookmarkStart w:id="217" w:name="_Toc30599"/>
      <w:r>
        <w:rPr>
          <w:rFonts w:hint="eastAsia" w:ascii="宋体" w:hAnsi="宋体" w:cs="宋体"/>
          <w:b/>
          <w:color w:val="auto"/>
          <w:sz w:val="24"/>
          <w:highlight w:val="none"/>
        </w:rPr>
        <w:t xml:space="preserve">2.18 计量单位</w:t>
      </w:r>
      <w:bookmarkEnd w:id="210"/>
      <w:r/>
      <w:bookmarkEnd w:id="211"/>
      <w:r/>
      <w:bookmarkEnd w:id="212"/>
      <w:r/>
      <w:bookmarkEnd w:id="215"/>
      <w:r/>
      <w:bookmarkEnd w:id="216"/>
      <w:r/>
      <w:bookmarkEnd w:id="217"/>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除技术规范中另有规定外,合同的计量单位均使用国家法定计量单位。</w:t>
      </w:r>
      <w:r/>
    </w:p>
    <w:p>
      <w:pPr>
        <w:ind w:firstLine="482"/>
        <w:spacing w:line="360" w:lineRule="auto"/>
        <w:rPr>
          <w:rFonts w:ascii="宋体" w:hAnsi="宋体" w:cs="宋体"/>
          <w:b/>
          <w:color w:val="auto"/>
          <w:sz w:val="24"/>
          <w:highlight w:val="none"/>
        </w:rPr>
        <w:outlineLvl w:val="0"/>
      </w:pPr>
      <w:r/>
      <w:bookmarkStart w:id="218" w:name="_Toc12773"/>
      <w:r/>
      <w:bookmarkStart w:id="219" w:name="_Toc279701263"/>
      <w:r/>
      <w:bookmarkStart w:id="220" w:name="_Toc10330"/>
      <w:r/>
      <w:bookmarkStart w:id="221" w:name="_Toc259093692"/>
      <w:r/>
      <w:bookmarkStart w:id="222" w:name="_Toc18567"/>
      <w:r/>
      <w:bookmarkStart w:id="223" w:name="_Toc487900373"/>
      <w:r>
        <w:rPr>
          <w:rFonts w:hint="eastAsia" w:ascii="宋体" w:hAnsi="宋体" w:cs="宋体"/>
          <w:b/>
          <w:color w:val="auto"/>
          <w:sz w:val="24"/>
          <w:highlight w:val="none"/>
        </w:rPr>
        <w:t xml:space="preserve">2.19 合同使用的文字和适用的法律</w:t>
      </w:r>
      <w:bookmarkEnd w:id="218"/>
      <w:r/>
      <w:bookmarkEnd w:id="219"/>
      <w:r/>
      <w:bookmarkEnd w:id="220"/>
      <w:r/>
      <w:bookmarkEnd w:id="221"/>
      <w:r/>
      <w:bookmarkEnd w:id="222"/>
      <w:r/>
      <w:bookmarkEnd w:id="223"/>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2.19.1 合同使用汉语书就、变更和解释；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2.19.2 合同适用中华人民共和国法律。</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2.20政府采购信用融资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乙方在签订政府采购合同时如遇到资金困难，甲方应当按照</w:t>
      </w:r>
      <w:r>
        <w:rPr>
          <w:rFonts w:hint="eastAsia" w:ascii="宋体" w:hAnsi="宋体" w:cs="楷体"/>
          <w:color w:val="auto"/>
          <w:sz w:val="24"/>
          <w:highlight w:val="none"/>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360" w:lineRule="auto"/>
        <w:rPr>
          <w:rFonts w:ascii="宋体" w:hAnsi="宋体" w:cs="宋体"/>
          <w:b/>
          <w:color w:val="auto"/>
          <w:sz w:val="24"/>
          <w:highlight w:val="none"/>
        </w:rPr>
        <w:outlineLvl w:val="0"/>
      </w:pPr>
      <w:r/>
      <w:bookmarkStart w:id="224" w:name="_Toc14001"/>
      <w:r/>
      <w:bookmarkStart w:id="225" w:name="_Toc19890"/>
      <w:r/>
      <w:bookmarkStart w:id="226" w:name="_Toc6885"/>
      <w:r>
        <w:rPr>
          <w:rFonts w:hint="eastAsia" w:ascii="宋体" w:hAnsi="宋体" w:cs="宋体"/>
          <w:b/>
          <w:color w:val="auto"/>
          <w:sz w:val="24"/>
          <w:highlight w:val="none"/>
        </w:rPr>
        <w:t xml:space="preserve">2.21 合同份数</w:t>
      </w:r>
      <w:bookmarkEnd w:id="224"/>
      <w:r/>
      <w:bookmarkEnd w:id="225"/>
      <w:r/>
      <w:bookmarkEnd w:id="226"/>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合同份数按</w:t>
      </w:r>
      <w:r>
        <w:rPr>
          <w:rFonts w:hint="eastAsia" w:ascii="宋体" w:hAnsi="宋体" w:cs="宋体"/>
          <w:b/>
          <w:iCs/>
          <w:color w:val="auto"/>
          <w:sz w:val="24"/>
          <w:highlight w:val="none"/>
          <w:u w:val="single"/>
        </w:rPr>
        <w:t xml:space="preserve">合同专用条款2.21</w:t>
      </w:r>
      <w:r>
        <w:rPr>
          <w:rFonts w:hint="eastAsia" w:ascii="宋体" w:hAnsi="宋体" w:cs="宋体"/>
          <w:color w:val="auto"/>
          <w:sz w:val="24"/>
          <w:highlight w:val="none"/>
        </w:rPr>
        <w:t xml:space="preserve">规定，每份均具有同等法律效力。</w:t>
      </w:r>
      <w:r/>
    </w:p>
    <w:p>
      <w:pPr>
        <w:ind w:firstLine="2514"/>
        <w:spacing w:line="360" w:lineRule="auto"/>
        <w:rPr>
          <w:rFonts w:hint="eastAsia" w:ascii="宋体" w:hAnsi="宋体" w:cs="宋体"/>
          <w:color w:val="auto"/>
          <w:highlight w:val="none"/>
        </w:rPr>
        <w:outlineLvl w:val="0"/>
      </w:pPr>
      <w:r>
        <w:rPr>
          <w:rFonts w:hint="eastAsia" w:ascii="宋体" w:hAnsi="宋体" w:cs="宋体"/>
          <w:color w:val="auto"/>
          <w:highlight w:val="none"/>
        </w:rPr>
        <w:br w:type="page" w:clear="all"/>
      </w:r>
      <w:r/>
    </w:p>
    <w:p>
      <w:pPr>
        <w:ind w:firstLine="2514"/>
        <w:spacing w:line="360" w:lineRule="auto"/>
        <w:rPr>
          <w:rFonts w:ascii="宋体" w:hAnsi="宋体" w:cs="宋体"/>
          <w:b/>
          <w:color w:val="auto"/>
          <w:sz w:val="28"/>
          <w:szCs w:val="28"/>
          <w:highlight w:val="none"/>
        </w:rPr>
        <w:outlineLvl w:val="0"/>
      </w:pPr>
      <w:r>
        <w:rPr>
          <w:rFonts w:hint="eastAsia" w:ascii="宋体" w:hAnsi="宋体" w:cs="宋体"/>
          <w:b/>
          <w:color w:val="auto"/>
          <w:sz w:val="28"/>
          <w:szCs w:val="28"/>
          <w:highlight w:val="none"/>
        </w:rPr>
        <w:t xml:space="preserve">第三部分 合同专用条款</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本部分是对前两</w:t>
      </w:r>
      <w:bookmarkStart w:id="227" w:name="_Hlk136502841"/>
      <w:r>
        <w:rPr>
          <w:rFonts w:hint="eastAsia" w:ascii="宋体" w:hAnsi="宋体" w:cs="楷体"/>
          <w:color w:val="auto"/>
          <w:sz w:val="24"/>
          <w:highlight w:val="none"/>
        </w:rPr>
        <w:t xml:space="preserve">部分</w:t>
      </w:r>
      <w:bookmarkEnd w:id="227"/>
      <w:r>
        <w:rPr>
          <w:rFonts w:hint="eastAsia" w:ascii="宋体" w:hAnsi="宋体" w:cs="楷体"/>
          <w:color w:val="auto"/>
          <w:sz w:val="24"/>
          <w:highlight w:val="none"/>
        </w:rPr>
        <w:t xml:space="preserve">的补充和修改，如果前两部分和本部分的约定不一致，应以本部分的约定为准。本部分的条款号应与前两部分的条款号保持对应；与前两部分无对应关系的内容可另行编制条款号。</w:t>
      </w:r>
      <w:r/>
    </w:p>
    <w:tbl>
      <w:tblPr>
        <w:tblStyle w:val="839"/>
        <w:tblW w:w="5000" w:type="pct"/>
        <w:tblInd w:w="-2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1377"/>
        <w:gridCol w:w="8046"/>
      </w:tblGrid>
      <w:tr>
        <w:trPr>
          <w:trHeight w:val="391"/>
        </w:trPr>
        <w:tc>
          <w:tcPr>
            <w:tcW w:w="465" w:type="dxa"/>
            <w:vAlign w:val="center"/>
            <w:textDirection w:val="lrTb"/>
            <w:noWrap w:val="false"/>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条款号</w:t>
            </w:r>
            <w:r/>
          </w:p>
        </w:tc>
        <w:tc>
          <w:tcPr>
            <w:tcW w:w="4534" w:type="dxa"/>
            <w:vAlign w:val="center"/>
            <w:textDirection w:val="lrTb"/>
            <w:noWrap w:val="false"/>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约定内容</w:t>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1.4.2</w:t>
            </w:r>
            <w:r/>
          </w:p>
        </w:tc>
        <w:tc>
          <w:tcPr>
            <w:tcW w:w="4534" w:type="dxa"/>
            <w:vAlign w:val="center"/>
            <w:textDirection w:val="lrTb"/>
            <w:noWrap w:val="false"/>
          </w:tcPr>
          <w:p>
            <w:pPr>
              <w:spacing w:line="360" w:lineRule="auto"/>
              <w:rPr>
                <w:rFonts w:ascii="宋体" w:hAnsi="宋体" w:cs="宋体"/>
                <w:i/>
                <w:iCs/>
                <w:color w:val="auto"/>
                <w:sz w:val="24"/>
                <w:highlight w:val="none"/>
              </w:rPr>
            </w:pPr>
            <w:r>
              <w:rPr>
                <w:rFonts w:ascii="宋体" w:hAnsi="宋体" w:cs="宋体"/>
                <w:i/>
                <w:iCs/>
                <w:color w:val="auto"/>
                <w:sz w:val="24"/>
                <w:highlight w:val="none"/>
              </w:rPr>
            </w:r>
            <w:r/>
          </w:p>
        </w:tc>
      </w:tr>
      <w:tr>
        <w:trPr>
          <w:trHeight w:val="446"/>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1.5.2</w:t>
            </w:r>
            <w:r/>
          </w:p>
        </w:tc>
        <w:tc>
          <w:tcPr>
            <w:tcW w:w="4534" w:type="dxa"/>
            <w:vAlign w:val="top"/>
            <w:textDirection w:val="lrTb"/>
            <w:noWrap w:val="false"/>
          </w:tcPr>
          <w:p>
            <w:pPr>
              <w:jc w:val="both"/>
              <w:spacing w:line="360" w:lineRule="auto"/>
              <w:rPr>
                <w:rFonts w:ascii="宋体" w:hAnsi="宋体" w:cs="宋体"/>
                <w:i w:val="0"/>
                <w:iCs w:val="0"/>
                <w:color w:val="auto"/>
                <w:sz w:val="24"/>
                <w:highlight w:val="none"/>
              </w:rPr>
            </w:pPr>
            <w:r>
              <w:rPr>
                <w:rFonts w:hint="eastAsia" w:ascii="宋体" w:hAnsi="宋体" w:eastAsia="宋体" w:cs="宋体"/>
                <w:i w:val="0"/>
                <w:iCs w:val="0"/>
                <w:color w:val="auto"/>
                <w:sz w:val="24"/>
                <w:highlight w:val="none"/>
              </w:rPr>
              <w:t xml:space="preserve">本项目不收取履约保证金，本项目中标供应商应提交政府采购合同金额/%的约保证金，履约保证金应以支票、汇票、本票、保函、保险保单等非现金形式缴纳或提交。支持和鼓励中标供应商自愿使用履约(保函)保险代替缴纳约保证金。省财政厅己上线政府采购电子履约保函(保险)平台，平台可通过域名www.jsdzbh.com直接访问，也可通过江苏省政府采购网、“苏采云”系统链接访问。</w:t>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1.6.1 </w:t>
            </w:r>
            <w:r/>
          </w:p>
        </w:tc>
        <w:tc>
          <w:tcPr>
            <w:tcW w:w="4534" w:type="dxa"/>
            <w:vAlign w:val="center"/>
            <w:textDirection w:val="lrTb"/>
            <w:noWrap w:val="false"/>
          </w:tcPr>
          <w:p>
            <w:pPr>
              <w:jc w:val="both"/>
              <w:spacing w:line="360" w:lineRule="auto"/>
              <w:rPr>
                <w:rFonts w:ascii="宋体" w:hAnsi="宋体" w:cs="宋体"/>
                <w:i w:val="0"/>
                <w:iCs w:val="0"/>
                <w:color w:val="auto"/>
                <w:sz w:val="24"/>
                <w:highlight w:val="none"/>
              </w:rPr>
            </w:pPr>
            <w:r>
              <w:rPr>
                <w:rFonts w:ascii="宋体" w:hAnsi="宋体" w:cs="宋体"/>
                <w:i w:val="0"/>
                <w:iCs w:val="0"/>
                <w:color w:val="auto"/>
                <w:sz w:val="24"/>
                <w:highlight w:val="none"/>
              </w:rPr>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1.7.2</w:t>
            </w:r>
            <w:r/>
          </w:p>
        </w:tc>
        <w:tc>
          <w:tcPr>
            <w:tcW w:w="4534" w:type="dxa"/>
            <w:vAlign w:val="center"/>
            <w:textDirection w:val="lrTb"/>
            <w:noWrap w:val="false"/>
          </w:tcPr>
          <w:p>
            <w:pPr>
              <w:spacing w:line="360" w:lineRule="auto"/>
              <w:rPr>
                <w:rFonts w:hint="eastAsia" w:ascii="宋体" w:hAnsi="宋体" w:eastAsia="宋体" w:cs="宋体"/>
                <w:bCs/>
                <w:i w:val="0"/>
                <w:iCs w:val="0"/>
                <w:color w:val="auto"/>
                <w:sz w:val="24"/>
                <w:highlight w:val="none"/>
                <w:lang w:eastAsia="en-US"/>
              </w:rPr>
            </w:pPr>
            <w:r>
              <w:rPr>
                <w:rFonts w:hint="eastAsia" w:ascii="宋体" w:hAnsi="宋体" w:eastAsia="宋体" w:cs="宋体"/>
                <w:bCs/>
                <w:i w:val="0"/>
                <w:iCs w:val="0"/>
                <w:color w:val="auto"/>
                <w:sz w:val="24"/>
                <w:highlight w:val="none"/>
                <w:lang w:eastAsia="en-US"/>
              </w:rPr>
              <w:t xml:space="preserve">本合同以人民币付款。</w:t>
            </w:r>
            <w:r/>
          </w:p>
          <w:p>
            <w:pPr>
              <w:spacing w:line="360" w:lineRule="auto"/>
              <w:rPr>
                <w:color w:val="auto"/>
                <w:highlight w:val="none"/>
              </w:rPr>
            </w:pPr>
            <w:r>
              <w:rPr>
                <w:rFonts w:hint="eastAsia" w:ascii="宋体" w:hAnsi="宋体" w:eastAsia="宋体" w:cs="宋体"/>
                <w:bCs/>
                <w:i w:val="0"/>
                <w:iCs w:val="0"/>
                <w:color w:val="auto"/>
                <w:sz w:val="24"/>
                <w:highlight w:val="none"/>
                <w:lang w:val="en-US" w:eastAsia="zh-CN"/>
              </w:rPr>
              <w:t xml:space="preserve">在收到供应商正式发票后15 日内，支付合同价款30%的预付款</w:t>
            </w:r>
            <w:r>
              <w:rPr>
                <w:rFonts w:hint="eastAsia" w:ascii="宋体" w:hAnsi="宋体" w:cs="宋体"/>
                <w:bCs/>
                <w:i w:val="0"/>
                <w:iCs w:val="0"/>
                <w:color w:val="auto"/>
                <w:sz w:val="24"/>
                <w:highlight w:val="none"/>
                <w:lang w:val="en-US" w:eastAsia="zh-CN"/>
              </w:rPr>
              <w:t xml:space="preserve">；全部货物及</w:t>
            </w:r>
            <w:r>
              <w:rPr>
                <w:rFonts w:hint="eastAsia" w:ascii="宋体" w:hAnsi="宋体" w:eastAsia="宋体" w:cs="宋体"/>
                <w:bCs/>
                <w:i w:val="0"/>
                <w:iCs w:val="0"/>
                <w:color w:val="auto"/>
                <w:sz w:val="24"/>
                <w:highlight w:val="none"/>
                <w:lang w:val="en-US" w:eastAsia="zh-CN"/>
              </w:rPr>
              <w:t xml:space="preserve">设备</w:t>
            </w:r>
            <w:r>
              <w:rPr>
                <w:rFonts w:hint="eastAsia" w:ascii="宋体" w:hAnsi="宋体" w:cs="宋体"/>
                <w:bCs/>
                <w:i w:val="0"/>
                <w:iCs w:val="0"/>
                <w:color w:val="auto"/>
                <w:sz w:val="24"/>
                <w:highlight w:val="none"/>
                <w:lang w:val="en-US" w:eastAsia="zh-CN"/>
              </w:rPr>
              <w:t xml:space="preserve">安装完成、调试完毕并经验收合格</w:t>
            </w:r>
            <w:r>
              <w:rPr>
                <w:rFonts w:hint="eastAsia" w:ascii="宋体" w:hAnsi="宋体" w:eastAsia="宋体" w:cs="宋体"/>
                <w:bCs/>
                <w:i w:val="0"/>
                <w:iCs w:val="0"/>
                <w:color w:val="auto"/>
                <w:sz w:val="24"/>
                <w:highlight w:val="none"/>
                <w:lang w:val="en-US" w:eastAsia="zh-CN"/>
              </w:rPr>
              <w:t xml:space="preserve">后，支付合同价款的20%</w:t>
            </w:r>
            <w:r>
              <w:rPr>
                <w:rFonts w:hint="eastAsia" w:ascii="宋体" w:hAnsi="宋体" w:cs="宋体"/>
                <w:bCs/>
                <w:i w:val="0"/>
                <w:iCs w:val="0"/>
                <w:color w:val="auto"/>
                <w:sz w:val="24"/>
                <w:highlight w:val="none"/>
                <w:lang w:val="en-US" w:eastAsia="zh-CN"/>
              </w:rPr>
              <w:t xml:space="preserve">；</w:t>
            </w:r>
            <w:r>
              <w:rPr>
                <w:rFonts w:hint="eastAsia" w:ascii="宋体" w:hAnsi="宋体" w:eastAsia="宋体" w:cs="宋体"/>
                <w:bCs/>
                <w:i w:val="0"/>
                <w:iCs w:val="0"/>
                <w:color w:val="auto"/>
                <w:sz w:val="24"/>
                <w:highlight w:val="none"/>
                <w:lang w:val="en-US" w:eastAsia="zh-CN"/>
              </w:rPr>
              <w:t xml:space="preserve">第二年付合同价款的30%</w:t>
            </w:r>
            <w:r>
              <w:rPr>
                <w:rFonts w:hint="eastAsia" w:ascii="宋体" w:hAnsi="宋体" w:cs="宋体"/>
                <w:bCs/>
                <w:i w:val="0"/>
                <w:iCs w:val="0"/>
                <w:color w:val="auto"/>
                <w:sz w:val="24"/>
                <w:highlight w:val="none"/>
                <w:lang w:val="en-US" w:eastAsia="zh-CN"/>
              </w:rPr>
              <w:t xml:space="preserve">；</w:t>
            </w:r>
            <w:r>
              <w:rPr>
                <w:rFonts w:hint="eastAsia" w:ascii="宋体" w:hAnsi="宋体" w:eastAsia="宋体" w:cs="宋体"/>
                <w:bCs/>
                <w:i w:val="0"/>
                <w:iCs w:val="0"/>
                <w:color w:val="auto"/>
                <w:sz w:val="24"/>
                <w:highlight w:val="none"/>
                <w:lang w:val="en-US" w:eastAsia="zh-CN"/>
              </w:rPr>
              <w:t xml:space="preserve">第三年付清余款。</w:t>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1.8.1</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hint="eastAsia" w:ascii="宋体" w:hAnsi="宋体" w:cs="宋体"/>
                <w:i w:val="0"/>
                <w:iCs w:val="0"/>
                <w:color w:val="auto"/>
                <w:sz w:val="24"/>
                <w:highlight w:val="none"/>
              </w:rPr>
              <w:t xml:space="preserve">合同签定后</w:t>
            </w:r>
            <w:r>
              <w:rPr>
                <w:rFonts w:hint="eastAsia" w:ascii="宋体" w:hAnsi="宋体" w:cs="宋体"/>
                <w:i w:val="0"/>
                <w:iCs w:val="0"/>
                <w:color w:val="auto"/>
                <w:sz w:val="24"/>
                <w:highlight w:val="none"/>
                <w:lang w:val="en-US" w:eastAsia="zh-CN"/>
              </w:rPr>
              <w:t xml:space="preserve">45天</w:t>
            </w:r>
            <w:r>
              <w:rPr>
                <w:rFonts w:hint="eastAsia" w:ascii="宋体" w:hAnsi="宋体" w:cs="宋体"/>
                <w:i w:val="0"/>
                <w:iCs w:val="0"/>
                <w:color w:val="auto"/>
                <w:sz w:val="24"/>
                <w:highlight w:val="none"/>
              </w:rPr>
              <w:t xml:space="preserve">内完成供货及安装。</w:t>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1.8.2</w:t>
            </w:r>
            <w:r/>
          </w:p>
        </w:tc>
        <w:tc>
          <w:tcPr>
            <w:tcW w:w="4534" w:type="dxa"/>
            <w:vAlign w:val="center"/>
            <w:textDirection w:val="lrTb"/>
            <w:noWrap w:val="false"/>
          </w:tcPr>
          <w:p>
            <w:pPr>
              <w:spacing w:line="360" w:lineRule="auto"/>
              <w:rPr>
                <w:rFonts w:hint="eastAsia" w:ascii="宋体" w:hAnsi="宋体" w:eastAsia="宋体" w:cs="宋体"/>
                <w:i w:val="0"/>
                <w:iCs w:val="0"/>
                <w:color w:val="auto"/>
                <w:sz w:val="24"/>
                <w:highlight w:val="none"/>
                <w:lang w:eastAsia="zh-CN"/>
              </w:rPr>
            </w:pPr>
            <w:r>
              <w:rPr>
                <w:rFonts w:hint="eastAsia" w:ascii="宋体" w:hAnsi="宋体" w:cs="宋体"/>
                <w:i w:val="0"/>
                <w:iCs w:val="0"/>
                <w:color w:val="auto"/>
                <w:sz w:val="24"/>
                <w:highlight w:val="none"/>
                <w:lang w:eastAsia="zh-CN"/>
              </w:rPr>
              <w:t xml:space="preserve">宝华新城实验幼儿园</w:t>
            </w:r>
            <w:r>
              <w:rPr>
                <w:rFonts w:hint="eastAsia" w:ascii="宋体" w:hAnsi="宋体" w:cs="宋体"/>
                <w:i w:val="0"/>
                <w:iCs w:val="0"/>
                <w:color w:val="auto"/>
                <w:sz w:val="24"/>
                <w:highlight w:val="none"/>
              </w:rPr>
              <w:t xml:space="preserve">。中标方必须按采购人要求将本项目中货物送到指定地点，并分地实施安装调试</w:t>
            </w:r>
            <w:r>
              <w:rPr>
                <w:rFonts w:hint="eastAsia" w:ascii="宋体" w:hAnsi="宋体" w:cs="宋体"/>
                <w:i w:val="0"/>
                <w:iCs w:val="0"/>
                <w:color w:val="auto"/>
                <w:sz w:val="24"/>
                <w:highlight w:val="none"/>
                <w:lang w:eastAsia="zh-CN"/>
              </w:rPr>
              <w:t xml:space="preserve">。</w:t>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1.8.3</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hint="eastAsia" w:ascii="宋体" w:hAnsi="宋体" w:cs="宋体"/>
                <w:i w:val="0"/>
                <w:iCs w:val="0"/>
                <w:color w:val="auto"/>
                <w:sz w:val="24"/>
                <w:highlight w:val="none"/>
              </w:rPr>
              <w:t xml:space="preserve">现场安装交付。</w:t>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1.9.6</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ascii="宋体" w:hAnsi="宋体" w:cs="宋体"/>
                <w:i w:val="0"/>
                <w:iCs w:val="0"/>
                <w:color w:val="auto"/>
                <w:sz w:val="24"/>
                <w:highlight w:val="none"/>
              </w:rPr>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2.3.2</w:t>
            </w:r>
            <w:r/>
          </w:p>
        </w:tc>
        <w:tc>
          <w:tcPr>
            <w:tcW w:w="4534" w:type="dxa"/>
            <w:vAlign w:val="center"/>
            <w:textDirection w:val="lrTb"/>
            <w:noWrap w:val="false"/>
          </w:tcPr>
          <w:p>
            <w:pPr>
              <w:ind w:left="-420" w:right="-420" w:firstLine="480"/>
              <w:spacing w:line="360" w:lineRule="auto"/>
              <w:rPr>
                <w:rFonts w:hint="eastAsia" w:ascii="宋体" w:hAnsi="宋体" w:eastAsia="宋体" w:cs="宋体"/>
                <w:i w:val="0"/>
                <w:iCs w:val="0"/>
                <w:color w:val="auto"/>
                <w:sz w:val="24"/>
                <w:highlight w:val="none"/>
                <w:lang w:eastAsia="zh-CN"/>
              </w:rPr>
            </w:pPr>
            <w:r>
              <w:rPr>
                <w:rFonts w:hint="eastAsia" w:ascii="宋体" w:hAnsi="宋体" w:cs="宋体"/>
                <w:i w:val="0"/>
                <w:iCs w:val="0"/>
                <w:color w:val="auto"/>
                <w:sz w:val="24"/>
                <w:highlight w:val="none"/>
                <w:lang w:val="en-US" w:eastAsia="zh-CN"/>
              </w:rPr>
              <w:t xml:space="preserve">归</w:t>
            </w:r>
            <w:r>
              <w:rPr>
                <w:rFonts w:hint="eastAsia" w:ascii="宋体" w:hAnsi="宋体" w:eastAsia="宋体" w:cs="宋体"/>
                <w:i w:val="0"/>
                <w:iCs w:val="0"/>
                <w:color w:val="auto"/>
                <w:sz w:val="24"/>
                <w:highlight w:val="none"/>
              </w:rPr>
              <w:t xml:space="preserve">采购人所有</w:t>
            </w:r>
            <w:r>
              <w:rPr>
                <w:rFonts w:hint="eastAsia" w:ascii="宋体" w:hAnsi="宋体" w:cs="宋体"/>
                <w:i w:val="0"/>
                <w:iCs w:val="0"/>
                <w:color w:val="auto"/>
                <w:sz w:val="24"/>
                <w:highlight w:val="none"/>
                <w:lang w:eastAsia="zh-CN"/>
              </w:rPr>
              <w:t xml:space="preserve">。</w:t>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2.4.1</w:t>
            </w:r>
            <w:r/>
          </w:p>
        </w:tc>
        <w:tc>
          <w:tcPr>
            <w:tcW w:w="4534" w:type="dxa"/>
            <w:vAlign w:val="center"/>
            <w:textDirection w:val="lrTb"/>
            <w:noWrap w:val="false"/>
          </w:tcPr>
          <w:p>
            <w:pPr>
              <w:ind w:left="-420" w:right="-420" w:firstLine="480"/>
              <w:spacing w:line="360" w:lineRule="auto"/>
              <w:rPr>
                <w:rFonts w:ascii="宋体" w:hAnsi="宋体" w:cs="宋体"/>
                <w:i w:val="0"/>
                <w:iCs w:val="0"/>
                <w:color w:val="auto"/>
                <w:sz w:val="24"/>
                <w:highlight w:val="none"/>
              </w:rPr>
            </w:pPr>
            <w:r>
              <w:rPr>
                <w:rFonts w:ascii="宋体" w:hAnsi="宋体" w:cs="宋体"/>
                <w:i w:val="0"/>
                <w:iCs w:val="0"/>
                <w:color w:val="auto"/>
                <w:sz w:val="24"/>
                <w:highlight w:val="none"/>
              </w:rPr>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2.4.3</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ascii="宋体" w:hAnsi="宋体" w:cs="宋体"/>
                <w:i w:val="0"/>
                <w:iCs w:val="0"/>
                <w:color w:val="auto"/>
                <w:sz w:val="24"/>
                <w:highlight w:val="none"/>
              </w:rPr>
            </w:r>
            <w:r/>
          </w:p>
        </w:tc>
      </w:tr>
      <w:tr>
        <w:trPr>
          <w:trHeight w:val="88"/>
        </w:trPr>
        <w:tc>
          <w:tcPr>
            <w:tcW w:w="465" w:type="dxa"/>
            <w:vAlign w:val="top"/>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2.8 </w:t>
            </w:r>
            <w:r/>
          </w:p>
        </w:tc>
        <w:tc>
          <w:tcPr>
            <w:tcW w:w="4534" w:type="dxa"/>
            <w:vAlign w:val="top"/>
            <w:textDirection w:val="lrTb"/>
            <w:noWrap w:val="false"/>
          </w:tcPr>
          <w:p>
            <w:pPr>
              <w:spacing w:line="360" w:lineRule="auto"/>
              <w:rPr>
                <w:rFonts w:ascii="宋体" w:hAnsi="宋体" w:cs="宋体"/>
                <w:i w:val="0"/>
                <w:iCs w:val="0"/>
                <w:color w:val="auto"/>
                <w:sz w:val="24"/>
                <w:highlight w:val="none"/>
              </w:rPr>
            </w:pPr>
            <w:r>
              <w:rPr>
                <w:rFonts w:ascii="宋体" w:hAnsi="宋体" w:cs="宋体"/>
                <w:i w:val="0"/>
                <w:iCs w:val="0"/>
                <w:color w:val="auto"/>
                <w:sz w:val="24"/>
                <w:highlight w:val="none"/>
              </w:rPr>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2.12.3</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ascii="宋体" w:hAnsi="宋体" w:cs="宋体"/>
                <w:i w:val="0"/>
                <w:iCs w:val="0"/>
                <w:color w:val="auto"/>
                <w:sz w:val="24"/>
                <w:highlight w:val="none"/>
              </w:rPr>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2.12.4</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ascii="宋体" w:hAnsi="宋体" w:cs="宋体"/>
                <w:i w:val="0"/>
                <w:iCs w:val="0"/>
                <w:color w:val="auto"/>
                <w:sz w:val="24"/>
                <w:highlight w:val="none"/>
              </w:rPr>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2.16.1</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hint="eastAsia" w:ascii="宋体" w:hAnsi="宋体" w:cs="宋体"/>
                <w:b/>
                <w:bCs/>
                <w:i w:val="0"/>
                <w:iCs w:val="0"/>
                <w:color w:val="auto"/>
                <w:sz w:val="24"/>
                <w:highlight w:val="none"/>
                <w:u w:val="single"/>
                <w:lang w:eastAsia="zh-CN"/>
              </w:rPr>
              <w:t xml:space="preserve">提醒：必须填写。</w:t>
            </w:r>
            <w:r/>
          </w:p>
        </w:tc>
      </w:tr>
      <w:tr>
        <w:trPr>
          <w:trHeight w:val="352"/>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2.16.3</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hint="eastAsia" w:ascii="宋体" w:hAnsi="宋体" w:cs="宋体"/>
                <w:b/>
                <w:bCs/>
                <w:i w:val="0"/>
                <w:iCs w:val="0"/>
                <w:color w:val="auto"/>
                <w:sz w:val="24"/>
                <w:highlight w:val="none"/>
                <w:u w:val="single"/>
                <w:lang w:eastAsia="zh-CN"/>
              </w:rPr>
              <w:t xml:space="preserve">提醒：必须填写。</w:t>
            </w:r>
            <w:r>
              <w:rPr>
                <w:rFonts w:hint="eastAsia" w:ascii="宋体" w:hAnsi="宋体" w:cs="宋体"/>
                <w:i w:val="0"/>
                <w:iCs w:val="0"/>
                <w:color w:val="auto"/>
                <w:sz w:val="24"/>
                <w:highlight w:val="none"/>
                <w:lang w:eastAsia="zh-CN"/>
              </w:rPr>
              <w:t xml:space="preserve">严格按照采购合同开展履约验收。</w:t>
            </w:r>
            <w:bookmarkStart w:id="228" w:name="OLE_LINK1"/>
            <w:r>
              <w:rPr>
                <w:rFonts w:hint="eastAsia" w:ascii="宋体" w:hAnsi="宋体" w:cs="宋体"/>
                <w:i w:val="0"/>
                <w:iCs w:val="0"/>
                <w:color w:val="auto"/>
                <w:sz w:val="24"/>
                <w:highlight w:val="none"/>
                <w:lang w:eastAsia="zh-CN"/>
              </w:rPr>
              <w:t xml:space="preserve">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bookmarkEnd w:id="228"/>
            <w:r/>
            <w:r/>
          </w:p>
        </w:tc>
      </w:tr>
      <w:tr>
        <w:trPr>
          <w:trHeight w:val="65"/>
        </w:trPr>
        <w:tc>
          <w:tcPr>
            <w:tcW w:w="465" w:type="dxa"/>
            <w:vAlign w:val="center"/>
            <w:textDirection w:val="lrTb"/>
            <w:noWrap w:val="false"/>
          </w:tcPr>
          <w:p>
            <w:pPr>
              <w:ind w:left="-420" w:right="-420" w:firstLine="480"/>
              <w:spacing w:line="360" w:lineRule="auto"/>
              <w:rPr>
                <w:rFonts w:ascii="宋体" w:hAnsi="宋体" w:cs="宋体"/>
                <w:color w:val="auto"/>
                <w:sz w:val="24"/>
                <w:highlight w:val="none"/>
              </w:rPr>
              <w:outlineLvl w:val="0"/>
            </w:pPr>
            <w:r>
              <w:rPr>
                <w:rFonts w:hint="eastAsia" w:ascii="宋体" w:hAnsi="宋体" w:cs="宋体"/>
                <w:color w:val="auto"/>
                <w:sz w:val="24"/>
                <w:highlight w:val="none"/>
              </w:rPr>
              <w:t xml:space="preserve">2.21 </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ascii="宋体" w:hAnsi="宋体"/>
                <w:i w:val="0"/>
                <w:iCs w:val="0"/>
                <w:color w:val="auto"/>
                <w:sz w:val="24"/>
                <w:szCs w:val="22"/>
                <w:highlight w:val="none"/>
              </w:rPr>
              <w:t xml:space="preserve">本合同一式</w:t>
            </w:r>
            <w:r>
              <w:rPr>
                <w:rFonts w:hint="eastAsia" w:ascii="宋体" w:hAnsi="宋体"/>
                <w:i w:val="0"/>
                <w:iCs w:val="0"/>
                <w:color w:val="auto"/>
                <w:sz w:val="24"/>
                <w:szCs w:val="22"/>
                <w:highlight w:val="none"/>
              </w:rPr>
              <w:t xml:space="preserve">    份，甲乙双方各执   份。</w:t>
            </w:r>
            <w:r/>
          </w:p>
        </w:tc>
      </w:tr>
      <w:tr>
        <w:trPr>
          <w:trHeight w:val="65"/>
        </w:trPr>
        <w:tc>
          <w:tcPr>
            <w:tcW w:w="465" w:type="dxa"/>
            <w:vAlign w:val="center"/>
            <w:textDirection w:val="lrTb"/>
            <w:noWrap w:val="false"/>
          </w:tcPr>
          <w:p>
            <w:pPr>
              <w:ind w:left="-420" w:right="-420" w:firstLine="480"/>
              <w:spacing w:line="360" w:lineRule="auto"/>
              <w:rPr>
                <w:rFonts w:ascii="宋体" w:hAnsi="宋体" w:cs="宋体"/>
                <w:color w:val="auto"/>
                <w:sz w:val="24"/>
                <w:highlight w:val="none"/>
              </w:rPr>
              <w:outlineLvl w:val="0"/>
            </w:pPr>
            <w:r>
              <w:rPr>
                <w:rFonts w:hint="eastAsia" w:ascii="宋体" w:hAnsi="宋体" w:cs="宋体"/>
                <w:color w:val="auto"/>
                <w:sz w:val="24"/>
                <w:highlight w:val="none"/>
              </w:rPr>
              <w:t xml:space="preserve">3.1</w:t>
            </w:r>
            <w:r/>
          </w:p>
          <w:p>
            <w:pPr>
              <w:ind w:left="-420" w:right="-420" w:firstLine="480"/>
              <w:spacing w:line="360" w:lineRule="auto"/>
              <w:rPr>
                <w:rFonts w:ascii="宋体" w:hAnsi="宋体"/>
                <w:color w:val="auto"/>
                <w:highlight w:val="none"/>
              </w:rPr>
              <w:outlineLvl w:val="0"/>
            </w:pPr>
            <w:r>
              <w:rPr>
                <w:rFonts w:hint="eastAsia" w:ascii="宋体" w:hAnsi="宋体" w:cs="宋体"/>
                <w:color w:val="auto"/>
                <w:sz w:val="24"/>
                <w:highlight w:val="none"/>
              </w:rPr>
              <w:t xml:space="preserve">……</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hint="eastAsia" w:ascii="宋体" w:hAnsi="宋体" w:cs="宋体"/>
                <w:i w:val="0"/>
                <w:iCs w:val="0"/>
                <w:color w:val="auto"/>
                <w:sz w:val="24"/>
                <w:highlight w:val="none"/>
              </w:rPr>
              <w:t xml:space="preserve">……</w:t>
            </w:r>
            <w:r>
              <w:rPr>
                <w:rFonts w:hint="eastAsia" w:ascii="宋体" w:hAnsi="宋体"/>
                <w:i w:val="0"/>
                <w:iCs w:val="0"/>
                <w:color w:val="auto"/>
                <w:sz w:val="24"/>
                <w:highlight w:val="none"/>
              </w:rPr>
              <w:t xml:space="preserve">（可自行编辑）</w:t>
            </w:r>
            <w:bookmarkEnd w:id="71"/>
            <w:r/>
            <w:r/>
          </w:p>
        </w:tc>
      </w:tr>
    </w:tbl>
    <w:p>
      <w:pPr>
        <w:rPr>
          <w:rFonts w:ascii="Calibri" w:hAnsi="Calibri"/>
          <w:color w:val="auto"/>
          <w:szCs w:val="22"/>
          <w:highlight w:val="none"/>
        </w:rPr>
      </w:pPr>
      <w:r>
        <w:rPr>
          <w:rFonts w:ascii="Calibri" w:hAnsi="Calibri"/>
          <w:color w:val="auto"/>
          <w:szCs w:val="2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844"/>
        <w:ind w:right="900"/>
        <w:jc w:val="center"/>
        <w:keepLines w:val="0"/>
        <w:keepNext w:val="0"/>
        <w:spacing w:before="200" w:after="200"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r>
        <w:rPr>
          <w:rFonts w:hint="eastAsia" w:ascii="宋体" w:hAnsi="宋体" w:eastAsia="宋体" w:cs="宋体"/>
          <w:color w:val="auto"/>
          <w:sz w:val="36"/>
          <w:szCs w:val="36"/>
          <w:highlight w:val="none"/>
        </w:rPr>
        <w:t xml:space="preserve">第四部分 采购需求</w:t>
      </w:r>
      <w:r/>
    </w:p>
    <w:p>
      <w:pPr>
        <w:jc w:val="left"/>
        <w:spacing w:line="360" w:lineRule="auto"/>
        <w:widowControl/>
        <w:tabs>
          <w:tab w:val="left" w:pos="424" w:leader="none"/>
        </w:tabs>
        <w:rPr>
          <w:rFonts w:hint="eastAsia" w:ascii="宋体" w:hAnsi="宋体" w:eastAsia="宋体" w:cs="宋体"/>
          <w:b/>
          <w:color w:val="auto"/>
          <w:sz w:val="24"/>
          <w:szCs w:val="24"/>
          <w:highlight w:val="none"/>
          <w:lang w:val="zh-CN" w:bidi="en-US"/>
        </w:rPr>
      </w:pP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lang w:val="zh-CN" w:bidi="en-US"/>
        </w:rPr>
        <w:t xml:space="preserve">一、项目概况</w:t>
      </w:r>
      <w:r/>
    </w:p>
    <w:p>
      <w:pPr>
        <w:numPr>
          <w:ilvl w:val="0"/>
          <w:numId w:val="0"/>
        </w:numPr>
        <w:ind w:left="420" w:firstLine="480"/>
        <w:keepLines w:val="0"/>
        <w:keepNext w:val="0"/>
        <w:pageBreakBefore w:val="0"/>
        <w:spacing w:line="360" w:lineRule="auto"/>
        <w:widowControl w:val="off"/>
        <w:rPr>
          <w:rFonts w:hint="eastAsia"/>
          <w:color w:val="auto"/>
          <w:highlight w:val="none"/>
        </w:rPr>
        <w:outlineLvl w:val="0"/>
      </w:pPr>
      <w:r>
        <w:rPr>
          <w:rFonts w:hint="eastAsia" w:ascii="宋体" w:hAnsi="宋体" w:cs="宋体"/>
          <w:color w:val="auto"/>
          <w:sz w:val="24"/>
          <w:szCs w:val="24"/>
          <w:highlight w:val="none"/>
          <w:lang w:eastAsia="zh-CN"/>
        </w:rPr>
        <w:t xml:space="preserve">宝华新城实验幼儿园教育教学设备设施、办公家具采购</w:t>
      </w:r>
      <w:r>
        <w:rPr>
          <w:rFonts w:hint="eastAsia" w:ascii="宋体" w:hAnsi="宋体" w:eastAsia="宋体" w:cs="宋体"/>
          <w:color w:val="auto"/>
          <w:sz w:val="24"/>
          <w:szCs w:val="24"/>
          <w:highlight w:val="none"/>
          <w:lang w:eastAsia="zh-CN"/>
        </w:rPr>
        <w:t xml:space="preserve">，旨在</w:t>
      </w:r>
      <w:r>
        <w:rPr>
          <w:rFonts w:hint="eastAsia" w:ascii="宋体" w:hAnsi="宋体" w:eastAsia="宋体" w:cs="宋体"/>
          <w:color w:val="auto"/>
          <w:sz w:val="24"/>
          <w:szCs w:val="24"/>
          <w:highlight w:val="none"/>
          <w:lang w:val="en-US" w:eastAsia="zh-CN"/>
        </w:rPr>
        <w:t xml:space="preserve">保障宝华新城建幼儿园顺利开园，满足3-6岁幼儿日常教学、生活照料、游戏活动及安全防护需求</w:t>
      </w:r>
      <w:r>
        <w:rPr>
          <w:rFonts w:hint="eastAsia" w:ascii="宋体" w:hAnsi="宋体" w:eastAsia="宋体" w:cs="宋体"/>
          <w:color w:val="auto"/>
          <w:sz w:val="24"/>
          <w:szCs w:val="24"/>
          <w:highlight w:val="none"/>
          <w:lang w:eastAsia="zh-CN"/>
        </w:rPr>
        <w:t xml:space="preserve">，包括但不限于</w:t>
      </w:r>
      <w:r>
        <w:rPr>
          <w:rFonts w:hint="eastAsia" w:ascii="宋体" w:hAnsi="宋体" w:cs="宋体"/>
          <w:color w:val="auto"/>
          <w:sz w:val="24"/>
          <w:szCs w:val="24"/>
          <w:highlight w:val="none"/>
          <w:lang w:eastAsia="zh-CN"/>
        </w:rPr>
        <w:t xml:space="preserve">教育教学设备设施、办</w:t>
      </w:r>
      <w:r>
        <w:rPr>
          <w:rFonts w:hint="eastAsia" w:ascii="宋体" w:hAnsi="宋体" w:eastAsia="宋体" w:cs="宋体"/>
          <w:color w:val="auto"/>
          <w:sz w:val="24"/>
          <w:szCs w:val="24"/>
          <w:highlight w:val="none"/>
          <w:lang w:eastAsia="zh-CN"/>
        </w:rPr>
        <w:t xml:space="preserve">公家具采购、运输装缷、安装、项目附属配套施工、调试、试运行、验收及质保期内的伴随服务等，并在招标文件要求的工期内保质保量完</w:t>
      </w:r>
      <w:r>
        <w:rPr>
          <w:rFonts w:hint="eastAsia" w:ascii="宋体" w:hAnsi="宋体" w:eastAsia="宋体" w:cs="宋体"/>
          <w:color w:val="auto"/>
          <w:sz w:val="24"/>
          <w:szCs w:val="24"/>
          <w:highlight w:val="none"/>
        </w:rPr>
        <w:t xml:space="preserve">成。</w:t>
      </w:r>
      <w:r/>
    </w:p>
    <w:p>
      <w:pPr>
        <w:pStyle w:val="843"/>
        <w:jc w:val="left"/>
        <w:keepLines/>
        <w:keepNext/>
        <w:pageBreakBefore w:val="0"/>
        <w:spacing w:before="0" w:after="0" w:line="4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项目类别属性:货物类采购</w:t>
      </w:r>
      <w:r/>
    </w:p>
    <w:p>
      <w:pPr>
        <w:pStyle w:val="843"/>
        <w:jc w:val="left"/>
        <w:keepLines/>
        <w:keepNext/>
        <w:pageBreakBefore w:val="0"/>
        <w:spacing w:before="0" w:after="0" w:line="4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项目所属行业:工业</w:t>
      </w:r>
      <w:r/>
    </w:p>
    <w:p>
      <w:pPr>
        <w:spacing w:line="5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二、采购预算（最高限价）</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1、采购预算：</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3491120.00 元</w:t>
      </w:r>
      <w:r>
        <w:rPr>
          <w:rFonts w:hint="eastAsia" w:ascii="宋体" w:hAnsi="宋体" w:eastAsia="宋体" w:cs="宋体"/>
          <w:color w:val="auto"/>
          <w:sz w:val="24"/>
          <w:highlight w:val="none"/>
          <w:u w:val="single"/>
        </w:rPr>
        <w:t xml:space="preserve">。</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2、最高限价：</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3491120.00 元</w:t>
      </w:r>
      <w:r>
        <w:rPr>
          <w:rFonts w:hint="eastAsia" w:ascii="宋体" w:hAnsi="宋体" w:eastAsia="宋体" w:cs="宋体"/>
          <w:color w:val="auto"/>
          <w:sz w:val="24"/>
          <w:highlight w:val="none"/>
          <w:u w:val="single"/>
        </w:rPr>
        <w:t xml:space="preserve">。</w:t>
      </w:r>
      <w:r/>
    </w:p>
    <w:p>
      <w:pPr>
        <w:ind w:left="3"/>
        <w:spacing w:before="263" w:line="219" w:lineRule="auto"/>
        <w:rPr>
          <w:rFonts w:hint="eastAsia" w:ascii="宋体" w:hAnsi="宋体" w:eastAsia="宋体" w:cs="宋体"/>
          <w:color w:val="auto"/>
          <w:sz w:val="24"/>
          <w:highlight w:val="none"/>
        </w:rPr>
      </w:pPr>
      <w:r>
        <w:rPr>
          <w:rFonts w:hint="eastAsia" w:ascii="宋体" w:hAnsi="宋体" w:eastAsia="宋体" w:cs="宋体"/>
          <w:b/>
          <w:bCs/>
          <w:color w:val="auto"/>
          <w:spacing w:val="-3"/>
          <w:sz w:val="24"/>
          <w:highlight w:val="none"/>
        </w:rPr>
        <w:t xml:space="preserve">三.采购标的汇总表</w:t>
      </w:r>
      <w:r/>
    </w:p>
    <w:p>
      <w:pPr>
        <w:ind w:left="6"/>
        <w:spacing w:before="267" w:line="219" w:lineRule="auto"/>
        <w:rPr>
          <w:rFonts w:hint="eastAsia" w:ascii="宋体" w:hAnsi="宋体" w:eastAsia="宋体" w:cs="宋体"/>
          <w:color w:val="auto"/>
          <w:sz w:val="24"/>
          <w:highlight w:val="none"/>
        </w:rPr>
      </w:pPr>
      <w:r>
        <w:rPr>
          <w:rFonts w:hint="eastAsia" w:ascii="宋体" w:hAnsi="宋体" w:eastAsia="宋体" w:cs="宋体"/>
          <w:color w:val="auto"/>
          <w:spacing w:val="-2"/>
          <w:sz w:val="24"/>
          <w:highlight w:val="none"/>
        </w:rPr>
        <w:t xml:space="preserve">（一） 采购标的</w:t>
      </w:r>
      <w:r/>
    </w:p>
    <w:p>
      <w:pPr>
        <w:ind w:left="17"/>
        <w:pageBreakBefore w:val="0"/>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pacing w:val="-4"/>
          <w:sz w:val="24"/>
          <w:highlight w:val="none"/>
        </w:rPr>
        <w:t xml:space="preserve">1.货物类标的</w:t>
      </w:r>
      <w:r/>
    </w:p>
    <w:tbl>
      <w:tblPr>
        <w:tblStyle w:val="839"/>
        <w:tblW w:w="7995"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64"/>
        <w:gridCol w:w="1067"/>
        <w:gridCol w:w="2667"/>
        <w:gridCol w:w="1067"/>
        <w:gridCol w:w="1067"/>
        <w:gridCol w:w="1063"/>
      </w:tblGrid>
      <w:tr>
        <w:trPr>
          <w:jc w:val="center"/>
          <w:trHeight w:val="570"/>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地点</w:t>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货物类标的名称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计量单位</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default" w:ascii="宋体" w:hAnsi="宋体" w:eastAsia="宋体" w:cs="宋体"/>
                <w:b/>
                <w:bCs/>
                <w:i w:val="0"/>
                <w:iCs w:val="0"/>
                <w:color w:val="auto"/>
                <w:sz w:val="20"/>
                <w:szCs w:val="20"/>
                <w:highlight w:val="none"/>
                <w:u w:val="none"/>
                <w:lang w:val="en-US"/>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是否允许</w:t>
            </w:r>
            <w:r>
              <w:rPr>
                <w:rFonts w:hint="eastAsia" w:ascii="宋体" w:hAnsi="宋体" w:cs="宋体"/>
                <w:b/>
                <w:bCs/>
                <w:i w:val="0"/>
                <w:iCs w:val="0"/>
                <w:color w:val="auto"/>
                <w:sz w:val="20"/>
                <w:szCs w:val="20"/>
                <w:highlight w:val="none"/>
                <w:u w:val="none"/>
                <w:lang w:val="en-US" w:eastAsia="zh-CN" w:bidi="ar"/>
              </w:rPr>
              <w:t xml:space="preserve">进口</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门卫室</w:t>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环形岛台</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器械柜</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单人床</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收纳柜</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厨房岛台</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电磁炉</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电饭煲</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微波炉</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电热水器</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6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隔离室</w:t>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1.2米观察床</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书柜</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玩具柜</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玩具桌</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移动消毒灯</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消毒柜</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06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大厅</w:t>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异形沙发</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造型书柜</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平方米</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展示柜</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06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保健室</w:t>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办公桌</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档案柜（按场地尺寸定制）带锁</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药品柜带锁</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四人位沙发</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茶几</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茶水台</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视力表灯箱</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电子体重秤</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身高坐高计</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课桌椅测量尺</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灭火器</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单开门冰箱</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消毒柜</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晨检工作台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移动紫外线消毒灯</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06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班级活动室</w:t>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自由组合区角柜2</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厨房</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玩具柜（带轮）</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儿童书柜（带轮）</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美工材料柜（带轮）</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长桌（小班）</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长桌（中班）</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长桌（大班）</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方桌（小班）</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方桌（中班）</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方桌（大班）</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（壁挂式）茶杯架</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实物投影展示台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塑封机</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手提药箱</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消毒柜</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滚筒洗衣机</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洗手台顶柜</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自然角架</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洗衣机台盆架</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420件室内建构积木</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打印机</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教师办公桌</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师幼收纳柜</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06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户外活动区</w:t>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小皮球</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儿童标准篮球</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儿童标准足球</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球筐（球车）</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木质篮球架</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小型足球门</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小型足球围栏</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独轮小推车</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体操凳1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弹跳球</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羊角球</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脚转球</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拱形门1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体操圈</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袋鼠跳</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梅花桩（树桩）</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平衡板</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跳床1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高跷</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体操垫</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套圈</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飞盘</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沙包</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体操棒</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小哑铃</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拉力器</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气球伞</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黄包车</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威力摇摆车</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炫风车</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三轮脚踏车</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三轮赛车</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双人手推装卸车</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平衡车</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幼儿手滚车</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脚动扭扭车</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小推车</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货架</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1223件户外综合套装碳化积木</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42片侧板积木</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碳化户外安米吉拼插积木569片</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碳化积木866片</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102</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碳化户外百变拼插积木828片</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103</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户外游戏体能梯-方梯</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104</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40件套运动组合碳化梯子</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大型实木螺母组合900件</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106</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569块安米吉拼插积木</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户外大型运动组合器械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跑酷游戏组合</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109</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大体操垫</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小体操垫</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111</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桌面式涂鸦板</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桌面式多功能涂鸦板</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113</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沙盘游戏</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户外小厨房</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户外音乐墙</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116</w:t>
            </w:r>
            <w:r/>
          </w:p>
        </w:tc>
        <w:tc>
          <w:tcPr>
            <w:tcBorders>
              <w:top w:val="single" w:color="000000" w:sz="4" w:space="0"/>
              <w:left w:val="single" w:color="000000" w:sz="4" w:space="0"/>
              <w:bottom w:val="single" w:color="000000" w:sz="4" w:space="0"/>
              <w:right w:val="single" w:color="000000" w:sz="4" w:space="0"/>
            </w:tcBorders>
            <w:tcW w:w="106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户外游戏课程基地</w:t>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活动实施方案</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本</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幼儿园户外活动整体方案</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本</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118</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安全使用手册</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本</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119</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装箱明细表</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本</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分类图卡</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本</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121</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造型图卡</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本</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122</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合格证</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基础建构1单元</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基础建构2单元-C形</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基础建构2单元-L形</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126</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基础建构3单元</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127</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基础建构蓄水件</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128</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基础水道1单元</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129</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基础水道2单元</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基础水道3单元</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131</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基础水道-弯道</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132</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基础木板1单元</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133</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基础木板2单元</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134</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基础木板3单元</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基础木板4单元</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基础木板5单元</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137</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阻水件</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138</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水车</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139</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夹沙件</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钻筛沙件</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141</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沙铲（小）</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142</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沙铲（大）</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143</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沙水桶</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144</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6分水管（1m）</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145</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6分水管（2m）</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146</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6分水管（5m）</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147</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6分通水接口（备用件）</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148</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标准双向奶嘴接口</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149</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标准万用接口</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分流配件</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151</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小球</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基础标配储水盆</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153</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储水盆（小）</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154</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沙城堡1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155</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沙城堡2</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156</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沙城堡3</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157</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手刮沙工具1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158</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手刮沙工具2</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159</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手刮沙工具3</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擀泥棒</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161</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平泥工具</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162</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敲泥工具</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163</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翻泥坯盖（小）</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164</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翻泥坯（小）</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165</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翻泥坯盖（大）</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166</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翻泥坯（大）</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167</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画框</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168</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小推车</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169</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鲸鱼推车</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170</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压水泵</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171</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园艺水枪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172</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喷泉旋转件</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173</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课程</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次</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174</w:t>
            </w:r>
            <w:r/>
          </w:p>
        </w:tc>
        <w:tc>
          <w:tcPr>
            <w:tcBorders>
              <w:top w:val="single" w:color="000000" w:sz="4" w:space="0"/>
              <w:left w:val="single" w:color="000000" w:sz="4" w:space="0"/>
              <w:bottom w:val="single" w:color="000000" w:sz="4" w:space="0"/>
              <w:right w:val="single" w:color="000000" w:sz="4" w:space="0"/>
            </w:tcBorders>
            <w:tcW w:w="106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沙水区</w:t>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沙水区组合套装</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玩水管道</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176</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沙水区收纳柜</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177</w:t>
            </w:r>
            <w:r/>
          </w:p>
        </w:tc>
        <w:tc>
          <w:tcPr>
            <w:tcBorders>
              <w:top w:val="single" w:color="000000" w:sz="4" w:space="0"/>
              <w:left w:val="single" w:color="000000" w:sz="4" w:space="0"/>
              <w:bottom w:val="single" w:color="000000" w:sz="4" w:space="0"/>
              <w:right w:val="single" w:color="000000" w:sz="4" w:space="0"/>
            </w:tcBorders>
            <w:tcW w:w="106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公共区</w:t>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布艺窗帘</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1214</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178</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百叶窗帘</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210</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平方米</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179</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餐车</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106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财务室</w:t>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班台</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181</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182</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书柜（按场地尺寸提供）</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183</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184</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保险柜</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185</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碎纸机</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186</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铁皮柜</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187</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打印机</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188</w:t>
            </w:r>
            <w:r/>
          </w:p>
        </w:tc>
        <w:tc>
          <w:tcPr>
            <w:tcBorders>
              <w:top w:val="single" w:color="000000" w:sz="4" w:space="0"/>
              <w:left w:val="single" w:color="000000" w:sz="4" w:space="0"/>
              <w:bottom w:val="single" w:color="000000" w:sz="4" w:space="0"/>
              <w:right w:val="single" w:color="000000" w:sz="4" w:space="0"/>
            </w:tcBorders>
            <w:tcW w:w="106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副园长室</w:t>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班台</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189</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190</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书柜</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191</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3+2人位沙发</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192</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茶几</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193</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茶水台</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194</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会议桌</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195</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会议椅</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196</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打印机</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197</w:t>
            </w:r>
            <w:r/>
          </w:p>
        </w:tc>
        <w:tc>
          <w:tcPr>
            <w:tcBorders>
              <w:top w:val="single" w:color="000000" w:sz="4" w:space="0"/>
              <w:left w:val="single" w:color="000000" w:sz="4" w:space="0"/>
              <w:bottom w:val="single" w:color="000000" w:sz="4" w:space="0"/>
              <w:right w:val="single" w:color="000000" w:sz="4" w:space="0"/>
            </w:tcBorders>
            <w:tcW w:w="106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园长室</w:t>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班台</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198</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班椅</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199</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4+2人位沙发</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角几</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201</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茶几</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书柜（按场地尺寸提供）</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203</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茶水台</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204</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打印机</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205</w:t>
            </w:r>
            <w:r/>
          </w:p>
        </w:tc>
        <w:tc>
          <w:tcPr>
            <w:tcBorders>
              <w:top w:val="single" w:color="000000" w:sz="4" w:space="0"/>
              <w:left w:val="single" w:color="000000" w:sz="4" w:space="0"/>
              <w:bottom w:val="single" w:color="000000" w:sz="4" w:space="0"/>
              <w:right w:val="single" w:color="000000" w:sz="4" w:space="0"/>
            </w:tcBorders>
            <w:tcW w:w="106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大会议室</w:t>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演讲台</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206</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会议桌</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207</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会议椅</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208</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209</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书柜（按场地尺寸提供）</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210</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86寸带支架一体机</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211</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备授课软件</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212</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直播课堂</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213</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会议音箱</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214</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音箱壁挂支架</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215</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专业功放</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216</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前级音频处理器</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217</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音频控制系统</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218</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真分集UHF段一拖四无线会议（长咪杆）</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219</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DSP数字4进1出反馈抑制器</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电源时序器</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221</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配电柜</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222</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机柜</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223</w:t>
            </w:r>
            <w:r/>
          </w:p>
        </w:tc>
        <w:tc>
          <w:tcPr>
            <w:tcBorders>
              <w:top w:val="single" w:color="000000" w:sz="4" w:space="0"/>
              <w:left w:val="single" w:color="000000" w:sz="4" w:space="0"/>
              <w:bottom w:val="single" w:color="000000" w:sz="4" w:space="0"/>
              <w:right w:val="single" w:color="000000" w:sz="4" w:space="0"/>
            </w:tcBorders>
            <w:tcW w:w="106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大报告厅</w:t>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座椅</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210</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224</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主席台桌</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225</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主席台椅</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226</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报告台</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227</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228</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更衣间柜子</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229</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98寸带支架一体机</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230</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备授课软件</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231</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直播课堂</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232</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带轮长条折叠桌</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233</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折叠椅</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234</w:t>
            </w:r>
            <w:r/>
          </w:p>
        </w:tc>
        <w:tc>
          <w:tcPr>
            <w:tcBorders>
              <w:top w:val="single" w:color="000000" w:sz="4" w:space="0"/>
              <w:left w:val="single" w:color="000000" w:sz="4" w:space="0"/>
              <w:bottom w:val="single" w:color="000000" w:sz="4" w:space="0"/>
              <w:right w:val="single" w:color="000000" w:sz="4" w:space="0"/>
            </w:tcBorders>
            <w:tcW w:w="106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教工之家</w:t>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音箱</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235</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功放</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236</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无线话筒</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237</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打击乐器</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238</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人体追踪无线录像设备</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239</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调音台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240</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音频处理器会议矩阵4*4</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241</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立式话筒架</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242</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桌面话筒架</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243</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沙发</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244</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柜子</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245</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吧台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246</w:t>
            </w:r>
            <w:r/>
          </w:p>
        </w:tc>
        <w:tc>
          <w:tcPr>
            <w:tcBorders>
              <w:top w:val="single" w:color="000000" w:sz="4" w:space="0"/>
              <w:left w:val="single" w:color="000000" w:sz="4" w:space="0"/>
              <w:bottom w:val="single" w:color="000000" w:sz="4" w:space="0"/>
              <w:right w:val="single" w:color="000000" w:sz="4" w:space="0"/>
            </w:tcBorders>
            <w:tcW w:w="106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教师餐厅</w:t>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2.4m圆桌</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247</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餐椅</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248</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3+2人位沙发</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249</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方桌</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茶水台</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251</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组合柜</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252</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一桌四椅（木质）</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双门消毒柜</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254</w:t>
            </w:r>
            <w:r/>
          </w:p>
        </w:tc>
        <w:tc>
          <w:tcPr>
            <w:tcBorders>
              <w:top w:val="single" w:color="000000" w:sz="4" w:space="0"/>
              <w:left w:val="single" w:color="000000" w:sz="4" w:space="0"/>
              <w:bottom w:val="single" w:color="000000" w:sz="4" w:space="0"/>
              <w:right w:val="single" w:color="000000" w:sz="4" w:space="0"/>
            </w:tcBorders>
            <w:tcW w:w="106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图书室</w:t>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装饰柜</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255</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异形沙发</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256</w:t>
            </w:r>
            <w:r/>
          </w:p>
        </w:tc>
        <w:tc>
          <w:tcPr>
            <w:tcBorders>
              <w:top w:val="single" w:color="000000" w:sz="4" w:space="0"/>
              <w:left w:val="single" w:color="000000" w:sz="4" w:space="0"/>
              <w:bottom w:val="single" w:color="000000" w:sz="4" w:space="0"/>
              <w:right w:val="single" w:color="000000" w:sz="4" w:space="0"/>
            </w:tcBorders>
            <w:tcW w:w="106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生活坊</w:t>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作品展览柜</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257</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厨房专用材料收纳柜</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258</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材料储物柜</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259</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综合操作台</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260</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方凳</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261</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边台</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262</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幼儿专用罩衣</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263</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教师围裙</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264</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弧形岛台</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265</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带4个水池操作台</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266</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石磨</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267</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粮食碾</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268</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电蒸锅</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269</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非遗传统面塑材料(非食用）</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270</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非遗面塑支架托板</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271</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非遗面塑工具</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272</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编织收纳筐</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273</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铂金硅胶揉面垫</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274</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竹制盖帘</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275</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花馍梳子</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276</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幼儿专用爆米花车</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277</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幼儿专用棉花糖机</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278</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幼儿专用全自动多功能烘焙箱</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279</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封口机套装</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280</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裱花工具</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281</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裱花练习装饰材料</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282</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分料碗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283</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手动打蛋器</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284</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厨房电子称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285</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搅拌铲</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286</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面粉筛</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287</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烤盘</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288</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6连蛋糕模具</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289</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棉手套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290</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锡纸</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卷</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291</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裱花台转盘</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292</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奶油抹刀</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293</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油纸</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卷</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294</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手套-3型</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295</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手套套装</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296</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对开门冰箱</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297</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消毒柜</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298</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电磁炉</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299</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微波炉</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电动榨汁机</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301</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空气炸锅</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302</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电饭煲</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303</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平底锅</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304</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布织收纳筐</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305</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水桶</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306</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苏式窗镜卡纸</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307</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生宣纸</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308</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彩墨汁</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309</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国画毛笔</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310</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版画拓印滚轮</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311</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砂纸</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312</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拓包</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313</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油墨颜料</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314</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版画</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315</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a4切割点板</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316</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幼儿数字油画</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317</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幼儿专用安全色粉</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318</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幼儿专用安全重彩油画棒</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319</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幼儿专用安全蜡笔</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320</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圆形油画框</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321</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方形油画框</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322</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画架</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323</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画板</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324</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幼儿专用安全彩泥套组</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325</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麻绳</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捆</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326</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棉花</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327</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丸棒</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328</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圆形作品托板</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329</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刮画纸</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330</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幼儿浮水画套装</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331</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趣味西游皮影戏套组</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332</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幼儿夜光丙烯套装</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333</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中国风白坯挂件</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334</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手绘中式寸鼓</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335</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幼儿专用彩色压花器套装</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336</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幼儿手指画</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337</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石膏涂色包</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338</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桌面吸灰器</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339</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幼儿专用安全波浪剪刀</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340</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幼儿专用安全水溶性水彩笔</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341</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幼儿专用安全重彩水彩笔</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342</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皱纹纸</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343</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彩卡</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344</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幼儿专用安全扎染颜料套组</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345</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异形桌+配套椅子</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346</w:t>
            </w:r>
            <w:r/>
          </w:p>
        </w:tc>
        <w:tc>
          <w:tcPr>
            <w:tcBorders>
              <w:top w:val="single" w:color="000000" w:sz="4" w:space="0"/>
              <w:left w:val="single" w:color="000000" w:sz="4" w:space="0"/>
              <w:bottom w:val="single" w:color="000000" w:sz="4" w:space="0"/>
              <w:right w:val="single" w:color="000000" w:sz="4" w:space="0"/>
            </w:tcBorders>
            <w:tcW w:w="106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科探室</w:t>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交通安全标志翻版墙</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347</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儿童互动智能桌</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348</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脑电波赛车</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349</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轨道定制</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350</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脑智训练设备</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351</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智能机械手套件</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352</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VR系统</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353</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VR头戴式设备系统</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354</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K12教育资源</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355</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VR资源库</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356</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SIS学生端管理系统</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357</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异形儿童桌</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358</w:t>
            </w:r>
            <w:r/>
          </w:p>
        </w:tc>
        <w:tc>
          <w:tcPr>
            <w:tcBorders>
              <w:top w:val="single" w:color="000000" w:sz="4" w:space="0"/>
              <w:left w:val="single" w:color="000000" w:sz="4" w:space="0"/>
              <w:bottom w:val="single" w:color="000000" w:sz="4" w:space="0"/>
              <w:right w:val="single" w:color="000000" w:sz="4" w:space="0"/>
            </w:tcBorders>
            <w:tcW w:w="106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美术室</w:t>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泥料瓷花认知板</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359</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三福瓶形状工具墙-2</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360</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陶艺-展示A柜</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361</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操作桌</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362</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工作凳</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363</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幼儿美术综合柜</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364</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折叠式边柜</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365</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陈列架</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366</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陈列架</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367</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编织袈</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368</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长条绘画桌</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369</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挂钩</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370</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布织收纳筐</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371</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幼儿专用罩衣</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372</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教师围裙</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373</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玻璃胶套装</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374</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KT胶</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375</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肌理擀泥杖</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376</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唐代人物砖模具</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377</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四神瓦当模具套组</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378</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历代瓷瓶形状教学成型模具</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379</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青铜器器型成型套组</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380</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无极变速拉坯机</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381</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圆形作品托板</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382</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捏塑垫布</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383</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小泥拍</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384</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木质泥塑套装</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385</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陶艺八件套</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386</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公开课小罐颜料</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387</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陶瓷绘画专用色釉</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388</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涂抹式浓缩透明釉</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389</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冰裂效果浓缩釉</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390</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彩色成型泥浆</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391</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水桶</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392</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陶艺专用蕾丝花边套组</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393</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触屏语音高功率高温电窑</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394</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幼儿陶艺专用素坯</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395</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普通瓷泥</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396</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灰陶</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397</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红陶</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398</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塑钢转台</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399</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美术纸筒柜</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陈列架</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401</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操作桌</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402</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工作凳</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403</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材料柜</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404</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幼儿美术综合柜</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405</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折叠式边柜</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406</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壁挂式画架</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407</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滑轨式作品展示墙</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408</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幼儿专用便携式沙画桌（不带支架版）</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409</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幼儿无尘画板</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410</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桌面工具盒</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411</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幼儿专用罩衣</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412</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教师围裙</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413</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玻璃胶套装</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414</w:t>
            </w:r>
            <w:r/>
          </w:p>
        </w:tc>
        <w:tc>
          <w:tcPr>
            <w:tcBorders>
              <w:top w:val="single" w:color="000000" w:sz="4" w:space="0"/>
              <w:left w:val="single" w:color="000000" w:sz="4" w:space="0"/>
              <w:bottom w:val="single" w:color="000000" w:sz="4" w:space="0"/>
              <w:right w:val="single" w:color="000000" w:sz="4" w:space="0"/>
            </w:tcBorders>
            <w:tcW w:w="106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木工坊</w:t>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单人操作台</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415</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实木长条板凳</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416</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新款大号展示架</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417</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展示架1.2米</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418</w:t>
            </w:r>
            <w:r>
              <w:rPr>
                <w:rFonts w:hint="eastAsia" w:ascii="宋体" w:hAnsi="宋体" w:cs="宋体"/>
                <w:i w:val="0"/>
                <w:iCs w:val="0"/>
                <w:color w:val="auto"/>
                <w:sz w:val="20"/>
                <w:szCs w:val="20"/>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机床</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419</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机床润滑油</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罐</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手钻</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421</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大童工具10件套</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422</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手套</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423</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眼罩</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424</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白色修补胶</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425</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12件套装雕刻刀</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426</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小锯套装</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427</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U型锯</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428</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迷你老虎钳</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429</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木工刨子</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430</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锤子</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431</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卷尺</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432</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十字批</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433</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一字批</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434</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调色盘、画笔组合、颜料</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435</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材料包1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436</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材料包2（无丝印</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437</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材料包3（23款小配件）</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438</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材料包4（树枝圆片）</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439</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大车床圆棒荷木</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440</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伐木小车</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441</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颜料架</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442</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笔架</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443</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木工箱</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444</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插孔挂板</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445</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功能隔板</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446</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挂钩</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447</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九宫盒</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448</w:t>
            </w:r>
            <w:r/>
          </w:p>
        </w:tc>
        <w:tc>
          <w:tcPr>
            <w:tcBorders>
              <w:top w:val="single" w:color="000000" w:sz="4" w:space="0"/>
              <w:left w:val="single" w:color="000000" w:sz="4" w:space="0"/>
              <w:bottom w:val="single" w:color="000000" w:sz="4" w:space="0"/>
              <w:right w:val="single" w:color="000000" w:sz="4" w:space="0"/>
            </w:tcBorders>
            <w:tcW w:w="106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融合教室</w:t>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手功能及思维训练组合箱</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449</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髋关节旋转训练器</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450</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PT训练床</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451</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平衡板（带扶手）</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452</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组合皮软垫</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453</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儿童滚筒</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454</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听力言语训练设备</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455</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拓展型--显示屏式电子沟通板</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456</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过河石</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457</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训练浪桥</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458</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万象组合套装</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459</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高跷组合</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460</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平衡触觉板</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461</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刷身刷</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462</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摇晃岛</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463</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踩踏石</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464</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悬浮板</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465</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船体套件</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466</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滑板</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467</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跳袋</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468</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卡片式电子沟通板</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469</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阳光隧道组合</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470</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独脚凳</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471</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彩色球</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472</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光面大笼球</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473</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羊角球</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474</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认知学习板</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475</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感知训练器</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476</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彩虹型--显示屏式电子沟通板</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477</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团队协力板/4人</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478</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奥尔夫乐器</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479</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咨询沙发</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480</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咨询配套茶几</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481</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早期行为干预卡片</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482</w:t>
            </w:r>
            <w:r/>
          </w:p>
        </w:tc>
        <w:tc>
          <w:tcPr>
            <w:tcBorders>
              <w:top w:val="single" w:color="000000" w:sz="4" w:space="0"/>
              <w:left w:val="single" w:color="000000" w:sz="4" w:space="0"/>
              <w:bottom w:val="single" w:color="000000" w:sz="4" w:space="0"/>
              <w:right w:val="single" w:color="000000" w:sz="4" w:space="0"/>
            </w:tcBorders>
            <w:tcW w:w="106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0-3托幼教室</w:t>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组合玩具柜</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483</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幼儿沙发</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484</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爬爬垫</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485</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各式玩具（海洋球、推推车等等）</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486</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玩具收纳室</w:t>
            </w:r>
            <w:r/>
          </w:p>
        </w:tc>
        <w:tc>
          <w:tcPr>
            <w:tcBorders>
              <w:top w:val="single" w:color="000000" w:sz="4" w:space="0"/>
              <w:left w:val="single" w:color="000000" w:sz="4" w:space="0"/>
              <w:bottom w:val="single" w:color="000000" w:sz="4" w:space="0"/>
              <w:right w:val="single" w:color="000000" w:sz="4" w:space="0"/>
            </w:tcBorders>
            <w:tcW w:w="266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器材架</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487</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档案室</w:t>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资料架</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488</w:t>
            </w:r>
            <w:r/>
          </w:p>
        </w:tc>
        <w:tc>
          <w:tcPr>
            <w:tcBorders>
              <w:top w:val="single" w:color="000000" w:sz="4" w:space="0"/>
              <w:left w:val="single" w:color="000000" w:sz="4" w:space="0"/>
              <w:bottom w:val="single" w:color="000000" w:sz="4" w:space="0"/>
              <w:right w:val="single" w:color="000000" w:sz="4" w:space="0"/>
            </w:tcBorders>
            <w:tcW w:w="106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小中大班桌面玩具、益智区、角色区材料</w:t>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多彩串珠</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489</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ABS颗粒积木</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490</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轮子水管</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491</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彩色磁力棒</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492</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创意拼装条</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493</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手持放大镜</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494</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双孔3×放大观察箱</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495</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牙齿模型</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496</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水底探测船</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497</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羊皮单排铃鼓</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498</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雪铃21铃</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499</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碰钟</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双音木鱼</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501</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木制砂球</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502</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响棒</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503</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手鼓</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504</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木琴</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505</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半球太阳花</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506</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大圆孔八角片</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507</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多种连接块</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508</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工程建构棒</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509</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医生急救箱</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510</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布娃娃男女组</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511</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蔬菜篮</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512</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水果篮</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513</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餐具仿真颜色41件套网袋</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514</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面条机</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515</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万能积木</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516</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建筑拼搭</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517</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空心磁力片</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518</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竹屋积木组</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519</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地板清洁组</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520</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科技收款机II代</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521</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熨斗架</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522</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厨师服4件套</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523</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配对螺丝</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524</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齿轮游戏-机器</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525</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齿轮游乐园</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526</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简易机械原理组</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527</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工程剑桥组</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528</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108片原木色卡扣积木</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529</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398片积木2.2cm</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530</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420件建构积木2.2cm</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531</w:t>
            </w:r>
            <w:r/>
          </w:p>
        </w:tc>
        <w:tc>
          <w:tcPr>
            <w:tcBorders>
              <w:top w:val="single" w:color="000000" w:sz="4" w:space="0"/>
              <w:left w:val="single" w:color="000000" w:sz="4" w:space="0"/>
              <w:bottom w:val="single" w:color="000000" w:sz="4" w:space="0"/>
              <w:right w:val="single" w:color="000000" w:sz="4" w:space="0"/>
            </w:tcBorders>
            <w:tcW w:w="106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27片盒装镜面积木</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否</w:t>
            </w:r>
            <w:r/>
          </w:p>
        </w:tc>
      </w:tr>
    </w:tbl>
    <w:p>
      <w:pPr>
        <w:keepLines/>
        <w:keepNext/>
        <w:spacing w:line="360" w:lineRule="auto"/>
        <w:rPr>
          <w:rFonts w:hint="eastAsia" w:ascii="宋体" w:hAnsi="宋体" w:eastAsia="宋体" w:cs="宋体"/>
          <w:b/>
          <w:bCs/>
          <w:color w:val="auto"/>
          <w:highlight w:val="none"/>
        </w:rPr>
      </w:pPr>
      <w:r>
        <w:rPr>
          <w:rFonts w:hint="eastAsia" w:ascii="宋体" w:hAnsi="宋体" w:cs="宋体"/>
          <w:color w:val="auto"/>
          <w:sz w:val="24"/>
          <w:highlight w:val="none"/>
        </w:rPr>
        <w:t xml:space="preserve">（二）本项目核心产品为：</w:t>
      </w:r>
      <w:r>
        <w:rPr>
          <w:rFonts w:hint="eastAsia" w:ascii="宋体" w:hAnsi="宋体" w:cs="宋体"/>
          <w:b/>
          <w:color w:val="auto"/>
          <w:sz w:val="24"/>
          <w:highlight w:val="none"/>
          <w:lang w:eastAsia="zh-CN"/>
        </w:rPr>
        <w:t xml:space="preserve">自由组合区角柜2、VR系统、户外大型运动组合器械</w:t>
      </w:r>
      <w:r>
        <w:rPr>
          <w:rFonts w:hint="eastAsia" w:ascii="宋体" w:hAnsi="宋体" w:cs="宋体"/>
          <w:color w:val="auto"/>
          <w:sz w:val="24"/>
          <w:highlight w:val="none"/>
        </w:rPr>
        <w:t xml:space="preserve">。 </w:t>
      </w:r>
      <w:r/>
    </w:p>
    <w:p>
      <w:pPr>
        <w:pStyle w:val="851"/>
        <w:spacing w:before="240" w:after="240" w:line="36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四、技术要求</w:t>
      </w:r>
      <w:r/>
    </w:p>
    <w:p>
      <w:pPr>
        <w:ind w:firstLine="420"/>
        <w:keepLines/>
        <w:keepNext/>
        <w:spacing w:line="360" w:lineRule="atLeast"/>
        <w:rPr>
          <w:rFonts w:hint="eastAsia" w:ascii="宋体" w:hAnsi="宋体" w:cs="宋体"/>
          <w:b/>
          <w:bCs/>
          <w:color w:val="auto"/>
          <w:sz w:val="24"/>
          <w:highlight w:val="none"/>
        </w:rPr>
      </w:pPr>
      <w:r>
        <w:rPr>
          <w:rFonts w:hint="eastAsia" w:ascii="宋体" w:hAnsi="宋体" w:cs="宋体"/>
          <w:b/>
          <w:bCs/>
          <w:color w:val="auto"/>
          <w:sz w:val="24"/>
          <w:highlight w:val="none"/>
        </w:rPr>
        <w:t xml:space="preserve">指标按重要性分为“★”、“#”。★代表实质性指标，不满足该指标项将导致投标无效。#代表重要指标。</w:t>
      </w:r>
      <w:r/>
    </w:p>
    <w:tbl>
      <w:tblPr>
        <w:tblStyle w:val="839"/>
        <w:tblW w:w="9675"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1080"/>
        <w:gridCol w:w="5370"/>
        <w:gridCol w:w="2145"/>
      </w:tblGrid>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实质性指标</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重要指标</w:t>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详细技术要求</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证明材料要求</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门卫室：</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环形岛台：5200*800*600mm，1、人造石台面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2、E0级多层板柜体,甲醛含量≤1.2mg/L，具有防水、防烫、防污、防酸、防碱、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器械柜：2300*1200*500mm，E0级多层板柜体,甲醛含量≤1.2mg/L，具有防水、防烫、防污、防酸、防碱、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单人床：采用实木，表面平整光滑，无结疤，整体结构结实耐用。油漆采用</w:t>
            </w:r>
            <w:r>
              <w:rPr>
                <w:rFonts w:hint="eastAsia" w:ascii="宋体" w:hAnsi="宋体" w:cs="宋体"/>
                <w:i w:val="0"/>
                <w:iCs w:val="0"/>
                <w:color w:val="auto"/>
                <w:sz w:val="20"/>
                <w:szCs w:val="20"/>
                <w:highlight w:val="none"/>
                <w:u w:val="none"/>
                <w:lang w:val="en-US" w:eastAsia="zh-CN" w:bidi="ar"/>
              </w:rPr>
              <w:t xml:space="preserve">哑光聚脂漆，</w:t>
            </w:r>
            <w:r>
              <w:rPr>
                <w:rFonts w:hint="eastAsia" w:ascii="宋体" w:hAnsi="宋体" w:eastAsia="宋体" w:cs="宋体"/>
                <w:i w:val="0"/>
                <w:iCs w:val="0"/>
                <w:color w:val="auto"/>
                <w:sz w:val="20"/>
                <w:szCs w:val="20"/>
                <w:highlight w:val="none"/>
                <w:u w:val="none"/>
                <w:lang w:val="en-US" w:eastAsia="zh-CN" w:bidi="ar"/>
              </w:rPr>
              <w:t xml:space="preserve">油漆无颗粒，无气泡，无渣点，颜色均匀。1500*2000mm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收纳柜：2500（长）*2000*650mm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E0级多层板柜体,甲醛含量≤1.2mg/L，具有防水、防烫、防污、防酸、防碱、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厨房岛台：800*600*2000mm，1、人造石台面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2、E0级多层板柜体,甲醛含量≤1.2mg/L，具有防水、防烫、防污、防酸、防碱、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电磁炉：尺寸：350×280×60mm，功率220V，额定功率3000W</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电饭煲：容量3L</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微波炉：900W微波</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电热水器：60L，一级能耗，加热功率3300W</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隔离室：</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1.2米观察床：床头、尾板：采用铝合金扁管加彩色防火板制作。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床框：40*80*1.5mm方管制作。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床面：采用1.2毫米的冷轧ST14钢板一次冲压成型，特别设计的模具冲压，使床板承载能力更佳。</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床脚：采用方管喷塑，并配防滑脚套。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护栏：折叠式铝合金护栏，带有锁件。护栏上下支架铁件为全套模具化冲压件。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摇手：，结构采用精密装珠轴承加含油铜罗母，并且有双向打滑限位功能，经过全封闭处理，无灰尘进入。</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床主体：碳钢制造，经过除油→水洗→除锈→水洗→水洗→表调→磷化→水洗→钝化→烘干→静电喷塑→180℃高温固化→冷却多道工序处理，使其整体不腐蚀，不生锈，不潮湿，经久耐用，并带有杂物架，引流钩。</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书柜：1、材质：橡木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2、采用橡木，表面平整光滑，无结疤，整体结构结实耐用。油漆采用</w:t>
            </w:r>
            <w:r>
              <w:rPr>
                <w:rFonts w:hint="eastAsia" w:ascii="宋体" w:hAnsi="宋体" w:cs="宋体"/>
                <w:i w:val="0"/>
                <w:iCs w:val="0"/>
                <w:color w:val="auto"/>
                <w:sz w:val="20"/>
                <w:szCs w:val="20"/>
                <w:highlight w:val="none"/>
                <w:u w:val="none"/>
                <w:lang w:val="en-US" w:eastAsia="zh-CN" w:bidi="ar"/>
              </w:rPr>
              <w:t xml:space="preserve">哑光聚脂漆，</w:t>
            </w:r>
            <w:r>
              <w:rPr>
                <w:rFonts w:hint="eastAsia" w:ascii="宋体" w:hAnsi="宋体" w:eastAsia="宋体" w:cs="宋体"/>
                <w:i w:val="0"/>
                <w:iCs w:val="0"/>
                <w:color w:val="auto"/>
                <w:sz w:val="20"/>
                <w:szCs w:val="20"/>
                <w:highlight w:val="none"/>
                <w:u w:val="none"/>
                <w:lang w:val="en-US" w:eastAsia="zh-CN" w:bidi="ar"/>
              </w:rPr>
              <w:t xml:space="preserve">油漆无颗粒，无气泡，无渣点，颜色均匀。</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3、1220*300*750mm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玩具柜：1、材质：橡木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2、采用橡木，表面平整光滑，无结疤，整体结构结实耐用。油漆采用</w:t>
            </w:r>
            <w:r>
              <w:rPr>
                <w:rFonts w:hint="eastAsia" w:ascii="宋体" w:hAnsi="宋体" w:cs="宋体"/>
                <w:i w:val="0"/>
                <w:iCs w:val="0"/>
                <w:color w:val="auto"/>
                <w:sz w:val="20"/>
                <w:szCs w:val="20"/>
                <w:highlight w:val="none"/>
                <w:u w:val="none"/>
                <w:lang w:val="en-US" w:eastAsia="zh-CN" w:bidi="ar"/>
              </w:rPr>
              <w:t xml:space="preserve">哑光聚脂漆，</w:t>
            </w:r>
            <w:r>
              <w:rPr>
                <w:rFonts w:hint="eastAsia" w:ascii="宋体" w:hAnsi="宋体" w:eastAsia="宋体" w:cs="宋体"/>
                <w:i w:val="0"/>
                <w:iCs w:val="0"/>
                <w:color w:val="auto"/>
                <w:sz w:val="20"/>
                <w:szCs w:val="20"/>
                <w:highlight w:val="none"/>
                <w:u w:val="none"/>
                <w:lang w:val="en-US" w:eastAsia="zh-CN" w:bidi="ar"/>
              </w:rPr>
              <w:t xml:space="preserve">油漆无颗粒，无气泡，无渣点，颜色均匀。</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3、1220*300*750mm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玩具桌：采用实木，表面平整光滑，无结疤，整体结构结实耐用。油漆采用</w:t>
            </w:r>
            <w:r>
              <w:rPr>
                <w:rFonts w:hint="eastAsia" w:ascii="宋体" w:hAnsi="宋体" w:cs="宋体"/>
                <w:i w:val="0"/>
                <w:iCs w:val="0"/>
                <w:color w:val="auto"/>
                <w:sz w:val="20"/>
                <w:szCs w:val="20"/>
                <w:highlight w:val="none"/>
                <w:u w:val="none"/>
                <w:lang w:val="en-US" w:eastAsia="zh-CN" w:bidi="ar"/>
              </w:rPr>
              <w:t xml:space="preserve">哑光聚脂漆，</w:t>
            </w:r>
            <w:r>
              <w:rPr>
                <w:rFonts w:hint="eastAsia" w:ascii="宋体" w:hAnsi="宋体" w:eastAsia="宋体" w:cs="宋体"/>
                <w:i w:val="0"/>
                <w:iCs w:val="0"/>
                <w:color w:val="auto"/>
                <w:sz w:val="20"/>
                <w:szCs w:val="20"/>
                <w:highlight w:val="none"/>
                <w:u w:val="none"/>
                <w:lang w:val="en-US" w:eastAsia="zh-CN" w:bidi="ar"/>
              </w:rPr>
              <w:t xml:space="preserve">油漆无颗粒，无气泡，无渣点，颜色均匀。</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800*800*520mm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移动消毒灯：手动灯车，2根紫外线灯管，60W</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消毒柜：不小于290L</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国标二星消毒</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大厅：</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异形沙发：长3500*宽1400mm；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实木框架，表面经除水、防蛀、烘干处理，编织袋打底，蛇形簧造型，多层高密度高回弹棉布艺。</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造型书柜：E0级多层板,甲醛含量≤1.2mg/L，具有防水、防烫、防污、防酸、防碱、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展示柜：E0级多层板,甲醛含量≤1.2mg/L，具有防水、防烫、防污、防酸、防碱、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长6000*高2200*深度400mm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保健室：</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办公桌：1200*600*760mm,饰面：采用三聚氰胺浸渍胶膜纸，依据</w:t>
            </w:r>
            <w:r>
              <w:rPr>
                <w:rFonts w:ascii="宋体" w:hAnsi="宋体" w:eastAsia="宋体" w:cs="宋体"/>
                <w:color w:val="auto"/>
                <w:sz w:val="24"/>
                <w:szCs w:val="24"/>
                <w:highlight w:val="none"/>
              </w:rPr>
              <w:t xml:space="preserve">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w:t>
            </w:r>
            <w:r>
              <w:rPr>
                <w:rFonts w:hint="eastAsia" w:ascii="宋体" w:hAnsi="宋体" w:cs="宋体"/>
                <w:color w:val="auto"/>
                <w:sz w:val="20"/>
                <w:szCs w:val="20"/>
                <w:highlight w:val="none"/>
                <w:u w:val="none"/>
                <w:lang w:bidi="ar"/>
              </w:rPr>
              <w:t xml:space="preserve"> 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color w:val="auto"/>
                <w:sz w:val="20"/>
                <w:szCs w:val="20"/>
                <w:highlight w:val="none"/>
                <w:u w:val="none"/>
                <w:lang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cs="宋体"/>
                <w:color w:val="auto"/>
                <w:sz w:val="20"/>
                <w:szCs w:val="20"/>
                <w:highlight w:val="none"/>
                <w:u w:val="none"/>
                <w:lang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w:t>
            </w:r>
            <w:r>
              <w:rPr>
                <w:rFonts w:hint="eastAsia" w:ascii="宋体" w:hAnsi="宋体" w:cs="宋体"/>
                <w:color w:val="auto"/>
                <w:sz w:val="20"/>
                <w:szCs w:val="20"/>
                <w:highlight w:val="none"/>
                <w:u w:val="none"/>
                <w:lang w:bidi="ar"/>
              </w:rPr>
              <w:t xml:space="preserve"> 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color w:val="auto"/>
                <w:sz w:val="20"/>
                <w:szCs w:val="20"/>
                <w:highlight w:val="none"/>
                <w:u w:val="none"/>
                <w:lang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办公椅：1、面料：</w:t>
            </w:r>
            <w:r>
              <w:rPr>
                <w:rFonts w:hint="eastAsia" w:ascii="宋体" w:hAnsi="宋体" w:cs="宋体"/>
                <w:i w:val="0"/>
                <w:iCs w:val="0"/>
                <w:color w:val="auto"/>
                <w:sz w:val="20"/>
                <w:szCs w:val="20"/>
                <w:highlight w:val="none"/>
                <w:u w:val="none"/>
                <w:lang w:val="en-US" w:eastAsia="zh-CN" w:bidi="ar"/>
              </w:rPr>
              <w:t xml:space="preserve">网布</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color w:val="auto"/>
                <w:sz w:val="20"/>
                <w:szCs w:val="20"/>
                <w:highlight w:val="none"/>
                <w:u w:val="none"/>
                <w:lang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《国家纺织产品基本安全技术规范》；GB/T 31713-2015《抗菌纺织品安全性卫生要求》；GB/T 24346-2009《纺织品 防霉性能的评价》﹔</w:t>
            </w:r>
            <w:r>
              <w:rPr>
                <w:rFonts w:hint="eastAsia" w:ascii="宋体" w:hAnsi="宋体" w:cs="宋体"/>
                <w:color w:val="auto"/>
                <w:sz w:val="20"/>
                <w:szCs w:val="20"/>
                <w:highlight w:val="none"/>
                <w:u w:val="none"/>
                <w:lang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w:t>
            </w:r>
            <w:r>
              <w:rPr>
                <w:rFonts w:hint="eastAsia" w:ascii="宋体" w:hAnsi="宋体" w:cs="宋体"/>
                <w:color w:val="auto"/>
                <w:sz w:val="20"/>
                <w:szCs w:val="20"/>
                <w:highlight w:val="none"/>
                <w:u w:val="none"/>
                <w:lang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家具》；FZ/T 62011.3-2016《布艺类产品 第3部分:家具用纺织品》标准；甲醛含量≤20mg/kg，可分解致癌芳香胺染料未检出，抗菌性能（抑菌率）≥99%，防霉等级0级或1级，产品有害物质（纺织品、皮革中五氯苯酚（PCP））≤0.5mg/kg，沾色-聚酯纤维≥4级。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，依据QB/T 2280-2016《办公家具 办公椅》、GB/T 6343-2009《泡沫塑料及橡胶 表观密度的测定》、</w:t>
            </w:r>
            <w:r>
              <w:rPr>
                <w:rFonts w:hint="eastAsia" w:ascii="宋体" w:hAnsi="宋体" w:cs="宋体"/>
                <w:color w:val="auto"/>
                <w:sz w:val="20"/>
                <w:szCs w:val="20"/>
                <w:highlight w:val="none"/>
                <w:u w:val="none"/>
                <w:lang w:bidi="ar"/>
              </w:rPr>
              <w:t xml:space="preserve"> GB 17927-2024</w:t>
            </w:r>
            <w:r>
              <w:rPr>
                <w:rFonts w:hint="eastAsia" w:ascii="宋体" w:hAnsi="宋体" w:eastAsia="宋体" w:cs="宋体"/>
                <w:i w:val="0"/>
                <w:iCs w:val="0"/>
                <w:color w:val="auto"/>
                <w:sz w:val="20"/>
                <w:szCs w:val="20"/>
                <w:highlight w:val="none"/>
                <w:u w:val="none"/>
                <w:lang w:val="en-US" w:eastAsia="zh-CN" w:bidi="ar"/>
              </w:rPr>
              <w:t xml:space="preserve">《软体家具 床</w:t>
            </w:r>
            <w:r>
              <w:rPr>
                <w:rFonts w:hint="eastAsia" w:ascii="宋体" w:hAnsi="宋体" w:eastAsia="宋体" w:cs="宋体"/>
                <w:i w:val="0"/>
                <w:iCs w:val="0"/>
                <w:color w:val="auto"/>
                <w:sz w:val="20"/>
                <w:szCs w:val="20"/>
                <w:highlight w:val="none"/>
                <w:u w:val="none"/>
                <w:lang w:val="en-US" w:eastAsia="zh-CN" w:bidi="ar"/>
              </w:rPr>
              <w:t xml:space="preserve">垫和沙发抗引燃特性的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3、气压棒：依据</w:t>
            </w:r>
            <w:r>
              <w:rPr>
                <w:rFonts w:hint="eastAsia" w:ascii="宋体" w:hAnsi="宋体" w:cs="宋体"/>
                <w:i w:val="0"/>
                <w:iCs w:val="0"/>
                <w:color w:val="auto"/>
                <w:sz w:val="20"/>
                <w:szCs w:val="20"/>
                <w:highlight w:val="none"/>
                <w:u w:val="none"/>
                <w:lang w:val="en-US" w:eastAsia="zh-CN" w:bidi="ar"/>
              </w:rPr>
              <w:t xml:space="preserve">GB/T 29525-2023</w:t>
            </w:r>
            <w:r>
              <w:rPr>
                <w:rFonts w:hint="eastAsia" w:ascii="宋体" w:hAnsi="宋体" w:eastAsia="宋体" w:cs="宋体"/>
                <w:i w:val="0"/>
                <w:iCs w:val="0"/>
                <w:color w:val="auto"/>
                <w:sz w:val="20"/>
                <w:szCs w:val="20"/>
                <w:highlight w:val="none"/>
                <w:u w:val="none"/>
                <w:lang w:val="en-US" w:eastAsia="zh-CN" w:bidi="ar"/>
              </w:rPr>
              <w:t xml:space="preserve">《座椅升降气弹簧 技术条件》；QB/T 2280-2016《办公家具办公椅》标准；金属件镀层应无烧焦、起泡、针孔、裂纹、毛刺、花斑（不包括镀彩锌）和划痕。气弹簧的启动力应小于1.5F3，气弹簧锁定在任意位置，经72h常温储存后，活塞杆不应产生位移。气弹簧经-30℃和60℃高低温储存后，公称力Fa衰减量应不大于5%。行程100mm，公称力Fa的总衰减量应不大于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4、脚架：</w:t>
            </w:r>
            <w:r>
              <w:rPr>
                <w:rFonts w:hint="eastAsia" w:ascii="宋体" w:hAnsi="宋体" w:cs="宋体"/>
                <w:i w:val="0"/>
                <w:iCs w:val="0"/>
                <w:color w:val="auto"/>
                <w:sz w:val="20"/>
                <w:szCs w:val="20"/>
                <w:highlight w:val="none"/>
                <w:u w:val="none"/>
                <w:lang w:val="en-US" w:eastAsia="zh-CN" w:bidi="ar"/>
              </w:rPr>
              <w:t xml:space="preserve">尼龙</w:t>
            </w:r>
            <w:r>
              <w:rPr>
                <w:rFonts w:hint="eastAsia" w:ascii="宋体" w:hAnsi="宋体" w:eastAsia="宋体" w:cs="宋体"/>
                <w:i w:val="0"/>
                <w:iCs w:val="0"/>
                <w:color w:val="auto"/>
                <w:sz w:val="20"/>
                <w:szCs w:val="20"/>
                <w:highlight w:val="none"/>
                <w:u w:val="none"/>
                <w:lang w:val="en-US" w:eastAsia="zh-CN" w:bidi="ar"/>
              </w:rPr>
              <w:t xml:space="preserve">五星脚架。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5、脚轮：依据QB/T 4765-2014《家具用脚轮》； </w:t>
            </w:r>
            <w:r>
              <w:rPr>
                <w:rFonts w:hint="eastAsia" w:ascii="宋体" w:hAnsi="宋体" w:cs="宋体"/>
                <w:color w:val="auto"/>
                <w:sz w:val="20"/>
                <w:szCs w:val="20"/>
                <w:highlight w:val="none"/>
                <w:u w:val="none"/>
                <w:lang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 《塑料家具中有害物质限量》；</w:t>
            </w:r>
            <w:r>
              <w:rPr>
                <w:rFonts w:hint="eastAsia" w:ascii="宋体" w:hAnsi="宋体" w:cs="宋体"/>
                <w:color w:val="auto"/>
                <w:sz w:val="20"/>
                <w:szCs w:val="20"/>
                <w:highlight w:val="none"/>
                <w:u w:val="none"/>
                <w:lang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16422.3-2022《塑料 实验室光源暴露试验方法 第3部分:荧光紫外灯》；</w:t>
            </w:r>
            <w:r>
              <w:rPr>
                <w:rFonts w:hint="eastAsia" w:ascii="宋体" w:hAnsi="宋体" w:cs="宋体"/>
                <w:color w:val="auto"/>
                <w:sz w:val="20"/>
                <w:szCs w:val="20"/>
                <w:highlight w:val="none"/>
                <w:u w:val="none"/>
                <w:lang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家具》标准；脚轮的轮面光洁，无裂纹、伤痕、毛边等缺陷。抗冲击性、导电性、动载荷、滚动阻力检测合格，实验室光源暴露试验：荧光紫外灯4-5级。产品有害物质（铅、汞）≤1mg/kg。</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档案柜（按场地尺寸定制）带锁：</w:t>
            </w:r>
            <w:r>
              <w:rPr>
                <w:rFonts w:hint="eastAsia" w:ascii="宋体" w:hAnsi="宋体" w:cs="宋体"/>
                <w:i w:val="0"/>
                <w:iCs w:val="0"/>
                <w:color w:val="auto"/>
                <w:sz w:val="20"/>
                <w:szCs w:val="20"/>
                <w:highlight w:val="none"/>
                <w:u w:val="none"/>
                <w:lang w:val="en-US" w:eastAsia="zh-CN" w:bidi="ar"/>
              </w:rPr>
              <w:t xml:space="preserve">W</w:t>
            </w:r>
            <w:r>
              <w:rPr>
                <w:rFonts w:hint="eastAsia" w:ascii="宋体" w:hAnsi="宋体" w:eastAsia="宋体" w:cs="宋体"/>
                <w:i w:val="0"/>
                <w:iCs w:val="0"/>
                <w:color w:val="auto"/>
                <w:sz w:val="20"/>
                <w:szCs w:val="20"/>
                <w:highlight w:val="none"/>
                <w:u w:val="none"/>
                <w:lang w:val="en-US" w:eastAsia="zh-CN" w:bidi="ar"/>
              </w:rPr>
              <w:t xml:space="preserve">900×</w:t>
            </w:r>
            <w:r>
              <w:rPr>
                <w:rFonts w:hint="eastAsia" w:ascii="宋体" w:hAnsi="宋体" w:cs="宋体"/>
                <w:i w:val="0"/>
                <w:iCs w:val="0"/>
                <w:color w:val="auto"/>
                <w:sz w:val="20"/>
                <w:szCs w:val="20"/>
                <w:highlight w:val="none"/>
                <w:u w:val="none"/>
                <w:lang w:val="en-US" w:eastAsia="zh-CN" w:bidi="ar"/>
              </w:rPr>
              <w:t xml:space="preserve">D</w:t>
            </w:r>
            <w:r>
              <w:rPr>
                <w:rFonts w:hint="eastAsia" w:ascii="宋体" w:hAnsi="宋体" w:eastAsia="宋体" w:cs="宋体"/>
                <w:i w:val="0"/>
                <w:iCs w:val="0"/>
                <w:color w:val="auto"/>
                <w:sz w:val="20"/>
                <w:szCs w:val="20"/>
                <w:highlight w:val="none"/>
                <w:u w:val="none"/>
                <w:lang w:val="en-US" w:eastAsia="zh-CN" w:bidi="ar"/>
              </w:rPr>
              <w:t xml:space="preserve">400×</w:t>
            </w:r>
            <w:r>
              <w:rPr>
                <w:rFonts w:hint="eastAsia" w:ascii="宋体" w:hAnsi="宋体" w:cs="宋体"/>
                <w:i w:val="0"/>
                <w:iCs w:val="0"/>
                <w:color w:val="auto"/>
                <w:sz w:val="20"/>
                <w:szCs w:val="20"/>
                <w:highlight w:val="none"/>
                <w:u w:val="none"/>
                <w:lang w:val="en-US" w:eastAsia="zh-CN" w:bidi="ar"/>
              </w:rPr>
              <w:t xml:space="preserve">H</w:t>
            </w:r>
            <w:r>
              <w:rPr>
                <w:rFonts w:hint="eastAsia" w:ascii="宋体" w:hAnsi="宋体" w:eastAsia="宋体" w:cs="宋体"/>
                <w:i w:val="0"/>
                <w:iCs w:val="0"/>
                <w:color w:val="auto"/>
                <w:sz w:val="20"/>
                <w:szCs w:val="20"/>
                <w:highlight w:val="none"/>
                <w:u w:val="none"/>
                <w:lang w:val="en-US" w:eastAsia="zh-CN" w:bidi="ar"/>
              </w:rPr>
              <w:t xml:space="preserve">1850</w:t>
            </w:r>
            <w:r>
              <w:rPr>
                <w:rFonts w:hint="eastAsia" w:ascii="宋体" w:hAnsi="宋体" w:cs="宋体"/>
                <w:i w:val="0"/>
                <w:iCs w:val="0"/>
                <w:color w:val="auto"/>
                <w:sz w:val="20"/>
                <w:szCs w:val="20"/>
                <w:highlight w:val="none"/>
                <w:u w:val="none"/>
                <w:lang w:val="en-US" w:eastAsia="zh-CN" w:bidi="ar"/>
              </w:rPr>
              <w:t xml:space="preserve">mm</w:t>
            </w:r>
            <w:r>
              <w:rPr>
                <w:rFonts w:hint="eastAsia" w:ascii="宋体" w:hAnsi="宋体" w:eastAsia="宋体" w:cs="宋体"/>
                <w:i w:val="0"/>
                <w:iCs w:val="0"/>
                <w:color w:val="auto"/>
                <w:sz w:val="20"/>
                <w:szCs w:val="20"/>
                <w:highlight w:val="none"/>
                <w:u w:val="none"/>
                <w:lang w:val="en-US" w:eastAsia="zh-CN" w:bidi="ar"/>
              </w:rPr>
              <w:t xml:space="preserve">,1.基材：采用品牌厚度0.6mm以上冷轧钢板冲压而成，产品表面经除油、清洗、去锈、磷化清洗、预处理、清洗、钝化等九道工序处理，采用流行色亚光静电喷塑，高温塑化而成。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2.冷轧钢板通过乙酸盐雾试验，连续喷雾试验≥150小时，镀层本身的耐腐蚀等级及镀层对基体的保护等级达到10级。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3.喷塑表面平整、光滑，无流挂、起料、皱皮、露底脱落、伤痕等影响质量的缺陷；</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4.耐腐菌性不低于1级，平整度≤0.2mm，翘曲度≤1mm，符合</w:t>
            </w:r>
            <w:r>
              <w:rPr>
                <w:rFonts w:hint="eastAsia" w:ascii="宋体" w:hAnsi="宋体" w:cs="宋体"/>
                <w:color w:val="auto"/>
                <w:sz w:val="20"/>
                <w:szCs w:val="20"/>
                <w:highlight w:val="none"/>
                <w:u w:val="none"/>
                <w:lang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1741-2020《漆膜耐霉菌性测定法》标准。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备注：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·采用0.6mm冷轧板；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·上2块，下1块活动层板；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·其他按工厂常规工艺</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药品柜带锁：W900×D400×H1850mm,1.基材：采用品牌厚度0.6mm以上冷轧钢板冲压而成，产品表面经除油、清洗、去锈、磷化清洗、预处理、清洗、钝化等九道工序处理，采用流行色亚光静电喷塑，高温塑化而成。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2.冷轧钢板通过乙酸盐雾试验，连续喷雾试验≥150小时，镀层本身的耐腐蚀等级及镀层对基体的保护等级达到10级。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3.喷塑表面平整、光滑，无流挂、起料、皱皮、露底脱落、伤痕等影响质量的缺陷；</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4.耐腐菌性不低于1级，平整度≤0.2mm，翘曲度≤1mm，符合</w:t>
            </w:r>
            <w:r>
              <w:rPr>
                <w:rFonts w:hint="eastAsia" w:ascii="宋体" w:hAnsi="宋体" w:cs="宋体"/>
                <w:color w:val="auto"/>
                <w:sz w:val="20"/>
                <w:szCs w:val="20"/>
                <w:highlight w:val="none"/>
                <w:u w:val="none"/>
                <w:lang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1741-2020《漆膜耐霉菌性测定法》标准。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备注：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·采用0.6mm冷轧板；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·上2块，下1块活动层板；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·其他按工厂常规工艺</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四人位沙发：面料：选用麻绒布，依据</w:t>
            </w:r>
            <w:r>
              <w:rPr>
                <w:rFonts w:hint="eastAsia" w:ascii="宋体" w:hAnsi="宋体" w:cs="宋体"/>
                <w:color w:val="auto"/>
                <w:sz w:val="20"/>
                <w:szCs w:val="20"/>
                <w:highlight w:val="none"/>
                <w:u w:val="none"/>
                <w:lang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《国家纺织产品基本安全技术规范》；GB/T 31713-2015《抗菌纺织品安全性卫生要求》；GB/T 24346-2009《纺织品 防霉性能的评价》；</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《绿色产品评价家具》；FZ/T 62011.3-2016《布艺类产品 第3部分:家具用纺织品》标准；耐水、耐酸汗渍、耐碱汗渍、耐干摩擦、耐唾液符合要求，甲醛含量≤20mg/kg，可分解致癌芳香胺染料未检出，抗菌性能（抑菌率）≥95%，抗引燃特性阻燃Ⅰ级，防霉等级0级或1级，产品有害物质（纺织品、皮革中五氯苯酚（PCP）≤ 0.5mg/kg。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《通用软质聚醚型聚氨酯泡沫塑料》、QB/T 2280-2016《办公家具 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w:t>
            </w:r>
            <w:r>
              <w:rPr>
                <w:rFonts w:hint="eastAsia" w:ascii="宋体" w:hAnsi="宋体" w:eastAsia="宋体" w:cs="宋体"/>
                <w:i w:val="0"/>
                <w:iCs w:val="0"/>
                <w:color w:val="auto"/>
                <w:sz w:val="20"/>
                <w:szCs w:val="20"/>
                <w:highlight w:val="none"/>
                <w:u w:val="none"/>
                <w:lang w:val="en-US" w:eastAsia="zh-CN" w:bidi="ar"/>
              </w:rPr>
              <w:t xml:space="preserve">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绷带：依据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 《国家纺织产 品基本安全技术规范》；GB/T 31713-2015 《抗菌纺织品安全性卫生要求》；GB/T 20944. 2-2007《纺织品抗菌性能的评价 第2部分:吸收法》；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 《绿色产品评价家具》；HJ 2546-2016《环境标志产品技术要求纺织产品》检测标准；甲醛含量≤20mg/kg，可分解致癌芳香胺染料未检出，产品有害物质（纺织品、皮革中五氯苯酚（PCP）≤0.05mg/kg，PH值4.0～7.5，可萃取的重金属（砷、铅、钴、镍）未检出，抗菌性能（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蛇形弹簧：依据</w:t>
            </w:r>
            <w:r>
              <w:rPr>
                <w:rFonts w:hint="eastAsia" w:ascii="宋体" w:hAnsi="宋体" w:cs="宋体"/>
                <w:i w:val="0"/>
                <w:iCs w:val="0"/>
                <w:color w:val="auto"/>
                <w:sz w:val="20"/>
                <w:szCs w:val="20"/>
                <w:highlight w:val="none"/>
                <w:u w:val="none"/>
                <w:lang w:val="en-US" w:eastAsia="zh-CN"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10125-2021《人造气氛腐蚀试验 盐雾试验》；QB/T 3832- 1999《轻工产品金属镀层腐蚀试验结果的评价》；QB/T 4371-2012《家具抗菌性能的评价》；GB/T 1741-2020 《漆膜耐霉菌性测定法》；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家具》标准；喷涂层无漏喷、锈蚀和脱色、掉色现象，乙酸盐雾试验≥220h，镀层本身的耐腐蚀等级≥10级，镀层对基体的保护等级≥10级；产品有害物质（铅、镉、汞、砷）未检出，抑菌率≥99%。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框架：背底采用高频热压机加工成型多层弯曲木板，符合人体工程学。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脚架：采用实木脚架。</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茶几：1200*1200*450mm；饰面：采用三聚氰胺浸渍胶膜纸，依据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茶水台：W800×D400×H850mm；1、饰面：采用木皮，依据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视力表灯箱：1. 供中小学卫生室测试学生的视力</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2.产品规格：5.0M标准对数视力表</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电子体重秤：自动；最大秤量：不小于140kg；身长器测量范围：80-210cm；最小分度值：100g；</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身高坐高计：身高测量范围为60-160cm，坐高测量范围为38-100cm,分度值是0.2KG,铝质标杆</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课桌椅测量尺：各方向360度完全测量；多用途测量工具，量角器、倾角仪和水平尺三合一；量 程：4×90°(0～360°)；显示分辨率： 0.1°；精 度： 0°和90°≤0.1°；其余≤0.2°</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灭火器：8KG干粉灭火器,喷射时间≥14S，喷射距离≥4M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单开门冰箱：类别：单门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制冷剂：R600a</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总容量：不小于90L</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冷冻室：不小于28L</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冷藏室：不小于42L</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消毒柜：不小于290L</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国标二星消毒</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晨检工作台：材质:ABS高强度原料</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规格:三层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颜色:纯白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款式:双抽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尺寸:大号95×53×83</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脚轮:静音脚轮</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移动紫外线消毒灯：手动灯车，2根紫外线灯管，60W</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班级活动室：</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633"/>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自由组合区角柜2：规格206×30×295cm 7件套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1、主框架采用约15mm厚枫木纹</w:t>
            </w:r>
            <w:r>
              <w:rPr>
                <w:rFonts w:hint="eastAsia" w:ascii="宋体" w:hAnsi="宋体" w:cs="宋体"/>
                <w:i w:val="0"/>
                <w:iCs w:val="0"/>
                <w:color w:val="auto"/>
                <w:sz w:val="20"/>
                <w:szCs w:val="20"/>
                <w:highlight w:val="none"/>
                <w:u w:val="none"/>
                <w:lang w:val="en-US" w:eastAsia="zh-CN" w:bidi="ar"/>
              </w:rPr>
              <w:t xml:space="preserve">双贴面橡胶木</w:t>
            </w:r>
            <w:r>
              <w:rPr>
                <w:rFonts w:hint="eastAsia" w:ascii="宋体" w:hAnsi="宋体" w:eastAsia="宋体" w:cs="宋体"/>
                <w:i w:val="0"/>
                <w:iCs w:val="0"/>
                <w:color w:val="auto"/>
                <w:sz w:val="20"/>
                <w:szCs w:val="20"/>
                <w:highlight w:val="none"/>
                <w:u w:val="none"/>
                <w:lang w:val="en-US" w:eastAsia="zh-CN" w:bidi="ar"/>
              </w:rPr>
              <w:t xml:space="preserve">，甲醛释放量≤0.025mg/m³，符合Enf级，层板采用约15mm厚枫木纹双贴面胶合板，背板约为5mm枫木纹双贴面密度板，甲醛释放量≤0.025mg/m³，符合Enf级</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木蜡油封边，成膜牢固，搅拌后均匀无硬块，细度、干燥时间、贮存稳定性、涂膜外观、光泽、硬度、附着力、耐干热性、耐水性、耐碱性、耐醇性、耐污染性（醋、茶）、挥发性有机化合物(VOC)含量、苯含量、甲苯二甲苯乙苯含量总和、卤代烃含量、可溶性重金属（铅、镉、铬、汞）含量符合GB/T 27811-2011标准要求</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4、柜体内部格局分为三层</w:t>
            </w:r>
            <w:r>
              <w:rPr>
                <w:rFonts w:hint="eastAsia" w:ascii="宋体" w:hAnsi="宋体" w:cs="宋体"/>
                <w:i w:val="0"/>
                <w:iCs w:val="0"/>
                <w:color w:val="auto"/>
                <w:sz w:val="20"/>
                <w:szCs w:val="20"/>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t xml:space="preserve">投标时提供符合GB/T39600-2021国家标准规范要求的</w:t>
            </w:r>
            <w:r>
              <w:rPr>
                <w:rFonts w:hint="eastAsia" w:ascii="宋体" w:hAnsi="宋体" w:cs="宋体"/>
                <w:i w:val="0"/>
                <w:iCs w:val="0"/>
                <w:color w:val="auto"/>
                <w:sz w:val="20"/>
                <w:szCs w:val="20"/>
                <w:highlight w:val="none"/>
                <w:lang w:val="en-US" w:eastAsia="zh-CN" w:bidi="ar"/>
              </w:rPr>
              <w:t xml:space="preserve">橡胶木</w:t>
            </w:r>
            <w:r>
              <w:rPr>
                <w:rFonts w:hint="eastAsia" w:ascii="宋体" w:hAnsi="宋体" w:eastAsia="宋体" w:cs="宋体"/>
                <w:i w:val="0"/>
                <w:iCs w:val="0"/>
                <w:color w:val="auto"/>
                <w:sz w:val="20"/>
                <w:szCs w:val="20"/>
                <w:highlight w:val="none"/>
                <w:lang w:val="en-US" w:eastAsia="zh-CN" w:bidi="ar"/>
              </w:rPr>
              <w:t xml:space="preserve">检测报告（检测报告上须有CMA或CNAS的标识）</w:t>
            </w:r>
            <w:r>
              <w:rPr>
                <w:rFonts w:hint="eastAsia" w:ascii="宋体" w:hAnsi="宋体" w:cs="宋体"/>
                <w:i w:val="0"/>
                <w:iCs w:val="0"/>
                <w:color w:val="auto"/>
                <w:sz w:val="20"/>
                <w:szCs w:val="20"/>
                <w:highlight w:val="none"/>
                <w:lang w:val="en-US" w:eastAsia="zh-CN" w:bidi="ar"/>
              </w:rPr>
              <w:t xml:space="preserve">原件扫描件，检测项目包括</w:t>
            </w:r>
            <w:r>
              <w:rPr>
                <w:rFonts w:hint="eastAsia" w:ascii="宋体" w:hAnsi="宋体" w:eastAsia="宋体" w:cs="宋体"/>
                <w:i w:val="0"/>
                <w:iCs w:val="0"/>
                <w:color w:val="auto"/>
                <w:sz w:val="20"/>
                <w:szCs w:val="20"/>
                <w:highlight w:val="none"/>
                <w:lang w:val="en-US" w:eastAsia="zh-CN" w:bidi="ar"/>
              </w:rPr>
              <w:t xml:space="preserve">甲醛释放量≤0.025mg/m³，符合Enf级。</w:t>
            </w:r>
            <w:r/>
          </w:p>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b w:val="0"/>
                <w:bCs w:val="0"/>
                <w:i w:val="0"/>
                <w:iCs w:val="0"/>
                <w:color w:val="auto"/>
                <w:sz w:val="20"/>
                <w:szCs w:val="20"/>
                <w:highlight w:val="none"/>
                <w:lang w:val="en-US" w:eastAsia="zh-CN" w:bidi="ar"/>
              </w:rPr>
              <w:t xml:space="preserve">（中标供应商签订合同前提交其投标文件中上报的检测报告的原件让采购人或者代理机构核查，核查不合格的上报监管部门。）</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厨房：规格约；65×160×31cm 4件套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1、框体采用约18mm厚环保三聚氰胺双贴面刨花板，甲醛释放量符合GB/T 39600-2021标准要求，甲醛释放量≤0.025mg/m³，符合Enf级； 背板约为5mm枫木纹双贴面密度板，甲醛释放量符合GB/T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PVC封边条封边，表面光滑无污点，花纹清晰均匀，色泽均匀无色差，转角过渡自然，耐干热性、耐磨性、耐开裂性、耐老化性、耐冷热循环性、耐光色牢度、甲醛释放量、氯乙烯单体、可迁移元素（铅、镉、铬、汞、砷、钡、锑、硒）含量、邻苯二甲酸酯总量、多溴联苯(PBB)、多溴联苯醚(PBDE)等符合</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标准要求</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厨房主题图案UV打印工艺处理，颜色饱满，图案附着力好，生动立体，不易褪色，无异味，无结块，且所使用的UV打印均为环保材料，颜色、着色力、细度、干燥性、有害可溶性元素（铅，镉，铬，钡，锑，汞，砷，硒）、挥发性有机化合物(VOCs)含量等符合QB/T 5603-2021标准要求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5、采用直径33mm加大旋钮设计，易于儿童使用，并明显标识指针位置</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6、洗涤台顶板设有直径18.5cm的圆形孔洞，用于放置不锈钢盆</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玩具柜（带轮）：尺寸：W80×D30×H84cm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1、侧板、顶板、上饰板采用约18mm厚枫木纹双贴面新松木，松木实木板甲醛释放量符合GB/T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2、层板、中竖板、底板、踢脚板采用约16mm厚枫木纹双贴面刨花板，饰面刨花板甲醛释放量符合GB/T 39600-2021标准要求，甲醛释放量≤0.025mg/m³，符合Enf级；背板约为5mm厚枫木纹双贴面密度板，饰面密度板甲醛释放量符合GB/T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PVC封边条封边，表面光滑无污点，花纹清晰均匀，色泽均匀无色差，转角过渡自然，耐干热性、耐磨性、耐开裂性、耐老化性、耐冷热循环性、耐光色牢度、甲醛释放量、氯乙烯单体、可迁移元素（铅、镉、铬、汞、砷、钡、锑、硒）含量、邻苯二甲酸酯总量、多溴联苯(PBB)、多溴联苯醚(PBDE)等符合</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4、五金件选用环保五金，镉、铅、汞、六价铬含量符合GB/T 26572-2011标准要求</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儿童书柜（带轮）：尺寸：W83×D30×H80cm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1、侧板、竖板、底板、踢脚板采用约18mm厚枫木纹双贴面刨花板，甲醛释放量符合GB/T 39600-2021标准要求，甲醛释放量≤0.025mg/m³，符合Enf级；层板采用约5mm厚枫木纹双贴面密度板，饰面密度板甲醛释放量符合GB/T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PVC封边条封边，表面光滑无污点，花纹清晰均匀，色泽均匀无色差，转角过渡自然，耐干热性、耐磨性、耐开裂性、耐老化性、耐冷热循环性、耐光色牢度、甲醛释放量、氯乙烯单体、可迁移元素（铅、镉、铬、汞、砷、钡、锑、硒）含量、邻苯二甲酸酯总量、多溴联苯(PBB)、多溴联苯醚(PBDE)等符合</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4、书柜采用错层设计，方便图书的分类摆放及取阅，共设4层，各层间竖隔板为流线弧形设计；各层内空尺寸为W794×D51mm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美工材料柜（带轮）：尺寸：W80×D30×H80cm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1、侧板</w:t>
            </w:r>
            <w:r>
              <w:rPr>
                <w:rFonts w:hint="eastAsia" w:ascii="宋体" w:hAnsi="宋体" w:eastAsia="宋体" w:cs="宋体"/>
                <w:i w:val="0"/>
                <w:iCs w:val="0"/>
                <w:color w:val="auto"/>
                <w:sz w:val="20"/>
                <w:szCs w:val="20"/>
                <w:highlight w:val="none"/>
                <w:u w:val="none"/>
                <w:lang w:val="en-US" w:eastAsia="zh-CN" w:bidi="ar"/>
              </w:rPr>
              <w:t xml:space="preserve">、顶板、上背板采用约18mm厚枫木纹双贴面松木，松木实木板甲醛释放量符合GB/T 39600-2021标准要求，甲醛释放量≤0.025mg/m³，符合Enf级；上方左侧层板采用约9mm厚枫木纹双贴面胶合板，上方右侧层板采用约15mm厚枫木纹双贴面胶合板，饰面胶合板甲醛释放量符合GB/T 39600-2021标准要求，甲醛释放量≤0.025mg/m³，符合Enf级；背板为5mm厚枫木纹双贴面密度板，饰面密度板甲醛释放量符合GB/T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2、竖隔板、下层板、底板、踢脚板采用16mm厚枫木纹双贴面刨花板，饰面刨花板甲醛释放量符合GB/T 39600-2021标准要求，甲醛释放量≤0.025mg/m³，符合Enf级；PVC封边条封边，表面光滑无污点，花纹清晰均匀，色泽均匀无色差，转角过渡自然，耐干热性、耐磨性、耐开裂性、耐老化性、耐冷热循环性、耐光色牢度、甲醛释放量、氯乙烯单体、可迁移元素（铅、镉、铬、汞、砷、钡、锑、硒）含量、邻苯二甲酸酯总量、多溴联苯(PBB)、多溴联苯醚(PBDE)等符合</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4、本款产品上部分为综合存放空间</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可放置画纸及幼儿作品</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插入画笔等物</w:t>
            </w:r>
            <w:r>
              <w:rPr>
                <w:rFonts w:hint="eastAsia" w:ascii="宋体" w:hAnsi="宋体" w:cs="宋体"/>
                <w:i w:val="0"/>
                <w:iCs w:val="0"/>
                <w:color w:val="auto"/>
                <w:sz w:val="20"/>
                <w:szCs w:val="20"/>
                <w:highlight w:val="none"/>
                <w:u w:val="none"/>
                <w:lang w:val="en-US" w:eastAsia="zh-CN" w:bidi="ar"/>
              </w:rPr>
              <w:t xml:space="preserve">和</w:t>
            </w:r>
            <w:r>
              <w:rPr>
                <w:rFonts w:hint="eastAsia" w:ascii="宋体" w:hAnsi="宋体" w:eastAsia="宋体" w:cs="宋体"/>
                <w:i w:val="0"/>
                <w:iCs w:val="0"/>
                <w:color w:val="auto"/>
                <w:sz w:val="20"/>
                <w:szCs w:val="20"/>
                <w:highlight w:val="none"/>
                <w:u w:val="none"/>
                <w:lang w:val="en-US" w:eastAsia="zh-CN" w:bidi="ar"/>
              </w:rPr>
              <w:t xml:space="preserve">用于放置颜料</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柜体下部分为</w:t>
            </w:r>
            <w:r>
              <w:rPr>
                <w:rFonts w:hint="eastAsia" w:ascii="宋体" w:hAnsi="宋体" w:cs="宋体"/>
                <w:i w:val="0"/>
                <w:iCs w:val="0"/>
                <w:color w:val="auto"/>
                <w:sz w:val="20"/>
                <w:szCs w:val="20"/>
                <w:highlight w:val="none"/>
                <w:u w:val="none"/>
                <w:lang w:val="en-US" w:eastAsia="zh-CN" w:bidi="ar"/>
              </w:rPr>
              <w:t xml:space="preserve">多</w:t>
            </w:r>
            <w:r>
              <w:rPr>
                <w:rFonts w:hint="eastAsia" w:ascii="宋体" w:hAnsi="宋体" w:eastAsia="宋体" w:cs="宋体"/>
                <w:i w:val="0"/>
                <w:iCs w:val="0"/>
                <w:color w:val="auto"/>
                <w:sz w:val="20"/>
                <w:szCs w:val="20"/>
                <w:highlight w:val="none"/>
                <w:u w:val="none"/>
                <w:lang w:val="en-US" w:eastAsia="zh-CN" w:bidi="ar"/>
              </w:rPr>
              <w:t xml:space="preserve">层格柜，</w:t>
            </w:r>
            <w:r>
              <w:rPr>
                <w:rFonts w:hint="eastAsia" w:ascii="宋体" w:hAnsi="宋体" w:cs="宋体"/>
                <w:i w:val="0"/>
                <w:iCs w:val="0"/>
                <w:color w:val="auto"/>
                <w:sz w:val="20"/>
                <w:szCs w:val="20"/>
                <w:highlight w:val="none"/>
                <w:u w:val="none"/>
                <w:lang w:val="en-US" w:eastAsia="zh-CN" w:bidi="ar"/>
              </w:rPr>
              <w:t xml:space="preserve">可</w:t>
            </w:r>
            <w:r>
              <w:rPr>
                <w:rFonts w:hint="eastAsia" w:ascii="宋体" w:hAnsi="宋体" w:eastAsia="宋体" w:cs="宋体"/>
                <w:i w:val="0"/>
                <w:iCs w:val="0"/>
                <w:color w:val="auto"/>
                <w:sz w:val="20"/>
                <w:szCs w:val="20"/>
                <w:highlight w:val="none"/>
                <w:u w:val="none"/>
                <w:lang w:val="en-US" w:eastAsia="zh-CN" w:bidi="ar"/>
              </w:rPr>
              <w:t xml:space="preserve">方便不同尺寸、规格物品的收纳、整理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yellow"/>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5、采用踢脚板设计，既增加了稳定性，又可以防止杂物进入柜底</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t xml:space="preserve">投标时</w:t>
            </w:r>
            <w:r>
              <w:rPr>
                <w:rFonts w:hint="eastAsia" w:ascii="宋体" w:hAnsi="宋体" w:cs="宋体"/>
                <w:i w:val="0"/>
                <w:iCs w:val="0"/>
                <w:color w:val="auto"/>
                <w:sz w:val="20"/>
                <w:szCs w:val="20"/>
                <w:highlight w:val="none"/>
                <w:lang w:val="en-US" w:eastAsia="zh-CN" w:bidi="ar"/>
              </w:rPr>
              <w:t xml:space="preserve">提供符合QB/T 4765-2014国家</w:t>
            </w:r>
            <w:r>
              <w:rPr>
                <w:rFonts w:hint="eastAsia" w:ascii="宋体" w:hAnsi="宋体" w:cs="宋体"/>
                <w:i w:val="0"/>
                <w:iCs w:val="0"/>
                <w:color w:val="auto"/>
                <w:sz w:val="20"/>
                <w:szCs w:val="20"/>
                <w:highlight w:val="none"/>
                <w:lang w:val="en-US" w:eastAsia="zh-CN" w:bidi="ar"/>
              </w:rPr>
              <w:t xml:space="preserve">标准规范要求的PVC封边条检测报告(检测报告上须有CMA或CNAS的标识)原件扫描件，检测项目包括但不限于：外观-塑料封边条、规格尺寸及其偏差和形状公差-形状公差、理化性能-塑料封边条[耐干热性，耐磨性，耐龟裂性≥4级，耐冷热循环性，耐光色牢度(灰色样卡)≥4级]、有害物质限量[甲醛释放量≤0.5mg/L，氯乙烯单体≤5mg/kg，可迁移元素(可溶性重金属)（铅、镉、铬、汞、砷、钡、锑、硒）含量符合，邻苯二甲酸酯含量符合，多溴联苯(PBB)符合，多溴联苯醚(PBDE)符合]等检测指标，判定合格满足以上要求。</w:t>
            </w:r>
            <w:r/>
          </w:p>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t xml:space="preserve">（中标供应商签订合同前提交其投标文件中上报的检测报告的原件让采购人或者代理机构核查，核查不合格的上报监管部门。）</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长桌（小班）：桌面尺寸：120×60×49cm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1、桌面采用约25mm厚防火板双贴面松木，甲醛释放量符合GB/T39600-2021标准要求，甲醛释放量≤0.025mg/m³，符合Enf级；桌面背部使用塑料应力杆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2、木蜡油封边，成</w:t>
            </w:r>
            <w:r>
              <w:rPr>
                <w:rFonts w:hint="eastAsia" w:ascii="宋体" w:hAnsi="宋体" w:eastAsia="宋体" w:cs="宋体"/>
                <w:i w:val="0"/>
                <w:iCs w:val="0"/>
                <w:color w:val="auto"/>
                <w:sz w:val="20"/>
                <w:szCs w:val="20"/>
                <w:highlight w:val="none"/>
                <w:u w:val="none"/>
                <w:lang w:val="en-US" w:eastAsia="zh-CN" w:bidi="ar"/>
              </w:rPr>
              <w:t xml:space="preserve">膜牢固，搅拌后均匀无硬块，木蜡油在容器中状态；细度≤40μm；干燥时间[表干≤8h、实干≤24h]；贮存稳定性[结皮性-无结皮、沉降性-无异常]；涂膜外观正常；光泽(60°)；硬度 (擦伤)≥B；附着力(划格间距2mm)≤1级；耐干热性≤2级；耐水性无异常；耐碱性无异常；耐醇性无异常；耐污染性（醋、茶）无异常；挥发性有机化合物(VOC)含量≤450g/L；苯含量未检出；甲苯、二甲苯、乙苯含量总和未检出；卤代烃含量≤0.1%；无可溶性重金属含量（铅、镉、铬、汞）符合GB/T27811-2011国家标准规范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t xml:space="preserve">投标时提供符合GB/T27811-2011国家标准规范要求</w:t>
            </w:r>
            <w:r>
              <w:rPr>
                <w:rFonts w:hint="eastAsia" w:ascii="宋体" w:hAnsi="宋体" w:cs="宋体"/>
                <w:i w:val="0"/>
                <w:iCs w:val="0"/>
                <w:color w:val="auto"/>
                <w:sz w:val="20"/>
                <w:szCs w:val="20"/>
                <w:highlight w:val="none"/>
                <w:lang w:val="en-US" w:eastAsia="zh-CN" w:bidi="ar"/>
              </w:rPr>
              <w:t xml:space="preserve">的木蜡油</w:t>
            </w:r>
            <w:r>
              <w:rPr>
                <w:rFonts w:hint="eastAsia" w:ascii="宋体" w:hAnsi="宋体" w:eastAsia="宋体" w:cs="宋体"/>
                <w:i w:val="0"/>
                <w:iCs w:val="0"/>
                <w:color w:val="auto"/>
                <w:sz w:val="20"/>
                <w:szCs w:val="20"/>
                <w:highlight w:val="none"/>
                <w:lang w:val="en-US" w:eastAsia="zh-CN" w:bidi="ar"/>
              </w:rPr>
              <w:t xml:space="preserve">检测报告（检测报告上须有CMA或CNAS 的标识）</w:t>
            </w:r>
            <w:r>
              <w:rPr>
                <w:rFonts w:hint="eastAsia" w:ascii="宋体" w:hAnsi="宋体" w:cs="宋体"/>
                <w:i w:val="0"/>
                <w:iCs w:val="0"/>
                <w:color w:val="auto"/>
                <w:sz w:val="20"/>
                <w:szCs w:val="20"/>
                <w:highlight w:val="none"/>
                <w:lang w:val="en-US" w:eastAsia="zh-CN" w:bidi="ar"/>
              </w:rPr>
              <w:t xml:space="preserve">原件扫描件</w:t>
            </w:r>
            <w:r>
              <w:rPr>
                <w:rFonts w:hint="eastAsia" w:ascii="宋体" w:hAnsi="宋体" w:eastAsia="宋体" w:cs="宋体"/>
                <w:i w:val="0"/>
                <w:iCs w:val="0"/>
                <w:color w:val="auto"/>
                <w:sz w:val="20"/>
                <w:szCs w:val="20"/>
                <w:highlight w:val="none"/>
                <w:lang w:val="en-US" w:eastAsia="zh-CN" w:bidi="ar"/>
              </w:rPr>
              <w:t xml:space="preserve">，检测项目包括但不限于：在容器中状态；细度≤40μm；干燥时间[表干≤8h、实干≤24h]；贮存稳定性[结皮性-无结皮、沉降性-无异常]；涂膜外观正常；光泽(60°)；硬度 (擦伤)≥B；附着力(划格间距2mm)≤1级；耐干热性≤2级；耐水性无异常；耐碱性无异常；耐醇性无异常；耐污染性（醋、茶）无异常；挥发性有机化合物(VOC)含量≤450g/L；苯含量未检出；甲苯、二甲苯、乙苯含量总和未检出；卤代烃含量≤0.1%；可溶性重金属含量（铅、镉、铬、汞）未检出等检测指标。</w:t>
            </w:r>
            <w:r/>
          </w:p>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t xml:space="preserve">（中标供应商签订合同前提交其投标文件中上报的检测报告的原件让采购人或者代理机构核查，核查不合格的上报监管部门。）</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长桌（中班）：桌面尺寸：120×60×52cm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1、桌面采用25mm厚防火板双贴面松木，甲醛释放量符合GB/T39600-2021标准要求，甲醛释放量≤0.025mg/m³，符合Enf级；桌面背部使用塑料应力杆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木蜡油封边，成膜牢固，搅拌后均匀无硬块，细度、干燥时间、贮存稳定性、涂膜外观、光泽、硬度、附着力、耐干热性、耐水性、耐碱性、耐醇性、耐污染性（醋、茶）、挥发性有机化合物(VOC)含量、苯含量、甲苯二甲苯乙苯含量总和、卤代烃含量、可溶性重金属（铅、镉、铬、汞）含量符合GB/T 27811-2011标准要求</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3、桌脚采用直径48mm桦木，表面采用</w:t>
            </w:r>
            <w:r>
              <w:rPr>
                <w:rFonts w:hint="eastAsia" w:ascii="宋体" w:hAnsi="宋体" w:cs="宋体"/>
                <w:i w:val="0"/>
                <w:iCs w:val="0"/>
                <w:color w:val="auto"/>
                <w:sz w:val="20"/>
                <w:szCs w:val="20"/>
                <w:highlight w:val="none"/>
                <w:u w:val="none"/>
                <w:lang w:val="en-US" w:eastAsia="zh-CN" w:bidi="ar"/>
              </w:rPr>
              <w:t xml:space="preserve">油漆处理</w:t>
            </w:r>
            <w:r>
              <w:rPr>
                <w:rFonts w:hint="eastAsia" w:ascii="宋体" w:hAnsi="宋体" w:eastAsia="宋体" w:cs="宋体"/>
                <w:i w:val="0"/>
                <w:iCs w:val="0"/>
                <w:color w:val="auto"/>
                <w:sz w:val="20"/>
                <w:szCs w:val="20"/>
                <w:highlight w:val="none"/>
                <w:u w:val="none"/>
                <w:lang w:val="en-US" w:eastAsia="zh-CN" w:bidi="ar"/>
              </w:rPr>
              <w:t xml:space="preserve">，挥发性有机化合物(VOC)含量、甲醛含量、苯甲苯乙苯和二甲苯的含量总和、乙二醇醚及其酯含量、重金属元素（铅、镉、六价铬、汞、砷、钡、锑、硒）含量等符合GB/T 35602-2017标准要求桌面背面设置有4个</w:t>
            </w:r>
            <w:r>
              <w:rPr>
                <w:rFonts w:hint="eastAsia" w:ascii="宋体" w:hAnsi="宋体" w:cs="宋体"/>
                <w:i w:val="0"/>
                <w:iCs w:val="0"/>
                <w:color w:val="auto"/>
                <w:sz w:val="20"/>
                <w:szCs w:val="20"/>
                <w:highlight w:val="none"/>
                <w:u w:val="none"/>
                <w:lang w:val="en-US" w:eastAsia="zh-CN" w:bidi="ar"/>
              </w:rPr>
              <w:t xml:space="preserve">塑料</w:t>
            </w:r>
            <w:r>
              <w:rPr>
                <w:rFonts w:hint="eastAsia" w:ascii="宋体" w:hAnsi="宋体" w:eastAsia="宋体" w:cs="宋体"/>
                <w:i w:val="0"/>
                <w:iCs w:val="0"/>
                <w:color w:val="auto"/>
                <w:sz w:val="20"/>
                <w:szCs w:val="20"/>
                <w:highlight w:val="none"/>
                <w:u w:val="none"/>
                <w:lang w:val="en-US" w:eastAsia="zh-CN" w:bidi="ar"/>
              </w:rPr>
              <w:t xml:space="preserve">连接件，桌脚使用螺旋安装方式与桌面连接，方便拆卸桌脚底部配置塑料脚套</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4、采用环保</w:t>
            </w:r>
            <w:r>
              <w:rPr>
                <w:rFonts w:hint="eastAsia" w:ascii="宋体" w:hAnsi="宋体" w:cs="宋体"/>
                <w:i w:val="0"/>
                <w:iCs w:val="0"/>
                <w:color w:val="auto"/>
                <w:sz w:val="20"/>
                <w:szCs w:val="20"/>
                <w:highlight w:val="none"/>
                <w:u w:val="none"/>
                <w:lang w:val="en-US" w:eastAsia="zh-CN" w:bidi="ar"/>
              </w:rPr>
              <w:t xml:space="preserve">塑料</w:t>
            </w:r>
            <w:r>
              <w:rPr>
                <w:rFonts w:hint="eastAsia" w:ascii="宋体" w:hAnsi="宋体" w:eastAsia="宋体" w:cs="宋体"/>
                <w:i w:val="0"/>
                <w:iCs w:val="0"/>
                <w:color w:val="auto"/>
                <w:sz w:val="20"/>
                <w:szCs w:val="20"/>
                <w:highlight w:val="none"/>
                <w:u w:val="none"/>
                <w:lang w:val="en-US" w:eastAsia="zh-CN" w:bidi="ar"/>
              </w:rPr>
              <w:t xml:space="preserve">，不易开裂，黑曲霉、球毛壳霉、宛氏拟青霉、绳状青霉、长枝木霉长霉等级为0级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、五金件选用环保五金，镉、铅、汞、六价铬含量符合GB/T 26572-2011标准要求</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t xml:space="preserve">投标时提供具有CMA或CNAS标志的第三方机构出具的塑料检测报告</w:t>
            </w:r>
            <w:r>
              <w:rPr>
                <w:rFonts w:hint="eastAsia" w:ascii="宋体" w:hAnsi="宋体" w:cs="宋体"/>
                <w:i w:val="0"/>
                <w:iCs w:val="0"/>
                <w:color w:val="auto"/>
                <w:sz w:val="20"/>
                <w:szCs w:val="20"/>
                <w:highlight w:val="none"/>
                <w:lang w:val="en-US" w:eastAsia="zh-CN" w:bidi="ar"/>
              </w:rPr>
              <w:t xml:space="preserve">原件扫描件</w:t>
            </w:r>
            <w:r>
              <w:rPr>
                <w:rFonts w:hint="eastAsia" w:ascii="宋体" w:hAnsi="宋体" w:eastAsia="宋体" w:cs="宋体"/>
                <w:i w:val="0"/>
                <w:iCs w:val="0"/>
                <w:color w:val="auto"/>
                <w:sz w:val="20"/>
                <w:szCs w:val="20"/>
                <w:highlight w:val="none"/>
                <w:lang w:val="en-US" w:eastAsia="zh-CN" w:bidi="ar"/>
              </w:rPr>
              <w:t xml:space="preserve">，检测项目应均包含：（1）垂直燃烧等级≥V-0；（2）防霉等级0级。</w:t>
            </w:r>
            <w:r/>
          </w:p>
          <w:p>
            <w:pPr>
              <w:numPr>
                <w:ilvl w:val="0"/>
                <w:numId w:val="0"/>
              </w:numPr>
              <w:jc w:val="left"/>
              <w:keepLines w:val="0"/>
              <w:keepNext w:val="0"/>
              <w:widowControl/>
              <w:rPr>
                <w:rFonts w:hint="eastAsia"/>
                <w:color w:val="auto"/>
                <w:highlight w:val="none"/>
                <w:lang w:val="en-US" w:eastAsia="zh-CN"/>
              </w:rPr>
              <w:suppressLineNumbers w:val="0"/>
            </w:pPr>
            <w:r>
              <w:rPr>
                <w:rFonts w:hint="eastAsia" w:ascii="宋体" w:hAnsi="宋体" w:eastAsia="宋体" w:cs="宋体"/>
                <w:i w:val="0"/>
                <w:iCs w:val="0"/>
                <w:color w:val="auto"/>
                <w:sz w:val="20"/>
                <w:szCs w:val="20"/>
                <w:highlight w:val="none"/>
                <w:lang w:val="en-US" w:eastAsia="zh-CN" w:bidi="ar"/>
              </w:rPr>
              <w:t xml:space="preserve">（中标供应商签订合同前提交其投标文件中上报的检测报告的原件让采购人或者代理机构核查，核查不合格的上报监管部门。）</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长桌（大班）：桌面尺寸：120×60×55cm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1、桌面采用25mm厚防火板双贴面松木，甲醛释放量符合GB/T39600-2021标准要求，甲醛释放量≤0.025mg/m³，符合Enf级；桌面背部使用塑料应力杆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木蜡油封边，成膜牢固，搅拌后均匀无硬块，细度、干燥时间、贮存稳定性、涂膜外观、光泽、硬度、附着力、耐干热性、耐水性、耐碱性、耐醇性、耐污染性（醋、茶）、挥发性有机化合物(VOC)含量、苯含量、甲苯二甲苯乙苯含量总和、卤代烃含量、可溶性重金属（铅、镉、铬、汞）含量符合GB/T 27811-2011标准要求</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3、桌脚采用直径约48mm桦木，表面采用</w:t>
            </w:r>
            <w:r>
              <w:rPr>
                <w:rFonts w:hint="eastAsia" w:ascii="宋体" w:hAnsi="宋体" w:cs="宋体"/>
                <w:i w:val="0"/>
                <w:iCs w:val="0"/>
                <w:color w:val="auto"/>
                <w:sz w:val="20"/>
                <w:szCs w:val="20"/>
                <w:highlight w:val="none"/>
                <w:u w:val="none"/>
                <w:lang w:val="en-US" w:eastAsia="zh-CN" w:bidi="ar"/>
              </w:rPr>
              <w:t xml:space="preserve">油漆处理</w:t>
            </w:r>
            <w:r>
              <w:rPr>
                <w:rFonts w:hint="eastAsia" w:ascii="宋体" w:hAnsi="宋体" w:eastAsia="宋体" w:cs="宋体"/>
                <w:i w:val="0"/>
                <w:iCs w:val="0"/>
                <w:color w:val="auto"/>
                <w:sz w:val="20"/>
                <w:szCs w:val="20"/>
                <w:highlight w:val="none"/>
                <w:u w:val="none"/>
                <w:lang w:val="en-US" w:eastAsia="zh-CN" w:bidi="ar"/>
              </w:rPr>
              <w:t xml:space="preserve">，挥发性有机化合物(VOC)含量、甲醛含量、苯甲苯乙苯和二甲苯的含量总和、乙二醇醚及其酯含量、重金属元素（铅、镉、六价铬、汞、砷、钡、锑、硒）含量等符合GB/T 35602-2017标准要求</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桌面背面设置有4个</w:t>
            </w:r>
            <w:r>
              <w:rPr>
                <w:rFonts w:hint="eastAsia" w:ascii="宋体" w:hAnsi="宋体" w:cs="宋体"/>
                <w:i w:val="0"/>
                <w:iCs w:val="0"/>
                <w:color w:val="auto"/>
                <w:sz w:val="20"/>
                <w:szCs w:val="20"/>
                <w:highlight w:val="none"/>
                <w:u w:val="none"/>
                <w:lang w:val="en-US" w:eastAsia="zh-CN" w:bidi="ar"/>
              </w:rPr>
              <w:t xml:space="preserve">塑料</w:t>
            </w:r>
            <w:r>
              <w:rPr>
                <w:rFonts w:hint="eastAsia" w:ascii="宋体" w:hAnsi="宋体" w:eastAsia="宋体" w:cs="宋体"/>
                <w:i w:val="0"/>
                <w:iCs w:val="0"/>
                <w:color w:val="auto"/>
                <w:sz w:val="20"/>
                <w:szCs w:val="20"/>
                <w:highlight w:val="none"/>
                <w:u w:val="none"/>
                <w:lang w:val="en-US" w:eastAsia="zh-CN" w:bidi="ar"/>
              </w:rPr>
              <w:t xml:space="preserve">连接件，桌脚使用螺旋安装方式与桌面连接，方便拆卸桌脚底部配置塑料脚套</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采用环保</w:t>
            </w:r>
            <w:r>
              <w:rPr>
                <w:rFonts w:hint="eastAsia" w:ascii="宋体" w:hAnsi="宋体" w:cs="宋体"/>
                <w:i w:val="0"/>
                <w:iCs w:val="0"/>
                <w:color w:val="auto"/>
                <w:sz w:val="20"/>
                <w:szCs w:val="20"/>
                <w:highlight w:val="none"/>
                <w:u w:val="none"/>
                <w:lang w:val="en-US" w:eastAsia="zh-CN" w:bidi="ar"/>
              </w:rPr>
              <w:t xml:space="preserve">塑料</w:t>
            </w:r>
            <w:r>
              <w:rPr>
                <w:rFonts w:hint="eastAsia" w:ascii="宋体" w:hAnsi="宋体" w:eastAsia="宋体" w:cs="宋体"/>
                <w:i w:val="0"/>
                <w:iCs w:val="0"/>
                <w:color w:val="auto"/>
                <w:sz w:val="20"/>
                <w:szCs w:val="20"/>
                <w:highlight w:val="none"/>
                <w:u w:val="none"/>
                <w:lang w:val="en-US" w:eastAsia="zh-CN" w:bidi="ar"/>
              </w:rPr>
              <w:t xml:space="preserve">，不易开裂，黑曲霉、球毛壳霉、宛氏拟青霉、绳状青霉、长枝木霉长霉等级为0级，符合GB/T 24128-2018标准要求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、五金件选用环保五，镉、铅、汞、六价铬含量符合GB/T 26572-2011标准要求</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方桌（小班）：桌面尺寸：60×60×49cm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1、桌面采用25mm厚防火板双贴面松木，甲醛释放量符合GB/T39600-2021标准要求，甲醛释放量≤0.025mg/m³，符合Enf级；桌面背部使用塑料应力杆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木蜡油封边，成膜牢固，搅拌后均匀无硬块，细度、干燥时间、贮存稳定性、涂膜外观、光泽、硬度、附着力、耐干热性、耐水性、耐碱性、耐醇性、耐污染性（醋、茶）、挥发性有机化合物(VOC)含量、苯含量、甲苯二甲苯乙苯含量总和、卤代烃含量、可溶性重金属（铅、镉、铬、汞）含量符合GB/T 27811-2011标准要求</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3、桌脚采用直径约48mm桦木，表面采用</w:t>
            </w:r>
            <w:r>
              <w:rPr>
                <w:rFonts w:hint="eastAsia" w:ascii="宋体" w:hAnsi="宋体" w:cs="宋体"/>
                <w:i w:val="0"/>
                <w:iCs w:val="0"/>
                <w:color w:val="auto"/>
                <w:sz w:val="20"/>
                <w:szCs w:val="20"/>
                <w:highlight w:val="none"/>
                <w:u w:val="none"/>
                <w:lang w:val="en-US" w:eastAsia="zh-CN" w:bidi="ar"/>
              </w:rPr>
              <w:t xml:space="preserve">油漆处理</w:t>
            </w:r>
            <w:r>
              <w:rPr>
                <w:rFonts w:hint="eastAsia" w:ascii="宋体" w:hAnsi="宋体" w:eastAsia="宋体" w:cs="宋体"/>
                <w:i w:val="0"/>
                <w:iCs w:val="0"/>
                <w:color w:val="auto"/>
                <w:sz w:val="20"/>
                <w:szCs w:val="20"/>
                <w:highlight w:val="none"/>
                <w:u w:val="none"/>
                <w:lang w:val="en-US" w:eastAsia="zh-CN" w:bidi="ar"/>
              </w:rPr>
              <w:t xml:space="preserve">，挥发性有机化合物(VOC)含量、甲醛含量、苯甲苯乙苯和二甲苯的含量总和、乙二醇醚及其酯含量、重金属元素（铅、镉、六价铬、汞、砷、钡、锑、硒）含量等符合GB/T 35602-2017标准要求</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桌面背面设置有4个</w:t>
            </w:r>
            <w:r>
              <w:rPr>
                <w:rFonts w:hint="eastAsia" w:ascii="宋体" w:hAnsi="宋体" w:cs="宋体"/>
                <w:i w:val="0"/>
                <w:iCs w:val="0"/>
                <w:color w:val="auto"/>
                <w:sz w:val="20"/>
                <w:szCs w:val="20"/>
                <w:highlight w:val="none"/>
                <w:u w:val="none"/>
                <w:lang w:val="en-US" w:eastAsia="zh-CN" w:bidi="ar"/>
              </w:rPr>
              <w:t xml:space="preserve">塑料</w:t>
            </w:r>
            <w:r>
              <w:rPr>
                <w:rFonts w:hint="eastAsia" w:ascii="宋体" w:hAnsi="宋体" w:eastAsia="宋体" w:cs="宋体"/>
                <w:i w:val="0"/>
                <w:iCs w:val="0"/>
                <w:color w:val="auto"/>
                <w:sz w:val="20"/>
                <w:szCs w:val="20"/>
                <w:highlight w:val="none"/>
                <w:u w:val="none"/>
                <w:lang w:val="en-US" w:eastAsia="zh-CN" w:bidi="ar"/>
              </w:rPr>
              <w:t xml:space="preserve">连接件，桌脚使用螺旋安装方式与桌面连接，方便拆卸桌脚底部配置塑料脚套</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采用环保</w:t>
            </w:r>
            <w:r>
              <w:rPr>
                <w:rFonts w:hint="eastAsia" w:ascii="宋体" w:hAnsi="宋体" w:cs="宋体"/>
                <w:i w:val="0"/>
                <w:iCs w:val="0"/>
                <w:color w:val="auto"/>
                <w:sz w:val="20"/>
                <w:szCs w:val="20"/>
                <w:highlight w:val="none"/>
                <w:u w:val="none"/>
                <w:lang w:val="en-US" w:eastAsia="zh-CN" w:bidi="ar"/>
              </w:rPr>
              <w:t xml:space="preserve">塑料</w:t>
            </w:r>
            <w:r>
              <w:rPr>
                <w:rFonts w:hint="eastAsia" w:ascii="宋体" w:hAnsi="宋体" w:eastAsia="宋体" w:cs="宋体"/>
                <w:i w:val="0"/>
                <w:iCs w:val="0"/>
                <w:color w:val="auto"/>
                <w:sz w:val="20"/>
                <w:szCs w:val="20"/>
                <w:highlight w:val="none"/>
                <w:u w:val="none"/>
                <w:lang w:val="en-US" w:eastAsia="zh-CN" w:bidi="ar"/>
              </w:rPr>
              <w:t xml:space="preserve">，不易开裂，黑曲霉、球毛壳霉、宛氏拟青霉、绳状青霉、长枝木霉长霉等级为0级，符合GB/T 24128-2018标准要求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、五金件选用环保五，镉、铅、汞、六价铬含量符合GB/T 26572-2011标准要求</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方桌（中班）：桌面尺寸：约60×60×52cm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1、桌面采用25mm厚防火板双贴面松木，甲醛释放量符合GB/T39600-2021标准要求，甲醛释放量≤0.025mg/m³，符合Enf级；桌面背部使用塑料应力杆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木蜡油封边，成膜牢固，搅拌后均匀无硬块，细度、干燥时间、贮存稳定性、涂膜外观、光泽、硬度、附着力、耐干热性、耐水性、耐碱性、耐醇性、耐污染性（醋、茶）、挥发性有机化合物(VOC)含量、苯含量、甲苯二甲苯乙苯含量总和、卤代烃含量、可溶性重金属（铅、镉、铬、汞）含量符合GB/T 27811-2011标准要求</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3、桌脚采用直径约48mm桦木，表面采用</w:t>
            </w:r>
            <w:r>
              <w:rPr>
                <w:rFonts w:hint="eastAsia" w:ascii="宋体" w:hAnsi="宋体" w:cs="宋体"/>
                <w:i w:val="0"/>
                <w:iCs w:val="0"/>
                <w:color w:val="auto"/>
                <w:sz w:val="20"/>
                <w:szCs w:val="20"/>
                <w:highlight w:val="none"/>
                <w:u w:val="none"/>
                <w:lang w:val="en-US" w:eastAsia="zh-CN" w:bidi="ar"/>
              </w:rPr>
              <w:t xml:space="preserve">油漆处理</w:t>
            </w:r>
            <w:r>
              <w:rPr>
                <w:rFonts w:hint="eastAsia" w:ascii="宋体" w:hAnsi="宋体" w:eastAsia="宋体" w:cs="宋体"/>
                <w:i w:val="0"/>
                <w:iCs w:val="0"/>
                <w:color w:val="auto"/>
                <w:sz w:val="20"/>
                <w:szCs w:val="20"/>
                <w:highlight w:val="none"/>
                <w:u w:val="none"/>
                <w:lang w:val="en-US" w:eastAsia="zh-CN" w:bidi="ar"/>
              </w:rPr>
              <w:t xml:space="preserve">，挥发性有机化合物(VOC)含量、甲醛含量、苯甲苯乙苯和二甲苯的含量总和、乙二醇醚及其酯含量、重金属元素（铅、镉、六价铬、汞、砷、钡、锑、硒）含量等符合GB/T 35602-2017标准要求</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桌面背面设置有4个</w:t>
            </w:r>
            <w:r>
              <w:rPr>
                <w:rFonts w:hint="eastAsia" w:ascii="宋体" w:hAnsi="宋体" w:cs="宋体"/>
                <w:i w:val="0"/>
                <w:iCs w:val="0"/>
                <w:color w:val="auto"/>
                <w:sz w:val="20"/>
                <w:szCs w:val="20"/>
                <w:highlight w:val="none"/>
                <w:u w:val="none"/>
                <w:lang w:val="en-US" w:eastAsia="zh-CN" w:bidi="ar"/>
              </w:rPr>
              <w:t xml:space="preserve">塑料</w:t>
            </w:r>
            <w:r>
              <w:rPr>
                <w:rFonts w:hint="eastAsia" w:ascii="宋体" w:hAnsi="宋体" w:eastAsia="宋体" w:cs="宋体"/>
                <w:i w:val="0"/>
                <w:iCs w:val="0"/>
                <w:color w:val="auto"/>
                <w:sz w:val="20"/>
                <w:szCs w:val="20"/>
                <w:highlight w:val="none"/>
                <w:u w:val="none"/>
                <w:lang w:val="en-US" w:eastAsia="zh-CN" w:bidi="ar"/>
              </w:rPr>
              <w:t xml:space="preserve">连接件，桌脚使用螺旋安装方式与桌面连接，方便拆卸桌脚底部配置塑料脚套</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采用环保</w:t>
            </w:r>
            <w:r>
              <w:rPr>
                <w:rFonts w:hint="eastAsia" w:ascii="宋体" w:hAnsi="宋体" w:cs="宋体"/>
                <w:i w:val="0"/>
                <w:iCs w:val="0"/>
                <w:color w:val="auto"/>
                <w:sz w:val="20"/>
                <w:szCs w:val="20"/>
                <w:highlight w:val="none"/>
                <w:u w:val="none"/>
                <w:lang w:val="en-US" w:eastAsia="zh-CN" w:bidi="ar"/>
              </w:rPr>
              <w:t xml:space="preserve">塑料</w:t>
            </w:r>
            <w:r>
              <w:rPr>
                <w:rFonts w:hint="eastAsia" w:ascii="宋体" w:hAnsi="宋体" w:eastAsia="宋体" w:cs="宋体"/>
                <w:i w:val="0"/>
                <w:iCs w:val="0"/>
                <w:color w:val="auto"/>
                <w:sz w:val="20"/>
                <w:szCs w:val="20"/>
                <w:highlight w:val="none"/>
                <w:u w:val="none"/>
                <w:lang w:val="en-US" w:eastAsia="zh-CN" w:bidi="ar"/>
              </w:rPr>
              <w:t xml:space="preserve">，不易开裂，黑曲霉、球毛壳霉、宛氏拟青霉、绳状青霉、长枝木霉长霉等级为0级，符合GB/T 24128-2018标准要求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、五金件选用环保五，镉、铅、汞、六价铬含量符合GB/T 26572-2011标准要求</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方桌（大班）：桌面尺寸：约60×60×60cm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1、桌面采用25mm厚防火板双贴面松木，甲醛释放量符合GB/T39600-2021标准要求，甲醛释放量≤0.025mg/m³，符合Enf级；桌面背部使用塑料应力杆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木蜡油封边，成膜牢固，搅拌后均匀无硬块，细度、干燥时间、贮存稳定性、涂膜外观、光泽、硬度、附着力、耐干热性、耐水性、耐碱性、耐醇性、耐污染性（醋、茶）、挥发性有机化合物(VOC)含量、苯含量、甲苯二甲苯乙苯含量总和、卤代烃含量、可溶性重金属（铅、镉、铬、汞）含量符合GB/T 27811-2011标准要求</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3、桌脚采用直径约48mm桦木，表面采用</w:t>
            </w:r>
            <w:r>
              <w:rPr>
                <w:rFonts w:hint="eastAsia" w:ascii="宋体" w:hAnsi="宋体" w:cs="宋体"/>
                <w:i w:val="0"/>
                <w:iCs w:val="0"/>
                <w:color w:val="auto"/>
                <w:sz w:val="20"/>
                <w:szCs w:val="20"/>
                <w:highlight w:val="none"/>
                <w:u w:val="none"/>
                <w:lang w:val="en-US" w:eastAsia="zh-CN" w:bidi="ar"/>
              </w:rPr>
              <w:t xml:space="preserve">油漆处理</w:t>
            </w:r>
            <w:r>
              <w:rPr>
                <w:rFonts w:hint="eastAsia" w:ascii="宋体" w:hAnsi="宋体" w:eastAsia="宋体" w:cs="宋体"/>
                <w:i w:val="0"/>
                <w:iCs w:val="0"/>
                <w:color w:val="auto"/>
                <w:sz w:val="20"/>
                <w:szCs w:val="20"/>
                <w:highlight w:val="none"/>
                <w:u w:val="none"/>
                <w:lang w:val="en-US" w:eastAsia="zh-CN" w:bidi="ar"/>
              </w:rPr>
              <w:t xml:space="preserve">，挥发性有机化合物(VOC)含量、甲醛含量、苯甲苯乙苯和二甲苯的含量总和、乙二醇醚及其酯含量、重金属元素（铅、镉、六价铬、汞、砷、钡、锑、硒）含量等符合GB/T 35602-2017标准要求</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桌面背面设置有4个</w:t>
            </w:r>
            <w:r>
              <w:rPr>
                <w:rFonts w:hint="eastAsia" w:ascii="宋体" w:hAnsi="宋体" w:cs="宋体"/>
                <w:i w:val="0"/>
                <w:iCs w:val="0"/>
                <w:color w:val="auto"/>
                <w:sz w:val="20"/>
                <w:szCs w:val="20"/>
                <w:highlight w:val="none"/>
                <w:u w:val="none"/>
                <w:lang w:val="en-US" w:eastAsia="zh-CN" w:bidi="ar"/>
              </w:rPr>
              <w:t xml:space="preserve">塑料</w:t>
            </w:r>
            <w:r>
              <w:rPr>
                <w:rFonts w:hint="eastAsia" w:ascii="宋体" w:hAnsi="宋体" w:eastAsia="宋体" w:cs="宋体"/>
                <w:i w:val="0"/>
                <w:iCs w:val="0"/>
                <w:color w:val="auto"/>
                <w:sz w:val="20"/>
                <w:szCs w:val="20"/>
                <w:highlight w:val="none"/>
                <w:u w:val="none"/>
                <w:lang w:val="en-US" w:eastAsia="zh-CN" w:bidi="ar"/>
              </w:rPr>
              <w:t xml:space="preserve">连接件，桌脚使用螺旋安装方式与桌面连接，方便拆卸桌脚底部配置塑料脚套</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采用环保</w:t>
            </w:r>
            <w:r>
              <w:rPr>
                <w:rFonts w:hint="eastAsia" w:ascii="宋体" w:hAnsi="宋体" w:cs="宋体"/>
                <w:i w:val="0"/>
                <w:iCs w:val="0"/>
                <w:color w:val="auto"/>
                <w:sz w:val="20"/>
                <w:szCs w:val="20"/>
                <w:highlight w:val="none"/>
                <w:u w:val="none"/>
                <w:lang w:val="en-US" w:eastAsia="zh-CN" w:bidi="ar"/>
              </w:rPr>
              <w:t xml:space="preserve">塑料</w:t>
            </w:r>
            <w:r>
              <w:rPr>
                <w:rFonts w:hint="eastAsia" w:ascii="宋体" w:hAnsi="宋体" w:eastAsia="宋体" w:cs="宋体"/>
                <w:i w:val="0"/>
                <w:iCs w:val="0"/>
                <w:color w:val="auto"/>
                <w:sz w:val="20"/>
                <w:szCs w:val="20"/>
                <w:highlight w:val="none"/>
                <w:u w:val="none"/>
                <w:lang w:val="en-US" w:eastAsia="zh-CN" w:bidi="ar"/>
              </w:rPr>
              <w:t xml:space="preserve">，不易开裂，黑曲霉、球毛壳霉、宛氏拟青霉、绳状青霉、长枝木霉长霉等级为0级，符合GB/T 24128-2018标准要求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、五金件选用环保五，镉、铅、汞、六价铬含量符合GB/T 26572-2011标准要求</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t xml:space="preserve">投标时提供符合GB/T16422.2-2022国家标准规范要求</w:t>
            </w:r>
            <w:r>
              <w:rPr>
                <w:rFonts w:hint="eastAsia" w:ascii="宋体" w:hAnsi="宋体" w:cs="宋体"/>
                <w:i w:val="0"/>
                <w:iCs w:val="0"/>
                <w:color w:val="auto"/>
                <w:sz w:val="20"/>
                <w:szCs w:val="20"/>
                <w:highlight w:val="none"/>
                <w:lang w:val="en-US" w:eastAsia="zh-CN" w:bidi="ar"/>
              </w:rPr>
              <w:t xml:space="preserve">的</w:t>
            </w:r>
            <w:r>
              <w:rPr>
                <w:rFonts w:hint="eastAsia" w:ascii="宋体" w:hAnsi="宋体" w:eastAsia="宋体" w:cs="宋体"/>
                <w:i w:val="0"/>
                <w:iCs w:val="0"/>
                <w:color w:val="auto"/>
                <w:sz w:val="20"/>
                <w:szCs w:val="20"/>
                <w:highlight w:val="none"/>
                <w:lang w:val="en-US" w:eastAsia="zh-CN" w:bidi="ar"/>
              </w:rPr>
              <w:t xml:space="preserve">塑料件（柜子连接件、桌子连接件、脚套、椅套）检测报告（检测报告上须有CMA或CNAS 的标识）</w:t>
            </w:r>
            <w:r>
              <w:rPr>
                <w:rFonts w:hint="default" w:ascii="宋体" w:hAnsi="宋体" w:eastAsia="宋体" w:cs="宋体"/>
                <w:i w:val="0"/>
                <w:iCs w:val="0"/>
                <w:color w:val="auto"/>
                <w:sz w:val="20"/>
                <w:szCs w:val="20"/>
                <w:highlight w:val="none"/>
                <w:lang w:val="en-US" w:eastAsia="zh-CN" w:bidi="ar"/>
              </w:rPr>
              <w:t xml:space="preserve">原件扫描件</w:t>
            </w:r>
            <w:r>
              <w:rPr>
                <w:rFonts w:hint="eastAsia" w:ascii="宋体" w:hAnsi="宋体" w:eastAsia="宋体" w:cs="宋体"/>
                <w:i w:val="0"/>
                <w:iCs w:val="0"/>
                <w:color w:val="auto"/>
                <w:sz w:val="20"/>
                <w:szCs w:val="20"/>
                <w:highlight w:val="none"/>
                <w:lang w:val="en-US" w:eastAsia="zh-CN" w:bidi="ar"/>
              </w:rPr>
              <w:t xml:space="preserve">，氙灯老化符合要求，判定合格满足以上要求。</w:t>
            </w:r>
            <w:r/>
          </w:p>
          <w:p>
            <w:pPr>
              <w:numPr>
                <w:ilvl w:val="0"/>
                <w:numId w:val="0"/>
              </w:numPr>
              <w:jc w:val="left"/>
              <w:keepLines w:val="0"/>
              <w:keepNext w:val="0"/>
              <w:widowControl/>
              <w:rPr>
                <w:rFonts w:hint="eastAsia"/>
                <w:color w:val="auto"/>
                <w:highlight w:val="none"/>
                <w:lang w:val="en-US" w:eastAsia="zh-CN"/>
              </w:rPr>
              <w:suppressLineNumbers w:val="0"/>
            </w:pPr>
            <w:r>
              <w:rPr>
                <w:rFonts w:hint="eastAsia" w:ascii="宋体" w:hAnsi="宋体" w:eastAsia="宋体" w:cs="宋体"/>
                <w:i w:val="0"/>
                <w:iCs w:val="0"/>
                <w:color w:val="auto"/>
                <w:sz w:val="20"/>
                <w:szCs w:val="20"/>
                <w:highlight w:val="none"/>
                <w:lang w:val="en-US" w:eastAsia="zh-CN" w:bidi="ar"/>
              </w:rPr>
              <w:t xml:space="preserve">（中标供应商签订合同前提交其投标文件中上报的检测报告的原件让采购人或者代理机构核查，核查不合格的上报监管部门。）</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（壁挂式）茶杯架：生活区岛台带茶杯架、饮水机架，大理石台面，按照甲方定制；水杯格尺寸：约9×14×10cm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1、顶板、侧板、底板、中竖板及中层板采用约15mm厚枫木纹双贴面胶合板，其他竖板及层板采用9mm厚枫木纹双贴面胶合板，甲醛释放量符合GB/T 39600-2021标准要求，甲醛释放量≤0.025mg/m³，符合Enf级；背板为约5mm厚枫木纹双贴面密度板，甲醛释放量符合GB/T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木蜡油封边，成膜牢固，搅拌后均匀无硬块，细度、干燥时间、贮存稳定性、涂膜外观、光泽、硬度、附着力、耐干热性、耐水性、耐碱性、耐醇性、耐污染性（醋、茶）、挥发性有机化合物(VOC)含量、苯含量、甲苯二甲苯乙苯含量总和、卤代烃含量、可溶性重金属（铅、镉、铬、汞）含量符合GB/T 27811-2011标准要求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4、挂墙设计，充分利用空间茶杯柜为对开门设计，每扇门板设计4个约为W107×H235mm长方形镂空孔洞，加装纱网，既能通风透气又能防止蚊蝇异物等进入，保持安全卫生与清洁，美观实用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内部分为6行8列共48格，48个收纳格，满足一个班级人数使用</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t xml:space="preserve">现场按照使用方要求定制，投标时出具承诺函</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实物投影展示台：1摄像头像素≥800万</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2.摄像头支持自动对焦，A4大小拍摄幅面，1080P动态视频预览达到30帧/秒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3.整机采用圆弧式设计，无锐角；托板可承重≥3kg，同时托板采用磁吸吸附式机构</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4.展示托板正上方具备LED补光灯补光灯开关采用触摸按键设计，同时可通过视频展台软件直接控制开关；</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5.摄像头部分进行外壳防护等级试验，防护等级达到IP4×级别</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6.支持对展台画面进行实时批注、放大、缩小、旋转、自适应、冻结画面等操作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7.具备图像增强功能，可自动裁剪背景并增强文字显示，使文档画面更清晰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8.具备图像、文本或动态等多种情景模式，适应不同展示内容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9.二维码扫码：支持扫一扫功能，将书本上的二维码放入扫描框内即可自动扫描，并进入系统浏览器获取二维码的链接内容，可获取电子教学资源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10.支持故障自动检测，在软件无法出现展台拍摄画面时，自动出现检测链接，检测“无画面”的原因，并给出引导性解决方案可判断硬件连接、显卡驱动、摄像头占用、软件版本等问题</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塑封机：尺寸: 460×145×90mm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温度范围: 85°C-145°C</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过塑速度: ≤ 300mm/60s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过膜厚度: 0.6mm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多孔散热、快捷退膜</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手提药箱：尺寸：355×200×220mm 14英寸</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材质：铝合金、中纤版</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颜色：银色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净重：1.56KG</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消毒柜：不小于290L</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国标二星消毒</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滚筒洗衣机：洗涤容量（kg）：3.5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电机类型：变频</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能效等级：1级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温度调节：最高95</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洗手台顶柜：E0级多层板,甲醛含量≤1.2mg/L，具有防水、防烫、防污、防酸、防碱、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：锁具、导轨和门铰；带消毒柜格子，根据现场定制；长4000*高600*深度400mm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自然角架：采用实木，表面平整光滑，无结疤，整体结构结实耐用。油漆采用</w:t>
            </w:r>
            <w:r>
              <w:rPr>
                <w:rFonts w:hint="eastAsia" w:ascii="宋体" w:hAnsi="宋体" w:cs="宋体"/>
                <w:i w:val="0"/>
                <w:iCs w:val="0"/>
                <w:color w:val="auto"/>
                <w:sz w:val="20"/>
                <w:szCs w:val="20"/>
                <w:highlight w:val="none"/>
                <w:u w:val="none"/>
                <w:lang w:val="en-US" w:eastAsia="zh-CN" w:bidi="ar"/>
              </w:rPr>
              <w:t xml:space="preserve">哑光聚脂漆，</w:t>
            </w:r>
            <w:r>
              <w:rPr>
                <w:rFonts w:hint="eastAsia" w:ascii="宋体" w:hAnsi="宋体" w:eastAsia="宋体" w:cs="宋体"/>
                <w:i w:val="0"/>
                <w:iCs w:val="0"/>
                <w:color w:val="auto"/>
                <w:sz w:val="20"/>
                <w:szCs w:val="20"/>
                <w:highlight w:val="none"/>
                <w:u w:val="none"/>
                <w:lang w:val="en-US" w:eastAsia="zh-CN" w:bidi="ar"/>
              </w:rPr>
              <w:t xml:space="preserve">油漆无颗粒，无气泡，无渣点，颜色均匀。</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洗衣机台盆架：1、人造石台面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2、E0级多层板柜体,甲醛含量≤1.2mg/L，具有防水、防烫、防污、防酸、防碱、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3、含不锈钢水池、龙头</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4、长1450*高800*深度600mm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420件室内建构积木：长方体：6*6*3cm，24粒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长方体：12*6*3cm，12粒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长方体：24*6*3cm，12粒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长方体：48*6*3cm，12粒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长方体：6*3*3cm，48粒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长方体：12*3*3cm，24粒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长方体：24*3*3cm，12粒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长方体：48*6*1.5cm，6粒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长方体：24*14*1.5cm，6粒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多变形：18*18*3cm，2粒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七形：12*6*3cm，8粒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异形：6*6*3cm，24粒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圆柱体：6*3*3cm，32粒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圆柱体：12*3*3cm，16粒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圆柱体：12*6*6cm，6粒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梯形：12*6*3cm，8粒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坡形6*3*3cm，8粒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坡形12*6*3cm，4粒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坡形6*6*3cm，12粒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长方形60*6*1.5cm，6粒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异性18*9*3cm，2粒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弧形12*12*3cm，4粒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异形9*3*3cm，8粒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三角形6*6*3cm，24粒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三角形12*6*3cm，12粒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三角形24*6*3cm，12粒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坡形12*6*6cm，6粒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正方体6*6*1.5cm，24粒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长方形12*6*1.5cm，24粒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长方形24*6*1.5cm，12粒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桥形24*12*3cm，4粒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Y形18*18*3cm，2粒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Y形24*16*3cm，2粒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异形11*4*3cm，2粒</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打印机：类型：A4 黑白激光打印机</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最大打印幅面：A4</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最高分辨率：600*600dpi</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打印速度：A4单面28 页/分钟</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首页打印时间&lt;8.5 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月打印负荷≥8000 页</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接口类型：USB 2.0</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教师办公桌：1400*600*760mm饰面：采用三聚氰胺浸渍胶膜纸，依据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办公椅：1、面料：</w:t>
            </w:r>
            <w:r>
              <w:rPr>
                <w:rFonts w:hint="eastAsia" w:ascii="宋体" w:hAnsi="宋体" w:cs="宋体"/>
                <w:i w:val="0"/>
                <w:iCs w:val="0"/>
                <w:color w:val="auto"/>
                <w:sz w:val="20"/>
                <w:szCs w:val="20"/>
                <w:highlight w:val="none"/>
                <w:u w:val="none"/>
                <w:lang w:val="en-US" w:eastAsia="zh-CN" w:bidi="ar"/>
              </w:rPr>
              <w:t xml:space="preserve">网布</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《国家纺织产品基本安全技术规范》；GB/T 31713-2015《抗菌纺织品安全性卫生要求》；GB/T 24346-2009《纺织品 防霉性能的评价》﹔</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《绿色产品评价家具》；FZ/T 62011.3-2016《布艺类产品 第3部分:家具用纺织品》标准；甲醛含量≤20mg/kg，可分解致癌芳香胺染料未检出，抗菌性能（抑菌率）≥99%，防霉等级0级或1级，产品有害物质（纺织品、皮革中五氯苯酚（PCP））≤0.5mg/kg，沾色-聚酯纤维≥4级。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，依据QB/T 2280-2016《办公家具办公椅》、GB/T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w:t>
            </w:r>
            <w:r>
              <w:rPr>
                <w:rFonts w:hint="eastAsia" w:ascii="宋体" w:hAnsi="宋体" w:eastAsia="宋体" w:cs="宋体"/>
                <w:i w:val="0"/>
                <w:iCs w:val="0"/>
                <w:color w:val="auto"/>
                <w:sz w:val="20"/>
                <w:szCs w:val="20"/>
                <w:highlight w:val="none"/>
                <w:u w:val="none"/>
                <w:lang w:val="en-US" w:eastAsia="zh-CN" w:bidi="ar"/>
              </w:rPr>
              <w:t xml:space="preserve">床垫和沙发抗引燃特性的 评定第1部分：阴燃的香烟》、HJ 2547-2016《环境标志产品技术要求家具》、QB/T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3、气压棒：依据</w:t>
            </w:r>
            <w:r>
              <w:rPr>
                <w:rFonts w:hint="eastAsia" w:ascii="宋体" w:hAnsi="宋体" w:cs="宋体"/>
                <w:i w:val="0"/>
                <w:iCs w:val="0"/>
                <w:color w:val="auto"/>
                <w:sz w:val="20"/>
                <w:szCs w:val="20"/>
                <w:highlight w:val="none"/>
                <w:u w:val="none"/>
                <w:lang w:val="en-US" w:eastAsia="zh-CN" w:bidi="ar"/>
              </w:rPr>
              <w:t xml:space="preserve">GB/T 29525-2023</w:t>
            </w:r>
            <w:r>
              <w:rPr>
                <w:rFonts w:hint="eastAsia" w:ascii="宋体" w:hAnsi="宋体" w:eastAsia="宋体" w:cs="宋体"/>
                <w:i w:val="0"/>
                <w:iCs w:val="0"/>
                <w:color w:val="auto"/>
                <w:sz w:val="20"/>
                <w:szCs w:val="20"/>
                <w:highlight w:val="none"/>
                <w:u w:val="none"/>
                <w:lang w:val="en-US" w:eastAsia="zh-CN" w:bidi="ar"/>
              </w:rPr>
              <w:t xml:space="preserve">《座椅升降气弹簧技术条件》；QB/T 2280-2016《办公家具办公椅》标准；金属件镀层应无烧焦、起泡、针孔、裂纹、毛刺、花斑（不包括镀彩锌）和划痕。气弹簧的启动力应小于1.5F3，气弹簧锁定在任意位置，经72h常温储存后，活塞杆不应产生位移。气弹簧经-30℃和60℃高低温储存后，公称力Fa衰减量应不大于5%。行程100mm，公称力Fa的总衰减量应不大于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4、脚架：</w:t>
            </w:r>
            <w:r>
              <w:rPr>
                <w:rFonts w:hint="eastAsia" w:ascii="宋体" w:hAnsi="宋体" w:cs="宋体"/>
                <w:i w:val="0"/>
                <w:iCs w:val="0"/>
                <w:color w:val="auto"/>
                <w:sz w:val="20"/>
                <w:szCs w:val="20"/>
                <w:highlight w:val="none"/>
                <w:u w:val="none"/>
                <w:lang w:val="en-US" w:eastAsia="zh-CN" w:bidi="ar"/>
              </w:rPr>
              <w:t xml:space="preserve">尼龙</w:t>
            </w:r>
            <w:r>
              <w:rPr>
                <w:rFonts w:hint="eastAsia" w:ascii="宋体" w:hAnsi="宋体" w:eastAsia="宋体" w:cs="宋体"/>
                <w:i w:val="0"/>
                <w:iCs w:val="0"/>
                <w:color w:val="auto"/>
                <w:sz w:val="20"/>
                <w:szCs w:val="20"/>
                <w:highlight w:val="none"/>
                <w:u w:val="none"/>
                <w:lang w:val="en-US" w:eastAsia="zh-CN" w:bidi="ar"/>
              </w:rPr>
              <w:t xml:space="preserve">五星脚架。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5、脚轮：依据QB/T 4765-2014《家具用脚轮》； </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 《塑料家具中有害物质限量》；</w:t>
            </w:r>
            <w:r>
              <w:rPr>
                <w:rFonts w:hint="eastAsia" w:ascii="宋体" w:hAnsi="宋体" w:cs="宋体"/>
                <w:i w:val="0"/>
                <w:iCs w:val="0"/>
                <w:color w:val="auto"/>
                <w:sz w:val="20"/>
                <w:szCs w:val="20"/>
                <w:highlight w:val="none"/>
                <w:u w:val="none"/>
                <w:lang w:val="en-US" w:eastAsia="zh-CN"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16422.3-2022《塑料 实验室光源暴露试验方法 第3部分:荧光紫外灯》；</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家具》标准；脚轮的轮面光洁，无裂纹、伤痕、毛边等缺陷。抗冲击性、导电性、动载荷、滚动阻力检测合格，实验室光源暴露试验：荧光紫外灯4-5级。产品有害物质（铅、汞）≤1mg/kg。</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师幼收纳柜：3000*2200*400mm，根据现场情况定制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E0级多层板,甲醛含量≤1.2mg/L，具有防水、防烫、防污、防酸、防碱、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户外活动区：</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小皮球：直径17cm；软体环保塑料</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儿童标准篮球：直径20—20.5cm,重量340-370克（4号）</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儿童标准足球：直径约19cm，重量320-360g（4号）</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球筐（球车）：配有滚轮，可移动；材质为金属铁，静电喷塑；110×63×85cm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木质篮球架：尺寸：90×83×180cm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型足球门：120×52×80cm（内含球网）材质为烤漆钢管、牛津布和特多龙无结网。管径32mm,壁厚0.8mm，粉末喷雾防锈处理,使用足厚强刚性管材，所有转角均为圆角设计保护幼儿防刮蹭受伤。300D牛津布结实耐用不易变形，涤纶无结网小网孔不易绊脚和漏球。</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型足球围栏：150×36×60cm（内含支撑底座）材质为烤漆钢管、牛津布和特多龙无结网。管径20mm,壁厚1mm,粉末喷雾防锈处理,使用足厚强刚性管材，所有转角均为圆角设计保护幼儿防刮蹭受伤。300D牛津布结实耐用不易变形，涤纶无结网小网孔不易绊脚和漏球。</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独轮小推车：工程塑料；85×34×40cm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体操凳1：130×24×20cm；工程塑料制品；直条型</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弹跳球：直径16cm；材质为橡胶</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羊角球：直径45cm；红绿黄蓝四色；PVC</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脚转球：套圈塑料味工程塑料；每套十只</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拱形门1：78×19×80cm；工程塑料</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体操圈：直径50cm；材质为工程塑料</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袋鼠跳：防雨布</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梅花桩（树桩）：工程塑料；直径19cm；高40cm；8支一套</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平衡板：河流平衡板；12块一套；高级塑料；每块35×12×5cm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跳床1：直径一米；单人跳床</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高跷：规格，10×10（圆柱）材质工程塑料2个</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体操垫：两联可折叠；60×60×10cm表面为牛津布，内高密度海绵</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套圈：大象套圈；24件一套；工程塑料，无毒无味无害</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飞盘：塑料</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沙包：棉质</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体操棒：45cm；材质为塑料；有声体操棒</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小哑铃：材质为塑料；有声哑铃</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拉力器：环保PE塑料；双人用</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气球伞：直径5M；布料</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黄包车：名称：黄包车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材质：钢材   天然橡胶  塑料高密度工程钢铁材质，天然橡胶，塑料</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威力摇摆车：名称：威力摇摆车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材质：钢材   天然橡胶  塑料高密度工程钢铁材质，天然橡胶，塑料</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炫风车：名称：炫风车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材质：钢材   天然橡胶  塑料高密度工程钢铁材质，天然橡胶，塑料</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三轮脚踏车：名称：三轮脚踏车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材质：钢材   天然橡胶  塑料高密度工程钢铁材质，天然橡胶，塑料</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三轮赛车：名称：三轮赛车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材质：钢材   天然橡胶  塑料高密度工程钢铁材质，天然橡胶，塑料</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双人手推装卸车：名称：双人手推装卸车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材质：钢材   天然橡胶  塑料高密度工程钢铁材质，天然橡胶，塑料</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平衡车：14寸，二、车架与材质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材质：阳极氧化 6061 铝合金</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轮组与操控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轮胎类型：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发泡免充气轮：无需打气，耐扎，适合小区 / 公园硬地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车把：360° 可转 + 限位（防侧翻），高度可调；防滑橡胶握把</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转向角度：约 45°</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幼儿手滚车：名称：幼儿手滚车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材质：钢材   天然橡胶  塑料高密度工程钢铁材质，天然橡胶，塑料</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脚动扭扭车：名称：脚动扭扭车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材质：钢材   天然橡胶  塑料高密度工程钢铁材质，天然橡胶，塑料</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小推车：名称：小推车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材质：钢材   天然橡胶  塑料高密度工程钢铁材质，天然橡胶，塑料</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货架：长度5米带防雨布定制</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1223件户外综合套装碳化积木：1. 三角中空  33.5×31.5×10×16cm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 矩形中空1  16×16×10cm 松 碳化+水性清漆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 矩形中空2  24×16×10cm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 矩形中空3  32×16×10cm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 矩形中空4  48×16×10cm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 矩形中空5  56×28×14cm 松 碳化+水性清漆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 正方形  10×10×2.5cm 松 碳化+水性清漆 140块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 正方形  10×10×2.5cm 松 碳化+水性清漆 100块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 正方形  10×10×5cm 松 碳化+水性清漆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 正方形  10×10×5cm 松 碳化+水性清漆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 长方形  20×10×2.5cm 松 碳化+水性清漆 80块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 长方形  20×10×2.5cm 松 碳化+水性清漆 60块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 长方形  20×10×5cm 松 碳化+水性清漆 60块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14. 长方形  20×10×5cm 松 碳化+水性清漆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15. 长方形  40×10×2.5cm 松 碳化+水性清漆 50块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16. 长方形  40×10×2.5cm 松 碳化+水性清漆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17. 长方形  60×10×2.5cm 松 碳化+水性清漆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18. 长方形  60×10×2.5cm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19. 长方形（开槽）  60×10×2.5cm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20. 长方形  80×10×2.5cm 松 碳化+水性清漆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21. 长方形  80×10×2.5cm 松 碳化+水性清漆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22. 长方形  100×10×2.5cm 松 碳化+水性清漆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23. 长条板  120×10×2.5cm 松 碳化+水性清漆 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24. 长条板  120×10×2.5cm 松 碳化+水性清漆 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25. 方柱  20×10×10cm 松 碳化+水性清漆 12块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26. 圆柱积木  Φ2.5×5cm 松 碳化+水性清漆 60块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27. 圆柱积木  Φ2.5×10cm 松 碳化+水性清漆 30块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28. 圆柱积木  Φ2.5×15cm 松 碳化+水性清漆 30块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29. 圆柱积木  Φ2.5×20cm 松 碳化+水性清漆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30 圆柱积木  Φ2.5×25cm 松 碳化+水性清漆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31. 圆柱积木  Φ2.5×30cm 松 碳化+水性清漆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32. 圆柱积木  Φ10×20cm 松 碳化+水性清漆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33. 圆柱积木  Φ10×40cm 松 碳化+水性清漆 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34. 直角三角形  40×20×2.5cm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35. 等腰三角形  39×20×2.5cm 松 碳化+水性清漆 12块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36. 扇形积木  半径为20cm 松 碳化+水性清漆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37. 半圆积木  20×10×2.5cm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38. 四分之一圆环积木  42×15×2.5cm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39. 半圆环积木  30×15×2.5cm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40. 三叉路  42×30×2.5cm 松 碳化+水性清漆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41. Y型  40×30×2.5cm 松 碳化+水性清漆 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42. 小单元积木  20×4×10cm 松 碳化+水性清漆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43. 中号单元积木  70×4×10cm 松 碳化+水性清漆 24块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44. 大号单元积木  120×4×10cm 松 碳化+水性清漆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45. 大号半单元积木  120×4×5cm 松 碳化+水性清漆 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46. 烟囱  20×4×10cm 松 碳化+   水性清漆 1块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47. 脚垫  20×4×10cm 松 碳化+   水性清漆 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48. 带木条屋板  130×11×1.5cm 松 碳化+水性清漆 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49. 屋板  130×11×1.5cm 松 碳化+   水性清漆 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50. 圆环积木（小）直径20cm，内圆直径5cm，厚度2.5cm 松碳化+ 水性清漆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51. 圆环积木（卡口）直径30cm，内圆直径5cm，厚度2.5cm 松碳化+水性清漆2块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52. 屋顶板1  70×30×4cm 松 碳化+   水性清漆 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53. 屋顶板2  100×10×4cm 松 碳化+   水性清漆 2块</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42片侧板积木：7个不同的形状，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松木碳化</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碳化户外安米吉拼插积木569片：1. 木片： 10×2.5×10cm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10×2.5×20cm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10×2.5×40cm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10×2.5×60cm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10×2.5×80cm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10×2.5×100cm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10×2.5×120cm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 木砖： 10×5×10cm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10×5×20cm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10×5×40cm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 正方体：10×10×10cm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 长方体：10×10×20cm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10×10×30cm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10×10×40cm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 三角形：10×10×10cm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20×10×20cm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 圆柱积木：10×10×10cm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10×10×20cm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10×10×30cm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10×10×40cm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 圆锥：10×10×20cm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 圆形：20×20×2.5cm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20×20×5cm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 半圆形：20×10×2.5cm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20×10×5cm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 连接杆：2.5×2.5×5cm 60套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2.5×2.5×10cm  30套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2.5×2.5×15cm  30套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2.5×2.5×20cm  20套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2.5×2.5×25cm  20套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2.5×2.5×30cm  20套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 角色包-情景车辆6款 木制情景小车6个，分别是警车14×6.2×7.4cm，救护车14×6.2×7.4cm，校车：14×6.2×7.4cm,出租车13.7×6.2×7.4cm，消防车13.7×6.2×7.4cm，推土机13.7×6.2×7cm每个小车热转印印刷对应卡通图案   6个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 手推车 "手推车：长：60cm，宽：40cm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，高度：10cm，扶手高度：60cm" 1个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以上规格均为cm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 箱式拉车 "长50cm，宽35cm，高15cm（松木）" 1个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14. 平板拉车 "长65cm，宽45cm，高10cm（花松木）" 1个</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碳化积木866片：1."正方形（厚）" 10×10×5cm 松木 碳化+清漆 120块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2."正方形（薄）" 10×10×2.5cm 松木 碳化+清漆 166块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3."长方形（厚）" 20×10×5cm 松木 碳化+清漆 200块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4."长方形（薄）" 20×10×2.5cm 松木 碳化+清漆 180块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5."长方形（薄）" 40×10×2.5cm 松木 碳化+清漆 60块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6."长方形（薄）" 60×10×2.5cm 松木 碳化+清漆 30块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7."长方形（薄）" 80×10×2.5cm 松木 碳化+清漆 12块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8."大长方形（有槽）" 80×10×2.5cm 松木 碳化+清漆 0</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9."大长方形（有槽）" 120×10×2.5cm 松木 碳化+清漆 12块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10.半环形50×25×5cm 松木 碳化+清漆 3块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11.半圆 30×15×5cm 松木 碳化+清漆 3块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12.1/4圆形 15×15×5cm 松木 碳化+清漆 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13.三角形 20×10×5cm 松木 碳化+清漆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14.三角形 30×30×5cm 松木 碳化+清漆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15.小短圆柱 10×5×5cm 松木 碳化+清漆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16.小短圆柱 20×5×5cm 松木 碳化+清漆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17.大短圆柱 20×10×10cm 松木 碳化+清漆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18.小长圆柱 40×5×5cm 松木 碳化+清漆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19.大长圆柱 40×10×10cm 松木 碳化+清漆 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20.锥形 10×10×15cm 松木 碳化+清漆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21.四分之一圆环积木 40×15×2.5cm 松化碳化+清漆 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22.Y型 40×30×2.5cm 松木 碳化+清漆 3块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23.三叉路 42×30×2.5cm 松木 碳化+清漆 3块</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碳化户外百变拼插积木828片：1. 正方形  90块 10×10×5cm     1孔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 正方形  220块 10×10×2.5cm 1孔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 长方形  45块 20×10×5cm     2孔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 长方形  120块 20×10×2.5cm 2孔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 长方形  40块 40×10×2.5cm 2孔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 长方形  50块 60×10×2.5cm 3孔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 长方形  30块 80×10×2.5cm 4孔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 圆棒  28块 Φ2.5×10cm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 圆棒  80块 Φ2.5×20cm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 圆棒  80块 Φ2.5×40cm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 圆柱  20块 Φ10×10cm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 圆柱  10块 Φ10×20cm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 Y形积木  1块 40×30×2.5cm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14. 1/2圆环  2块 直径30×15×2.5cm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15. 长条板（原木板）12块 100×10×2.5cm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户外游戏体能梯-方梯：16件套炭烧梯规格：平衡梯规格：180×35×7cm，4个平衡木板：180×20×2.5，6个  高低架：53×50（80—100）cm各3个</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40件套运动组合碳化梯子：共计40件套，松木碳化，多层板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人字梯 尺寸：120cm 数量：4</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直梯 尺寸：195cm 数量：4</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直梯 尺寸：150cm 数量：4</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1.2m平衡板 尺寸：120×20×2.5cm 数量：8</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1.5m平衡板 尺寸：150×20×2.5cm 数量：6</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支架 尺寸：60cm 数量：2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支架 尺寸：30cm 数量：2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攀爬箱 尺寸：60cm 数量：2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攀爬箱 尺寸：80cm 数量：2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平板车 尺寸：60×60cm 数量：2</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大型实木螺母组合900件：1.弧形连接短板：600*100*25mm，海洋板 12个，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2.弧形连接长板：800*100*25mm，海洋板 8个，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3.转角：100*100mm，海洋板 40个，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4.连接短板：400*100*25mm，海洋板 56个；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5.连接中长板：600*100*25mm，海洋板 72个；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6.连接长板：800*100*25mm，海洋板 20个；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7.连接加长板：1000*100*25mm，海洋板 16个；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8.轮：直径150mm，海洋板 40个；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9.滑轮：外直径115mm，塑料+金属 4个；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10.桶：直径200mm，塑料 4个；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11.绳子：6*6*1000mm，尼龙 8根；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12.长螺丝：79*103mm，塑料 310个；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13.螺母：72*16mm，塑料 310个。</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569块安米吉拼插积木：木片：</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宽10*厚2.5*长10cm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宽10*厚2.5*长20cm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宽10*厚2.5*长40cm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宽10*厚2.5*长60cm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宽10*厚2.5*长80cm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宽10*厚2.5*长100cm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宽10*厚2.5*长120cm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木砖：</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宽10*厚5*长10cm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宽10*厚5*长20cm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宽10*厚5*长40cm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正方体：宽10*厚10长10cm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长方体：</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宽10*厚10长20cm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宽10*厚10长30cm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宽10*厚10长40cm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三角形：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宽10*厚10长10cm（切成三角形）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宽20*厚10长20cm（切成三角形）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圆柱形：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直径10cm 高10cm  20个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直径10cm 高20cm  20个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直径10cm 高30cm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直径10cm 高40cm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圆锥：直径10cm 高20cm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圆形：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直径20cm 厚度2.5cm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直径20cm 厚度5cm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半圆形：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半径10cm  厚度2.5cm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半径10cm  厚度5cm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连接杆：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6cm 60根； 11cm 30根；      16cm 30根；21cm 20根；      26cm 20根；31cm 20根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手推车：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长：60cm 宽：40cm，高度：10cm，扶手高度：60cm  1个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箱式拉车：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长50cm，宽35cm，高15cm（松） 1辆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平板拉车：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长65cm，宽45cm，高10cm（松）  1辆</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户外大型运动组合器械：规格：1100*600*580cm  材质：一、塑料件:采用食品级LLDPE工程塑料，经造粒工艺将颜料完全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溶入颗粒中、磨粉机加工、滚塑工艺成型，符合</w:t>
            </w:r>
            <w:r>
              <w:rPr>
                <w:rFonts w:hint="eastAsia" w:ascii="宋体" w:hAnsi="宋体" w:cs="宋体"/>
                <w:i w:val="0"/>
                <w:iCs w:val="0"/>
                <w:color w:val="auto"/>
                <w:sz w:val="20"/>
                <w:szCs w:val="20"/>
                <w:highlight w:val="none"/>
                <w:u w:val="none"/>
                <w:lang w:val="en-US" w:eastAsia="zh-CN" w:bidi="ar"/>
              </w:rPr>
              <w:t xml:space="preserve">GB/T 4454-2018</w:t>
            </w:r>
            <w:r>
              <w:rPr>
                <w:rFonts w:hint="eastAsia" w:ascii="宋体" w:hAnsi="宋体" w:eastAsia="宋体" w:cs="宋体"/>
                <w:i w:val="0"/>
                <w:iCs w:val="0"/>
                <w:color w:val="auto"/>
                <w:sz w:val="20"/>
                <w:szCs w:val="20"/>
                <w:highlight w:val="none"/>
                <w:u w:val="none"/>
                <w:lang w:val="en-US" w:eastAsia="zh-CN" w:bidi="ar"/>
              </w:rPr>
              <w:t xml:space="preserve">要求，工程塑料壁厚6mm以上，色彩艳丽，渗入抗紫外线、防静电及防脱色元素，安全、环保、不易老化。扣件采用锌铝合金压铸成形, 符合（</w:t>
            </w:r>
            <w:r>
              <w:rPr>
                <w:rFonts w:hint="eastAsia" w:ascii="宋体" w:hAnsi="宋体" w:cs="宋体"/>
                <w:i w:val="0"/>
                <w:iCs w:val="0"/>
                <w:color w:val="auto"/>
                <w:sz w:val="20"/>
                <w:szCs w:val="20"/>
                <w:highlight w:val="none"/>
                <w:u w:val="none"/>
                <w:lang w:val="en-US" w:eastAsia="zh-CN" w:bidi="ar"/>
              </w:rPr>
              <w:t xml:space="preserve">GB/T 13818-2021</w:t>
            </w:r>
            <w:r>
              <w:rPr>
                <w:rFonts w:hint="eastAsia" w:ascii="宋体" w:hAnsi="宋体" w:eastAsia="宋体" w:cs="宋体"/>
                <w:i w:val="0"/>
                <w:iCs w:val="0"/>
                <w:color w:val="auto"/>
                <w:sz w:val="20"/>
                <w:szCs w:val="20"/>
                <w:highlight w:val="none"/>
                <w:u w:val="none"/>
                <w:lang w:val="en-US" w:eastAsia="zh-CN" w:bidi="ar"/>
              </w:rPr>
              <w:t xml:space="preserve">）。螺丝采用不锈钢材质（符合</w:t>
            </w:r>
            <w:r>
              <w:rPr>
                <w:rFonts w:hint="eastAsia" w:ascii="宋体" w:hAnsi="宋体" w:cs="宋体"/>
                <w:i w:val="0"/>
                <w:iCs w:val="0"/>
                <w:color w:val="auto"/>
                <w:sz w:val="20"/>
                <w:szCs w:val="20"/>
                <w:highlight w:val="none"/>
                <w:u w:val="none"/>
                <w:lang w:val="en-US" w:eastAsia="zh-CN" w:bidi="ar"/>
              </w:rPr>
              <w:t xml:space="preserve">GB/T 1221-2007</w:t>
            </w:r>
            <w:r>
              <w:rPr>
                <w:rFonts w:hint="eastAsia" w:ascii="宋体" w:hAnsi="宋体" w:eastAsia="宋体" w:cs="宋体"/>
                <w:i w:val="0"/>
                <w:iCs w:val="0"/>
                <w:color w:val="auto"/>
                <w:sz w:val="20"/>
                <w:szCs w:val="20"/>
                <w:highlight w:val="none"/>
                <w:u w:val="none"/>
                <w:lang w:val="en-US" w:eastAsia="zh-CN" w:bidi="ar"/>
              </w:rPr>
              <w:t xml:space="preserve">精度标准要求）。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二、钢管：采用热镀锌钢管和扣件连接工艺，产品铁件经整体加工成型后经除油、除锈、中和、磷化、钝化、抛丸等前处理,表面平滑，不易生锈。表面喷涂户外环保聚酯粉末涂料，抗紫外线，色泽艳丽，不易脱落。整套产品铁件采用的规格分别是钢管Φ114、Φ60、Φ48、Φ32、Φ25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三、滑梯及钻桶类：采用食品级LLDPE工程塑料，经造粒工艺将颜料完全溶入颗粒中、磨粉机加工、滚塑工艺成型，符合</w:t>
            </w:r>
            <w:r>
              <w:rPr>
                <w:rFonts w:hint="eastAsia" w:ascii="宋体" w:hAnsi="宋体" w:cs="宋体"/>
                <w:i w:val="0"/>
                <w:iCs w:val="0"/>
                <w:color w:val="auto"/>
                <w:sz w:val="20"/>
                <w:szCs w:val="20"/>
                <w:highlight w:val="none"/>
                <w:u w:val="none"/>
                <w:lang w:val="en-US" w:eastAsia="zh-CN" w:bidi="ar"/>
              </w:rPr>
              <w:t xml:space="preserve">GB/T 4454-2018</w:t>
            </w:r>
            <w:r>
              <w:rPr>
                <w:rFonts w:hint="eastAsia" w:ascii="宋体" w:hAnsi="宋体" w:eastAsia="宋体" w:cs="宋体"/>
                <w:i w:val="0"/>
                <w:iCs w:val="0"/>
                <w:color w:val="auto"/>
                <w:sz w:val="20"/>
                <w:szCs w:val="20"/>
                <w:highlight w:val="none"/>
                <w:u w:val="none"/>
                <w:lang w:val="en-US" w:eastAsia="zh-CN" w:bidi="ar"/>
              </w:rPr>
              <w:t xml:space="preserve">要求，工程塑料壁厚6mm以上，色彩艳丽，渗入抗紫外线、防静电及防脱色元素，安全、环保、不易老化。扣件采用锌铝合金压铸成形, 符合（</w:t>
            </w:r>
            <w:r>
              <w:rPr>
                <w:rFonts w:hint="eastAsia" w:ascii="宋体" w:hAnsi="宋体" w:cs="宋体"/>
                <w:i w:val="0"/>
                <w:iCs w:val="0"/>
                <w:color w:val="auto"/>
                <w:sz w:val="20"/>
                <w:szCs w:val="20"/>
                <w:highlight w:val="none"/>
                <w:u w:val="none"/>
                <w:lang w:val="en-US" w:eastAsia="zh-CN" w:bidi="ar"/>
              </w:rPr>
              <w:t xml:space="preserve">GB/T 13818-2021</w:t>
            </w:r>
            <w:r>
              <w:rPr>
                <w:rFonts w:hint="eastAsia" w:ascii="宋体" w:hAnsi="宋体" w:eastAsia="宋体" w:cs="宋体"/>
                <w:i w:val="0"/>
                <w:iCs w:val="0"/>
                <w:color w:val="auto"/>
                <w:sz w:val="20"/>
                <w:szCs w:val="20"/>
                <w:highlight w:val="none"/>
                <w:u w:val="none"/>
                <w:lang w:val="en-US" w:eastAsia="zh-CN" w:bidi="ar"/>
              </w:rPr>
              <w:t xml:space="preserve">）。螺丝采用不锈钢材质（符合</w:t>
            </w:r>
            <w:r>
              <w:rPr>
                <w:rFonts w:hint="eastAsia" w:ascii="宋体" w:hAnsi="宋体" w:cs="宋体"/>
                <w:i w:val="0"/>
                <w:iCs w:val="0"/>
                <w:color w:val="auto"/>
                <w:sz w:val="20"/>
                <w:szCs w:val="20"/>
                <w:highlight w:val="none"/>
                <w:u w:val="none"/>
                <w:lang w:val="en-US" w:eastAsia="zh-CN" w:bidi="ar"/>
              </w:rPr>
              <w:t xml:space="preserve">GB/T 1221-2007</w:t>
            </w:r>
            <w:r>
              <w:rPr>
                <w:rFonts w:hint="eastAsia" w:ascii="宋体" w:hAnsi="宋体" w:eastAsia="宋体" w:cs="宋体"/>
                <w:i w:val="0"/>
                <w:iCs w:val="0"/>
                <w:color w:val="auto"/>
                <w:sz w:val="20"/>
                <w:szCs w:val="20"/>
                <w:highlight w:val="none"/>
                <w:u w:val="none"/>
                <w:lang w:val="en-US" w:eastAsia="zh-CN" w:bidi="ar"/>
              </w:rPr>
              <w:t xml:space="preserve">精度标准要求）。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四、支杆类:采用的钢管Φ60、Φ48、Φ32、Φ25。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焊接采用氩弧焊及CO2气体保护焊。整体加工成型后经除油、磷化、抛丸处理,表面平滑，不生锈。</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五、附件类：盖帽采用铝合金压铸成型；螺丝采用不锈钢材质（符合</w:t>
            </w:r>
            <w:r>
              <w:rPr>
                <w:rFonts w:hint="eastAsia" w:ascii="宋体" w:hAnsi="宋体" w:cs="宋体"/>
                <w:i w:val="0"/>
                <w:iCs w:val="0"/>
                <w:color w:val="auto"/>
                <w:sz w:val="20"/>
                <w:szCs w:val="20"/>
                <w:highlight w:val="none"/>
                <w:u w:val="none"/>
                <w:lang w:val="en-US" w:eastAsia="zh-CN" w:bidi="ar"/>
              </w:rPr>
              <w:t xml:space="preserve">GB/T 1221-2007</w:t>
            </w:r>
            <w:r>
              <w:rPr>
                <w:rFonts w:hint="eastAsia" w:ascii="宋体" w:hAnsi="宋体" w:eastAsia="宋体" w:cs="宋体"/>
                <w:i w:val="0"/>
                <w:iCs w:val="0"/>
                <w:color w:val="auto"/>
                <w:sz w:val="20"/>
                <w:szCs w:val="20"/>
                <w:highlight w:val="none"/>
                <w:u w:val="none"/>
                <w:lang w:val="en-US" w:eastAsia="zh-CN" w:bidi="ar"/>
              </w:rPr>
              <w:t xml:space="preserve">精度标准要求）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六、绳网类:采用￠14mm航海绳加钢丝、￠6mm航海绳</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跑酷游戏组合：三角蹬（浅咖色）：尺寸：800 * 600 * 430mm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三角蹬（深咖色）：尺寸：800 * 600 * 430mm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平衡木-H30：尺寸：600 * 300 * 300 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平衡木-H45：尺寸：800 * 300 * 450mm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折叠防护地垫：尺寸：2000 * 800 * 50mm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跳箱：H10尺寸：800 * 600 * 100mm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H20尺寸：800 * 600 * 200mm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H30尺寸：800 * 600 * 300mm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H40尺寸：800 * 600 * 400mm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跳马：第四级尺寸：800 * 300 * 200mm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第三级尺寸：800 * 400 * 200mm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第二级尺寸：800 * 500 * 200mm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第一级尺寸：800 * 600 * 200mm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大圆环：尺寸：1000 * 400 * 500mm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半圆柱-H30：尺寸600 * 400 * 300mm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弧形斜坡（绿色）：尺寸：800 * 600 * 800mm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体能训</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练架：尺寸（含把手和轮子）：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1320 * 800 * 1020mm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材质：铁，PU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梯形墩：材质：1200 * 600 * 400mm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大体操垫：200*100*10cm，表面为牛津布，内高密度海绵</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小体操垫：120*60*10cm，表面为牛津布，内高密度海绵</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桌面式涂鸦板：52.5×30×65cm，实木架构</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桌面式多功能涂鸦板：53.5×30×64cm，实木架构</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沙盘游戏：54.3*53.5*15.5cm，供货时需要通过甲方认可</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户外小厨房：过家家类玩具，仿木质，包括橱柜一套，餐桌一套，餐椅两张，洗菜池一套，款式自选，供货时需要通过甲方认可</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户外音乐墙：打击乐*4，尺寸分别为140*64*95cm，115*60*96cm，82*12*150cm，200*20*150cm，乐拍鼓一套（四个鼓），单鼓尺寸为35*40*50cm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户外游戏课程基地：</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活动实施方案：1.规格：封面157g铜版纸，附哑膜，内页80g双胶纸,长18.5cm×宽26cm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幼儿园户外活动整体方案：1.规格：封面157g铜版纸，内页80g双胶纸，长18.5cm×宽26cm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安全使用手册：1.规格：封面157g铜版纸，内页80g双胶纸，长18.5cm×宽26cm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装箱明细表：1.规格：长42cm×宽28.5cm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2.材质：200g铜版纸</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分类图卡：1.规格：长21cm×宽14cm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2.材质：300g双面铜版纸</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3.数量：34张/套</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造型图卡：1.规格：长21cm×宽14cm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2.材质：300g双面铜版纸</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3.数量：12张/套</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合格证：1.规格：长25cm×宽12cm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2.材质：200g铜版纸</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基础建构1单元：1.规格：长16cm×宽16cm×高16cm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3.数量：3件为1组</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基础建构2单元-C形：1.规格：长32cm×宽16cm×高16cm2.材质：塑料ABS3.数量：3件为1组</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基础建构2单元-L形：1.规格：长32cm×宽16cm×高16cm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3.数量：3件为1组</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基础建构3单元：1.规格：长48cm×宽16cm×高16cm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3.数量：3件为1组</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基础建构蓄水件：1.规格：长32cm×宽16cm×高32cm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基础水道1单元：1.规格：长23cm×宽12cm×高5cm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2.材质：塑料ABS+橡胶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基础水道2单元：1.规格：长39cm×宽12cm×高5cm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2.材质：塑料ABS+橡胶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基础水道3单元：1.规格：长55cm×宽12cm×高5cm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2.材质：塑料ABS+橡胶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基础水道-弯道：1.规格：长42cm×宽12cm×高8cm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2.材质：塑料ABS+橡胶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基础木板1单元：1.规格：长16cm×宽16cm×高3cm2.材质：松深度炭化木3.数量：1个</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基础木板2单元：1.规格：长32cm×宽16cm×高3cm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基础木板3单元：1.规格：长48cm×宽16cm×高3cm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基础木板4单元：1.规格：长64cm×宽16cm×高3cm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基础木板5单元：1.规格：长96cm×宽16cm×高3cm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阻水件：1.规格：长14cm×宽14cm×高11cm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水车：1.规格：长18.8cm×宽14cm×高15.6cm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夹沙件：1.规格：长29.4cm×宽12.6cm×高15.1cm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钻筛沙件：1.规格：把手：长20cm×宽5cm，直径2cm；漏斗：边长12.5cm、深10.5cm2.材质：塑料ABS3.数量：1个</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沙铲（小）：1.规格：铲柄长12.5cm，直径2.5cm，铲柄把手长5cm，外径2.5cm，内径1.9cm，前端沙铲长10.2cm，宽8.5cm，深4cm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沙铲（大）：1.规格：铲柄长23cm，直径2.5cm，铲柄把手长5cm，外径2.5cm，内径1.9cm，前端沙铲长13.5cm，宽10cm，深5cm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沙水桶：1.规格：桶口长15cm×宽15cm，桶底长10.6cm×宽10.6cm，桶深14.5cm，桶提手直径2.5cm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6分水管（1m）：1.规格：直径2.5cm，长100cm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2.材质：PVC</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3.数量：1根</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6分水管（2m）：1.规格：直径2.5cm，长200cm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2.材质：PVC</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3.数量：1根</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6分水管（5m）：1.规格：直径2.5cm，长500cm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2.材质：PVC</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3.数量：1根</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6分通水接口（备用件）：1.规格：直径4cm，长6cm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2.材质：金属+塑料ABS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标准双向奶嘴接口：1.规格：直径2.5cm，长4.8cm2.材质：金属+塑料ABS3.数量：1个</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标准万用接口：1.规格：直径3.5cm，长6cm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2.材质：金属+塑料ABS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分流配件：1.规格：长12cm×宽5cm×高3cm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2.材质：塑料ABS+橡胶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小球：1.规格：直径3cm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2.材质：塑料PP</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基础标配储水盆：1.规格：长56.5cm×宽37cm×高18cm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2.材质：塑料PP</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储水盆（小）：1.规格：长52.5cm×宽32.5cm×高9.5cm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2.材质：塑料PC</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沙城堡1：1.规格：长10.5cm×宽10.5cm×高7.8cm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沙城堡2：1.规格：长15.3cm×宽15.3cm×高7.8cm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沙城堡3：1.规格：长19.5cm×宽19.5cm×高7.8cm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手刮沙工具1：1.规格：三边长分别为：21cm、18.2cm、12.1cm，厚1.7cm2.材质：松深度炭化木3.数量：1个</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手刮沙工具2：1.规格：三边长分别为：21cm、18.2cm、12.1cm，厚1.7cm，长边有锯齿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手刮沙工具3：1.规格：三边长分别为：21cm、18.2cm、12.1cm，厚1.7cm，长边有锯齿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擀泥棒：1.规格：长32.4cm，把手直径2cm，擀泥部分直径4cm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平泥工具：1.规格：外围长度分别为：16cm、16cm、11cm，厚1.2cm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敲泥工具：1.规格：总长18.8cm，正四棱锥边长9.6cm，锥顶磨平</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翻泥坯盖（小）：1.规格：长4.8cm×宽4.8cm×高2.4cm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翻泥坯（小）：1.规格：长9.8cm×宽7.3cm×高4.6cm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翻泥坯盖（大）：1.规格：长9.8cm×宽4.8cm×高2.4cm2.材质：松深度炭化木3.数量：1个</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翻泥坯（大）：1.规格：长14.5cm×宽7cm×高4.9cm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画框：1.规格：长48cm×宽41.2cm×高8cm，支架：长14cm×宽14cm×高2cm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2.材质：松深度炭化木+亚克力</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小推车：1.规格：长75.5cm×宽45cm×高59cm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鲸鱼推车：1.规格：长80cm×宽44.8cm×高59.5cm，不含压水机的高度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2.材质：松深度炭化木+塑料ABS+金属</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压水泵：1.规格：长56cm×宽15cm×高9cm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2.材质：松深度炭化木+塑料ABS+金属+橡胶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园艺水枪：1.规格：枪口直径5cm，总长度19.5cm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2.材质：塑料ABS+橡胶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喷泉旋转件：1.规格：总高度9.5cm，直径19cm，含接口直径21cm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课程：不低于3次</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沙水区：</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沙水区组合套装：200*340*230cm，多变水循环，包括戏水台，戏水箱</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玩水管道：5CM直径管子53支，弯头27个，三通12个，球阀（单阀）11个</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沙水区收纳柜：长1600深400高800mm，E0级多层板柜体,甲醛含量≤1.2mg/L，具有防水、防烫、防污、防酸、防碱、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公共区：</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布艺窗帘：1. 面料材质与克重</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成分：≥90% 阻燃聚酯纤维（本质阻燃 Trevira CS 优先）</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厚度：≥0.4mm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 遮光与功能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遮光率：≥80%（午睡室 / 教室建议 ≥90%）</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无镂空、无易脱落小配件（防儿童误食 / 缠绕）</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3.包含配套罗马杆</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百叶窗帘：窗洞深度：内装≥6cm（含轨道 + 叶片翻转空间）</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百叶深度（框厚）：60–150mm（影响防雨 / 通风）</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叶片宽度：50mm，包含配套五金件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1、一、二楼公共卫生间（弧形）：11.5*3m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2、教室卫生间：(1.95*1.45+3.35*1.45)*6*3m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3、传达室：1.2*1.5m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餐车：不锈钢保温，三格，30°-110°智能控温，整机尺寸1220*700*800mm，餐盒尺寸550*330*150mm，额定功率2000W/220V</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财务室：</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班台：W1600×D780×H750mm,饰面：采用三聚氰胺浸渍胶膜纸，依据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办公椅：1.面料：选用</w:t>
            </w:r>
            <w:r>
              <w:rPr>
                <w:rFonts w:hint="eastAsia" w:ascii="宋体" w:hAnsi="宋体" w:cs="宋体"/>
                <w:i w:val="0"/>
                <w:iCs w:val="0"/>
                <w:color w:val="auto"/>
                <w:sz w:val="20"/>
                <w:szCs w:val="20"/>
                <w:highlight w:val="none"/>
                <w:u w:val="none"/>
                <w:lang w:val="en-US" w:eastAsia="zh-CN" w:bidi="ar"/>
              </w:rPr>
              <w:t xml:space="preserve">皮料</w:t>
            </w:r>
            <w:r>
              <w:rPr>
                <w:rFonts w:hint="eastAsia" w:ascii="宋体" w:hAnsi="宋体" w:eastAsia="宋体" w:cs="宋体"/>
                <w:i w:val="0"/>
                <w:iCs w:val="0"/>
                <w:color w:val="auto"/>
                <w:sz w:val="20"/>
                <w:szCs w:val="20"/>
                <w:highlight w:val="none"/>
                <w:u w:val="none"/>
                <w:lang w:val="en-US" w:eastAsia="zh-CN" w:bidi="ar"/>
              </w:rPr>
              <w:t xml:space="preserve">，厚度≥1.5mm，摩擦色牢度干擦500次≥4级，湿擦250次≥3/4级，涂层粘着牢度≥6.0N/10mm，耐折牢度（50000次）无裂纹，撕裂力≥80N，游离甲醛≤20mg/kg，挥发性有机化合物（VOC）≤10mg/kg，禁用偶氮染料≤5mg/kg，防霉菌性能不低于1级，符合GB/T 16799-2018《家具用皮革》、QB/T 4199-2011《皮革 防霉性能测试方法》标准。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用抽纱或丝绒覆面，表面有防腐化和防变型保护膜，回弹性高，耐用度高，防碎，防氧化，密度≥46kg/m3，回弹率≥47%，75%压缩永久变形≤5%，湿热老化后拉伸强度≥100KPa，干热老化后拉伸强度≥100KPa，甲醛释放量≤0.03mg/m2h，燃烧性能达B1级，抗疲劳力强，坐感舒适，符合</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《通用软质聚醚型氨酯泡沫塑料》、GB 8624-2012《建筑材料及制品燃烧性能分级》等标准。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气压棒：升降轻便灵活，螺旋机构的升降配合良好，气动升降平稳、无漏气、无燥音，公称力Fa衰减量不大于5%，表面无剥落、返锈、毛刺，表面无烧焦、起泡、针孔、裂纹、花斑（不包括镀彩梓）和划痕，多功能底盘。</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4.脚架：钢制五星脚架。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5.脚轮：采用增强尼龙万向脚轮，可溶性重金属可溶性铅（Pb）≤8mg/kg、可溶性汞(Hg)≤2mg/kg、可溶性铬(Cr)≤3mg/kg、可溶性镉(Cd)≤2mg/kg。</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书柜（按场地尺寸提供）：W2400×D400×H2000mm，饰面：采用三聚氰胺浸渍胶膜纸，依据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茶水柜：W800×D400×H850mm；1、饰面：采用木皮，依据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保险柜：800×480×450mm,sss国标认证</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碎纸机：四级保密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8张同碎</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铁皮柜：850*390*1800mm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(1)采用鞍钢冷轧钢板具有抗腐蚀、抗冲击、抗老化、耐磨、经除油，除锈，酸洗，磷化，钝化等工序后模压成型；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(2)静电喷涂，钢材使用马钢或者武钢，钢材经过酸洗磷化防锈去污处理，静电喷粉烤漆面；</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打印机：多功能一体机类型：A4彩色激光多功能一体机</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最大打印幅面：A4</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最高分辨率：600*600dpi</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打印速度：A4单面26页/分钟</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处理器:双核800MHz+133MHz</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内存大小:512M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双面打印:自动双面打印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网络打印:支持网络打印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辅助功能:扫描\复印\打印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首页打印时间&lt;13.5秒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月打印负荷≥10000页</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接口类型：USB 2.0</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10Base-T/100Base-TX/1000Base-T</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IEEE 802.11b/g/n</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副园长室：</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班台：W1600×D780×H750mm  ，饰面：采用三聚氰胺浸渍胶膜纸，依据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办公椅：1.面料：选用</w:t>
            </w:r>
            <w:r>
              <w:rPr>
                <w:rFonts w:hint="eastAsia" w:ascii="宋体" w:hAnsi="宋体" w:cs="宋体"/>
                <w:i w:val="0"/>
                <w:iCs w:val="0"/>
                <w:color w:val="auto"/>
                <w:sz w:val="20"/>
                <w:szCs w:val="20"/>
                <w:highlight w:val="none"/>
                <w:u w:val="none"/>
                <w:lang w:val="en-US" w:eastAsia="zh-CN" w:bidi="ar"/>
              </w:rPr>
              <w:t xml:space="preserve">皮料</w:t>
            </w:r>
            <w:r>
              <w:rPr>
                <w:rFonts w:hint="eastAsia" w:ascii="宋体" w:hAnsi="宋体" w:eastAsia="宋体" w:cs="宋体"/>
                <w:i w:val="0"/>
                <w:iCs w:val="0"/>
                <w:color w:val="auto"/>
                <w:sz w:val="20"/>
                <w:szCs w:val="20"/>
                <w:highlight w:val="none"/>
                <w:u w:val="none"/>
                <w:lang w:val="en-US" w:eastAsia="zh-CN" w:bidi="ar"/>
              </w:rPr>
              <w:t xml:space="preserve">，厚度≥1.5mm，摩擦色牢度干擦500次≥4级，湿擦250次≥3/4级，涂层粘着牢度≥6.0N/10mm，耐折牢度（50000次）无裂纹，撕裂力≥80N，游离甲醛≤20mg/kg，挥发性有机化合物（VOC）≤10mg/kg，禁用偶氮染料≤5mg/kg，防霉菌性能不低于1级，符合GB/T 16799-2018《家具用皮革》、QB/T 4199-2011《皮革 防霉性能测试方法》标准。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用抽纱或丝绒覆面，表面有防腐化和防变型保护膜，回弹性高，耐用度高，防碎，防氧化，密度≥46kg/m3，回弹率≥47%，75%压缩永久变形≤5%，湿热老化后拉伸强度≥100KPa，干热老化后拉伸强度≥100KPa，甲醛释放量≤0.03mg/m2h，燃烧性能达B1级，抗疲劳力强，坐感舒适，符合</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《通用软质聚醚型氨酯泡沫塑料》、GB 8624-2012《建筑材料及制品燃烧性能分级》等标准。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气压棒：升降轻便灵活，螺旋机构的升降配合良好，气动升降平稳、无漏气、无燥音，公称力Fa衰减量不大于5%，表面无剥落、返锈、毛刺，表面无烧焦、起泡、针孔、裂纹、花斑（不包括镀彩梓）和划痕，多功能底盘。</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4.脚架：钢制五星脚架。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5.脚轮：采用增强尼龙万向脚轮，可溶性重金属可溶性铅（Pb）≤8mg/kg、可溶性汞(Hg)≤2mg/kg、可溶性铬(Cr)≤3mg/kg、可溶性镉(Cd)≤2mg/kg，移动杂音小，耐磨性大。</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书柜：W2400×D400×H2000mm，饰面：采用三聚氰胺浸渍胶膜纸，依据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3+2人位沙发：面料：选用麻绒布，依据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《国家纺织产品基本安全技术规范》；GB/T 31713-2015《抗菌纺织品安全性卫生要求》；GB/T 24346-2009《纺织品 防霉性能的评价》；</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《绿色产品评价家具》；FZ/T 62011.3-2016《布艺类产品 第3部分:家具用纺织品》标准；耐水、耐酸汗渍、耐碱汗渍、耐干摩擦、耐唾液符合要求，甲醛含量≤20mg/kg，可分解致癌芳香胺染料未检出，抗菌性能（抑菌率）≥95%，抗引燃特性阻燃Ⅰ级，防霉等级0级或1级，产品有害物质（纺织品、皮革中五氯苯酚（PCP）≤ 0.5mg/kg。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《通用软质聚醚型聚氨酯泡沫塑料》、QB/T 2280-2016《办公家具 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w:t>
            </w:r>
            <w:r>
              <w:rPr>
                <w:rFonts w:hint="eastAsia" w:ascii="宋体" w:hAnsi="宋体" w:eastAsia="宋体" w:cs="宋体"/>
                <w:i w:val="0"/>
                <w:iCs w:val="0"/>
                <w:color w:val="auto"/>
                <w:sz w:val="20"/>
                <w:szCs w:val="20"/>
                <w:highlight w:val="none"/>
                <w:u w:val="none"/>
                <w:lang w:val="en-US" w:eastAsia="zh-CN" w:bidi="ar"/>
              </w:rPr>
              <w:t xml:space="preserve">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绷带：依据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 《国家纺织产 品基本安全技术规范》；GB/T 31713-2015 《抗菌纺织品安全性卫生要求》；GB/T 20944. 2-2007《纺织品抗菌性能的评价 第2部分:吸收法》；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 《绿色产品评价家具》；HJ 2546-2016《环境标志产品技术要求纺织产品》检测标准；甲醛含量≤20mg/kg，可分解致癌芳香胺染料未检出，产品有害物质（纺织品、皮革中五氯苯酚（PCP）≤0.05mg/kg，PH值4.0～7.5，可萃取的重金属（砷、铅、钴、镍）未检出，抗菌性能（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蛇形弹簧：依据</w:t>
            </w:r>
            <w:r>
              <w:rPr>
                <w:rFonts w:hint="eastAsia" w:ascii="宋体" w:hAnsi="宋体" w:cs="宋体"/>
                <w:i w:val="0"/>
                <w:iCs w:val="0"/>
                <w:color w:val="auto"/>
                <w:sz w:val="20"/>
                <w:szCs w:val="20"/>
                <w:highlight w:val="none"/>
                <w:u w:val="none"/>
                <w:lang w:val="en-US" w:eastAsia="zh-CN"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10125-2021《人造气氛腐蚀试验 盐雾试验》；QB/T 3832- 1999《轻工产品金属镀层腐蚀试验结果的评价》；QB/T 4371-2012《家具抗菌性能的评价》；GB/T 1741-2020 《漆膜耐霉菌性测定法》；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家具》标准；喷涂层无漏喷、锈蚀和脱色、掉色现象，乙酸盐雾试验≥220h，镀层本身的耐腐蚀等级≥10级，镀层对基体的保护等级≥10级；产品有害物质（铅、镉、汞、砷）未检出，抑菌率≥99%。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框架：背底采用高频热压机加工成型多层弯曲木板，符合人体工程学。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脚架：采用实木脚架。</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茶几：1200*600*450mm，饰面：采用三聚氰胺浸渍胶膜纸，依据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茶水台：W800×D400×H850mm，1、饰面：采用木皮，依据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会议桌：W3500×1D400×H750mm，饰面：采用三聚氰胺浸渍胶膜纸，依据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会议椅：1、面料：</w:t>
            </w:r>
            <w:r>
              <w:rPr>
                <w:rFonts w:hint="eastAsia" w:ascii="宋体" w:hAnsi="宋体" w:cs="宋体"/>
                <w:i w:val="0"/>
                <w:iCs w:val="0"/>
                <w:color w:val="auto"/>
                <w:sz w:val="20"/>
                <w:szCs w:val="20"/>
                <w:highlight w:val="none"/>
                <w:u w:val="none"/>
                <w:lang w:val="en-US" w:eastAsia="zh-CN" w:bidi="ar"/>
              </w:rPr>
              <w:t xml:space="preserve">网布</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《国家纺织产品基本安全技术规范》；GB/T 31713-2015《抗菌纺织品安全性卫生要求》；GB/T 24346-2009《纺织品 防霉性能的评价》﹔</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家具》；FZ/T 62011.3-2016《布艺类产品 第3部分:家具用纺织品》标准；甲醛含量≤20mg/kg，可分解致癌芳香胺染料未检出，抗菌性能（抑菌率）≥99%，防霉等级0级或1级，产品有害物质（纺织品、皮革中五氯苯酚（PCP））≤0.5mg/kg，沾色-聚酯纤维≥4级。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，依据QB/T 2280-2016《办公家具 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w:t>
            </w:r>
            <w:r>
              <w:rPr>
                <w:rFonts w:hint="eastAsia" w:ascii="宋体" w:hAnsi="宋体" w:eastAsia="宋体" w:cs="宋体"/>
                <w:i w:val="0"/>
                <w:iCs w:val="0"/>
                <w:color w:val="auto"/>
                <w:sz w:val="20"/>
                <w:szCs w:val="20"/>
                <w:highlight w:val="none"/>
                <w:u w:val="none"/>
                <w:lang w:val="en-US" w:eastAsia="zh-CN" w:bidi="ar"/>
              </w:rPr>
              <w:t xml:space="preserve">垫和沙发抗引燃特性的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3、气压棒：依据</w:t>
            </w:r>
            <w:r>
              <w:rPr>
                <w:rFonts w:hint="eastAsia" w:ascii="宋体" w:hAnsi="宋体" w:cs="宋体"/>
                <w:i w:val="0"/>
                <w:iCs w:val="0"/>
                <w:color w:val="auto"/>
                <w:sz w:val="20"/>
                <w:szCs w:val="20"/>
                <w:highlight w:val="none"/>
                <w:u w:val="none"/>
                <w:lang w:val="en-US" w:eastAsia="zh-CN" w:bidi="ar"/>
              </w:rPr>
              <w:t xml:space="preserve">GB/T 29525-2023</w:t>
            </w:r>
            <w:r>
              <w:rPr>
                <w:rFonts w:hint="eastAsia" w:ascii="宋体" w:hAnsi="宋体" w:eastAsia="宋体" w:cs="宋体"/>
                <w:i w:val="0"/>
                <w:iCs w:val="0"/>
                <w:color w:val="auto"/>
                <w:sz w:val="20"/>
                <w:szCs w:val="20"/>
                <w:highlight w:val="none"/>
                <w:u w:val="none"/>
                <w:lang w:val="en-US" w:eastAsia="zh-CN" w:bidi="ar"/>
              </w:rPr>
              <w:t xml:space="preserve">《座椅升降气弹簧 技术条件》；QB/T 2280-2016《办公家具办公椅》标准；金属件镀层应无烧焦、起泡、针孔、裂纹、毛刺、花斑（不包括镀彩锌）和划痕。气弹簧的启动力应小于1.5F3，气弹簧锁定在任意位置，经72h常温储存后，活塞杆不应产生位移。气弹簧经-30℃和60℃高低温储存后，公称力Fa衰减量应不大于5%。行程100mm，公称力Fa的总衰减量应不大于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4、脚架：</w:t>
            </w:r>
            <w:r>
              <w:rPr>
                <w:rFonts w:hint="eastAsia" w:ascii="宋体" w:hAnsi="宋体" w:cs="宋体"/>
                <w:i w:val="0"/>
                <w:iCs w:val="0"/>
                <w:color w:val="auto"/>
                <w:sz w:val="20"/>
                <w:szCs w:val="20"/>
                <w:highlight w:val="none"/>
                <w:u w:val="none"/>
                <w:lang w:val="en-US" w:eastAsia="zh-CN" w:bidi="ar"/>
              </w:rPr>
              <w:t xml:space="preserve">尼龙</w:t>
            </w:r>
            <w:r>
              <w:rPr>
                <w:rFonts w:hint="eastAsia" w:ascii="宋体" w:hAnsi="宋体" w:eastAsia="宋体" w:cs="宋体"/>
                <w:i w:val="0"/>
                <w:iCs w:val="0"/>
                <w:color w:val="auto"/>
                <w:sz w:val="20"/>
                <w:szCs w:val="20"/>
                <w:highlight w:val="none"/>
                <w:u w:val="none"/>
                <w:lang w:val="en-US" w:eastAsia="zh-CN" w:bidi="ar"/>
              </w:rPr>
              <w:t xml:space="preserve">五星脚架。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5、脚轮：依据QB/T 4765-2014《家具用脚轮》； </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 《塑料家具中有害物质限量》；</w:t>
            </w:r>
            <w:r>
              <w:rPr>
                <w:rFonts w:hint="eastAsia" w:ascii="宋体" w:hAnsi="宋体" w:cs="宋体"/>
                <w:i w:val="0"/>
                <w:iCs w:val="0"/>
                <w:color w:val="auto"/>
                <w:sz w:val="20"/>
                <w:szCs w:val="20"/>
                <w:highlight w:val="none"/>
                <w:u w:val="none"/>
                <w:lang w:val="en-US" w:eastAsia="zh-CN"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16422.3-2022《塑料 实验室光源暴露试验方法 第3部分:荧光紫外灯》；</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家具》标准；脚轮的轮面光洁，无裂纹、伤痕、毛边等缺陷。抗冲击性、导电性、动载荷、滚动阻力检测合格，实验室光源暴露试验：荧光紫外灯4-5级。产品有害物质（铅、汞）≤1mg/kg。</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打印机：多功能一体机类型：A4彩色激光多功能一体机</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最大打印幅面：A4</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最高分辨率：600*600dpi</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打印速度：A4单面26页/分钟</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处理器:双核800MHz+133MHz</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内存大小:512M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双面打印:自动双面打印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网络打印:支持网络打印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辅助功能:扫描\复印\打印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首页打印时间&lt;13.5秒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月打印负荷≥10000页</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接口类型：USB 2.0</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10Base-T/100Base-TX/1000Base-T</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IEEE 802.11b/g/n</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园长室：</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班台：W1600×D780×H750mm,饰面：采用三聚氰胺浸渍胶膜纸，依据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班椅：1.面料：选用</w:t>
            </w:r>
            <w:r>
              <w:rPr>
                <w:rFonts w:hint="eastAsia" w:ascii="宋体" w:hAnsi="宋体" w:cs="宋体"/>
                <w:i w:val="0"/>
                <w:iCs w:val="0"/>
                <w:color w:val="auto"/>
                <w:sz w:val="20"/>
                <w:szCs w:val="20"/>
                <w:highlight w:val="none"/>
                <w:u w:val="none"/>
                <w:lang w:val="en-US" w:eastAsia="zh-CN" w:bidi="ar"/>
              </w:rPr>
              <w:t xml:space="preserve">皮料</w:t>
            </w:r>
            <w:r>
              <w:rPr>
                <w:rFonts w:hint="eastAsia" w:ascii="宋体" w:hAnsi="宋体" w:eastAsia="宋体" w:cs="宋体"/>
                <w:i w:val="0"/>
                <w:iCs w:val="0"/>
                <w:color w:val="auto"/>
                <w:sz w:val="20"/>
                <w:szCs w:val="20"/>
                <w:highlight w:val="none"/>
                <w:u w:val="none"/>
                <w:lang w:val="en-US" w:eastAsia="zh-CN" w:bidi="ar"/>
              </w:rPr>
              <w:t xml:space="preserve">，厚度≥1.5mm，摩擦色牢度干擦500次≥4级，湿擦250次≥3/4级，涂层粘着牢度≥6.0N/10mm，耐折牢度（50000次）无裂纹，撕裂力≥80N，游离甲醛≤20mg/kg，挥发性有机化合物（VOC）≤10mg/kg，禁用偶氮染料≤5mg/kg，防霉菌性能不低于1级，符合GB/T 16799-2018《家具用皮革》、QB/T 4199-2011《皮革 防霉性能测试方法》标准。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用抽纱或丝绒覆面，表面有防腐化和防变型保护膜，回弹性高，耐用度高，防碎，防氧化，密度≥46kg/m3，回弹率≥47%，75%压缩永久变形≤5%，湿热老化后拉伸强度≥100KPa，干热老化后拉伸强度≥100KPa，甲醛释放量≤0.03mg/m2h，燃烧性能达B1级，抗疲劳力强，坐感舒适，符合</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《通用软质聚醚型氨酯泡沫塑料》、GB 8624-2012《建筑材料及制品燃烧性能分级》等标准。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气压棒：升降轻便灵活，螺旋机构的升降配合良好，气动升降平稳、无漏气、无燥音，公称力Fa衰减量不大于5%，表面无剥落、返锈、毛刺，表面无烧焦、起泡、针孔、裂纹、花斑（不包括镀彩梓）和划痕，多功能底盘。</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4.脚架：钢制五星脚架。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5.脚轮：采用增强尼龙万向脚轮，可溶性重金属可溶性铅（Pb）≤8mg/kg、可溶性汞(Hg)≤2mg/kg、可溶性铬(Cr)≤3mg/kg、可溶性镉(Cd)≤2mg/kg，移动杂音小，耐磨性大。</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4+2人位沙发：面料：采用≥2.0mm厚牛皮，依据GB/T 16799-2018《家具用皮革》；QB/T 4199-2011《皮革 防霉性能测试方法》； </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 </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 HJ 507-2009《环境标志产品技术要求 皮革和合成革》标准；涂层粘着牢度≥10N/10mm，耐光性≥5级，耐折牢度50000次无裂纹，撕裂力≥100N，挥发性有机物（VOC）≤10mg/kg，禁用偶氮染料未检出；游离甲醛≤20mg/kg，皮革防霉性能：防霉等级0级或1级，抗引燃特性阻燃Ⅰ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《通用软质聚醚型聚氨酯泡沫塑料》、QB/T 2280-2016《办公家具 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w:t>
            </w:r>
            <w:r>
              <w:rPr>
                <w:rFonts w:hint="eastAsia" w:ascii="宋体" w:hAnsi="宋体" w:eastAsia="宋体" w:cs="宋体"/>
                <w:i w:val="0"/>
                <w:iCs w:val="0"/>
                <w:color w:val="auto"/>
                <w:sz w:val="20"/>
                <w:szCs w:val="20"/>
                <w:highlight w:val="none"/>
                <w:u w:val="none"/>
                <w:lang w:val="en-US" w:eastAsia="zh-CN" w:bidi="ar"/>
              </w:rPr>
              <w:t xml:space="preserve">垫和沙发抗引燃特性的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框架：采用实木框架，依据GB/T 1927.4-2021《无疵小试样本材物理力学性质试验方法 第4部分：含水率测定》﹔</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 GB/T 1927.5-2021《无疵小试样木材物理力学性质试验方法 第5部分:密度测定》﹔</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 《绿色产品评价 人造板和木质地板》；GB/T 1927.9-2021《无疵小试样木材物理力学性质试验方法 第9部分:抗弯强度测定》；JC/T 2039-2010 《抗菌防霉木质装饰板》标准；木材含水率3%～10%，甲醛释放量≤0.5mg/L，总挥发性有机化合物≤20㎍/m³，气干密度≥0.68g/cm³，抗弯强度≥80MPa，防霉菌等级0级或1级。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绷带：依据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 《国家纺织产 品基本安全技术规范》；GB/T 31713-2015 《抗菌纺织品安全性卫生要求》；GB/T 20944. 2-2007《纺织品抗菌性能的评价 第2部分:吸收法》；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 《绿色产品评价家具》；HJ 2546-2016《环境标志产品技术要求纺织产品》检测标准；甲醛含量≤20mg/kg，可分解致癌芳香胺染料未检出，产品有害物质（纺织品、皮革中五氯苯酚（PCP）≤0.05mg/kg，PH值4.0～7.5，可萃取的重金属（砷、铅、钴、镍）未检出，抗菌性能（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蛇形弹簧：依据</w:t>
            </w:r>
            <w:r>
              <w:rPr>
                <w:rFonts w:hint="eastAsia" w:ascii="宋体" w:hAnsi="宋体" w:cs="宋体"/>
                <w:i w:val="0"/>
                <w:iCs w:val="0"/>
                <w:color w:val="auto"/>
                <w:sz w:val="20"/>
                <w:szCs w:val="20"/>
                <w:highlight w:val="none"/>
                <w:u w:val="none"/>
                <w:lang w:val="en-US" w:eastAsia="zh-CN"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10125-2021《人造气氛腐蚀试验 盐雾试验》；QB/T 3832- 1999《轻工产品金属镀层腐蚀试验结果的评价》；QB/T 4371-2012《家具抗菌性能的评价》；GB/T 1741-2020 《漆膜耐霉菌性测定法》；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家具》标准；喷涂层无漏喷、锈蚀和脱色、掉色现象，乙酸盐雾试验≥220h，镀层本身的耐腐蚀等级≥10级，镀层对基体的保护等级≥10级；产品有害物质（铅、镉、汞、砷）未检出，抑菌率≥99%。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脚架：采用喷涂金属脚架，经酸洗磷化等处理，表面喷涂工艺，符合人体工程学。</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角几：600*600*450mm；饰面：采用三聚氰胺浸渍胶膜纸，依据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茶几：1200*1200*450mm；饰面：采用三聚氰胺浸渍胶膜纸，依据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书柜（按场地尺寸提供）：4000*2700*400mm；饰面：采用三聚氰胺浸渍胶膜纸，依据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茶水台：W800×D400×H850mm；1、饰面：采用木皮，依据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打印机：多功能一体机类型：A4彩色激光多功能一体机</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最大打印幅面：A4</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最高分辨率：600*600dpi</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打印速度：A4单面26页/分钟</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处理器:双核800MHz+133MHz</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内存大小:512M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双面打印:自动双面打印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网络打印:支持网络打印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辅助功能:扫描\复印\打印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首页打印时间&lt;13.5秒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月打印负荷≥10000页</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接口类型：USB 2.0</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10Base-T/100Base-TX/1000Base-T</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IEEE 802.11b/g/n</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大会议室：</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演讲台：1、饰面：采用木皮，依据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会议桌：W8000×D2600×H750mm,饰面：采用三聚氰胺浸渍胶膜纸，依据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会议椅：1、面料：</w:t>
            </w:r>
            <w:r>
              <w:rPr>
                <w:rFonts w:hint="eastAsia" w:ascii="宋体" w:hAnsi="宋体" w:cs="宋体"/>
                <w:i w:val="0"/>
                <w:iCs w:val="0"/>
                <w:color w:val="auto"/>
                <w:sz w:val="20"/>
                <w:szCs w:val="20"/>
                <w:highlight w:val="none"/>
                <w:u w:val="none"/>
                <w:lang w:val="en-US" w:eastAsia="zh-CN" w:bidi="ar"/>
              </w:rPr>
              <w:t xml:space="preserve">网布</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《国家纺织产品基本安全技术规范》；GB/T 31713-2015《抗菌纺织品安全性卫生要求》；GB/T 24346-2009《纺织品 防霉性能的评价》﹔</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家具》；FZ/T 62011.3-2016《布艺类产品 第3部分:家具用纺织品》标准；甲醛含量≤20mg/kg，可分解致癌芳香胺染料未检出，抗菌性能（抑菌率）≥99%，防霉等级0级或1级，产品有害物质（纺织品、皮革中五氯苯酚（PCP））≤0.5mg/kg，沾色-聚酯纤维≥4级。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，依据QB/T 2280-2016《办公家具 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w:t>
            </w:r>
            <w:r>
              <w:rPr>
                <w:rFonts w:hint="eastAsia" w:ascii="宋体" w:hAnsi="宋体" w:eastAsia="宋体" w:cs="宋体"/>
                <w:i w:val="0"/>
                <w:iCs w:val="0"/>
                <w:color w:val="auto"/>
                <w:sz w:val="20"/>
                <w:szCs w:val="20"/>
                <w:highlight w:val="none"/>
                <w:u w:val="none"/>
                <w:lang w:val="en-US" w:eastAsia="zh-CN" w:bidi="ar"/>
              </w:rPr>
              <w:t xml:space="preserve">垫和沙发抗引燃特性的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3、气压棒：依据</w:t>
            </w:r>
            <w:r>
              <w:rPr>
                <w:rFonts w:hint="eastAsia" w:ascii="宋体" w:hAnsi="宋体" w:cs="宋体"/>
                <w:i w:val="0"/>
                <w:iCs w:val="0"/>
                <w:color w:val="auto"/>
                <w:sz w:val="20"/>
                <w:szCs w:val="20"/>
                <w:highlight w:val="none"/>
                <w:u w:val="none"/>
                <w:lang w:val="en-US" w:eastAsia="zh-CN" w:bidi="ar"/>
              </w:rPr>
              <w:t xml:space="preserve">GB/T 29525-2023</w:t>
            </w:r>
            <w:r>
              <w:rPr>
                <w:rFonts w:hint="eastAsia" w:ascii="宋体" w:hAnsi="宋体" w:eastAsia="宋体" w:cs="宋体"/>
                <w:i w:val="0"/>
                <w:iCs w:val="0"/>
                <w:color w:val="auto"/>
                <w:sz w:val="20"/>
                <w:szCs w:val="20"/>
                <w:highlight w:val="none"/>
                <w:u w:val="none"/>
                <w:lang w:val="en-US" w:eastAsia="zh-CN" w:bidi="ar"/>
              </w:rPr>
              <w:t xml:space="preserve">《座椅升降气弹簧 技术条件》；QB/T 2280-2016《办公家具办公椅》标准；金属件镀层应无烧焦、起泡、针孔、裂纹、毛刺、花斑（不包括镀彩锌）和划痕。气弹簧的启动力应小于1.5F3，气弹簧锁定在任意位置，经72h常温储存后，活塞杆不应产生位移。气弹簧经-30℃和60℃高低温储存后，公称力Fa衰减量应不大于5%。行程100mm，公称力Fa的总衰减量应不大于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4、脚架：</w:t>
            </w:r>
            <w:r>
              <w:rPr>
                <w:rFonts w:hint="eastAsia" w:ascii="宋体" w:hAnsi="宋体" w:cs="宋体"/>
                <w:i w:val="0"/>
                <w:iCs w:val="0"/>
                <w:color w:val="auto"/>
                <w:sz w:val="20"/>
                <w:szCs w:val="20"/>
                <w:highlight w:val="none"/>
                <w:u w:val="none"/>
                <w:lang w:val="en-US" w:eastAsia="zh-CN" w:bidi="ar"/>
              </w:rPr>
              <w:t xml:space="preserve">尼龙</w:t>
            </w:r>
            <w:r>
              <w:rPr>
                <w:rFonts w:hint="eastAsia" w:ascii="宋体" w:hAnsi="宋体" w:eastAsia="宋体" w:cs="宋体"/>
                <w:i w:val="0"/>
                <w:iCs w:val="0"/>
                <w:color w:val="auto"/>
                <w:sz w:val="20"/>
                <w:szCs w:val="20"/>
                <w:highlight w:val="none"/>
                <w:u w:val="none"/>
                <w:lang w:val="en-US" w:eastAsia="zh-CN" w:bidi="ar"/>
              </w:rPr>
              <w:t xml:space="preserve">五星脚架。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5、脚轮：依据QB/T 4765-2014《家具用脚轮》； </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 《塑料家具中有害物质限量》；</w:t>
            </w:r>
            <w:r>
              <w:rPr>
                <w:rFonts w:hint="eastAsia" w:ascii="宋体" w:hAnsi="宋体" w:cs="宋体"/>
                <w:i w:val="0"/>
                <w:iCs w:val="0"/>
                <w:color w:val="auto"/>
                <w:sz w:val="20"/>
                <w:szCs w:val="20"/>
                <w:highlight w:val="none"/>
                <w:u w:val="none"/>
                <w:lang w:val="en-US" w:eastAsia="zh-CN"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16422.3-2022《塑料 实验室光源暴露试验方法 第3部分:荧光紫外灯》；</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家具》标准；脚轮的轮面光洁，无裂纹、伤痕、毛边等缺陷。抗冲击性、导电性、动载荷、滚动阻力检测合格，实验室光源暴露试验：荧光紫外灯4-5级。产品有害物质（铅、汞）≤1mg/kg。</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书柜（按场地尺寸提供）：W2400×D400×H2000mm，饰面：采用三聚氰胺浸渍胶膜纸，依据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86寸带支架一体机：一、整体设计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1.屏幕采用≥86英寸液晶显示器，采⽤LED液晶A规屏，显示⽐例16:9。显示分辨率3840*2160，可视⻆度≥178°。</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2.侧置输入接口具备≥2路HDMI、1路RS232（RJ45形态）、1路USB接口，1路音频输出、1路触控USB输出；前置输入接口≥3路USB接口（包含1路Type-C、2路USB）。</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3.整机采用红外触控技术，Windows系统</w:t>
            </w:r>
            <w:r>
              <w:rPr>
                <w:rFonts w:hint="eastAsia" w:ascii="宋体" w:hAnsi="宋体" w:cs="宋体"/>
                <w:i w:val="0"/>
                <w:iCs w:val="0"/>
                <w:color w:val="auto"/>
                <w:sz w:val="20"/>
                <w:szCs w:val="20"/>
                <w:highlight w:val="none"/>
                <w:u w:val="none"/>
                <w:lang w:val="en-US" w:eastAsia="zh-CN" w:bidi="ar"/>
              </w:rPr>
              <w:t xml:space="preserve">或</w:t>
            </w:r>
            <w:r>
              <w:rPr>
                <w:rFonts w:hint="eastAsia" w:ascii="宋体" w:hAnsi="宋体" w:eastAsia="宋体" w:cs="宋体"/>
                <w:i w:val="0"/>
                <w:iCs w:val="0"/>
                <w:color w:val="auto"/>
                <w:sz w:val="20"/>
                <w:szCs w:val="20"/>
                <w:highlight w:val="none"/>
                <w:u w:val="none"/>
                <w:lang w:val="en-US" w:eastAsia="zh-CN" w:bidi="ar"/>
              </w:rPr>
              <w:t xml:space="preserve">Android系统均支持≥50点触控及书写划线。整机嵌入式系统版本≥Android 15，主频≥1.6GHz，整机CPU芯片，WIFI与蓝牙芯片、摄像头图像处理芯片、均采用国产自主芯片。</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4.整机设备内置2.2声道扬声器，前朝向发声，最大功率≥84W，全部扬声器无需打开背板即可单独拆卸。</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5.整机内置非独立外扩展的4阵列麦克风，可用于对教室环境音频进行采集，麦克风拾音距离≥12米。</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二、插拔式电脑模块：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1、采用按压式卡扣，无需工具即可快速拆卸电脑模块。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2、电脑模块CPU要求：主频≥2.0GHz，8核心十二线程；配置要求：不低于 DDR4 8GB内存，256GB SSD硬盘；接口要求：≥1路HDMI，≥3路USB。</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3、提供一台落地支架</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听力模式下具备AI人声语言增强功能，</w:t>
            </w:r>
            <w:r>
              <w:rPr>
                <w:rFonts w:hint="eastAsia" w:ascii="宋体" w:hAnsi="宋体" w:cs="宋体"/>
                <w:i w:val="0"/>
                <w:iCs w:val="0"/>
                <w:color w:val="auto"/>
                <w:sz w:val="20"/>
                <w:szCs w:val="20"/>
                <w:highlight w:val="none"/>
                <w:u w:val="none"/>
                <w:lang w:val="en-US" w:eastAsia="zh-CN" w:bidi="ar"/>
              </w:rPr>
              <w:t xml:space="preserve">至少具备</w:t>
            </w:r>
            <w:r>
              <w:rPr>
                <w:rFonts w:hint="eastAsia" w:ascii="宋体" w:hAnsi="宋体" w:eastAsia="宋体" w:cs="宋体"/>
                <w:i w:val="0"/>
                <w:iCs w:val="0"/>
                <w:color w:val="auto"/>
                <w:sz w:val="20"/>
                <w:szCs w:val="20"/>
                <w:highlight w:val="none"/>
                <w:u w:val="none"/>
                <w:lang w:val="en-US" w:eastAsia="zh-CN" w:bidi="ar"/>
              </w:rPr>
              <w:t xml:space="preserve">三挡强弱调节。扩声语言传输指数≥0.7。</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t xml:space="preserve">投标时提供CNAS或CMA认证的检测机构出具的检测报告原件扫描件</w:t>
            </w:r>
            <w:r>
              <w:rPr>
                <w:rFonts w:hint="eastAsia" w:ascii="宋体" w:hAnsi="宋体" w:cs="宋体"/>
                <w:i w:val="0"/>
                <w:iCs w:val="0"/>
                <w:color w:val="auto"/>
                <w:sz w:val="20"/>
                <w:szCs w:val="20"/>
                <w:highlight w:val="none"/>
                <w:lang w:val="en-US" w:eastAsia="zh-CN" w:bidi="ar"/>
              </w:rPr>
              <w:t xml:space="preserve">。</w:t>
            </w:r>
            <w:r/>
          </w:p>
          <w:p>
            <w:pPr>
              <w:numPr>
                <w:ilvl w:val="0"/>
                <w:numId w:val="0"/>
              </w:numPr>
              <w:jc w:val="left"/>
              <w:keepLines w:val="0"/>
              <w:keepNext w:val="0"/>
              <w:widowControl/>
              <w:rPr>
                <w:rFonts w:hint="eastAsia"/>
                <w:color w:val="auto"/>
                <w:highlight w:val="none"/>
                <w:lang w:val="en-US" w:eastAsia="zh-CN"/>
              </w:rPr>
              <w:suppressLineNumbers w:val="0"/>
            </w:pPr>
            <w:r>
              <w:rPr>
                <w:rFonts w:hint="eastAsia" w:ascii="宋体" w:hAnsi="宋体" w:eastAsia="宋体" w:cs="宋体"/>
                <w:i w:val="0"/>
                <w:iCs w:val="0"/>
                <w:color w:val="auto"/>
                <w:sz w:val="20"/>
                <w:szCs w:val="20"/>
                <w:highlight w:val="none"/>
                <w:lang w:val="en-US" w:eastAsia="zh-CN" w:bidi="ar"/>
              </w:rPr>
              <w:t xml:space="preserve">（中标供应商签订合同前提交其投标文件中上报的检测报告的原件让采购人或者代理机构核查，核查不合格的上报监管部门。）</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内置语音助手，通过整机麦克风</w:t>
            </w:r>
            <w:r>
              <w:rPr>
                <w:rFonts w:hint="eastAsia" w:ascii="宋体" w:hAnsi="宋体" w:cs="宋体"/>
                <w:i w:val="0"/>
                <w:iCs w:val="0"/>
                <w:color w:val="auto"/>
                <w:sz w:val="20"/>
                <w:szCs w:val="20"/>
                <w:highlight w:val="none"/>
                <w:u w:val="none"/>
                <w:lang w:val="en-US" w:eastAsia="zh-CN" w:bidi="ar"/>
              </w:rPr>
              <w:t xml:space="preserve">或</w:t>
            </w:r>
            <w:r>
              <w:rPr>
                <w:rFonts w:hint="eastAsia" w:ascii="宋体" w:hAnsi="宋体" w:eastAsia="宋体" w:cs="宋体"/>
                <w:i w:val="0"/>
                <w:iCs w:val="0"/>
                <w:color w:val="auto"/>
                <w:sz w:val="20"/>
                <w:szCs w:val="20"/>
                <w:highlight w:val="none"/>
                <w:u w:val="none"/>
                <w:lang w:val="en-US" w:eastAsia="zh-CN" w:bidi="ar"/>
              </w:rPr>
              <w:t xml:space="preserve">智能笔以唤醒词调起语音助手，支持语音交互的方式调节整机音量、亮度，语音操控打开系统已安装应用，语音</w:t>
            </w:r>
            <w:r>
              <w:rPr>
                <w:rFonts w:hint="eastAsia" w:ascii="宋体" w:hAnsi="宋体" w:cs="宋体"/>
                <w:i w:val="0"/>
                <w:iCs w:val="0"/>
                <w:color w:val="auto"/>
                <w:sz w:val="20"/>
                <w:szCs w:val="20"/>
                <w:highlight w:val="none"/>
                <w:u w:val="none"/>
                <w:lang w:val="en-US" w:eastAsia="zh-CN" w:bidi="ar"/>
              </w:rPr>
              <w:t xml:space="preserve">可以</w:t>
            </w:r>
            <w:r>
              <w:rPr>
                <w:rFonts w:hint="eastAsia" w:ascii="宋体" w:hAnsi="宋体" w:eastAsia="宋体" w:cs="宋体"/>
                <w:i w:val="0"/>
                <w:iCs w:val="0"/>
                <w:color w:val="auto"/>
                <w:sz w:val="20"/>
                <w:szCs w:val="20"/>
                <w:highlight w:val="none"/>
                <w:u w:val="none"/>
                <w:lang w:val="en-US" w:eastAsia="zh-CN" w:bidi="ar"/>
              </w:rPr>
              <w:t xml:space="preserve">搜索指定网页内容，支持选择网页中的视频进行播放或暂停。</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t xml:space="preserve">投标时提供CNAS或CMA认证的检测机构出具的检测报告原件扫描件</w:t>
            </w:r>
            <w:r>
              <w:rPr>
                <w:rFonts w:hint="eastAsia" w:ascii="宋体" w:hAnsi="宋体" w:cs="宋体"/>
                <w:i w:val="0"/>
                <w:iCs w:val="0"/>
                <w:color w:val="auto"/>
                <w:sz w:val="20"/>
                <w:szCs w:val="20"/>
                <w:highlight w:val="none"/>
                <w:lang w:val="en-US" w:eastAsia="zh-CN" w:bidi="ar"/>
              </w:rPr>
              <w:t xml:space="preserve">。</w:t>
            </w:r>
            <w:r/>
          </w:p>
          <w:p>
            <w:pPr>
              <w:numPr>
                <w:ilvl w:val="0"/>
                <w:numId w:val="0"/>
              </w:numPr>
              <w:jc w:val="left"/>
              <w:keepLines w:val="0"/>
              <w:keepNext w:val="0"/>
              <w:widowControl/>
              <w:rPr>
                <w:rFonts w:hint="eastAsia"/>
                <w:color w:val="auto"/>
                <w:highlight w:val="none"/>
                <w:lang w:val="en-US" w:eastAsia="zh-CN"/>
              </w:rPr>
              <w:suppressLineNumbers w:val="0"/>
            </w:pPr>
            <w:r>
              <w:rPr>
                <w:rFonts w:hint="eastAsia" w:ascii="宋体" w:hAnsi="宋体" w:eastAsia="宋体" w:cs="宋体"/>
                <w:i w:val="0"/>
                <w:iCs w:val="0"/>
                <w:color w:val="auto"/>
                <w:sz w:val="20"/>
                <w:szCs w:val="20"/>
                <w:highlight w:val="none"/>
                <w:lang w:val="en-US" w:eastAsia="zh-CN" w:bidi="ar"/>
              </w:rPr>
              <w:t xml:space="preserve">（中标供应商签订合同前提交其投标文件中上报的检测报告的原件让采购人或者代理机构核查，核查不合格的上报监管部门。）</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PC模块和整机的连接采用万兆级接口，传输速率</w:t>
            </w:r>
            <w:r>
              <w:rPr>
                <w:rFonts w:hint="eastAsia" w:ascii="宋体" w:hAnsi="宋体" w:cs="宋体"/>
                <w:i w:val="0"/>
                <w:iCs w:val="0"/>
                <w:color w:val="auto"/>
                <w:sz w:val="20"/>
                <w:szCs w:val="20"/>
                <w:highlight w:val="none"/>
                <w:u w:val="none"/>
                <w:lang w:val="en-US" w:eastAsia="zh-CN" w:bidi="ar"/>
              </w:rPr>
              <w:t xml:space="preserve">不少于万兆</w:t>
            </w:r>
            <w:r>
              <w:rPr>
                <w:rFonts w:hint="eastAsia" w:ascii="宋体" w:hAnsi="宋体" w:eastAsia="宋体" w:cs="宋体"/>
                <w:i w:val="0"/>
                <w:iCs w:val="0"/>
                <w:color w:val="auto"/>
                <w:sz w:val="20"/>
                <w:szCs w:val="20"/>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t xml:space="preserve">投标时提供CNAS或CMA认证的检测机构出具的检测报告原件扫描件</w:t>
            </w:r>
            <w:r>
              <w:rPr>
                <w:rFonts w:hint="eastAsia" w:ascii="宋体" w:hAnsi="宋体" w:cs="宋体"/>
                <w:i w:val="0"/>
                <w:iCs w:val="0"/>
                <w:color w:val="auto"/>
                <w:sz w:val="20"/>
                <w:szCs w:val="20"/>
                <w:highlight w:val="none"/>
                <w:lang w:val="en-US" w:eastAsia="zh-CN" w:bidi="ar"/>
              </w:rPr>
              <w:t xml:space="preserve">。</w:t>
            </w:r>
            <w:r/>
          </w:p>
          <w:p>
            <w:pPr>
              <w:numPr>
                <w:ilvl w:val="0"/>
                <w:numId w:val="0"/>
              </w:numPr>
              <w:jc w:val="left"/>
              <w:keepLines w:val="0"/>
              <w:keepNext w:val="0"/>
              <w:widowControl/>
              <w:rPr>
                <w:rFonts w:hint="eastAsia"/>
                <w:color w:val="auto"/>
                <w:highlight w:val="none"/>
                <w:lang w:val="en-US" w:eastAsia="zh-CN"/>
              </w:rPr>
              <w:suppressLineNumbers w:val="0"/>
            </w:pPr>
            <w:r>
              <w:rPr>
                <w:rFonts w:hint="eastAsia" w:ascii="宋体" w:hAnsi="宋体" w:eastAsia="宋体" w:cs="宋体"/>
                <w:i w:val="0"/>
                <w:iCs w:val="0"/>
                <w:color w:val="auto"/>
                <w:sz w:val="20"/>
                <w:szCs w:val="20"/>
                <w:highlight w:val="none"/>
                <w:lang w:val="en-US" w:eastAsia="zh-CN" w:bidi="ar"/>
              </w:rPr>
              <w:t xml:space="preserve">（中标供应商签订合同前提交其投标文件中上报的检测报告的原件让采购人或者代理机构核查，核查不合格的上报监管部门。）</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备授课软件：1.为教师提供可扩展的云存储空间≥100T。</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提供网络课件社区，可对上传的教学资源进行共享，提供教师存储空间，支持大批量上传与分发下载，可对教学资源进行评论、点赞；社区板块包括实时动态、都在搜、作品、分类、我的，可显示最近发布、都在用、课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3.支持点对点分享云课件，用户可在软件中直接将课件发送给其它用户，同时也可以在软件中直接接收并打开其它用户分享的课件。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4.支持多人在选择书写工具的状态下同时书写和擦除，互不影响，方便不同学生在屏幕上同时书写。</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5.支持创建互动分类游戏，系统需提供不少于10种游戏模板，直接选择并输入相应内容即可轻松生成互动分类游戏，提升课堂趣味性。</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直播课堂：1.支持一键开课，教师可通过一键开课生成海报，学生可通过扫描海报微信二维码加入直播课堂，无需额外安装APP。</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2.支持远程课件互动，教师可指定授权学生远程互动，并且互动学生可在课件画面进行书写、移动、擦除、参与远程互动。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3.课程回放：课程结束后自动生成直播回放，报名课程的学生可反复学习；回放课程自动保存在云端，支持人工删除。</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会议音箱：功能特点：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1.采用1只6.5寸低音喇叭单元和1只1.4寸压缩驱动高音单元；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2.采用洒点喷漆，单元</w:t>
            </w:r>
            <w:r>
              <w:rPr>
                <w:rFonts w:hint="eastAsia" w:ascii="宋体" w:hAnsi="宋体" w:cs="宋体"/>
                <w:i w:val="0"/>
                <w:iCs w:val="0"/>
                <w:color w:val="auto"/>
                <w:sz w:val="20"/>
                <w:szCs w:val="20"/>
                <w:highlight w:val="none"/>
                <w:u w:val="none"/>
                <w:lang w:val="en-US" w:eastAsia="zh-CN" w:bidi="ar"/>
              </w:rPr>
              <w:t xml:space="preserve">喇叭</w:t>
            </w:r>
            <w:r>
              <w:rPr>
                <w:rFonts w:hint="eastAsia" w:ascii="宋体" w:hAnsi="宋体" w:eastAsia="宋体" w:cs="宋体"/>
                <w:i w:val="0"/>
                <w:iCs w:val="0"/>
                <w:color w:val="auto"/>
                <w:sz w:val="20"/>
                <w:szCs w:val="20"/>
                <w:highlight w:val="none"/>
                <w:u w:val="none"/>
                <w:lang w:val="en-US" w:eastAsia="zh-CN" w:bidi="ar"/>
              </w:rPr>
              <w:t xml:space="preserve">声音清晰；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3.多边形斜面箱体，正面透声网孔；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4.二分频设计；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产品参数：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1.阻抗：8Ω</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2.频响：80Hz-19KHz</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3.额定功率：120W</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4.峰值功率：480W</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5.灵敏度（1W/1m）：90dB</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6.最大声压级：118dB</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7.覆盖角度：(H)80°(V)50°</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8.高音：1.4"高音*1</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9.低音：6.5"低音*1</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音箱壁挂支架：音箱壁挂支架</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专业功放：功能特点：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设备采用1U机箱设计，具有体积小、重量轻等特点；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产品参数：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1.输出功率：立体声功率8Ω：200W*2，立体声功率4Ω：300W*2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2.音频输入输出：2路XLR卡侬母接口、2路XLR卡侬公接口</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3.输出接口：2路欧姆接口/接线柱</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4.网口：2路网口</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5.转换速率：40V/μs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5.信噪比：＞80dB</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6.阻尼系数：＞350@8Ω</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7.频率响应：20Hz-20KHz</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8.总谐失真：＜0.01%</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9.输入阻抗：10KΩ非平衡、20KΩ平衡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10.供电：AC200-240V、50/60Hz</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前级音频处理器：功能特点：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1.具有音箱处理器功能的卡拉OK效果器，各部分功能可独立调节；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2.采用24Bit数据总线和32BitDSP；</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3.音乐设有7段参量均衡，音乐到主输出高通滤波器；12dB/24dB(0Hz-303Hz)；</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4.主输出设有5段参量均衡，有压缩限幅器；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5.中置输出、超低音输出及后置输出均设有3段参量均衡；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6.麦克风有4种反馈抑制模式：OFF、1、2、3；</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7.可存储16种模式；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8.话筒输出、主输出、中置输出、超低音输出、后置输出均设有压限及延时功能；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9.内有管理者模式与用户模式，用户模式在调整参数后不能存储；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10.本机设有全功能菜单；</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11.六通道输出带有频率指示灯跳跃，可看信号灵敏度；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12.具有2组音频输入接口，3路麦克风输入接口；</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13.具备5.1（XLR）声道输出接口,1组录音输出接口；</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14.直接用面板的功能键和拔轮进行功能设置或是连接电脑通过PC控制软件来控制；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15.通过直接旋转面板的不同旋钮可分别控制话筒音量、效果音量、音乐音量和总音量；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16.可通过面板的“系统”键来设定密码锁定面板操作的部分或全部功能，以防止闲杂人员的操作破坏机器的工作状态；</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17.采用液晶屏和6段LED显示输入/输出的精确数字电平表、哑音及编辑状态；</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产品参数：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1.显示：采用液晶屏分和6段LED显示输入/输出的精确数字电平表、哑音及编辑状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2.输入通道及插座：3路话筒输入口，2路RCA音频输出接口</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3.输出通道及插座：5.1声道XLR公卡侬座（一对主声道，一对环绕，一个中置和一个超低），1组RCA录音输出接口</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3.输入阻抗：平衡：20KΩ</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4.PC接口：后面板1个USB接口</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5.失真度：&lt;0.01%</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6.信噪比：≥80dB</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7.最大输入电平：4V(RMS)，最大输出电平：4V(RMS)，音乐频道增益:MAX：12dB</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8.麦克风灵敏度：64mV(out:4V)</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9.电源：AC220V,50Hz</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音频控制系统：软件具备智能音箱管理功能：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1、具有音箱终端管理、播放任务管理、音箱权限管理等管理功能，为各语音采集提供数掘接口服务；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2、提供系统运行编程功能；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3、实时监测系统中各个音箱的运行状态；</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4、能根据用户密码权限的方式远程登陆主机，并对主机进行有效管理；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5、能通过软件对系统中的设备进行控制；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6、支持TTS文本转语音功能，支持中文和英文；</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7、支持对带有led显示屏的设备发布文字信息功能。</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真分集UHF段一拖四无线会议（长咪杆）：功能特点：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1.采用真分集接收技术，CPU自动选择最优接收单元保证接收到稳定信号预防断频；</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2.每个通道有100个频点可调，可跟无线接收机进行红外对频，同时也支持无线对频，频率同频技术无需对准发射机可轻松实现对频；</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3.接收机采用1.8寸TFT彩色显示屏，4个通道频道号，频率，电量，音量，音频电平一目了然；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4.内置啸叫抑制功能，可根据需要开启或关闭；</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5.内置4种EQ模式，用户模式可以自由灵活调节13段EQ增益，适配更多场合使用；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6.采用动态随机ID，杜绝串频，接收机只接收最后一次对频的发射机；</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7.预置多组规避干扰的频率，有效提高多套同时使用的安装效率；</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8.具有杂讯锁定静噪控制+ID锁定静噪；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9.超强抗干扰能力，能有效抑制由外部带来的噪音干扰及同频干扰；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10.具有4路XLR平衡输出，1路混合非平衡输出，适合连接各种外置设备；</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11.配带4个吸盘天线，可以将天线放置在机柜外面，避免机柜影响话筒的接收信号；</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12.含1台接收机和4只长咪杆无线桌面麦；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产品参数：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接收机指标：</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1.调制方式：FM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2.工作频率：640-690MHz</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3.频率响应：40Hz-18KHz</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4.T.H.D失真：&lt;0.5%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5.S/N信噪比：&gt;100dB</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6.使用距离：50-80米（空旷环境）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7.天线接口：4路</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8.电源：DV12V/1A</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9.接收机尺寸（L*W*H）：130*93*58mm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麦克风指标：</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1.频带宽度：50MHz</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2.频道间隔：250KHz</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3.频率稳定度：±0.005%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4.电池容量：内置4.2V/3000mAH锂离子电池</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5.工作时间：连续工作20小时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6.充电时间：6-8小时充满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7.咪杆：360mm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8.话筒2.4寸TFT彩色显示屏：显示发射频率、通道、电池电量</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DSP数字4进1出反馈抑制器：功能特点：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1.高清2寸TFT彩屏，实时显示当前高低音频频谱显示，系统音量，麦克风音量；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2.实时自动扫描啸叫抑制点并自动抑制，有效提升麦克风拾音距离；</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3.支持100级电子音量调整；</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4.24bit高性能A/D及D/A转换芯片,语音清晰，还原度高；</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5.具备4通道48V幻象电源独立开关控制，支持接入4路麦克风；</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6.高效简单的操作，无需任何调试一键切换啸叫抑制功能打开或关闭，即时了解抑制器的效果；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7.一键对啸叫点进行校正，一键检测啸叫点，Ai自适应算法清除啸叫。</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8.移频，陷波双算法，高保真音质，不改变原声。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9.傻瓜式操作，简单易操作。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10.自动增益算法，讲话更轻松，适配各种动圈或电容式话筒。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技术参数：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1.麦克风输入通道：4路平衡输入XLR和4路非平衡输入TRS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2.音乐输入通道：1路RCA接口</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3.输出通道：2路平衡输出XLR，1路RCA</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4.频率响应：20-20KHz（BYPASS） 100-16KHz（ACTIVE）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5.信噪比：&gt;90dB</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6.输入阻抗：10KΩ</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7.输出阻抗：1KΩ</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8.AD采样：48K,24bit</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9.额定电压：220V/AC 50Hz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10.额定功率：&lt;20W</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电源时序器：功能特点：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1.8通道电源口顺序开启逆序关闭,每路输出带指示灯；</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2.具有1路短路触发接口，可以通过短接信号控制开关；</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产品参数：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1.额定输出电压：交流220V，50Hz</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2.可控制电源：8路</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3.每路动作延时时间：1秒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4.单路最大承受无功功率：2200W</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5.最大承受无功总功率:6000W</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配电柜：1、配电柜输入电压为交流单相220V+7%，工频50HZ，功率不低于5KW，输出电压：220V+10%，安装方式：壁挂式，预埋式，灯杆抱箍式；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2、包含控制软件，软件参数如下：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（1）平台首页展示出所有绑定的设备，并以图表和数据的形式，记录与展示设备的状态和故障情况。</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（2）当有设备故障时，故障信息会及时发出并且展示在平台首页，同时伴随报警声音，可以对用电安全进行监管。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（3）设备报警后可以通过 WEB 界面立即查看设备状况，查看和处理报警设备，通过点击地图上的设备可以进入到设备信息查看页面，直观反映设备运行时的状态；</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（4）具有查看设备所有的历史报警信息的功能；具有设备管理页面和故障查看页面。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（5）可以对绑定的设备进行信息的修改，可以修改设备的基本信息；</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（6）可以查看其他的种类的设备故障信息以及处理状态。</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机柜：22U</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大报告厅：</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座椅：1.面料：选用麻绒布，耐酸汗渍变色、沾色不低于3-4级,无异味，甲醛含量≤20mg/kg，可分解致癌芳香胺染料未检出，防霉性能不低于1级，符合</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《国家纺织产品基本安全技术规范》、GB/T 24346-2009《纺织品 防霉性能的评价》标准。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座、背外壳：高密度曲木板材经高温压一次成型。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用抽纱或丝绒覆面，表面有防腐化和防变型保护膜，回弹性高，耐用度高，防碎，防氧化，密度≥46kg/m3，回弹率≥47%，75%压缩永久变形≤5%，湿热老化后拉伸强度≥100KPa，干热老化后拉伸强度≥100KPa，甲醛释放量≤0.03mg/m2h，燃烧性能达B1级，抗疲劳力强，坐感舒适，符合</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《通用软质聚醚型氨酯泡沫塑料》、GB 8624-2012《建筑材料及制品燃烧性能分级》等标准。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3.扶手架及站脚：采用3.0mm钢板焊制，表面经酸洗、磷化、防腐、防锈、静电喷塑等化学处理，外贴布面装饰板，加粗横管确保受压之下不产生变形，安心放心。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4.扶手盖：原木扶手外涂环保油漆，经过五底三面油漆工序，木纹纹理清晰，色泽均匀、光滑耐用；挥发性有机化合物（VOC）含量≤50g/L，可溶性重金属含量 可溶性铅（Pb）≤8mg/kg、可溶性镉(Cd)≤2mg/kg、可溶性铬(Cr)≤3mg/kg、可溶性汞(Hg)≤2mg/kg，多环芳烃总和含量≤10mg/kg，漆膜硬度3H,符合GB 18581-2020《木器涂料中有害物质限量》、</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5.功能特征：整体设计按照人体工程学设计，椅背海绵两侧有连续的突起状背托、腰托造型（有效缓解长时间保持坐姿而产生的疲劳感）。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附折叠收藏式写字板</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主席台桌：2100*720*760mm1、饰面：采用木皮，依据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主席台椅：面料：选用</w:t>
            </w:r>
            <w:r>
              <w:rPr>
                <w:rFonts w:hint="eastAsia" w:ascii="宋体" w:hAnsi="宋体" w:cs="宋体"/>
                <w:i w:val="0"/>
                <w:iCs w:val="0"/>
                <w:color w:val="auto"/>
                <w:sz w:val="20"/>
                <w:szCs w:val="20"/>
                <w:highlight w:val="none"/>
                <w:u w:val="none"/>
                <w:lang w:val="en-US" w:eastAsia="zh-CN" w:bidi="ar"/>
              </w:rPr>
              <w:t xml:space="preserve">皮料</w:t>
            </w:r>
            <w:r>
              <w:rPr>
                <w:rFonts w:hint="eastAsia" w:ascii="宋体" w:hAnsi="宋体" w:eastAsia="宋体" w:cs="宋体"/>
                <w:i w:val="0"/>
                <w:iCs w:val="0"/>
                <w:color w:val="auto"/>
                <w:sz w:val="20"/>
                <w:szCs w:val="20"/>
                <w:highlight w:val="none"/>
                <w:u w:val="none"/>
                <w:lang w:val="en-US" w:eastAsia="zh-CN" w:bidi="ar"/>
              </w:rPr>
              <w:t xml:space="preserve">，依据GB/T 16799-2018《家具用皮革》；QB/T 4199-2011《皮革 防霉性能测试方法》﹔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评定第1部分:阴燃的香烟》；HJ 507-2009《环境标志产品技术要求皮革和合成革》标准；厚度≥1.2mm，全张革厚薄基本均匀，无油腻感；正面革不裂面、无管皱，主要部位不松面，革身平整、柔软、丰满有弹性；禁用偶氮染料未检出；耐光性≥5级，耐折牢度50000次无裂纹，游离甲醛≤20mg/kg，撕裂力≥90N，挥发性有机物（VOC）≤10mg/kg，防霉等级0级或1级，抗引燃特性阻燃Ⅰ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《通用软质聚醚型聚氨酯泡沫塑料》、QB/T 2280-2016《办公家具 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w:t>
            </w:r>
            <w:r>
              <w:rPr>
                <w:rFonts w:hint="eastAsia" w:ascii="宋体" w:hAnsi="宋体" w:eastAsia="宋体" w:cs="宋体"/>
                <w:i w:val="0"/>
                <w:iCs w:val="0"/>
                <w:color w:val="auto"/>
                <w:sz w:val="20"/>
                <w:szCs w:val="20"/>
                <w:highlight w:val="none"/>
                <w:u w:val="none"/>
                <w:lang w:val="en-US" w:eastAsia="zh-CN" w:bidi="ar"/>
              </w:rPr>
              <w:t xml:space="preserve">垫和沙发抗引燃特性的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框架：采用实木框架，依据GB/T 1927.4-2021《无疵小试样本材物理力学性质试验方法 第4部分：含水率测定》﹔</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 GB/T 1927.5-2021《无疵小试样木材物理力学性质试验方法 第5部分:密度测定》﹔</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 《绿色产品评价 人造板和木质地板》；GB/T 1927.9-2021《无疵小试样木材物理力学性质试验方法 第9部分:抗弯强度测定》；JC/T 2039-2010 《抗菌防霉木质装饰板》标准；木材含水率3%～10%，甲醛释放量≤0.5mg/L，总挥发性有机化合物≤20㎍/m³，气干密度≥0.68g/cm³，抗弯强度≥80MPa，防霉菌等级0级或1级。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扶手：采用实木扶手，依据GB/T 1927.4-2021《无疵小试样木材物理力学性质试验方法 第4部分: 含水率测定》；</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人造板和木质地板》；GB/T 1927.9 -2021《无疵小试样木材物理力学性质试验方法 第9部分:抗弯强度测定》； QB/T 4371-2012《家具抗菌性能的评价》；JC/T 2039-2010《抗菌防霉木质装饰板》标准；木材含水率3%～10%，抗弯强度≥80MPa，甲醛释放量≤0.5mg/L，挥发性有机化合物≤20㎍/m³，抗菌性能（抑菌率）≥99%，防霉菌等级0级或1级。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报告台：1、饰面：采用木皮，依据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更衣间柜子：W800×D400×H2000mm，饰面：采用三聚氰胺浸渍胶膜纸，依据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基材：采用不低于E1级刨花板，依据GB/T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98寸带支架一体机：一、整体设计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1.屏幕采用≥98英寸液晶显示器，采⽤LED液晶A规屏，显示⽐例16:9。显示分辨率3840*2160，可视⻆度≥178°。</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2.整机内置全视角背光增光膜，通过增光膜对背光光源进行均光，整机屏幕中心亮度三分之一的亮度观看视角≥130°，满足GB40070关于亮度可视角≥120°要求，整机白场画面下亮度均匀性≥85%。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3.整机支持AI书写美化能力，智能识别批注的书写轨迹，进行笔锋智能美化，模拟纸上书写的起笔、行笔和收笔效果。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4.整机采用红外触控技术，Windows系统和Android系统均支持≥50点触控及书写划线。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5.整机嵌入式系统版本≥Android 16，CPU≥8核，主频≥2.2GHz，内存≥4GB，存储空间≥64GB。</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6.整机内置非独立外扩展的8阵列麦克风，可用于对教室环境音频进行采集，麦克风拾音距离≥12米。</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整机内置非独立摄像头，采用一体化集成设计，可拍摄≥5000万像素数的照片，视场角≥135度且水平视场角≥120度，支持输出4:3、16:9比例的图片和视频；支持清晰度为3840x2160（4K）分辨率的视频输出，支持画面畸变矫正功能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9.整机内置双WiFi6无线网卡（不接受外接），在Android和Windows系统下，可实现Wi-Fi无线上网连接、AP无线热点发射。Wi-Fi制式支持IEEE 802.11 a/b/g/n/ac/ax；支持版本Wi-Fi6。</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10.整机配套教学应用APP可通过wifi直连技术，近场发现附近教学大屏设备，无需扫码、账号密码输入步骤，即可直接连接并登录教学大屏设备，基于统一身份认证机制可实现其他教学软件免登录操作。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二、插拔式电脑模块：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1、采用按压式卡扣，无需工具即可快速拆卸电脑模块。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2、PC模块和整机的连接采用万兆级接口，传输速率≥10Gbps。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3、电脑模块CPU要求：主频≥2.0GHz，8核心十二线程；配置要求：不低于 DDR4 8GB内存，256GB SSD硬盘；接口要求：≥1路HDMI，≥3路USB。</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4.提供一台落地支架</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整机设备内置2.2声道扬声器，前朝向</w:t>
            </w:r>
            <w:r>
              <w:rPr>
                <w:rFonts w:hint="eastAsia" w:ascii="宋体" w:hAnsi="宋体" w:cs="宋体"/>
                <w:i w:val="0"/>
                <w:iCs w:val="0"/>
                <w:color w:val="auto"/>
                <w:sz w:val="20"/>
                <w:szCs w:val="20"/>
                <w:highlight w:val="none"/>
                <w:u w:val="none"/>
                <w:lang w:val="en-US" w:eastAsia="zh-CN" w:bidi="ar"/>
              </w:rPr>
              <w:t xml:space="preserve">至少2个不小于</w:t>
            </w:r>
            <w:r>
              <w:rPr>
                <w:rFonts w:hint="eastAsia" w:ascii="宋体" w:hAnsi="宋体" w:eastAsia="宋体" w:cs="宋体"/>
                <w:i w:val="0"/>
                <w:iCs w:val="0"/>
                <w:color w:val="auto"/>
                <w:sz w:val="20"/>
                <w:szCs w:val="20"/>
                <w:highlight w:val="none"/>
                <w:u w:val="none"/>
                <w:lang w:val="en-US" w:eastAsia="zh-CN" w:bidi="ar"/>
              </w:rPr>
              <w:t xml:space="preserve">12W扬声器，上朝向</w:t>
            </w:r>
            <w:r>
              <w:rPr>
                <w:rFonts w:hint="eastAsia" w:ascii="宋体" w:hAnsi="宋体" w:cs="宋体"/>
                <w:i w:val="0"/>
                <w:iCs w:val="0"/>
                <w:color w:val="auto"/>
                <w:sz w:val="20"/>
                <w:szCs w:val="20"/>
                <w:highlight w:val="none"/>
                <w:u w:val="none"/>
                <w:lang w:val="en-US" w:eastAsia="zh-CN" w:bidi="ar"/>
              </w:rPr>
              <w:t xml:space="preserve">至少2个不小于</w:t>
            </w:r>
            <w:r>
              <w:rPr>
                <w:rFonts w:hint="eastAsia" w:ascii="宋体" w:hAnsi="宋体" w:eastAsia="宋体" w:cs="宋体"/>
                <w:i w:val="0"/>
                <w:iCs w:val="0"/>
                <w:color w:val="auto"/>
                <w:sz w:val="20"/>
                <w:szCs w:val="20"/>
                <w:highlight w:val="none"/>
                <w:u w:val="none"/>
                <w:lang w:val="en-US" w:eastAsia="zh-CN" w:bidi="ar"/>
              </w:rPr>
              <w:t xml:space="preserve">30W中低音扬声器，最大功率≥</w:t>
            </w:r>
            <w:r>
              <w:rPr>
                <w:rFonts w:hint="eastAsia" w:ascii="宋体" w:hAnsi="宋体" w:cs="宋体"/>
                <w:i w:val="0"/>
                <w:iCs w:val="0"/>
                <w:color w:val="auto"/>
                <w:sz w:val="20"/>
                <w:szCs w:val="20"/>
                <w:highlight w:val="none"/>
                <w:u w:val="none"/>
                <w:lang w:val="en-US" w:eastAsia="zh-CN" w:bidi="ar"/>
              </w:rPr>
              <w:t xml:space="preserve">80</w:t>
            </w:r>
            <w:r>
              <w:rPr>
                <w:rFonts w:hint="eastAsia" w:ascii="宋体" w:hAnsi="宋体" w:eastAsia="宋体" w:cs="宋体"/>
                <w:i w:val="0"/>
                <w:iCs w:val="0"/>
                <w:color w:val="auto"/>
                <w:sz w:val="20"/>
                <w:szCs w:val="20"/>
                <w:highlight w:val="none"/>
                <w:u w:val="none"/>
                <w:lang w:val="en-US" w:eastAsia="zh-CN" w:bidi="ar"/>
              </w:rPr>
              <w:t xml:space="preserve">W，全部扬声器无需打开背板即可单独拆卸。</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t xml:space="preserve">投标时提供CNAS或CMA认证的检测机构出具的检测报告原件扫描件</w:t>
            </w:r>
            <w:r>
              <w:rPr>
                <w:rFonts w:hint="eastAsia" w:ascii="宋体" w:hAnsi="宋体" w:cs="宋体"/>
                <w:i w:val="0"/>
                <w:iCs w:val="0"/>
                <w:color w:val="auto"/>
                <w:sz w:val="20"/>
                <w:szCs w:val="20"/>
                <w:highlight w:val="none"/>
                <w:lang w:val="en-US" w:eastAsia="zh-CN" w:bidi="ar"/>
              </w:rPr>
              <w:t xml:space="preserve">。</w:t>
            </w:r>
            <w:r/>
          </w:p>
          <w:p>
            <w:pPr>
              <w:numPr>
                <w:ilvl w:val="0"/>
                <w:numId w:val="0"/>
              </w:numPr>
              <w:jc w:val="left"/>
              <w:keepLines w:val="0"/>
              <w:keepNext w:val="0"/>
              <w:widowControl/>
              <w:rPr>
                <w:rFonts w:hint="eastAsia"/>
                <w:color w:val="auto"/>
                <w:highlight w:val="none"/>
                <w:lang w:val="en-US" w:eastAsia="zh-CN"/>
              </w:rPr>
              <w:suppressLineNumbers w:val="0"/>
            </w:pPr>
            <w:r>
              <w:rPr>
                <w:rFonts w:hint="eastAsia" w:ascii="宋体" w:hAnsi="宋体" w:eastAsia="宋体" w:cs="宋体"/>
                <w:i w:val="0"/>
                <w:iCs w:val="0"/>
                <w:color w:val="auto"/>
                <w:sz w:val="20"/>
                <w:szCs w:val="20"/>
                <w:highlight w:val="none"/>
                <w:lang w:val="en-US" w:eastAsia="zh-CN" w:bidi="ar"/>
              </w:rPr>
              <w:t xml:space="preserve">（中标供应商签订合同前提交其投标文件中上报的检测报告的原件让采购人或者代理机构核查，核查不合格的上报监管部门。）</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听力模式下具备AI人声语言增强功能，</w:t>
            </w:r>
            <w:r>
              <w:rPr>
                <w:rFonts w:hint="eastAsia" w:ascii="宋体" w:hAnsi="宋体" w:cs="宋体"/>
                <w:i w:val="0"/>
                <w:iCs w:val="0"/>
                <w:color w:val="auto"/>
                <w:sz w:val="20"/>
                <w:szCs w:val="20"/>
                <w:highlight w:val="none"/>
                <w:u w:val="none"/>
                <w:lang w:val="en-US" w:eastAsia="zh-CN" w:bidi="ar"/>
              </w:rPr>
              <w:t xml:space="preserve">至少具备</w:t>
            </w:r>
            <w:r>
              <w:rPr>
                <w:rFonts w:hint="eastAsia" w:ascii="宋体" w:hAnsi="宋体" w:eastAsia="宋体" w:cs="宋体"/>
                <w:i w:val="0"/>
                <w:iCs w:val="0"/>
                <w:color w:val="auto"/>
                <w:sz w:val="20"/>
                <w:szCs w:val="20"/>
                <w:highlight w:val="none"/>
                <w:u w:val="none"/>
                <w:lang w:val="en-US" w:eastAsia="zh-CN" w:bidi="ar"/>
              </w:rPr>
              <w:t xml:space="preserve">三挡强弱调节。扩声语言传输指数≥0.7。</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t xml:space="preserve">投标时提供CNAS或CMA认证的检测机构出具的检测报告原件扫描件</w:t>
            </w:r>
            <w:r>
              <w:rPr>
                <w:rFonts w:hint="eastAsia" w:ascii="宋体" w:hAnsi="宋体" w:cs="宋体"/>
                <w:i w:val="0"/>
                <w:iCs w:val="0"/>
                <w:color w:val="auto"/>
                <w:sz w:val="20"/>
                <w:szCs w:val="20"/>
                <w:highlight w:val="none"/>
                <w:lang w:val="en-US" w:eastAsia="zh-CN" w:bidi="ar"/>
              </w:rPr>
              <w:t xml:space="preserve">。</w:t>
            </w:r>
            <w:r/>
          </w:p>
          <w:p>
            <w:pPr>
              <w:numPr>
                <w:ilvl w:val="0"/>
                <w:numId w:val="0"/>
              </w:numPr>
              <w:jc w:val="left"/>
              <w:keepLines w:val="0"/>
              <w:keepNext w:val="0"/>
              <w:widowControl/>
              <w:rPr>
                <w:rFonts w:hint="eastAsia"/>
                <w:color w:val="auto"/>
                <w:highlight w:val="none"/>
                <w:lang w:val="en-US" w:eastAsia="zh-CN"/>
              </w:rPr>
              <w:suppressLineNumbers w:val="0"/>
            </w:pPr>
            <w:r>
              <w:rPr>
                <w:rFonts w:hint="eastAsia" w:ascii="宋体" w:hAnsi="宋体" w:eastAsia="宋体" w:cs="宋体"/>
                <w:i w:val="0"/>
                <w:iCs w:val="0"/>
                <w:color w:val="auto"/>
                <w:sz w:val="20"/>
                <w:szCs w:val="20"/>
                <w:highlight w:val="none"/>
                <w:lang w:val="en-US" w:eastAsia="zh-CN" w:bidi="ar"/>
              </w:rPr>
              <w:t xml:space="preserve">（中标供应商签订合同前提交其投标文件中上报的检测报告的原件让采购人或者代理机构核查，核查不合格的上报监管部门。）</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备授课软件：1.为教师提供可扩展的云存储空间≥100T。</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提供网络课件社区，可对上传的教学资源进行共享，提供教师存储空间，支持大批量上传与分发下载，可对教学资源进行评论、点赞；社区板块包括实时动态、都在搜、作品、分类、我的，可显示最近发布、都在用、课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3.支持点对点分享云课件，用户可在软件中直接将课件发送给其它用户，同时也可以在软件中直接接收并打开其它用户分享的课件。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4.支持多人在选择书写工具的状态下同时书写和擦除，互不影响，方便不同学生在屏幕上同时书写。</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5.支持创建互动分类游戏，系统需提供不少于10种游戏模板，直接选择并输入相应内容即可轻松生成互动分类游戏，提升课堂趣味性。</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直播课堂：1.支持一键开课，教师可通过一键开课生成海报，学生可通过扫描海报微信二维码加入直播课堂，无需额外安装APP。</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2.支持远程课件互动，教师可指定授权学生远程互动，并且互动学生可在课件画面进行书写、移动、擦除、参与远程互动。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3.课程回放：课程结束后自动生成直播回放，报名课程的学生可反复学习；回放课程自动保存在云端，支持人工删除。</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带轮长条折叠桌：尺寸：80cm×34cm×100cm；饰面：采用三聚氰胺浸渍胶膜纸，依据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折叠椅：采用碳管钢材加厚钢板 海绵靠垫加固横梁防锈喷塑稳固承重 加宽椅面防滑耐磨脚</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教工之家：</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音箱：12MM中纤板；PVC贴皮频率响应：50Hz-20KHz</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灵敏度：93dB(1M/1W)</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最大声压级：115dB SPL PEAK</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标称阻抗：4Ω</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低频单元：1×8"(100磁25芯）</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高频单元：3寸纤维盆高音</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额定功率：60W（AES）</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功放：输出功率：200W(8Ω 最大)；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失    真：＜0.5% 1KHz 1/3额定功率；</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灵 敏 度：线路≦400MV；话筒≦20MV；</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信 噪 比：≧74dB；</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串音衰减：≦40dB；</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频率响应：20Hz-20KHz ±3dB；</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电源电压：AC220V 50Hz；</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产品净重：3.8KG；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产品尺寸：360mm长×285mm宽×100mm高（最大）；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包装尺寸：450mm长×315mm宽×114mm高；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蓝牙播放，LED显示，带USB SD 左右声道平衡调节，音乐独立高低音独立调节，2路话筒输入，话筒高低音独立调节，4只大功率场效应管放大，过载过流短路的保护，大功率环形变压器供电</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无线话筒：材质：金属</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UHF 可调频60组</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接收距离：50-100米</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打击乐器：（原木铃鼓6寸、原木木鱼、单响筒、13摇铃、早午板、沙蛋、响板、三角铁、沙锤、打棒、带柄碰铃、双响筒、环保铃）各6个</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人体追踪无线录像设备：尺寸:长70.5mm，宽44.2mm，高32.8mm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防水裸机20米，加防水壳60米</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麦克风3个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立体声收音</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重量：146克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连接方式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快拆设计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显示屏：前置显示屏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OLED 可触控彩屏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1.46 英寸331ppi342× 342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800 cd/m’ 最大亮度（典型）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背面显示屏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OLED 可触控彩屏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2.5英寸326 ppi 400 × 712</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调音台：话筒输入:10路</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幻象电源:48V</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频率响应:20Hz-20kHz</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耗电功率:55W</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音频处理器会议矩阵4*4：1.4路平衡式话筒\线路输入，4路平衡式音频输出，采用凤凰插接口；</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2.内置USB声卡，支持音乐播放、录制和软视频会议；</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3.输入通道具有增益共享自动混音、拓展器、滤波器、压缩器、信号发生器、自动增益、8段参量均衡、AFC(反馈抑制)、ANS(噪声抑制)等调节；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4.输出通道具有高低通、8段参量均衡、延时器、滤波器、限幅器等调节；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5.具有自定义的用户操作界面，实现多台设备集中控制；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6.每个输入通道具有8个点的自适应反馈抑制；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7.每个输入通道具有幻象电源、反相、静音开关控制；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8.独立通道的AFC（反馈抑制），采用陷波式算法，传声增益提升幅度：10dB；</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9.AFC(反馈抑制)具有5个等级选择；</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10.信号发生器具有正弦波、白噪声、粉红噪声选择；</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11.具有Parametric,Lowshelf,Highshelf,Lowpass,Highpass等5种滤波器选择；</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12.具有全功能矩阵混音功能，输入混音电平可调节；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13.具有16组预设，每个预设独立工作；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14.支持通道拷贝、LINK和分组功能；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15.支持R232＆UDP中控，UDP端口可自由设定，可查看控制软件代码；</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16.处理器芯片采用ADI架构，40bitDSP浮点运算引擎，提供自由配制软件架构；</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17.具有多种控制方式，可通过电脑、手机、平板、按键面板、触摸面板等方式管理；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18.软件可以查看输入和输出的电平信号大小；</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立式话筒架：可调高度29-219cm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桌面话筒架：18×15×15，可调节高度0-7cm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沙发：W2030×D835×H850mm；面料：选用麻绒布，依据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《国家纺织产品基本安全技术规范》；GB/T 31713-2015《抗菌纺织品安全性卫生要求》；GB/T 24346-2009《纺织品 防霉性能的评价》；</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《绿色产品评价家具》；FZ/T 62011.3-2016《布艺类产品 第3部分:家具用纺织品》标准；耐水、耐酸汗渍、耐碱汗渍、耐干摩擦、耐唾液符合要求，甲醛含量≤20mg/kg，可分解致癌芳香胺染料未检出，抗菌性能（抑菌率）≥95%，抗引燃特性阻燃Ⅰ级，防霉等级0级或1级，产品有害物质（纺织品、皮革中五氯苯酚（PCP）≤ 0.5mg/kg。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《通用软质聚醚型聚氨酯泡沫塑料》、QB/T 2280-2016《办公家具 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w:t>
            </w:r>
            <w:r>
              <w:rPr>
                <w:rFonts w:hint="eastAsia" w:ascii="宋体" w:hAnsi="宋体" w:eastAsia="宋体" w:cs="宋体"/>
                <w:i w:val="0"/>
                <w:iCs w:val="0"/>
                <w:color w:val="auto"/>
                <w:sz w:val="20"/>
                <w:szCs w:val="20"/>
                <w:highlight w:val="none"/>
                <w:u w:val="none"/>
                <w:lang w:val="en-US" w:eastAsia="zh-CN" w:bidi="ar"/>
              </w:rPr>
              <w:t xml:space="preserve">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绷带：依据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 《国家纺织产 品基本安全技术规范》；GB/T 31713-2015 《抗菌纺织品安全性卫生要求》；GB/T 20944. 2-2007《纺织品抗菌性能的评价 第2部分:吸收法》；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 《绿色产品评价家具》；HJ 2546-2016《环境标志产品技术要求纺织产品》检测标准；甲醛含量≤20mg/kg，可分解致癌芳香胺染料未检出，产品有害物质（纺织品、皮革中五氯苯酚（PCP）≤0.05mg/kg，PH值4.0～7.5，可萃取的重金属（砷、铅、钴、镍）未检出，抗菌性能（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蛇形弹簧：依据</w:t>
            </w:r>
            <w:r>
              <w:rPr>
                <w:rFonts w:hint="eastAsia" w:ascii="宋体" w:hAnsi="宋体" w:cs="宋体"/>
                <w:i w:val="0"/>
                <w:iCs w:val="0"/>
                <w:color w:val="auto"/>
                <w:sz w:val="20"/>
                <w:szCs w:val="20"/>
                <w:highlight w:val="none"/>
                <w:u w:val="none"/>
                <w:lang w:val="en-US" w:eastAsia="zh-CN"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10125-2021《人造气氛腐蚀试验 盐雾试验》；QB/T 3832- 1999《轻工产品金属镀层腐蚀试验结果的评价》；QB/T 4371-2012《家具抗菌性能的评价》；GB/T 1741-2020 《漆膜耐霉菌性测定法》；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家具》标准；喷涂层无漏喷、锈蚀和脱色、掉色现象，乙酸盐雾试验≥220h，镀层本身的耐腐蚀等级≥10级，镀层对基体的保护等级≥10级；产品有害物质（铅、镉、汞、砷）未检出，抑菌率≥99%。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框架：背底采用高频热压机加工成型多层弯曲木板，符合人体工程学。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脚架：采用实木脚架。</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柜子：4000*2700*400mm；饰面：采用三聚氰胺浸渍胶膜纸，依据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吧台：1、人造石台面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2、E0级多层板柜体,甲醛含量≤1.2mg/L，具有防水、防烫、防污、防酸、防碱、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3、8000*1400*400mm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教师餐厅：</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2.4m圆桌：D2400*760mm,1、饰面：采用木皮，依据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餐椅：面料：选用</w:t>
            </w:r>
            <w:r>
              <w:rPr>
                <w:rFonts w:hint="eastAsia" w:ascii="宋体" w:hAnsi="宋体" w:cs="宋体"/>
                <w:i w:val="0"/>
                <w:iCs w:val="0"/>
                <w:color w:val="auto"/>
                <w:sz w:val="20"/>
                <w:szCs w:val="20"/>
                <w:highlight w:val="none"/>
                <w:u w:val="none"/>
                <w:lang w:val="en-US" w:eastAsia="zh-CN" w:bidi="ar"/>
              </w:rPr>
              <w:t xml:space="preserve">皮料</w:t>
            </w:r>
            <w:r>
              <w:rPr>
                <w:rFonts w:hint="eastAsia" w:ascii="宋体" w:hAnsi="宋体" w:eastAsia="宋体" w:cs="宋体"/>
                <w:i w:val="0"/>
                <w:iCs w:val="0"/>
                <w:color w:val="auto"/>
                <w:sz w:val="20"/>
                <w:szCs w:val="20"/>
                <w:highlight w:val="none"/>
                <w:u w:val="none"/>
                <w:lang w:val="en-US" w:eastAsia="zh-CN" w:bidi="ar"/>
              </w:rPr>
              <w:t xml:space="preserve">，依据GB/T 16799-2018《家具用皮革》；QB/T 4199-2011《皮革 防霉性能测试方法》﹔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评定第1部分:阴燃的香烟》；HJ 507-2009《环境标志产品技术要求皮革和合成革》标准；厚度≥1.2mm，全张革厚薄基本均匀，无油腻感；正面革不裂面、无管皱，主要部位不松面，革身平整、柔软、丰满有弹性；禁用偶氮染料未检出；耐光性≥5级，耐折牢度50000次无裂纹，游离甲醛≤20mg/kg，撕裂力≥90N，挥发性有机物（VOC）≤10mg/kg，防霉等级0级或1级，抗引燃特性阻燃Ⅰ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《通用软质聚醚型聚氨酯泡沫塑料》、QB/T 2280-2016《办公家具 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w:t>
            </w:r>
            <w:r>
              <w:rPr>
                <w:rFonts w:hint="eastAsia" w:ascii="宋体" w:hAnsi="宋体" w:eastAsia="宋体" w:cs="宋体"/>
                <w:i w:val="0"/>
                <w:iCs w:val="0"/>
                <w:color w:val="auto"/>
                <w:sz w:val="20"/>
                <w:szCs w:val="20"/>
                <w:highlight w:val="none"/>
                <w:u w:val="none"/>
                <w:lang w:val="en-US" w:eastAsia="zh-CN" w:bidi="ar"/>
              </w:rPr>
              <w:t xml:space="preserve">垫和沙发抗引燃特性的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框架：采用实木框架，依据GB/T 1927.4-2021《无疵小试样本材物理力学性质试验方法 第4部分：含水率测定》﹔</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 GB/T 1927.5-2021《无疵小试样木材物理力学性质试验方法 第5部分:密度测定》﹔</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 《绿色产品评价 人造板和木质地板》；GB/T 1927.9-2021《无疵小试样木材物理力学性质试验方法 第9部分:抗弯强度测定》；JC/T 2039-2010 《抗菌防霉木质装饰板》标准；木材含水率3%～10%，甲醛释放量≤0.5mg/L，总挥发性有机化合物≤20㎍/m³，气干密度≥0.68g/cm³，抗弯强度≥80MPa，防霉菌等级0级或1级。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扶手：采用实木扶手，依据GB/T 1927.4-2021《无疵小试样木材物理力学性质试验方法 第4部分: 含水率测定》；</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人造板和木质地板》；GB/T 1927.9 -2021《无疵小试样木材物理力学性质试验方法 第9部分:抗弯强度测定》； QB/T 4371-2012《家具抗菌性能的评价》；JC/T 2039-2010《抗菌防霉木质装饰板》标准；木材含水率3%～10%，抗弯强度≥80MPa，甲醛释放量≤0.5mg/L，挥发性有机化合物≤20㎍/m³，抗菌性能（抑菌率）≥99%，防霉菌等级0级或1级。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3+2人位沙发：面料：选用麻绒布，依据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《国家纺织产品基本安全技术规范》；GB/T 31713-2015《抗菌纺织品安全性卫生要求》；GB/T 24346-2009《纺织品 防霉性能的评价》；</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《绿色产品评价家具》；FZ/T 62011.3-2016《布艺类产品 第3部分:家具用纺织品》标准；耐水、耐酸汗渍、耐碱汗渍、耐干摩擦、耐唾液符合要求，甲醛含量≤20mg/kg，可分解致癌芳香胺染料未检出，抗菌性能（抑菌率）≥95%，抗引燃特性阻燃Ⅰ级，防霉等级0级或1级，产品有害物质（纺织品、皮革中五氯苯酚（PCP）≤ 0.5mg/kg。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《通用软质聚醚型聚氨酯泡沫塑料》、QB/T 2280-2016《办公家具 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w:t>
            </w:r>
            <w:r>
              <w:rPr>
                <w:rFonts w:hint="eastAsia" w:ascii="宋体" w:hAnsi="宋体" w:eastAsia="宋体" w:cs="宋体"/>
                <w:i w:val="0"/>
                <w:iCs w:val="0"/>
                <w:color w:val="auto"/>
                <w:sz w:val="20"/>
                <w:szCs w:val="20"/>
                <w:highlight w:val="none"/>
                <w:u w:val="none"/>
                <w:lang w:val="en-US" w:eastAsia="zh-CN" w:bidi="ar"/>
              </w:rPr>
              <w:t xml:space="preserve">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绷带：依据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 《国家纺织产 品基本安全技术规范》；GB/T 31713-2015 《抗菌纺织品安全性卫生要求》；GB/T 20944. 2-2007《纺织品抗菌性能的评价 第2部分:吸收法》；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 《绿色产品评价家具》；HJ 2546-2016《环境标志产品技术要求纺织产品》检测标准；甲醛含量≤20mg/kg，可分解致癌芳香胺染料未检出，产品有害物质（纺织品、皮革中五氯苯酚（PCP）≤0.05mg/kg，PH值4.0～7.5，可萃取的重金属（砷、铅、钴、镍）未检出，抗菌性能（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蛇形弹簧：依据</w:t>
            </w:r>
            <w:r>
              <w:rPr>
                <w:rFonts w:hint="eastAsia" w:ascii="宋体" w:hAnsi="宋体" w:cs="宋体"/>
                <w:i w:val="0"/>
                <w:iCs w:val="0"/>
                <w:color w:val="auto"/>
                <w:sz w:val="20"/>
                <w:szCs w:val="20"/>
                <w:highlight w:val="none"/>
                <w:u w:val="none"/>
                <w:lang w:val="en-US" w:eastAsia="zh-CN"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10125-2021《人造气氛腐蚀试验 盐雾试验》；QB/T 3832- 1999《轻工产品金属镀层腐蚀试验结果的评价》；QB/T 4371-2012《家具抗菌性能的评价》；GB/T 1741-2020 《漆膜耐霉菌性测定法》；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家具》标准；喷涂层无漏喷、锈蚀和脱色、掉色现象，乙酸盐雾试验≥220h，镀层本身的耐腐蚀等级≥10级，镀层对基体的保护等级≥10级；产品有害物质（铅、镉、汞、砷）未检出，抑菌率≥99%。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框架：背底采用高频热压机加工成型多层弯曲木板，符合人体工程学。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脚架：采用实木脚架。</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方桌：800*800*750mm，采用实木，表面平整光滑，无结疤，整体结构结实耐用。油漆采用</w:t>
            </w:r>
            <w:r>
              <w:rPr>
                <w:rFonts w:hint="eastAsia" w:ascii="宋体" w:hAnsi="宋体" w:cs="宋体"/>
                <w:i w:val="0"/>
                <w:iCs w:val="0"/>
                <w:color w:val="auto"/>
                <w:sz w:val="20"/>
                <w:szCs w:val="20"/>
                <w:highlight w:val="none"/>
                <w:u w:val="none"/>
                <w:lang w:val="en-US" w:eastAsia="zh-CN" w:bidi="ar"/>
              </w:rPr>
              <w:t xml:space="preserve">哑光聚脂漆，</w:t>
            </w:r>
            <w:r>
              <w:rPr>
                <w:rFonts w:hint="eastAsia" w:ascii="宋体" w:hAnsi="宋体" w:eastAsia="宋体" w:cs="宋体"/>
                <w:i w:val="0"/>
                <w:iCs w:val="0"/>
                <w:color w:val="auto"/>
                <w:sz w:val="20"/>
                <w:szCs w:val="20"/>
                <w:highlight w:val="none"/>
                <w:u w:val="none"/>
                <w:lang w:val="en-US" w:eastAsia="zh-CN" w:bidi="ar"/>
              </w:rPr>
              <w:t xml:space="preserve">油漆无颗粒，无气泡，无渣点，颜色均匀。</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茶水台：W800×D400×H850mm，1、饰面：采用木皮，依据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组合柜：2400*400*2000mm，饰面：采用三聚氰胺浸渍胶膜纸，依据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基材：采用不低于E1级刨花板，依据GB/T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一桌四椅（木质）：新中式，800*800*750mm，采用实木，表面平整光滑，无结疤，整体结构结实耐用。油漆采用</w:t>
            </w:r>
            <w:r>
              <w:rPr>
                <w:rFonts w:hint="eastAsia" w:ascii="宋体" w:hAnsi="宋体" w:cs="宋体"/>
                <w:i w:val="0"/>
                <w:iCs w:val="0"/>
                <w:color w:val="auto"/>
                <w:sz w:val="20"/>
                <w:szCs w:val="20"/>
                <w:highlight w:val="none"/>
                <w:u w:val="none"/>
                <w:lang w:val="en-US" w:eastAsia="zh-CN" w:bidi="ar"/>
              </w:rPr>
              <w:t xml:space="preserve">哑光聚脂漆，</w:t>
            </w:r>
            <w:r>
              <w:rPr>
                <w:rFonts w:hint="eastAsia" w:ascii="宋体" w:hAnsi="宋体" w:eastAsia="宋体" w:cs="宋体"/>
                <w:i w:val="0"/>
                <w:iCs w:val="0"/>
                <w:color w:val="auto"/>
                <w:sz w:val="20"/>
                <w:szCs w:val="20"/>
                <w:highlight w:val="none"/>
                <w:u w:val="none"/>
                <w:lang w:val="en-US" w:eastAsia="zh-CN" w:bidi="ar"/>
              </w:rPr>
              <w:t xml:space="preserve">油漆无颗粒，无气泡，无渣点，颜色均匀。</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双门消毒柜：容量不小于910L，3层，臭氧，红外消毒，1160*500*1630mm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图书室：</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装饰柜：E0级多层板,甲醛含量≤1.2mg/L，具有防水、防烫、防污、防酸、防碱、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异形沙发：长4200*宽1400mm；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1、面料：皮，经防虫、防腐、分层、鞣制等数十道专业工序处理，耐磨性强、透气性好。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2、泡棉：圣诺盟高回弹泡棉，座垫密度大于35kg/m3，回弹率≥40%，外衬丝棉。</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3、框架：内框架采用东北落叶松实木框架，外嵌胡桃木框架，经去皮、烘干、防虫防腐处理，木材含水量≤13%。</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4、打底：高弹力弹簧+尼龙绷带。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5、沙发脚：采用钢制沙发脚。                                          6、甲醛含量：达到国家E0级环保标准甲醛含量≤9mg/100g</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生活坊：</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作品展览柜：1、尺寸：80×30×85.5cm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2、材质：橡木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3、表面平整光滑，无结疤，整体结构结实耐用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4、E0级多层板,甲醛含量≤1.2mg/L，具有防水、防烫、防污、防酸、防碱、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厨房专用材料收纳柜：1、尺寸：120×40×60cm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2、材质：橡木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3、表面平整光滑，无结疤，整体结构结实耐用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4、E0级多层板,甲醛含量≤1.2mg/L，具有防水、防烫、防污、防酸、防碱、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材料储物柜：整体组合柜的尺寸：400×40×260 cm（宽×深×高）</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包含：食育微波炉柜×2，食育门板-厨具×1，通用两层柜×5，食育门板-饼干×1，美劳教室-美劳储格柜×1，食育门板-面条×1，食育烤箱柜×1，食育门板-调料×1，蛋糕饰顶×1，通用门板-枫木×2，食育门板-围裙×1</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（1）食育微波炉柜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尺寸：80×40×140cm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1、主体采用约18mm厚环保三聚氰胺双贴面刨花板，甲醛释放量符合GB/T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2、表面耐磨、耐污、耐划伤，易清洁，无透底现象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PVC封边条封边，表面光滑无污点，花纹清晰均匀，色泽均匀无色差，转角过渡自然，耐干热性、耐磨性、耐开裂性、耐老化性、耐冷热循环性、耐光色牢度、甲醛释放量、氯乙烯单体、可迁移元素（铅、镉、铬、汞、砷、钡、锑、硒）含量、邻苯二甲酸酯总量、多溴联苯(PBB)、多溴联苯醚(PBDE)等符合</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4、五金件选用环保五金，镉、铅、汞、六价铬含量符合GB/T 26572-2011标准要求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（2）食育门板-厨具</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尺寸：80×1.8×58.2cm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1、框体采用约18mm厚环保三聚氰胺双贴面刨花板，甲醛释放量符合GB/T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2、图案UV打印工艺处理，颜色饱满，图案附着力好，所使用的UV打印均为环保材料，颜色、着色力、细度、干燥性、有害可溶性元素（铅，镉，铬，钡，锑，汞，砷，硒）、挥发性有机化合物(VOCs)含量等符合QB/T 5603-2021标准要求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（3）通用两层柜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尺寸：80×40×60cm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1、采用约18mm厚环保双贴面刨花板，甲醛释放量符合GB/T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2、五金件选用环保五金，镉、铅、汞、六价铬含量符合GB/T 26572-2011标准要求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（4）食育门板-饼干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尺寸：80×1.8×58.2cm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1、框体采用约18mm厚环保三聚氰胺双贴面刨花板，甲醛释放量符合GB/T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2、图案UV打印工艺处理，颜色饱满，图案附着力好，所使用的UV打印均为环保材料，颜色、着色力、细度、干燥性、有害可溶性元素（铅，镉，铬，钡，锑，汞，砷，硒）、挥发性有机化合物(VOCs)含量等符合QB/T 5603-2021标准要求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（5）储格柜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尺寸：80×40×140cm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1、采用约18mm厚环保三聚氰胺双贴面刨花板，甲醛释放量符合GB/T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2、五金件选用环保五金，镉、铅、汞、六价铬含量符合GB/T 26572-2011标准要求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（6）食育门板-面条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尺寸：80×1.8×58.2cm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1、框体采用约18mm厚环保三聚氰胺双贴面刨花板，甲醛释放量符合GB/T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2、图案UV打印工艺处理，颜色饱满，图案附着力好，所使用的UV打印均为环保材料，颜色、着色力、细度、干燥性、有害可溶性元素（铅，镉，铬，钡，锑，汞，砷，硒）、挥发性有机化合物(VOCs)含量等符合QB/T 5603-2021标准要求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（7）食育烤箱柜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尺寸：160×40×140cm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1、主体采用约18mm厚环保三聚氰胺双贴面刨花板，甲醛释放量符合GB/T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2、五金件选用环保五金，镉、铅、汞、六价铬含量符合GB/T 26572-2011标准要求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（8）食育门板-调料</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尺寸：80×1.8×58.2cm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1、框体采用约18mm厚环保三聚氰胺双贴面刨花板，甲醛释放量符合GB/T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2、图案UV打印工艺处理，颜色饱满，图案附着力好所使用的UV打印均为环保材料，颜色、着色力、细度、干燥性、有害可溶性元素（铅，镉，铬，钡，锑，汞，砷，硒）、挥发性有机化合物(VOCs)含量等符合QB/T 5603-2021标准要求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（9）蛋糕饰顶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尺寸：78×1.5×54cm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1、采用约15mm厚环保三聚氰胺双贴面胶合板，甲醛释放量符合GB/T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2、图案UV打印工艺处理，颜色饱满，图案附着力好所使用的UV打印均为环保材料，颜色、着色力、细度、干燥性、有害可溶性元素（铅，镉，铬，钡，锑，汞，砷，硒）、挥发性有机化合物(VOCs)含量等符合QB/T 5603-2021标准要求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（10）通用门板-枫木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尺寸：80×58.2cm×1.8</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1、采用约18mm厚环保枫木纹双贴面刨花板，甲醛释放量符合GB/T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（11）食育门板-围裙</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尺寸：80×1.8×58.2cm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1、框体采用约18mm厚环保三聚氰胺双贴面刨花板，甲醛释放量符合GB/T 39600-2021标准要求，甲醛释放量≤0.025mg/m³，符合Enf级；       </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2、图案UV打印工艺处理，颜色饱满，图案附着力好，所使用的UV打印均为环保材料，颜色、着色力、细度、干燥性、有害可溶性元素（铅，镉，铬，钡，锑，汞，砷，硒）、挥发性有机化合物(VOCs)含量等符合QB/T 5603-2021标准要求</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综合操作台：尺寸：120×60×60cm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1、框体采用约18mm厚枫木纹双贴面胶合板，台面采用约12mm厚桦木纹康贝特，饰面胶合板甲醛释放量符合GB/T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木蜡油封边，成膜牢固，搅拌后均匀无硬块，细度、干燥时间、贮存稳定性、涂膜外观、光泽、硬度、附着力、耐干热性、耐水性、耐碱性、耐醇性、耐污染性（醋、茶）、挥发性有机化合物(VOC)含量、苯含量、甲苯二甲苯乙苯含量总和、卤代烃含量、可溶性重金属（铅、镉、铬、汞）含量符合GB/T 27811-2011标准要求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4、采用踢脚板设计，即增加稳定性，又可以防止杂物进入柜底</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5、产品采用双贴面工艺边角安全防撞设计产品整体结构稳固，不易倾倒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PVC封边条封边，耐干热性，耐磨性，耐开裂性(耐龟裂性)≥2级，耐老化性，耐冷热循环性，耐光色牢度(灰色样卡)≥4级、有害物质限量[甲醛释放量≤1.5mg/L，氯乙烯单体未检出，可迁移元素(可溶性重金属)（铅、镉、铬、汞、砷、钡、锑、硒）未检出，邻苯二甲酸酯（DBP、BBP、DEHP、DNOP、DINP、DIDP）总量≤0.1%，多溴联苯(PBB)未检出，多溴联苯醚(PBDE)未检出</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方凳：尺寸：H35cm，椅座25×25cm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1、凳面采用15mm厚枫木纹双贴面胶合板，甲醛释放量符合GB/T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2、椅架表面金属烤漆处理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3、本款产品可堆叠收纳</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边台：1、材质：橡木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2、尺寸：120cm×40cm×60cm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3、采用橡木，表面平整光滑，无结疤，整体结构结实耐用</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幼儿专用罩衣：1、材质：防水布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2、尺寸：ML码</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3、陶艺课使用，米黄色</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教师围裙：1、材质：防水布，米黄色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2、尺寸：81×63cm ，防水效果好，教师食育课必备品</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弧形岛台：桌面大理石，尺寸 6000*550*600mm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带4个水池操作台：桌面大理石，3个幼儿用（316不锈钢），1成人（316不锈钢）</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石磨：1、尺寸：170×270mm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2、材质：青石</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粮食碾：1、尺寸：180×550mm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2、材质：青石</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电蒸锅：1、规格：34.5×34.1×36.5cm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2、蒸笼面积：10L</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3、额定功率：1500W电压：220V</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4、材质：不锈钢（三层不锈钢）</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非遗传统面塑材料(非食用）：12色一套，每包100g</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非遗面塑支架托板：橡木板100×100mm,81孔插板</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非遗面塑工具：15件工具一套</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编织收纳筐：1、尺寸规格：340×230×140mm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2、旧色复古色系，用于工具材料收纳</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铂金硅胶揉面垫：1、规格：60×40cm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2、材质：硅胶、玻纤布用于桌面垫子，揉面、做饼干等</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竹制盖帘：1、材质：天然竹，尼龙包边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2、尺寸：≥直径390mm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3、用途：传统收纳、置物板，可盛放面食作品等</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花馍梳子：1、材质：塑料</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2、尺寸：≥长90mm宽50mm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3、用途：花馍辅助工具，用于装饰花馍，在面食上制作肌理</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幼儿专用爆米花车：1、外形尺寸：27×31cm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2、功率：≥500w</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3、电压：≥220v</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4、材质：金属+无毒PP</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幼儿专用棉花糖机：1、外形尺寸：25×25×19cm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2、功率：≥400w</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3、电压：≥220v</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4、材质：金属+无毒PP</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幼儿专用全自动多功能烘焙箱：1、容量：≥38L</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2、功率：≥1800w，电压：220v</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3、产品重量：≥7KG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4、尺寸：535×395×355mm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封口机套装：1、尺寸：190×20×24cm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2、材质：PET+ABS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3、说明：多功能封口机，安全快捷</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裱花工具：裱花托50只，裱花棒1只，裱花剪1只</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裱花练习装饰材料：常规配套</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分料碗：1、产品名称；小碗四个装</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2、产品材质；小麦秸秆+食品级PP</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3、产品重量；大饭碗452g（含包装） 小碗282g（含包装）</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手动打蛋器：1、手动打蛋器规格：18×3.5cm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2、材质：不锈钢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3、不锈钢选材，A级抛光+磨光工艺，双重质感，光滑不伤手，用于打散鸡蛋液</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厨房电子称：1、厨房电子称，材质：不锈钢拉丝</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2、规格：18×14×1.7cm，电子显示</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搅拌铲：规格：4.5×28cm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面粉筛：1、规格：12cm×12cm×16cm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3、手柄，用于筛面</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烤盘：1、规格：22×17×4.5cm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2、材质：铝合金</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3、烤制饼干、蛋卷等</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6连蛋糕模具：1、规格：26×18cm，圈圈直径7.5cm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2、材质：铝合金</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棉手套：1、规格：30×15cm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2、材质：棉、隔热棉、无纺布耐高温230度</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锡纸：1、规格：23×10cm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2、材质：8001铝箔用与烧烤烘焙</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裱花台转盘：规格：面板直径29cm高9cm；2、材质：ABS塑料用于蛋糕制作，裱花等</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奶油抹刀：1、规格：32×3cm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2、材质：不锈钢用于蛋糕制作</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油纸：油纸，作物食物垫使用</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手套-3型：1、材质：食品级认证PVC</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2、规格：20只/盒</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手套套装：1、材质：PVC</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2、尺寸：S码65-80×320mm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3、说明：清洗工具时使用，共单层与加绒两款，满足不同季节的需求</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对开门冰箱：总容量：不小于555L，冷藏室容量不小于350L，冷冻室不小于200L</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消毒柜：不小于290L</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国标二星消毒</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电磁炉：尺寸：350×280×60mm，功率220V，额定功率3000W，双屏面板，不锈钢材质</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微波炉：一级能效，900W微波，按键式</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电动榨汁机：容量：1.6L，配套滤网，噪音值≤80dB</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空气炸锅：容量6.5L，不小于2000W，加热方式：双热源，可视化窗口</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电饭煲：容量3L 母婴级0涂层不锈钢内胆煮</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平底锅：不沾平底锅，直径：24.5cm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布织收纳筐：尺寸：35×25×17.5cm金属框架，丙丝带编织布料，两侧设计有提手</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水桶：塑料材质,直径20cm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苏式窗镜卡纸：1、尺寸：8k</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2、重量约：300g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3、环保原木浆</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生宣纸：尺寸：4k</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彩墨汁：用于幼儿国画课程的绘画工具</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国画毛笔：用于幼儿国画课程的绘画工具</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版画拓印滚轮：1、塑柄滚筒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2、儿童版画拓印工具</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砂纸：材质：碳化硅水纸尺寸：100目，280×230mm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拓包：材质：棉+丝绸尺寸：2.5cm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油墨颜料：材质：油墨</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版画：规格：1套16个模板（图案印压-模板-动物单图）尺寸：150×150mm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材质：KS</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a4切割点板：材质：pvc 尺寸：300×220mm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幼儿数字油画：1、20×20cm，袋装6幅重量约1公斤</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2、画板+丙烯颜料+画笔2支+挂钩1套+彩图</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幼儿专用安全色粉：1、规格：12色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2、用于幼儿色粉课程的绘画耗材</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幼儿专用安全重彩油画棒：1、规格：12色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2、用于幼儿绘画课程，安全无毒</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幼儿专用安全蜡笔：1、规格：12色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2、用于绘画课程的材料</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圆形油画框：规格：φ15cm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方形油画框：规格：15×15cm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画架：材质：实木，尺寸：44×44×182表面光滑、无毛刺、无弯曲，接缝无开裂，整体无疤痕无弯曲，表面环保烤漆处理</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画板：尺寸：4K，厚度1.8m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幼儿专用安全彩泥套组：规格：50g、36色</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麻绳：规格：3mm×200米</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棉花：规格：500g</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丸棒：材质：不锈钢+塑料</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圆形作品托板：尺寸φ150mm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刮画纸：1、规格：10×14cm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2、重量：57g</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幼儿浮水画套装：1、上手简单土耳其水上绘画玩法，可以用于多种材质表面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2、幼儿最新最潮流的绘画玩法</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趣味西游皮影戏套组：1、尺寸：22.5×29.5cm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2、重量约：31g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3、一套8件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4、让孩子感受中国古老皮影戏的乐趣</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幼儿夜光丙烯套装：1、色彩鲜艳、质地细腻</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2、适用多种材质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3、膏体颜料，颜色鲜艳饱和</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4、幼儿最新最潮流的绘画玩法</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中国风白坯挂件：1、尺寸：31×29cm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2、重量约：65g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3、环保原木浆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4、幼儿可以搭配超轻黏土，丙烯颜料等进行创作，提高孩子的动手能力和专注力</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手绘中式寸鼓：天然牛皮、塑胶，尺寸φ20cm，高度约14cm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幼儿专用彩色压花器套装：1、材质：ABS+合金</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2、一套3个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3、幼儿可以用来装饰日记本、DIY贺卡等</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幼儿手指画：1、颜色多样，可以满足幼儿各种DIY手工制作需求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2、尺寸18cm、可以水洗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3、让幼儿的想象力更加丰富</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石膏涂色包：1、材质：硬质石膏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2、让孩子尽情享受涂抹雕塑的快乐</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桌面吸灰器：尺寸65mm×85mm，材质为A++级别</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材质，安全防静电</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幼儿专用安全波浪剪刀：规格：220×220×5mm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幼儿专用安全水溶性水彩笔：1、软头水彩笔、水性可擦洗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2、用于创意美术课程的工具</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幼儿专用安全重彩水彩笔：1、重彩水彩笔，效果艳丽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2、用于绘画课程的工具</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皱纹纸：1、规格：30×0.2cm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2、颜色：12色</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彩卡：1、规格：35×52cm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2、颜色：10色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3、用于幼儿创意美术课程的绘画材料</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幼儿专用安全扎染颜料套组：1、规格：100ml</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2、颜色：5色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3、含辅材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4、用于幼儿染织课程的材料</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异形桌+配套椅子：尺寸：140×70×65cm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椅子（6张）尺寸：65×40×40cm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科探室：</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交通安全标志翻版墙：定制产品</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一、交通安全标识互动游戏通过图文结合的方式表现交通安全标志参观者通过参与互动，了解自己认识那些交通安全标识，巩固交通安全标志知识，强化交通安全意识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交通安全标志简单的说就是树立在道路旁或者悬挂在马路上方的各种形状的标牌，目的是提醒开车的人或行人了解路况、方向机各种规定交通安全标志主要有禁令标志、警告标志、指示标志三类，展示常用标志15种类，其它为图文展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操作说明：翻板，阅读图文等</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1.尺寸：3000×400×1800mm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2.底座材质：阻燃板抗划伤烤漆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3.翻牌材质：亚克力背胶写真；</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 单个框体300×300MM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5.不锈钢固定轴</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儿童互动智能桌：1、软件简介：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此软件是为了提升和改善教育环节中脑力开发的能力，将传统的学习的图形记忆、空间思维、数学计算、拼写技巧等能力，变成数字化化软件训练，从而锻炼记忆力、空间能力、计算能力、思维逻辑和创造力等。软件包含了方块挑战、拼图挑战、火柴之谜、字母连线、图形连接、接线挑战等多款主题；支持多触点服务满意度精准测评功能，根据训练结果进行打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2、硬件参数：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显示比例:16:9</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屏幕尺寸：</w:t>
            </w:r>
            <w:r>
              <w:rPr>
                <w:rFonts w:hint="eastAsia" w:ascii="宋体" w:hAnsi="宋体" w:cs="宋体"/>
                <w:i w:val="0"/>
                <w:iCs w:val="0"/>
                <w:color w:val="auto"/>
                <w:sz w:val="20"/>
                <w:szCs w:val="20"/>
                <w:highlight w:val="none"/>
                <w:u w:val="none"/>
                <w:lang w:val="en-US" w:eastAsia="zh-CN" w:bidi="ar"/>
              </w:rPr>
              <w:t xml:space="preserve">不小于</w:t>
            </w:r>
            <w:r>
              <w:rPr>
                <w:rFonts w:hint="eastAsia" w:ascii="宋体" w:hAnsi="宋体" w:eastAsia="宋体" w:cs="宋体"/>
                <w:i w:val="0"/>
                <w:iCs w:val="0"/>
                <w:color w:val="auto"/>
                <w:sz w:val="20"/>
                <w:szCs w:val="20"/>
                <w:highlight w:val="none"/>
                <w:u w:val="none"/>
                <w:lang w:val="en-US" w:eastAsia="zh-CN" w:bidi="ar"/>
              </w:rPr>
              <w:t xml:space="preserve">32英寸</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分辨率:≥1920X1080</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显示尺寸:(H)392.85mmX(V)698.4mm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动态对比度:≥1000:1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亮度:≥350cd/m2</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可视角度:89/89/89/89 (Typ.)(CR≥10)</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触摸屏类型:10点投射型电容触摸屏</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表面硬度:表面钢化玻璃，莫氏硬度等级≥7</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液晶屏和触摸屏贴合方式:全贴合</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处理器:CPU≥8核</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内存：≥8G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储存:≥128G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WIFI：支持双频WIFI。</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脑电波赛车：利用脑电波控制四驱车运动，当脑电波增强时四驱车车速变快，当脑电波减弱时，车速降低参与者可以进行竞技比赛，也可以锻炼个人意志力</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 四驱车 定制2、NeuroSky脑电波头带频率响应（Hz）：0.5-100采样率（Hz）：512输出接口标准：UART（57600）通信方式：蓝牙2.1/串口最大功耗为 30mA@3V配V4.0+V2.1双模蓝牙接收器3、arduinonano处理器 ATmega328工作电压 5V输入电压（推荐） 7-12V输入电压（范围） 6-20V数字IO脚 14 (其中6路作为PWM输出）模拟输入脚 6IO脚直流电流 40 mAFlash Memory 16 or 32 KB （其</w:t>
            </w:r>
            <w:r>
              <w:rPr>
                <w:rFonts w:hint="eastAsia" w:ascii="宋体" w:hAnsi="宋体" w:eastAsia="宋体" w:cs="宋体"/>
                <w:i w:val="0"/>
                <w:iCs w:val="0"/>
                <w:color w:val="auto"/>
                <w:sz w:val="20"/>
                <w:szCs w:val="20"/>
                <w:highlight w:val="none"/>
                <w:u w:val="none"/>
                <w:lang w:val="en-US" w:eastAsia="zh-CN" w:bidi="ar"/>
              </w:rPr>
              <w:t xml:space="preserve">中2 KB 用于 bootloader）SRAM 1 KB or 2 KBEEPROM 0.5 KB or 1 KB （ATmega328）FT232RL FTDI USB接口芯片工作时钟 16 MHz4、HC-05输入电压3.6~6V，禁止超过7V未配对时电流约30mA，配对后约10mA，空旷地有效距离10米(功率等级为CLASS 2)体积（3.57cm×1.52cm）支持从4800bps~1382400bps间的标准波特率5、充电模板&amp;锂电池支持3.3V与5V输出，最大电流分别为500mA/1000mA</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轨道定制：根据厂地定制</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脑智训练设备：功能描述与技术参数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1.尺寸重量≤110 克，采用嵌入式 ARM 架构设计，采用实时操作系统，高度集成多种功能应用，包括脑电数据采集实时传输、脑电采集实时参数调节、状态灯显示控制、佩戴检测、电量检测报警等功能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2.内置 1 路 128 倍可变增益脑电采集系统，配合 24 位高精度 ADC 以及 MIT 最新神经网络模型，可以实现高达 1：2,147,483,648 对比度的精准脑波检测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3.采用带主动电路的特殊金属电极；高精度硬件电路，底噪声达到医疗级别 1uV， 稳定可靠的采集用户脑电波数据</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4.内置 RGB 颜色脑电专注力显示状态灯，实时显示当前用户专注力状态</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5.采用拥有自主知识产权的 BrainPkg 协议打包技术，实时高效传输脑电数据超低功耗，满电工作时间可达 8 小时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6.采用带有实时温度保护的充电管理技术，整机电路管理系统包含比通常安规更严格的多重过压/过流/短路保护电路</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7.采用自适应调节的结构设计，配合固定头带使用，最大限度的满足幼/小/中学生不同头围的需求，满足绝大多数人群的使用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8.产品电极采用自适应弹性伸缩结构设计</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智能机械手套件：一、功能描述：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超能实验室套装，通过动手搭建、图形化编程可以实现不同任务的学习</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二、配置要求：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该套件包含手指零件（含指节、指尖组件）、舵机、舵机线、面包板、传感器、遥控器等零件，零件总数不少于273个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三、技术参数：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1、机体材料：ABS、PC、硅胶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2、主机参数：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·锂离子电池  3.6V 3200mAh</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·输入电压：5V2A</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·充电温度：+1~43 deg.C.</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·工作温度：：-15~50 deg.C</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·工作频率：48Mhz</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·接口：6路舵机接口，5路普通传感器接口，1路高级传感器接口，1路USB-typc接口，2路电机接口</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·指示灯：6路RGB传感器指示灯，1路电源指示灯</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·A-F：output,3.3V±5%,with 500mA OVP；output,5V±5%,with 500mA OVP</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·M1-M：2output,3.4V~4.2V,with 680mA OVP</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·S1-S6：output,5.4V±5%,with 500mA OVP</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3、舵机参数：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·舵机：DS-S006-9g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·舵机扭矩：≥1.2kgm.cm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·工作电压：5.4V</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VR系统：产品功率：1.5KW ；产品电压：220V ；触控显示屏：19寸控制显示；</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9dvr眼镜360°全景模拟，，再细微的头部运动也会引发即时场景同步，内置9轴传感器，361度头部追踪，轻转头部即可真实触碰新世界，体验驾驭全场的掌控感。座位：单座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内容数量：≥100</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（1）分辨率：≥3664*1920（4K 5.46英寸夏普极速液晶屏）；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（2）重量：≥394g(采用人体工学设计，支持配戴眼镜者使用）；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（3）产品规格：≥266*194.5*96毫米；</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（4）屏幕刷新率：≥72Hz；</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（5）屏幕类型：Fast LCD；</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（6）屏幕PPI：773；</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（7）透镜类型：菲涅尔透镜；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（8）PPD：22；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（9）散热方案：被动散热（底部进风口+侧边散热孔）；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（10）供电：USB*1；</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（11）瞳距范围：53-73毫米（手动调节）；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（12）FOV：110°（水平）  90°（垂直）；</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（13）标配面罩：皮质卡面罩；</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CPU：10核 2.0GHZ以上；显卡：2GB GDDR5/128bit 显存，7000MHz 等效频率，TDP 75W；                                                                                                                                            内存：8G ； 固态硬盘：固态128G ；</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VR头戴式设备系统：1. 屏幕分辨率≥3664x1920 ；刷新率72/90Hz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 处理器核心数不低于八核，主频≥2.8GHz，64位；</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 视场角≥98°FOV；</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 支持物理瞳距三档调节，通过TUV 低蓝光认证 ，可在系统设置中开启“护眼模式”；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 内存容量≥256GB ROM，≥6GB RAM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 前置摄像头鱼眼摄像头x4 ，支持头部6Dof定位，高精度传感器9轴传感器；支持人脸佩戴感应；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 不低于5300mAh电池容量，连续使用续航超过3小时，USB Type-C 3.0数据传输；</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 WIFI6 802.11 b/g/n/ac/ax，2.4G/5G双频；BT5.1</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 内置扬声器、麦克风，支持3.5mm音频接口外接耳机；</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 6DoF体感手柄 x 2，支持光学定位，支持线性振动马达；</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 机身采用轻质聚合物，薄壁注塑工艺，航空级轻金属；</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 面罩：采用高透气性泡棉，支持拆解替换；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 机身具有电源键，APP键（返回键），确认键，Home键，音量加，音量加减按键；</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14. 支持QC3.0快速充电；</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15. 扬声器内置双立体声喇叭，麦克风双麦克降噪，全指向麦克风；</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16. 支持3.5mm音频接口连接第三方立体声耳机使用；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17. Led灯三色Led 显示开机，关机，充电状态。                                                                                                                          本软件支持使用6DOF VR一体机设备。</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K12教育资源：A.启动课件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（1）启动课件：点击launcher主界面课程分类入口，可打开对应类型课件列表，再点击课件封面可启动课件。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（2）分类导航：至少包含全景课堂、互动实验室、安全教育、科普教育、互动微课五个分类显示面板。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（3）翻页：课件列表支持点击上一页、下一页按钮翻页。</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B.场景漫游</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（1）漫游移动：支持在3D虚拟场景中漫游，可原地转向；</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（2）模型互动：若干模型可拿起查看和互动，桌子上摆放的互动模型不少于3种交互。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C.新手引导</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（1）新手引导：点击launcher主界面“帮助”图标可启动新手引导机制，可系统性地按照步骤学习使用手柄按键、漫游、使用虚拟双手操作等交互方式；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（2）操作提示：首次启动某类课件，可查看该类课件的操作提示面板；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（3）按键指南：支持触碰桌面上的手柄模型打开按键使用指南面板，查看所有使用场景下的按键操作说明。</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D.系统特性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（1）开机自启动；能屏蔽所有与学习无关的VR影视、游戏等内容；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（2）内容更新机制：可在线从云端拉取更新的课件资源并显示下载进度条；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（3）WIFI高级设置：提供WIFI设置功能，提供WIFI设置自动记忆功能；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（4）电量及连接状态显示：提供一体机剩余电量显示功能，提供是否处于课堂教学连接状态显示功能。</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VR资源库：1、至少提供35个可交互VR安全教育课件；需集合各种可能发生危险的场景，学习者可以在危机场景中互动，使学习者感受到真实、紧张、生动、形象的现场气氛，并深刻体会到危险情况下的威胁感受和后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2、使用VR眼镜、操控手柄的体验方式，可通过VR眼镜沉浸其中，使用控制手柄来完成操作任务；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3、包含但不限于病毒防疫、消防安全、防溺水、防暴恐、交通安全、安全用电、公共卫生、自然灾害、防拐骗、家庭安全、校园安全等主题；</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4、课件至少包含《低层建筑消防逃生》、《高层建筑消防逃生》、《预防溺水及自救方法》、《溺水救护》、《反恐及可疑物品处理》、《恐怖袭击自救》、《交通信号灯及安</w:t>
            </w:r>
            <w:r>
              <w:rPr>
                <w:rFonts w:hint="eastAsia" w:ascii="宋体" w:hAnsi="宋体" w:eastAsia="宋体" w:cs="宋体"/>
                <w:i w:val="0"/>
                <w:iCs w:val="0"/>
                <w:color w:val="auto"/>
                <w:sz w:val="20"/>
                <w:szCs w:val="20"/>
                <w:highlight w:val="none"/>
                <w:u w:val="none"/>
                <w:lang w:val="en-US" w:eastAsia="zh-CN" w:bidi="ar"/>
              </w:rPr>
              <w:t xml:space="preserve">全措施》、《安全乘坐交通工具》、《家庭用电安全》、《触电救护措施》、《自动体外除颤器（AED）》、《学习使用CPR》、《食物中毒及食品安全》、《预防传染病》、《“三无”食品买不得》、《自然灾害》、《防雾霾》、《地震逃生》、《海啸逃生》、《诱拐鉴定与预防》、《被拐时的自我保护和自救》、《家里的“小危险”》、《油锅起火如何灭》、《用气安全》、《湿手不碰开关和插座》、《预防运动伤害》、《化学实验室安全指南》、《校园防踩踏》、《校园暴力》、《走进病毒世界》、《病毒传播助手》、《病毒阻断实验室》、《病毒消亡之旅》等；</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5、课件有学生交互操作，通过与课件中的内容互动，提高趣味性、参与度、增强教学效果。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6、VR课件同时配备2D视频内容，支持无VR环境下的2D视频播放。基于次世代 3D 渲染技术、高端贴图渲染技术、Unity 引擎动画等技术；资源能够实现让体验者能够以第一人称的方式进入到全景虚拟环境中，置身于类真实的情景，亲身体验场景；</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提供的资源所创造或模拟的事物与环境真实而生动，并且提供交互手段，使得体验者可以自由活动和探索虚拟世界，可以获得对客观事物的各种感性或理性认识；提供不低于100个VR科普课程资源，交互类内容100%，具体要求如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1）VR教学科普课件：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1.提供100个可交互VR教学科普课件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2.包含植物、动物、人、科学、宇宙、水和空气等多个主题；</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3.课件包含北极熊、卢沟桥、心脏与血液循环、日食的形成、雷电类型以及形成、火山内部构造、呼吸系统、花的结构和授粉、昆虫分类、认识龙卷风、学习电路原理、探索图形、制作果树等。</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4.精品课件配学生学习活动卡。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 与教学强相关：课程、课件的设计紧密结合教师上课使用场景，力求灵活多样、与多种教学场景配合（如：探究、小组讨论、分组实验等等），又不制约教师的教学设计思路，不限制教师教学过程的个性发挥，不拘泥教学使用场景与使用方式。                                                                                                          1.至少提供30个课件；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2.课件内容五台山、体验小行星撞击地球、动力伞滑翔遨游、好莱坞的日落、里约风光、浴火银河、巴塞罗那、壮美维多利亚瀑布、非洲大地 、萤火虫洞、大堡礁水下奇观、太空漫步、撒哈拉以南的非洲等；</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3.支持VR全景播放形式；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4.清晰度不低于4K分辨率；</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SIS学生端管理系统：1.支持自主操作和受控两种方式，操作简单，手柄和头控方式均可进行操作，更便于VR课堂和设备管理；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2.屏蔽所有非学习相关的 VR 影视、游戏等内容；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3.支持无外网的场景：无外网互联网接入可正常使用；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4.学生端接受并执行教师端的各种指令，同时向教师端反馈设备状态；</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5.支持6DoF体验，可以追踪头盔和手柄前、后、左、右、上、下和旋转的运动状态</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6.本系统内置应用智慧商城，部署云端服务，支持一键下载更新，方便易用，告别物理传输时代。</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异形儿童桌：尺寸：140×70×65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椅子（6张）尺寸：65×40×40</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美术室：</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泥料瓷花认知板：1、尺寸：直径350mm,一组4个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2、材质：木头、陶瓷</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三福瓶形状工具墙-2：1、“葫芦瓶”尺寸：112×65cm 工具展示</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2、包含工具展示套组</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陶艺-展示A柜：1、尺寸：83.6×41×130cm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2、侧板采用约15mm枫木纹双贴面胶合板，饰面胶合板甲醛释放量符合GB/T 39600-2021标准要求，甲醛释放量≤0.025mg/m³，符合Enf级；其他板材采用约16mm厚枫木纹双贴面刨花板，饰面刨花板甲醛释放量符合GB/T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5、开放式4层收纳架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6、产品采用双贴面工艺，保持颜色一致、无色差及表面光滑平整边角安全防撞设计产品整体结构稳固，不易倾倒</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操作桌：1、尺寸：160×80×55.5cm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2、桌面采用约25mm厚枫木纹双贴面刨花板，其他部分采用约18mm厚枫木纹双贴面刨花板，饰面刨花板甲醛释放量符合GB/T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4、桌板左右两侧分别以双层柜作为支撑，提升活动桌的稳定性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5、产品采用双贴面工艺，保持颜色一致、无色差及表面光滑平整边角安全防撞设计产品整体结构稳固，不易倾倒</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工作凳：1、尺寸：高度35cm，椅座25×25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2、凳面采用15mm厚枫木纹双贴面胶合板，甲醛释放量符合GB/T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3、椅架表面金属烤漆处理</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幼儿美术综合柜：1、尺寸：80.4×29.8×81.4cm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2、主框架采用约15mm厚环保枫木纹三聚氰胺</w:t>
            </w:r>
            <w:r>
              <w:rPr>
                <w:rFonts w:hint="eastAsia" w:ascii="宋体" w:hAnsi="宋体" w:cs="宋体"/>
                <w:i w:val="0"/>
                <w:iCs w:val="0"/>
                <w:color w:val="auto"/>
                <w:sz w:val="20"/>
                <w:szCs w:val="20"/>
                <w:highlight w:val="none"/>
                <w:u w:val="none"/>
                <w:lang w:val="en-US" w:eastAsia="zh-CN" w:bidi="ar"/>
              </w:rPr>
              <w:t xml:space="preserve">双贴面橡胶木</w:t>
            </w:r>
            <w:r>
              <w:rPr>
                <w:rFonts w:hint="eastAsia" w:ascii="宋体" w:hAnsi="宋体" w:eastAsia="宋体" w:cs="宋体"/>
                <w:i w:val="0"/>
                <w:iCs w:val="0"/>
                <w:color w:val="auto"/>
                <w:sz w:val="20"/>
                <w:szCs w:val="20"/>
                <w:highlight w:val="none"/>
                <w:u w:val="none"/>
                <w:lang w:val="en-US" w:eastAsia="zh-CN" w:bidi="ar"/>
              </w:rPr>
              <w:t xml:space="preserve">，甲醛释放量符合GB/T 39600-</w:t>
            </w:r>
            <w:r>
              <w:rPr>
                <w:rFonts w:hint="eastAsia" w:ascii="宋体" w:hAnsi="宋体" w:eastAsia="宋体" w:cs="宋体"/>
                <w:i w:val="0"/>
                <w:iCs w:val="0"/>
                <w:color w:val="auto"/>
                <w:sz w:val="20"/>
                <w:szCs w:val="20"/>
                <w:highlight w:val="none"/>
                <w:u w:val="none"/>
                <w:lang w:val="en-US" w:eastAsia="zh-CN" w:bidi="ar"/>
              </w:rPr>
              <w:t xml:space="preserve">2021标准要求，甲醛释放量≤0.025mg/m³，符合Enf级；层板采用约15mm厚枫木纹三聚氰胺双贴面胶合板，甲醛释放量符合GB/T 39600-2021标准要求，甲醛释放量≤0.025mg/m³，符合Enf级，背板为5mm枫木纹三聚氰胺双贴面密度板，甲醛释放量符合GB/T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 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4、柜体内部格局分为三层边角安全防撞设计，结构稳固，不易倾倒，安全缝隙和孔洞均符合GB28007-2011儿童家具通用技术条件的要求</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折叠式边柜：1、材质：橡木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2、采用橡木，表面平整光滑，无结疤，整体结构结实耐用。油漆采用</w:t>
            </w:r>
            <w:r>
              <w:rPr>
                <w:rFonts w:hint="eastAsia" w:ascii="宋体" w:hAnsi="宋体" w:cs="宋体"/>
                <w:i w:val="0"/>
                <w:iCs w:val="0"/>
                <w:color w:val="auto"/>
                <w:sz w:val="20"/>
                <w:szCs w:val="20"/>
                <w:highlight w:val="none"/>
                <w:u w:val="none"/>
                <w:lang w:val="en-US" w:eastAsia="zh-CN" w:bidi="ar"/>
              </w:rPr>
              <w:t xml:space="preserve">哑光聚脂漆，</w:t>
            </w:r>
            <w:r>
              <w:rPr>
                <w:rFonts w:hint="eastAsia" w:ascii="宋体" w:hAnsi="宋体" w:eastAsia="宋体" w:cs="宋体"/>
                <w:i w:val="0"/>
                <w:iCs w:val="0"/>
                <w:color w:val="auto"/>
                <w:sz w:val="20"/>
                <w:szCs w:val="20"/>
                <w:highlight w:val="none"/>
                <w:u w:val="none"/>
                <w:lang w:val="en-US" w:eastAsia="zh-CN" w:bidi="ar"/>
              </w:rPr>
              <w:t xml:space="preserve">油漆无颗粒，无气泡，无渣点，颜色均匀。</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3、尺寸：80cm×34cm×100cm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陈列架：1、尺寸：83.6×41×130cm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2、侧板采用约15mm枫木纹双贴面胶合板，饰面胶合板甲醛释放量符合GB/T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3、其他板材采用约16mm厚枫木纹双贴面刨花板，饰面刨花板甲醛释放量符合GB/T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5、开放式4层收纳架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6、采用踢脚板设计，既增加了稳定性，又可以防止杂物进入柜底</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7、产品采用双贴面工艺，保持颜色一致、无色差及表面光滑平整边角安全防撞设计，产品整体结构稳固，不易倾倒</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陈列架：1、尺寸：83.6×41×190cm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2、侧板采用约15mm枫木纹双贴面胶合板，饰面胶合板甲醛释放量符合GB/T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3、其他板材采用约16mm厚枫木纹双贴面刨花板，饰面刨花板甲醛释放量符合GB/T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5、开放式5层收纳架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6、采用踢脚板设计，既增加了稳定性，又可以防止杂物进入柜底</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7、产品采用双贴面工艺，保持颜色一致、无色差及表面光滑平整边角安全防撞设计，产品整体结构稳固，不易倾倒</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编织袈：材质：帆布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尺寸：45×60cm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配件：魔术贴，加固提手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承重：8–10kg</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长条绘画桌：180×60×52cm，多层实木板 + 防火 / 防涂鸦贴面（E0 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实木方腿（5×5cm 及以上）或加厚钢管（≥1.2mm 壁厚，电泳防锈）</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必须加装防滑橡胶脚垫，防晃、防噪音、保护地板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所有边角倒圆半径≥10mm，无毛刺、无尖锐五金突出物（符合《儿童家具通用技术条件》GB 28007）</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挂钩：约60×5.8×1.8cm原木制成，五个金属挂钩</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布织收纳筐：尺寸：35×25×17.5金属框架，丙丝带编织布料，两侧设计有提手</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幼儿专用罩衣：1、材质：防水布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2、尺寸：ML码</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3、陶艺课使用，米黄色</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教师围裙：1、材质：防水布，米黄色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2、尺寸：81×63cm ，防水效果好</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玻璃胶套装：超粘玻璃胶2支、胶枪1把</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KT胶：宽约2.0cm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肌理擀泥杖：1、尺寸：150mm，一组12个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2、用途：用于课程泥板制作中肌理应用</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唐代人物砖模具：1、尺寸100×80mm，一组5个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2、用途：用于课程中人物形象制作，让学生了解历史用人物的形象动作及着装</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四神瓦当模具套组：1、尺寸：φ80mm，一组4个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2、用途：用于课程中四神瓦当制作，了解古代瓦当用途及四神图案含义</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历代瓷瓶形状教学成型模具：1、尺寸：50×80mm，一组5个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2、用途：用于课程陶瓷器型制作，让学生了解陶瓷的器型及其背后含义</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青铜器器型成型套组：1、尺寸：50×80mm，一组5个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2、用途：用于课程青铜器器型制作，让学生了解青铜器的器型及其深厚文化</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无极变速拉坯机：1、工作电压：AC220±10%                                                                                                                                                                                                           2、外形尺寸：宽600×长500×高440mm±2%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3、功    率：375W</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4、负载扭矩：50Nm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5、铝盘直径：φ320mm±2%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6、铝盘跳动：≤0.1mm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7、噪    音：≤60dB</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产品特点: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1、安全稳定：拉坯机采用国标正品直流电机，质量稳定使用寿命长，电源品字插头自带防漏电保护和过载保护功能，安全性极高，节能省电，大扭力输出，电机经过</w:t>
            </w:r>
            <w:r>
              <w:rPr>
                <w:rFonts w:hint="eastAsia" w:ascii="宋体" w:hAnsi="宋体" w:cs="宋体"/>
                <w:i w:val="0"/>
                <w:iCs w:val="0"/>
                <w:color w:val="auto"/>
                <w:sz w:val="20"/>
                <w:szCs w:val="20"/>
                <w:highlight w:val="none"/>
                <w:u w:val="none"/>
                <w:lang w:val="en-US" w:eastAsia="zh-CN" w:bidi="ar"/>
              </w:rPr>
              <w:t xml:space="preserve">至少</w:t>
            </w:r>
            <w:r>
              <w:rPr>
                <w:rFonts w:hint="eastAsia" w:ascii="宋体" w:hAnsi="宋体" w:eastAsia="宋体" w:cs="宋体"/>
                <w:i w:val="0"/>
                <w:iCs w:val="0"/>
                <w:color w:val="auto"/>
                <w:sz w:val="20"/>
                <w:szCs w:val="20"/>
                <w:highlight w:val="none"/>
                <w:u w:val="none"/>
                <w:lang w:val="en-US" w:eastAsia="zh-CN" w:bidi="ar"/>
              </w:rPr>
              <w:t xml:space="preserve">5万小时使用寿命测试</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2、电子控制采用智能CPU芯片控制，具有过载、过流、漏电、故障自诊断等多重监测保护拉坯机带有智能防止断电重来电飞车摔坯功能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3、自主研发智能控制系统，速度反馈灵敏扭矩大，具有过载、过流、漏电、故障自诊断等多重监测保护；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4、铝盘采用铝合金材料，化学成分应符合国家标准GB/T20975.25-2020《铝及铝合金化学分析方法》要求，同时满足以下元素含量限值：8%≤Si≤12%、Fe≤1.5%、Cu≤0.6%、Mn≤0.2%、0.1%≤Mg≤0.3%、Cr≤0.1%、Zn≤0.8%、Ti≤0.08%；</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5、拉坯机电源采用的航空插头应符合国家标准《GB/T 2423.7-2018 环境试验 第2部分：试验方法 试验Ed：自由跌落》要求；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电子霍尔调速踏板应符合国家GB/T4208-2017《外壳防护等级（IP代码）》标准，依据GB/T4208-2017进行IP×2防水试验，被试品外壳在两个相互垂直平面上各倾斜15°（共四个测试方位），每个方位持续喷淋2.5分钟，总试验时间10±0.5分钟，经IP×2防水测试后，试验结果合格</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圆形作品托板：尺寸：φ150mm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捏塑垫布：尺寸：320×210mm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小泥拍：1、材质：木质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2、尺寸：总长19.5cm，宽6.5cm；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木质泥塑套装：1、材质：木制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2、内涵：泥刮器、打孔器、泥刀等5件工具</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陶艺八件套：1、材质：木制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2、内涵：泥刮器、打孔器、泥刀等8件工具</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公开课小罐颜料：6个一组</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陶瓷绘画专用色釉：60ml每瓶12色一套</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涂抹式浓缩透明釉：250ml每瓶</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冰裂效果浓缩釉：250ml每瓶</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彩色成型泥浆：60ml每瓶12色一套</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水桶：塑料材质,直径20cm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陶艺专用蕾丝花边套组：尺寸：12×17cm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触屏语音高功率高温电窑：外形尺寸：W660×L900×H1260mm±2%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炉膛尺寸：W340×D370×H460mm±2%                                                                                                       </w:t>
            </w:r>
            <w:r>
              <w:rPr>
                <w:rFonts w:hint="eastAsia" w:ascii="宋体" w:hAnsi="宋体" w:eastAsia="宋体" w:cs="宋体"/>
                <w:i w:val="0"/>
                <w:iCs w:val="0"/>
                <w:color w:val="auto"/>
                <w:sz w:val="20"/>
                <w:szCs w:val="20"/>
                <w:highlight w:val="none"/>
                <w:u w:val="none"/>
                <w:lang w:val="en-US" w:eastAsia="zh-CN" w:bidi="ar"/>
              </w:rPr>
              <w:t xml:space="preserve">                                                                                      棚板：280×340mm±2% 1块/层                                                                                                                                                      </w:t>
            </w:r>
            <w:r>
              <w:rPr>
                <w:rFonts w:hint="eastAsia" w:ascii="宋体" w:hAnsi="宋体" w:eastAsia="宋体" w:cs="宋体"/>
                <w:i w:val="0"/>
                <w:iCs w:val="0"/>
                <w:color w:val="auto"/>
                <w:sz w:val="20"/>
                <w:szCs w:val="20"/>
                <w:highlight w:val="none"/>
                <w:u w:val="none"/>
                <w:lang w:val="en-US" w:eastAsia="zh-CN" w:bidi="ar"/>
              </w:rPr>
              <w:t xml:space="preserve">                                   内容积：0.058立方米±2%                                                                                                                                                                                                      开门方式：侧开门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工作电压：220</w:t>
            </w:r>
            <w:r>
              <w:rPr>
                <w:rFonts w:hint="eastAsia" w:ascii="宋体" w:hAnsi="宋体" w:eastAsia="宋体" w:cs="宋体"/>
                <w:i w:val="0"/>
                <w:iCs w:val="0"/>
                <w:color w:val="auto"/>
                <w:sz w:val="20"/>
                <w:szCs w:val="20"/>
                <w:highlight w:val="none"/>
                <w:u w:val="none"/>
                <w:lang w:val="en-US" w:eastAsia="zh-CN" w:bidi="ar"/>
              </w:rPr>
              <w:t xml:space="preserve">V±10V（50HZ)，功率：≥6.5KW，相电流：≥29A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最高工作温度：≥1300℃</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常规工作温度：≥1240℃</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线径： ≥6平方国标铜芯线（地线≥4平方）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控温方式：≥1点控温</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颜色：黑色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1、智能温控，为自主设计研制而成，最高温度 1300 ℃，采用液晶屏中文控制面板，内置自主研发一键烧成控制系统让操作更加方便简洁a/可进行多种显示模式：数字、仪表、列表、</w:t>
            </w:r>
            <w:r>
              <w:rPr>
                <w:rFonts w:hint="eastAsia" w:ascii="宋体" w:hAnsi="宋体" w:eastAsia="宋体" w:cs="宋体"/>
                <w:i w:val="0"/>
                <w:iCs w:val="0"/>
                <w:color w:val="auto"/>
                <w:sz w:val="20"/>
                <w:szCs w:val="20"/>
                <w:highlight w:val="none"/>
                <w:u w:val="none"/>
                <w:lang w:val="en-US" w:eastAsia="zh-CN" w:bidi="ar"/>
              </w:rPr>
              <w:t xml:space="preserve">曲线等；b/可保存实验数据，并可将保存的实验数据导出至电脑或数据采集器，采集自动报警功能；c/可选择多种报警模式：声音报警、震动报警、荧光报警等；d/内置逻辑处理功能，配有逻辑端口；可自动开启风扇，灯光报警等；e/内置多种包含烤花、素烧、釉烧、紫砂等基本烧成程序，可设置自定义升温曲线，自定义升温曲线可以输入中文名称；f/内置测量电压、电流功能，工作时可显示实际电压、电流；g/液晶触控温控系统自带自主研发断电自动续烧系统，安全断电功能, 窑炉如出现电炉丝断线、热电偶损坏等情况的报错功能,延迟定时烧制设置功能；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2、超大0.058m³内空，侧开门设计，装窑不在吃力；                   </w:t>
            </w:r>
            <w:r>
              <w:rPr>
                <w:rFonts w:hint="eastAsia" w:ascii="宋体" w:hAnsi="宋体" w:eastAsia="宋体" w:cs="宋体"/>
                <w:i w:val="0"/>
                <w:iCs w:val="0"/>
                <w:color w:val="auto"/>
                <w:sz w:val="20"/>
                <w:szCs w:val="20"/>
                <w:highlight w:val="none"/>
                <w:u w:val="none"/>
                <w:lang w:val="en-US" w:eastAsia="zh-CN" w:bidi="ar"/>
              </w:rPr>
              <w:t xml:space="preserve">                                                                                                                                                                    3、内部框架采用国标Q355B级钢材，钢材应符合国家标准GB/T228.1-2021《金属材料 拉伸试验 第1部分：室温试验方法》要求；                        </w:t>
            </w:r>
            <w:r>
              <w:rPr>
                <w:rFonts w:hint="eastAsia" w:ascii="宋体" w:hAnsi="宋体" w:eastAsia="宋体" w:cs="宋体"/>
                <w:i w:val="0"/>
                <w:iCs w:val="0"/>
                <w:color w:val="auto"/>
                <w:sz w:val="20"/>
                <w:szCs w:val="20"/>
                <w:highlight w:val="none"/>
                <w:u w:val="none"/>
                <w:lang w:val="en-US" w:eastAsia="zh-CN" w:bidi="ar"/>
              </w:rPr>
              <w:t xml:space="preserve">                                                                                                                                                                                   4、炉内保温层由莫来石砖和高品质节能隔热棉板组成，其中莫来石砖应符合国家GB/T21114-2019《耐火材料 ×射线荧光光谱化学分析 熔铸玻璃片法》标准</w:t>
            </w:r>
            <w:r>
              <w:rPr>
                <w:rFonts w:hint="eastAsia" w:ascii="宋体" w:hAnsi="宋体" w:eastAsia="宋体" w:cs="宋体"/>
                <w:i w:val="0"/>
                <w:iCs w:val="0"/>
                <w:color w:val="auto"/>
                <w:sz w:val="20"/>
                <w:szCs w:val="20"/>
                <w:highlight w:val="none"/>
                <w:u w:val="none"/>
                <w:lang w:val="en-US" w:eastAsia="zh-CN" w:bidi="ar"/>
              </w:rPr>
              <w:t xml:space="preserve">；                                                                                                                                        5、采用5面发热，受热更均匀电炉丝应符合国家SN/T3343-2012《不锈钢中铬、镍、钼、铜、锰、钛、铝、磷、硅、硫、钒、铌、钨含量的测定 电感耦合等离子体原子发射光谱法》、GB/T223.11-2008《钢铁及合金铬含量的测定》标准；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6、内置刚玉管热电偶，准确测温灵敏控温；                                                                                                                                      </w:t>
            </w:r>
            <w:r>
              <w:rPr>
                <w:rFonts w:hint="eastAsia" w:ascii="宋体" w:hAnsi="宋体" w:eastAsia="宋体" w:cs="宋体"/>
                <w:i w:val="0"/>
                <w:iCs w:val="0"/>
                <w:color w:val="auto"/>
                <w:sz w:val="20"/>
                <w:szCs w:val="20"/>
                <w:highlight w:val="none"/>
                <w:u w:val="none"/>
                <w:lang w:val="en-US" w:eastAsia="zh-CN" w:bidi="ar"/>
              </w:rPr>
              <w:t xml:space="preserve">                   7、能进行工艺品陶和瓷制品的高中温烧制，炉内上下温差均匀等特点；                                                                                                                                                          8、不锈钢炉丝接线夹盐雾性能应符合国家GB/T10125-2021《人造气氛腐蚀试验 盐雾试验》标准；</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幼儿陶艺专用素坯：1、规格：20个/组</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2、规格：直径约7cm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3、材质：高白泥</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普通瓷泥：1、材质：高岭土、长石、瓷矿石等</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2、含量：≥200g/袋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密封保存</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灰陶：1、材质：高岭土、长石、瓷矿石等</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2、含量：≥200g/袋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密封保存</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红陶：1、材质：石英、云母</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2、含量：≥200g/袋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密封保存</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塑钢转台：尺寸：转台上直径29.7cm，下底直径21cm，高12cm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美术纸筒柜：尺寸：62.2×30×59cm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1、侧板采用约18mm厚枫木纹双贴面刨花板，底板、面板、踢脚板采用约16mm厚枫木纹双贴面刨花板，背板采用约5mm枫木纹双贴面密度板，甲醛释放量符合GB/T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3、产品采用双贴面工艺，边角安全防撞设计，产品整体结构稳固，不易倾倒</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陈列架：尺寸：83.6×41×190cm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1、侧板采用约15mm枫木纹双贴面胶合板，饰面胶合板甲醛释放量符合GB/T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2、其他板材采用约16mm厚枫木纹双贴面刨花板，饰面刨花板甲醛释放量符合GB/T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4、产品采用双贴面工艺，边角安全防撞设计，产品整体结构稳固，不易倾倒</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操作桌：尺寸：160×80×55.5cm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1、桌面采用约25mm厚枫木纹双贴面刨花板，其他部分采用约18mm厚枫木纹双贴面刨花板，饰面刨花板甲醛释放量符合GB/T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3、产品采用双贴面工艺，边角安全防撞设计，产品整体结构稳固，不易倾倒</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工作凳：尺寸：28×29×52cm，座高27cm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材料柜：尺寸：W80×D30×H80cm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1、侧板</w:t>
            </w:r>
            <w:r>
              <w:rPr>
                <w:rFonts w:hint="eastAsia" w:ascii="宋体" w:hAnsi="宋体" w:eastAsia="宋体" w:cs="宋体"/>
                <w:i w:val="0"/>
                <w:iCs w:val="0"/>
                <w:color w:val="auto"/>
                <w:sz w:val="20"/>
                <w:szCs w:val="20"/>
                <w:highlight w:val="none"/>
                <w:u w:val="none"/>
                <w:lang w:val="en-US" w:eastAsia="zh-CN" w:bidi="ar"/>
              </w:rPr>
              <w:t xml:space="preserve">、顶板、上背板采用约18mm厚枫木纹双贴面松木，松木实木板甲醛释放量符合GB/T 39600-2021标准要求，甲醛释放量≤0.025mg/m³，符合Enf级；上方左侧层板采用约9mm厚枫木纹双贴面胶合板，上方右侧层板采用约15mm厚枫木纹双贴面胶合板，饰面胶合板甲醛释放量符合GB/T 39600-2021标准要求，甲醛释放量≤0.025mg/m³，符合Enf级；背板为5mm厚枫木纹双贴面密度板，饰面密度板甲醛释放量符合GB/T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2、竖隔板、下层板、底板、踢脚板采用16mm厚枫木纹双贴面刨花板，饰面刨花板甲醛释放量符合GB/T 39600-2021标准要求，甲醛释放量≤0.025mg/m³，符合Enf级；PVC封边条封边，表面光滑无污点，花纹清晰均匀，色泽均匀无色差，转角过渡自然，耐干热性、耐磨性、耐开裂性、耐老化性、耐冷热循环性、耐光色牢度、甲醛释放量、氯乙烯单体、可迁移元素（铅、镉、铬、汞、砷、钡、锑、硒）含量、邻苯二甲酸酯总量、多溴联苯(PBB)、多溴联苯醚(PBDE)等符合</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4、本款产品上部分为综合存放空间</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可放置画纸及幼儿作品</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插入画笔等物</w:t>
            </w:r>
            <w:r>
              <w:rPr>
                <w:rFonts w:hint="eastAsia" w:ascii="宋体" w:hAnsi="宋体" w:cs="宋体"/>
                <w:i w:val="0"/>
                <w:iCs w:val="0"/>
                <w:color w:val="auto"/>
                <w:sz w:val="20"/>
                <w:szCs w:val="20"/>
                <w:highlight w:val="none"/>
                <w:u w:val="none"/>
                <w:lang w:val="en-US" w:eastAsia="zh-CN" w:bidi="ar"/>
              </w:rPr>
              <w:t xml:space="preserve">和</w:t>
            </w:r>
            <w:r>
              <w:rPr>
                <w:rFonts w:hint="eastAsia" w:ascii="宋体" w:hAnsi="宋体" w:eastAsia="宋体" w:cs="宋体"/>
                <w:i w:val="0"/>
                <w:iCs w:val="0"/>
                <w:color w:val="auto"/>
                <w:sz w:val="20"/>
                <w:szCs w:val="20"/>
                <w:highlight w:val="none"/>
                <w:u w:val="none"/>
                <w:lang w:val="en-US" w:eastAsia="zh-CN" w:bidi="ar"/>
              </w:rPr>
              <w:t xml:space="preserve">用于放置颜料</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柜体下部分为</w:t>
            </w:r>
            <w:r>
              <w:rPr>
                <w:rFonts w:hint="eastAsia" w:ascii="宋体" w:hAnsi="宋体" w:cs="宋体"/>
                <w:i w:val="0"/>
                <w:iCs w:val="0"/>
                <w:color w:val="auto"/>
                <w:sz w:val="20"/>
                <w:szCs w:val="20"/>
                <w:highlight w:val="none"/>
                <w:u w:val="none"/>
                <w:lang w:val="en-US" w:eastAsia="zh-CN" w:bidi="ar"/>
              </w:rPr>
              <w:t xml:space="preserve">多</w:t>
            </w:r>
            <w:r>
              <w:rPr>
                <w:rFonts w:hint="eastAsia" w:ascii="宋体" w:hAnsi="宋体" w:eastAsia="宋体" w:cs="宋体"/>
                <w:i w:val="0"/>
                <w:iCs w:val="0"/>
                <w:color w:val="auto"/>
                <w:sz w:val="20"/>
                <w:szCs w:val="20"/>
                <w:highlight w:val="none"/>
                <w:u w:val="none"/>
                <w:lang w:val="en-US" w:eastAsia="zh-CN" w:bidi="ar"/>
              </w:rPr>
              <w:t xml:space="preserve">层格柜，</w:t>
            </w:r>
            <w:r>
              <w:rPr>
                <w:rFonts w:hint="eastAsia" w:ascii="宋体" w:hAnsi="宋体" w:cs="宋体"/>
                <w:i w:val="0"/>
                <w:iCs w:val="0"/>
                <w:color w:val="auto"/>
                <w:sz w:val="20"/>
                <w:szCs w:val="20"/>
                <w:highlight w:val="none"/>
                <w:u w:val="none"/>
                <w:lang w:val="en-US" w:eastAsia="zh-CN" w:bidi="ar"/>
              </w:rPr>
              <w:t xml:space="preserve">可</w:t>
            </w:r>
            <w:r>
              <w:rPr>
                <w:rFonts w:hint="eastAsia" w:ascii="宋体" w:hAnsi="宋体" w:eastAsia="宋体" w:cs="宋体"/>
                <w:i w:val="0"/>
                <w:iCs w:val="0"/>
                <w:color w:val="auto"/>
                <w:sz w:val="20"/>
                <w:szCs w:val="20"/>
                <w:highlight w:val="none"/>
                <w:u w:val="none"/>
                <w:lang w:val="en-US" w:eastAsia="zh-CN" w:bidi="ar"/>
              </w:rPr>
              <w:t xml:space="preserve">方便不同尺寸、规格物品的收纳、整理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yellow"/>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5、采用踢脚板设计，既增加了稳定性，又可以防止杂物进入柜底</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幼儿美术综合柜：尺寸：W60×D60×H64.7cm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1、顶板、侧板、层板、底板、左背板、下竖板采用约16mm厚枫木纹双贴面刨花板，甲醛释放量符合GB/T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2、上竖隔板采用约9mm厚枫木纹双贴面胶合板，甲醛释放量符合GB/T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4、柜体顶部9宫格储存空间，用于美术用品的摆放；柜体下方分为左右两列，左边为有背板三层柜，右边为无背板通透两层柜</w:t>
            </w:r>
            <w:r>
              <w:rPr>
                <w:rFonts w:hint="eastAsia" w:ascii="宋体" w:hAnsi="宋体" w:eastAsia="宋体" w:cs="宋体"/>
                <w:i w:val="0"/>
                <w:iCs w:val="0"/>
                <w:color w:val="auto"/>
                <w:sz w:val="20"/>
                <w:szCs w:val="20"/>
                <w:highlight w:val="yellow"/>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柜体底部配以4个塑料滑轮（其中2个带锁定），便于移动脚轮运行平稳无声，转动顺滑，轮面光洁，无裂纹、伤痕、毛边等缺陷，金属件表面光滑平整、无锈蚀、毛刺刃口、露底等缺陷，转动零部件转动灵活，无卡滞及松脱现象，抗冲击性能、动载荷、滚动阻力、旋转阻力、静载荷等符合QB/T 4765-2014标准要求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5、产品采用双贴面工艺，边角安全防撞设计，产品整体结构稳固，不易倾倒</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折叠式边柜：1、材质：橡木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2、采用橡木，表面平整光滑，无结疤，整体结构结实耐用。油漆采用</w:t>
            </w:r>
            <w:r>
              <w:rPr>
                <w:rFonts w:hint="eastAsia" w:ascii="宋体" w:hAnsi="宋体" w:cs="宋体"/>
                <w:i w:val="0"/>
                <w:iCs w:val="0"/>
                <w:color w:val="auto"/>
                <w:sz w:val="20"/>
                <w:szCs w:val="20"/>
                <w:highlight w:val="none"/>
                <w:u w:val="none"/>
                <w:lang w:val="en-US" w:eastAsia="zh-CN" w:bidi="ar"/>
              </w:rPr>
              <w:t xml:space="preserve">哑光聚脂漆，</w:t>
            </w:r>
            <w:r>
              <w:rPr>
                <w:rFonts w:hint="eastAsia" w:ascii="宋体" w:hAnsi="宋体" w:eastAsia="宋体" w:cs="宋体"/>
                <w:i w:val="0"/>
                <w:iCs w:val="0"/>
                <w:color w:val="auto"/>
                <w:sz w:val="20"/>
                <w:szCs w:val="20"/>
                <w:highlight w:val="none"/>
                <w:u w:val="none"/>
                <w:lang w:val="en-US" w:eastAsia="zh-CN" w:bidi="ar"/>
              </w:rPr>
              <w:t xml:space="preserve">油漆无颗粒，无气泡，无渣点，颜色均匀。</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3、尺寸：80cm×34cm×100cm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壁挂式画架：1、材质：实木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2、尺寸：52cm×80cm×9.5cm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3、松木直拼板，含4个塑料杯和一卷画纸，装于墙面作画</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滑轨式作品展示墙：长120×6×2cm木条，含8个活动木夹子</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幼儿专用便携式沙画桌（不带支架版）：1、材质：航空箱板材料、防火防水面板、耐高温、防撞击、防潮</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2、表面采用圆角包角，作画不伤手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3、可以连接电脑、充电宝、方便演示</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幼儿无尘画板：1、升降范围：66-115cm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2、含框板面：44×34cm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3、适合年龄：2-7岁</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4、16道工序手工打磨，亲肤无毛刺</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5、高度可调节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6、幼儿绘画专用架</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桌面工具盒：1、桌面工具收纳材料盒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2、尺寸为：20×21×8cm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幼儿专用罩衣：1、材质：防水布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2、尺寸：ML码</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教师围裙：1、材质：防水布，米黄色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2、尺寸：81×63cm ，防水效果好，教师美育课必备品</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玻璃胶套装：超粘玻璃胶2支、含胶枪1把</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木工坊：</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单人操作台：尺寸：90×60×65cm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1、桌面及其围板采用约18mm厚木板，侧板、桌脚采用约15mm厚枫木纹双贴面胶合板，甲醛释放量符合GB/T39600-2021标准要求，甲醛释放量≤0.025mg/m³，符合Enf级；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桌面设计铝合金凹槽，尺寸为约L600×W84×H10mm，可接木屑且可取出，方便幼儿清洁桌面垃圾；两侧支板各开两个工具槽和两排共6个圆形孔洞，工具槽尺寸为W240×H36mm，圆形孔洞直径为16.5mm；本产品共配置12个球头挂杆及12个S形铁钩，可插入圆形孔洞，用于悬挂物品</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4、桌面下设层板，尺寸为L754×W283mm，板底离地高度为101mm，大储存空间，可按需放置各种规格收纳盒</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实木长条板凳：尺寸：90×30×40（cm）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采用约3.5cm厚松，天然环保</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新款大号展示架：尺寸：83.6×41×190cm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1、侧板采用约15mm枫木纹双贴面胶合板，饰面胶合板甲醛释放量符合GB/T 39600-2021标准要求，甲醛释放量≤0.025mg/m³，符合Enf级；木蜡油封边，成膜牢固，搅拌后均匀无硬块，细度、干燥时间、贮存稳定性、涂膜外观、光泽、硬度、附着力、耐干热性、耐水性、耐碱性、耐醇性、耐污染性（醋、茶）、挥发性有机化合物(VOC)含量、苯含量、甲苯二甲苯乙苯含量总和、卤代烃含量、可溶性重金属（铅、镉、铬、汞）含量符合GB/T 27811-2011标准要求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2、底板、竖板、层板采约用16mm厚枫木纹双贴面刨花板，饰面刨花板甲醛释放量符合GB/T 39600-2021标准要求，甲醛释放量≤0.025mg/m³，符合Enf级；PVC封边条封边，表面光滑无污点，花纹清晰均匀，色泽均匀无色差，转角过渡自然，耐干热性、耐磨性、耐开裂性、耐老化性、耐冷热循环性、耐光色牢度、甲醛释放量、氯乙烯单体、可迁移元素（铅、镉、铬、汞、砷、钡、锑、硒）含量、邻苯二甲酸酯总量、多溴联苯(PBB)、多溴联苯醚(PBDE)等符合</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4、本产品上部分为3层开放式置物架，下部分为3层教具盒柜，搭配透明PC教具盒，教具盒尺寸为26×35×10cm木棒采用直径约27×800mm的桦木实木</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展示架1.2米：尺寸：83.6×41×130cm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1、侧板采用约15mm枫木纹双贴面胶合板，饰面胶合板甲醛释放量符合GB/T 39600-2021标准要求，甲醛释放量≤0.025mg/m³，符合Enf级；木蜡油封边，成膜牢固，搅拌后均匀无硬块，细度、干燥时间、贮存稳定性、涂膜外观、光泽、硬度、附着力、耐干热性、耐水性、耐碱性、耐醇性、耐污染性（醋、茶）、挥发性有机化合物(VOC)含量、苯含量、甲苯二甲苯乙苯含量总和、卤代烃含量、可溶性重金属（铅、镉、铬、汞）含量符合GB/T 27811-2011标准要求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2、其他板材采用约16mm厚枫木纹双贴面刨花板，饰面刨花板甲醛释放量符合GB/T 39600-2021标准要求，甲醛释放量≤0.025mg/m³，符合Enf级；PVC封边条封边，表面光滑无污点，花纹清晰均匀，色泽均匀无色差，转角过渡自然，耐干热性、耐磨性、耐开裂性、耐老化性、耐冷热循环性、耐光色牢度、甲醛释放量、氯乙烯单体、可迁移元素（铅、镉、铬、汞、砷、钡、锑、硒）含量、邻苯二甲酸酯总量、多溴联苯(PBB)、多溴联苯醚(PBDE)等符合</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4、开放式4层收纳架</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机床：可单独组装钻床、锯床、磨轮、车床</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钻床：台面尺寸：90×90mm  远程桌面-主轴：0-36mm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锯床、磨轮：对于胶合板的厚度为6mm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表的大小：90×90mm  行程率：3.700分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磁盘速度：3.700转   磁盘ø：32mm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车床：嫩枝直径达30mm   中心距：130mm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摆在床上：36mm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机床润滑油：低噪音润滑油，200ml/罐，成分：锂皂基，产品粘度：3#，适用温度：-20到130度</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手钻：20×5.7×21,儿童专用手枪钻,7.2DC伏特低电压，0-500转/分钟，卡盘加紧尺寸为0.8mm-8mm，充电时长3-5小时，配备钻头2枚，3.5MM钻头一枚</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大童工具10件套：十件套，儿童专用定制46×6.8×36.5cm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手套：11.8×1.5×19.5cm环保猪皮手套</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眼罩：PC镜框和PVC透明镜片组成</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白色修补胶：13×4.3×5.5cm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12件套装雕刻刀：19.5×2.5共有12款不同刀头</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小锯套装：41.5×18.1×2.1cm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U型锯：19×10.9×2.4cm含备用锯条</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迷你老虎钳：360度旋转微型台钳 铝合金材质轻巧方便</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木工刨子：21.1×14×18一套四款</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锤子：15cm×2cm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卷尺：5米</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十字批：十字批</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一字批：一字批</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调色盘、画笔组合、颜料：丙烯颜料,含调色盘,小毛笔套装丙烯颜料,儿童专用环保颜料</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材料包1：18.3×18.3×2mm厚夹板,分23款不同图案,一包50张板材</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材料包2（无丝印：18.3×18.3×2mm厚夹板,无图案空白板材,可任意发挥绘画,一包50张板材</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材料包3（23款小配件）：18.3×18.3mm；里面包括23款材料</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材料包4（树枝圆片）：含4包原木片和6捆树枝</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大车床圆棒荷木：直径：3cm 长：10cm荷木</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一横切面中心点打孔直径:3mm,深:7mm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伐木小车：彩盒包装、松、最高等级纯原塑料14×6.6×5.6cm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颜料架：314×192×120mm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笔架：200×200×80mm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木工箱：34.5×28×25cm，共四层，表层可收纳螺丝钉子等小材料，下三层为抽屉式，木式轨道经久耐用</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插孔挂板：底板尺寸：120×80 配120粒木塞，可挂于墙上</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功能隔板：底板尺寸：120×80 五块隔板可挂工具，可挂于墙上</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挂钩：60×5.8×1.8cm原木制成，五个金属挂钩</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九宫盒：40×28×0.7外框由榉木制作而成，内框为卡槽夹板</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融合教室：</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手功能及思维训练组合箱：1、 组合箱分三层，中间层为固定的亚克力板，亚克力板均匀分布24个磁力孔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2、组合箱尺寸30×20×4cm；材料为亚克力、实木夹板、和金属磁板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3、手功能及思维训练组合箱由三层组成：（1）表面为透明亚克力材料，厚度约2mm；（2）中间层为亚克力板，均匀分布24个磁力孔；（3）底层为任务卡区域，任务卡尺寸25×15cm；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4、配有磁力笔1支，可将金属磁板吸入相应的亚克力24个磁力孔中5、配置任务卡数量不少于120张；尺寸23×12cm，任务卡排版中有磁力孔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任务卡包含以下模式：（1）人物职业与对应物品模式；（2）动物与对应食物模模式；（3）找线条模式；（4）物品与关联模式；（5）形状配对模式；（6）影子配对模块；（7）物品补缺模式；（8）分类模式；（9）空间位置配对模式；（10）轻重选择配对模式</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髋关节旋转训练器：通过足的画圈运动，改善髋关节的旋转功能，用于髋关节活动受限的患者124×92×53cm，扶手高度调节范围，90～135cm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PT训练床：用于PT训练患者床上活动 190×126×48cm, 床面高度48cm；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平衡板（带扶手）：92×72×24cm，面板摆动角度-13°～+13°，额定载荷135kg，功能：偏瘫、脑瘫等运动失调患者进行平衡、协调训练</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组合皮软垫：适用于各种垫上运动，包括关节活动度、座位平衡、卧位医疗体操及卧位肌力训练，182×122×5cm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儿童滚筒：尺寸：￠22×80cm，功能：训练上肢功能</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听力言语训练设备：一、辅助沟通模块：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1、沟通符号分为人物类、日常动作、实物、意见表达、情绪状态、玩具活动、地垫、衣物穿戴、日常用品、交通工具、天气、身体器官等20个大类，700个核心沟通词汇</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2、组句栏可以扩充到18个词汇，一次性发声沟通词汇18个词汇</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3、辅助沟通界面的背景为彩色，便于学生视觉区域归类</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二、噪声检测模块：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1、环境噪声监测：一键进行环境噪声监测得出分贝，并自动判别出检测噪声的类似环境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2、系统可以建构出20种不同的噪声播放环境，满足学生的学习需求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三、听觉感知功能模块：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1、在异同分辨、响度感知、时长感知、节拍感知、音高感知、旋律感知和空间感知模块的训练前，可以进行训练的噪声背景设置，噪声强度设置：无、弱、中和强四种模式选择</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在异同分辨、响度感知、时长感知、节拍感知、音高感知、旋律感知和空间感知模块的训练前，可以进行训练的噪声背景设置，噪声类型设置：白噪声、音乐噪声、人声噪声、街道噪声、校园噪声和风噪声六种模式选择</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四、语音识别训练模式：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1、在韵母识别、声母识别、声调识别和词语识别模块中，可以进行训练的噪声背景设置，噪声强度设置：无、弱、中和强四种模式选择</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2、在韵母识别、声母识别、声调识别和词语识别模块中，可以进行训练的噪声背景设置，噪声类型设置：白噪声、音乐噪声、人声噪声、街道噪声、校园噪声和风噪声六种模式选择</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感知测试和语音测试模式：1、在感知测试和语音识别测试模块的训练前，可以建构模拟16种组合噪声类型的场景到语音播放中</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五、构音训练模块：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1、构音训练模块包含：构音一阶（y/w）、构音二阶（b/m/d/h）、构音三阶(p/t/g/k/n)、构音四阶(f/j/q/×)、构音五阶(L/z/s/r)和构音六阶(c/zh/ch/sh)，训练形式包含单字、词语和句子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2、构音训练模块中单字训练，每次都会在题库中随机抽出10个汉字进行学习，单字训练内容包含y/w/b/m/d/h/p/t/g/k/n/f/j/q/×/L/z/s/r/c/zh/ch/sh，每个单字训练内容都有专业老师的针对该内容的讲解视频，并演示训练方法</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3、构音训练模块中的单字和词语都有口型对比视频</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六、激发反馈模块：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1、激发反馈模块有</w:t>
            </w:r>
            <w:r>
              <w:rPr>
                <w:rFonts w:hint="eastAsia" w:ascii="宋体" w:hAnsi="宋体" w:eastAsia="宋体" w:cs="宋体"/>
                <w:i w:val="0"/>
                <w:iCs w:val="0"/>
                <w:color w:val="auto"/>
                <w:sz w:val="20"/>
                <w:szCs w:val="20"/>
                <w:highlight w:val="none"/>
                <w:u w:val="none"/>
                <w:lang w:val="en-US" w:eastAsia="zh-CN" w:bidi="ar"/>
              </w:rPr>
              <w:t xml:space="preserve">低阶和高阶的内容，低阶内容包含：胡萝卜、梨、排骨、柠檬、猴子、猫、面包、火龙果、蜜蜂、牛、一、姨、已、亿、鸡、及、挤、继、咪、迷、米、秘、失、时、使、是、出、厨、楚、处、哥、隔、葛、各、沙、啥、傻、煞、磕、咳、可、克、书、熟、鼠、树、呲、辞、此、次、泼、婆、叵、迫、失、时、使、是、猪、竹、主、住、撸、卢、卤、录、须、徐、许、旭、逼、鼻、笔、必、批、皮、匹、屁高阶内容包含：吉他、零、彩、直升飞机、九、书包、小鸡、手提包、夹克、手表、梯形、海豚、螃蟹、球鞋、背包、跟、哏、艮、茛、掰、白、百、败、优、游、友、右、</w:t>
            </w:r>
            <w:r>
              <w:rPr>
                <w:rFonts w:hint="eastAsia" w:ascii="宋体" w:hAnsi="宋体" w:eastAsia="宋体" w:cs="宋体"/>
                <w:i w:val="0"/>
                <w:iCs w:val="0"/>
                <w:color w:val="auto"/>
                <w:sz w:val="20"/>
                <w:szCs w:val="20"/>
                <w:highlight w:val="none"/>
                <w:u w:val="none"/>
                <w:lang w:val="en-US" w:eastAsia="zh-CN" w:bidi="ar"/>
              </w:rPr>
              <w:t xml:space="preserve">虽、随、髓、岁、灰、回、悔、慧、轻、情、请、庆、分、坟、粉、粪、靴、学、雪、穴、音、银、饮、印、餐、残、惨、残、穿、船、喘、串、砰、鹏、捧、碰、喵、苗、秒、庙、妞、牛、扭、拗、接、杰、姐、借、 憨、韩、喊、汗、拈、粘、碾、念、糟、凿、枣、皂、深、神、沈、肾、包、薄、宝、豹、齁、猴、吼、厚、凹、熬、袄、澳、秧、羊、养、样、捞、劳、老、酪、方、房、仿、放、晕、云、允、运、飞、肥、匪、费、汪、王、往、忘、挑、条、挑、跳、招、着、找、照、嗨、还、海、害、嚷、瓤、壤、让、星、行、醒、兴、嘬、昨、左、坐、风、逢、讽、凤</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激发反馈模块预录制了标准化的训练内容音频，并与音频同步呈现音量和音调的动画视频，用户也可自主录制音频，录制音频的音调和音量可以用动画的形式呈现波形图，并自动匹配标准化的音调和音量动画，越接近得分越高，同时给出得分，使语训可视化</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七、硬件参数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1、外型尺寸32×26×12cm±3%，外壳为ABS材料，可以防摔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2、内置5600mAh电池</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3、电源按钮和音量按钮嵌入到外壳中，便于操作和防摔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4、存储：32GB+云存储，可音视频播放及存储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5、硬件内置双通道100dB高保真扬声器，出音口面向使用者方向，保障音频输出的</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6、硬件内置双麦克风列阵，保障高清录制语音</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7、振动试验要求：按照《GB/T 14727-2008  无线传输式聋儿听力言语训练设备通用技术条件》标准检测，将带有包装盒的设备紧固在振动台上，在频率20Hz、加速度3g、振幅为1.875mm的条件下，垂直、水平、侧向各振动10min，试验后在测试条件下其结构、性能均符合要求，各种功能应正常并符合初始测试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8、外观结构要求：按照《GB/T 14727-2008  无线传输式聋儿听力言语训练设备通用技术条件》标准检测，文字、符号或标记应清晰、正确，产品表面无毛刺、飞边凹陷和划痕的缺陷</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拓展型--显示屏式电子沟通板：1.主界面由42个核心词汇构成，可自由组合词组、句子，并在播放栏进行播放</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2.可自由设置行×列的方式，行和列可从1扩展到12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 系统包含4000份的沟通词汇，用户可完成替代性沟通</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4.沟通模板、背景、格子的颜色都可以进行自由设定</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5.版面排列可自由设置，可自主调整</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6.可进行模板的超链接的功能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 可进行文字、语音速度、播放栏的设定</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系统硬件组成：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 4核处理器；9.7寸屏幕；32GB；</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过河石：感统体能训练，过河石11件</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训练浪桥：1、A字架：长约190cm； 宽约170cm； 高约110cm，不锈钢材质，钢管直径约3cm，挂件钢管厚度：1.5mm，其他钢管厚度：1mm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2、吊缆：长度：160cm, 中间宽度：60cm；帆布+木质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3、横抱筒：直径：18cm长度：58cm，外层PU革、内填充密度海绵，接口处配有拉链</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4、竖抱筒：直径：18cm长度：56cm，外层PU革、内填充密度海绵，接口处配有拉链</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5、可靠稳定性要求：在设备主架结构中间部分施加约200N±2%水平拉力或推力，设备不产生位移，符合相应的国家标准</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万象组合套装：1、半砖：高级塑胶PP/PE/ABS，数量12个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2、全砖：高级塑胶PP/PE/ABS，数量8个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3、平衡桥：高级塑胶PP/PE/ABS，数量4个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4、体能环：高级塑胶PP/PE/ABS,直径35cm，数量：4个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5、体能环：高级塑胶PP/PE/ABS，直径59cm，数量：4个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6、体能棒：高级塑胶PP/PE/ABS，长35cm，数量：16根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7、体能棒：高级塑胶PP/PE/ABS，长70cm，数量：8根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8、棒夹：高级塑胶PP/PE/ABS，数量：12个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9、环夹：高级塑胶PP/PE/ABS，数量：12个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10、豆袋：布制+塑料粒子、数量：10个</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高跷组合：1、带踩压形状的塑料底座，合成橡胶的手柄由4个塑料部分制成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2.尺寸：260×160×700mm；材料：PP 塑料, TPE合成橡胶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3、静载强度要求：承载力2000±2%N并保持5分钟，静载试验后，不应有任何裂纹、破损等，符合相应的国家标准</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平衡触觉板：1、由塑料横杆组成的步道，8片曲线+8片直线,4个墩触觉板组合的步数.触点提供神经刺激讯号.加强儿童触觉学习,亦可与组合系列配合,做平衡动作训练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2、产品规格；49长×13.5宽×8高</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刷身刷：进行触觉训练；包括2个刷身刷</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摇晃岛：1、可以设计有趣和挑战性的平衡训练，锻炼学生的平衡、本体感觉底部盘是处于活动的，需要学生专注在保持平衡，同时进行平衡游戏；底部的圆盘由2个硬的塑料部件，中间是厚的而且可以活动的橡胶链子连接，随着学生的重心改变而移动；货物尺寸：直径210mm、高度160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2、活动部件间的间隙：应可插入直径约12mm的圆杆，符合相应的国家标准</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踩踏石：1、适合于训练小朋友的协调能力和感觉统合能力以及逻辑思维能力，以及培养儿童判断距离的能力可设计多种情景进行游戏防滑塑胶设计,确保安全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2、规格：ø15cm，H7cm  承重100kg，3对/套</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悬浮板：1、可以提供不同的排列组合方式，为学生提供无限的乐趣，在游戏的过程中进行平衡训练可以全面培养学生的大肢体动作，有趣和安全的设计鼓励学生多进行锻炼表面为可接触性环保塑料，主材为塑料及钢材；接触面直径约32cm,高度约10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2、密封性能要求：将球体置于水下100mm处，气泡产生间隔大于1分钟，符合相应的国家标准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3、气压下降率要求：施压约500N±1%,放置8小时，卸载后气压下降率应不大于15%，符合相应的国家标准</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船体套件：1、学生可以在曲型中使用各种方式进行训练，如凹面触觉板和独木桥触觉板等，还可以提供不同的排列组合方式，为学生提供无限的乐趣，在游戏的过程中进行触觉训练适合各种不能年龄段的学生进行康复训练；表面为可接触性环保塑料，主材为塑料及钢材；尺寸500×170×89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2、机械性强度要求：主要受力位置施加静载荷2000N±2%并保持5分钟，卸载后无任何裂痕和破损，符合相应的国家标准</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滑板：1、应用于学生进行平衡、重心移动及本体感统刺激，同时具有防滑设计，可以进行全方位旋转训练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2、表面为可接触性环保塑料和尼龙，带有弧形；防滑性：表面具有防滑纹 ，尺寸480×150×72mm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3、地面具有8个轮；两侧个4个轮子均匀分布在圆周上</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4、机械性强度要求：主要受力位置施加静载荷2000N±2%并保持5分钟，卸载后无任何裂痕和破损，符合相应的国家标准</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跳袋：材料色彩鲜艳仿皮布袋，仿皮布袋；锻炼孩子的平衡及本体觉能力尺寸：30×60cm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卡片式电子沟通板：1、适用人群：用于儿童自闭症人群、智力障碍人群、发育迟缓人群等语言沟通交流障碍的功能障碍者</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2、录音：用户可自选卡片进行录音，所录声音不随电池用尽或关机而消失再次录音会覆盖该位置原有储存，本机储存芯片总录音时长为16分钟（4层页面设计）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3、模式：共分为四种模式，模式一：12键模式，模式二：4键模式，模式三：2键模式，模式四：1键模式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4、沟通卡：配置50张沟通卡片，插入卡片即可使用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5、页面所在层设置：根据不同学生的需求我们可以设置录音和放音的所在层，页面上指示灯1/2/3/4分别对应4层页面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6、沟通图库：配置沟通图库优盘，专业的图库数量2000份，便于老师制作个性化的沟通卡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7、特殊开关模式：本机可使用3.5mm标准插头的特殊开关，按压特殊开关进行沟通，为肢体不便人士提供便利</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巡检成句模式：插好特殊开关，按特殊按钮，进入巡检成句模式，本机开始顺序播报，播报过程中，根据听到的想要表达的声音播报按压特殊开关，全部播报完毕后，本机按照使用者所选（特殊按钮选择位置顺序）组成整句，再次播报</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9、本沟通板可外接耳机或功放，以适用不同障碍人士要求使用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配置：沟通板一台：沟通板面9.6英寸；沟通卡50张；特殊开关一台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10、用户界面要求：按照《GB∕T 28922-2012 残疾人辅助器具日常生活的环境控制系统》标准检测，环境控制系统应满足特定用户指令的功能要求，所用方式应满足感觉、认知障碍者的需求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11、输入要求：按照《GB∕T 28922-2012 残疾人辅助器具日常生活的环境控制系统》标准检测，在使用说明书中指出按键或开关的灵敏区域，及指示区域内触发按键和（或）开关的力的大小</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阳光隧道组合：1、布料采用加密涤塔夫+网布，钢丝从两层涤塔夫中间穿过，加厚设计，不用担心宝宝会被钢丝割到，充分锻炼孩子的攀爬能力天窗的设计，让老师们能看清幼儿情况</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2、该产品能够有效的刺激前庭平衡感适合于动作不协调，注意力不集中，平衡感差，容易跌倒的儿童</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3、钢丝+涤纶布；48×72cm（6通）</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独脚凳：1、进行感觉统合训练能促进大脑功能的发展和成熟，提高孩子的学习技能和体能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2、材质：木质（椅面有一定柔软度，保护保护孩子脊柱）</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彩色球：1、环保塑料，直径约40cm，内置彩色球，可以发出响声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2、密封性能要求：将球体置于水下100mm处，气泡产生间隔大于1分钟</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3、气压下降率要求：施压约500N±1%,放置8小时，卸载后气压下降率应不大于15%</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光面大笼球：1、材质：环保塑料</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2、负载：最大可承受100kg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3、内容及尺寸：直径约52cm球一个；颜色：蓝色、红色、黄色不等</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羊角球：1、可进行下肢力度训练，也可以进行本体觉训练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2、材质：环保塑料</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认知学习板：认知学习板训练学生的手眼协调、形状认知、事物认知、精细动作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1、由英文大写字母和数字组成的双面钢珠写字板，两个面板上都有钢珠排布的图案</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2、磁性板标有笔画顺序，帮助学生用有趣的方式学字认字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3、数字板带有自主练习区，不少于32行6列共256颗钢珠组成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4、写字板约30×23cm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感知训练器：产品功能：1.训练学生手眼协调能力</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1、训练学生对手指力量的控制度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2、训练学生手指灵活度</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延长学生专注力时间</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3、木质板面长：52cm，宽19cm，厚1.5cm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4、杯子数量12个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5、弹射器：2个，弹力球：1个</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彩虹型--显示屏式电子沟通板：1、彩虹型--电子沟通板采用文字、符号、图形等视觉信息和声音相结合的形式，能够发出与视觉信息内容相对应的声音，辅助言语障碍者交流信息或训练沟通能力的电子辅助器具</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2、沟通模板可自由设定，最多可设置10种模式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3、播放方式分为组合朗读和直接朗读，可满足不同沟通障碍者的需求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4、系统自带数据库，共有23种类词汇，含530个核心词汇</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5、可进行版面之间的超链接功能，可极大扩充词汇内容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6、系统自带各类沟通模板，共500张，便于用户使用；沟通素材可自主编辑录制及选用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7、硬件：四核，16GB储存空间，8寸屏幕尺寸</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8、设计要求：按照《GB∕T 28922-2012 残疾人辅助器具日常生活的环境控制系统》标准检测，设备应能清楚识别设备是否处于编程模式，设备的设计应适其在断电情况下功能设置不遭到破坏</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团队协力板/4人：1、用于学生下肢平衡以及身体协调能力训练同时可进行团队训练，锻炼团体的凝聚力等</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2、环保塑料：39.5×12.5×2.5cm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奥尔夫乐器：1、以节奏乐器为主，材质要求环保、无毒，分四类，皮革类：所有的鼓类</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2、2、原木铃鼓6寸、原木木鱼、单响筒、13摇铃、早午板、沙蛋、响板、三角铁、沙锤、打棒、带柄碰铃、双响筒、环保铃各6个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3、产品设计合理，能够满足特殊教育随班就读学生的实际需求并保证学生使用安全</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咨询沙发：单人布艺一套；双人布艺沙发一套</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咨询配套茶几：实木茶几：圆形茶几，直径60cm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早期行为干预卡片：1、早期行为干预卡片分为学会聆听、学会发声、情感体验、礼貌用语、文明行为、社会交往、换位思考、学会分享等9个篇章，可通过示范教学、情景模仿、角色扮演、正面强化、行为矫正等多种训练形式，引导教育和综合培养特殊需要儿童的行为素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2、每个主题均呈现为连续性卡片，将日常生活中经常发生的行为按事件先后顺序呈现给儿童，分步进行行为指导和干预</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3、每张卡片正面右上角均有该主题的图标，有助于儿童对每个主题的区分，并在排序卡片时给予提示主题卡片中含有正确行为与错误行为，可让儿童对正确行为与错误行为进行区分，以强化正确行为</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早期行为干预卡片适用于智力障碍、认知障碍、精神发育迟滞、孤独症谱系障碍、品行障碍、多动症等特殊儿童的早期行为干预本套卡片包括学会聆听、学会发声、情感体验、社会交往、乐于合作、礼貌用语、文明行为、换位思考和学会分享九个篇章，每个篇章均包含1-2个单元主题，并配套有使用说明手册</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0-3托幼教室：</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组合玩具柜：1.尺寸：4700*30*145mm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2.材质：橡木拼接板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3.板子厚度：18mm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幼儿沙发：1、92×45×45.9cm，面料：</w:t>
            </w:r>
            <w:r>
              <w:rPr>
                <w:rFonts w:hint="eastAsia" w:ascii="宋体" w:hAnsi="宋体" w:cs="宋体"/>
                <w:i w:val="0"/>
                <w:iCs w:val="0"/>
                <w:color w:val="auto"/>
                <w:sz w:val="20"/>
                <w:szCs w:val="20"/>
                <w:highlight w:val="none"/>
                <w:u w:val="none"/>
                <w:lang w:val="en-US" w:eastAsia="zh-CN" w:bidi="ar"/>
              </w:rPr>
              <w:t xml:space="preserve">皮料</w:t>
            </w:r>
            <w:r>
              <w:rPr>
                <w:rFonts w:hint="eastAsia" w:ascii="宋体" w:hAnsi="宋体" w:eastAsia="宋体" w:cs="宋体"/>
                <w:i w:val="0"/>
                <w:iCs w:val="0"/>
                <w:color w:val="auto"/>
                <w:sz w:val="20"/>
                <w:szCs w:val="20"/>
                <w:highlight w:val="none"/>
                <w:u w:val="none"/>
                <w:lang w:val="en-US" w:eastAsia="zh-CN" w:bidi="ar"/>
              </w:rPr>
              <w:t xml:space="preserve">，经防虫、防腐、分层、鞣制等数十道工序处理。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木蜡油封边，搅拌后均匀无硬块，细度、干燥时间、贮存稳定性、涂膜外观、光泽、硬度、附着力、耐干热性、耐水性、耐碱性、耐醇性、耐污染性（醋、茶）、挥发性有机化合物(VOC)含量、苯含量、甲苯二甲苯乙苯含量总和、卤代烃含量、可溶性重金属（铅、镉、铬、汞）含量符合GB/T 27811-2011标准要求。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3、五金件选用环保五金，稳固不松动，镉、铅、汞、六价铬含量符合GB/T 26572-2011标准要求。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4、软垫采用环保耐磨PVC阻燃透气皮包覆，触感轻柔，绿色环保，耐磨耐用，皮革中P值、甲醛、可裂解出致癌芳香胺的偶氮染料、耐水色牢度、耐干摩擦色牢度度、无异味等各项指标均符合QB/T 4045-2010国家标准规范的要求。内部填充海绵，弹性好韧性强，具有很好的缓冲性，危险杂质、污染物、含杂质率、燃烧性能、无异味、微生物等符合GB/T 30400-2013标准要求。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5、甲醛含量：达到国家E0级环保标准甲醛含量≤9mg/100g</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t xml:space="preserve">投标时提供符合GB/T 30400-2013国家标准规范要求的填充物（海绵）检测报告（检测报告上须有CMA或CNAS 的标识）原件扫描件，检测项目包括但不限于：危险杂质；污染物；含杂质率≤1.0%；燃烧性能-燃烧面积≤7500m㎡；无异味；微生物[细菌菌落总数≤5000CFU/g，大肠杆菌未检出]等检测指标</w:t>
            </w:r>
            <w:r>
              <w:rPr>
                <w:rFonts w:hint="eastAsia" w:ascii="宋体" w:hAnsi="宋体" w:cs="宋体"/>
                <w:i w:val="0"/>
                <w:iCs w:val="0"/>
                <w:color w:val="auto"/>
                <w:sz w:val="20"/>
                <w:szCs w:val="20"/>
                <w:highlight w:val="none"/>
                <w:lang w:val="en-US" w:eastAsia="zh-CN" w:bidi="ar"/>
              </w:rPr>
              <w:t xml:space="preserve">。</w:t>
            </w:r>
            <w:r/>
          </w:p>
          <w:p>
            <w:pPr>
              <w:numPr>
                <w:ilvl w:val="0"/>
                <w:numId w:val="0"/>
              </w:numPr>
              <w:jc w:val="left"/>
              <w:keepLines w:val="0"/>
              <w:keepNext w:val="0"/>
              <w:widowControl/>
              <w:rPr>
                <w:rFonts w:hint="eastAsia"/>
                <w:color w:val="auto"/>
                <w:highlight w:val="none"/>
                <w:lang w:val="en-US" w:eastAsia="zh-CN"/>
              </w:rPr>
              <w:suppressLineNumbers w:val="0"/>
            </w:pPr>
            <w:r>
              <w:rPr>
                <w:rFonts w:hint="eastAsia" w:ascii="宋体" w:hAnsi="宋体" w:eastAsia="宋体" w:cs="宋体"/>
                <w:b w:val="0"/>
                <w:bCs w:val="0"/>
                <w:i w:val="0"/>
                <w:iCs w:val="0"/>
                <w:color w:val="auto"/>
                <w:sz w:val="20"/>
                <w:szCs w:val="20"/>
                <w:highlight w:val="none"/>
                <w:lang w:val="en-US" w:eastAsia="zh-CN" w:bidi="ar"/>
              </w:rPr>
              <w:t xml:space="preserve">（中标供应商签订合同前提交其投标文件中上报的检测报告的原件让采购人或者代理机构核查，核查不合格的上报监管部门。）</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爬爬垫：材质：XPE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尺寸：宽1800mm长50000mm厚25mm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各式玩具（海洋球、推推车等等）：80mm海洋球200个，包含海绵软体围挡2.64*1.92m，730*300*330mm独轮小推车1辆，900*850*550mm推推车1辆，1950*1000*1050mm精灵钻洞1套，1000*400*1100mm人形墙1套，5930*200*200平衡独木桥1个</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玩具收纳室：</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器材架：全部采用冷轧钢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美观大方、结构牢固、规格多样</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表面处理采用乳化剂和碱性助洗脱脂，磷酸除锈，钝化最后粉末喷涂，装饰防护性能好，附着力强</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1800*500*2000mm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档案室：</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资料架：(1)采用鞍钢冷轧钢板具有抗腐蚀、抗冲击、抗老化、耐磨、经除油，除锈，酸洗，磷化，钝化等工序后模压成型；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(2)静电喷涂，钢材使用马钢或者武钢，钢材经过酸洗磷化防锈去污处理，静电喷粉烤漆面；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(3)850*390*1800</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小中大班桌面玩具、益智区、角色区材料：</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（一）益智区（小班）：</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多彩串珠：材质：桦木、禾木；包装尺寸：约13.1×13.1×18.3cm；产品尺寸：串珠约2.2cm内含：内含正方体36件、球形36件、圆柱体36件、绳子6件丰富多样的串珠，可以按颜色进行分类，可以进行计数，学习加减法等游戏，还可以创建各种图案，提高创意能力不仅如此，幼儿还可以通过串珠，锻炼小手精细动作，促进专注力的提高</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（二）建构区（小班）：</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BS颗粒积木：材质：塑料（ABS）；包装尺寸：约26×23.3×19.3cm；产品尺寸：底板约12.7×12.7×1.4cm，最小约3.2×3.2×2.4cm内含：积木×103由5种不同配件及6种颜色组成，可进行分类、颜色、排序、计数等游戏，还可以搭建各种各样造型</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轮子水管：材质：塑料（ABS）；包装尺寸：约26×23×19cm；产品尺寸：直管长约7cm、直径约2.3cm内含：红色轮子4个，黄色直管10个，黄色弯管10个，绿色直管10个，绿色弯管10个，紫色十字4个，紫色T字4个，橙色十字4个，橙色T字4个适合幼儿操作、可以创造小人、车辆等形状、锻炼小手肌肉控制能力</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彩色磁力棒：材质：塑料、磁铁；包装尺寸：约26×23.3×10.5cm；产品尺寸：磁力棒最长约11.6cm、磁力棒最短约6.9cm、球4.5cm、操作卡20×14cm内含：磁力棒×32、球×10、操作卡×5大尺寸的磁力棒，大小适中，适合幼儿小手抓握圆润光滑，环保，无毒无异味磁力强劲，永磁体经久耐用，搭建造型更加稳固丰富的色彩及造型，配有操作图卡，帮助幼儿认知各种颜色、形状、搭建各种造型让幼儿在搭建中充分发挥想象力、创新能力和思维能力</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创意拼装条：材质：塑料(PP)；包装尺寸：约26×23×19cm；产品尺寸：半圆形拼条尺寸10×6cm内含：创意拼装条×120各种形状的拼装条可以灵活拼插，锻炼了幼儿的空间想象力，玩法多多，造型多多</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（三）科学区（小班）：</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手持放大镜：材质：ABS；包装尺寸：24×24.6×16.6cm；产品尺寸：镜面宽度带包边11.5cm、加手柄总长23cm内含：红放大镜×1、黄放大镜×1、蓝放大镜×1、绿放大镜×1、橙放大镜×1、紫放大镜 ×1工艺考究、适用于小组活动、是幼儿园开展科学活动的必备工具可选购收纳盒、培养幼儿随拿随放的好习惯</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双孔3×放大观察箱：材质：塑料（ABS、LDPE、PMM）；包装尺寸：约17×9.9×8.9cm；产品尺寸：20×13cm内含：观察箱×1幼儿能从3 倍观察孔观察捕捉到的昆虫植物防水及透气孔设计，不会伤害到小昆虫，让幼儿友善安全地观察大自然</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牙齿模型：材质：塑料(ABS/PVC)；包装尺寸：17×17.5×22.2cm；产品尺寸：牙齿模型约20×16×13cm，牙刷约22×2.1cm内含：牙齿模型×1，牙刷×1适合给幼儿演示刷牙的牙齿模型，了解牙齿的基本构造和基本功能，理解牙齿健康的重要性，了解有关换牙的知识，养成爱护牙齿的好习惯</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底探测船：材质：塑料(TPE、PP、ABS)；包装尺寸：约27.4×22.9×7.1cm；产品尺寸：透明底船约25×13×6cm；内含：探测船×1船底部用固定3倍放大镜，可以在游泳池或是安全的小水池观察水底下放大的物品，能清楚看到细节</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（四）音乐区（小班）：</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羊皮单排铃鼓：材质：木制、皮制（仿羊皮）；包装尺寸：约19.4×5×19.5cm；产品尺寸：铃鼓直径约18cm内含：铃鼓×1边缘打磨光滑的铁铃，不会伤到幼儿的小手羊皮鼓面，触感细腻，品质上乘可用于音乐伴奏、器乐合奏等</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雪铃21铃：材质：桦木、人造皮、电镀铁；产品尺寸：棒形雪铃长约26.5cm内含：棒形雪铃×1棒形雪铃是木棒形状带着铃铛的打击乐器，轻轻晃动手臂，发出叮铃铃的响声，声音清脆而响亮，幼儿在自由操作的过程中感受音乐的韵律感，锻炼手腕和手臂力量</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碰钟：材质：黄铜；产品尺寸：直径约4.4cm内含：碰钟1对</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双音木鱼：材质：椿木；包装尺寸：双音木鱼约18.5×4cm；产品尺寸：双音木鱼约20×4cm内含：双音木鱼×1、敲棒×1 通过木制的敲棒击打而发音，它的音色接近于响板通过音律的快慢进行有节奏的敲打，提升幼儿的节奏感</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制砂球：材质：桦木；产品尺寸：长约11.5cm内含：沙球×2精选木材，制作工艺考究，圆润打磨、无毛刺，贴心呵护幼儿的小手精致小巧的尺寸设计，方便幼儿灵活抓握可进行音律启蒙，同时也可锻炼幼儿的手眼协调能力和专注力</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响棒：材质：橡木；产品尺寸：约17.8×2cm内含：响棒×2精心打磨的节奏响棒，配合音乐可敲打出快慢不同的节奏，让幼儿在自由操作中充分感受音乐中节奏的快慢</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鼓：材质：防皮、金属、橡木；产品尺寸：手鼓直径约14cm内含：手鼓×1，棒子×1平滑有微微弹性的鼓面，敲击起来使乐声更有质感鼓面强韧，不易破损在打鼓的过程中锻炼幼儿四肢协调能力，促进右脑潜能的开发和平衡左右脑发展</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木琴：材质：桦木；产品尺寸：木琴约42cm×21.5cm内含：木琴×1 、棒子×2实木琴片，更贴近自然质地坚固，不易开裂和变形，经久耐玩标准音阶，音乐启蒙不跑偏音色自然，带给幼儿准确的音乐启蒙两根实木敲棒，在双手敲打间培养幼儿手眼协调，也能促进左右大脑的开发</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（五）建构区（中班）：</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半球太阳花：材质：PP；包装尺寸：约26×23.3×19.3cm；产品尺寸：最大约6.5cm内含：积木×150</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大圆孔八角片：材质：塑料(PP)；包装尺寸：约26×23×10cm；产品尺寸：单件直径约6.5cm内含：红×28、黄×28、蓝×28、绿×28、紫×28、橘×28颜色多样，可制作不同的作品，锻炼幼儿动手能力与想象力</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多种连接块：材质：塑料（ABS）；包装尺寸：约26×23×10cm；产品尺寸：单个方块约2×2×2cm内含：红×30、黄×30、蓝×30、绿×30、紫×30、橘×30（其中方块90只，其他三个形状各30只）利用不同形状的连接，创作机器人、动物等造型，锻炼手眼协调</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程建构棒：材质：塑料(PVC)；包装尺寸：约20.8×20.6×5.6cm；产品尺寸：约20.5×21×5cm内含：棍子、曲线和连接件等58个零件如何搭建出二维、三维立体作品呢？工程建构棒帮助幼儿在创造过程中学会解决问题，并发现建构中的乐趣，提升几何空间能力</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（六）扮演区（中班）：</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医生急救箱：材质：ABS；包装尺寸：约17×46.5cm内含：听诊器×1、剪刀×1、钳子×1、药瓶×1、温度计×1、镊子×1、手术刀×1、牙镜×1、针筒×1、眼镜×1、耳镜×1、 医药箱×1温度计中的刻罗盘可以360°任意转动，针筒柄在一定力度的作用下可以下压，松开后自动弹起，丰富的玩具材料可以帮助幼儿模仿医生工作，了解医生这一职业，也能让扮演情境更丰富</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布娃娃男女组：材质：布制；包装尺寸：约47×33×14cm；产品尺寸：娃娃高约41cm内含：娃娃×2，衣服×2，奶瓶×2，衣架×2新手爸爸妈妈，来帮布娃娃换尿布、穿衣服、戴帽子，透过实际的操作帮助幼儿学习关怀照顾他人</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蔬菜篮：材质：塑料（ABS、PVC、TPE）；包装尺寸：约14.7×14.7×14.7cm；产品尺寸：篮子高约10cm，直径约14cm内含：篮子×1、玉米×1、黄瓜×1、花椰菜×1、红椒×1、茄子×1、胡萝卜×1、黄椒×1、芦笋×1、土豆×1各种蔬菜，既可以让幼儿学习认识蔬菜名称、颜色，也可以作为扮演游戏的辅助材料，丰富游戏情节，体验互相交流的乐趣</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果篮：材质：塑料；包装尺寸：约14×14×12.7cm；产品尺寸：篮子高约10cm，直径约14cm内含：篮子×1、苹果×1、草莓×1、柠檬×1、香蕉×1、李子×1、橘子×1、杏×1、葡萄×1、梨×1可以让幼儿学习认识水果名称、颜色，或是说说自己喜欢的水果；也可以作为扮演游戏的道具</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餐具仿真颜色41件套网袋：材质：塑料(PP)；包装尺寸：约22×16×17.5cm；产品尺寸：网袋装产品后的尺寸：高约20cm，盘子直径约21.5cm内含：模拟颜色41件套丰富多样的餐具，幼儿可以扮演家长，玩餐厅准备美食游戏，邀请亲朋好友一起来参加派对，准备好吃的食物和精致的碗盘摆饰</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面条机：材质：塑料（ABS）；包装尺寸：约33.5×13×24cm内含：面条桶×1、手柄×1、粗切面组件×1、细切面组件×1、面盘×1、圆形刀模×1、饺子制作模×1、饺子制作模×1丰富的材料可以让幼儿扮演面条制作师、玩面条加工厂的游戏，体验制作面条的愉悦心情</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（七）建构区（大班）：</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万能积木：材质：塑料(PE)；包装尺寸：26×23.3×19.3cm；产品尺寸：轮子直径约7.4cm、最小积木约4.4×4.4×1.5cm内含：万能积木×52多种形状的积木块，可以建立更多造型，做个机器人、搭个风车，让幼儿灵感不断，满足他们的奇思妙想</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建筑拼搭：材质：</w:t>
            </w:r>
            <w:r>
              <w:rPr>
                <w:rFonts w:hint="eastAsia" w:ascii="宋体" w:hAnsi="宋体" w:eastAsia="宋体" w:cs="宋体"/>
                <w:i w:val="0"/>
                <w:iCs w:val="0"/>
                <w:color w:val="auto"/>
                <w:sz w:val="20"/>
                <w:szCs w:val="20"/>
                <w:highlight w:val="none"/>
                <w:u w:val="none"/>
                <w:lang w:val="en-US" w:eastAsia="zh-CN" w:bidi="ar"/>
              </w:rPr>
              <w:t xml:space="preserve">塑料（ABS）；包装尺寸：约26×23×19cm；产品尺寸：单件最长约19cm内含：红长条5个，红立方体3个，红螺母16个，红螺栓13个，红色一共37个；黄色条子9个，黄立方体4个，黄螺母16个，黄螺栓13个，黄色一共42个；蓝色条子9个，蓝螺母15个，蓝螺栓18个，蓝扳手1个，蓝六角扳手1个，蓝色一共44个；绿长条5个，绿螺母15个，绿螺栓18个，绿色一共38个；黑色6个内含红、黄、蓝、绿色的长条、立方体、螺母、螺栓等材料、可以搭建挖掘机、机器人、动物等多种类的造型、满足幼儿自主搭建培养积极主动的良好习惯</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空心磁力片：材质： 塑料、磁铁</w:t>
            </w:r>
            <w:r>
              <w:rPr>
                <w:rFonts w:hint="eastAsia" w:ascii="宋体" w:hAnsi="宋体" w:eastAsia="宋体" w:cs="宋体"/>
                <w:i w:val="0"/>
                <w:iCs w:val="0"/>
                <w:color w:val="auto"/>
                <w:sz w:val="20"/>
                <w:szCs w:val="20"/>
                <w:highlight w:val="none"/>
                <w:u w:val="none"/>
                <w:lang w:val="en-US" w:eastAsia="zh-CN" w:bidi="ar"/>
              </w:rPr>
              <w:t xml:space="preserve">；包装尺寸：约26×23.3×10.5cm；产品尺寸：最大约12×6.4×5.9cm、最小约4.3×4.3cm、操作卡约20×14cm内含：新三角×24、新四角×24、新五角×2、新长三角×8、梯形×4、白卡块×10、操作卡片×5多道工序反复打磨，圆润光滑，保护幼儿的小手，圆角设计，轻巧薄款，让幼儿轻松抓握，易搭易拆，造型多变的空心磁力片，可以满足幼儿的奇思妙想，配有操作图卡，从基础形状拼搭，到简易立体造型拼搭，再到三维立体图形的拼搭，逐步建立幼儿的基础空间感知，配有磁力片收纳箱，培养幼儿养成自主收纳好习惯</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竹屋积木组：材质：竹制；包装尺寸：约27×26×9cm；产品尺寸：最长约20.3cm内含：竹制积木×42竹制积木，均采用环保材质，既环保耐用、又轻便大小、形状不同的竹子形柱子，屋顶和桥梁，可搭建出完美、逼真的大自然建筑场景，让幼儿在自然材料中亲近自然，幼儿在与材料互动中感知材料的亲自然性，发挥想象力和创造能力</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（八）扮演区（大班）：</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地板清洁组：材质：榉木，荷木，ABS，布制，包装尺寸：约：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26.5×13.5×43cm，内含：扫帚×1，拖把×1，除尘掸×1，刷子×1，簸箕×1，收纳架×1</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科技收款机II代：材质：塑料,包装尺寸：约 28.6×25.1×15.7cm,内含：收款机 ×1，游戏纸币 ×30，塑料币 ×40，操作指南×1,液晶屏幕可实际计算的智能型收款机，钱币投掷孔，不含 3C 电池还可练习数字的计算</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熨斗架：尺寸：60×30×60cm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1、采用 18mm 厚环保三聚氰胺贴面胶合板，甲醛释放量符合 GB/T39600-2021 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2、木蜡油封边，重金属钡、铅、镉、锑、</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硒、铬、汞、砷等含量符合国家标准规范的要求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3、五金件选用环保五金，安全无毒符合国家标准规范的要求，钡、铅、镉、锑、硒、铬、汞、砷等含量控制指标完全符合要求</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厨师服4件套：材质：棉布，包装尺寸：约：58×43×2cm，内含：帽子 ×1、上衣 ×1、围裙 ×1、三角巾 ×1可以玩扮演厨师、开面包店、美食店等游戏活动，帮助幼儿了解厨师及相关的职业功能、特性，扩大幼儿的视野，培养社交能力</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（九）益智区（大班）：</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配对螺丝：材质：木制+塑料，包装尺寸：约：26×23.3×10.5cm，内含：木质×42 件，塑料×22 件，教具盒×1 个，操作卡×3 张</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（十）多元STEAM区（大班）：</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齿轮游戏-机器：材质：塑料,包装尺寸：约 36.8×27.9×10.2cm,内含：内含螺旋桨、链条、轮子、车轴等 112 个零件,包括特殊零件，例如螺旋桨、球、链条、滑轮、轮子和车轴等部件开放式的设计和可互换的零部件能使幼儿专注于探索和发现，帮助幼儿获得一系列STEAM 技能，如跨领域、动手做、生活应用、解决问题、五感学习，强调自我探索、 自主学习等</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齿轮游乐园：材质：ABS，包装尺寸：约：35.5×26×10.7cm，内含：积木×100+3 张学习卡</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简易机械原理组：材质：塑料,包装尺寸：约 36.8×24.1×10.9cm,内含：,通过杠杆、滑轮、斜面、轮轴，学习力量、装载、行动和距离的关系可搭配活动指南和机械动力组卡片使用</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程剑桥组：材质：塑料,包装尺寸：35×26×21cm,内含：各种三角形片×50、各种空心方形片×44、实心方形片×8、小中长连接棒×8、滑轮×4、把手×2、各种方孔片×6、铰链×2、凸轮×4、底座×2、各种悬垂管及管柱×4,幼儿可参考说明书中 的世界著名的桥梁设计，掌握拼搭、架构、悬挂、悬臂和吊桥等建构技能，并鼓励幼儿挑战超出设定的形状和尝试表达出自己的创作</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（十一）室内建构积木：</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108片原木色卡扣积木：松木实木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25×5×2.5cm</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398片积木2.2cm：1.长方形 60×7×2.2cm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2.长方形 40×7×2.2cm  松木 原色 12块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3.长方形（薄）40×7×1.1cm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4.长方形 30×7×2.2cm 松木 原色 14块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5.长方形 20×7×2.2cm 松木 原色 14块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6.长方形（薄）20×7×1.cm1 松木 原色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7.长方形 5×7×2.2cm 松木 原色 48块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8.长方形 15×2.2×2.2cm 松木 原色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9.三角形 15×7×2.2cm 松木 原色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10.三角形 7×7×2.2cm 松木 原色 60块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11.圆柱形 15×5×5cm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12.圆柱形 15×4×4cm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13.圆柱形 10×4×4cm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14.圆柱形 10×2.2×2.2cm 松木 原色 30块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15.七字形 15×7×2.2cm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16.七字形内心 7.5×4.5×2.2cm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17.半环形 30×15×2.2cm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18.半环形 15×7.5×2.2cm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19.半圆形 15×7.5×2.2cm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20.半圆形 10×5×2.2cm 松木 原色 16块</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420件建构积木2.2cm：1.长方形 60×7×2.2cm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2.长方形 40×7×2.2cm 松木 原色 12块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3.长方形（薄） 40×7×1.1cm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4.长方形 30×7×2.2cm 松木 原色 14块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5.长方形 20×7×2.2cm 松木 原色 14块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6.长方形（薄） 20×7×1.1cm 松木 原色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7.长方形 5×7×2.2cm 松木 原色 50块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8.长方形 15×2.2×2.2cm 松木 原色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9.长方形 10×2.2×2.2cm 松木 原色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10.三角形 15×7×2.2cm 松木 原色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11.三角形 7×7×2.2cm 松木 原色 60块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12.圆柱形 15×5×5cm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13.圆柱形 15×4×4cm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14.圆柱形 10×4×4cm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15.圆柱形 10×2.2×2.2cm 松木 原色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16.七字形 15×7×2.2cm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17.七字形内心 7.5×4.5×2.2cm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18.半环形 30×15×2.2cm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19.半环形 15×7.5×2.2cm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20.半圆形 15×7.5×2.2cm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21.半圆形 10×5×2.2cm 松木 原色 16块</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27片盒装镜面积木：6种形状，带镜面，带木制收纳盒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松木+亚克力上漆</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bl>
    <w:p>
      <w:pPr>
        <w:pStyle w:val="851"/>
        <w:spacing w:before="240" w:after="240" w:line="360" w:lineRule="atLeas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rPr>
        <w:t xml:space="preserve">“证明材料”要求如有要求，投标人未提供有效证明材料或证明材料中内容与所填报指标不一致的，该指标按不满足处理。</w:t>
      </w:r>
      <w:r/>
    </w:p>
    <w:p>
      <w:pPr>
        <w:pStyle w:val="851"/>
        <w:spacing w:before="240" w:after="240" w:line="360" w:lineRule="atLeast"/>
        <w:rPr>
          <w:rFonts w:hint="eastAsia" w:ascii="宋体" w:hAnsi="宋体" w:eastAsia="宋体" w:cs="宋体"/>
          <w:color w:val="auto"/>
          <w:highlight w:val="none"/>
        </w:rPr>
      </w:pPr>
      <w:r>
        <w:rPr>
          <w:rFonts w:hint="eastAsia" w:ascii="宋体" w:hAnsi="宋体" w:eastAsia="宋体" w:cs="宋体"/>
          <w:b/>
          <w:bCs/>
          <w:color w:val="auto"/>
          <w:highlight w:val="none"/>
        </w:rPr>
        <w:t xml:space="preserve">五、采购标的需执行的国家相关标准、行业标准、地方标准或者其他标准、规范；</w:t>
      </w:r>
      <w:r/>
    </w:p>
    <w:p>
      <w:pPr>
        <w:pStyle w:val="851"/>
        <w:ind w:firstLine="480"/>
        <w:jc w:val="both"/>
        <w:keepLines w:val="0"/>
        <w:keepNext w:val="0"/>
        <w:pageBreakBefore w:val="0"/>
        <w:spacing w:line="360" w:lineRule="atLeast"/>
        <w:rPr>
          <w:rStyle w:val="852"/>
          <w:rFonts w:hint="eastAsia" w:ascii="宋体" w:hAnsi="宋体" w:eastAsia="宋体" w:cs="宋体"/>
          <w:b w:val="0"/>
          <w:bCs w:val="0"/>
          <w:color w:val="auto"/>
          <w:highlight w:val="none"/>
          <w:lang w:val="en-US" w:eastAsia="zh-CN"/>
        </w:rPr>
      </w:pPr>
      <w:r>
        <w:rPr>
          <w:rStyle w:val="852"/>
          <w:rFonts w:hint="eastAsia" w:ascii="宋体" w:hAnsi="宋体" w:eastAsia="宋体" w:cs="宋体"/>
          <w:b w:val="0"/>
          <w:bCs w:val="0"/>
          <w:color w:val="auto"/>
          <w:highlight w:val="none"/>
          <w:lang w:val="en-US" w:eastAsia="zh-CN"/>
        </w:rPr>
        <w:t xml:space="preserve">均执行国家现行有关标准、相关行业规范：</w:t>
      </w:r>
      <w:r/>
    </w:p>
    <w:p>
      <w:pPr>
        <w:pStyle w:val="851"/>
        <w:ind w:firstLine="480"/>
        <w:jc w:val="both"/>
        <w:keepLines w:val="0"/>
        <w:keepNext w:val="0"/>
        <w:pageBreakBefore w:val="0"/>
        <w:spacing w:line="360" w:lineRule="atLeast"/>
        <w:rPr>
          <w:rStyle w:val="852"/>
          <w:rFonts w:hint="eastAsia" w:ascii="宋体" w:hAnsi="宋体" w:eastAsia="宋体" w:cs="宋体"/>
          <w:b w:val="0"/>
          <w:bCs w:val="0"/>
          <w:color w:val="auto"/>
          <w:highlight w:val="none"/>
          <w:lang w:val="en-US" w:eastAsia="zh-CN"/>
        </w:rPr>
      </w:pPr>
      <w:r>
        <w:rPr>
          <w:rStyle w:val="852"/>
          <w:rFonts w:hint="eastAsia" w:ascii="宋体" w:hAnsi="宋体" w:eastAsia="宋体" w:cs="宋体"/>
          <w:b w:val="0"/>
          <w:bCs w:val="0"/>
          <w:color w:val="auto"/>
          <w:highlight w:val="none"/>
          <w:lang w:val="en-US" w:eastAsia="zh-CN"/>
        </w:rPr>
        <w:t xml:space="preserve">（1）</w:t>
      </w:r>
      <w:r>
        <w:rPr>
          <w:rStyle w:val="852"/>
          <w:rFonts w:ascii="宋体" w:hAnsi="宋体" w:eastAsia="宋体" w:cs="宋体"/>
          <w:b w:val="0"/>
          <w:bCs w:val="0"/>
          <w:color w:val="auto"/>
          <w:highlight w:val="none"/>
          <w:lang w:val="en-US" w:eastAsia="zh-CN"/>
        </w:rPr>
        <w:t xml:space="preserve">家具类：GB/T 39600-2021《人造板及其制品甲醛释放量分级》（强制标准，涵盖甲醛释放量、结构安全、有害物质限量等核心要求）。</w:t>
      </w:r>
      <w:r/>
    </w:p>
    <w:p>
      <w:pPr>
        <w:pStyle w:val="851"/>
        <w:ind w:firstLine="480"/>
        <w:jc w:val="both"/>
        <w:keepLines w:val="0"/>
        <w:keepNext w:val="0"/>
        <w:pageBreakBefore w:val="0"/>
        <w:spacing w:line="360" w:lineRule="atLeast"/>
        <w:rPr>
          <w:rStyle w:val="852"/>
          <w:rFonts w:hint="eastAsia" w:ascii="宋体" w:hAnsi="宋体" w:eastAsia="宋体" w:cs="宋体"/>
          <w:b w:val="0"/>
          <w:bCs w:val="0"/>
          <w:color w:val="auto"/>
          <w:highlight w:val="none"/>
          <w:lang w:val="en-US" w:eastAsia="zh-CN"/>
        </w:rPr>
      </w:pPr>
      <w:r>
        <w:rPr>
          <w:rStyle w:val="852"/>
          <w:rFonts w:hint="eastAsia" w:ascii="宋体" w:hAnsi="宋体" w:eastAsia="宋体" w:cs="宋体"/>
          <w:b w:val="0"/>
          <w:bCs w:val="0"/>
          <w:color w:val="auto"/>
          <w:highlight w:val="none"/>
          <w:lang w:val="en-US" w:eastAsia="zh-CN"/>
        </w:rPr>
        <w:t xml:space="preserve">（2）</w:t>
      </w:r>
      <w:r>
        <w:rPr>
          <w:rStyle w:val="852"/>
          <w:rFonts w:ascii="宋体" w:hAnsi="宋体" w:eastAsia="宋体" w:cs="宋体"/>
          <w:b w:val="0"/>
          <w:bCs w:val="0"/>
          <w:color w:val="auto"/>
          <w:highlight w:val="none"/>
          <w:lang w:val="en-US" w:eastAsia="zh-CN"/>
        </w:rPr>
        <w:t xml:space="preserve">玩具类：GB 6675系列《玩具安全》（含GB 6675.1-2014机械与物理性能、GB 6675.2-2014阻燃性能、GB 6675.3-2014特定元素的迁移、GB 6675.4-2014邻苯二甲酸酯含量等）。</w:t>
      </w:r>
      <w:r/>
    </w:p>
    <w:p>
      <w:pPr>
        <w:pStyle w:val="851"/>
        <w:ind w:firstLine="480"/>
        <w:jc w:val="both"/>
        <w:keepLines w:val="0"/>
        <w:keepNext w:val="0"/>
        <w:pageBreakBefore w:val="0"/>
        <w:spacing w:line="360" w:lineRule="atLeast"/>
        <w:rPr>
          <w:rStyle w:val="852"/>
          <w:rFonts w:hint="eastAsia" w:ascii="宋体" w:hAnsi="宋体" w:eastAsia="宋体" w:cs="宋体"/>
          <w:b w:val="0"/>
          <w:bCs w:val="0"/>
          <w:color w:val="auto"/>
          <w:highlight w:val="none"/>
          <w:lang w:val="en-US" w:eastAsia="zh-CN"/>
        </w:rPr>
      </w:pPr>
      <w:r>
        <w:rPr>
          <w:rStyle w:val="852"/>
          <w:rFonts w:hint="eastAsia" w:ascii="宋体" w:hAnsi="宋体" w:eastAsia="宋体" w:cs="宋体"/>
          <w:b w:val="0"/>
          <w:bCs w:val="0"/>
          <w:color w:val="auto"/>
          <w:highlight w:val="none"/>
          <w:lang w:val="en-US" w:eastAsia="zh-CN"/>
        </w:rPr>
        <w:t xml:space="preserve">（3）</w:t>
      </w:r>
      <w:r>
        <w:rPr>
          <w:rStyle w:val="852"/>
          <w:rFonts w:ascii="宋体" w:hAnsi="宋体" w:eastAsia="宋体" w:cs="宋体"/>
          <w:b w:val="0"/>
          <w:bCs w:val="0"/>
          <w:color w:val="auto"/>
          <w:highlight w:val="none"/>
          <w:lang w:val="en-US" w:eastAsia="zh-CN"/>
        </w:rPr>
        <w:t xml:space="preserve">纺织类：GB 31701-2015《婴幼儿及儿童纺织产品安全技术规范》（适用于幼儿床品、毛巾、衣帽等纺织类附属产品）。</w:t>
      </w:r>
      <w:r/>
    </w:p>
    <w:p>
      <w:pPr>
        <w:pStyle w:val="851"/>
        <w:ind w:firstLine="480"/>
        <w:jc w:val="both"/>
        <w:keepLines w:val="0"/>
        <w:keepNext w:val="0"/>
        <w:pageBreakBefore w:val="0"/>
        <w:spacing w:line="360" w:lineRule="atLeast"/>
        <w:rPr>
          <w:rStyle w:val="852"/>
          <w:rFonts w:ascii="宋体" w:hAnsi="宋体" w:eastAsia="宋体" w:cs="宋体"/>
          <w:b w:val="0"/>
          <w:bCs w:val="0"/>
          <w:color w:val="auto"/>
          <w:highlight w:val="none"/>
          <w:lang w:val="en-US" w:eastAsia="zh-CN"/>
        </w:rPr>
      </w:pPr>
      <w:r>
        <w:rPr>
          <w:rStyle w:val="852"/>
          <w:rFonts w:hint="eastAsia" w:ascii="宋体" w:hAnsi="宋体" w:eastAsia="宋体" w:cs="宋体"/>
          <w:b w:val="0"/>
          <w:bCs w:val="0"/>
          <w:color w:val="auto"/>
          <w:highlight w:val="none"/>
          <w:lang w:val="en-US" w:eastAsia="zh-CN"/>
        </w:rPr>
        <w:t xml:space="preserve">（4）</w:t>
      </w:r>
      <w:r>
        <w:rPr>
          <w:rStyle w:val="852"/>
          <w:rFonts w:ascii="宋体" w:hAnsi="宋体" w:eastAsia="宋体" w:cs="宋体"/>
          <w:b w:val="0"/>
          <w:bCs w:val="0"/>
          <w:color w:val="auto"/>
          <w:highlight w:val="none"/>
          <w:lang w:val="en-US" w:eastAsia="zh-CN"/>
        </w:rPr>
        <w:t xml:space="preserve">设计规范：《托儿所、幼儿园建筑设计规范》（GB 50099-2013），确保家具、玩具摆放与区域规划符合幼儿园建筑安全要求。</w:t>
      </w:r>
      <w:r/>
    </w:p>
    <w:p>
      <w:pPr>
        <w:ind w:firstLine="482"/>
        <w:jc w:val="both"/>
        <w:keepLines w:val="0"/>
        <w:keepNext w:val="0"/>
        <w:pageBreakBefore w:val="0"/>
        <w:rPr>
          <w:rStyle w:val="852"/>
          <w:rFonts w:hint="eastAsia" w:ascii="宋体" w:hAnsi="宋体" w:eastAsia="宋体" w:cs="宋体"/>
          <w:b w:val="0"/>
          <w:bCs w:val="0"/>
          <w:color w:val="auto"/>
          <w:highlight w:val="none"/>
          <w:lang w:val="en-US" w:eastAsia="zh-CN"/>
        </w:rPr>
      </w:pPr>
      <w:r>
        <w:rPr>
          <w:rFonts w:hint="eastAsia" w:ascii="宋体" w:hAnsi="宋体" w:cs="宋体"/>
          <w:b/>
          <w:bCs/>
          <w:color w:val="auto"/>
          <w:sz w:val="24"/>
          <w:highlight w:val="none"/>
          <w:lang w:val="en-US" w:eastAsia="zh-CN"/>
        </w:rPr>
        <w:t xml:space="preserve">注：</w:t>
      </w:r>
      <w:r>
        <w:rPr>
          <w:rFonts w:hint="eastAsia" w:ascii="宋体" w:hAnsi="宋体" w:cs="宋体"/>
          <w:b/>
          <w:bCs/>
          <w:color w:val="auto"/>
          <w:sz w:val="24"/>
          <w:highlight w:val="none"/>
        </w:rPr>
        <w:t xml:space="preserve">投标人提供的投标货物应符合绿色环保要求，所使用的主、辅材料应符合国家环保标准。如果以上所列的标准和规范，有新的版本或新的标准、规范，则按最新标准和规范执行。</w:t>
      </w:r>
      <w:r/>
    </w:p>
    <w:p>
      <w:pPr>
        <w:pStyle w:val="851"/>
        <w:spacing w:before="240" w:after="240" w:line="360" w:lineRule="atLeas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rPr>
        <w:t xml:space="preserve">六、</w:t>
      </w:r>
      <w:r>
        <w:rPr>
          <w:rFonts w:hint="eastAsia" w:ascii="宋体" w:hAnsi="宋体" w:eastAsia="宋体" w:cs="宋体"/>
          <w:b/>
          <w:bCs/>
          <w:color w:val="auto"/>
          <w:highlight w:val="none"/>
          <w:lang w:val="zh-CN" w:eastAsia="zh-CN"/>
        </w:rPr>
        <w:t xml:space="preserve">★</w:t>
      </w:r>
      <w:r>
        <w:rPr>
          <w:rFonts w:hint="eastAsia" w:ascii="宋体" w:hAnsi="宋体" w:eastAsia="宋体" w:cs="宋体"/>
          <w:b/>
          <w:bCs/>
          <w:color w:val="auto"/>
          <w:highlight w:val="none"/>
          <w:lang w:val="en-US" w:eastAsia="zh-CN"/>
        </w:rPr>
        <w:t xml:space="preserve">质量要求</w:t>
      </w:r>
      <w:r/>
    </w:p>
    <w:p>
      <w:pPr>
        <w:pStyle w:val="851"/>
        <w:ind w:firstLine="420"/>
        <w:jc w:val="both"/>
        <w:spacing w:line="360" w:lineRule="atLeast"/>
        <w:rPr>
          <w:rStyle w:val="852"/>
          <w:rFonts w:hint="eastAsia" w:ascii="宋体" w:hAnsi="宋体" w:eastAsia="宋体" w:cs="宋体"/>
          <w:b w:val="0"/>
          <w:bCs w:val="0"/>
          <w:color w:val="auto"/>
          <w:highlight w:val="none"/>
          <w:lang w:val="en-US" w:eastAsia="zh-CN"/>
        </w:rPr>
      </w:pPr>
      <w:r>
        <w:rPr>
          <w:rStyle w:val="852"/>
          <w:rFonts w:hint="eastAsia" w:ascii="宋体" w:hAnsi="宋体" w:eastAsia="宋体" w:cs="宋体"/>
          <w:b w:val="0"/>
          <w:bCs w:val="0"/>
          <w:color w:val="auto"/>
          <w:highlight w:val="none"/>
          <w:lang w:val="en-US" w:eastAsia="zh-CN"/>
        </w:rPr>
        <w:t xml:space="preserve">投标人需在投标文件中针对以下要求做出响应承诺函，未做响应会被判定未实质性响应招标文件。</w:t>
      </w:r>
      <w:r/>
    </w:p>
    <w:p>
      <w:pPr>
        <w:pStyle w:val="851"/>
        <w:ind w:firstLine="420"/>
        <w:jc w:val="both"/>
        <w:spacing w:line="360" w:lineRule="atLeast"/>
        <w:rPr>
          <w:rStyle w:val="852"/>
          <w:rFonts w:hint="eastAsia" w:ascii="宋体" w:hAnsi="宋体" w:eastAsia="宋体" w:cs="宋体"/>
          <w:b w:val="0"/>
          <w:bCs w:val="0"/>
          <w:color w:val="auto"/>
          <w:highlight w:val="none"/>
          <w:lang w:val="en-US" w:eastAsia="zh-CN"/>
        </w:rPr>
      </w:pPr>
      <w:r>
        <w:rPr>
          <w:rStyle w:val="852"/>
          <w:rFonts w:hint="eastAsia" w:ascii="宋体" w:hAnsi="宋体" w:eastAsia="宋体" w:cs="宋体"/>
          <w:b w:val="0"/>
          <w:bCs w:val="0"/>
          <w:color w:val="auto"/>
          <w:highlight w:val="none"/>
          <w:lang w:val="en-US" w:eastAsia="zh-CN"/>
        </w:rPr>
        <w:t xml:space="preserve">1、供货商应保证所供货物是全新的，未使用过的原装合格产品，并完全符合采购需求的质量、规格和性能的要求，供货商应保证其提供的货物在正确安装、正常使用和保养条件下，在其标称的使用寿命期内应具有满意的性能。在质量保证期限内，供货商应对由于设计、工艺或材料的缺陷及伴随服务而造成的任何不足或故障负责。</w:t>
      </w:r>
      <w:r/>
    </w:p>
    <w:p>
      <w:pPr>
        <w:pStyle w:val="851"/>
        <w:ind w:firstLine="420"/>
        <w:jc w:val="both"/>
        <w:spacing w:line="360" w:lineRule="atLeast"/>
        <w:rPr>
          <w:rStyle w:val="852"/>
          <w:rFonts w:hint="eastAsia" w:ascii="宋体" w:hAnsi="宋体" w:eastAsia="宋体" w:cs="宋体"/>
          <w:b w:val="0"/>
          <w:bCs w:val="0"/>
          <w:color w:val="auto"/>
          <w:highlight w:val="none"/>
          <w:lang w:val="en-US" w:eastAsia="zh-CN"/>
        </w:rPr>
      </w:pPr>
      <w:r>
        <w:rPr>
          <w:rStyle w:val="852"/>
          <w:rFonts w:hint="eastAsia" w:ascii="宋体" w:hAnsi="宋体" w:eastAsia="宋体" w:cs="宋体"/>
          <w:b w:val="0"/>
          <w:bCs w:val="0"/>
          <w:color w:val="auto"/>
          <w:highlight w:val="none"/>
          <w:lang w:val="en-US" w:eastAsia="zh-CN"/>
        </w:rPr>
        <w:t xml:space="preserve">2、在货物到达使用单位后，供货方应2个工作日内派工程师到达现场，在采购人技术人员在场的情况下开箱清点货物，组织安装、调试，并承担因此发生的一切费用。</w:t>
      </w:r>
      <w:r/>
    </w:p>
    <w:p>
      <w:pPr>
        <w:pStyle w:val="851"/>
        <w:ind w:firstLine="420"/>
        <w:jc w:val="both"/>
        <w:spacing w:line="360" w:lineRule="atLeast"/>
        <w:rPr>
          <w:rStyle w:val="852"/>
          <w:rFonts w:hint="eastAsia" w:ascii="宋体" w:hAnsi="宋体" w:eastAsia="宋体" w:cs="宋体"/>
          <w:b w:val="0"/>
          <w:bCs w:val="0"/>
          <w:color w:val="auto"/>
          <w:highlight w:val="none"/>
          <w:lang w:val="en-US" w:eastAsia="zh-CN"/>
        </w:rPr>
      </w:pPr>
      <w:r>
        <w:rPr>
          <w:rStyle w:val="852"/>
          <w:rFonts w:hint="eastAsia" w:ascii="宋体" w:hAnsi="宋体" w:eastAsia="宋体" w:cs="宋体"/>
          <w:b w:val="0"/>
          <w:bCs w:val="0"/>
          <w:color w:val="auto"/>
          <w:highlight w:val="none"/>
          <w:lang w:val="en-US" w:eastAsia="zh-CN"/>
        </w:rPr>
        <w:t xml:space="preserve">3、供应商保证产品不存在因材质、设计、制造等问题所引起的缺陷，否则应无偿予以纠正；</w:t>
      </w:r>
      <w:r/>
    </w:p>
    <w:p>
      <w:pPr>
        <w:pStyle w:val="851"/>
        <w:ind w:firstLine="420"/>
        <w:jc w:val="both"/>
        <w:spacing w:line="360" w:lineRule="atLeast"/>
        <w:rPr>
          <w:rStyle w:val="852"/>
          <w:rFonts w:hint="eastAsia" w:ascii="宋体" w:hAnsi="宋体" w:eastAsia="宋体" w:cs="宋体"/>
          <w:b w:val="0"/>
          <w:bCs w:val="0"/>
          <w:color w:val="auto"/>
          <w:highlight w:val="none"/>
          <w:lang w:val="en-US" w:eastAsia="zh-CN"/>
        </w:rPr>
      </w:pPr>
      <w:r>
        <w:rPr>
          <w:rStyle w:val="852"/>
          <w:rFonts w:hint="eastAsia" w:ascii="宋体" w:hAnsi="宋体" w:eastAsia="宋体" w:cs="宋体"/>
          <w:b w:val="0"/>
          <w:bCs w:val="0"/>
          <w:color w:val="auto"/>
          <w:highlight w:val="none"/>
          <w:lang w:val="en-US" w:eastAsia="zh-CN"/>
        </w:rPr>
        <w:t xml:space="preserve">4、供应商提供的设备发生非人为因素严重故障时，应当免费在七日内将补充或者更换的货物运抵发生故障的货物所在地，由此产生的一切相关费用由供应商承担。</w:t>
      </w:r>
      <w:r/>
    </w:p>
    <w:p>
      <w:pPr>
        <w:pStyle w:val="851"/>
        <w:ind w:firstLine="420"/>
        <w:jc w:val="both"/>
        <w:spacing w:line="360" w:lineRule="atLeast"/>
        <w:rPr>
          <w:rStyle w:val="852"/>
          <w:rFonts w:hint="eastAsia" w:ascii="宋体" w:hAnsi="宋体" w:eastAsia="宋体" w:cs="宋体"/>
          <w:b w:val="0"/>
          <w:bCs w:val="0"/>
          <w:color w:val="auto"/>
          <w:highlight w:val="none"/>
          <w:lang w:val="en-US" w:eastAsia="zh-CN"/>
        </w:rPr>
      </w:pPr>
      <w:r>
        <w:rPr>
          <w:rStyle w:val="852"/>
          <w:rFonts w:hint="eastAsia" w:ascii="宋体" w:hAnsi="宋体" w:eastAsia="宋体" w:cs="宋体"/>
          <w:b w:val="0"/>
          <w:bCs w:val="0"/>
          <w:color w:val="auto"/>
          <w:highlight w:val="none"/>
          <w:lang w:val="en-US" w:eastAsia="zh-CN"/>
        </w:rPr>
        <w:t xml:space="preserve">5、中标供应商负责设备安装、调试，确保正常运行。安装过程中发生的意外事故等由中标供应商负责，与采购人无关。</w:t>
      </w:r>
      <w:r/>
    </w:p>
    <w:p>
      <w:pPr>
        <w:pStyle w:val="851"/>
        <w:ind w:firstLine="420"/>
        <w:jc w:val="both"/>
        <w:spacing w:line="360" w:lineRule="atLeast"/>
        <w:rPr>
          <w:rStyle w:val="852"/>
          <w:rFonts w:hint="eastAsia" w:ascii="宋体" w:hAnsi="宋体" w:eastAsia="宋体" w:cs="宋体"/>
          <w:b w:val="0"/>
          <w:bCs w:val="0"/>
          <w:color w:val="auto"/>
          <w:highlight w:val="none"/>
          <w:lang w:val="en-US" w:eastAsia="zh-CN"/>
        </w:rPr>
      </w:pPr>
      <w:r>
        <w:rPr>
          <w:rStyle w:val="852"/>
          <w:rFonts w:hint="eastAsia" w:ascii="宋体" w:hAnsi="宋体" w:eastAsia="宋体" w:cs="宋体"/>
          <w:b w:val="0"/>
          <w:bCs w:val="0"/>
          <w:color w:val="auto"/>
          <w:highlight w:val="none"/>
          <w:lang w:val="en-US" w:eastAsia="zh-CN"/>
        </w:rPr>
        <w:t xml:space="preserve">6、供货安装中如涉及商品包装、快递包装及绿色建材的，其标准应不低于《关于印发&lt;商品包装政府采购需求标准（试行）&gt;、 &lt;快递包装政府采购需求标准（试行）&gt;的通知》、《绿色建筑和绿色建材政府采购需求标准》规定的要求。</w:t>
      </w:r>
      <w:r/>
    </w:p>
    <w:p>
      <w:pPr>
        <w:pStyle w:val="851"/>
        <w:ind w:firstLine="420"/>
        <w:jc w:val="both"/>
        <w:spacing w:line="360" w:lineRule="atLeast"/>
        <w:rPr>
          <w:rStyle w:val="852"/>
          <w:rFonts w:hint="eastAsia" w:ascii="宋体" w:hAnsi="宋体" w:eastAsia="宋体" w:cs="宋体"/>
          <w:b w:val="0"/>
          <w:bCs w:val="0"/>
          <w:color w:val="auto"/>
          <w:highlight w:val="none"/>
          <w:lang w:val="en-US" w:eastAsia="zh-CN"/>
        </w:rPr>
      </w:pPr>
      <w:r>
        <w:rPr>
          <w:rStyle w:val="852"/>
          <w:rFonts w:hint="eastAsia" w:ascii="宋体" w:hAnsi="宋体" w:eastAsia="宋体" w:cs="宋体"/>
          <w:b w:val="0"/>
          <w:bCs w:val="0"/>
          <w:color w:val="auto"/>
          <w:highlight w:val="none"/>
          <w:lang w:val="en-US" w:eastAsia="zh-CN"/>
        </w:rPr>
        <w:t xml:space="preserve">7、投标文件中家具外形、内部造型尺寸、重量允许有±5％偏差。</w:t>
      </w:r>
      <w:r/>
    </w:p>
    <w:p>
      <w:pPr>
        <w:pStyle w:val="851"/>
        <w:ind w:firstLine="420"/>
        <w:jc w:val="both"/>
        <w:spacing w:line="360" w:lineRule="atLeast"/>
        <w:rPr>
          <w:rStyle w:val="852"/>
          <w:rFonts w:hint="eastAsia" w:ascii="宋体" w:hAnsi="宋体" w:eastAsia="宋体" w:cs="宋体"/>
          <w:b w:val="0"/>
          <w:bCs w:val="0"/>
          <w:color w:val="auto"/>
          <w:highlight w:val="none"/>
          <w:lang w:val="en-US" w:eastAsia="zh-CN"/>
        </w:rPr>
      </w:pPr>
      <w:r>
        <w:rPr>
          <w:rStyle w:val="852"/>
          <w:rFonts w:hint="eastAsia" w:ascii="宋体" w:hAnsi="宋体" w:eastAsia="宋体" w:cs="宋体"/>
          <w:b w:val="0"/>
          <w:bCs w:val="0"/>
          <w:color w:val="auto"/>
          <w:highlight w:val="none"/>
          <w:lang w:val="en-US" w:eastAsia="zh-CN"/>
        </w:rPr>
        <w:t xml:space="preserve">8、中标后，家具类标的物材质不得改变。在中标单价不变的前提下，各标的物的款式及颜色由采购单位确定，同时中标标的物的规格尺寸在±5％范围内由采购单位确定，中标单位自行承担相关费用，采购单位不予考虑。</w:t>
      </w:r>
      <w:r/>
    </w:p>
    <w:p>
      <w:pPr>
        <w:pStyle w:val="851"/>
        <w:spacing w:before="240" w:after="240" w:line="360" w:lineRule="atLeas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七</w:t>
      </w:r>
      <w:r>
        <w:rPr>
          <w:rFonts w:hint="eastAsia" w:ascii="宋体" w:hAnsi="宋体" w:eastAsia="宋体" w:cs="宋体"/>
          <w:b/>
          <w:bCs/>
          <w:color w:val="auto"/>
          <w:highlight w:val="none"/>
        </w:rPr>
        <w:t xml:space="preserve">、</w:t>
      </w:r>
      <w:r>
        <w:rPr>
          <w:rFonts w:hint="eastAsia" w:ascii="宋体" w:hAnsi="宋体" w:eastAsia="宋体" w:cs="宋体"/>
          <w:b/>
          <w:bCs/>
          <w:color w:val="auto"/>
          <w:highlight w:val="none"/>
          <w:lang w:val="zh-CN" w:eastAsia="zh-CN"/>
        </w:rPr>
        <w:t xml:space="preserve">★售后服务要求</w:t>
      </w:r>
      <w:r/>
    </w:p>
    <w:p>
      <w:pPr>
        <w:pStyle w:val="851"/>
        <w:ind w:firstLine="420"/>
        <w:jc w:val="both"/>
        <w:spacing w:line="360" w:lineRule="atLeast"/>
        <w:rPr>
          <w:rStyle w:val="852"/>
          <w:rFonts w:hint="eastAsia" w:ascii="宋体" w:hAnsi="宋体" w:eastAsia="宋体" w:cs="宋体"/>
          <w:b w:val="0"/>
          <w:bCs w:val="0"/>
          <w:color w:val="auto"/>
          <w:highlight w:val="none"/>
          <w:lang w:val="en-US" w:eastAsia="zh-CN"/>
        </w:rPr>
      </w:pPr>
      <w:r>
        <w:rPr>
          <w:rStyle w:val="852"/>
          <w:rFonts w:hint="eastAsia" w:ascii="宋体" w:hAnsi="宋体" w:eastAsia="宋体" w:cs="宋体"/>
          <w:b w:val="0"/>
          <w:bCs w:val="0"/>
          <w:color w:val="auto"/>
          <w:highlight w:val="none"/>
          <w:lang w:val="en-US" w:eastAsia="zh-CN"/>
        </w:rPr>
        <w:t xml:space="preserve">投标人需在投标文件中针对以下要求做出响应承诺函，未做响应会被判定未实质性响应招标文件。</w:t>
      </w:r>
      <w:r/>
    </w:p>
    <w:p>
      <w:pPr>
        <w:pStyle w:val="851"/>
        <w:ind w:firstLine="420"/>
        <w:jc w:val="both"/>
        <w:spacing w:line="360" w:lineRule="atLeast"/>
        <w:rPr>
          <w:rStyle w:val="852"/>
          <w:rFonts w:hint="eastAsia" w:ascii="宋体" w:hAnsi="宋体" w:eastAsia="宋体" w:cs="宋体"/>
          <w:b w:val="0"/>
          <w:bCs w:val="0"/>
          <w:color w:val="auto"/>
          <w:highlight w:val="none"/>
          <w:lang w:val="en-US" w:eastAsia="zh-CN"/>
        </w:rPr>
      </w:pPr>
      <w:r>
        <w:rPr>
          <w:rStyle w:val="852"/>
          <w:rFonts w:hint="eastAsia" w:ascii="宋体" w:hAnsi="宋体" w:eastAsia="宋体" w:cs="宋体"/>
          <w:b w:val="0"/>
          <w:bCs w:val="0"/>
          <w:color w:val="auto"/>
          <w:highlight w:val="none"/>
          <w:lang w:val="en-US" w:eastAsia="zh-CN"/>
        </w:rPr>
        <w:t xml:space="preserve">1、质保期：3年免费质保。（自验收合格之日起算）质保期内应免费提供技术服务，技术服务包括系统的维护、维修（包括更换仪器及零配件等）和技术支持，终身支持进行必要的软件升级。在质保期内，供货方应对由于设计、工艺或材料的缺陷所发生的任何不足或故障负责，所需费用由供货方承担。</w:t>
      </w:r>
      <w:r/>
    </w:p>
    <w:p>
      <w:pPr>
        <w:pStyle w:val="851"/>
        <w:ind w:firstLine="420"/>
        <w:jc w:val="both"/>
        <w:spacing w:line="360" w:lineRule="atLeast"/>
        <w:rPr>
          <w:rStyle w:val="852"/>
          <w:rFonts w:hint="eastAsia" w:ascii="宋体" w:hAnsi="宋体" w:eastAsia="宋体" w:cs="宋体"/>
          <w:b w:val="0"/>
          <w:bCs w:val="0"/>
          <w:color w:val="auto"/>
          <w:highlight w:val="none"/>
          <w:lang w:val="en-US" w:eastAsia="zh-CN"/>
        </w:rPr>
      </w:pPr>
      <w:r>
        <w:rPr>
          <w:rStyle w:val="852"/>
          <w:rFonts w:hint="eastAsia" w:ascii="宋体" w:hAnsi="宋体" w:eastAsia="宋体" w:cs="宋体"/>
          <w:b w:val="0"/>
          <w:bCs w:val="0"/>
          <w:color w:val="auto"/>
          <w:highlight w:val="none"/>
          <w:lang w:val="en-US" w:eastAsia="zh-CN"/>
        </w:rPr>
        <w:t xml:space="preserve">2、质保期内所有因更换或修理货物或部件而导致停止运行的时间应从其质保期内扣除；供货方在质保期内安装的任何零配件，必须是其投标设备生产制造厂商原产的或是经其认可的。</w:t>
      </w:r>
      <w:r/>
    </w:p>
    <w:p>
      <w:pPr>
        <w:pStyle w:val="851"/>
        <w:ind w:firstLine="420"/>
        <w:jc w:val="both"/>
        <w:spacing w:line="360" w:lineRule="atLeast"/>
        <w:rPr>
          <w:rStyle w:val="852"/>
          <w:rFonts w:hint="eastAsia" w:ascii="宋体" w:hAnsi="宋体" w:eastAsia="宋体" w:cs="宋体"/>
          <w:b w:val="0"/>
          <w:bCs w:val="0"/>
          <w:color w:val="auto"/>
          <w:highlight w:val="none"/>
          <w:lang w:val="en-US" w:eastAsia="zh-CN"/>
        </w:rPr>
      </w:pPr>
      <w:r>
        <w:rPr>
          <w:rStyle w:val="852"/>
          <w:rFonts w:hint="eastAsia" w:ascii="宋体" w:hAnsi="宋体" w:eastAsia="宋体" w:cs="宋体"/>
          <w:b w:val="0"/>
          <w:bCs w:val="0"/>
          <w:color w:val="auto"/>
          <w:highlight w:val="none"/>
          <w:lang w:val="en-US" w:eastAsia="zh-CN"/>
        </w:rPr>
        <w:t xml:space="preserve">3、在质保期内，供货方有责任解决所销售设备和软件系统的任何问题。</w:t>
      </w:r>
      <w:r/>
    </w:p>
    <w:p>
      <w:pPr>
        <w:pStyle w:val="851"/>
        <w:ind w:firstLine="420"/>
        <w:jc w:val="both"/>
        <w:spacing w:line="360" w:lineRule="atLeast"/>
        <w:rPr>
          <w:rStyle w:val="852"/>
          <w:rFonts w:hint="eastAsia" w:ascii="宋体" w:hAnsi="宋体" w:eastAsia="宋体" w:cs="宋体"/>
          <w:b w:val="0"/>
          <w:bCs w:val="0"/>
          <w:color w:val="auto"/>
          <w:highlight w:val="none"/>
          <w:lang w:val="en-US" w:eastAsia="zh-CN"/>
        </w:rPr>
      </w:pPr>
      <w:r>
        <w:rPr>
          <w:rStyle w:val="852"/>
          <w:rFonts w:hint="eastAsia" w:ascii="宋体" w:hAnsi="宋体" w:eastAsia="宋体" w:cs="宋体"/>
          <w:b w:val="0"/>
          <w:bCs w:val="0"/>
          <w:color w:val="auto"/>
          <w:highlight w:val="none"/>
          <w:lang w:val="en-US" w:eastAsia="zh-CN"/>
        </w:rPr>
        <w:t xml:space="preserve">4、质保期内提供免费上门维护、升级服务，提供报修电话，如设备出现故障，供货方在接到电话后，4小时内响应，24小时以内到现场处理，48小时内修复，现场不能修复的，必须无偿提供采购物品的备用件或整机等措施，以保证采购方的正常使用。出现故障后，供货方如未按上述要求进行响应，采购方可以采取必要的补救措施，由此产生的费用将由供货方承担。</w:t>
      </w:r>
      <w:r/>
    </w:p>
    <w:p>
      <w:pPr>
        <w:pStyle w:val="851"/>
        <w:ind w:firstLine="420"/>
        <w:jc w:val="both"/>
        <w:spacing w:line="360" w:lineRule="atLeast"/>
        <w:rPr>
          <w:rStyle w:val="852"/>
          <w:rFonts w:hint="eastAsia" w:ascii="宋体" w:hAnsi="宋体" w:eastAsia="宋体" w:cs="宋体"/>
          <w:b w:val="0"/>
          <w:bCs w:val="0"/>
          <w:color w:val="auto"/>
          <w:highlight w:val="none"/>
          <w:lang w:val="en-US" w:eastAsia="zh-CN"/>
        </w:rPr>
      </w:pPr>
      <w:r>
        <w:rPr>
          <w:rStyle w:val="852"/>
          <w:rFonts w:hint="eastAsia" w:ascii="宋体" w:hAnsi="宋体" w:eastAsia="宋体" w:cs="宋体"/>
          <w:b w:val="0"/>
          <w:bCs w:val="0"/>
          <w:color w:val="auto"/>
          <w:highlight w:val="none"/>
          <w:lang w:val="en-US" w:eastAsia="zh-CN"/>
        </w:rPr>
        <w:t xml:space="preserve">5、质保期满后，每年定期上门免费维护至少1次。</w:t>
      </w:r>
      <w:r/>
    </w:p>
    <w:p>
      <w:pPr>
        <w:pStyle w:val="851"/>
        <w:spacing w:before="240" w:after="240" w:line="360" w:lineRule="atLeast"/>
        <w:rPr>
          <w:rFonts w:hint="eastAsia" w:ascii="宋体" w:hAnsi="宋体" w:eastAsia="宋体" w:cs="宋体"/>
          <w:b/>
          <w:bCs/>
          <w:color w:val="auto"/>
          <w:highlight w:val="none"/>
          <w:lang w:val="zh-CN" w:eastAsia="zh-CN"/>
        </w:rPr>
      </w:pPr>
      <w:r>
        <w:rPr>
          <w:rFonts w:hint="eastAsia" w:ascii="宋体" w:hAnsi="宋体" w:eastAsia="宋体" w:cs="宋体"/>
          <w:b/>
          <w:bCs/>
          <w:color w:val="auto"/>
          <w:highlight w:val="none"/>
          <w:lang w:val="en-US" w:eastAsia="zh-CN"/>
        </w:rPr>
        <w:t xml:space="preserve">八</w:t>
      </w:r>
      <w:r>
        <w:rPr>
          <w:rFonts w:hint="eastAsia" w:ascii="宋体" w:hAnsi="宋体" w:eastAsia="宋体" w:cs="宋体"/>
          <w:b/>
          <w:bCs/>
          <w:color w:val="auto"/>
          <w:highlight w:val="none"/>
        </w:rPr>
        <w:t xml:space="preserve">、</w:t>
      </w:r>
      <w:r>
        <w:rPr>
          <w:rFonts w:hint="eastAsia" w:ascii="宋体" w:hAnsi="宋体" w:eastAsia="宋体" w:cs="宋体"/>
          <w:b/>
          <w:bCs/>
          <w:color w:val="auto"/>
          <w:highlight w:val="none"/>
          <w:lang w:val="zh-CN" w:eastAsia="zh-CN"/>
        </w:rPr>
        <w:t xml:space="preserve">★验收要求</w:t>
      </w:r>
      <w:r/>
    </w:p>
    <w:p>
      <w:pPr>
        <w:pStyle w:val="851"/>
        <w:ind w:firstLine="420"/>
        <w:jc w:val="both"/>
        <w:spacing w:line="360" w:lineRule="atLeast"/>
        <w:rPr>
          <w:rStyle w:val="852"/>
          <w:rFonts w:hint="eastAsia" w:ascii="宋体" w:hAnsi="宋体" w:eastAsia="宋体" w:cs="宋体"/>
          <w:b w:val="0"/>
          <w:bCs w:val="0"/>
          <w:color w:val="auto"/>
          <w:highlight w:val="none"/>
          <w:lang w:val="en-US" w:eastAsia="zh-CN"/>
        </w:rPr>
      </w:pPr>
      <w:r>
        <w:rPr>
          <w:rStyle w:val="852"/>
          <w:rFonts w:hint="eastAsia" w:ascii="宋体" w:hAnsi="宋体" w:eastAsia="宋体" w:cs="宋体"/>
          <w:b w:val="0"/>
          <w:bCs w:val="0"/>
          <w:color w:val="auto"/>
          <w:highlight w:val="none"/>
          <w:lang w:val="en-US" w:eastAsia="zh-CN"/>
        </w:rPr>
        <w:t xml:space="preserve">投标人需在投标文件中针对以下要求做出响应承诺函，未做响应会被判定未实质性响应招标文件。</w:t>
      </w:r>
      <w:r/>
    </w:p>
    <w:p>
      <w:pPr>
        <w:pStyle w:val="851"/>
        <w:ind w:firstLine="420"/>
        <w:jc w:val="both"/>
        <w:spacing w:line="360" w:lineRule="atLeast"/>
        <w:rPr>
          <w:rStyle w:val="852"/>
          <w:rFonts w:hint="eastAsia" w:ascii="宋体" w:hAnsi="宋体" w:eastAsia="宋体" w:cs="宋体"/>
          <w:b w:val="0"/>
          <w:bCs w:val="0"/>
          <w:color w:val="auto"/>
          <w:highlight w:val="none"/>
          <w:lang w:val="en-US" w:eastAsia="zh-CN"/>
        </w:rPr>
      </w:pPr>
      <w:r>
        <w:rPr>
          <w:rStyle w:val="852"/>
          <w:rFonts w:hint="eastAsia" w:ascii="宋体" w:hAnsi="宋体" w:eastAsia="宋体" w:cs="宋体"/>
          <w:b w:val="0"/>
          <w:bCs w:val="0"/>
          <w:color w:val="auto"/>
          <w:highlight w:val="none"/>
          <w:lang w:val="en-US" w:eastAsia="zh-CN"/>
        </w:rPr>
        <w:t xml:space="preserve">1、供应商负责设备供货、安装、调试，并确保所有产品能正常运行、使用。</w:t>
      </w:r>
      <w:r/>
    </w:p>
    <w:p>
      <w:pPr>
        <w:pStyle w:val="851"/>
        <w:ind w:firstLine="420"/>
        <w:jc w:val="both"/>
        <w:spacing w:line="360" w:lineRule="atLeast"/>
        <w:rPr>
          <w:rStyle w:val="852"/>
          <w:rFonts w:hint="eastAsia" w:ascii="宋体" w:hAnsi="宋体" w:eastAsia="宋体" w:cs="宋体"/>
          <w:b w:val="0"/>
          <w:bCs w:val="0"/>
          <w:color w:val="auto"/>
          <w:highlight w:val="none"/>
          <w:lang w:val="en-US" w:eastAsia="zh-CN"/>
        </w:rPr>
      </w:pPr>
      <w:r>
        <w:rPr>
          <w:rStyle w:val="852"/>
          <w:rFonts w:hint="eastAsia" w:ascii="宋体" w:hAnsi="宋体" w:eastAsia="宋体" w:cs="宋体"/>
          <w:b w:val="0"/>
          <w:bCs w:val="0"/>
          <w:color w:val="auto"/>
          <w:highlight w:val="none"/>
          <w:lang w:val="en-US" w:eastAsia="zh-CN"/>
        </w:rPr>
        <w:t xml:space="preserve">2、设备安装调试后一个月内进行验收。设备安装后供应商应向采购人提供详细的验收材料。</w:t>
      </w:r>
      <w:r/>
    </w:p>
    <w:p>
      <w:pPr>
        <w:pStyle w:val="851"/>
        <w:ind w:firstLine="420"/>
        <w:jc w:val="both"/>
        <w:spacing w:line="360" w:lineRule="atLeast"/>
        <w:rPr>
          <w:rStyle w:val="852"/>
          <w:rFonts w:hint="eastAsia" w:ascii="宋体" w:hAnsi="宋体" w:eastAsia="宋体" w:cs="宋体"/>
          <w:b w:val="0"/>
          <w:bCs w:val="0"/>
          <w:color w:val="auto"/>
          <w:highlight w:val="none"/>
          <w:lang w:val="en-US" w:eastAsia="zh-CN"/>
        </w:rPr>
      </w:pPr>
      <w:r>
        <w:rPr>
          <w:rStyle w:val="852"/>
          <w:rFonts w:hint="eastAsia" w:ascii="宋体" w:hAnsi="宋体" w:eastAsia="宋体" w:cs="宋体"/>
          <w:b w:val="0"/>
          <w:bCs w:val="0"/>
          <w:color w:val="auto"/>
          <w:highlight w:val="none"/>
          <w:lang w:val="en-US" w:eastAsia="zh-CN"/>
        </w:rPr>
        <w:t xml:space="preserve">3、如验收中出现不符合采购人招标文件、供应商投标文件及相关国家行业标准规范时，采购人给予供应商10天（包含非工作日）时间进行整改并再次验收，若验收再次不合格，采购人有权利单方面终止合同，并保留索赔权利。</w:t>
      </w:r>
      <w:r/>
    </w:p>
    <w:p>
      <w:pPr>
        <w:pStyle w:val="851"/>
        <w:ind w:firstLine="420"/>
        <w:jc w:val="both"/>
        <w:spacing w:line="360" w:lineRule="atLeast"/>
        <w:rPr>
          <w:rStyle w:val="852"/>
          <w:rFonts w:hint="eastAsia" w:ascii="宋体" w:hAnsi="宋体" w:eastAsia="宋体" w:cs="宋体"/>
          <w:b w:val="0"/>
          <w:bCs w:val="0"/>
          <w:color w:val="auto"/>
          <w:highlight w:val="none"/>
          <w:lang w:val="en-US" w:eastAsia="zh-CN"/>
        </w:rPr>
      </w:pPr>
      <w:r>
        <w:rPr>
          <w:rStyle w:val="852"/>
          <w:rFonts w:hint="eastAsia" w:ascii="宋体" w:hAnsi="宋体" w:eastAsia="宋体" w:cs="宋体"/>
          <w:b w:val="0"/>
          <w:bCs w:val="0"/>
          <w:color w:val="auto"/>
          <w:highlight w:val="none"/>
          <w:lang w:val="en-US" w:eastAsia="zh-CN"/>
        </w:rPr>
        <w:t xml:space="preserve">4、验收过程中采购人如发现货物短缺、质次、损坏、与招标文件及质量要求和标准、产地和规格等不符合问题，由供应商立即无条件调换或补齐，同时由供应商承担因此而产生的工期延误等所造成的一切损失。</w:t>
      </w:r>
      <w:r/>
    </w:p>
    <w:p>
      <w:pPr>
        <w:pStyle w:val="851"/>
        <w:spacing w:before="240" w:after="240" w:line="360" w:lineRule="atLeast"/>
        <w:rPr>
          <w:rFonts w:hint="eastAsia" w:ascii="宋体" w:hAnsi="宋体" w:eastAsia="宋体" w:cs="宋体"/>
          <w:b/>
          <w:bCs/>
          <w:color w:val="auto"/>
          <w:highlight w:val="none"/>
          <w:lang w:val="zh-CN" w:eastAsia="zh-CN"/>
        </w:rPr>
      </w:pPr>
      <w:r>
        <w:rPr>
          <w:rFonts w:hint="eastAsia" w:ascii="宋体" w:hAnsi="宋体" w:eastAsia="宋体" w:cs="宋体"/>
          <w:b/>
          <w:bCs/>
          <w:color w:val="auto"/>
          <w:highlight w:val="none"/>
          <w:lang w:val="en-US" w:eastAsia="zh-CN"/>
        </w:rPr>
        <w:t xml:space="preserve">九、</w:t>
      </w:r>
      <w:r>
        <w:rPr>
          <w:rFonts w:hint="eastAsia" w:ascii="宋体" w:hAnsi="宋体" w:eastAsia="宋体" w:cs="宋体"/>
          <w:b/>
          <w:bCs/>
          <w:color w:val="auto"/>
          <w:highlight w:val="none"/>
          <w:lang w:val="zh-CN" w:eastAsia="zh-CN"/>
        </w:rPr>
        <w:t xml:space="preserve">★服务期限及地点</w:t>
      </w:r>
      <w:r/>
    </w:p>
    <w:p>
      <w:pPr>
        <w:pStyle w:val="851"/>
        <w:ind w:firstLine="420"/>
        <w:jc w:val="both"/>
        <w:spacing w:line="360" w:lineRule="atLeast"/>
        <w:rPr>
          <w:rStyle w:val="852"/>
          <w:rFonts w:hint="eastAsia" w:ascii="宋体" w:hAnsi="宋体" w:eastAsia="宋体" w:cs="宋体"/>
          <w:b w:val="0"/>
          <w:bCs w:val="0"/>
          <w:color w:val="auto"/>
          <w:highlight w:val="none"/>
          <w:lang w:val="en-US" w:eastAsia="zh-CN"/>
        </w:rPr>
      </w:pPr>
      <w:r>
        <w:rPr>
          <w:rStyle w:val="852"/>
          <w:rFonts w:hint="eastAsia" w:ascii="宋体" w:hAnsi="宋体" w:eastAsia="宋体" w:cs="宋体"/>
          <w:b w:val="0"/>
          <w:bCs w:val="0"/>
          <w:color w:val="auto"/>
          <w:highlight w:val="none"/>
          <w:lang w:val="en-US" w:eastAsia="zh-CN"/>
        </w:rPr>
        <w:t xml:space="preserve">投标人需在投标文件中针对以下要求做出响应承诺函，未做响应会被判定未实质性响应招标文件。</w:t>
      </w:r>
      <w:r/>
    </w:p>
    <w:p>
      <w:pPr>
        <w:pStyle w:val="851"/>
        <w:ind w:firstLine="420"/>
        <w:jc w:val="both"/>
        <w:spacing w:line="360" w:lineRule="atLeast"/>
        <w:rPr>
          <w:rStyle w:val="852"/>
          <w:rFonts w:hint="eastAsia" w:ascii="宋体" w:hAnsi="宋体" w:eastAsia="宋体" w:cs="宋体"/>
          <w:b w:val="0"/>
          <w:bCs w:val="0"/>
          <w:color w:val="auto"/>
          <w:highlight w:val="none"/>
          <w:lang w:val="en-US" w:eastAsia="zh-CN"/>
        </w:rPr>
      </w:pPr>
      <w:r>
        <w:rPr>
          <w:rStyle w:val="852"/>
          <w:rFonts w:hint="eastAsia" w:ascii="宋体" w:hAnsi="宋体" w:eastAsia="宋体" w:cs="宋体"/>
          <w:b w:val="0"/>
          <w:bCs w:val="0"/>
          <w:color w:val="auto"/>
          <w:highlight w:val="none"/>
          <w:lang w:val="en-US" w:eastAsia="zh-CN"/>
        </w:rPr>
        <w:t xml:space="preserve">（1）交付时间：合同签订后45个日历天完工。</w:t>
      </w:r>
      <w:r/>
    </w:p>
    <w:p>
      <w:pPr>
        <w:pStyle w:val="851"/>
        <w:ind w:firstLine="420"/>
        <w:jc w:val="both"/>
        <w:spacing w:line="360" w:lineRule="atLeast"/>
        <w:rPr>
          <w:rStyle w:val="852"/>
          <w:rFonts w:hint="eastAsia" w:ascii="宋体" w:hAnsi="宋体" w:eastAsia="宋体" w:cs="宋体"/>
          <w:b w:val="0"/>
          <w:bCs w:val="0"/>
          <w:color w:val="auto"/>
          <w:highlight w:val="none"/>
          <w:lang w:val="en-US" w:eastAsia="zh-CN"/>
        </w:rPr>
      </w:pPr>
      <w:r>
        <w:rPr>
          <w:rStyle w:val="852"/>
          <w:rFonts w:hint="eastAsia" w:ascii="宋体" w:hAnsi="宋体" w:eastAsia="宋体" w:cs="宋体"/>
          <w:b w:val="0"/>
          <w:bCs w:val="0"/>
          <w:color w:val="auto"/>
          <w:highlight w:val="none"/>
          <w:lang w:val="en-US" w:eastAsia="zh-CN"/>
        </w:rPr>
        <w:t xml:space="preserve">（2）送货地点：中标供应商负责将货物运到采购人指定地点，由中标供应商负责办理运输和装卸等，费用由中标供应商负责，由采购人组织验收，检验不合格或不符合质量要求，中标供应商除无条件退货、返工外，还应承担采购人的一切损失。</w:t>
      </w:r>
      <w:r/>
    </w:p>
    <w:p>
      <w:pPr>
        <w:pStyle w:val="851"/>
        <w:ind w:firstLine="420"/>
        <w:jc w:val="both"/>
        <w:spacing w:line="360" w:lineRule="atLeast"/>
        <w:rPr>
          <w:rStyle w:val="852"/>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r>
      <w:r/>
    </w:p>
    <w:p>
      <w:pPr>
        <w:jc w:val="center"/>
        <w:rPr>
          <w:rFonts w:hint="eastAsia" w:ascii="宋体" w:hAnsi="宋体" w:eastAsia="宋体" w:cs="宋体"/>
          <w:color w:val="auto"/>
          <w:sz w:val="36"/>
          <w:szCs w:val="36"/>
          <w:highlight w:val="none"/>
        </w:rPr>
      </w:pPr>
      <w:r>
        <w:rPr>
          <w:rFonts w:hint="eastAsia" w:cs="宋体"/>
          <w:color w:val="auto"/>
          <w:sz w:val="22"/>
          <w:highlight w:val="none"/>
        </w:rPr>
        <w:br w:type="page" w:clear="all"/>
      </w:r>
      <w:r>
        <w:rPr>
          <w:rFonts w:hint="eastAsia" w:ascii="宋体" w:hAnsi="宋体" w:eastAsia="宋体" w:cs="宋体"/>
          <w:color w:val="auto"/>
          <w:sz w:val="36"/>
          <w:szCs w:val="36"/>
          <w:highlight w:val="none"/>
        </w:rPr>
        <w:t xml:space="preserve">第五部分    </w:t>
      </w:r>
      <w:bookmarkStart w:id="229" w:name="_Toc100386076"/>
      <w:r/>
      <w:bookmarkStart w:id="230" w:name="_Toc98669372"/>
      <w:r/>
      <w:bookmarkStart w:id="231" w:name="_Toc76955302"/>
      <w:r/>
      <w:bookmarkStart w:id="232" w:name="_Toc20821546"/>
      <w:r/>
      <w:bookmarkStart w:id="233" w:name="_Toc98669730"/>
      <w:r>
        <w:rPr>
          <w:rFonts w:hint="eastAsia" w:ascii="宋体" w:hAnsi="宋体" w:eastAsia="宋体" w:cs="宋体"/>
          <w:color w:val="auto"/>
          <w:sz w:val="36"/>
          <w:szCs w:val="36"/>
          <w:highlight w:val="none"/>
        </w:rPr>
        <w:t xml:space="preserve">评标办法和标准</w:t>
      </w:r>
      <w:r/>
    </w:p>
    <w:p>
      <w:pPr>
        <w:pStyle w:val="844"/>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1.采购代理机构职责</w:t>
      </w:r>
      <w:r/>
    </w:p>
    <w:p>
      <w:pPr>
        <w:pStyle w:val="845"/>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采购代理机构负责组织评标工作，并履行下列职责：</w:t>
      </w:r>
      <w:r/>
    </w:p>
    <w:p>
      <w:pPr>
        <w:pStyle w:val="845"/>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845"/>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（2）宣布评标纪律；</w:t>
      </w:r>
      <w:r/>
    </w:p>
    <w:p>
      <w:pPr>
        <w:pStyle w:val="845"/>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（3）公布投标人名单，告知评审专家应当回避的情形；</w:t>
      </w:r>
      <w:r/>
    </w:p>
    <w:p>
      <w:pPr>
        <w:pStyle w:val="845"/>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（4）组织评标委员会推选评标组长，采购人代表不得担任组长；</w:t>
      </w:r>
      <w:r/>
    </w:p>
    <w:p>
      <w:pPr>
        <w:pStyle w:val="845"/>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（5）在评标期间采取必要的通讯管理措施，保证评标活动不受外界干扰；</w:t>
      </w:r>
      <w:r/>
    </w:p>
    <w:p>
      <w:pPr>
        <w:pStyle w:val="845"/>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（6）根据评标委员会的要求介绍政府采购相关政策法规、招标文件；</w:t>
      </w:r>
      <w:r/>
    </w:p>
    <w:p>
      <w:pPr>
        <w:pStyle w:val="845"/>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845"/>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845"/>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（9）评审工作完成后，按照规定向评审专家支付劳务报酬和异地评审差旅费，不得向评审专家以外的其他人员支付评审劳务报酬；</w:t>
      </w:r>
      <w:r/>
    </w:p>
    <w:p>
      <w:pPr>
        <w:pStyle w:val="845"/>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（10）处理与评标有关的其他事项。</w:t>
      </w:r>
      <w:r/>
    </w:p>
    <w:p>
      <w:pPr>
        <w:pStyle w:val="844"/>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2.评标委员会职责</w:t>
      </w:r>
      <w:r/>
    </w:p>
    <w:p>
      <w:pPr>
        <w:pStyle w:val="844"/>
        <w:ind w:firstLine="480"/>
        <w:keepLines w:val="0"/>
        <w:keepNext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2.1 评标委员会负责具体评标事务，并独立履行下列职责：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（1）审查、评价投标文件是否符合招标文件的商务、技术等实质性要求；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（2）要求投标人对投标文件有关事项作出澄清或者说明；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（3）对投标文件进行比较和评价；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（4）确定中标候选人名单，以及根据采购人委托直接确定中标人；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（5）向采购人、采购代理机构或者有关部门报告评标中发现的违法行为。</w:t>
      </w:r>
      <w:r/>
    </w:p>
    <w:p>
      <w:pPr>
        <w:pStyle w:val="844"/>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3.评标注意事项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3.2</w:t>
      </w:r>
      <w:r>
        <w:rPr>
          <w:rFonts w:hint="eastAsia" w:ascii="宋体" w:hAnsi="宋体" w:eastAsia="宋体" w:cs="宋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3.5评标委员会及其成员不得有下列行为：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（1）确定参与评标至评标结束前私自接触投标人；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（3）违反评标纪律发表倾向性意见或者征询采购人的倾向性意见；</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（4）对需要专业判断的主观评审因素协商评分；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（5）在评标过程中擅离职守，影响评标程序正常进行；</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（6）记录、复制或者带走任何评标资料；</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（7）其他不遵守评标纪律的行为。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44"/>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4.评标过程的保密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4.3</w:t>
      </w:r>
      <w:r>
        <w:rPr>
          <w:rFonts w:hint="eastAsia" w:ascii="宋体" w:hAnsi="宋体" w:eastAsia="宋体" w:cs="宋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44"/>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5.报价前后不一致的处理原则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5.1投标文件报价出现前后不一致的，按照下列规定修正：</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（1）投标文件中开标一览表内容与投标文件中相应内容不一致的，以开标一览表为准；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（2）大写金额和小写金额不一致的，以大写金额为准；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（3）单价金额小数点或者百分比有明显错位的，以开标一览表的总价为准，并修改单价；</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（4）总价金额与按单价汇总金额不一致的，以单价金额计算结果为准。</w:t>
      </w:r>
      <w:r/>
    </w:p>
    <w:p>
      <w:pPr>
        <w:ind w:left="1"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同时出现两种以上不一致的，按上述规定排序在先的原则进行修正</w:t>
      </w:r>
      <w:r>
        <w:rPr>
          <w:rFonts w:hint="eastAsia" w:ascii="宋体" w:hAnsi="宋体" w:eastAsia="宋体" w:cs="宋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6.投标人资格审查</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采用资格后审方式</w:t>
      </w:r>
      <w:r/>
    </w:p>
    <w:p>
      <w:pPr>
        <w:ind w:firstLine="480"/>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开标结束后，采购人或代理机构将依法对投标人的资格进行审查。资格审查的内容如下：</w:t>
      </w:r>
      <w:r/>
    </w:p>
    <w:tbl>
      <w:tblPr>
        <w:tblStyle w:val="83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3"/>
        <w:gridCol w:w="3559"/>
        <w:gridCol w:w="5471"/>
      </w:tblGrid>
      <w:tr>
        <w:trPr/>
        <w:tc>
          <w:tcPr>
            <w:tcW w:w="554" w:type="dxa"/>
            <w:vAlign w:val="center"/>
            <w:textDirection w:val="lrTb"/>
            <w:noWrap w:val="false"/>
          </w:tcPr>
          <w:p>
            <w:pPr>
              <w:jc w:val="center"/>
              <w:spacing w:line="360" w:lineRule="auto"/>
              <w:rPr>
                <w:rFonts w:hint="eastAsia" w:ascii="宋体" w:hAnsi="宋体" w:eastAsia="宋体" w:cs="宋体"/>
                <w:b/>
                <w:color w:val="auto"/>
                <w:sz w:val="24"/>
                <w:highlight w:val="none"/>
                <w:lang w:eastAsia="en-US"/>
              </w:rPr>
            </w:pPr>
            <w:r>
              <w:rPr>
                <w:rFonts w:hint="eastAsia" w:ascii="宋体" w:hAnsi="宋体" w:eastAsia="宋体" w:cs="宋体"/>
                <w:b/>
                <w:color w:val="auto"/>
                <w:sz w:val="24"/>
                <w:highlight w:val="none"/>
                <w:lang w:eastAsia="en-US"/>
              </w:rPr>
              <w:t xml:space="preserve">序号</w:t>
            </w:r>
            <w:r/>
          </w:p>
        </w:tc>
        <w:tc>
          <w:tcPr>
            <w:tcW w:w="3586" w:type="dxa"/>
            <w:vAlign w:val="center"/>
            <w:textDirection w:val="lrTb"/>
            <w:noWrap w:val="false"/>
          </w:tcPr>
          <w:p>
            <w:pPr>
              <w:jc w:val="center"/>
              <w:spacing w:line="360" w:lineRule="auto"/>
              <w:rPr>
                <w:rFonts w:hint="eastAsia" w:ascii="宋体" w:hAnsi="宋体" w:eastAsia="宋体" w:cs="宋体"/>
                <w:b/>
                <w:color w:val="auto"/>
                <w:sz w:val="24"/>
                <w:highlight w:val="none"/>
                <w:lang w:eastAsia="en-US"/>
              </w:rPr>
            </w:pPr>
            <w:r>
              <w:rPr>
                <w:rFonts w:hint="eastAsia" w:ascii="宋体" w:hAnsi="宋体" w:eastAsia="宋体" w:cs="宋体"/>
                <w:b/>
                <w:color w:val="auto"/>
                <w:sz w:val="24"/>
                <w:highlight w:val="none"/>
                <w:lang w:eastAsia="en-US"/>
              </w:rPr>
              <w:t xml:space="preserve">审查要素</w:t>
            </w:r>
            <w:r/>
          </w:p>
        </w:tc>
        <w:tc>
          <w:tcPr>
            <w:tcW w:w="5489" w:type="dxa"/>
            <w:vAlign w:val="center"/>
            <w:textDirection w:val="lrTb"/>
            <w:noWrap w:val="false"/>
          </w:tcPr>
          <w:p>
            <w:pPr>
              <w:jc w:val="center"/>
              <w:spacing w:line="360" w:lineRule="auto"/>
              <w:rPr>
                <w:rFonts w:hint="eastAsia" w:ascii="宋体" w:hAnsi="宋体" w:eastAsia="宋体" w:cs="宋体"/>
                <w:b/>
                <w:color w:val="auto"/>
                <w:sz w:val="24"/>
                <w:highlight w:val="none"/>
                <w:lang w:eastAsia="en-US"/>
              </w:rPr>
            </w:pPr>
            <w:r>
              <w:rPr>
                <w:rFonts w:hint="eastAsia" w:ascii="宋体" w:hAnsi="宋体" w:eastAsia="宋体" w:cs="宋体"/>
                <w:b/>
                <w:color w:val="auto"/>
                <w:sz w:val="24"/>
                <w:highlight w:val="none"/>
                <w:lang w:eastAsia="en-US"/>
              </w:rPr>
              <w:t xml:space="preserve">审查内容</w:t>
            </w:r>
            <w:r/>
          </w:p>
        </w:tc>
      </w:tr>
      <w:tr>
        <w:trPr/>
        <w:tc>
          <w:tcPr>
            <w:tcW w:w="554" w:type="dxa"/>
            <w:vAlign w:val="center"/>
            <w:textDirection w:val="lrTb"/>
            <w:noWrap w:val="false"/>
          </w:tcPr>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1</w:t>
            </w:r>
            <w:r/>
          </w:p>
        </w:tc>
        <w:tc>
          <w:tcPr>
            <w:tcW w:w="3586"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具有独立承担民事责任的能力</w:t>
            </w:r>
            <w:r/>
          </w:p>
        </w:tc>
        <w:tc>
          <w:tcPr>
            <w:tcW w:w="5489"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法人或者其他组织的营业执照等证明文件；自然人的身份证。</w:t>
            </w:r>
            <w:r/>
          </w:p>
        </w:tc>
      </w:tr>
      <w:tr>
        <w:trPr/>
        <w:tc>
          <w:tcPr>
            <w:tcW w:w="554" w:type="dxa"/>
            <w:vAlign w:val="center"/>
            <w:textDirection w:val="lrTb"/>
            <w:noWrap w:val="false"/>
          </w:tcPr>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2</w:t>
            </w:r>
            <w:r/>
          </w:p>
        </w:tc>
        <w:tc>
          <w:tcPr>
            <w:tcW w:w="3586"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具有良好的商业信誉和健全的财务会计制度</w:t>
            </w:r>
            <w:r/>
          </w:p>
        </w:tc>
        <w:tc>
          <w:tcPr>
            <w:tcW w:w="5489" w:type="dxa"/>
            <w:vAlign w:val="center"/>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lang w:val="en-US" w:eastAsia="zh-CN"/>
              </w:rPr>
              <w:t xml:space="preserve">2024</w:t>
            </w:r>
            <w:r>
              <w:rPr>
                <w:rFonts w:hint="eastAsia" w:ascii="宋体" w:hAnsi="宋体" w:eastAsia="宋体" w:cs="宋体"/>
                <w:color w:val="auto"/>
                <w:sz w:val="24"/>
                <w:highlight w:val="none"/>
              </w:rPr>
              <w:t xml:space="preserve">年度</w:t>
            </w:r>
            <w:r>
              <w:rPr>
                <w:rFonts w:hint="eastAsia" w:ascii="宋体" w:hAnsi="宋体" w:cs="宋体"/>
                <w:color w:val="auto"/>
                <w:sz w:val="24"/>
                <w:highlight w:val="none"/>
                <w:lang w:eastAsia="zh-CN"/>
              </w:rPr>
              <w:t xml:space="preserve">或</w:t>
            </w:r>
            <w:r>
              <w:rPr>
                <w:rFonts w:hint="eastAsia" w:ascii="宋体" w:hAnsi="宋体" w:cs="宋体"/>
                <w:color w:val="auto"/>
                <w:sz w:val="24"/>
                <w:highlight w:val="none"/>
                <w:lang w:val="en-US" w:eastAsia="zh-CN"/>
              </w:rPr>
              <w:t xml:space="preserve">2025年度</w:t>
            </w:r>
            <w:r>
              <w:rPr>
                <w:rFonts w:hint="eastAsia" w:ascii="宋体" w:hAnsi="宋体" w:eastAsia="宋体" w:cs="宋体"/>
                <w:color w:val="auto"/>
                <w:sz w:val="24"/>
                <w:highlight w:val="none"/>
              </w:rPr>
              <w:t xml:space="preserve">财务报告（成立不满一年的提供至少一个月），或银行出具的资信证明，或财政部门认可的政府采购专业担保机构出具的投标担保函等或资格承诺函。</w:t>
            </w:r>
            <w:r/>
          </w:p>
        </w:tc>
      </w:tr>
      <w:tr>
        <w:trPr/>
        <w:tc>
          <w:tcPr>
            <w:tcW w:w="554" w:type="dxa"/>
            <w:vAlign w:val="center"/>
            <w:textDirection w:val="lrTb"/>
            <w:noWrap w:val="false"/>
          </w:tcPr>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3</w:t>
            </w:r>
            <w:r/>
          </w:p>
        </w:tc>
        <w:tc>
          <w:tcPr>
            <w:tcW w:w="3586"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具有履行合同所必需的设备和专业技术能力</w:t>
            </w:r>
            <w:r/>
          </w:p>
        </w:tc>
        <w:tc>
          <w:tcPr>
            <w:tcW w:w="5489"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提供具有履行合同所必需的设备和专业技术能力的书面声明或者提供资格承诺函。</w:t>
            </w:r>
            <w:r/>
          </w:p>
        </w:tc>
      </w:tr>
      <w:tr>
        <w:trPr/>
        <w:tc>
          <w:tcPr>
            <w:tcW w:w="554" w:type="dxa"/>
            <w:vAlign w:val="center"/>
            <w:textDirection w:val="lrTb"/>
            <w:noWrap w:val="false"/>
          </w:tcPr>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4</w:t>
            </w:r>
            <w:r/>
          </w:p>
        </w:tc>
        <w:tc>
          <w:tcPr>
            <w:tcW w:w="3586"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有依法缴纳税收和社会保障资金的良好记录</w:t>
            </w:r>
            <w:r/>
          </w:p>
        </w:tc>
        <w:tc>
          <w:tcPr>
            <w:tcW w:w="5489"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参加本次政府采购活动前半年内（至少一个月）依法缴纳税收和社会保险资金的相关材料或资格承诺函。</w:t>
            </w:r>
            <w:r/>
          </w:p>
        </w:tc>
      </w:tr>
      <w:tr>
        <w:trPr/>
        <w:tc>
          <w:tcPr>
            <w:tcW w:w="554" w:type="dxa"/>
            <w:vAlign w:val="center"/>
            <w:textDirection w:val="lrTb"/>
            <w:noWrap w:val="false"/>
          </w:tcPr>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5</w:t>
            </w:r>
            <w:r/>
          </w:p>
        </w:tc>
        <w:tc>
          <w:tcPr>
            <w:tcW w:w="3586"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参加政府采购活动前三年内，在经营活动中没有重大违法记录</w:t>
            </w:r>
            <w:r/>
          </w:p>
        </w:tc>
        <w:tc>
          <w:tcPr>
            <w:tcW w:w="5489" w:type="dxa"/>
            <w:vAlign w:val="center"/>
            <w:textDirection w:val="lrTb"/>
            <w:noWrap w:val="false"/>
          </w:tcPr>
          <w:p>
            <w:pPr>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 xml:space="preserve">（1）投标函或资格承诺函。</w:t>
            </w:r>
            <w:r/>
          </w:p>
          <w:p>
            <w:pPr>
              <w:spacing w:line="360" w:lineRule="auto"/>
              <w:rPr>
                <w:rFonts w:hint="eastAsia" w:ascii="宋体" w:hAnsi="宋体" w:eastAsia="宋体" w:cs="宋体"/>
                <w:color w:val="auto"/>
                <w:sz w:val="24"/>
                <w:highlight w:val="none"/>
                <w:lang w:eastAsia="en-US"/>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eastAsia="en-US"/>
              </w:rPr>
              <w:t xml:space="preserve">“信用中国”网站（www.creditchina.gov.cn）、中国政府采购网（www.ccgp.gov.cn）的查询结果未列入失信被执行人名单、重大税收违法案件当事人名单、政府采购严重违法失信行为名单，以现场查询为准。</w:t>
            </w:r>
            <w:r/>
          </w:p>
        </w:tc>
      </w:tr>
      <w:tr>
        <w:trPr/>
        <w:tc>
          <w:tcPr>
            <w:tcW w:w="55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3586"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落实政府采购政策需满足的资格要求</w:t>
            </w:r>
            <w:r/>
          </w:p>
        </w:tc>
        <w:tc>
          <w:tcPr>
            <w:tcW w:w="5489" w:type="dxa"/>
            <w:vAlign w:val="center"/>
            <w:textDirection w:val="lrTb"/>
            <w:noWrap w:val="false"/>
          </w:tcPr>
          <w:p>
            <w:pPr>
              <w:spacing w:line="360" w:lineRule="auto"/>
              <w:rPr>
                <w:rFonts w:hint="eastAsia"/>
                <w:color w:val="auto"/>
                <w:highlight w:val="none"/>
                <w:lang w:eastAsia="zh-CN"/>
              </w:rPr>
            </w:pPr>
            <w:r>
              <w:rPr>
                <w:rFonts w:hint="eastAsia" w:ascii="宋体" w:hAnsi="宋体" w:eastAsia="宋体" w:cs="Times New Roman"/>
                <w:bCs/>
                <w:color w:val="auto"/>
                <w:sz w:val="24"/>
                <w:szCs w:val="24"/>
                <w:highlight w:val="none"/>
                <w:lang w:val="en-US" w:eastAsia="en-US" w:bidi="ar-SA"/>
              </w:rPr>
              <w:t xml:space="preserve">本项目</w:t>
            </w:r>
            <w:r>
              <w:rPr>
                <w:rFonts w:hint="eastAsia" w:ascii="宋体" w:hAnsi="宋体" w:cs="Times New Roman"/>
                <w:bCs/>
                <w:color w:val="auto"/>
                <w:sz w:val="24"/>
                <w:szCs w:val="24"/>
                <w:highlight w:val="none"/>
                <w:lang w:val="en-US" w:eastAsia="zh-CN" w:bidi="ar-SA"/>
              </w:rPr>
              <w:t xml:space="preserve">属于不</w:t>
            </w:r>
            <w:r>
              <w:rPr>
                <w:rFonts w:hint="eastAsia" w:ascii="宋体" w:hAnsi="宋体" w:eastAsia="宋体" w:cs="Times New Roman"/>
                <w:bCs/>
                <w:color w:val="auto"/>
                <w:sz w:val="24"/>
                <w:szCs w:val="24"/>
                <w:highlight w:val="none"/>
                <w:lang w:val="en-US" w:eastAsia="en-US" w:bidi="ar-SA"/>
              </w:rPr>
              <w:t xml:space="preserve">专门面向中小企业采购的项目，提供中小企业声明函</w:t>
            </w:r>
            <w:r>
              <w:rPr>
                <w:rFonts w:hint="eastAsia" w:ascii="宋体" w:hAnsi="宋体" w:eastAsia="宋体" w:cs="Times New Roman"/>
                <w:bCs/>
                <w:color w:val="auto"/>
                <w:sz w:val="24"/>
                <w:szCs w:val="24"/>
                <w:highlight w:val="none"/>
                <w:lang w:val="en-US" w:eastAsia="zh-CN" w:bidi="ar-SA"/>
              </w:rPr>
              <w:t xml:space="preserve">。</w:t>
            </w:r>
            <w:r/>
          </w:p>
        </w:tc>
      </w:tr>
      <w:tr>
        <w:trPr/>
        <w:tc>
          <w:tcPr>
            <w:tcW w:w="554"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w:t>
            </w:r>
            <w:r/>
          </w:p>
        </w:tc>
        <w:tc>
          <w:tcPr>
            <w:tcW w:w="3586" w:type="dxa"/>
            <w:vAlign w:val="center"/>
            <w:textDirection w:val="lrTb"/>
            <w:noWrap w:val="false"/>
          </w:tcPr>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不接受产品投标</w:t>
            </w:r>
            <w:r/>
          </w:p>
        </w:tc>
        <w:tc>
          <w:tcPr>
            <w:tcW w:w="5489" w:type="dxa"/>
            <w:vAlign w:val="center"/>
            <w:textDirection w:val="lrTb"/>
            <w:noWrap w:val="false"/>
          </w:tcPr>
          <w:p>
            <w:pPr>
              <w:spacing w:line="360" w:lineRule="auto"/>
              <w:rPr>
                <w:rFonts w:ascii="宋体" w:hAnsi="宋体" w:eastAsia="宋体" w:cs="宋体"/>
                <w:color w:val="auto"/>
                <w:sz w:val="24"/>
                <w:highlight w:val="none"/>
                <w:lang w:val="en-US" w:eastAsia="zh-CN"/>
              </w:rPr>
            </w:pPr>
            <w:r>
              <w:rPr>
                <w:rFonts w:hint="eastAsia" w:ascii="宋体" w:hAnsi="宋体" w:eastAsia="宋体" w:cs="Times New Roman"/>
                <w:bCs/>
                <w:color w:val="auto"/>
                <w:sz w:val="24"/>
                <w:szCs w:val="24"/>
                <w:highlight w:val="none"/>
                <w:lang w:val="en-US" w:eastAsia="zh-CN" w:bidi="ar-SA"/>
              </w:rPr>
              <w:t xml:space="preserve">确认投标品牌是否为品牌（供应商须提供《关于符合本国产品标准的声明函》）</w:t>
            </w:r>
            <w:r/>
          </w:p>
        </w:tc>
      </w:tr>
    </w:tbl>
    <w:p>
      <w:pPr>
        <w:ind w:firstLine="446"/>
        <w:jc w:val="left"/>
        <w:spacing w:before="200" w:after="200"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7.投标人符合性审查</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83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9"/>
        <w:gridCol w:w="3202"/>
        <w:gridCol w:w="5462"/>
      </w:tblGrid>
      <w:tr>
        <w:trPr/>
        <w:tc>
          <w:tcPr>
            <w:tcW w:w="922" w:type="dxa"/>
            <w:vAlign w:val="top"/>
            <w:textDirection w:val="lrTb"/>
            <w:noWrap w:val="false"/>
          </w:tcPr>
          <w:p>
            <w:pPr>
              <w:jc w:val="center"/>
              <w:spacing w:line="360" w:lineRule="auto"/>
              <w:rPr>
                <w:rFonts w:hint="eastAsia" w:ascii="宋体" w:hAnsi="宋体" w:eastAsia="宋体" w:cs="宋体"/>
                <w:b/>
                <w:color w:val="auto"/>
                <w:sz w:val="24"/>
                <w:highlight w:val="none"/>
                <w:lang w:eastAsia="en-US"/>
              </w:rPr>
            </w:pPr>
            <w:r>
              <w:rPr>
                <w:rFonts w:hint="eastAsia" w:ascii="宋体" w:hAnsi="宋体" w:eastAsia="宋体" w:cs="宋体"/>
                <w:b/>
                <w:color w:val="auto"/>
                <w:sz w:val="24"/>
                <w:highlight w:val="none"/>
                <w:lang w:eastAsia="en-US"/>
              </w:rPr>
              <w:t xml:space="preserve">序号</w:t>
            </w:r>
            <w:r/>
          </w:p>
        </w:tc>
        <w:tc>
          <w:tcPr>
            <w:tcW w:w="3218" w:type="dxa"/>
            <w:vAlign w:val="top"/>
            <w:textDirection w:val="lrTb"/>
            <w:noWrap w:val="false"/>
          </w:tcPr>
          <w:p>
            <w:pPr>
              <w:jc w:val="center"/>
              <w:spacing w:line="360" w:lineRule="auto"/>
              <w:rPr>
                <w:rFonts w:hint="eastAsia" w:ascii="宋体" w:hAnsi="宋体" w:eastAsia="宋体" w:cs="宋体"/>
                <w:b/>
                <w:color w:val="auto"/>
                <w:sz w:val="24"/>
                <w:highlight w:val="none"/>
                <w:lang w:eastAsia="en-US"/>
              </w:rPr>
            </w:pPr>
            <w:r>
              <w:rPr>
                <w:rFonts w:hint="eastAsia" w:ascii="宋体" w:hAnsi="宋体" w:eastAsia="宋体" w:cs="宋体"/>
                <w:b/>
                <w:color w:val="auto"/>
                <w:sz w:val="24"/>
                <w:highlight w:val="none"/>
                <w:lang w:eastAsia="en-US"/>
              </w:rPr>
              <w:t xml:space="preserve">审查要素</w:t>
            </w:r>
            <w:r/>
          </w:p>
        </w:tc>
        <w:tc>
          <w:tcPr>
            <w:tcW w:w="5489" w:type="dxa"/>
            <w:vAlign w:val="top"/>
            <w:textDirection w:val="lrTb"/>
            <w:noWrap w:val="false"/>
          </w:tcPr>
          <w:p>
            <w:pPr>
              <w:jc w:val="center"/>
              <w:spacing w:line="360" w:lineRule="auto"/>
              <w:rPr>
                <w:rFonts w:hint="eastAsia" w:ascii="宋体" w:hAnsi="宋体" w:eastAsia="宋体" w:cs="宋体"/>
                <w:b/>
                <w:color w:val="auto"/>
                <w:sz w:val="24"/>
                <w:highlight w:val="none"/>
                <w:lang w:eastAsia="en-US"/>
              </w:rPr>
            </w:pPr>
            <w:r>
              <w:rPr>
                <w:rFonts w:hint="eastAsia" w:ascii="宋体" w:hAnsi="宋体" w:eastAsia="宋体" w:cs="宋体"/>
                <w:b/>
                <w:color w:val="auto"/>
                <w:sz w:val="24"/>
                <w:highlight w:val="none"/>
                <w:lang w:eastAsia="en-US"/>
              </w:rPr>
              <w:t xml:space="preserve">审查内容</w:t>
            </w:r>
            <w:r/>
          </w:p>
        </w:tc>
      </w:tr>
      <w:tr>
        <w:trPr>
          <w:cantSplit/>
        </w:trPr>
        <w:tc>
          <w:tcPr>
            <w:tcW w:w="922" w:type="dxa"/>
            <w:vAlign w:val="center"/>
            <w:vMerge w:val="restart"/>
            <w:textDirection w:val="lrTb"/>
            <w:noWrap w:val="false"/>
          </w:tcPr>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1</w:t>
            </w:r>
            <w:r/>
          </w:p>
        </w:tc>
        <w:tc>
          <w:tcPr>
            <w:tcW w:w="3218" w:type="dxa"/>
            <w:vAlign w:val="center"/>
            <w:vMerge w:val="restart"/>
            <w:textDirection w:val="lrTb"/>
            <w:noWrap w:val="false"/>
          </w:tcPr>
          <w:p>
            <w:pP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投标文件有效性</w:t>
            </w:r>
            <w:r/>
          </w:p>
        </w:tc>
        <w:tc>
          <w:tcPr>
            <w:tcW w:w="5489"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投标文件的有效电子签章。</w:t>
            </w:r>
            <w:r/>
          </w:p>
        </w:tc>
      </w:tr>
      <w:tr>
        <w:trPr>
          <w:cantSplit/>
          <w:trHeight w:val="569"/>
        </w:trPr>
        <w:tc>
          <w:tcPr>
            <w:tcW w:w="922" w:type="dxa"/>
            <w:vAlign w:val="center"/>
            <w:vMerge w:val="continue"/>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3218" w:type="dxa"/>
            <w:vAlign w:val="center"/>
            <w:vMerge w:val="continue"/>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489" w:type="dxa"/>
            <w:vAlign w:val="center"/>
            <w:textDirection w:val="lrTb"/>
            <w:noWrap w:val="false"/>
          </w:tcPr>
          <w:p>
            <w:pP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投标报价。</w:t>
            </w:r>
            <w:r/>
          </w:p>
        </w:tc>
      </w:tr>
      <w:tr>
        <w:trPr>
          <w:cantSplit/>
          <w:trHeight w:val="602"/>
        </w:trPr>
        <w:tc>
          <w:tcPr>
            <w:tcW w:w="922" w:type="dxa"/>
            <w:vAlign w:val="center"/>
            <w:vMerge w:val="continue"/>
            <w:textDirection w:val="lrTb"/>
            <w:noWrap w:val="false"/>
          </w:tcPr>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r>
            <w:r/>
          </w:p>
        </w:tc>
        <w:tc>
          <w:tcPr>
            <w:tcW w:w="3218" w:type="dxa"/>
            <w:vAlign w:val="center"/>
            <w:vMerge w:val="continue"/>
            <w:textDirection w:val="lrTb"/>
            <w:noWrap w:val="false"/>
          </w:tcPr>
          <w:p>
            <w:pP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r>
            <w:r/>
          </w:p>
        </w:tc>
        <w:tc>
          <w:tcPr>
            <w:tcW w:w="5489"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未发现属无效投标的情形。</w:t>
            </w:r>
            <w:r/>
          </w:p>
        </w:tc>
      </w:tr>
      <w:tr>
        <w:trPr>
          <w:trHeight w:val="1424"/>
        </w:trPr>
        <w:tc>
          <w:tcPr>
            <w:tcW w:w="922" w:type="dxa"/>
            <w:vAlign w:val="center"/>
            <w:textDirection w:val="lrTb"/>
            <w:noWrap w:val="false"/>
          </w:tcPr>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2</w:t>
            </w:r>
            <w:r/>
          </w:p>
        </w:tc>
        <w:tc>
          <w:tcPr>
            <w:tcW w:w="3218" w:type="dxa"/>
            <w:vAlign w:val="center"/>
            <w:textDirection w:val="lrTb"/>
            <w:noWrap w:val="false"/>
          </w:tcPr>
          <w:p>
            <w:pP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对招标文件响应程度</w:t>
            </w:r>
            <w:r/>
          </w:p>
        </w:tc>
        <w:tc>
          <w:tcPr>
            <w:tcW w:w="5489"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审查投标文件，以确定其是否满足招标文件的实质性要求。不满足招标文件的实质性要求的，投标无效。</w:t>
            </w:r>
            <w:bookmarkEnd w:id="229"/>
            <w:r/>
            <w:bookmarkEnd w:id="230"/>
            <w:r/>
            <w:bookmarkEnd w:id="231"/>
            <w:r/>
            <w:bookmarkEnd w:id="232"/>
            <w:r/>
            <w:bookmarkEnd w:id="233"/>
            <w:r/>
            <w:r/>
          </w:p>
        </w:tc>
      </w:tr>
    </w:tbl>
    <w:p>
      <w:pPr>
        <w:ind w:firstLine="446"/>
        <w:jc w:val="left"/>
        <w:spacing w:before="200" w:after="200"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firstLine="446"/>
        <w:jc w:val="left"/>
        <w:spacing w:before="200" w:after="200"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8.商务和技术评估</w:t>
      </w:r>
      <w:r/>
    </w:p>
    <w:p>
      <w:pPr>
        <w:ind w:firstLine="4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8.1 </w:t>
      </w:r>
      <w:r>
        <w:rPr>
          <w:rFonts w:hint="eastAsia" w:ascii="宋体" w:hAnsi="宋体" w:eastAsia="宋体" w:cs="宋体"/>
          <w:b/>
          <w:color w:val="auto"/>
          <w:sz w:val="24"/>
          <w:highlight w:val="none"/>
        </w:rPr>
        <w:t xml:space="preserve">本项目采用综合评分法。</w:t>
      </w:r>
      <w:r/>
    </w:p>
    <w:tbl>
      <w:tblPr>
        <w:tblStyle w:val="839"/>
        <w:tblpPr w:horzAnchor="page" w:tblpXSpec="center" w:vertAnchor="text" w:tblpY="196" w:leftFromText="180" w:topFromText="0" w:rightFromText="180" w:bottomFromText="0"/>
        <w:tblW w:w="895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11"/>
        <w:gridCol w:w="2315"/>
        <w:gridCol w:w="2315"/>
        <w:gridCol w:w="2318"/>
      </w:tblGrid>
      <w:tr>
        <w:trPr>
          <w:jc w:val="center"/>
          <w:trHeight w:val="518"/>
        </w:trPr>
        <w:tc>
          <w:tcPr>
            <w:tcW w:w="2011" w:type="dxa"/>
            <w:vAlign w:val="center"/>
            <w:textDirection w:val="lrTb"/>
            <w:noWrap w:val="false"/>
          </w:tcPr>
          <w:p>
            <w:pPr>
              <w:jc w:val="center"/>
              <w:spacing w:before="129" w:line="221" w:lineRule="auto"/>
              <w:widowControl/>
              <w:rPr>
                <w:rFonts w:ascii="宋体" w:hAnsi="宋体" w:cs="宋体"/>
                <w:color w:val="auto"/>
                <w:szCs w:val="21"/>
                <w:highlight w:val="none"/>
              </w:rPr>
            </w:pPr>
            <w:r>
              <w:rPr>
                <w:rFonts w:ascii="宋体" w:hAnsi="宋体" w:cs="宋体"/>
                <w:color w:val="auto"/>
                <w:spacing w:val="-1"/>
                <w:szCs w:val="21"/>
                <w:highlight w:val="none"/>
              </w:rPr>
              <w:t xml:space="preserve">评分项目</w:t>
            </w:r>
            <w:r/>
          </w:p>
        </w:tc>
        <w:tc>
          <w:tcPr>
            <w:tcW w:w="2315" w:type="dxa"/>
            <w:vAlign w:val="center"/>
            <w:textDirection w:val="lrTb"/>
            <w:noWrap w:val="false"/>
          </w:tcPr>
          <w:p>
            <w:pPr>
              <w:jc w:val="center"/>
              <w:spacing w:before="130" w:line="219" w:lineRule="auto"/>
              <w:widowControl/>
              <w:rPr>
                <w:rFonts w:ascii="宋体" w:hAnsi="宋体" w:cs="宋体"/>
                <w:color w:val="auto"/>
                <w:szCs w:val="21"/>
                <w:highlight w:val="none"/>
              </w:rPr>
            </w:pPr>
            <w:r>
              <w:rPr>
                <w:rFonts w:ascii="宋体" w:hAnsi="宋体" w:cs="宋体"/>
                <w:color w:val="auto"/>
                <w:spacing w:val="-2"/>
                <w:szCs w:val="21"/>
                <w:highlight w:val="none"/>
              </w:rPr>
              <w:t xml:space="preserve">技术</w:t>
            </w:r>
            <w:r>
              <w:rPr>
                <w:rFonts w:ascii="宋体" w:hAnsi="宋体" w:cs="宋体"/>
                <w:color w:val="auto"/>
                <w:spacing w:val="-1"/>
                <w:szCs w:val="21"/>
                <w:highlight w:val="none"/>
              </w:rPr>
              <w:t xml:space="preserve">评估</w:t>
            </w:r>
            <w:r/>
          </w:p>
        </w:tc>
        <w:tc>
          <w:tcPr>
            <w:tcW w:w="2315" w:type="dxa"/>
            <w:vAlign w:val="center"/>
            <w:textDirection w:val="lrTb"/>
            <w:noWrap w:val="false"/>
          </w:tcPr>
          <w:p>
            <w:pPr>
              <w:jc w:val="center"/>
              <w:spacing w:before="130" w:line="219" w:lineRule="auto"/>
              <w:widowControl/>
              <w:rPr>
                <w:rFonts w:ascii="宋体" w:hAnsi="宋体" w:cs="宋体"/>
                <w:color w:val="auto"/>
                <w:szCs w:val="21"/>
                <w:highlight w:val="none"/>
              </w:rPr>
            </w:pPr>
            <w:r>
              <w:rPr>
                <w:rFonts w:ascii="宋体" w:hAnsi="宋体" w:cs="宋体"/>
                <w:color w:val="auto"/>
                <w:spacing w:val="-3"/>
                <w:szCs w:val="21"/>
                <w:highlight w:val="none"/>
              </w:rPr>
              <w:t xml:space="preserve">商</w:t>
            </w:r>
            <w:r>
              <w:rPr>
                <w:rFonts w:ascii="宋体" w:hAnsi="宋体" w:cs="宋体"/>
                <w:color w:val="auto"/>
                <w:spacing w:val="-2"/>
                <w:szCs w:val="21"/>
                <w:highlight w:val="none"/>
              </w:rPr>
              <w:t xml:space="preserve">务评估</w:t>
            </w:r>
            <w:r/>
          </w:p>
        </w:tc>
        <w:tc>
          <w:tcPr>
            <w:tcW w:w="2318" w:type="dxa"/>
            <w:vAlign w:val="center"/>
            <w:textDirection w:val="lrTb"/>
            <w:noWrap w:val="false"/>
          </w:tcPr>
          <w:p>
            <w:pPr>
              <w:jc w:val="center"/>
              <w:spacing w:before="130" w:line="219" w:lineRule="auto"/>
              <w:widowControl/>
              <w:rPr>
                <w:rFonts w:ascii="宋体" w:hAnsi="宋体" w:cs="宋体"/>
                <w:color w:val="auto"/>
                <w:szCs w:val="21"/>
                <w:highlight w:val="none"/>
              </w:rPr>
            </w:pPr>
            <w:r>
              <w:rPr>
                <w:rFonts w:ascii="宋体" w:hAnsi="宋体" w:cs="宋体"/>
                <w:color w:val="auto"/>
                <w:spacing w:val="-2"/>
                <w:szCs w:val="21"/>
                <w:highlight w:val="none"/>
              </w:rPr>
              <w:t xml:space="preserve">价格</w:t>
            </w:r>
            <w:r>
              <w:rPr>
                <w:rFonts w:ascii="宋体" w:hAnsi="宋体" w:cs="宋体"/>
                <w:color w:val="auto"/>
                <w:spacing w:val="-1"/>
                <w:szCs w:val="21"/>
                <w:highlight w:val="none"/>
              </w:rPr>
              <w:t xml:space="preserve">评估</w:t>
            </w:r>
            <w:r/>
          </w:p>
        </w:tc>
      </w:tr>
      <w:tr>
        <w:trPr>
          <w:jc w:val="center"/>
          <w:trHeight w:val="536"/>
        </w:trPr>
        <w:tc>
          <w:tcPr>
            <w:tcW w:w="2011" w:type="dxa"/>
            <w:vAlign w:val="center"/>
            <w:textDirection w:val="lrTb"/>
            <w:noWrap w:val="false"/>
          </w:tcPr>
          <w:p>
            <w:pPr>
              <w:jc w:val="center"/>
              <w:spacing w:before="129" w:line="221" w:lineRule="auto"/>
              <w:widowControl/>
              <w:rPr>
                <w:rFonts w:ascii="宋体" w:hAnsi="宋体" w:cs="宋体"/>
                <w:color w:val="auto"/>
                <w:szCs w:val="21"/>
                <w:highlight w:val="none"/>
              </w:rPr>
            </w:pPr>
            <w:r>
              <w:rPr>
                <w:rFonts w:ascii="宋体" w:hAnsi="宋体" w:cs="宋体"/>
                <w:color w:val="auto"/>
                <w:spacing w:val="-3"/>
                <w:szCs w:val="21"/>
                <w:highlight w:val="none"/>
              </w:rPr>
              <w:t xml:space="preserve">分</w:t>
            </w:r>
            <w:r>
              <w:rPr>
                <w:rFonts w:ascii="宋体" w:hAnsi="宋体" w:cs="宋体"/>
                <w:color w:val="auto"/>
                <w:spacing w:val="-2"/>
                <w:szCs w:val="21"/>
                <w:highlight w:val="none"/>
              </w:rPr>
              <w:t xml:space="preserve">值</w:t>
            </w:r>
            <w:r/>
          </w:p>
        </w:tc>
        <w:tc>
          <w:tcPr>
            <w:tcW w:w="2315" w:type="dxa"/>
            <w:vAlign w:val="center"/>
            <w:textDirection w:val="lrTb"/>
            <w:noWrap w:val="false"/>
          </w:tcPr>
          <w:p>
            <w:pPr>
              <w:jc w:val="center"/>
              <w:spacing w:before="165" w:line="183" w:lineRule="auto"/>
              <w:widowControl/>
              <w:rPr>
                <w:rFonts w:ascii="宋体" w:hAnsi="宋体" w:cs="宋体"/>
                <w:color w:val="auto"/>
                <w:szCs w:val="21"/>
                <w:highlight w:val="none"/>
              </w:rPr>
            </w:pPr>
            <w:r>
              <w:rPr>
                <w:rFonts w:hint="eastAsia" w:ascii="宋体" w:hAnsi="宋体" w:cs="宋体"/>
                <w:color w:val="auto"/>
                <w:spacing w:val="-2"/>
                <w:szCs w:val="21"/>
                <w:highlight w:val="none"/>
                <w:lang w:val="en-US" w:eastAsia="zh-CN"/>
              </w:rPr>
              <w:t xml:space="preserve">28</w:t>
            </w:r>
            <w:r>
              <w:rPr>
                <w:rFonts w:ascii="宋体" w:hAnsi="宋体" w:cs="宋体"/>
                <w:color w:val="auto"/>
                <w:spacing w:val="-2"/>
                <w:szCs w:val="21"/>
                <w:highlight w:val="none"/>
              </w:rPr>
              <w:t xml:space="preserve">.00</w:t>
            </w:r>
            <w:r/>
          </w:p>
        </w:tc>
        <w:tc>
          <w:tcPr>
            <w:tcW w:w="2315" w:type="dxa"/>
            <w:vAlign w:val="center"/>
            <w:textDirection w:val="lrTb"/>
            <w:noWrap w:val="false"/>
          </w:tcPr>
          <w:p>
            <w:pPr>
              <w:jc w:val="center"/>
              <w:spacing w:before="165" w:line="183" w:lineRule="auto"/>
              <w:widowControl/>
              <w:rPr>
                <w:rFonts w:ascii="宋体" w:hAnsi="宋体" w:cs="宋体"/>
                <w:color w:val="auto"/>
                <w:szCs w:val="21"/>
                <w:highlight w:val="none"/>
              </w:rPr>
            </w:pPr>
            <w:r>
              <w:rPr>
                <w:rFonts w:hint="eastAsia" w:ascii="宋体" w:hAnsi="宋体" w:cs="宋体"/>
                <w:color w:val="auto"/>
                <w:spacing w:val="-2"/>
                <w:szCs w:val="21"/>
                <w:highlight w:val="none"/>
                <w:lang w:val="en-US" w:eastAsia="zh-CN"/>
              </w:rPr>
              <w:t xml:space="preserve">22</w:t>
            </w:r>
            <w:r>
              <w:rPr>
                <w:rFonts w:ascii="宋体" w:hAnsi="宋体" w:cs="宋体"/>
                <w:color w:val="auto"/>
                <w:spacing w:val="-2"/>
                <w:szCs w:val="21"/>
                <w:highlight w:val="none"/>
              </w:rPr>
              <w:t xml:space="preserve">.</w:t>
            </w:r>
            <w:r>
              <w:rPr>
                <w:rFonts w:ascii="宋体" w:hAnsi="宋体" w:cs="宋体"/>
                <w:color w:val="auto"/>
                <w:spacing w:val="-1"/>
                <w:szCs w:val="21"/>
                <w:highlight w:val="none"/>
              </w:rPr>
              <w:t xml:space="preserve">00</w:t>
            </w:r>
            <w:r/>
          </w:p>
        </w:tc>
        <w:tc>
          <w:tcPr>
            <w:tcW w:w="2318" w:type="dxa"/>
            <w:vAlign w:val="center"/>
            <w:textDirection w:val="lrTb"/>
            <w:noWrap w:val="false"/>
          </w:tcPr>
          <w:p>
            <w:pPr>
              <w:jc w:val="center"/>
              <w:spacing w:before="165" w:line="183" w:lineRule="auto"/>
              <w:widowControl/>
              <w:rPr>
                <w:rFonts w:ascii="宋体" w:hAnsi="宋体" w:cs="宋体"/>
                <w:color w:val="auto"/>
                <w:szCs w:val="21"/>
                <w:highlight w:val="none"/>
              </w:rPr>
            </w:pPr>
            <w:r>
              <w:rPr>
                <w:rFonts w:hint="eastAsia" w:ascii="宋体" w:hAnsi="宋体" w:cs="宋体"/>
                <w:color w:val="auto"/>
                <w:spacing w:val="-2"/>
                <w:szCs w:val="21"/>
                <w:highlight w:val="none"/>
              </w:rPr>
              <w:t xml:space="preserve">50</w:t>
            </w:r>
            <w:r>
              <w:rPr>
                <w:rFonts w:ascii="宋体" w:hAnsi="宋体" w:cs="宋体"/>
                <w:color w:val="auto"/>
                <w:spacing w:val="-2"/>
                <w:szCs w:val="21"/>
                <w:highlight w:val="none"/>
              </w:rPr>
              <w:t xml:space="preserve">.00</w:t>
            </w:r>
            <w:r/>
          </w:p>
        </w:tc>
      </w:tr>
    </w:tbl>
    <w:p>
      <w:pPr>
        <w:numPr>
          <w:ilvl w:val="0"/>
          <w:numId w:val="0"/>
        </w:num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numPr>
          <w:ilvl w:val="0"/>
          <w:numId w:val="0"/>
        </w:numPr>
        <w:jc w:val="left"/>
        <w:spacing w:line="360" w:lineRule="auto"/>
        <w:widowControl/>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（一）</w:t>
      </w:r>
      <w:r>
        <w:rPr>
          <w:rFonts w:hint="eastAsia" w:ascii="宋体" w:hAnsi="宋体" w:eastAsia="宋体" w:cs="宋体"/>
          <w:b/>
          <w:color w:val="auto"/>
          <w:sz w:val="24"/>
          <w:highlight w:val="none"/>
        </w:rPr>
        <w:t xml:space="preserve">技术评估</w:t>
      </w:r>
      <w:r/>
    </w:p>
    <w:tbl>
      <w:tblPr>
        <w:tblStyle w:val="839"/>
        <w:tblW w:w="971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45"/>
        <w:gridCol w:w="1057"/>
        <w:gridCol w:w="7362"/>
        <w:gridCol w:w="653"/>
      </w:tblGrid>
      <w:tr>
        <w:trPr>
          <w:jc w:val="center"/>
          <w:trHeight w:val="746"/>
        </w:trPr>
        <w:tc>
          <w:tcPr>
            <w:tcW w:w="645" w:type="dxa"/>
            <w:vAlign w:val="center"/>
            <w:textDirection w:val="lrTb"/>
            <w:noWrap w:val="false"/>
          </w:tcPr>
          <w:p>
            <w:pPr>
              <w:ind w:left="130"/>
              <w:jc w:val="center"/>
              <w:spacing w:line="3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31"/>
                <w:sz w:val="24"/>
                <w:szCs w:val="24"/>
                <w:highlight w:val="none"/>
                <w:lang w:eastAsia="en-US"/>
              </w:rPr>
              <w:t xml:space="preserve">序号</w:t>
            </w:r>
            <w:r/>
          </w:p>
        </w:tc>
        <w:tc>
          <w:tcPr>
            <w:tcW w:w="1057" w:type="dxa"/>
            <w:vAlign w:val="center"/>
            <w:textDirection w:val="lrTb"/>
            <w:noWrap w:val="false"/>
          </w:tcPr>
          <w:p>
            <w:pPr>
              <w:jc w:val="center"/>
              <w:spacing w:line="3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 xml:space="preserve">评审因</w:t>
            </w:r>
            <w:r>
              <w:rPr>
                <w:rFonts w:hint="eastAsia" w:ascii="宋体" w:hAnsi="宋体" w:eastAsia="宋体" w:cs="宋体"/>
                <w:color w:val="auto"/>
                <w:sz w:val="24"/>
                <w:szCs w:val="24"/>
                <w:highlight w:val="none"/>
                <w:lang w:eastAsia="en-US"/>
              </w:rPr>
              <w:t xml:space="preserve">素</w:t>
            </w:r>
            <w:r/>
          </w:p>
        </w:tc>
        <w:tc>
          <w:tcPr>
            <w:tcW w:w="7362" w:type="dxa"/>
            <w:vAlign w:val="center"/>
            <w:textDirection w:val="lrTb"/>
            <w:noWrap w:val="false"/>
          </w:tcPr>
          <w:p>
            <w:pPr>
              <w:ind w:firstLine="2856"/>
              <w:jc w:val="both"/>
              <w:spacing w:line="3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 xml:space="preserve">评审细则</w:t>
            </w:r>
            <w:r/>
          </w:p>
        </w:tc>
        <w:tc>
          <w:tcPr>
            <w:tcW w:w="653" w:type="dxa"/>
            <w:vAlign w:val="center"/>
            <w:textDirection w:val="lrTb"/>
            <w:noWrap w:val="false"/>
          </w:tcPr>
          <w:p>
            <w:pPr>
              <w:jc w:val="center"/>
              <w:spacing w:line="360" w:lineRule="exact"/>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pacing w:val="-3"/>
                <w:sz w:val="24"/>
                <w:szCs w:val="24"/>
                <w:highlight w:val="none"/>
                <w:lang w:eastAsia="en-US"/>
              </w:rPr>
              <w:t xml:space="preserve">分值</w:t>
            </w:r>
            <w:r/>
          </w:p>
        </w:tc>
      </w:tr>
      <w:tr>
        <w:trPr>
          <w:jc w:val="center"/>
          <w:trHeight w:val="558"/>
        </w:trPr>
        <w:tc>
          <w:tcPr>
            <w:gridSpan w:val="3"/>
            <w:tcW w:w="9064" w:type="dxa"/>
            <w:vAlign w:val="center"/>
            <w:textDirection w:val="lrTb"/>
            <w:noWrap w:val="false"/>
          </w:tcPr>
          <w:p>
            <w:pPr>
              <w:ind w:firstLine="480"/>
              <w:jc w:val="center"/>
              <w:spacing w:line="36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pacing w:val="-2"/>
                <w:sz w:val="24"/>
                <w:highlight w:val="none"/>
                <w:lang w:val="en-US" w:eastAsia="zh-CN"/>
              </w:rPr>
              <w:t xml:space="preserve">1.</w:t>
            </w:r>
            <w:r>
              <w:rPr>
                <w:rFonts w:hint="eastAsia" w:ascii="宋体" w:hAnsi="宋体" w:cs="宋体"/>
                <w:color w:val="auto"/>
                <w:spacing w:val="-2"/>
                <w:sz w:val="24"/>
                <w:highlight w:val="none"/>
                <w:lang w:eastAsia="zh-CN"/>
              </w:rPr>
              <w:t xml:space="preserve">技术参数评价</w:t>
            </w:r>
            <w:r/>
          </w:p>
        </w:tc>
        <w:tc>
          <w:tcPr>
            <w:tcW w:w="653" w:type="dxa"/>
            <w:vAlign w:val="center"/>
            <w:textDirection w:val="lrTb"/>
            <w:noWrap w:val="false"/>
          </w:tcPr>
          <w:p>
            <w:pPr>
              <w:jc w:val="center"/>
              <w:spacing w:line="360" w:lineRule="exact"/>
              <w:widowControl/>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28</w:t>
            </w:r>
            <w:r/>
          </w:p>
        </w:tc>
      </w:tr>
      <w:tr>
        <w:trPr>
          <w:jc w:val="center"/>
          <w:trHeight w:val="558"/>
        </w:trPr>
        <w:tc>
          <w:tcPr>
            <w:tcW w:w="645" w:type="dxa"/>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1057"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ascii="宋体" w:hAnsi="宋体"/>
                <w:color w:val="auto"/>
                <w:sz w:val="21"/>
                <w:szCs w:val="21"/>
                <w:highlight w:val="none"/>
              </w:rPr>
              <w:t xml:space="preserve">技术参数响应</w:t>
            </w:r>
            <w:r/>
          </w:p>
        </w:tc>
        <w:tc>
          <w:tcPr>
            <w:tcW w:w="7362" w:type="dxa"/>
            <w:vAlign w:val="center"/>
            <w:textDirection w:val="lrTb"/>
            <w:noWrap w:val="false"/>
          </w:tcPr>
          <w:p>
            <w:pPr>
              <w:spacing w:line="36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评标委员会根据招标文件中的评审要点，对投标文件的技术参数等的响应情况进行评分，依据《技术响应及偏离表》等进行评价。</w:t>
            </w:r>
            <w:r/>
          </w:p>
          <w:p>
            <w:pPr>
              <w:numPr>
                <w:ilvl w:val="0"/>
                <w:numId w:val="0"/>
              </w:numPr>
              <w:spacing w:line="360" w:lineRule="exact"/>
              <w:rPr>
                <w:rFonts w:hint="eastAsia" w:ascii="宋体" w:hAnsi="宋体" w:eastAsia="宋体" w:cs="宋体"/>
                <w:color w:val="000000"/>
                <w:szCs w:val="21"/>
                <w:lang w:val="en-US" w:eastAsia="zh-CN"/>
              </w:rPr>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Cs w:val="21"/>
                <w:lang w:val="en-US" w:eastAsia="zh-CN"/>
              </w:rPr>
              <w:t xml:space="preserve">“★” 代表实质性指标，不满足该指标项将导致投标无效；</w:t>
            </w:r>
            <w:r/>
          </w:p>
          <w:p>
            <w:pPr>
              <w:numPr>
                <w:ilvl w:val="0"/>
                <w:numId w:val="0"/>
              </w:numPr>
              <w:spacing w:line="360" w:lineRule="exact"/>
              <w:rPr>
                <w:rFonts w:hint="eastAsia" w:ascii="宋体" w:hAnsi="宋体" w:eastAsia="宋体" w:cs="宋体"/>
                <w:color w:val="000000"/>
                <w:szCs w:val="21"/>
                <w:lang w:val="en-US" w:eastAsia="zh-CN"/>
              </w:rPr>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Cs w:val="21"/>
                <w:lang w:val="en-US" w:eastAsia="zh-CN"/>
              </w:rPr>
              <w:t xml:space="preserve">“</w:t>
            </w: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color w:val="000000"/>
                <w:szCs w:val="21"/>
                <w:lang w:val="en-US" w:eastAsia="zh-CN"/>
              </w:rPr>
              <w:t xml:space="preserve">”代表重要指标，每负偏离一项扣2分，正偏离不加分。</w:t>
            </w:r>
            <w:r/>
          </w:p>
          <w:p>
            <w:pPr>
              <w:numPr>
                <w:ilvl w:val="0"/>
                <w:numId w:val="0"/>
              </w:numPr>
              <w:spacing w:line="36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注：所有指标</w:t>
            </w:r>
            <w:r>
              <w:rPr>
                <w:rFonts w:hint="eastAsia" w:ascii="宋体" w:hAnsi="宋体" w:cs="宋体"/>
                <w:color w:val="000000"/>
                <w:szCs w:val="21"/>
                <w:lang w:val="en-US" w:eastAsia="zh-CN"/>
              </w:rPr>
              <w:t xml:space="preserve">22</w:t>
            </w:r>
            <w:r>
              <w:rPr>
                <w:rFonts w:ascii="宋体" w:hAnsi="宋体" w:cs="宋体"/>
                <w:color w:val="000000"/>
                <w:szCs w:val="21"/>
              </w:rPr>
              <w:t xml:space="preserve">分扣完为止</w:t>
            </w:r>
            <w:r>
              <w:rPr>
                <w:rFonts w:hint="eastAsia" w:ascii="宋体" w:hAnsi="宋体" w:cs="宋体"/>
                <w:color w:val="000000"/>
                <w:szCs w:val="21"/>
                <w:lang w:eastAsia="zh-CN"/>
              </w:rPr>
              <w:t xml:space="preserve">，</w:t>
            </w:r>
            <w:r>
              <w:rPr>
                <w:rFonts w:hint="eastAsia" w:ascii="宋体" w:hAnsi="宋体" w:eastAsia="宋体" w:cs="宋体"/>
                <w:color w:val="000000"/>
                <w:szCs w:val="21"/>
                <w:lang w:val="en-US" w:eastAsia="zh-CN"/>
              </w:rPr>
              <w:t xml:space="preserve">技术参数中需要提交证明材料的，未提供有效证明材料或证明材料中内容与所填报指标不一致的，该指标按不满足处理。需要提供证明材料的技术参数，投标人须提供索引，证明材料附在偏离表后面。</w:t>
            </w:r>
            <w:r/>
          </w:p>
          <w:p>
            <w:pPr>
              <w:numPr>
                <w:ilvl w:val="0"/>
                <w:numId w:val="0"/>
              </w:numPr>
              <w:rPr>
                <w:color w:val="auto"/>
                <w:highlight w:val="none"/>
                <w:lang w:val="en-US"/>
              </w:rPr>
            </w:pPr>
            <w:r>
              <w:rPr>
                <w:color w:val="auto"/>
                <w:highlight w:val="none"/>
                <w:lang w:val="en-US"/>
              </w:rPr>
            </w:r>
            <w:r/>
          </w:p>
        </w:tc>
        <w:tc>
          <w:tcPr>
            <w:tcW w:w="653" w:type="dxa"/>
            <w:vAlign w:val="center"/>
            <w:textDirection w:val="lrTb"/>
            <w:noWrap w:val="false"/>
          </w:tcPr>
          <w:p>
            <w:pPr>
              <w:jc w:val="center"/>
              <w:spacing w:line="360" w:lineRule="exact"/>
              <w:widowControl/>
              <w:rPr>
                <w:rFonts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22.0</w:t>
            </w:r>
            <w:r/>
          </w:p>
        </w:tc>
      </w:tr>
      <w:tr>
        <w:trPr>
          <w:jc w:val="center"/>
          <w:trHeight w:val="558"/>
        </w:trPr>
        <w:tc>
          <w:tcPr>
            <w:gridSpan w:val="3"/>
            <w:tcW w:w="9064" w:type="dxa"/>
            <w:vAlign w:val="center"/>
            <w:textDirection w:val="lrTb"/>
            <w:noWrap w:val="false"/>
          </w:tcPr>
          <w:p>
            <w:pPr>
              <w:jc w:val="center"/>
              <w:spacing w:line="276" w:lineRule="auto"/>
              <w:rPr>
                <w:rFonts w:ascii="宋体" w:hAnsi="宋体" w:cs="宋体"/>
                <w:color w:val="auto"/>
                <w:szCs w:val="21"/>
                <w:highlight w:val="none"/>
              </w:rPr>
            </w:pP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技术方案</w:t>
            </w:r>
            <w:r/>
          </w:p>
        </w:tc>
        <w:tc>
          <w:tcPr>
            <w:tcW w:w="653" w:type="dxa"/>
            <w:vAlign w:val="center"/>
            <w:textDirection w:val="lrTb"/>
            <w:noWrap w:val="false"/>
          </w:tcPr>
          <w:p>
            <w:pPr>
              <w:jc w:val="center"/>
              <w:spacing w:line="360" w:lineRule="exact"/>
              <w:widowControl/>
              <w:rPr>
                <w:rFonts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r>
      <w:tr>
        <w:trPr>
          <w:jc w:val="center"/>
          <w:trHeight w:val="1017"/>
        </w:trPr>
        <w:tc>
          <w:tcPr>
            <w:tcW w:w="645" w:type="dxa"/>
            <w:vAlign w:val="center"/>
            <w:textDirection w:val="lrTb"/>
            <w:noWrap w:val="false"/>
          </w:tcPr>
          <w:p>
            <w:pPr>
              <w:jc w:val="center"/>
              <w:spacing w:line="360" w:lineRule="exact"/>
              <w:widowControl/>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w:t>
            </w:r>
            <w:r/>
          </w:p>
        </w:tc>
        <w:tc>
          <w:tcPr>
            <w:tcW w:w="1057" w:type="dxa"/>
            <w:vAlign w:val="center"/>
            <w:textDirection w:val="lrTb"/>
            <w:noWrap w:val="false"/>
          </w:tcPr>
          <w:p>
            <w:pPr>
              <w:jc w:val="center"/>
              <w:spacing w:line="276" w:lineRule="auto"/>
              <w:rPr>
                <w:rFonts w:hint="eastAsia" w:ascii="宋体" w:hAnsi="宋体"/>
                <w:color w:val="auto"/>
                <w:sz w:val="21"/>
                <w:szCs w:val="21"/>
                <w:highlight w:val="none"/>
                <w:lang w:eastAsia="en-US"/>
              </w:rPr>
            </w:pPr>
            <w:r>
              <w:rPr>
                <w:rFonts w:hint="eastAsia" w:ascii="宋体" w:hAnsi="宋体"/>
                <w:color w:val="auto"/>
                <w:sz w:val="21"/>
                <w:szCs w:val="21"/>
                <w:highlight w:val="none"/>
                <w:lang w:val="en-US" w:eastAsia="zh-CN"/>
              </w:rPr>
              <w:t xml:space="preserve">项目实施方案</w:t>
            </w:r>
            <w:r>
              <w:rPr>
                <w:rFonts w:hint="eastAsia" w:ascii="宋体" w:hAnsi="宋体"/>
                <w:color w:val="auto"/>
                <w:sz w:val="21"/>
                <w:szCs w:val="21"/>
                <w:highlight w:val="none"/>
                <w:lang w:eastAsia="zh-CN"/>
              </w:rPr>
              <w:t xml:space="preserve">评价</w:t>
            </w:r>
            <w:r/>
          </w:p>
        </w:tc>
        <w:tc>
          <w:tcPr>
            <w:tcW w:w="7362" w:type="dxa"/>
            <w:vAlign w:val="center"/>
            <w:textDirection w:val="lrTb"/>
            <w:noWrap w:val="false"/>
          </w:tcPr>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000000"/>
                <w:szCs w:val="21"/>
                <w:lang w:val="en-US" w:eastAsia="zh-CN"/>
              </w:rPr>
              <w:t xml:space="preserve">投标人提供本项目具体实施方案，包含但不限于：现场采购实施方案、质量控制措施、加工方案、包装配送方案。方案完全包含上述要点的得1分，有缺项或未提供方案的本项不得分；方案具有可操作性的加</w:t>
            </w:r>
            <w:r>
              <w:rPr>
                <w:rFonts w:hint="eastAsia" w:ascii="宋体" w:hAnsi="宋体" w:cs="宋体"/>
                <w:color w:val="000000"/>
                <w:szCs w:val="21"/>
                <w:lang w:val="en-US" w:eastAsia="zh-CN"/>
              </w:rPr>
              <w:t xml:space="preserve">0.5</w:t>
            </w:r>
            <w:r>
              <w:rPr>
                <w:rFonts w:hint="eastAsia" w:ascii="宋体" w:hAnsi="宋体" w:eastAsia="宋体" w:cs="宋体"/>
                <w:color w:val="000000"/>
                <w:szCs w:val="21"/>
                <w:lang w:val="en-US" w:eastAsia="zh-CN"/>
              </w:rPr>
              <w:t xml:space="preserve">分；方案贴合使用单位实际的加</w:t>
            </w:r>
            <w:r>
              <w:rPr>
                <w:rFonts w:hint="eastAsia" w:ascii="宋体" w:hAnsi="宋体" w:cs="宋体"/>
                <w:color w:val="000000"/>
                <w:szCs w:val="21"/>
                <w:lang w:val="en-US" w:eastAsia="zh-CN"/>
              </w:rPr>
              <w:t xml:space="preserve">0.5</w:t>
            </w:r>
            <w:r>
              <w:rPr>
                <w:rFonts w:hint="eastAsia" w:ascii="宋体" w:hAnsi="宋体" w:eastAsia="宋体" w:cs="宋体"/>
                <w:color w:val="000000"/>
                <w:szCs w:val="21"/>
                <w:lang w:val="en-US" w:eastAsia="zh-CN"/>
              </w:rPr>
              <w:t xml:space="preserve">分。</w:t>
            </w:r>
            <w:r/>
          </w:p>
        </w:tc>
        <w:tc>
          <w:tcPr>
            <w:tcW w:w="653" w:type="dxa"/>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w:t>
            </w:r>
            <w:r/>
          </w:p>
        </w:tc>
      </w:tr>
      <w:tr>
        <w:trPr>
          <w:jc w:val="center"/>
          <w:trHeight w:val="1017"/>
        </w:trPr>
        <w:tc>
          <w:tcPr>
            <w:tcW w:w="645" w:type="dxa"/>
            <w:vAlign w:val="center"/>
            <w:textDirection w:val="lrTb"/>
            <w:noWrap w:val="false"/>
          </w:tcPr>
          <w:p>
            <w:pPr>
              <w:jc w:val="center"/>
              <w:spacing w:line="360" w:lineRule="exact"/>
              <w:widowControl/>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w:t>
            </w:r>
            <w:r/>
          </w:p>
        </w:tc>
        <w:tc>
          <w:tcPr>
            <w:tcW w:w="1057" w:type="dxa"/>
            <w:vAlign w:val="center"/>
            <w:textDirection w:val="lrTb"/>
            <w:noWrap w:val="false"/>
          </w:tcPr>
          <w:p>
            <w:pPr>
              <w:jc w:val="center"/>
              <w:spacing w:line="276"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培训方案</w:t>
            </w:r>
            <w:r>
              <w:rPr>
                <w:rFonts w:hint="eastAsia" w:ascii="宋体" w:hAnsi="宋体"/>
                <w:color w:val="auto"/>
                <w:sz w:val="21"/>
                <w:szCs w:val="21"/>
                <w:highlight w:val="none"/>
                <w:lang w:eastAsia="zh-CN"/>
              </w:rPr>
              <w:t xml:space="preserve">评价</w:t>
            </w:r>
            <w:r/>
          </w:p>
        </w:tc>
        <w:tc>
          <w:tcPr>
            <w:tcW w:w="7362" w:type="dxa"/>
            <w:vAlign w:val="center"/>
            <w:textDirection w:val="lrTb"/>
            <w:noWrap w:val="false"/>
          </w:tcPr>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000000"/>
                <w:szCs w:val="21"/>
                <w:lang w:val="en-US" w:eastAsia="zh-CN"/>
              </w:rPr>
              <w:t xml:space="preserve">根据投标文件中提供的培训方案，考察提供的培训计划、培训课程、授课人员、培训对象与人数、培训地点、培训时间进行评分；方案完全包含上述要点的得1分，有缺项或未提供方案的本项不得分；方案具有可操作性的加</w:t>
            </w:r>
            <w:r>
              <w:rPr>
                <w:rFonts w:hint="eastAsia" w:ascii="宋体" w:hAnsi="宋体" w:cs="宋体"/>
                <w:color w:val="000000"/>
                <w:szCs w:val="21"/>
                <w:lang w:val="en-US" w:eastAsia="zh-CN"/>
              </w:rPr>
              <w:t xml:space="preserve">0.5</w:t>
            </w:r>
            <w:r>
              <w:rPr>
                <w:rFonts w:hint="eastAsia" w:ascii="宋体" w:hAnsi="宋体" w:eastAsia="宋体" w:cs="宋体"/>
                <w:color w:val="000000"/>
                <w:szCs w:val="21"/>
                <w:lang w:val="en-US" w:eastAsia="zh-CN"/>
              </w:rPr>
              <w:t xml:space="preserve">分；方案贴合使用单位实际的加</w:t>
            </w:r>
            <w:r>
              <w:rPr>
                <w:rFonts w:hint="eastAsia" w:ascii="宋体" w:hAnsi="宋体" w:cs="宋体"/>
                <w:color w:val="000000"/>
                <w:szCs w:val="21"/>
                <w:lang w:val="en-US" w:eastAsia="zh-CN"/>
              </w:rPr>
              <w:t xml:space="preserve">0.5</w:t>
            </w:r>
            <w:r>
              <w:rPr>
                <w:rFonts w:hint="eastAsia" w:ascii="宋体" w:hAnsi="宋体" w:eastAsia="宋体" w:cs="宋体"/>
                <w:color w:val="000000"/>
                <w:szCs w:val="21"/>
                <w:lang w:val="en-US" w:eastAsia="zh-CN"/>
              </w:rPr>
              <w:t xml:space="preserve">分。</w:t>
            </w:r>
            <w:r/>
          </w:p>
        </w:tc>
        <w:tc>
          <w:tcPr>
            <w:tcW w:w="653" w:type="dxa"/>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w:t>
            </w:r>
            <w:r/>
          </w:p>
        </w:tc>
      </w:tr>
      <w:tr>
        <w:trPr>
          <w:jc w:val="center"/>
          <w:trHeight w:val="91"/>
        </w:trPr>
        <w:tc>
          <w:tcPr>
            <w:tcW w:w="645" w:type="dxa"/>
            <w:vAlign w:val="center"/>
            <w:textDirection w:val="lrTb"/>
            <w:noWrap w:val="false"/>
          </w:tcPr>
          <w:p>
            <w:pPr>
              <w:jc w:val="center"/>
              <w:spacing w:line="360" w:lineRule="exact"/>
              <w:widowControl/>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w:t>
            </w:r>
            <w:r/>
          </w:p>
        </w:tc>
        <w:tc>
          <w:tcPr>
            <w:tcW w:w="1057" w:type="dxa"/>
            <w:vAlign w:val="center"/>
            <w:textDirection w:val="lrTb"/>
            <w:noWrap w:val="false"/>
          </w:tcPr>
          <w:p>
            <w:pPr>
              <w:jc w:val="center"/>
              <w:spacing w:line="276" w:lineRule="auto"/>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售后服务方案</w:t>
            </w:r>
            <w:bookmarkStart w:id="246" w:name="_GoBack"/>
            <w:r/>
            <w:bookmarkEnd w:id="246"/>
            <w:r>
              <w:rPr>
                <w:rFonts w:hint="eastAsia" w:ascii="宋体" w:hAnsi="宋体"/>
                <w:color w:val="auto"/>
                <w:sz w:val="21"/>
                <w:szCs w:val="21"/>
                <w:highlight w:val="none"/>
                <w:lang w:eastAsia="zh-CN"/>
              </w:rPr>
              <w:t xml:space="preserve">评价</w:t>
            </w:r>
            <w:r/>
          </w:p>
        </w:tc>
        <w:tc>
          <w:tcPr>
            <w:tcW w:w="7362" w:type="dxa"/>
            <w:vAlign w:val="center"/>
            <w:textDirection w:val="lrTb"/>
            <w:noWrap w:val="false"/>
          </w:tcPr>
          <w:p>
            <w:pPr>
              <w:spacing w:line="360" w:lineRule="exact"/>
              <w:rPr>
                <w:rFonts w:hint="default"/>
                <w:color w:val="auto"/>
                <w:highlight w:val="none"/>
                <w:lang w:val="en-US"/>
              </w:rPr>
            </w:pPr>
            <w:r>
              <w:rPr>
                <w:rFonts w:hint="eastAsia" w:ascii="宋体" w:hAnsi="宋体" w:eastAsia="宋体" w:cs="宋体"/>
                <w:color w:val="000000"/>
                <w:szCs w:val="21"/>
                <w:lang w:val="en-US" w:eastAsia="zh-CN"/>
              </w:rPr>
              <w:t xml:space="preserve">根据投标人提供的售后服务方案综合评审，根据货物的技术服务、售后服务的内容及措施、维修服务的响应时间、响应方式、解决问题是否迅速、设备保障措施、技术支持方案酌情打分。方案完全包含上述要点的得1分，有缺项或未提供方案的本项不得分；方案具有可操作性的加0.5分；方案贴合使用单位实际的加0.5分。</w:t>
            </w:r>
            <w:r/>
          </w:p>
        </w:tc>
        <w:tc>
          <w:tcPr>
            <w:tcW w:w="653" w:type="dxa"/>
            <w:vAlign w:val="center"/>
            <w:textDirection w:val="lrTb"/>
            <w:noWrap w:val="false"/>
          </w:tcPr>
          <w:p>
            <w:pPr>
              <w:jc w:val="center"/>
              <w:spacing w:line="360" w:lineRule="exact"/>
              <w:widowControl/>
              <w:rPr>
                <w:rFonts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w:t>
            </w:r>
            <w:r/>
          </w:p>
        </w:tc>
      </w:tr>
    </w:tbl>
    <w:p>
      <w:pPr>
        <w:numPr>
          <w:ilvl w:val="0"/>
          <w:numId w:val="0"/>
        </w:num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jc w:val="left"/>
        <w:spacing w:line="360" w:lineRule="auto"/>
        <w:widowControl/>
        <w:rPr>
          <w:rFonts w:hint="eastAsia" w:ascii="宋体" w:hAnsi="宋体"/>
          <w:b/>
          <w:color w:val="auto"/>
          <w:sz w:val="24"/>
          <w:szCs w:val="22"/>
          <w:highlight w:val="none"/>
        </w:rPr>
      </w:pPr>
      <w:r>
        <w:rPr>
          <w:rFonts w:hint="eastAsia" w:ascii="宋体" w:hAnsi="宋体" w:cs="宋体"/>
          <w:b/>
          <w:bCs/>
          <w:color w:val="auto"/>
          <w:sz w:val="24"/>
          <w:szCs w:val="24"/>
          <w:highlight w:val="none"/>
          <w:lang w:eastAsia="zh-CN"/>
        </w:rPr>
        <w:t xml:space="preserve">（二）</w:t>
      </w:r>
      <w:r>
        <w:rPr>
          <w:rFonts w:hint="eastAsia" w:ascii="宋体" w:hAnsi="宋体" w:eastAsia="宋体" w:cs="宋体"/>
          <w:b/>
          <w:bCs/>
          <w:color w:val="auto"/>
          <w:sz w:val="24"/>
          <w:szCs w:val="24"/>
          <w:highlight w:val="none"/>
        </w:rPr>
        <w:t xml:space="preserve">商务评估</w:t>
      </w:r>
      <w:r/>
    </w:p>
    <w:tbl>
      <w:tblPr>
        <w:tblStyle w:val="839"/>
        <w:tblW w:w="5024" w:type="pct"/>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52"/>
        <w:gridCol w:w="1134"/>
        <w:gridCol w:w="5883"/>
        <w:gridCol w:w="1355"/>
        <w:gridCol w:w="705"/>
      </w:tblGrid>
      <w:tr>
        <w:trPr>
          <w:jc w:val="center"/>
          <w:trHeight w:val="717"/>
        </w:trPr>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jc w:val="both"/>
              <w:spacing w:line="360" w:lineRule="exact"/>
              <w:widowControl/>
              <w:rPr>
                <w:rFonts w:ascii="宋体" w:hAnsi="宋体" w:eastAsia="宋体" w:cs="宋体"/>
                <w:color w:val="auto"/>
                <w:spacing w:val="31"/>
                <w:sz w:val="24"/>
                <w:szCs w:val="24"/>
                <w:highlight w:val="none"/>
                <w:lang w:val="en-US" w:eastAsia="zh-CN"/>
              </w:rPr>
            </w:pPr>
            <w:r>
              <w:rPr>
                <w:rFonts w:hint="eastAsia" w:ascii="宋体" w:hAnsi="宋体" w:eastAsia="宋体" w:cs="宋体"/>
                <w:color w:val="auto"/>
                <w:spacing w:val="31"/>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130"/>
              <w:jc w:val="center"/>
              <w:spacing w:line="360" w:lineRule="exact"/>
              <w:widowControl/>
              <w:rPr>
                <w:rFonts w:hint="eastAsia" w:ascii="宋体" w:hAnsi="宋体" w:eastAsia="宋体" w:cs="宋体"/>
                <w:color w:val="auto"/>
                <w:spacing w:val="31"/>
                <w:sz w:val="24"/>
                <w:szCs w:val="24"/>
                <w:highlight w:val="none"/>
                <w:lang w:eastAsia="en-US"/>
              </w:rPr>
            </w:pPr>
            <w:r>
              <w:rPr>
                <w:rFonts w:hint="eastAsia" w:ascii="宋体" w:hAnsi="宋体" w:eastAsia="宋体" w:cs="宋体"/>
                <w:color w:val="auto"/>
                <w:spacing w:val="31"/>
                <w:sz w:val="24"/>
                <w:szCs w:val="24"/>
                <w:highlight w:val="none"/>
                <w:lang w:val="en-US" w:eastAsia="zh-CN"/>
              </w:rPr>
              <w:t xml:space="preserve">评分因素</w:t>
            </w:r>
            <w:r/>
          </w:p>
        </w:tc>
        <w:tc>
          <w:tcPr>
            <w:gridSpan w:val="2"/>
            <w:tcBorders>
              <w:top w:val="single" w:color="000000" w:sz="4" w:space="0"/>
              <w:left w:val="single" w:color="000000" w:sz="4" w:space="0"/>
              <w:bottom w:val="single" w:color="000000" w:sz="4" w:space="0"/>
              <w:right w:val="single" w:color="000000" w:sz="4" w:space="0"/>
            </w:tcBorders>
            <w:tcW w:w="7239" w:type="dxa"/>
            <w:vAlign w:val="center"/>
            <w:textDirection w:val="lrTb"/>
            <w:noWrap w:val="false"/>
          </w:tcPr>
          <w:p>
            <w:pPr>
              <w:ind w:left="130"/>
              <w:jc w:val="center"/>
              <w:spacing w:line="360" w:lineRule="exact"/>
              <w:widowControl/>
              <w:rPr>
                <w:rFonts w:hint="eastAsia" w:ascii="宋体" w:hAnsi="宋体" w:eastAsia="宋体" w:cs="宋体"/>
                <w:color w:val="auto"/>
                <w:spacing w:val="31"/>
                <w:sz w:val="24"/>
                <w:szCs w:val="24"/>
                <w:highlight w:val="none"/>
                <w:lang w:eastAsia="en-US"/>
              </w:rPr>
            </w:pPr>
            <w:r>
              <w:rPr>
                <w:rFonts w:hint="eastAsia" w:ascii="宋体" w:hAnsi="宋体" w:eastAsia="宋体" w:cs="宋体"/>
                <w:color w:val="auto"/>
                <w:spacing w:val="31"/>
                <w:sz w:val="24"/>
                <w:szCs w:val="24"/>
                <w:highlight w:val="none"/>
                <w:lang w:val="en-US" w:eastAsia="zh-CN"/>
              </w:rPr>
              <w:t xml:space="preserve">评审细则</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left="130"/>
              <w:jc w:val="center"/>
              <w:spacing w:line="360" w:lineRule="exact"/>
              <w:widowControl/>
              <w:rPr>
                <w:rFonts w:hint="eastAsia" w:ascii="宋体" w:hAnsi="宋体" w:eastAsia="宋体" w:cs="宋体"/>
                <w:color w:val="auto"/>
                <w:spacing w:val="31"/>
                <w:sz w:val="24"/>
                <w:szCs w:val="24"/>
                <w:highlight w:val="none"/>
                <w:lang w:eastAsia="en-US"/>
              </w:rPr>
            </w:pPr>
            <w:r>
              <w:rPr>
                <w:rFonts w:hint="eastAsia" w:ascii="宋体" w:hAnsi="宋体" w:eastAsia="宋体" w:cs="宋体"/>
                <w:color w:val="auto"/>
                <w:spacing w:val="31"/>
                <w:sz w:val="24"/>
                <w:szCs w:val="24"/>
                <w:highlight w:val="none"/>
                <w:lang w:val="en-US" w:eastAsia="zh-CN"/>
              </w:rPr>
              <w:t xml:space="preserve">分值</w:t>
            </w:r>
            <w:r/>
          </w:p>
        </w:tc>
      </w:tr>
      <w:tr>
        <w:trPr>
          <w:jc w:val="center"/>
          <w:trHeight w:val="401"/>
        </w:trPr>
        <w:tc>
          <w:tcPr>
            <w:gridSpan w:val="4"/>
            <w:tcBorders>
              <w:top w:val="single" w:color="000000" w:sz="4" w:space="0"/>
              <w:left w:val="single" w:color="000000" w:sz="4" w:space="0"/>
              <w:bottom w:val="single" w:color="000000" w:sz="4" w:space="0"/>
              <w:right w:val="single" w:color="000000" w:sz="4" w:space="0"/>
            </w:tcBorders>
            <w:tcW w:w="892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综合实力</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4</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jc w:val="center"/>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2"/>
                <w:szCs w:val="22"/>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76" w:lineRule="auto"/>
              <w:rPr>
                <w:rFonts w:hint="eastAsia" w:ascii="宋体" w:hAnsi="宋体" w:eastAsia="宋体" w:cs="宋体"/>
                <w:color w:val="auto"/>
                <w:sz w:val="24"/>
                <w:szCs w:val="24"/>
                <w:highlight w:val="none"/>
                <w:lang w:val="en-US" w:eastAsia="zh-CN"/>
              </w:rPr>
            </w:pPr>
            <w:r>
              <w:rPr>
                <w:rFonts w:hint="eastAsia" w:ascii="宋体" w:hAnsi="宋体"/>
                <w:color w:val="auto"/>
                <w:sz w:val="21"/>
                <w:szCs w:val="21"/>
                <w:highlight w:val="none"/>
                <w:lang w:val="en-US" w:eastAsia="zh-CN"/>
              </w:rPr>
              <w:t xml:space="preserve">认证体系</w:t>
            </w:r>
            <w:r/>
          </w:p>
        </w:tc>
        <w:tc>
          <w:tcPr>
            <w:gridSpan w:val="2"/>
            <w:tcBorders>
              <w:top w:val="single" w:color="000000" w:sz="4" w:space="0"/>
              <w:left w:val="single" w:color="000000" w:sz="4" w:space="0"/>
              <w:bottom w:val="single" w:color="000000" w:sz="4" w:space="0"/>
              <w:right w:val="single" w:color="000000" w:sz="4" w:space="0"/>
            </w:tcBorders>
            <w:tcW w:w="7239" w:type="dxa"/>
            <w:vAlign w:val="top"/>
            <w:textDirection w:val="lrTb"/>
            <w:noWrap w:val="false"/>
          </w:tcPr>
          <w:p>
            <w:pPr>
              <w:spacing w:line="36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供应商具有质量管理体系认证证书、环境管理体系认证证书、职业健康安全管理体系认证证书、信息安全管理体系认证证书的，每提供一个得0.5分，满分为2分。</w:t>
            </w:r>
            <w:r/>
          </w:p>
          <w:p>
            <w:pPr>
              <w:spacing w:line="360" w:lineRule="exact"/>
              <w:rPr>
                <w:rFonts w:hint="eastAsia"/>
                <w:color w:val="auto"/>
                <w:highlight w:val="none"/>
                <w:lang w:val="en-US" w:eastAsia="zh-CN"/>
              </w:rPr>
            </w:pPr>
            <w:r>
              <w:rPr>
                <w:rFonts w:hint="eastAsia" w:ascii="宋体" w:hAnsi="宋体" w:eastAsia="宋体" w:cs="宋体"/>
                <w:color w:val="auto"/>
                <w:sz w:val="22"/>
                <w:szCs w:val="22"/>
                <w:highlight w:val="none"/>
                <w:lang w:val="en-US" w:eastAsia="zh-CN"/>
              </w:rPr>
              <w:t xml:space="preserve">注：1.供应商需提供相关</w:t>
            </w:r>
            <w:r>
              <w:rPr>
                <w:rFonts w:hint="eastAsia" w:ascii="宋体" w:hAnsi="宋体" w:cs="宋体"/>
                <w:color w:val="auto"/>
                <w:sz w:val="22"/>
                <w:szCs w:val="22"/>
                <w:highlight w:val="none"/>
                <w:lang w:val="en-US" w:eastAsia="zh-CN"/>
              </w:rPr>
              <w:t xml:space="preserve">证书原件扫描件</w:t>
            </w:r>
            <w:r>
              <w:rPr>
                <w:rFonts w:hint="eastAsia" w:ascii="宋体" w:hAnsi="宋体" w:eastAsia="宋体" w:cs="宋体"/>
                <w:color w:val="auto"/>
                <w:sz w:val="22"/>
                <w:szCs w:val="22"/>
                <w:highlight w:val="none"/>
                <w:lang w:val="en-US" w:eastAsia="zh-CN"/>
              </w:rPr>
              <w:t xml:space="preserve">，不提供不得分。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r>
      <w:tr>
        <w:trPr>
          <w:jc w:val="center"/>
          <w:trHeight w:val="1420"/>
        </w:trPr>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jc w:val="center"/>
              <w:spacing w:line="360" w:lineRule="exact"/>
              <w:widowControl/>
              <w:rPr>
                <w:rFonts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76" w:lineRule="auto"/>
              <w:rPr>
                <w:rFonts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认证证书</w:t>
            </w:r>
            <w:r/>
          </w:p>
        </w:tc>
        <w:tc>
          <w:tcPr>
            <w:gridSpan w:val="2"/>
            <w:tcBorders>
              <w:top w:val="single" w:color="000000" w:sz="4" w:space="0"/>
              <w:left w:val="single" w:color="000000" w:sz="4" w:space="0"/>
              <w:bottom w:val="single" w:color="000000" w:sz="4" w:space="0"/>
              <w:right w:val="single" w:color="000000" w:sz="4" w:space="0"/>
            </w:tcBorders>
            <w:tcW w:w="7239" w:type="dxa"/>
            <w:vAlign w:val="top"/>
            <w:textDirection w:val="lrTb"/>
            <w:noWrap w:val="false"/>
          </w:tcPr>
          <w:p>
            <w:pPr>
              <w:spacing w:line="36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供应商或产品制造商具有家具产品有害物质限量认证证书(长桌、方桌类)，STEAM玩具认证证书（工程剑桥组）的，每提供一个得1分，满分为2分。</w:t>
            </w:r>
            <w:r/>
          </w:p>
          <w:p>
            <w:pPr>
              <w:spacing w:line="36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注：1.供应商需提供相关</w:t>
            </w:r>
            <w:r>
              <w:rPr>
                <w:rFonts w:hint="eastAsia" w:ascii="宋体" w:hAnsi="宋体" w:cs="宋体"/>
                <w:color w:val="auto"/>
                <w:sz w:val="22"/>
                <w:szCs w:val="22"/>
                <w:highlight w:val="none"/>
                <w:lang w:val="en-US" w:eastAsia="zh-CN"/>
              </w:rPr>
              <w:t xml:space="preserve">证书原件扫描件</w:t>
            </w:r>
            <w:r>
              <w:rPr>
                <w:rFonts w:hint="eastAsia" w:ascii="宋体" w:hAnsi="宋体" w:eastAsia="宋体" w:cs="宋体"/>
                <w:color w:val="auto"/>
                <w:sz w:val="22"/>
                <w:szCs w:val="22"/>
                <w:highlight w:val="none"/>
                <w:lang w:val="en-US" w:eastAsia="zh-CN"/>
              </w:rPr>
              <w:t xml:space="preserve">，不提供不得分。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2.0</w:t>
            </w:r>
            <w:r/>
          </w:p>
        </w:tc>
      </w:tr>
      <w:tr>
        <w:trPr>
          <w:jc w:val="center"/>
          <w:trHeight w:val="388"/>
        </w:trPr>
        <w:tc>
          <w:tcPr>
            <w:gridSpan w:val="4"/>
            <w:tcBorders>
              <w:top w:val="single" w:color="000000" w:sz="4" w:space="0"/>
              <w:left w:val="single" w:color="000000" w:sz="4" w:space="0"/>
              <w:bottom w:val="single" w:color="000000" w:sz="4" w:space="0"/>
              <w:right w:val="single" w:color="000000" w:sz="4" w:space="0"/>
            </w:tcBorders>
            <w:tcW w:w="892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业绩</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jc w:val="center"/>
          <w:trHeight w:val="1224"/>
        </w:trPr>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jc w:val="center"/>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2"/>
                <w:szCs w:val="22"/>
                <w:highlight w:val="none"/>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76" w:lineRule="auto"/>
              <w:rPr>
                <w:rFonts w:hint="eastAsia" w:ascii="宋体" w:hAnsi="宋体" w:eastAsia="宋体" w:cs="宋体"/>
                <w:color w:val="auto"/>
                <w:sz w:val="24"/>
                <w:szCs w:val="24"/>
                <w:highlight w:val="none"/>
                <w:lang w:val="en-US" w:eastAsia="zh-CN"/>
              </w:rPr>
            </w:pPr>
            <w:r>
              <w:rPr>
                <w:rFonts w:hint="eastAsia" w:ascii="宋体" w:hAnsi="宋体"/>
                <w:color w:val="auto"/>
                <w:sz w:val="21"/>
                <w:szCs w:val="21"/>
                <w:highlight w:val="none"/>
                <w:lang w:val="en-US" w:eastAsia="zh-CN"/>
              </w:rPr>
              <w:t xml:space="preserve">经验</w:t>
            </w:r>
            <w:r/>
          </w:p>
        </w:tc>
        <w:tc>
          <w:tcPr>
            <w:gridSpan w:val="2"/>
            <w:tcBorders>
              <w:top w:val="single" w:color="000000" w:sz="4" w:space="0"/>
              <w:left w:val="single" w:color="000000" w:sz="4" w:space="0"/>
              <w:bottom w:val="single" w:color="000000" w:sz="4" w:space="0"/>
              <w:right w:val="single" w:color="000000" w:sz="4" w:space="0"/>
            </w:tcBorders>
            <w:tcW w:w="7239" w:type="dxa"/>
            <w:vAlign w:val="top"/>
            <w:textDirection w:val="lrTb"/>
            <w:noWrap w:val="false"/>
          </w:tcPr>
          <w:p>
            <w:pPr>
              <w:spacing w:line="360" w:lineRule="exact"/>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供应商具有自2020年1月1日以来具有类似项目的成功案例(日期以合同签订为准)，每提供一个得1分，满分2分。</w:t>
            </w:r>
            <w:r/>
          </w:p>
          <w:p>
            <w:pPr>
              <w:spacing w:line="360" w:lineRule="exact"/>
              <w:rPr>
                <w:rFonts w:hint="eastAsia" w:ascii="宋体" w:hAnsi="宋体" w:eastAsia="宋体" w:cs="宋体"/>
                <w:i w:val="0"/>
                <w:iCs w:val="0"/>
                <w:color w:val="auto"/>
                <w:sz w:val="24"/>
                <w:szCs w:val="24"/>
                <w:highlight w:val="none"/>
                <w:u w:val="none"/>
              </w:rPr>
            </w:pPr>
            <w:r>
              <w:rPr>
                <w:rFonts w:hint="eastAsia" w:ascii="宋体" w:hAnsi="宋体" w:cs="宋体"/>
                <w:color w:val="auto"/>
                <w:sz w:val="22"/>
                <w:szCs w:val="22"/>
                <w:highlight w:val="none"/>
                <w:lang w:val="en-US" w:eastAsia="zh-CN"/>
              </w:rPr>
              <w:t xml:space="preserve">注：1.供应商需提供合同扫描件，不提供不得分。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r>
      <w:tr>
        <w:trPr>
          <w:jc w:val="center"/>
          <w:trHeight w:val="423"/>
        </w:trPr>
        <w:tc>
          <w:tcPr>
            <w:gridSpan w:val="4"/>
            <w:tcBorders>
              <w:top w:val="single" w:color="000000" w:sz="4" w:space="0"/>
              <w:left w:val="single" w:color="000000" w:sz="4" w:space="0"/>
              <w:bottom w:val="single" w:color="000000" w:sz="4" w:space="0"/>
              <w:right w:val="single" w:color="000000" w:sz="4" w:space="0"/>
            </w:tcBorders>
            <w:tcW w:w="8924" w:type="dxa"/>
            <w:vAlign w:val="center"/>
            <w:textDirection w:val="lrTb"/>
            <w:noWrap w:val="false"/>
          </w:tcPr>
          <w:p>
            <w:pPr>
              <w:jc w:val="center"/>
              <w:keepLines w:val="0"/>
              <w:keepNext w:val="0"/>
              <w:widowControl/>
              <w:rPr>
                <w:rFonts w:ascii="宋体" w:hAnsi="宋体" w:eastAsia="宋体" w:cs="宋体"/>
                <w:color w:val="auto"/>
                <w:szCs w:val="21"/>
                <w:highlight w:val="none"/>
                <w:lang w:val="en-US" w:eastAsia="zh-CN"/>
              </w:rPr>
              <w:suppressLineNumbers w:val="0"/>
            </w:pPr>
            <w:r>
              <w:rPr>
                <w:rFonts w:hint="eastAsia" w:ascii="宋体" w:hAnsi="宋体" w:cs="宋体"/>
                <w:i w:val="0"/>
                <w:iCs w:val="0"/>
                <w:color w:val="auto"/>
                <w:sz w:val="22"/>
                <w:szCs w:val="22"/>
                <w:highlight w:val="none"/>
                <w:u w:val="none"/>
                <w:lang w:val="en-US" w:eastAsia="zh-CN" w:bidi="ar"/>
              </w:rPr>
              <w:t xml:space="preserve">3.样品评价</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2</w:t>
            </w:r>
            <w:r/>
          </w:p>
        </w:tc>
      </w:tr>
      <w:tr>
        <w:trPr>
          <w:jc w:val="center"/>
          <w:trHeight w:val="1224"/>
        </w:trPr>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jc w:val="center"/>
              <w:spacing w:line="360" w:lineRule="exact"/>
              <w:widowControl/>
              <w:rPr>
                <w:rFonts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76"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单人操作台</w:t>
            </w:r>
            <w:r/>
          </w:p>
        </w:tc>
        <w:tc>
          <w:tcPr>
            <w:gridSpan w:val="2"/>
            <w:tcBorders>
              <w:top w:val="single" w:color="000000" w:sz="4" w:space="0"/>
              <w:left w:val="single" w:color="000000" w:sz="4" w:space="0"/>
              <w:bottom w:val="single" w:color="000000" w:sz="4" w:space="0"/>
              <w:right w:val="single" w:color="000000" w:sz="4" w:space="0"/>
            </w:tcBorders>
            <w:tcW w:w="7239" w:type="dxa"/>
            <w:vAlign w:val="top"/>
            <w:textDirection w:val="lrTb"/>
            <w:noWrap w:val="false"/>
          </w:tcPr>
          <w:p>
            <w:pPr>
              <w:spacing w:line="360" w:lineRule="exact"/>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根据招标文件采购需求中关于出样产品技术参数的要求，生产样品。评审委员会根据出样产品的技术参数和样图要求对实物样品进行评审。(测量工具：0～5m钢卷尺,精度1mm，十分度游标卡尺，精度0.1mm)</w:t>
            </w:r>
            <w:r/>
          </w:p>
          <w:p>
            <w:pPr>
              <w:spacing w:line="360" w:lineRule="exact"/>
              <w:rPr>
                <w:rFonts w:hint="eastAsia"/>
                <w:color w:val="auto"/>
                <w:highlight w:val="none"/>
                <w:lang w:val="en-US" w:eastAsia="zh-CN"/>
              </w:rPr>
            </w:pPr>
            <w:r>
              <w:rPr>
                <w:rFonts w:hint="eastAsia" w:ascii="宋体" w:hAnsi="宋体" w:cs="宋体"/>
                <w:color w:val="auto"/>
                <w:sz w:val="22"/>
                <w:szCs w:val="22"/>
                <w:highlight w:val="none"/>
                <w:lang w:val="en-US" w:eastAsia="zh-CN"/>
              </w:rPr>
              <w:t xml:space="preserve">（1）产品整体观感：样品外观符合招标文件要求的，得0.5分。（2）产品稳固性：样品安全牢固的得0.5分。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1.0</w:t>
            </w:r>
            <w:r/>
          </w:p>
        </w:tc>
      </w:tr>
      <w:tr>
        <w:trPr>
          <w:jc w:val="center"/>
          <w:trHeight w:val="1224"/>
        </w:trPr>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jc w:val="center"/>
              <w:spacing w:line="360" w:lineRule="exact"/>
              <w:widowControl/>
              <w:rPr>
                <w:rFonts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76"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玩具柜（带轮）</w:t>
            </w:r>
            <w:r/>
          </w:p>
        </w:tc>
        <w:tc>
          <w:tcPr>
            <w:gridSpan w:val="2"/>
            <w:tcBorders>
              <w:top w:val="single" w:color="000000" w:sz="4" w:space="0"/>
              <w:left w:val="single" w:color="000000" w:sz="4" w:space="0"/>
              <w:bottom w:val="single" w:color="000000" w:sz="4" w:space="0"/>
              <w:right w:val="single" w:color="000000" w:sz="4" w:space="0"/>
            </w:tcBorders>
            <w:tcW w:w="7239" w:type="dxa"/>
            <w:vAlign w:val="top"/>
            <w:textDirection w:val="lrTb"/>
            <w:noWrap w:val="false"/>
          </w:tcPr>
          <w:p>
            <w:pPr>
              <w:spacing w:line="360" w:lineRule="exact"/>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根据招标文件采购需求中关于出样产品技术参数的要求，生产样品。评审委员会根据出样产品的技术参数和样图要求对实物样品进行评审。(测量工具：0～5m钢卷尺,精度1mm，十分度游标卡尺，精度0.1mm)</w:t>
            </w:r>
            <w:r/>
          </w:p>
          <w:p>
            <w:pPr>
              <w:spacing w:line="360" w:lineRule="exact"/>
              <w:rPr>
                <w:rFonts w:hint="eastAsia"/>
                <w:color w:val="auto"/>
                <w:highlight w:val="none"/>
                <w:lang w:val="en-US" w:eastAsia="zh-CN"/>
              </w:rPr>
            </w:pPr>
            <w:r>
              <w:rPr>
                <w:rFonts w:hint="eastAsia" w:ascii="宋体" w:hAnsi="宋体" w:cs="宋体"/>
                <w:color w:val="auto"/>
                <w:sz w:val="22"/>
                <w:szCs w:val="22"/>
                <w:highlight w:val="none"/>
                <w:lang w:val="en-US" w:eastAsia="zh-CN"/>
              </w:rPr>
              <w:t xml:space="preserve">（1）产品整体观感：样品外观符合招标文件要求的，得0.5分。（2）产品稳固性：样品安全牢固的得0.5分。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1.0</w:t>
            </w:r>
            <w:r/>
          </w:p>
        </w:tc>
      </w:tr>
      <w:tr>
        <w:trPr>
          <w:jc w:val="center"/>
          <w:trHeight w:val="336"/>
        </w:trPr>
        <w:tc>
          <w:tcPr>
            <w:gridSpan w:val="4"/>
            <w:tcBorders>
              <w:top w:val="single" w:color="000000" w:sz="4" w:space="0"/>
              <w:left w:val="single" w:color="000000" w:sz="4" w:space="0"/>
              <w:bottom w:val="single" w:color="000000" w:sz="4" w:space="0"/>
              <w:right w:val="single" w:color="000000" w:sz="4" w:space="0"/>
            </w:tcBorders>
            <w:tcW w:w="892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4.产品评价</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12</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jc w:val="center"/>
              <w:spacing w:line="360" w:lineRule="exac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76" w:lineRule="auto"/>
              <w:rPr>
                <w:rFonts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材料储物柜</w:t>
            </w:r>
            <w:r/>
          </w:p>
        </w:tc>
        <w:tc>
          <w:tcPr>
            <w:gridSpan w:val="2"/>
            <w:tcBorders>
              <w:top w:val="single" w:color="000000" w:sz="4" w:space="0"/>
              <w:left w:val="single" w:color="000000" w:sz="4" w:space="0"/>
              <w:bottom w:val="single" w:color="000000" w:sz="4" w:space="0"/>
              <w:right w:val="single" w:color="000000" w:sz="4" w:space="0"/>
            </w:tcBorders>
            <w:tcW w:w="7239" w:type="dxa"/>
            <w:vAlign w:val="top"/>
            <w:textDirection w:val="lrTb"/>
            <w:noWrap w:val="false"/>
          </w:tcPr>
          <w:p>
            <w:pPr>
              <w:spacing w:line="360" w:lineRule="exact"/>
              <w:rPr>
                <w:rFonts w:hint="eastAsia" w:ascii="宋体" w:hAnsi="宋体" w:eastAsia="宋体" w:cs="宋体"/>
                <w:i w:val="0"/>
                <w:iCs w:val="0"/>
                <w:color w:val="auto"/>
                <w:sz w:val="24"/>
                <w:szCs w:val="24"/>
                <w:highlight w:val="none"/>
                <w:u w:val="none"/>
              </w:rPr>
            </w:pPr>
            <w:r>
              <w:rPr>
                <w:rFonts w:hint="eastAsia" w:ascii="宋体" w:hAnsi="宋体" w:cs="宋体"/>
                <w:color w:val="auto"/>
                <w:sz w:val="22"/>
                <w:szCs w:val="22"/>
                <w:highlight w:val="none"/>
                <w:lang w:val="en-US" w:eastAsia="zh-CN"/>
              </w:rPr>
              <w:t xml:space="preserve">投标人根据采购需求提供以下投标产品详尽的设计方案，设计方案包括但不限于产品三视图、部件结构图、用料说明、技术工艺要求(如中标，该图纸作为验收依据)。</w:t>
            </w:r>
            <w:r>
              <w:rPr>
                <w:rFonts w:hint="eastAsia" w:ascii="宋体" w:hAnsi="宋体" w:cs="宋体"/>
                <w:color w:val="auto"/>
                <w:sz w:val="22"/>
                <w:szCs w:val="22"/>
                <w:highlight w:val="none"/>
                <w:lang w:val="en-US" w:eastAsia="zh-CN"/>
              </w:rPr>
              <w:br w:type="textWrapping" w:clear="all"/>
            </w:r>
            <w:r>
              <w:rPr>
                <w:rFonts w:hint="eastAsia" w:ascii="宋体" w:hAnsi="宋体" w:cs="宋体"/>
                <w:color w:val="auto"/>
                <w:sz w:val="22"/>
                <w:szCs w:val="22"/>
                <w:highlight w:val="none"/>
                <w:lang w:val="en-US" w:eastAsia="zh-CN"/>
              </w:rPr>
              <w:t xml:space="preserve">设计方案包括三视图、部件结构图、用料说明、技术工艺要求的，得2分；每缺一项的，扣0.5分。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2.0</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jc w:val="center"/>
              <w:spacing w:line="360" w:lineRule="exact"/>
              <w:widowControl/>
              <w:rPr>
                <w:rFonts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76"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配电柜</w:t>
            </w:r>
            <w:r/>
          </w:p>
        </w:tc>
        <w:tc>
          <w:tcPr>
            <w:gridSpan w:val="2"/>
            <w:tcBorders>
              <w:top w:val="single" w:color="000000" w:sz="4" w:space="0"/>
              <w:left w:val="single" w:color="000000" w:sz="4" w:space="0"/>
              <w:bottom w:val="single" w:color="000000" w:sz="4" w:space="0"/>
              <w:right w:val="single" w:color="000000" w:sz="4" w:space="0"/>
            </w:tcBorders>
            <w:tcW w:w="7239" w:type="dxa"/>
            <w:vAlign w:val="top"/>
            <w:textDirection w:val="lrTb"/>
            <w:noWrap w:val="false"/>
          </w:tcPr>
          <w:p>
            <w:pPr>
              <w:spacing w:line="360" w:lineRule="exact"/>
              <w:rPr>
                <w:rFonts w:hint="eastAsia" w:ascii="宋体" w:hAnsi="宋体" w:eastAsia="宋体" w:cs="宋体"/>
                <w:i w:val="0"/>
                <w:iCs w:val="0"/>
                <w:color w:val="auto"/>
                <w:sz w:val="24"/>
                <w:szCs w:val="24"/>
                <w:highlight w:val="none"/>
                <w:u w:val="none"/>
              </w:rPr>
            </w:pPr>
            <w:r>
              <w:rPr>
                <w:rFonts w:hint="eastAsia" w:ascii="宋体" w:hAnsi="宋体" w:cs="宋体"/>
                <w:color w:val="auto"/>
                <w:sz w:val="22"/>
                <w:szCs w:val="22"/>
                <w:highlight w:val="none"/>
                <w:lang w:val="en-US" w:eastAsia="zh-CN"/>
              </w:rPr>
              <w:t xml:space="preserve">配电柜中的控制软件具备用电安全监管功能，投标时提供用电安全监管平台软件著作权证书的得2分。</w:t>
            </w:r>
            <w:r>
              <w:rPr>
                <w:rFonts w:hint="eastAsia" w:ascii="宋体" w:hAnsi="宋体" w:cs="宋体"/>
                <w:color w:val="auto"/>
                <w:sz w:val="22"/>
                <w:szCs w:val="22"/>
                <w:highlight w:val="none"/>
                <w:lang w:val="en-US" w:eastAsia="zh-CN"/>
              </w:rPr>
              <w:br w:type="textWrapping" w:clear="all"/>
            </w:r>
            <w:r>
              <w:rPr>
                <w:rFonts w:hint="eastAsia" w:ascii="宋体" w:hAnsi="宋体" w:cs="宋体"/>
                <w:color w:val="auto"/>
                <w:sz w:val="22"/>
                <w:szCs w:val="22"/>
                <w:highlight w:val="none"/>
                <w:lang w:val="en-US" w:eastAsia="zh-CN"/>
              </w:rPr>
              <w:t xml:space="preserve">注：投标时需提供软件著作权证书原件扫描件，不提供不得分，提供的证书名称与招标文件要求的名称不一致时，但经评委会认定能实现同一功能的，也可以认为响应。</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2.0</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jc w:val="center"/>
              <w:spacing w:line="360" w:lineRule="exact"/>
              <w:widowControl/>
              <w:rPr>
                <w:rFonts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76" w:lineRule="auto"/>
              <w:rPr>
                <w:rFonts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备授课软件</w:t>
            </w:r>
            <w:r/>
          </w:p>
        </w:tc>
        <w:tc>
          <w:tcPr>
            <w:gridSpan w:val="2"/>
            <w:tcBorders>
              <w:top w:val="single" w:color="000000" w:sz="4" w:space="0"/>
              <w:left w:val="single" w:color="000000" w:sz="4" w:space="0"/>
              <w:bottom w:val="single" w:color="000000" w:sz="4" w:space="0"/>
              <w:right w:val="single" w:color="000000" w:sz="4" w:space="0"/>
            </w:tcBorders>
            <w:tcW w:w="7239" w:type="dxa"/>
            <w:vAlign w:val="top"/>
            <w:textDirection w:val="lrTb"/>
            <w:noWrap w:val="false"/>
          </w:tcPr>
          <w:p>
            <w:pPr>
              <w:spacing w:line="360" w:lineRule="exact"/>
              <w:rPr>
                <w:rFonts w:hint="eastAsia" w:ascii="宋体" w:hAnsi="宋体" w:eastAsia="宋体" w:cs="宋体"/>
                <w:i w:val="0"/>
                <w:iCs w:val="0"/>
                <w:color w:val="auto"/>
                <w:sz w:val="24"/>
                <w:szCs w:val="24"/>
                <w:highlight w:val="none"/>
                <w:u w:val="none"/>
              </w:rPr>
            </w:pPr>
            <w:r>
              <w:rPr>
                <w:rFonts w:hint="eastAsia" w:ascii="宋体" w:hAnsi="宋体" w:cs="宋体"/>
                <w:color w:val="auto"/>
                <w:sz w:val="22"/>
                <w:szCs w:val="22"/>
                <w:highlight w:val="none"/>
                <w:lang w:val="en-US" w:eastAsia="zh-CN"/>
              </w:rPr>
              <w:t xml:space="preserve">供应商所备授课软件具有大批量上传分布式并发功能，投标时提供大批量上传分布式并发软件著作权证书的得2分。</w:t>
            </w:r>
            <w:r>
              <w:rPr>
                <w:rFonts w:hint="eastAsia" w:ascii="宋体" w:hAnsi="宋体" w:cs="宋体"/>
                <w:color w:val="auto"/>
                <w:sz w:val="22"/>
                <w:szCs w:val="22"/>
                <w:highlight w:val="none"/>
                <w:lang w:val="en-US" w:eastAsia="zh-CN"/>
              </w:rPr>
              <w:br w:type="textWrapping" w:clear="all"/>
            </w:r>
            <w:r>
              <w:rPr>
                <w:rFonts w:hint="eastAsia" w:ascii="宋体" w:hAnsi="宋体" w:cs="宋体"/>
                <w:color w:val="auto"/>
                <w:sz w:val="22"/>
                <w:szCs w:val="22"/>
                <w:highlight w:val="none"/>
                <w:lang w:val="en-US" w:eastAsia="zh-CN"/>
              </w:rPr>
              <w:t xml:space="preserve">注：投标时需提供软件著作权证书原件扫描件，不提供不得分，提供的证书名称与招标文件要求的名称不一致时，但经评委会认定能实现同一功能的，也可以认为响应。</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2.0</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jc w:val="center"/>
              <w:spacing w:line="360" w:lineRule="exact"/>
              <w:widowControl/>
              <w:rPr>
                <w:rFonts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76" w:lineRule="auto"/>
              <w:rPr>
                <w:rFonts w:hint="eastAsia" w:ascii="宋体" w:hAnsi="宋体" w:eastAsia="宋体" w:cs="宋体"/>
                <w:color w:val="auto"/>
                <w:sz w:val="24"/>
                <w:szCs w:val="24"/>
                <w:highlight w:val="none"/>
                <w:lang w:val="en-US" w:eastAsia="zh-CN"/>
              </w:rPr>
            </w:pPr>
            <w:r>
              <w:rPr>
                <w:rFonts w:hint="eastAsia" w:ascii="宋体" w:hAnsi="宋体"/>
                <w:color w:val="auto"/>
                <w:sz w:val="21"/>
                <w:szCs w:val="21"/>
                <w:highlight w:val="none"/>
                <w:lang w:val="en-US" w:eastAsia="zh-CN"/>
              </w:rPr>
              <w:t xml:space="preserve">儿童互动智能桌</w:t>
            </w:r>
            <w:r/>
          </w:p>
        </w:tc>
        <w:tc>
          <w:tcPr>
            <w:gridSpan w:val="2"/>
            <w:tcBorders>
              <w:top w:val="single" w:color="000000" w:sz="4" w:space="0"/>
              <w:left w:val="single" w:color="000000" w:sz="4" w:space="0"/>
              <w:bottom w:val="single" w:color="000000" w:sz="4" w:space="0"/>
              <w:right w:val="single" w:color="000000" w:sz="4" w:space="0"/>
            </w:tcBorders>
            <w:tcW w:w="7239" w:type="dxa"/>
            <w:vAlign w:val="top"/>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cs="宋体"/>
                <w:color w:val="auto"/>
                <w:sz w:val="22"/>
                <w:szCs w:val="22"/>
                <w:highlight w:val="none"/>
                <w:lang w:val="en-US" w:eastAsia="zh-CN"/>
              </w:rPr>
              <w:t xml:space="preserve">供应商所投儿童互动智能桌中软件系统具有多触点服务满意度精准测评功能，投标时提供多触点服务满意度精准测评软件著作权证书的得2分。</w:t>
            </w:r>
            <w:r>
              <w:rPr>
                <w:rFonts w:hint="eastAsia" w:ascii="宋体" w:hAnsi="宋体" w:cs="宋体"/>
                <w:color w:val="auto"/>
                <w:sz w:val="22"/>
                <w:szCs w:val="22"/>
                <w:highlight w:val="none"/>
                <w:lang w:val="en-US" w:eastAsia="zh-CN"/>
              </w:rPr>
              <w:br w:type="textWrapping" w:clear="all"/>
            </w:r>
            <w:r>
              <w:rPr>
                <w:rFonts w:hint="eastAsia" w:ascii="宋体" w:hAnsi="宋体" w:cs="宋体"/>
                <w:color w:val="auto"/>
                <w:sz w:val="22"/>
                <w:szCs w:val="22"/>
                <w:highlight w:val="none"/>
                <w:lang w:val="en-US" w:eastAsia="zh-CN"/>
              </w:rPr>
              <w:t xml:space="preserve">注：投标时需提供软件著作权证书原件扫描件，不提供不得分，提供的证书名称与招标文件要求的名称不一致时，但经评委会认定能实现同一功能的，也可以认为响应。</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2.0</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jc w:val="center"/>
              <w:spacing w:line="360" w:lineRule="exact"/>
              <w:widowControl/>
              <w:rPr>
                <w:rFonts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76" w:lineRule="auto"/>
              <w:rPr>
                <w:rFonts w:hint="eastAsia" w:ascii="宋体" w:hAnsi="宋体" w:eastAsia="宋体" w:cs="宋体"/>
                <w:color w:val="auto"/>
                <w:sz w:val="24"/>
                <w:szCs w:val="24"/>
                <w:highlight w:val="none"/>
                <w:lang w:val="en-US" w:eastAsia="zh-CN"/>
              </w:rPr>
            </w:pPr>
            <w:r>
              <w:rPr>
                <w:rFonts w:hint="eastAsia" w:ascii="宋体" w:hAnsi="宋体"/>
                <w:color w:val="auto"/>
                <w:sz w:val="21"/>
                <w:szCs w:val="21"/>
                <w:highlight w:val="none"/>
                <w:lang w:val="en-US" w:eastAsia="zh-CN"/>
              </w:rPr>
              <w:t xml:space="preserve">音频控制系统</w:t>
            </w:r>
            <w:r/>
          </w:p>
        </w:tc>
        <w:tc>
          <w:tcPr>
            <w:gridSpan w:val="2"/>
            <w:tcBorders>
              <w:top w:val="single" w:color="000000" w:sz="4" w:space="0"/>
              <w:left w:val="single" w:color="000000" w:sz="4" w:space="0"/>
              <w:bottom w:val="single" w:color="000000" w:sz="4" w:space="0"/>
              <w:right w:val="single" w:color="000000" w:sz="4" w:space="0"/>
            </w:tcBorders>
            <w:tcW w:w="7239" w:type="dxa"/>
            <w:vAlign w:val="top"/>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cs="宋体"/>
                <w:color w:val="auto"/>
                <w:sz w:val="22"/>
                <w:szCs w:val="22"/>
                <w:highlight w:val="none"/>
                <w:lang w:val="en-US" w:eastAsia="zh-CN"/>
              </w:rPr>
              <w:t xml:space="preserve">供应商所投音频控制系统具有智能音箱平台功能，投标时需提供智能音箱平台软件著作权证书的得2分。</w:t>
            </w:r>
            <w:r>
              <w:rPr>
                <w:rFonts w:hint="eastAsia" w:ascii="宋体" w:hAnsi="宋体" w:cs="宋体"/>
                <w:color w:val="auto"/>
                <w:sz w:val="22"/>
                <w:szCs w:val="22"/>
                <w:highlight w:val="none"/>
                <w:lang w:val="en-US" w:eastAsia="zh-CN"/>
              </w:rPr>
              <w:br w:type="textWrapping" w:clear="all"/>
            </w:r>
            <w:r>
              <w:rPr>
                <w:rFonts w:hint="eastAsia" w:ascii="宋体" w:hAnsi="宋体" w:cs="宋体"/>
                <w:color w:val="auto"/>
                <w:sz w:val="22"/>
                <w:szCs w:val="22"/>
                <w:highlight w:val="none"/>
                <w:lang w:val="en-US" w:eastAsia="zh-CN"/>
              </w:rPr>
              <w:t xml:space="preserve">注：投标时需提供软件著作权证书原件扫描件，不提供不得分，提供的证书名称与招标文件要求的名称不一致时，但经评委会认定能实现同一功能的，也可以认为响应。</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2.0</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jc w:val="center"/>
              <w:spacing w:line="360" w:lineRule="exact"/>
              <w:widowControl/>
              <w:rPr>
                <w:rFonts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76" w:lineRule="auto"/>
              <w:rPr>
                <w:rFonts w:hint="eastAsia" w:ascii="宋体" w:hAnsi="宋体" w:eastAsia="宋体" w:cs="宋体"/>
                <w:color w:val="auto"/>
                <w:sz w:val="24"/>
                <w:szCs w:val="24"/>
                <w:highlight w:val="none"/>
                <w:lang w:val="en-US" w:eastAsia="zh-CN"/>
              </w:rPr>
            </w:pPr>
            <w:r>
              <w:rPr>
                <w:rFonts w:hint="eastAsia" w:ascii="宋体" w:hAnsi="宋体"/>
                <w:color w:val="auto"/>
                <w:sz w:val="21"/>
                <w:szCs w:val="21"/>
                <w:highlight w:val="none"/>
                <w:lang w:val="en-US" w:eastAsia="zh-CN"/>
              </w:rPr>
              <w:t xml:space="preserve">SIS学生端管理系统</w:t>
            </w:r>
            <w:r/>
          </w:p>
        </w:tc>
        <w:tc>
          <w:tcPr>
            <w:gridSpan w:val="2"/>
            <w:tcBorders>
              <w:top w:val="single" w:color="000000" w:sz="4" w:space="0"/>
              <w:left w:val="single" w:color="000000" w:sz="4" w:space="0"/>
              <w:bottom w:val="single" w:color="000000" w:sz="4" w:space="0"/>
              <w:right w:val="single" w:color="000000" w:sz="4" w:space="0"/>
            </w:tcBorders>
            <w:tcW w:w="7239" w:type="dxa"/>
            <w:vAlign w:val="top"/>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cs="宋体"/>
                <w:color w:val="auto"/>
                <w:sz w:val="22"/>
                <w:szCs w:val="22"/>
                <w:highlight w:val="none"/>
                <w:lang w:val="en-US" w:eastAsia="zh-CN"/>
              </w:rPr>
              <w:t xml:space="preserve">供应商SIS学生端管理系统支持智慧商城功能，投标时提供智慧商城平台软件著作权证书的得2分。</w:t>
            </w:r>
            <w:r>
              <w:rPr>
                <w:rFonts w:hint="eastAsia" w:ascii="宋体" w:hAnsi="宋体" w:cs="宋体"/>
                <w:color w:val="auto"/>
                <w:sz w:val="22"/>
                <w:szCs w:val="22"/>
                <w:highlight w:val="none"/>
                <w:lang w:val="en-US" w:eastAsia="zh-CN"/>
              </w:rPr>
              <w:br w:type="textWrapping" w:clear="all"/>
            </w:r>
            <w:r>
              <w:rPr>
                <w:rFonts w:hint="eastAsia" w:ascii="宋体" w:hAnsi="宋体" w:cs="宋体"/>
                <w:color w:val="auto"/>
                <w:sz w:val="22"/>
                <w:szCs w:val="22"/>
                <w:highlight w:val="none"/>
                <w:lang w:val="en-US" w:eastAsia="zh-CN"/>
              </w:rPr>
              <w:t xml:space="preserve">注：投标时需提供软件著作权证书原件扫描件，不提供不得分，提供的证书名称与招标文件要求的名称不一致时，但经评委会认定能实现同一功能的，也可以认为响应。</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2.0</w:t>
            </w:r>
            <w:r/>
          </w:p>
        </w:tc>
      </w:tr>
      <w:tr>
        <w:trPr>
          <w:jc w:val="center"/>
          <w:trHeight w:val="406"/>
        </w:trPr>
        <w:tc>
          <w:tcPr>
            <w:gridSpan w:val="4"/>
            <w:tcBorders>
              <w:top w:val="single" w:color="000000" w:sz="4" w:space="0"/>
              <w:left w:val="single" w:color="000000" w:sz="4" w:space="0"/>
              <w:bottom w:val="single" w:color="000000" w:sz="4" w:space="0"/>
              <w:right w:val="single" w:color="000000" w:sz="4" w:space="0"/>
            </w:tcBorders>
            <w:tcW w:w="8924" w:type="dxa"/>
            <w:vAlign w:val="center"/>
            <w:textDirection w:val="lrTb"/>
            <w:noWrap w:val="false"/>
          </w:tcPr>
          <w:p>
            <w:pPr>
              <w:jc w:val="center"/>
              <w:keepLines w:val="0"/>
              <w:keepNext w:val="0"/>
              <w:widowControl/>
              <w:rPr>
                <w:rFonts w:ascii="宋体" w:hAnsi="宋体" w:eastAsia="宋体" w:cs="宋体"/>
                <w:color w:val="auto"/>
                <w:szCs w:val="21"/>
                <w:highlight w:val="none"/>
                <w:lang w:val="en-US" w:eastAsia="zh-CN"/>
              </w:rPr>
              <w:suppressLineNumbers w:val="0"/>
            </w:pPr>
            <w:r>
              <w:rPr>
                <w:rFonts w:hint="eastAsia" w:ascii="宋体" w:hAnsi="宋体" w:cs="宋体"/>
                <w:i w:val="0"/>
                <w:iCs w:val="0"/>
                <w:color w:val="auto"/>
                <w:sz w:val="22"/>
                <w:szCs w:val="22"/>
                <w:highlight w:val="none"/>
                <w:u w:val="none"/>
                <w:lang w:val="en-US" w:eastAsia="zh-CN" w:bidi="ar"/>
              </w:rPr>
              <w:t xml:space="preserve">5.节能环保</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jc w:val="center"/>
              <w:spacing w:line="360" w:lineRule="exact"/>
              <w:widowControl/>
              <w:rPr>
                <w:rFonts w:ascii="宋体" w:hAnsi="宋体" w:eastAsia="宋体" w:cs="宋体"/>
                <w:color w:val="auto"/>
                <w:sz w:val="24"/>
                <w:szCs w:val="24"/>
                <w:highlight w:val="none"/>
                <w:lang w:val="en-US" w:eastAsia="zh-CN"/>
              </w:rPr>
            </w:pPr>
            <w:r>
              <w:rPr>
                <w:rFonts w:hint="eastAsia" w:ascii="宋体" w:hAnsi="宋体" w:eastAsia="宋体" w:cs="宋体"/>
                <w:color w:val="auto"/>
                <w:sz w:val="22"/>
                <w:szCs w:val="22"/>
                <w:highlight w:val="none"/>
                <w:lang w:val="en-US" w:eastAsia="zh-CN"/>
              </w:rPr>
              <w:t xml:space="preserve">5.1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76" w:lineRule="auto"/>
              <w:rPr>
                <w:rFonts w:hint="eastAsia" w:ascii="宋体" w:hAnsi="宋体" w:eastAsia="宋体" w:cs="宋体"/>
                <w:color w:val="auto"/>
                <w:sz w:val="24"/>
                <w:szCs w:val="24"/>
                <w:highlight w:val="none"/>
                <w:lang w:val="en-US" w:eastAsia="zh-CN"/>
              </w:rPr>
            </w:pPr>
            <w:r>
              <w:rPr>
                <w:rFonts w:hint="eastAsia" w:ascii="宋体" w:hAnsi="宋体"/>
                <w:color w:val="auto"/>
                <w:sz w:val="21"/>
                <w:szCs w:val="21"/>
                <w:highlight w:val="none"/>
                <w:lang w:val="en-US" w:eastAsia="zh-CN"/>
              </w:rPr>
              <w:t xml:space="preserve">节能环保认证</w:t>
            </w:r>
            <w:r/>
          </w:p>
        </w:tc>
        <w:tc>
          <w:tcPr>
            <w:gridSpan w:val="2"/>
            <w:tcBorders>
              <w:top w:val="single" w:color="000000" w:sz="4" w:space="0"/>
              <w:left w:val="single" w:color="000000" w:sz="4" w:space="0"/>
              <w:bottom w:val="single" w:color="000000" w:sz="4" w:space="0"/>
              <w:right w:val="single" w:color="000000" w:sz="4" w:space="0"/>
            </w:tcBorders>
            <w:tcW w:w="7239" w:type="dxa"/>
            <w:vAlign w:val="top"/>
            <w:textDirection w:val="lrTb"/>
            <w:noWrap w:val="false"/>
          </w:tcPr>
          <w:p>
            <w:pPr>
              <w:spacing w:line="360" w:lineRule="exact"/>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1.所投产品中有属于财政部、发展改革委公布的“节能产品政府采购品目清单”范围内国家确定的认证机构出具的、处于有效期之内的该节能产品认证证书原件扫描件的得0.5分。</w:t>
            </w:r>
            <w:r/>
          </w:p>
          <w:p>
            <w:pPr>
              <w:spacing w:line="360" w:lineRule="exact"/>
              <w:rPr>
                <w:rFonts w:hint="eastAsia"/>
                <w:color w:val="auto"/>
                <w:highlight w:val="none"/>
                <w:lang w:val="en-US" w:eastAsia="zh-CN"/>
              </w:rPr>
            </w:pPr>
            <w:r>
              <w:rPr>
                <w:rFonts w:hint="eastAsia" w:ascii="宋体" w:hAnsi="宋体" w:cs="宋体"/>
                <w:color w:val="auto"/>
                <w:sz w:val="22"/>
                <w:szCs w:val="22"/>
                <w:highlight w:val="none"/>
                <w:lang w:val="en-US" w:eastAsia="zh-CN"/>
              </w:rPr>
              <w:t xml:space="preserve">2.所投产品中有属于财政部、生态环境部公布的“环境标志产品政府采购品目清单”范围内国家确定的认证机构出具的、处于有效期内的该环保产品认证证书原件扫描件的得0.5分。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1.0</w:t>
            </w:r>
            <w:r/>
          </w:p>
        </w:tc>
      </w:tr>
      <w:tr>
        <w:trPr>
          <w:jc w:val="center"/>
          <w:trHeight w:val="406"/>
        </w:trPr>
        <w:tc>
          <w:tcPr>
            <w:gridSpan w:val="3"/>
            <w:tcBorders>
              <w:top w:val="single" w:color="000000" w:sz="4" w:space="0"/>
              <w:left w:val="single" w:color="000000" w:sz="4" w:space="0"/>
              <w:bottom w:val="single" w:color="000000" w:sz="4" w:space="0"/>
              <w:right w:val="single" w:color="000000" w:sz="4" w:space="0"/>
            </w:tcBorders>
            <w:tcW w:w="7570" w:type="dxa"/>
            <w:vAlign w:val="center"/>
            <w:textDirection w:val="lrTb"/>
            <w:noWrap w:val="false"/>
          </w:tcPr>
          <w:p>
            <w:pPr>
              <w:jc w:val="center"/>
              <w:rPr>
                <w:rFonts w:ascii="Times New Roman" w:hAnsi="Times New Roman" w:eastAsia="宋体" w:cs="Times New Roman"/>
                <w:color w:val="auto"/>
                <w:sz w:val="21"/>
                <w:szCs w:val="24"/>
                <w:highlight w:val="none"/>
                <w:lang w:val="en-US" w:eastAsia="zh-CN" w:bidi="ar-SA"/>
              </w:rPr>
            </w:pPr>
            <w:r>
              <w:rPr>
                <w:rFonts w:hint="eastAsia" w:ascii="宋体" w:hAnsi="宋体"/>
                <w:color w:val="auto"/>
                <w:sz w:val="22"/>
                <w:szCs w:val="22"/>
                <w:highlight w:val="none"/>
                <w:lang w:val="en-US" w:eastAsia="zh-CN"/>
              </w:rPr>
              <w:t xml:space="preserve">6</w:t>
            </w:r>
            <w:r>
              <w:rPr>
                <w:rFonts w:hint="eastAsia" w:ascii="宋体" w:hAnsi="宋体"/>
                <w:color w:val="auto"/>
                <w:sz w:val="22"/>
                <w:szCs w:val="22"/>
                <w:highlight w:val="none"/>
              </w:rPr>
              <w:t xml:space="preserve">.售后服务</w:t>
            </w:r>
            <w:r/>
          </w:p>
        </w:tc>
        <w:tc>
          <w:tcPr>
            <w:gridSpan w:val="2"/>
            <w:tcBorders>
              <w:top w:val="single" w:color="000000" w:sz="4" w:space="0"/>
              <w:left w:val="single" w:color="000000" w:sz="4" w:space="0"/>
              <w:bottom w:val="single" w:color="000000" w:sz="4" w:space="0"/>
              <w:right w:val="single" w:color="000000" w:sz="4" w:space="0"/>
            </w:tcBorders>
            <w:tcW w:w="2060" w:type="dxa"/>
            <w:vAlign w:val="center"/>
            <w:textDirection w:val="lrTb"/>
            <w:noWrap w:val="false"/>
          </w:tcPr>
          <w:p>
            <w:pPr>
              <w:jc w:val="center"/>
              <w:rPr>
                <w:rFonts w:ascii="Times New Roman" w:hAnsi="Times New Roman" w:eastAsia="宋体" w:cs="Times New Roman"/>
                <w:color w:val="auto"/>
                <w:sz w:val="21"/>
                <w:szCs w:val="24"/>
                <w:highlight w:val="none"/>
                <w:lang w:val="en-US" w:eastAsia="zh-CN" w:bidi="ar-SA"/>
              </w:rPr>
            </w:pPr>
            <w:r>
              <w:rPr>
                <w:rFonts w:hint="eastAsia" w:ascii="宋体" w:hAnsi="宋体"/>
                <w:color w:val="auto"/>
                <w:sz w:val="22"/>
                <w:szCs w:val="22"/>
                <w:highlight w:val="none"/>
              </w:rPr>
              <w:t xml:space="preserve">1</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jc w:val="center"/>
              <w:spacing w:line="360" w:lineRule="exact"/>
              <w:widowControl/>
              <w:rPr>
                <w:rFonts w:ascii="宋体" w:hAnsi="宋体" w:eastAsia="宋体" w:cs="宋体"/>
                <w:color w:val="auto"/>
                <w:sz w:val="24"/>
                <w:szCs w:val="24"/>
                <w:highlight w:val="none"/>
                <w:lang w:val="en-US" w:eastAsia="zh-CN"/>
              </w:rPr>
            </w:pP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76" w:lineRule="auto"/>
              <w:rPr>
                <w:rFonts w:hint="eastAsia" w:ascii="宋体" w:hAnsi="宋体" w:eastAsia="宋体" w:cs="宋体"/>
                <w:color w:val="auto"/>
                <w:sz w:val="24"/>
                <w:szCs w:val="24"/>
                <w:highlight w:val="none"/>
                <w:lang w:val="en-US" w:eastAsia="zh-CN"/>
              </w:rPr>
            </w:pPr>
            <w:r>
              <w:rPr>
                <w:rFonts w:hint="eastAsia" w:ascii="宋体" w:hAnsi="宋体"/>
                <w:b w:val="0"/>
                <w:color w:val="auto"/>
                <w:sz w:val="22"/>
                <w:szCs w:val="22"/>
                <w:highlight w:val="none"/>
              </w:rPr>
              <w:t xml:space="preserve">服务承诺</w:t>
            </w:r>
            <w:r/>
          </w:p>
        </w:tc>
        <w:tc>
          <w:tcPr>
            <w:tcBorders>
              <w:top w:val="single" w:color="000000" w:sz="4" w:space="0"/>
              <w:left w:val="single" w:color="000000" w:sz="4" w:space="0"/>
              <w:bottom w:val="single" w:color="000000" w:sz="4" w:space="0"/>
              <w:right w:val="single" w:color="000000" w:sz="4" w:space="0"/>
            </w:tcBorders>
            <w:tcW w:w="5884" w:type="dxa"/>
            <w:vAlign w:val="top"/>
            <w:textDirection w:val="lrTb"/>
            <w:noWrap w:val="false"/>
          </w:tcPr>
          <w:p>
            <w:pPr>
              <w:spacing w:line="360" w:lineRule="exact"/>
              <w:rPr>
                <w:rFonts w:hint="eastAsia" w:ascii="宋体" w:hAnsi="宋体" w:cs="宋体"/>
                <w:color w:val="auto"/>
                <w:sz w:val="22"/>
                <w:szCs w:val="22"/>
                <w:highlight w:val="none"/>
                <w:lang w:val="en-US" w:eastAsia="zh-CN"/>
              </w:rPr>
            </w:pPr>
            <w:r/>
            <w:bookmarkStart w:id="234" w:name="OLE_LINK22"/>
            <w:r/>
            <w:bookmarkStart w:id="235" w:name="OLE_LINK24"/>
            <w:r>
              <w:rPr>
                <w:rFonts w:hint="eastAsia" w:ascii="宋体" w:hAnsi="宋体" w:cs="宋体"/>
                <w:color w:val="auto"/>
                <w:sz w:val="22"/>
                <w:szCs w:val="22"/>
                <w:highlight w:val="none"/>
                <w:lang w:val="en-US" w:eastAsia="zh-CN"/>
              </w:rPr>
              <w:t xml:space="preserve">所供货物免费质保期为3年，每增加1年得0.5分，最高得分不超过1分。</w:t>
            </w:r>
            <w:r/>
          </w:p>
          <w:p>
            <w:pPr>
              <w:spacing w:line="360" w:lineRule="exact"/>
              <w:rPr>
                <w:rFonts w:hint="eastAsia"/>
                <w:color w:val="auto"/>
                <w:highlight w:val="none"/>
                <w:lang w:val="en-US" w:eastAsia="zh-CN"/>
              </w:rPr>
            </w:pPr>
            <w:r>
              <w:rPr>
                <w:rFonts w:hint="eastAsia" w:ascii="宋体" w:hAnsi="宋体" w:cs="宋体"/>
                <w:color w:val="auto"/>
                <w:sz w:val="22"/>
                <w:szCs w:val="22"/>
                <w:highlight w:val="none"/>
                <w:lang w:val="en-US" w:eastAsia="zh-CN"/>
              </w:rPr>
              <w:t xml:space="preserve">注：提供承诺书并加盖公章，未提供不得分。</w:t>
            </w:r>
            <w:bookmarkEnd w:id="234"/>
            <w:r/>
            <w:bookmarkEnd w:id="235"/>
            <w:r/>
            <w:r/>
          </w:p>
        </w:tc>
        <w:tc>
          <w:tcPr>
            <w:gridSpan w:val="2"/>
            <w:tcBorders>
              <w:top w:val="single" w:color="000000" w:sz="4" w:space="0"/>
              <w:left w:val="single" w:color="000000" w:sz="4" w:space="0"/>
              <w:bottom w:val="single" w:color="000000" w:sz="4" w:space="0"/>
              <w:right w:val="single" w:color="000000" w:sz="4" w:space="0"/>
            </w:tcBorders>
            <w:tcW w:w="2060" w:type="dxa"/>
            <w:vAlign w:val="center"/>
            <w:textDirection w:val="lrTb"/>
            <w:noWrap w:val="false"/>
          </w:tcPr>
          <w:p>
            <w:pPr>
              <w:jc w:val="center"/>
              <w:keepLines w:val="0"/>
              <w:keepNext w:val="0"/>
              <w:widowControl/>
              <w:rPr>
                <w:rFonts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1.0</w:t>
            </w:r>
            <w:r/>
          </w:p>
        </w:tc>
      </w:tr>
    </w:tbl>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（三）价格评估</w:t>
      </w:r>
      <w:r/>
    </w:p>
    <w:tbl>
      <w:tblPr>
        <w:tblStyle w:val="839"/>
        <w:tblW w:w="960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41"/>
        <w:gridCol w:w="1113"/>
        <w:gridCol w:w="6919"/>
        <w:gridCol w:w="934"/>
      </w:tblGrid>
      <w:tr>
        <w:trPr>
          <w:jc w:val="center"/>
          <w:trHeight w:val="757"/>
        </w:trPr>
        <w:tc>
          <w:tcPr>
            <w:tcW w:w="641" w:type="dxa"/>
            <w:vAlign w:val="center"/>
            <w:textDirection w:val="lrTb"/>
            <w:noWrap w:val="false"/>
          </w:tcPr>
          <w:p>
            <w:pPr>
              <w:jc w:val="center"/>
              <w:spacing w:line="360" w:lineRule="exact"/>
              <w:widowControl/>
              <w:rPr>
                <w:rFonts w:hint="eastAsia"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序号</w:t>
            </w:r>
            <w:r/>
          </w:p>
        </w:tc>
        <w:tc>
          <w:tcPr>
            <w:tcW w:w="1113" w:type="dxa"/>
            <w:vAlign w:val="center"/>
            <w:textDirection w:val="lrTb"/>
            <w:noWrap w:val="false"/>
          </w:tcPr>
          <w:p>
            <w:pPr>
              <w:jc w:val="center"/>
              <w:spacing w:line="360" w:lineRule="exact"/>
              <w:widowControl/>
              <w:rPr>
                <w:rFonts w:hint="eastAsia"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评审因素</w:t>
            </w:r>
            <w:r/>
          </w:p>
        </w:tc>
        <w:tc>
          <w:tcPr>
            <w:tcW w:w="6919" w:type="dxa"/>
            <w:vAlign w:val="center"/>
            <w:textDirection w:val="lrTb"/>
            <w:noWrap w:val="false"/>
          </w:tcPr>
          <w:p>
            <w:pPr>
              <w:jc w:val="center"/>
              <w:spacing w:line="360" w:lineRule="exact"/>
              <w:widowControl/>
              <w:rPr>
                <w:rFonts w:hint="eastAsia"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评审细则</w:t>
            </w:r>
            <w:r/>
          </w:p>
        </w:tc>
        <w:tc>
          <w:tcPr>
            <w:tcW w:w="934" w:type="dxa"/>
            <w:vAlign w:val="center"/>
            <w:textDirection w:val="lrTb"/>
            <w:noWrap w:val="false"/>
          </w:tcPr>
          <w:p>
            <w:pPr>
              <w:jc w:val="center"/>
              <w:spacing w:line="360" w:lineRule="exact"/>
              <w:widowControl/>
              <w:rPr>
                <w:rFonts w:hint="eastAsia"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分值</w:t>
            </w:r>
            <w:r/>
          </w:p>
        </w:tc>
      </w:tr>
      <w:tr>
        <w:trPr>
          <w:jc w:val="center"/>
          <w:trHeight w:val="441"/>
        </w:trPr>
        <w:tc>
          <w:tcPr>
            <w:gridSpan w:val="3"/>
            <w:tcW w:w="8673" w:type="dxa"/>
            <w:vAlign w:val="top"/>
            <w:textDirection w:val="lrTb"/>
            <w:noWrap w:val="false"/>
          </w:tcPr>
          <w:p>
            <w:pPr>
              <w:jc w:val="center"/>
              <w:keepLines w:val="0"/>
              <w:keepNext w:val="0"/>
              <w:widowControl/>
              <w:rPr>
                <w:rFonts w:hint="eastAsia" w:ascii="宋体" w:hAnsi="宋体" w:eastAsia="宋体" w:cs="宋体"/>
                <w:color w:val="auto"/>
                <w:spacing w:val="-2"/>
                <w:sz w:val="24"/>
                <w:szCs w:val="24"/>
                <w:highlight w:val="none"/>
                <w:lang w:eastAsia="en-US"/>
              </w:rPr>
              <w:suppressLineNumbers w:val="0"/>
            </w:pPr>
            <w:r>
              <w:rPr>
                <w:rFonts w:hint="eastAsia" w:ascii="宋体" w:hAnsi="宋体" w:cs="宋体"/>
                <w:i w:val="0"/>
                <w:iCs w:val="0"/>
                <w:color w:val="auto"/>
                <w:sz w:val="22"/>
                <w:szCs w:val="22"/>
                <w:highlight w:val="none"/>
                <w:u w:val="none"/>
                <w:lang w:val="en-US" w:eastAsia="en-US" w:bidi="ar"/>
              </w:rPr>
              <w:t xml:space="preserve">投标报价得分</w:t>
            </w:r>
            <w:r/>
          </w:p>
        </w:tc>
        <w:tc>
          <w:tcPr>
            <w:tcW w:w="934" w:type="dxa"/>
            <w:vAlign w:val="top"/>
            <w:textDirection w:val="lrTb"/>
            <w:noWrap w:val="false"/>
          </w:tcPr>
          <w:p>
            <w:pPr>
              <w:jc w:val="center"/>
              <w:keepLines w:val="0"/>
              <w:keepNext w:val="0"/>
              <w:widowControl/>
              <w:rPr>
                <w:rFonts w:hint="eastAsia" w:ascii="宋体" w:hAnsi="宋体" w:eastAsia="宋体" w:cs="宋体"/>
                <w:color w:val="auto"/>
                <w:spacing w:val="-2"/>
                <w:sz w:val="24"/>
                <w:szCs w:val="24"/>
                <w:highlight w:val="none"/>
                <w:lang w:eastAsia="en-US"/>
              </w:rPr>
              <w:suppressLineNumbers w:val="0"/>
            </w:pPr>
            <w:r>
              <w:rPr>
                <w:rFonts w:hint="eastAsia" w:ascii="宋体" w:hAnsi="宋体" w:cs="宋体"/>
                <w:i w:val="0"/>
                <w:iCs w:val="0"/>
                <w:color w:val="auto"/>
                <w:sz w:val="22"/>
                <w:szCs w:val="22"/>
                <w:highlight w:val="none"/>
                <w:u w:val="none"/>
                <w:lang w:val="en-US" w:eastAsia="zh-CN" w:bidi="ar"/>
              </w:rPr>
              <w:t xml:space="preserve">50</w:t>
            </w:r>
            <w:r/>
          </w:p>
        </w:tc>
      </w:tr>
      <w:tr>
        <w:trPr>
          <w:jc w:val="center"/>
          <w:trHeight w:val="3036"/>
        </w:trPr>
        <w:tc>
          <w:tcPr>
            <w:tcW w:w="641" w:type="dxa"/>
            <w:vAlign w:val="center"/>
            <w:textDirection w:val="lrTb"/>
            <w:noWrap w:val="false"/>
          </w:tcPr>
          <w:p>
            <w:pPr>
              <w:jc w:val="center"/>
              <w:spacing w:line="360" w:lineRule="exact"/>
              <w:widowControl/>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2"/>
                <w:szCs w:val="22"/>
                <w:highlight w:val="none"/>
                <w:lang w:val="en-US" w:eastAsia="en-US"/>
              </w:rPr>
              <w:t xml:space="preserve">1.1</w:t>
            </w:r>
            <w:r/>
          </w:p>
        </w:tc>
        <w:tc>
          <w:tcPr>
            <w:tcW w:w="1113" w:type="dxa"/>
            <w:vAlign w:val="center"/>
            <w:textDirection w:val="lrTb"/>
            <w:noWrap w:val="false"/>
          </w:tcPr>
          <w:p>
            <w:pPr>
              <w:jc w:val="center"/>
              <w:spacing w:line="276" w:lineRule="auto"/>
              <w:rPr>
                <w:rFonts w:hint="eastAsia" w:ascii="宋体" w:hAnsi="宋体" w:eastAsia="宋体" w:cs="宋体"/>
                <w:color w:val="auto"/>
                <w:sz w:val="24"/>
                <w:szCs w:val="24"/>
                <w:highlight w:val="none"/>
                <w:lang w:val="en-US" w:eastAsia="en-US"/>
              </w:rPr>
            </w:pPr>
            <w:r>
              <w:rPr>
                <w:rFonts w:hint="eastAsia" w:ascii="宋体" w:hAnsi="宋体"/>
                <w:color w:val="auto"/>
                <w:sz w:val="21"/>
                <w:szCs w:val="21"/>
                <w:highlight w:val="none"/>
                <w:lang w:val="en-US" w:eastAsia="en-US"/>
              </w:rPr>
              <w:t xml:space="preserve">投标报价</w:t>
            </w:r>
            <w:r/>
          </w:p>
        </w:tc>
        <w:tc>
          <w:tcPr>
            <w:tcW w:w="6919" w:type="dxa"/>
            <w:vAlign w:val="center"/>
            <w:textDirection w:val="lrTb"/>
            <w:noWrap w:val="false"/>
          </w:tcPr>
          <w:p>
            <w:pPr>
              <w:spacing w:line="36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综合评分法中的价格分采用低价优先法计算，满足招标文件要求且投标价格最低的投标报价为评标基准价，其价格分为满分50分。其他投标人的价格分统一按照下列公式计算:报价得分=（评标基准价/投标报价）×价格分值</w:t>
            </w:r>
            <w:r/>
          </w:p>
          <w:p>
            <w:pPr>
              <w:spacing w:line="36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z w:val="22"/>
                <w:szCs w:val="22"/>
                <w:highlight w:val="none"/>
                <w:lang w:val="en-US" w:eastAsia="zh-CN"/>
              </w:rPr>
              <w:t xml:space="preserve">注：根据财政部、工信部《政府采购促进中小企业发展管理办法》要求，提供的货物全部由符合政策要求的中小企业制造， 对其价格给予10%的调减，以调减后的价 格计算价格分。《中小企业声明函》填写格式见第六部分投标文件格式。</w:t>
            </w:r>
            <w:r/>
          </w:p>
        </w:tc>
        <w:tc>
          <w:tcPr>
            <w:tcW w:w="934" w:type="dxa"/>
            <w:vAlign w:val="center"/>
            <w:textDirection w:val="lrTb"/>
            <w:noWrap w:val="false"/>
          </w:tcPr>
          <w:p>
            <w:pPr>
              <w:jc w:val="center"/>
              <w:keepLines w:val="0"/>
              <w:keepNext w:val="0"/>
              <w:widowControl/>
              <w:rPr>
                <w:rFonts w:hint="eastAsia" w:ascii="宋体" w:hAnsi="宋体" w:eastAsia="宋体" w:cs="宋体"/>
                <w:color w:val="auto"/>
                <w:spacing w:val="-2"/>
                <w:sz w:val="24"/>
                <w:szCs w:val="24"/>
                <w:highlight w:val="none"/>
                <w:lang w:eastAsia="en-US"/>
              </w:rPr>
              <w:suppressLineNumbers w:val="0"/>
            </w:pPr>
            <w:r>
              <w:rPr>
                <w:rFonts w:hint="eastAsia" w:ascii="宋体" w:hAnsi="宋体" w:cs="宋体"/>
                <w:i w:val="0"/>
                <w:iCs w:val="0"/>
                <w:color w:val="auto"/>
                <w:sz w:val="22"/>
                <w:szCs w:val="22"/>
                <w:highlight w:val="none"/>
                <w:u w:val="none"/>
                <w:lang w:val="en-US" w:eastAsia="zh-CN" w:bidi="ar"/>
              </w:rPr>
              <w:t xml:space="preserve">50</w:t>
            </w:r>
            <w:r>
              <w:rPr>
                <w:rFonts w:hint="eastAsia" w:ascii="宋体" w:hAnsi="宋体" w:cs="宋体"/>
                <w:i w:val="0"/>
                <w:iCs w:val="0"/>
                <w:color w:val="auto"/>
                <w:sz w:val="22"/>
                <w:szCs w:val="22"/>
                <w:highlight w:val="none"/>
                <w:u w:val="none"/>
                <w:lang w:val="en-US" w:eastAsia="en-US" w:bidi="ar"/>
              </w:rPr>
              <w:t xml:space="preserve">.0</w:t>
            </w:r>
            <w:r/>
          </w:p>
        </w:tc>
      </w:tr>
    </w:tbl>
    <w:p>
      <w:pPr>
        <w:pStyle w:val="844"/>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9.相同品牌产品的处理原则</w:t>
      </w:r>
      <w:r/>
    </w:p>
    <w:p>
      <w:pPr>
        <w:pStyle w:val="844"/>
        <w:ind w:firstLine="473"/>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eastAsia="宋体" w:cs="宋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844"/>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10.允许修改评标结果的情形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10.1评标结果汇总完成后，除下列情形外，任何人不得修改评标结果：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（1）分值汇总计算错误的；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（2）分项评分超出评分标准范围的；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（3）评标委员会成员对客观评审因素评分不一致的；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（4）经评标委员会认定评分畸高、畸低的。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36" w:name="_Toc98669361"/>
      <w:r/>
      <w:bookmarkEnd w:id="236"/>
      <w:r/>
      <w:bookmarkStart w:id="237" w:name="_Toc100386064"/>
      <w:r/>
      <w:bookmarkEnd w:id="237"/>
      <w:r/>
      <w:bookmarkStart w:id="238" w:name="_Toc98669719"/>
      <w:r/>
      <w:bookmarkEnd w:id="238"/>
      <w:r/>
      <w:bookmarkStart w:id="239" w:name="_Toc92168030"/>
      <w:r/>
      <w:bookmarkEnd w:id="239"/>
      <w:r/>
      <w:bookmarkStart w:id="240" w:name="_Toc20732998"/>
      <w:r/>
      <w:bookmarkEnd w:id="240"/>
      <w:r/>
      <w:r/>
    </w:p>
    <w:p>
      <w:pPr>
        <w:pStyle w:val="844"/>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11.推荐中标候选人</w:t>
      </w:r>
      <w:r/>
    </w:p>
    <w:p>
      <w:pPr>
        <w:ind w:firstLine="4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b/>
          <w:color w:val="auto"/>
          <w:sz w:val="36"/>
          <w:szCs w:val="36"/>
          <w:highlight w:val="none"/>
          <w:lang w:val="en-US" w:eastAsia="en-US" w:bidi="ar-SA"/>
        </w:rPr>
      </w:pPr>
      <w:r>
        <w:rPr>
          <w:rFonts w:hint="eastAsia" w:ascii="宋体" w:hAnsi="宋体" w:eastAsia="宋体" w:cs="宋体"/>
          <w:b/>
          <w:color w:val="auto"/>
          <w:sz w:val="36"/>
          <w:szCs w:val="36"/>
          <w:highlight w:val="none"/>
          <w:lang w:val="en-US" w:eastAsia="en-US" w:bidi="ar-SA"/>
        </w:rPr>
        <w:br w:type="page" w:clear="all"/>
      </w:r>
      <w:r>
        <w:rPr>
          <w:rFonts w:hint="eastAsia" w:ascii="宋体" w:hAnsi="宋体" w:eastAsia="宋体" w:cs="宋体"/>
          <w:b/>
          <w:color w:val="auto"/>
          <w:sz w:val="36"/>
          <w:szCs w:val="36"/>
          <w:highlight w:val="none"/>
          <w:lang w:val="en-US" w:eastAsia="en-US" w:bidi="ar-SA"/>
        </w:rPr>
        <w:t xml:space="preserve">第六部分    投标文件（格式）</w:t>
      </w:r>
      <w:r/>
    </w:p>
    <w:p>
      <w:pPr>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pacing w:line="360" w:lineRule="auto"/>
        <w:rPr>
          <w:rFonts w:hint="eastAsia" w:ascii="宋体" w:hAnsi="宋体" w:eastAsia="宋体" w:cs="宋体"/>
          <w:color w:val="auto"/>
          <w:sz w:val="72"/>
          <w:highlight w:val="none"/>
        </w:rPr>
      </w:pPr>
      <w:r>
        <w:rPr>
          <w:rFonts w:hint="eastAsia" w:ascii="宋体" w:hAnsi="宋体" w:eastAsia="宋体" w:cs="宋体"/>
          <w:b/>
          <w:color w:val="auto"/>
          <w:sz w:val="72"/>
          <w:highlight w:val="none"/>
        </w:rPr>
        <w:t xml:space="preserve">投   标   文   件</w:t>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项目编号：</w:t>
      </w:r>
      <w:r>
        <w:rPr>
          <w:rFonts w:hint="eastAsia" w:ascii="宋体" w:hAnsi="宋体" w:eastAsia="宋体" w:cs="宋体"/>
          <w:b/>
          <w:color w:val="auto"/>
          <w:sz w:val="24"/>
          <w:highlight w:val="none"/>
          <w:u w:val="single"/>
        </w:rPr>
        <w:t xml:space="preserve">××××</w:t>
      </w:r>
      <w:r/>
    </w:p>
    <w:p>
      <w:pPr>
        <w:ind w:firstLine="560"/>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2"/>
        <w:jc w:val="center"/>
        <w:spacing w:line="360" w:lineRule="auto"/>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项目名称：</w:t>
      </w:r>
      <w:r>
        <w:rPr>
          <w:rFonts w:hint="eastAsia" w:ascii="宋体" w:hAnsi="宋体" w:eastAsia="宋体" w:cs="宋体"/>
          <w:b/>
          <w:color w:val="auto"/>
          <w:sz w:val="24"/>
          <w:highlight w:val="none"/>
          <w:u w:val="single"/>
        </w:rPr>
        <w:t xml:space="preserve">××××</w:t>
      </w:r>
      <w:r/>
    </w:p>
    <w:p>
      <w:pPr>
        <w:pStyle w:val="853"/>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853"/>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投 标 人（公章）：</w:t>
      </w:r>
      <w:r>
        <w:rPr>
          <w:rFonts w:hint="eastAsia" w:ascii="宋体" w:hAnsi="宋体" w:eastAsia="宋体" w:cs="宋体"/>
          <w:b/>
          <w:color w:val="auto"/>
          <w:sz w:val="24"/>
          <w:highlight w:val="none"/>
          <w:u w:val="single"/>
        </w:rPr>
        <w:t xml:space="preserve">××××</w:t>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32"/>
          <w:highlight w:val="none"/>
        </w:rPr>
        <w:t xml:space="preserve">年</w:t>
      </w: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32"/>
          <w:highlight w:val="none"/>
        </w:rPr>
        <w:t xml:space="preserve">月</w:t>
      </w: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32"/>
          <w:highlight w:val="none"/>
        </w:rPr>
        <w:t xml:space="preserve">日</w:t>
      </w:r>
      <w:r/>
    </w:p>
    <w:p>
      <w:pPr>
        <w:pStyle w:val="843"/>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一、资格部分</w:t>
      </w:r>
      <w:r/>
    </w:p>
    <w:p>
      <w:pPr>
        <w:pStyle w:val="843"/>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（一）投标函</w:t>
      </w:r>
      <w:r/>
    </w:p>
    <w:p>
      <w:pPr>
        <w:spacing w:line="360" w:lineRule="auto"/>
        <w:rPr>
          <w:rFonts w:hint="eastAsia" w:ascii="宋体" w:hAnsi="宋体" w:eastAsia="宋体" w:cs="宋体"/>
          <w:b/>
          <w:bCs/>
          <w:color w:val="auto"/>
          <w:sz w:val="30"/>
          <w:highlight w:val="none"/>
        </w:rPr>
      </w:pPr>
      <w:r>
        <w:rPr>
          <w:rFonts w:hint="eastAsia" w:ascii="宋体" w:hAnsi="宋体" w:eastAsia="宋体" w:cs="宋体"/>
          <w:b/>
          <w:color w:val="auto"/>
          <w:sz w:val="24"/>
          <w:highlight w:val="none"/>
          <w:u w:val="single"/>
        </w:rPr>
        <w:t xml:space="preserve">致</w:t>
      </w:r>
      <w:r>
        <w:rPr>
          <w:rFonts w:hint="eastAsia" w:ascii="宋体" w:hAnsi="宋体" w:eastAsia="宋体" w:cs="宋体"/>
          <w:b/>
          <w:color w:val="auto"/>
          <w:sz w:val="24"/>
          <w:szCs w:val="22"/>
          <w:highlight w:val="none"/>
          <w:u w:val="single"/>
          <w:lang w:val="en-US" w:eastAsia="zh-CN" w:bidi="ar-SA"/>
        </w:rPr>
        <w:t xml:space="preserve">××××（采购代理机构）</w:t>
      </w:r>
      <w:r>
        <w:rPr>
          <w:rFonts w:hint="eastAsia" w:ascii="宋体" w:hAnsi="宋体" w:eastAsia="宋体" w:cs="宋体"/>
          <w:b/>
          <w:bCs/>
          <w:color w:val="auto"/>
          <w:sz w:val="30"/>
          <w:highlight w:val="none"/>
        </w:rPr>
        <w:t xml:space="preserve">：</w:t>
      </w:r>
      <w:r/>
    </w:p>
    <w:p>
      <w:pPr>
        <w:pStyle w:val="853"/>
        <w:ind w:left="0" w:firstLine="560"/>
        <w:jc w:val="both"/>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4"/>
          <w:highlight w:val="none"/>
        </w:rPr>
        <w:t xml:space="preserve">根据贵方</w:t>
      </w:r>
      <w:r>
        <w:rPr>
          <w:rFonts w:hint="eastAsia" w:ascii="宋体" w:hAnsi="宋体" w:eastAsia="宋体" w:cs="宋体"/>
          <w:color w:val="auto"/>
          <w:sz w:val="28"/>
          <w:szCs w:val="28"/>
          <w:highlight w:val="none"/>
        </w:rPr>
        <w:t xml:space="preserve">关于</w:t>
      </w:r>
      <w:r>
        <w:rPr>
          <w:rFonts w:hint="eastAsia" w:ascii="宋体" w:hAnsi="宋体" w:eastAsia="宋体" w:cs="宋体"/>
          <w:b/>
          <w:color w:val="auto"/>
          <w:sz w:val="24"/>
          <w:szCs w:val="22"/>
          <w:highlight w:val="none"/>
          <w:u w:val="single"/>
          <w:lang w:val="en-US" w:eastAsia="zh-CN" w:bidi="ar-SA"/>
        </w:rPr>
        <w:t xml:space="preserve">××××（项目名称）（项目编号：××××）</w:t>
      </w:r>
      <w:r>
        <w:rPr>
          <w:rFonts w:hint="eastAsia" w:ascii="宋体" w:hAnsi="宋体" w:eastAsia="宋体" w:cs="宋体"/>
          <w:color w:val="auto"/>
          <w:sz w:val="28"/>
          <w:szCs w:val="24"/>
          <w:highlight w:val="none"/>
        </w:rPr>
        <w:t xml:space="preserve">的投标邀请</w:t>
      </w:r>
      <w:r>
        <w:rPr>
          <w:rFonts w:hint="eastAsia" w:ascii="宋体" w:hAnsi="宋体" w:eastAsia="宋体" w:cs="宋体"/>
          <w:color w:val="auto"/>
          <w:sz w:val="28"/>
          <w:szCs w:val="28"/>
          <w:highlight w:val="none"/>
        </w:rPr>
        <w:t xml:space="preserve">，我方已完全理解招标文件的所有内容。</w:t>
      </w:r>
      <w:r/>
    </w:p>
    <w:p>
      <w:pPr>
        <w:pStyle w:val="854"/>
        <w:ind w:left="1"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据此函，我方兹宣布同意如下：</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1．按招标文件规定提供货物的唯一投标报价见开标一览表。</w: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7"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15.8pt,19.5pt" to="15.8pt,19.5pt" fillcolor="#FFFFFF" strokecolor="#000000" strokeweight="0.14pt"/>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8"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round/>
                        </a:ln>
                      </wps:spPr>
                      <wps:bodyPr rot="0">
                        <a:prstTxWarp prst="textNoShape">
                          <a:avLst/>
                        </a:prstTxWarp>
                        <a:noAutofit/>
                      </wps:bodyPr>
                    </wps:wsp>
                  </a:graphicData>
                </a:graphic>
              </wp:anchor>
            </w:drawing>
          </mc:Choice>
          <mc:Fallback>
            <w:pict>
              <v:line id="shape 7" o:spid="_x0000_s7" style="position:absolute;left:0;text-align:left;z-index:251659264;mso-wrap-distance-left:9.0pt;mso-wrap-distance-top:0.0pt;mso-wrap-distance-right:9.0pt;mso-wrap-distance-bottom:0.0pt;visibility:visible;" from="210.0pt,15.6pt" to="210.1pt,15.6pt" fillcolor="#FFFFFF" strokecolor="#000000" strokeweight="0.14pt"/>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9"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visibility:visible;" from="15.8pt,19.5pt" to="15.8pt,19.5pt" fillcolor="#FFFFFF" strokecolor="#000000" strokeweight="0.14pt"/>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10"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10.0pt,15.6pt" to="210.1pt,15.6pt" fillcolor="#FFFFFF" strokecolor="#000000" strokeweight="0.14pt"/>
            </w:pict>
          </mc:Fallback>
        </mc:AlternateConten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1"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210.0pt,19.5pt" to="210.1pt,19.5pt" fillcolor="#FFFFFF" strokecolor="#000000" strokeweight="0.14pt"/>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2"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10.0pt,19.5pt" to="210.1pt,19.5pt" fillcolor="#FFFFFF" strokecolor="#000000" strokeweight="0.14pt"/>
            </w:pict>
          </mc:Fallback>
        </mc:AlternateContent>
      </w:r>
      <w:r>
        <w:rPr>
          <w:rFonts w:hint="eastAsia" w:ascii="宋体" w:hAnsi="宋体" w:eastAsia="宋体" w:cs="宋体"/>
          <w:color w:val="auto"/>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3．我方已</w:t>
      </w:r>
      <w:r>
        <w:rPr>
          <w:rFonts w:hint="eastAsia" w:ascii="宋体" w:hAnsi="宋体" w:eastAsia="宋体" w:cs="宋体"/>
          <w:color w:val="auto"/>
          <w:sz w:val="28"/>
          <w:highlight w:val="none"/>
        </w:rPr>
        <w:t xml:space="preserve">详读</w:t>
      </w:r>
      <w:r>
        <w:rPr>
          <w:rFonts w:hint="eastAsia" w:ascii="宋体" w:hAnsi="宋体" w:eastAsia="宋体" w:cs="宋体"/>
          <w:color w:val="auto"/>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10．遵守招标文件中要求的收费项目和标准。</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11．与本投标有关的一切正式往来通讯请寄：</w:t>
      </w:r>
      <w:r/>
    </w:p>
    <w:p>
      <w:pPr>
        <w:pStyle w:val="854"/>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地址： </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4"/>
          <w:highlight w:val="none"/>
        </w:rPr>
        <w:t xml:space="preserve">                  电话： </w:t>
      </w:r>
      <w:r>
        <w:rPr>
          <w:rFonts w:hint="eastAsia" w:ascii="宋体" w:hAnsi="宋体" w:eastAsia="宋体" w:cs="宋体"/>
          <w:b/>
          <w:color w:val="auto"/>
          <w:sz w:val="24"/>
          <w:highlight w:val="none"/>
          <w:u w:val="single"/>
        </w:rPr>
        <w:t xml:space="preserve">××</w:t>
      </w:r>
      <w:r/>
    </w:p>
    <w:p>
      <w:pPr>
        <w:pStyle w:val="854"/>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传真：</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8"/>
          <w:szCs w:val="24"/>
          <w:highlight w:val="none"/>
        </w:rPr>
        <w:t xml:space="preserve">                邮政编码：</w:t>
      </w:r>
      <w:r>
        <w:rPr>
          <w:rFonts w:hint="eastAsia" w:ascii="宋体" w:hAnsi="宋体" w:eastAsia="宋体" w:cs="宋体"/>
          <w:b/>
          <w:color w:val="auto"/>
          <w:sz w:val="24"/>
          <w:highlight w:val="none"/>
          <w:u w:val="single"/>
        </w:rPr>
        <w:t xml:space="preserve">××</w:t>
      </w:r>
      <w:r/>
    </w:p>
    <w:p>
      <w:pPr>
        <w:pStyle w:val="854"/>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投标人（公章）：</w:t>
      </w:r>
      <w:r>
        <w:rPr>
          <w:rFonts w:hint="eastAsia" w:ascii="宋体" w:hAnsi="宋体" w:eastAsia="宋体" w:cs="宋体"/>
          <w:b/>
          <w:color w:val="auto"/>
          <w:sz w:val="24"/>
          <w:highlight w:val="none"/>
          <w:u w:val="single"/>
        </w:rPr>
        <w:t xml:space="preserve">××</w:t>
      </w:r>
      <w:r/>
    </w:p>
    <w:p>
      <w:pPr>
        <w:pStyle w:val="854"/>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highlight w:val="none"/>
        </w:rPr>
        <w:t xml:space="preserve">法定代表人签字或盖章</w:t>
      </w:r>
      <w:r>
        <w:rPr>
          <w:rFonts w:hint="eastAsia" w:ascii="宋体" w:hAnsi="宋体" w:eastAsia="宋体" w:cs="宋体"/>
          <w:color w:val="auto"/>
          <w:sz w:val="28"/>
          <w:szCs w:val="24"/>
          <w:highlight w:val="none"/>
        </w:rPr>
        <w:t xml:space="preserve">： </w:t>
      </w:r>
      <w:r>
        <w:rPr>
          <w:rFonts w:hint="eastAsia" w:ascii="宋体" w:hAnsi="宋体" w:eastAsia="宋体" w:cs="宋体"/>
          <w:b/>
          <w:color w:val="auto"/>
          <w:sz w:val="24"/>
          <w:highlight w:val="none"/>
          <w:u w:val="single"/>
        </w:rPr>
        <w:t xml:space="preserve">××</w:t>
      </w:r>
      <w:r/>
    </w:p>
    <w:p>
      <w:pPr>
        <w:pStyle w:val="854"/>
        <w:ind w:right="1060" w:firstLine="560"/>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highlight w:val="none"/>
        </w:rPr>
        <w:t xml:space="preserve">日期： </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年</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月</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日</w:t>
      </w:r>
      <w:r/>
    </w:p>
    <w:p>
      <w:pPr>
        <w:pStyle w:val="843"/>
        <w:ind w:firstLine="883"/>
        <w:spacing w:line="360" w:lineRule="auto"/>
        <w:rPr>
          <w:rFonts w:hint="eastAsia" w:ascii="宋体" w:hAnsi="宋体" w:eastAsia="宋体" w:cs="宋体"/>
          <w:color w:val="auto"/>
          <w:sz w:val="32"/>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32"/>
          <w:highlight w:val="none"/>
        </w:rPr>
        <w:t xml:space="preserve">（二）独立承担民事责任的能力</w:t>
      </w:r>
      <w:r/>
    </w:p>
    <w:p>
      <w:pPr>
        <w:ind w:firstLine="56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jc w:val="center"/>
        <w:spacing w:line="360" w:lineRule="auto"/>
        <w:rPr>
          <w:rFonts w:hint="eastAsia" w:ascii="宋体" w:hAnsi="宋体" w:eastAsia="宋体" w:cs="宋体"/>
          <w:b/>
          <w:color w:val="auto"/>
          <w:sz w:val="32"/>
          <w:szCs w:val="20"/>
          <w:highlight w:val="none"/>
          <w:lang w:val="en-US" w:eastAsia="zh-CN" w:bidi="ar-SA"/>
        </w:rPr>
      </w:pPr>
      <w:r>
        <w:rPr>
          <w:rFonts w:hint="eastAsia" w:ascii="宋体" w:hAnsi="宋体" w:eastAsia="宋体" w:cs="宋体"/>
          <w:color w:val="auto"/>
          <w:sz w:val="28"/>
          <w:szCs w:val="28"/>
          <w:highlight w:val="none"/>
        </w:rPr>
        <w:t xml:space="preserve">提供法人或者其他组织的营业执照等证明文件复印件；投标人为自然人的，提供其身份证复印件</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br w:type="page" w:clear="all"/>
      </w:r>
      <w:r>
        <w:rPr>
          <w:rFonts w:hint="eastAsia" w:ascii="宋体" w:hAnsi="宋体" w:eastAsia="宋体" w:cs="宋体"/>
          <w:b/>
          <w:color w:val="auto"/>
          <w:sz w:val="32"/>
          <w:szCs w:val="32"/>
          <w:highlight w:val="none"/>
          <w:lang w:val="en-US" w:eastAsia="zh-CN" w:bidi="ar-SA"/>
        </w:rPr>
        <w:t xml:space="preserve">（三）良好的商业信誉和健全的财务会计制度</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提供</w:t>
      </w:r>
      <w:r>
        <w:rPr>
          <w:rFonts w:hint="eastAsia" w:ascii="宋体" w:hAnsi="宋体" w:eastAsia="宋体" w:cs="宋体"/>
          <w:color w:val="auto"/>
          <w:sz w:val="28"/>
          <w:szCs w:val="28"/>
          <w:highlight w:val="none"/>
          <w:lang w:val="en-US" w:eastAsia="zh-CN"/>
        </w:rPr>
        <w:t xml:space="preserve">2024</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eastAsia="zh-CN"/>
        </w:rPr>
        <w:t xml:space="preserve">或</w:t>
      </w:r>
      <w:r>
        <w:rPr>
          <w:rFonts w:hint="eastAsia" w:ascii="宋体" w:hAnsi="宋体" w:cs="宋体"/>
          <w:color w:val="auto"/>
          <w:sz w:val="28"/>
          <w:szCs w:val="28"/>
          <w:highlight w:val="none"/>
          <w:lang w:val="en-US" w:eastAsia="zh-CN"/>
        </w:rPr>
        <w:t xml:space="preserve">2025年</w:t>
      </w:r>
      <w:r>
        <w:rPr>
          <w:rFonts w:hint="eastAsia" w:ascii="宋体" w:hAnsi="宋体" w:eastAsia="宋体" w:cs="宋体"/>
          <w:color w:val="auto"/>
          <w:sz w:val="28"/>
          <w:szCs w:val="28"/>
          <w:highlight w:val="none"/>
        </w:rPr>
        <w:t xml:space="preserve">度财务报告、成立不满一年的提供至少一个月财务报告，或银行出具的资信证明，或财政部门认可的政府采购专业担保机构出具的投标担保函等，或提供</w:t>
      </w:r>
      <w:bookmarkStart w:id="241" w:name="_Hlk131494070"/>
      <w:r>
        <w:rPr>
          <w:rFonts w:hint="eastAsia" w:ascii="宋体" w:hAnsi="宋体" w:eastAsia="宋体" w:cs="宋体"/>
          <w:color w:val="auto"/>
          <w:sz w:val="28"/>
          <w:szCs w:val="28"/>
          <w:highlight w:val="none"/>
        </w:rPr>
        <w:t xml:space="preserve">资格承诺函</w:t>
      </w:r>
      <w:bookmarkEnd w:id="241"/>
      <w:r/>
      <w:bookmarkStart w:id="242" w:name="_Hlk131494108"/>
      <w:r>
        <w:rPr>
          <w:rFonts w:hint="eastAsia" w:ascii="宋体" w:hAnsi="宋体" w:eastAsia="宋体" w:cs="宋体"/>
          <w:color w:val="auto"/>
          <w:sz w:val="28"/>
          <w:szCs w:val="28"/>
          <w:highlight w:val="none"/>
        </w:rPr>
        <w:t xml:space="preserve">）</w:t>
      </w:r>
      <w:bookmarkEnd w:id="242"/>
      <w:r>
        <w:rPr>
          <w:rFonts w:hint="eastAsia" w:ascii="宋体" w:hAnsi="宋体" w:eastAsia="宋体" w:cs="宋体"/>
          <w:color w:val="auto"/>
          <w:sz w:val="28"/>
          <w:szCs w:val="28"/>
          <w:highlight w:val="none"/>
        </w:rPr>
        <w:t xml:space="preserve">。</w:t>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br w:type="page" w:clear="all"/>
      </w:r>
      <w:r/>
    </w:p>
    <w:p>
      <w:pPr>
        <w:pStyle w:val="843"/>
        <w:numPr>
          <w:ilvl w:val="0"/>
          <w:numId w:val="3"/>
        </w:numPr>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履行合同所必需的设备和专业技术能力</w:t>
      </w:r>
      <w:r/>
    </w:p>
    <w:p>
      <w:pPr>
        <w:pStyle w:val="855"/>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具备履行合同所必需的设备和专业技术能力的书面声明</w:t>
      </w:r>
      <w:r/>
    </w:p>
    <w:p>
      <w:pPr>
        <w:pStyle w:val="855"/>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55"/>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我单位郑重声明：我单位具备履行本项采购合同所必需的设备和专业技术能力，为履行本项采购合同我公司具备如下主要设备和主要专业技术能力： </w:t>
      </w:r>
      <w:r/>
    </w:p>
    <w:p>
      <w:pPr>
        <w:pStyle w:val="855"/>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主要设备有： </w:t>
      </w:r>
      <w:r/>
    </w:p>
    <w:p>
      <w:pPr>
        <w:pStyle w:val="855"/>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主要专业技术能力有：</w:t>
      </w:r>
      <w:r/>
    </w:p>
    <w:p>
      <w:pPr>
        <w:pStyle w:val="855"/>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55"/>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55"/>
        <w:ind w:firstLine="480"/>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供应商名称(公章)： </w:t>
      </w:r>
      <w:r/>
    </w:p>
    <w:p>
      <w:pPr>
        <w:pStyle w:val="855"/>
        <w:ind w:firstLine="720"/>
        <w:jc w:val="center"/>
        <w:spacing w:line="360" w:lineRule="auto"/>
        <w:rPr>
          <w:rFonts w:hint="eastAsia" w:ascii="宋体" w:hAnsi="宋体" w:eastAsia="宋体" w:cs="宋体"/>
          <w:color w:val="auto"/>
          <w:sz w:val="28"/>
          <w:szCs w:val="24"/>
          <w:highlight w:val="none"/>
          <w:u w:val="single"/>
        </w:rPr>
      </w:pPr>
      <w:r>
        <w:rPr>
          <w:rFonts w:hint="eastAsia" w:ascii="宋体" w:hAnsi="宋体" w:eastAsia="宋体" w:cs="宋体"/>
          <w:color w:val="auto"/>
          <w:sz w:val="28"/>
          <w:szCs w:val="28"/>
          <w:highlight w:val="none"/>
        </w:rPr>
        <w:t xml:space="preserve">                                            日期： 年 月 日</w:t>
      </w:r>
      <w:r/>
    </w:p>
    <w:p>
      <w:pPr>
        <w:jc w:val="center"/>
        <w:widowControl/>
        <w:rPr>
          <w:rFonts w:hint="eastAsia" w:ascii="宋体" w:hAnsi="宋体" w:eastAsia="宋体" w:cs="宋体"/>
          <w:b/>
          <w:color w:val="auto"/>
          <w:sz w:val="32"/>
          <w:szCs w:val="20"/>
          <w:highlight w:val="none"/>
          <w:lang w:val="en-US" w:eastAsia="zh-CN" w:bidi="ar-SA"/>
        </w:rPr>
      </w:pPr>
      <w:r>
        <w:rPr>
          <w:rFonts w:hint="eastAsia" w:ascii="宋体" w:hAnsi="宋体" w:eastAsia="宋体" w:cs="宋体"/>
          <w:b/>
          <w:color w:val="auto"/>
          <w:sz w:val="32"/>
          <w:szCs w:val="20"/>
          <w:highlight w:val="none"/>
        </w:rPr>
        <w:br w:type="page" w:clear="all"/>
      </w:r>
      <w:r>
        <w:rPr>
          <w:rFonts w:hint="eastAsia" w:ascii="宋体" w:hAnsi="宋体" w:eastAsia="宋体" w:cs="宋体"/>
          <w:b/>
          <w:color w:val="auto"/>
          <w:sz w:val="32"/>
          <w:szCs w:val="20"/>
          <w:highlight w:val="none"/>
          <w:lang w:val="en-US" w:eastAsia="zh-CN" w:bidi="ar-SA"/>
        </w:rPr>
        <w:t xml:space="preserve">（五）依法缴纳税收和社会保障资金的良好记录</w:t>
      </w:r>
      <w:r/>
    </w:p>
    <w:p>
      <w:pPr>
        <w:pStyle w:val="843"/>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提供参加本次政府采购活动前半年内至少一个月依法缴纳税收和社会保险的凭据，或提供资格承诺函。</w:t>
      </w:r>
      <w:r/>
    </w:p>
    <w:p>
      <w:pPr>
        <w:pStyle w:val="843"/>
        <w:ind w:firstLine="56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br w:type="page" w:clear="all"/>
      </w:r>
      <w:r/>
    </w:p>
    <w:p>
      <w:pPr>
        <w:pStyle w:val="844"/>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六</w:t>
      </w:r>
      <w:r>
        <w:rPr>
          <w:rFonts w:hint="eastAsia" w:ascii="宋体" w:hAnsi="宋体" w:eastAsia="宋体" w:cs="宋体"/>
          <w:color w:val="auto"/>
          <w:highlight w:val="none"/>
        </w:rPr>
        <w:t xml:space="preserve">）参加政府采购活动前三年内，在经营活动中没有重大违法记录</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 xml:space="preserve">（1）投标函或资格承诺函。</w:t>
      </w:r>
      <w:r/>
    </w:p>
    <w:p>
      <w:pPr>
        <w:pStyle w:val="844"/>
        <w:jc w:val="both"/>
        <w:keepLines w:val="0"/>
        <w:keepNext w:val="0"/>
        <w:spacing w:before="0" w:after="0" w:line="360" w:lineRule="auto"/>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en-US" w:bidi="ar-SA"/>
        </w:rPr>
        <w:t xml:space="preserve">（2）“信用中国”网站（www.creditchina.gov.cn）、中国政府采购网（www.ccgp.gov.cn）的查询结果未列入失信被执行人名单、重大税收违法案件当事人名单、政府采购严重违法失信行为名单，以现场查询为准。</w:t>
      </w:r>
      <w:r/>
    </w:p>
    <w:p>
      <w:pPr>
        <w:pStyle w:val="844"/>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4"/>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4"/>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4"/>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4"/>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4"/>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4"/>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4"/>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4"/>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4"/>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4"/>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4"/>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4"/>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4"/>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4"/>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4"/>
        <w:jc w:val="both"/>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4"/>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4"/>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七</w:t>
      </w:r>
      <w:r>
        <w:rPr>
          <w:rFonts w:hint="eastAsia" w:ascii="宋体" w:hAnsi="宋体" w:eastAsia="宋体" w:cs="宋体"/>
          <w:color w:val="auto"/>
          <w:highlight w:val="none"/>
        </w:rPr>
        <w:t xml:space="preserve">）落实政府采购政策需满足的资格要求</w:t>
      </w:r>
      <w:r/>
    </w:p>
    <w:p>
      <w:pPr>
        <w:pStyle w:val="844"/>
        <w:ind w:firstLine="643"/>
        <w:jc w:val="center"/>
        <w:keepLines w:val="0"/>
        <w:keepNext w:val="0"/>
        <w:spacing w:before="0" w:after="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44"/>
        <w:ind w:firstLine="643"/>
        <w:jc w:val="center"/>
        <w:keepLines w:val="0"/>
        <w:keepNext w:val="0"/>
        <w:spacing w:before="0" w:after="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中小企业声明函（货物类）</w:t>
      </w:r>
      <w:r/>
    </w:p>
    <w:p>
      <w:pPr>
        <w:pStyle w:val="845"/>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pacing w:val="6"/>
          <w:sz w:val="24"/>
          <w:szCs w:val="24"/>
          <w:highlight w:val="none"/>
          <w:u w:val="single"/>
        </w:rPr>
        <w:t xml:space="preserve">（单位名称）</w:t>
      </w:r>
      <w:r>
        <w:rPr>
          <w:rFonts w:hint="eastAsia" w:ascii="宋体" w:hAnsi="宋体" w:eastAsia="宋体" w:cs="宋体"/>
          <w:color w:val="auto"/>
          <w:spacing w:val="6"/>
          <w:sz w:val="24"/>
          <w:szCs w:val="24"/>
          <w:highlight w:val="none"/>
        </w:rPr>
        <w:t xml:space="preserve">的</w:t>
      </w:r>
      <w:r>
        <w:rPr>
          <w:rFonts w:hint="eastAsia" w:ascii="宋体" w:hAnsi="宋体" w:eastAsia="宋体" w:cs="宋体"/>
          <w:color w:val="auto"/>
          <w:spacing w:val="6"/>
          <w:sz w:val="24"/>
          <w:szCs w:val="24"/>
          <w:highlight w:val="none"/>
          <w:u w:val="single"/>
        </w:rPr>
        <w:t xml:space="preserve">（项目名称）</w:t>
      </w:r>
      <w:r>
        <w:rPr>
          <w:rFonts w:hint="eastAsia" w:ascii="宋体" w:hAnsi="宋体" w:eastAsia="宋体" w:cs="宋体"/>
          <w:color w:val="auto"/>
          <w:spacing w:val="6"/>
          <w:sz w:val="24"/>
          <w:szCs w:val="24"/>
          <w:highlight w:val="none"/>
        </w:rPr>
        <w:t xml:space="preserve">采购活动，提供的货物全部由符合政策要求的中小企业制造。相关企业（含联合体中的中小企业、签订分包意向协议的中小企业）的具体情况如下：  </w:t>
      </w:r>
      <w:r/>
    </w:p>
    <w:p>
      <w:pPr>
        <w:pStyle w:val="845"/>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1.</w:t>
      </w:r>
      <w:r>
        <w:rPr>
          <w:rFonts w:hint="eastAsia" w:ascii="宋体" w:hAnsi="宋体" w:eastAsia="宋体" w:cs="宋体"/>
          <w:color w:val="auto"/>
          <w:spacing w:val="6"/>
          <w:sz w:val="24"/>
          <w:szCs w:val="24"/>
          <w:highlight w:val="none"/>
          <w:u w:val="single"/>
        </w:rPr>
        <w:t xml:space="preserve">（标的名称）</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color w:val="auto"/>
          <w:spacing w:val="6"/>
          <w:sz w:val="24"/>
          <w:szCs w:val="24"/>
          <w:highlight w:val="none"/>
          <w:u w:val="single"/>
        </w:rPr>
        <w:t xml:space="preserve">（采购文件中明确的所属行业）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 xml:space="preserve">人</w:t>
      </w:r>
      <w:r>
        <w:rPr>
          <w:rFonts w:hint="eastAsia" w:ascii="宋体" w:hAnsi="宋体" w:eastAsia="宋体" w:cs="宋体"/>
          <w:color w:val="auto"/>
          <w:spacing w:val="6"/>
          <w:sz w:val="24"/>
          <w:szCs w:val="24"/>
          <w:highlight w:val="none"/>
        </w:rPr>
        <w:t xml:space="preserve">，营业收入为</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 xml:space="preserve">万元</w:t>
      </w:r>
      <w:r>
        <w:rPr>
          <w:rFonts w:hint="eastAsia" w:ascii="宋体" w:hAnsi="宋体" w:eastAsia="宋体" w:cs="宋体"/>
          <w:color w:val="auto"/>
          <w:spacing w:val="6"/>
          <w:sz w:val="24"/>
          <w:szCs w:val="24"/>
          <w:highlight w:val="none"/>
        </w:rPr>
        <w:t xml:space="preserve">，资产总额</w:t>
      </w:r>
      <w:r>
        <w:rPr>
          <w:rFonts w:hint="eastAsia" w:ascii="宋体" w:hAnsi="宋体" w:eastAsia="宋体" w:cs="宋体"/>
          <w:color w:val="auto"/>
          <w:spacing w:val="6"/>
          <w:sz w:val="24"/>
          <w:szCs w:val="24"/>
          <w:highlight w:val="none"/>
          <w:u w:val="single"/>
        </w:rPr>
        <w:t xml:space="preserve">为</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 xml:space="preserve">万元</w:t>
      </w:r>
      <w:r>
        <w:rPr>
          <w:rFonts w:hint="eastAsia" w:ascii="宋体" w:hAnsi="宋体" w:eastAsia="宋体" w:cs="宋体"/>
          <w:color w:val="auto"/>
          <w:spacing w:val="6"/>
          <w:sz w:val="24"/>
          <w:szCs w:val="24"/>
          <w:highlight w:val="none"/>
        </w:rPr>
        <w:t xml:space="preserve">，属于</w:t>
      </w:r>
      <w:bookmarkStart w:id="243" w:name="_Hlk133157441"/>
      <w:r>
        <w:rPr>
          <w:rFonts w:hint="eastAsia" w:ascii="宋体" w:hAnsi="宋体" w:eastAsia="宋体" w:cs="宋体"/>
          <w:color w:val="auto"/>
          <w:spacing w:val="6"/>
          <w:sz w:val="24"/>
          <w:szCs w:val="24"/>
          <w:highlight w:val="none"/>
          <w:u w:val="single"/>
        </w:rPr>
        <w:t xml:space="preserve">（中型企业、小型企业、微型企业）</w:t>
      </w:r>
      <w:bookmarkEnd w:id="243"/>
      <w:r>
        <w:rPr>
          <w:rFonts w:hint="eastAsia" w:ascii="宋体" w:hAnsi="宋体" w:eastAsia="宋体" w:cs="宋体"/>
          <w:color w:val="auto"/>
          <w:spacing w:val="6"/>
          <w:sz w:val="24"/>
          <w:szCs w:val="24"/>
          <w:highlight w:val="none"/>
        </w:rPr>
        <w:t xml:space="preserve">；  </w:t>
      </w:r>
      <w:r/>
    </w:p>
    <w:p>
      <w:pPr>
        <w:pStyle w:val="845"/>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2.</w:t>
      </w:r>
      <w:r>
        <w:rPr>
          <w:rFonts w:hint="eastAsia" w:ascii="宋体" w:hAnsi="宋体" w:eastAsia="宋体" w:cs="宋体"/>
          <w:color w:val="auto"/>
          <w:spacing w:val="6"/>
          <w:sz w:val="24"/>
          <w:szCs w:val="24"/>
          <w:highlight w:val="none"/>
          <w:u w:val="single"/>
        </w:rPr>
        <w:t xml:space="preserve">（标的名称）</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color w:val="auto"/>
          <w:spacing w:val="6"/>
          <w:sz w:val="24"/>
          <w:szCs w:val="24"/>
          <w:highlight w:val="none"/>
          <w:u w:val="single"/>
        </w:rPr>
        <w:t xml:space="preserve">（采购文件中明确的所属行业）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 xml:space="preserve">人</w:t>
      </w:r>
      <w:r>
        <w:rPr>
          <w:rFonts w:hint="eastAsia" w:ascii="宋体" w:hAnsi="宋体" w:eastAsia="宋体" w:cs="宋体"/>
          <w:color w:val="auto"/>
          <w:spacing w:val="6"/>
          <w:sz w:val="24"/>
          <w:szCs w:val="24"/>
          <w:highlight w:val="none"/>
        </w:rPr>
        <w:t xml:space="preserve">，营业收入为</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 xml:space="preserve">万元</w:t>
      </w:r>
      <w:r>
        <w:rPr>
          <w:rFonts w:hint="eastAsia" w:ascii="宋体" w:hAnsi="宋体" w:eastAsia="宋体" w:cs="宋体"/>
          <w:color w:val="auto"/>
          <w:spacing w:val="6"/>
          <w:sz w:val="24"/>
          <w:szCs w:val="24"/>
          <w:highlight w:val="none"/>
        </w:rPr>
        <w:t xml:space="preserve">，资产总额</w:t>
      </w:r>
      <w:r>
        <w:rPr>
          <w:rFonts w:hint="eastAsia" w:ascii="宋体" w:hAnsi="宋体" w:eastAsia="宋体" w:cs="宋体"/>
          <w:color w:val="auto"/>
          <w:spacing w:val="6"/>
          <w:sz w:val="24"/>
          <w:szCs w:val="24"/>
          <w:highlight w:val="none"/>
          <w:u w:val="single"/>
        </w:rPr>
        <w:t xml:space="preserve">为</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 xml:space="preserve">万元</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color w:val="auto"/>
          <w:spacing w:val="6"/>
          <w:sz w:val="24"/>
          <w:szCs w:val="24"/>
          <w:highlight w:val="none"/>
          <w:u w:val="single"/>
        </w:rPr>
        <w:t xml:space="preserve">（中型企业、小型企业、微型企业）</w:t>
      </w:r>
      <w:r>
        <w:rPr>
          <w:rFonts w:hint="eastAsia" w:ascii="宋体" w:hAnsi="宋体" w:eastAsia="宋体" w:cs="宋体"/>
          <w:color w:val="auto"/>
          <w:spacing w:val="6"/>
          <w:sz w:val="24"/>
          <w:szCs w:val="24"/>
          <w:highlight w:val="none"/>
        </w:rPr>
        <w:t xml:space="preserve">； </w:t>
      </w:r>
      <w:r/>
    </w:p>
    <w:p>
      <w:pPr>
        <w:pStyle w:val="845"/>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  </w:t>
      </w:r>
      <w:r/>
    </w:p>
    <w:p>
      <w:pPr>
        <w:pStyle w:val="845"/>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以上企业，不属于大企业的分支机构，不存在控股股东为大企业的情形，也不存在与大企业的负责人为同一人的情形。</w:t>
      </w:r>
      <w:r/>
    </w:p>
    <w:p>
      <w:pPr>
        <w:pStyle w:val="845"/>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本企业对上述声明内容的真实性负责。如有虚假，将依法承担相应责任。  </w:t>
      </w:r>
      <w:r/>
    </w:p>
    <w:p>
      <w:pPr>
        <w:pStyle w:val="845"/>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企业名称（盖章）：  </w:t>
      </w:r>
      <w:r/>
    </w:p>
    <w:p>
      <w:pPr>
        <w:pStyle w:val="845"/>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日 期：</w:t>
      </w:r>
      <w:r/>
    </w:p>
    <w:p>
      <w:pPr>
        <w:pStyle w:val="845"/>
        <w:ind w:firstLine="584"/>
        <w:jc w:val="left"/>
        <w:spacing w:line="24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pStyle w:val="845"/>
        <w:ind w:firstLine="584"/>
        <w:jc w:val="left"/>
        <w:spacing w:line="24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pStyle w:val="845"/>
        <w:ind w:firstLine="584"/>
        <w:jc w:val="left"/>
        <w:spacing w:line="24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注：</w:t>
      </w:r>
      <w:bookmarkStart w:id="244" w:name="_Hlk136448448"/>
      <w:r>
        <w:rPr>
          <w:rFonts w:hint="eastAsia" w:ascii="宋体" w:hAnsi="宋体" w:eastAsia="宋体" w:cs="宋体"/>
          <w:color w:val="auto"/>
          <w:spacing w:val="6"/>
          <w:sz w:val="24"/>
          <w:szCs w:val="24"/>
          <w:highlight w:val="none"/>
        </w:rPr>
        <w:t xml:space="preserve">1.从业人员、营业收入、资产总额填报上一年度数据，无上一年度数据的新成立企业可不填报。</w:t>
      </w:r>
      <w:bookmarkEnd w:id="244"/>
      <w:r/>
      <w:r/>
    </w:p>
    <w:p>
      <w:pPr>
        <w:pStyle w:val="845"/>
        <w:ind w:firstLine="1168"/>
        <w:jc w:val="left"/>
        <w:spacing w:line="24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2.本声明函中“属于（中型企业、小型企业、微型企业）”的内容，必须且只能选择其中之一填写。</w:t>
      </w:r>
      <w:r/>
    </w:p>
    <w:p>
      <w:pPr>
        <w:ind w:firstLine="1008"/>
        <w:jc w:val="left"/>
        <w:spacing w:line="240" w:lineRule="auto"/>
        <w:widowControl/>
        <w:rPr>
          <w:rFonts w:hint="eastAsia" w:ascii="宋体" w:hAnsi="宋体" w:eastAsia="宋体" w:cs="宋体"/>
          <w:b/>
          <w:color w:val="auto"/>
          <w:sz w:val="28"/>
          <w:szCs w:val="18"/>
          <w:highlight w:val="none"/>
        </w:rPr>
      </w:pPr>
      <w:r/>
      <w:bookmarkStart w:id="245" w:name="_Hlk136448662"/>
      <w:r>
        <w:rPr>
          <w:rFonts w:hint="eastAsia" w:ascii="宋体" w:hAnsi="宋体" w:eastAsia="宋体" w:cs="宋体"/>
          <w:color w:val="auto"/>
          <w:spacing w:val="6"/>
          <w:sz w:val="24"/>
          <w:szCs w:val="24"/>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245"/>
      <w:r/>
      <w:r/>
    </w:p>
    <w:p>
      <w:pPr>
        <w:jc w:val="center"/>
        <w:spacing w:before="313" w:line="226" w:lineRule="auto"/>
        <w:rPr>
          <w:rFonts w:hint="eastAsia" w:ascii="宋体" w:hAnsi="宋体" w:cs="宋体"/>
          <w:color w:val="auto"/>
          <w:sz w:val="29"/>
          <w:szCs w:val="29"/>
          <w:highlight w:val="none"/>
        </w:rPr>
      </w:pPr>
      <w:r>
        <w:rPr>
          <w:rFonts w:hint="eastAsia" w:ascii="宋体" w:hAnsi="宋体" w:cs="宋体"/>
          <w:color w:val="auto"/>
          <w:sz w:val="28"/>
          <w:szCs w:val="28"/>
          <w:highlight w:val="none"/>
        </w:rPr>
        <w:br w:type="page" w:clear="all"/>
      </w:r>
      <w:r>
        <w:rPr>
          <w:rFonts w:ascii="宋体" w:hAnsi="宋体" w:cs="宋体"/>
          <w:color w:val="auto"/>
          <w:spacing w:val="18"/>
          <w:sz w:val="29"/>
          <w:szCs w:val="29"/>
          <w:highlight w:val="none"/>
        </w:rPr>
        <w:t xml:space="preserve">《</w:t>
      </w:r>
      <w:r>
        <w:rPr>
          <w:rFonts w:ascii="宋体" w:hAnsi="宋体" w:cs="宋体"/>
          <w:color w:val="auto"/>
          <w:spacing w:val="9"/>
          <w:sz w:val="29"/>
          <w:szCs w:val="29"/>
          <w:highlight w:val="none"/>
        </w:rPr>
        <w:t xml:space="preserve">中小企业声明函》填写说明</w:t>
      </w:r>
      <w:r/>
    </w:p>
    <w:p>
      <w:pPr>
        <w:ind w:right="70" w:firstLine="16"/>
        <w:spacing w:before="186" w:line="309" w:lineRule="auto"/>
        <w:widowControl/>
        <w:rPr>
          <w:rFonts w:hint="eastAsia" w:ascii="宋体" w:hAnsi="宋体" w:cs="宋体"/>
          <w:color w:val="auto"/>
          <w:sz w:val="24"/>
          <w:highlight w:val="none"/>
        </w:rPr>
      </w:pPr>
      <w:r>
        <w:rPr>
          <w:rFonts w:ascii="宋体" w:hAnsi="宋体" w:cs="宋体"/>
          <w:color w:val="auto"/>
          <w:spacing w:val="12"/>
          <w:sz w:val="24"/>
          <w:highlight w:val="none"/>
        </w:rPr>
        <w:t xml:space="preserve">1</w:t>
      </w:r>
      <w:r>
        <w:rPr>
          <w:rFonts w:ascii="宋体" w:hAnsi="宋体" w:cs="宋体"/>
          <w:color w:val="auto"/>
          <w:spacing w:val="7"/>
          <w:sz w:val="24"/>
          <w:highlight w:val="none"/>
        </w:rPr>
        <w:t xml:space="preserve">、</w:t>
      </w:r>
      <w:r>
        <w:rPr>
          <w:rFonts w:ascii="宋体" w:hAnsi="宋体" w:cs="宋体"/>
          <w:color w:val="auto"/>
          <w:spacing w:val="6"/>
          <w:sz w:val="24"/>
          <w:highlight w:val="none"/>
        </w:rPr>
        <w:t xml:space="preserve">请各投标供应商按照本项目类别 (详见</w:t>
      </w:r>
      <w:r>
        <w:rPr>
          <w:rFonts w:hint="eastAsia" w:ascii="宋体" w:hAnsi="宋体" w:cs="宋体"/>
          <w:color w:val="auto"/>
          <w:spacing w:val="6"/>
          <w:sz w:val="24"/>
          <w:highlight w:val="none"/>
        </w:rPr>
        <w:t xml:space="preserve">采购</w:t>
      </w:r>
      <w:r>
        <w:rPr>
          <w:rFonts w:ascii="宋体" w:hAnsi="宋体" w:cs="宋体"/>
          <w:color w:val="auto"/>
          <w:spacing w:val="6"/>
          <w:sz w:val="24"/>
          <w:highlight w:val="none"/>
        </w:rPr>
        <w:t xml:space="preserve">需求) 选择对应的《中小企业</w:t>
      </w:r>
      <w:r>
        <w:rPr>
          <w:rFonts w:ascii="宋体" w:hAnsi="宋体" w:cs="宋体"/>
          <w:color w:val="auto"/>
          <w:spacing w:val="18"/>
          <w:sz w:val="24"/>
          <w:highlight w:val="none"/>
        </w:rPr>
        <w:t xml:space="preserve">声明函</w:t>
      </w:r>
      <w:r>
        <w:rPr>
          <w:rFonts w:ascii="宋体" w:hAnsi="宋体" w:cs="宋体"/>
          <w:color w:val="auto"/>
          <w:spacing w:val="12"/>
          <w:sz w:val="24"/>
          <w:highlight w:val="none"/>
        </w:rPr>
        <w:t xml:space="preserve">》</w:t>
      </w:r>
      <w:r>
        <w:rPr>
          <w:rFonts w:ascii="宋体" w:hAnsi="宋体" w:cs="宋体"/>
          <w:color w:val="auto"/>
          <w:spacing w:val="9"/>
          <w:sz w:val="24"/>
          <w:highlight w:val="none"/>
        </w:rPr>
        <w:t xml:space="preserve">进行填写，例如本项目属于货物类，则只需将本项提供的全部货物填写在《中小企</w:t>
      </w:r>
      <w:r>
        <w:rPr>
          <w:rFonts w:ascii="宋体" w:hAnsi="宋体" w:cs="宋体"/>
          <w:color w:val="auto"/>
          <w:spacing w:val="-4"/>
          <w:sz w:val="24"/>
          <w:highlight w:val="none"/>
        </w:rPr>
        <w:t xml:space="preserve">业声明函</w:t>
      </w:r>
      <w:r>
        <w:rPr>
          <w:rFonts w:ascii="宋体" w:hAnsi="宋体" w:cs="宋体"/>
          <w:color w:val="auto"/>
          <w:spacing w:val="-2"/>
          <w:sz w:val="24"/>
          <w:highlight w:val="none"/>
        </w:rPr>
        <w:t xml:space="preserve">》(货物)即可</w:t>
      </w:r>
      <w:r>
        <w:rPr>
          <w:rFonts w:hint="eastAsia" w:ascii="宋体" w:hAnsi="宋体" w:cs="宋体"/>
          <w:color w:val="auto"/>
          <w:spacing w:val="-2"/>
          <w:sz w:val="24"/>
          <w:highlight w:val="none"/>
        </w:rPr>
        <w:t xml:space="preserve">，</w:t>
      </w:r>
      <w:r>
        <w:rPr>
          <w:rFonts w:ascii="宋体" w:hAnsi="宋体" w:cs="宋体"/>
          <w:color w:val="auto"/>
          <w:spacing w:val="-2"/>
          <w:sz w:val="24"/>
          <w:highlight w:val="none"/>
        </w:rPr>
        <w:t xml:space="preserve">以此类推。</w:t>
      </w:r>
      <w:r/>
    </w:p>
    <w:p>
      <w:pPr>
        <w:ind w:right="70" w:firstLine="16"/>
        <w:spacing w:before="186" w:line="309" w:lineRule="auto"/>
        <w:widowControl/>
        <w:rPr>
          <w:rFonts w:hint="eastAsia" w:ascii="宋体" w:hAnsi="宋体" w:cs="宋体"/>
          <w:color w:val="auto"/>
          <w:spacing w:val="9"/>
          <w:sz w:val="24"/>
          <w:highlight w:val="none"/>
        </w:rPr>
      </w:pPr>
      <w:r>
        <w:rPr>
          <w:rFonts w:ascii="宋体" w:hAnsi="宋体" w:cs="宋体"/>
          <w:color w:val="auto"/>
          <w:spacing w:val="9"/>
          <w:sz w:val="24"/>
          <w:highlight w:val="none"/>
        </w:rPr>
        <w:t xml:space="preserve">2、采购标的对应的中小企业划分标准所属行业，以</w:t>
      </w:r>
      <w:r>
        <w:rPr>
          <w:rFonts w:hint="eastAsia" w:ascii="宋体" w:hAnsi="宋体" w:cs="宋体"/>
          <w:color w:val="auto"/>
          <w:spacing w:val="9"/>
          <w:sz w:val="24"/>
          <w:highlight w:val="none"/>
        </w:rPr>
        <w:t xml:space="preserve">采购</w:t>
      </w:r>
      <w:r>
        <w:rPr>
          <w:rFonts w:ascii="宋体" w:hAnsi="宋体" w:cs="宋体"/>
          <w:color w:val="auto"/>
          <w:spacing w:val="9"/>
          <w:sz w:val="24"/>
          <w:highlight w:val="none"/>
        </w:rPr>
        <w:t xml:space="preserve">需求中的项目所属行业为准。</w:t>
      </w:r>
      <w:r/>
    </w:p>
    <w:p>
      <w:pPr>
        <w:ind w:right="18" w:firstLine="5"/>
        <w:spacing w:before="132" w:line="328" w:lineRule="auto"/>
        <w:widowControl/>
        <w:rPr>
          <w:rFonts w:hint="eastAsia" w:ascii="宋体" w:hAnsi="宋体" w:cs="宋体"/>
          <w:color w:val="auto"/>
          <w:sz w:val="24"/>
          <w:highlight w:val="none"/>
        </w:rPr>
      </w:pPr>
      <w:r>
        <w:rPr>
          <w:rFonts w:ascii="宋体" w:hAnsi="宋体" w:cs="宋体"/>
          <w:color w:val="auto"/>
          <w:spacing w:val="18"/>
          <w:sz w:val="24"/>
          <w:highlight w:val="none"/>
        </w:rPr>
        <w:t xml:space="preserve">3、</w:t>
      </w:r>
      <w:r>
        <w:rPr>
          <w:rFonts w:ascii="宋体" w:hAnsi="宋体" w:cs="宋体"/>
          <w:color w:val="auto"/>
          <w:spacing w:val="10"/>
          <w:sz w:val="24"/>
          <w:highlight w:val="none"/>
        </w:rPr>
        <w:t xml:space="preserve">本</w:t>
      </w:r>
      <w:r>
        <w:rPr>
          <w:rFonts w:ascii="宋体" w:hAnsi="宋体" w:cs="宋体"/>
          <w:color w:val="auto"/>
          <w:spacing w:val="9"/>
          <w:sz w:val="24"/>
          <w:highlight w:val="none"/>
        </w:rPr>
        <w:t xml:space="preserve">办法所称中小企业，是指在中华人民共和国境内依法设立，依据国务院批准的中小企业</w:t>
      </w:r>
      <w:r>
        <w:rPr>
          <w:rFonts w:ascii="宋体" w:hAnsi="宋体" w:cs="宋体"/>
          <w:color w:val="auto"/>
          <w:spacing w:val="18"/>
          <w:sz w:val="24"/>
          <w:highlight w:val="none"/>
        </w:rPr>
        <w:t xml:space="preserve">划分标</w:t>
      </w:r>
      <w:r>
        <w:rPr>
          <w:rFonts w:ascii="宋体" w:hAnsi="宋体" w:cs="宋体"/>
          <w:color w:val="auto"/>
          <w:spacing w:val="12"/>
          <w:sz w:val="24"/>
          <w:highlight w:val="none"/>
        </w:rPr>
        <w:t xml:space="preserve">准</w:t>
      </w:r>
      <w:r>
        <w:rPr>
          <w:rFonts w:ascii="宋体" w:hAnsi="宋体" w:cs="宋体"/>
          <w:color w:val="auto"/>
          <w:spacing w:val="9"/>
          <w:sz w:val="24"/>
          <w:highlight w:val="none"/>
        </w:rPr>
        <w:t xml:space="preserve">确定的中型企业、小型企业和微型企业，但与大企业的负责人为同一人，或者与大</w:t>
      </w:r>
      <w:r>
        <w:rPr>
          <w:rFonts w:ascii="宋体" w:hAnsi="宋体" w:cs="宋体"/>
          <w:color w:val="auto"/>
          <w:spacing w:val="16"/>
          <w:sz w:val="24"/>
          <w:highlight w:val="none"/>
        </w:rPr>
        <w:t xml:space="preserve">企业</w:t>
      </w:r>
      <w:r>
        <w:rPr>
          <w:rFonts w:ascii="宋体" w:hAnsi="宋体" w:cs="宋体"/>
          <w:color w:val="auto"/>
          <w:spacing w:val="9"/>
          <w:sz w:val="24"/>
          <w:highlight w:val="none"/>
        </w:rPr>
        <w:t xml:space="preserve">存</w:t>
      </w:r>
      <w:r>
        <w:rPr>
          <w:rFonts w:ascii="宋体" w:hAnsi="宋体" w:cs="宋体"/>
          <w:color w:val="auto"/>
          <w:spacing w:val="8"/>
          <w:sz w:val="24"/>
          <w:highlight w:val="none"/>
        </w:rPr>
        <w:t xml:space="preserve">在直接控股、管理关系的除外。符合中小企业划分标准的个体工商户，视同中小企业；</w:t>
      </w:r>
      <w:r>
        <w:rPr>
          <w:rFonts w:ascii="宋体" w:hAnsi="宋体" w:cs="宋体"/>
          <w:color w:val="auto"/>
          <w:spacing w:val="18"/>
          <w:sz w:val="24"/>
          <w:highlight w:val="none"/>
        </w:rPr>
        <w:t xml:space="preserve">事业单</w:t>
      </w:r>
      <w:r>
        <w:rPr>
          <w:rFonts w:ascii="宋体" w:hAnsi="宋体" w:cs="宋体"/>
          <w:color w:val="auto"/>
          <w:spacing w:val="12"/>
          <w:sz w:val="24"/>
          <w:highlight w:val="none"/>
        </w:rPr>
        <w:t xml:space="preserve">位</w:t>
      </w:r>
      <w:r>
        <w:rPr>
          <w:rFonts w:ascii="宋体" w:hAnsi="宋体" w:cs="宋体"/>
          <w:color w:val="auto"/>
          <w:spacing w:val="9"/>
          <w:sz w:val="24"/>
          <w:highlight w:val="none"/>
        </w:rPr>
        <w:t xml:space="preserve">、团体组织等非企业性质的政府采购供应商，不属于中小企业划型标准确定的中小</w:t>
      </w:r>
      <w:r>
        <w:rPr>
          <w:rFonts w:ascii="宋体" w:hAnsi="宋体" w:cs="宋体"/>
          <w:color w:val="auto"/>
          <w:spacing w:val="4"/>
          <w:sz w:val="24"/>
          <w:highlight w:val="none"/>
        </w:rPr>
        <w:t xml:space="preserve">企</w:t>
      </w:r>
      <w:r>
        <w:rPr>
          <w:rFonts w:ascii="宋体" w:hAnsi="宋体" w:cs="宋体"/>
          <w:color w:val="auto"/>
          <w:spacing w:val="3"/>
          <w:sz w:val="24"/>
          <w:highlight w:val="none"/>
        </w:rPr>
        <w:t xml:space="preserve">业。</w:t>
      </w:r>
      <w:r/>
    </w:p>
    <w:p>
      <w:pPr>
        <w:ind w:right="70"/>
        <w:spacing w:before="123" w:line="289" w:lineRule="auto"/>
        <w:widowControl/>
        <w:rPr>
          <w:rFonts w:hint="eastAsia" w:ascii="宋体" w:hAnsi="宋体" w:cs="宋体"/>
          <w:color w:val="auto"/>
          <w:sz w:val="24"/>
          <w:highlight w:val="none"/>
        </w:rPr>
      </w:pPr>
      <w:r>
        <w:rPr>
          <w:rFonts w:ascii="宋体" w:hAnsi="宋体" w:cs="宋体"/>
          <w:color w:val="auto"/>
          <w:spacing w:val="18"/>
          <w:sz w:val="24"/>
          <w:highlight w:val="none"/>
        </w:rPr>
        <w:t xml:space="preserve">4、</w:t>
      </w:r>
      <w:r>
        <w:rPr>
          <w:rFonts w:ascii="宋体" w:hAnsi="宋体" w:cs="宋体"/>
          <w:color w:val="auto"/>
          <w:spacing w:val="15"/>
          <w:sz w:val="24"/>
          <w:highlight w:val="none"/>
        </w:rPr>
        <w:t xml:space="preserve">从</w:t>
      </w:r>
      <w:r>
        <w:rPr>
          <w:rFonts w:ascii="宋体" w:hAnsi="宋体" w:cs="宋体"/>
          <w:color w:val="auto"/>
          <w:spacing w:val="9"/>
          <w:sz w:val="24"/>
          <w:highlight w:val="none"/>
        </w:rPr>
        <w:t xml:space="preserve">业人员、营业收入、资产总额填报上一年度数据，无上一年度数据的新成立企业可不填</w:t>
      </w:r>
      <w:r>
        <w:rPr>
          <w:rFonts w:ascii="宋体" w:hAnsi="宋体" w:cs="宋体"/>
          <w:color w:val="auto"/>
          <w:spacing w:val="1"/>
          <w:sz w:val="24"/>
          <w:highlight w:val="none"/>
        </w:rPr>
        <w:t xml:space="preserve">报。</w:t>
      </w:r>
      <w:r/>
    </w:p>
    <w:p>
      <w:pPr>
        <w:ind w:left="14" w:right="70" w:hanging="9"/>
        <w:spacing w:before="132" w:line="291" w:lineRule="auto"/>
        <w:widowControl/>
        <w:rPr>
          <w:rFonts w:hint="eastAsia" w:ascii="宋体" w:hAnsi="宋体" w:cs="宋体"/>
          <w:color w:val="auto"/>
          <w:sz w:val="24"/>
          <w:highlight w:val="none"/>
        </w:rPr>
      </w:pPr>
      <w:r>
        <w:rPr>
          <w:rFonts w:ascii="宋体" w:hAnsi="宋体" w:cs="宋体"/>
          <w:color w:val="auto"/>
          <w:spacing w:val="18"/>
          <w:sz w:val="24"/>
          <w:highlight w:val="none"/>
        </w:rPr>
        <w:t xml:space="preserve">5、</w:t>
      </w:r>
      <w:r>
        <w:rPr>
          <w:rFonts w:ascii="宋体" w:hAnsi="宋体" w:cs="宋体"/>
          <w:color w:val="auto"/>
          <w:spacing w:val="10"/>
          <w:sz w:val="24"/>
          <w:highlight w:val="none"/>
        </w:rPr>
        <w:t xml:space="preserve">投</w:t>
      </w:r>
      <w:r>
        <w:rPr>
          <w:rFonts w:ascii="宋体" w:hAnsi="宋体" w:cs="宋体"/>
          <w:color w:val="auto"/>
          <w:spacing w:val="9"/>
          <w:sz w:val="24"/>
          <w:highlight w:val="none"/>
        </w:rPr>
        <w:t xml:space="preserve">标供应商未按照上述格式正确填写《中小企业声明函》的，视为未提供《中小企业声明</w:t>
      </w:r>
      <w:r>
        <w:rPr>
          <w:rFonts w:ascii="宋体" w:hAnsi="宋体" w:cs="宋体"/>
          <w:color w:val="auto"/>
          <w:spacing w:val="14"/>
          <w:sz w:val="24"/>
          <w:highlight w:val="none"/>
        </w:rPr>
        <w:t xml:space="preserve">函</w:t>
      </w:r>
      <w:r>
        <w:rPr>
          <w:rFonts w:ascii="宋体" w:hAnsi="宋体" w:cs="宋体"/>
          <w:color w:val="auto"/>
          <w:spacing w:val="10"/>
          <w:sz w:val="24"/>
          <w:highlight w:val="none"/>
        </w:rPr>
        <w:t xml:space="preserve">》</w:t>
      </w:r>
      <w:r>
        <w:rPr>
          <w:rFonts w:ascii="宋体" w:hAnsi="宋体" w:cs="宋体"/>
          <w:color w:val="auto"/>
          <w:spacing w:val="7"/>
          <w:sz w:val="24"/>
          <w:highlight w:val="none"/>
        </w:rPr>
        <w:t xml:space="preserve">，不享受中小企业扶持政策。</w:t>
      </w:r>
      <w:r/>
    </w:p>
    <w:p>
      <w:pPr>
        <w:ind w:left="21"/>
        <w:spacing w:before="66" w:line="228" w:lineRule="auto"/>
        <w:widowControl/>
        <w:rPr>
          <w:rFonts w:hint="eastAsia" w:ascii="宋体" w:hAnsi="宋体" w:cs="宋体"/>
          <w:b/>
          <w:color w:val="auto"/>
          <w:sz w:val="24"/>
          <w:highlight w:val="none"/>
        </w:rPr>
      </w:pPr>
      <w:r>
        <w:rPr>
          <w:rFonts w:hint="eastAsia" w:ascii="宋体" w:hAnsi="宋体" w:cs="宋体"/>
          <w:b/>
          <w:color w:val="auto"/>
          <w:spacing w:val="7"/>
          <w:sz w:val="24"/>
          <w:highlight w:val="none"/>
        </w:rPr>
        <w:t xml:space="preserve">《</w:t>
      </w:r>
      <w:r>
        <w:rPr>
          <w:rFonts w:ascii="宋体" w:hAnsi="宋体" w:cs="宋体"/>
          <w:b/>
          <w:color w:val="auto"/>
          <w:spacing w:val="7"/>
          <w:sz w:val="24"/>
          <w:highlight w:val="none"/>
        </w:rPr>
        <w:t xml:space="preserve">中小企业划型标准规</w:t>
      </w:r>
      <w:r>
        <w:rPr>
          <w:rFonts w:ascii="宋体" w:hAnsi="宋体" w:cs="宋体"/>
          <w:b/>
          <w:color w:val="auto"/>
          <w:spacing w:val="6"/>
          <w:sz w:val="24"/>
          <w:highlight w:val="none"/>
        </w:rPr>
        <w:t xml:space="preserve">定</w:t>
      </w:r>
      <w:r>
        <w:rPr>
          <w:rFonts w:hint="eastAsia" w:ascii="宋体" w:hAnsi="宋体" w:cs="宋体"/>
          <w:b/>
          <w:color w:val="auto"/>
          <w:spacing w:val="6"/>
          <w:sz w:val="24"/>
          <w:highlight w:val="none"/>
        </w:rPr>
        <w:t xml:space="preserve">》</w:t>
      </w:r>
      <w:r/>
    </w:p>
    <w:p>
      <w:pPr>
        <w:ind w:right="174" w:firstLine="4"/>
        <w:spacing w:before="135" w:line="288" w:lineRule="auto"/>
        <w:widowControl/>
        <w:rPr>
          <w:rFonts w:hint="eastAsia" w:ascii="宋体" w:hAnsi="宋体" w:cs="宋体"/>
          <w:color w:val="auto"/>
          <w:sz w:val="24"/>
          <w:highlight w:val="none"/>
        </w:rPr>
      </w:pPr>
      <w:r>
        <w:rPr>
          <w:rFonts w:ascii="宋体" w:hAnsi="宋体" w:cs="宋体"/>
          <w:color w:val="auto"/>
          <w:spacing w:val="18"/>
          <w:sz w:val="24"/>
          <w:highlight w:val="none"/>
        </w:rPr>
        <w:t xml:space="preserve">一、</w:t>
      </w:r>
      <w:r>
        <w:rPr>
          <w:rFonts w:ascii="宋体" w:hAnsi="宋体" w:cs="宋体"/>
          <w:color w:val="auto"/>
          <w:spacing w:val="17"/>
          <w:sz w:val="24"/>
          <w:highlight w:val="none"/>
        </w:rPr>
        <w:t xml:space="preserve">根</w:t>
      </w:r>
      <w:r>
        <w:rPr>
          <w:rFonts w:ascii="宋体" w:hAnsi="宋体" w:cs="宋体"/>
          <w:color w:val="auto"/>
          <w:spacing w:val="9"/>
          <w:sz w:val="24"/>
          <w:highlight w:val="none"/>
        </w:rPr>
        <w:t xml:space="preserve">据《中华人民共和国中小企业促进法》和《国务院关于进一步促进中小企业发展的若</w:t>
      </w:r>
      <w:r>
        <w:rPr>
          <w:rFonts w:ascii="宋体" w:hAnsi="宋体" w:cs="宋体"/>
          <w:color w:val="auto"/>
          <w:spacing w:val="2"/>
          <w:sz w:val="24"/>
          <w:highlight w:val="none"/>
        </w:rPr>
        <w:t xml:space="preserve">干意见》(国发〔20</w:t>
      </w:r>
      <w:r>
        <w:rPr>
          <w:rFonts w:ascii="宋体" w:hAnsi="宋体" w:cs="宋体"/>
          <w:color w:val="auto"/>
          <w:spacing w:val="1"/>
          <w:sz w:val="24"/>
          <w:highlight w:val="none"/>
        </w:rPr>
        <w:t xml:space="preserve">09〕36号)，制定本规定。</w:t>
      </w:r>
      <w:r/>
    </w:p>
    <w:p>
      <w:pPr>
        <w:ind w:left="10" w:right="209" w:hanging="5"/>
        <w:spacing w:before="133" w:line="290" w:lineRule="auto"/>
        <w:widowControl/>
        <w:rPr>
          <w:rFonts w:hint="eastAsia" w:ascii="宋体" w:hAnsi="宋体" w:cs="宋体"/>
          <w:color w:val="auto"/>
          <w:sz w:val="24"/>
          <w:highlight w:val="none"/>
        </w:rPr>
      </w:pPr>
      <w:r>
        <w:rPr>
          <w:rFonts w:ascii="宋体" w:hAnsi="宋体" w:cs="宋体"/>
          <w:color w:val="auto"/>
          <w:spacing w:val="16"/>
          <w:sz w:val="24"/>
          <w:highlight w:val="none"/>
        </w:rPr>
        <w:t xml:space="preserve">二、中</w:t>
      </w:r>
      <w:r>
        <w:rPr>
          <w:rFonts w:ascii="宋体" w:hAnsi="宋体" w:cs="宋体"/>
          <w:color w:val="auto"/>
          <w:spacing w:val="15"/>
          <w:sz w:val="24"/>
          <w:highlight w:val="none"/>
        </w:rPr>
        <w:t xml:space="preserve">小</w:t>
      </w:r>
      <w:r>
        <w:rPr>
          <w:rFonts w:ascii="宋体" w:hAnsi="宋体" w:cs="宋体"/>
          <w:color w:val="auto"/>
          <w:spacing w:val="8"/>
          <w:sz w:val="24"/>
          <w:highlight w:val="none"/>
        </w:rPr>
        <w:t xml:space="preserve">企业划分为中型、小型、微型三种类型，具体标准根据企业从业人员、营业收入、</w:t>
      </w:r>
      <w:r>
        <w:rPr>
          <w:rFonts w:ascii="宋体" w:hAnsi="宋体" w:cs="宋体"/>
          <w:color w:val="auto"/>
          <w:spacing w:val="12"/>
          <w:sz w:val="24"/>
          <w:highlight w:val="none"/>
        </w:rPr>
        <w:t xml:space="preserve">资</w:t>
      </w:r>
      <w:r>
        <w:rPr>
          <w:rFonts w:ascii="宋体" w:hAnsi="宋体" w:cs="宋体"/>
          <w:color w:val="auto"/>
          <w:spacing w:val="8"/>
          <w:sz w:val="24"/>
          <w:highlight w:val="none"/>
        </w:rPr>
        <w:t xml:space="preserve">产总额等指标，结合行业特点制定。</w:t>
      </w:r>
      <w:r/>
    </w:p>
    <w:p>
      <w:pPr>
        <w:spacing w:before="136" w:line="330" w:lineRule="auto"/>
        <w:widowControl/>
        <w:rPr>
          <w:rFonts w:hint="eastAsia" w:ascii="宋体" w:hAnsi="宋体" w:cs="宋体"/>
          <w:color w:val="auto"/>
          <w:sz w:val="24"/>
          <w:highlight w:val="none"/>
        </w:rPr>
      </w:pPr>
      <w:r>
        <w:rPr>
          <w:rFonts w:ascii="宋体" w:hAnsi="宋体" w:cs="宋体"/>
          <w:color w:val="auto"/>
          <w:spacing w:val="11"/>
          <w:sz w:val="24"/>
          <w:highlight w:val="none"/>
        </w:rPr>
        <w:t xml:space="preserve">三</w:t>
      </w:r>
      <w:r>
        <w:rPr>
          <w:rFonts w:ascii="宋体" w:hAnsi="宋体" w:cs="宋体"/>
          <w:color w:val="auto"/>
          <w:spacing w:val="6"/>
          <w:sz w:val="24"/>
          <w:highlight w:val="none"/>
        </w:rPr>
        <w:t xml:space="preserve">、本规定适用的行业包括：农、林、牧、渔业，工业 (包括采矿业，制造业，电力、热力、</w:t>
      </w:r>
      <w:r>
        <w:rPr>
          <w:rFonts w:ascii="宋体" w:hAnsi="宋体" w:cs="宋体"/>
          <w:color w:val="auto"/>
          <w:sz w:val="24"/>
          <w:highlight w:val="none"/>
        </w:rPr>
        <w:t xml:space="preserve"> </w:t>
      </w:r>
      <w:r>
        <w:rPr>
          <w:rFonts w:ascii="宋体" w:hAnsi="宋体" w:cs="宋体"/>
          <w:color w:val="auto"/>
          <w:spacing w:val="12"/>
          <w:sz w:val="24"/>
          <w:highlight w:val="none"/>
        </w:rPr>
        <w:t xml:space="preserve">燃</w:t>
      </w:r>
      <w:r>
        <w:rPr>
          <w:rFonts w:ascii="宋体" w:hAnsi="宋体" w:cs="宋体"/>
          <w:color w:val="auto"/>
          <w:spacing w:val="9"/>
          <w:sz w:val="24"/>
          <w:highlight w:val="none"/>
        </w:rPr>
        <w:t xml:space="preserve">气及水生产和供应业)，建筑业，批发业，零售业，交通运输业(不含铁路运输业)，仓</w:t>
      </w:r>
      <w:r>
        <w:rPr>
          <w:rFonts w:ascii="宋体" w:hAnsi="宋体" w:cs="宋体"/>
          <w:color w:val="auto"/>
          <w:spacing w:val="18"/>
          <w:sz w:val="24"/>
          <w:highlight w:val="none"/>
        </w:rPr>
        <w:t xml:space="preserve">储</w:t>
      </w:r>
      <w:r>
        <w:rPr>
          <w:rFonts w:ascii="宋体" w:hAnsi="宋体" w:cs="宋体"/>
          <w:color w:val="auto"/>
          <w:spacing w:val="12"/>
          <w:sz w:val="24"/>
          <w:highlight w:val="none"/>
        </w:rPr>
        <w:t xml:space="preserve">业</w:t>
      </w:r>
      <w:r>
        <w:rPr>
          <w:rFonts w:ascii="宋体" w:hAnsi="宋体" w:cs="宋体"/>
          <w:color w:val="auto"/>
          <w:spacing w:val="9"/>
          <w:sz w:val="24"/>
          <w:highlight w:val="none"/>
        </w:rPr>
        <w:t xml:space="preserve">，邮政业，住宿业，餐饮业，信息传输业(包括电信、互联网和相关服务)，软件和信</w:t>
      </w:r>
      <w:r>
        <w:rPr>
          <w:rFonts w:ascii="宋体" w:hAnsi="宋体" w:cs="宋体"/>
          <w:color w:val="auto"/>
          <w:spacing w:val="18"/>
          <w:sz w:val="24"/>
          <w:highlight w:val="none"/>
        </w:rPr>
        <w:t xml:space="preserve">息技</w:t>
      </w:r>
      <w:r>
        <w:rPr>
          <w:rFonts w:ascii="宋体" w:hAnsi="宋体" w:cs="宋体"/>
          <w:color w:val="auto"/>
          <w:spacing w:val="12"/>
          <w:sz w:val="24"/>
          <w:highlight w:val="none"/>
        </w:rPr>
        <w:t xml:space="preserve">术</w:t>
      </w:r>
      <w:r>
        <w:rPr>
          <w:rFonts w:ascii="宋体" w:hAnsi="宋体" w:cs="宋体"/>
          <w:color w:val="auto"/>
          <w:spacing w:val="9"/>
          <w:sz w:val="24"/>
          <w:highlight w:val="none"/>
        </w:rPr>
        <w:t xml:space="preserve">服务业，房地产开发经营，物业管理，租赁和商务服务业，其他未列明行业 (包括科</w:t>
      </w:r>
      <w:r>
        <w:rPr>
          <w:rFonts w:ascii="宋体" w:hAnsi="宋体" w:cs="宋体"/>
          <w:color w:val="auto"/>
          <w:spacing w:val="18"/>
          <w:sz w:val="24"/>
          <w:highlight w:val="none"/>
        </w:rPr>
        <w:t xml:space="preserve">学研究</w:t>
      </w:r>
      <w:r>
        <w:rPr>
          <w:rFonts w:ascii="宋体" w:hAnsi="宋体" w:cs="宋体"/>
          <w:color w:val="auto"/>
          <w:spacing w:val="12"/>
          <w:sz w:val="24"/>
          <w:highlight w:val="none"/>
        </w:rPr>
        <w:t xml:space="preserve">和</w:t>
      </w:r>
      <w:r>
        <w:rPr>
          <w:rFonts w:ascii="宋体" w:hAnsi="宋体" w:cs="宋体"/>
          <w:color w:val="auto"/>
          <w:spacing w:val="9"/>
          <w:sz w:val="24"/>
          <w:highlight w:val="none"/>
        </w:rPr>
        <w:t xml:space="preserve">技术服务业，水利、环境和公共设施管理业，居民服务、修理和其他服务业，社会</w:t>
      </w:r>
      <w:r>
        <w:rPr>
          <w:rFonts w:ascii="宋体" w:hAnsi="宋体" w:cs="宋体"/>
          <w:color w:val="auto"/>
          <w:spacing w:val="13"/>
          <w:sz w:val="24"/>
          <w:highlight w:val="none"/>
        </w:rPr>
        <w:t xml:space="preserve">工</w:t>
      </w:r>
      <w:r>
        <w:rPr>
          <w:rFonts w:ascii="宋体" w:hAnsi="宋体" w:cs="宋体"/>
          <w:color w:val="auto"/>
          <w:spacing w:val="8"/>
          <w:sz w:val="24"/>
          <w:highlight w:val="none"/>
        </w:rPr>
        <w:t xml:space="preserve">作，文化、体育和娱乐业等)。</w:t>
      </w:r>
      <w:r/>
    </w:p>
    <w:p>
      <w:pPr>
        <w:ind w:left="21"/>
        <w:spacing w:before="132" w:line="231" w:lineRule="auto"/>
        <w:widowControl/>
        <w:rPr>
          <w:rFonts w:hint="eastAsia" w:ascii="宋体" w:hAnsi="宋体" w:cs="宋体"/>
          <w:color w:val="auto"/>
          <w:sz w:val="24"/>
          <w:highlight w:val="none"/>
        </w:rPr>
      </w:pPr>
      <w:r>
        <w:rPr>
          <w:rFonts w:ascii="宋体" w:hAnsi="宋体" w:cs="宋体"/>
          <w:color w:val="auto"/>
          <w:spacing w:val="9"/>
          <w:sz w:val="24"/>
          <w:highlight w:val="none"/>
        </w:rPr>
        <w:t xml:space="preserve">四</w:t>
      </w:r>
      <w:r>
        <w:rPr>
          <w:rFonts w:ascii="宋体" w:hAnsi="宋体" w:cs="宋体"/>
          <w:color w:val="auto"/>
          <w:spacing w:val="6"/>
          <w:sz w:val="24"/>
          <w:highlight w:val="none"/>
        </w:rPr>
        <w:t xml:space="preserve">、各行业划型标准为：</w:t>
      </w:r>
      <w:r/>
    </w:p>
    <w:p>
      <w:pPr>
        <w:ind w:left="4" w:right="69" w:firstLine="7"/>
        <w:spacing w:before="129" w:line="310" w:lineRule="auto"/>
        <w:widowControl/>
        <w:rPr>
          <w:rFonts w:hint="eastAsia" w:ascii="宋体" w:hAnsi="宋体" w:cs="宋体"/>
          <w:color w:val="auto"/>
          <w:sz w:val="24"/>
          <w:highlight w:val="none"/>
        </w:rPr>
      </w:pP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一</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农、林、牧、渔</w:t>
      </w:r>
      <w:r>
        <w:rPr>
          <w:rFonts w:ascii="宋体" w:hAnsi="宋体" w:cs="宋体"/>
          <w:color w:val="auto"/>
          <w:spacing w:val="3"/>
          <w:sz w:val="24"/>
          <w:highlight w:val="none"/>
        </w:rPr>
        <w:t xml:space="preserve">业。营业收入20000万元以下的为中小微型企业。其中，营业收入500</w:t>
      </w:r>
      <w:r>
        <w:rPr>
          <w:rFonts w:ascii="宋体" w:hAnsi="宋体" w:cs="宋体"/>
          <w:color w:val="auto"/>
          <w:spacing w:val="8"/>
          <w:sz w:val="24"/>
          <w:highlight w:val="none"/>
        </w:rPr>
        <w:t xml:space="preserve">万</w:t>
      </w:r>
      <w:r>
        <w:rPr>
          <w:rFonts w:ascii="宋体" w:hAnsi="宋体" w:cs="宋体"/>
          <w:color w:val="auto"/>
          <w:spacing w:val="7"/>
          <w:sz w:val="24"/>
          <w:highlight w:val="none"/>
        </w:rPr>
        <w:t xml:space="preserve">元</w:t>
      </w:r>
      <w:r>
        <w:rPr>
          <w:rFonts w:ascii="宋体" w:hAnsi="宋体" w:cs="宋体"/>
          <w:color w:val="auto"/>
          <w:spacing w:val="4"/>
          <w:sz w:val="24"/>
          <w:highlight w:val="none"/>
        </w:rPr>
        <w:t xml:space="preserve">及以上的为中型企业，营业收入50万元及以上的为小型企业，营业收入50万元以下的</w:t>
      </w:r>
      <w:r>
        <w:rPr>
          <w:rFonts w:ascii="宋体" w:hAnsi="宋体" w:cs="宋体"/>
          <w:color w:val="auto"/>
          <w:spacing w:val="8"/>
          <w:sz w:val="24"/>
          <w:highlight w:val="none"/>
        </w:rPr>
        <w:t xml:space="preserve">为</w:t>
      </w:r>
      <w:r>
        <w:rPr>
          <w:rFonts w:ascii="宋体" w:hAnsi="宋体" w:cs="宋体"/>
          <w:color w:val="auto"/>
          <w:spacing w:val="6"/>
          <w:sz w:val="24"/>
          <w:highlight w:val="none"/>
        </w:rPr>
        <w:t xml:space="preserve">微型企业。</w:t>
      </w:r>
      <w:r/>
    </w:p>
    <w:p>
      <w:pPr>
        <w:ind w:right="173"/>
        <w:spacing w:before="54" w:line="351" w:lineRule="auto"/>
        <w:widowControl/>
        <w:rPr>
          <w:rFonts w:hint="eastAsia" w:ascii="宋体" w:hAnsi="宋体" w:cs="宋体"/>
          <w:color w:val="auto"/>
          <w:spacing w:val="5"/>
          <w:sz w:val="24"/>
          <w:highlight w:val="none"/>
        </w:rPr>
      </w:pP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二</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工业。从业人员1000人以下或营业收入40000万元以下的为中小微型企业。其中</w:t>
      </w:r>
      <w:r>
        <w:rPr>
          <w:rFonts w:ascii="宋体" w:hAnsi="宋体" w:cs="宋体"/>
          <w:color w:val="auto"/>
          <w:spacing w:val="3"/>
          <w:sz w:val="24"/>
          <w:highlight w:val="none"/>
        </w:rPr>
        <w:t xml:space="preserve">，</w:t>
      </w:r>
      <w:r>
        <w:rPr>
          <w:rFonts w:ascii="宋体" w:hAnsi="宋体" w:cs="宋体"/>
          <w:color w:val="auto"/>
          <w:sz w:val="24"/>
          <w:highlight w:val="none"/>
        </w:rPr>
        <w:t xml:space="preserve">从</w:t>
      </w:r>
      <w:r>
        <w:rPr>
          <w:rFonts w:ascii="宋体" w:hAnsi="宋体" w:cs="宋体"/>
          <w:color w:val="auto"/>
          <w:spacing w:val="2"/>
          <w:sz w:val="24"/>
          <w:highlight w:val="none"/>
        </w:rPr>
        <w:t xml:space="preserve">业人员300人及以上，且营业收入2000万元及以上的</w:t>
      </w:r>
      <w:r>
        <w:rPr>
          <w:rFonts w:ascii="宋体" w:hAnsi="宋体" w:cs="宋体"/>
          <w:color w:val="auto"/>
          <w:spacing w:val="1"/>
          <w:sz w:val="24"/>
          <w:highlight w:val="none"/>
        </w:rPr>
        <w:t xml:space="preserve">为中型企业；从业人员20人及以上，</w:t>
      </w:r>
      <w:r>
        <w:rPr>
          <w:rFonts w:ascii="宋体" w:hAnsi="宋体" w:cs="宋体"/>
          <w:color w:val="auto"/>
          <w:spacing w:val="2"/>
          <w:sz w:val="24"/>
          <w:highlight w:val="none"/>
        </w:rPr>
        <w:t xml:space="preserve">且营业收入300万元及以上的为小型企业；从业人员20人以下或营业收入300万元以</w:t>
      </w:r>
      <w:r>
        <w:rPr>
          <w:rFonts w:ascii="宋体" w:hAnsi="宋体" w:cs="宋体"/>
          <w:color w:val="auto"/>
          <w:sz w:val="24"/>
          <w:highlight w:val="none"/>
        </w:rPr>
        <w:t xml:space="preserve">下的为</w:t>
      </w:r>
      <w:r>
        <w:rPr>
          <w:rFonts w:ascii="宋体" w:hAnsi="宋体" w:cs="宋体"/>
          <w:color w:val="auto"/>
          <w:spacing w:val="6"/>
          <w:sz w:val="24"/>
          <w:highlight w:val="none"/>
        </w:rPr>
        <w:t xml:space="preserve">微型企业</w:t>
      </w:r>
      <w:r>
        <w:rPr>
          <w:rFonts w:ascii="宋体" w:hAnsi="宋体" w:cs="宋体"/>
          <w:color w:val="auto"/>
          <w:spacing w:val="5"/>
          <w:sz w:val="24"/>
          <w:highlight w:val="none"/>
        </w:rPr>
        <w:t xml:space="preserve">。</w:t>
      </w:r>
      <w:r/>
    </w:p>
    <w:p>
      <w:pPr>
        <w:ind w:right="173"/>
        <w:spacing w:before="54" w:line="351" w:lineRule="auto"/>
        <w:widowControl/>
        <w:rPr>
          <w:rFonts w:hint="eastAsia" w:ascii="宋体" w:hAnsi="宋体" w:cs="宋体"/>
          <w:color w:val="auto"/>
          <w:sz w:val="24"/>
          <w:highlight w:val="none"/>
        </w:rPr>
      </w:pPr>
      <w:r>
        <w:rPr>
          <w:rFonts w:hint="eastAsia" w:ascii="宋体" w:hAnsi="宋体" w:cs="宋体"/>
          <w:color w:val="auto"/>
          <w:spacing w:val="10"/>
          <w:sz w:val="24"/>
          <w:highlight w:val="none"/>
        </w:rPr>
        <w:t xml:space="preserve">（</w:t>
      </w:r>
      <w:r>
        <w:rPr>
          <w:rFonts w:ascii="宋体" w:hAnsi="宋体" w:cs="宋体"/>
          <w:color w:val="auto"/>
          <w:spacing w:val="10"/>
          <w:sz w:val="24"/>
          <w:highlight w:val="none"/>
        </w:rPr>
        <w:t xml:space="preserve">三</w:t>
      </w:r>
      <w:r>
        <w:rPr>
          <w:rFonts w:hint="eastAsia" w:ascii="宋体" w:hAnsi="宋体" w:cs="宋体"/>
          <w:color w:val="auto"/>
          <w:spacing w:val="10"/>
          <w:sz w:val="24"/>
          <w:highlight w:val="none"/>
        </w:rPr>
        <w:t xml:space="preserve">）</w:t>
      </w:r>
      <w:r>
        <w:rPr>
          <w:rFonts w:ascii="宋体" w:hAnsi="宋体" w:cs="宋体"/>
          <w:color w:val="auto"/>
          <w:spacing w:val="10"/>
          <w:sz w:val="24"/>
          <w:highlight w:val="none"/>
        </w:rPr>
        <w:t xml:space="preserve">建筑</w:t>
      </w:r>
      <w:r>
        <w:rPr>
          <w:rFonts w:ascii="宋体" w:hAnsi="宋体" w:cs="宋体"/>
          <w:color w:val="auto"/>
          <w:spacing w:val="9"/>
          <w:sz w:val="24"/>
          <w:highlight w:val="none"/>
        </w:rPr>
        <w:t xml:space="preserve">业</w:t>
      </w:r>
      <w:r>
        <w:rPr>
          <w:rFonts w:ascii="宋体" w:hAnsi="宋体" w:cs="宋体"/>
          <w:color w:val="auto"/>
          <w:spacing w:val="5"/>
          <w:sz w:val="24"/>
          <w:highlight w:val="none"/>
        </w:rPr>
        <w:t xml:space="preserve">。营业收入80000万元以下或资产总额80000万元以下的为中小微型企业。其</w:t>
      </w:r>
      <w:r>
        <w:rPr>
          <w:rFonts w:ascii="宋体" w:hAnsi="宋体" w:cs="宋体"/>
          <w:color w:val="auto"/>
          <w:spacing w:val="4"/>
          <w:sz w:val="24"/>
          <w:highlight w:val="none"/>
        </w:rPr>
        <w:t xml:space="preserve">中，营业收入6000万元及以上</w:t>
      </w:r>
      <w:r>
        <w:rPr>
          <w:rFonts w:ascii="宋体" w:hAnsi="宋体" w:cs="宋体"/>
          <w:color w:val="auto"/>
          <w:spacing w:val="3"/>
          <w:sz w:val="24"/>
          <w:highlight w:val="none"/>
        </w:rPr>
        <w:t xml:space="preserve">，</w:t>
      </w:r>
      <w:r>
        <w:rPr>
          <w:rFonts w:ascii="宋体" w:hAnsi="宋体" w:cs="宋体"/>
          <w:color w:val="auto"/>
          <w:spacing w:val="2"/>
          <w:sz w:val="24"/>
          <w:highlight w:val="none"/>
        </w:rPr>
        <w:t xml:space="preserve">且资产总额5000万元及以上的为中型企业；营业收入300</w:t>
      </w:r>
      <w:r>
        <w:rPr>
          <w:rFonts w:ascii="宋体" w:hAnsi="宋体" w:cs="宋体"/>
          <w:color w:val="auto"/>
          <w:spacing w:val="5"/>
          <w:sz w:val="24"/>
          <w:highlight w:val="none"/>
        </w:rPr>
        <w:t xml:space="preserve">万</w:t>
      </w:r>
      <w:r>
        <w:rPr>
          <w:rFonts w:ascii="宋体" w:hAnsi="宋体" w:cs="宋体"/>
          <w:color w:val="auto"/>
          <w:spacing w:val="4"/>
          <w:sz w:val="24"/>
          <w:highlight w:val="none"/>
        </w:rPr>
        <w:t xml:space="preserve">元及以上，且资产总额300万元及以上的为小型企业；营业收入300万元以下或资产总额</w:t>
      </w:r>
      <w:r>
        <w:rPr>
          <w:rFonts w:ascii="宋体" w:hAnsi="宋体" w:cs="宋体"/>
          <w:color w:val="auto"/>
          <w:spacing w:val="6"/>
          <w:sz w:val="24"/>
          <w:highlight w:val="none"/>
        </w:rPr>
        <w:t xml:space="preserve">30</w:t>
      </w:r>
      <w:r>
        <w:rPr>
          <w:rFonts w:ascii="宋体" w:hAnsi="宋体" w:cs="宋体"/>
          <w:color w:val="auto"/>
          <w:spacing w:val="4"/>
          <w:sz w:val="24"/>
          <w:highlight w:val="none"/>
        </w:rPr>
        <w:t xml:space="preserve">0</w:t>
      </w:r>
      <w:r>
        <w:rPr>
          <w:rFonts w:ascii="宋体" w:hAnsi="宋体" w:cs="宋体"/>
          <w:color w:val="auto"/>
          <w:spacing w:val="3"/>
          <w:sz w:val="24"/>
          <w:highlight w:val="none"/>
        </w:rPr>
        <w:t xml:space="preserve">万元以下的为微型企业。</w:t>
      </w:r>
      <w:r/>
    </w:p>
    <w:p>
      <w:pPr>
        <w:ind w:right="174" w:firstLine="10"/>
        <w:spacing w:before="2" w:line="350" w:lineRule="auto"/>
        <w:widowControl/>
        <w:rPr>
          <w:rFonts w:hint="eastAsia" w:ascii="宋体" w:hAnsi="宋体" w:cs="宋体"/>
          <w:color w:val="auto"/>
          <w:sz w:val="24"/>
          <w:highlight w:val="none"/>
        </w:rPr>
      </w:pPr>
      <w:r>
        <w:rPr>
          <w:rFonts w:ascii="宋体" w:hAnsi="宋体" w:cs="宋体"/>
          <w:color w:val="auto"/>
          <w:spacing w:val="6"/>
          <w:sz w:val="24"/>
          <w:highlight w:val="none"/>
        </w:rPr>
        <w:t xml:space="preserve"> </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四</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批发业。从业人员200人以下或营业收入40000万元以下的为中小微型企业。其</w:t>
      </w:r>
      <w:r>
        <w:rPr>
          <w:rFonts w:ascii="宋体" w:hAnsi="宋体" w:cs="宋体"/>
          <w:color w:val="auto"/>
          <w:spacing w:val="3"/>
          <w:sz w:val="24"/>
          <w:highlight w:val="none"/>
        </w:rPr>
        <w:t xml:space="preserve">中</w:t>
      </w:r>
      <w:r>
        <w:rPr>
          <w:rFonts w:ascii="宋体" w:hAnsi="宋体" w:cs="宋体"/>
          <w:color w:val="auto"/>
          <w:sz w:val="24"/>
          <w:highlight w:val="none"/>
        </w:rPr>
        <w:t xml:space="preserve">，</w:t>
      </w:r>
      <w:r>
        <w:rPr>
          <w:rFonts w:ascii="宋体" w:hAnsi="宋体" w:cs="宋体"/>
          <w:color w:val="auto"/>
          <w:spacing w:val="2"/>
          <w:sz w:val="24"/>
          <w:highlight w:val="none"/>
        </w:rPr>
        <w:t xml:space="preserve">从业人员20人及以上，且营业收入5000万元及以上的为中型企业；从业人员5人</w:t>
      </w:r>
      <w:r>
        <w:rPr>
          <w:rFonts w:ascii="宋体" w:hAnsi="宋体" w:cs="宋体"/>
          <w:color w:val="auto"/>
          <w:spacing w:val="1"/>
          <w:sz w:val="24"/>
          <w:highlight w:val="none"/>
        </w:rPr>
        <w:t xml:space="preserve">及</w:t>
      </w:r>
      <w:r>
        <w:rPr>
          <w:rFonts w:ascii="宋体" w:hAnsi="宋体" w:cs="宋体"/>
          <w:color w:val="auto"/>
          <w:sz w:val="24"/>
          <w:highlight w:val="none"/>
        </w:rPr>
        <w:t xml:space="preserve">以上，</w:t>
      </w:r>
      <w:r>
        <w:rPr>
          <w:rFonts w:ascii="宋体" w:hAnsi="宋体" w:cs="宋体"/>
          <w:color w:val="auto"/>
          <w:spacing w:val="2"/>
          <w:sz w:val="24"/>
          <w:highlight w:val="none"/>
        </w:rPr>
        <w:t xml:space="preserve">且营业收入1000万元及以上的为小型企业；从业人员5人以下或营业收入1000</w:t>
      </w:r>
      <w:r>
        <w:rPr>
          <w:rFonts w:ascii="宋体" w:hAnsi="宋体" w:cs="宋体"/>
          <w:color w:val="auto"/>
          <w:spacing w:val="1"/>
          <w:sz w:val="24"/>
          <w:highlight w:val="none"/>
        </w:rPr>
        <w:t xml:space="preserve">万</w:t>
      </w:r>
      <w:r>
        <w:rPr>
          <w:rFonts w:ascii="宋体" w:hAnsi="宋体" w:cs="宋体"/>
          <w:color w:val="auto"/>
          <w:sz w:val="24"/>
          <w:highlight w:val="none"/>
        </w:rPr>
        <w:t xml:space="preserve">元以下的</w:t>
      </w:r>
      <w:r>
        <w:rPr>
          <w:rFonts w:ascii="宋体" w:hAnsi="宋体" w:cs="宋体"/>
          <w:color w:val="auto"/>
          <w:spacing w:val="7"/>
          <w:sz w:val="24"/>
          <w:highlight w:val="none"/>
        </w:rPr>
        <w:t xml:space="preserve">为微型企业</w:t>
      </w:r>
      <w:r>
        <w:rPr>
          <w:rFonts w:ascii="宋体" w:hAnsi="宋体" w:cs="宋体"/>
          <w:color w:val="auto"/>
          <w:spacing w:val="5"/>
          <w:sz w:val="24"/>
          <w:highlight w:val="none"/>
        </w:rPr>
        <w:t xml:space="preserve">。</w:t>
      </w:r>
      <w:r/>
    </w:p>
    <w:p>
      <w:pPr>
        <w:ind w:right="70" w:firstLine="10"/>
        <w:spacing w:before="2" w:line="350" w:lineRule="auto"/>
        <w:widowControl/>
        <w:rPr>
          <w:rFonts w:hint="eastAsia" w:ascii="宋体" w:hAnsi="宋体" w:cs="宋体"/>
          <w:color w:val="auto"/>
          <w:sz w:val="24"/>
          <w:highlight w:val="none"/>
        </w:rPr>
      </w:pPr>
      <w:r>
        <w:rPr>
          <w:rFonts w:hint="eastAsia" w:ascii="宋体" w:hAnsi="宋体" w:cs="宋体"/>
          <w:color w:val="auto"/>
          <w:spacing w:val="12"/>
          <w:sz w:val="24"/>
          <w:highlight w:val="none"/>
        </w:rPr>
        <w:t xml:space="preserve">（</w:t>
      </w:r>
      <w:r>
        <w:rPr>
          <w:rFonts w:ascii="宋体" w:hAnsi="宋体" w:cs="宋体"/>
          <w:color w:val="auto"/>
          <w:spacing w:val="7"/>
          <w:sz w:val="24"/>
          <w:highlight w:val="none"/>
        </w:rPr>
        <w:t xml:space="preserve">五</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零售业。从业人员300人以下或营业收入20000万元以下的为中小微型企业。其中</w:t>
      </w:r>
      <w:r>
        <w:rPr>
          <w:rFonts w:hint="eastAsia" w:ascii="宋体" w:hAnsi="宋体" w:cs="宋体"/>
          <w:color w:val="auto"/>
          <w:spacing w:val="6"/>
          <w:sz w:val="24"/>
          <w:highlight w:val="none"/>
        </w:rPr>
        <w:t xml:space="preserve">，</w:t>
      </w:r>
      <w:r>
        <w:rPr>
          <w:rFonts w:ascii="宋体" w:hAnsi="宋体" w:cs="宋体"/>
          <w:color w:val="auto"/>
          <w:spacing w:val="4"/>
          <w:sz w:val="24"/>
          <w:highlight w:val="none"/>
        </w:rPr>
        <w:t xml:space="preserve">从业人员</w:t>
      </w:r>
      <w:r>
        <w:rPr>
          <w:rFonts w:ascii="宋体" w:hAnsi="宋体" w:cs="宋体"/>
          <w:color w:val="auto"/>
          <w:spacing w:val="2"/>
          <w:sz w:val="24"/>
          <w:highlight w:val="none"/>
        </w:rPr>
        <w:t xml:space="preserve">50人及以上，且营业收入500万元及以上的为中型企业；从业人员10人及以上，且营业收入100万元及以上的为小型企业；从业人员10人以下或营业收入100万元以</w:t>
      </w:r>
      <w:r>
        <w:rPr>
          <w:rFonts w:ascii="宋体" w:hAnsi="宋体" w:cs="宋体"/>
          <w:color w:val="auto"/>
          <w:sz w:val="24"/>
          <w:highlight w:val="none"/>
        </w:rPr>
        <w:t xml:space="preserve">下的为</w:t>
      </w:r>
      <w:r>
        <w:rPr>
          <w:rFonts w:ascii="宋体" w:hAnsi="宋体" w:cs="宋体"/>
          <w:color w:val="auto"/>
          <w:spacing w:val="6"/>
          <w:sz w:val="24"/>
          <w:highlight w:val="none"/>
        </w:rPr>
        <w:t xml:space="preserve">微型企业</w:t>
      </w:r>
      <w:r>
        <w:rPr>
          <w:rFonts w:ascii="宋体" w:hAnsi="宋体" w:cs="宋体"/>
          <w:color w:val="auto"/>
          <w:spacing w:val="5"/>
          <w:sz w:val="24"/>
          <w:highlight w:val="none"/>
        </w:rPr>
        <w:t xml:space="preserve">。</w:t>
      </w:r>
      <w:r/>
    </w:p>
    <w:p>
      <w:pPr>
        <w:ind w:left="7" w:right="68" w:firstLine="3"/>
        <w:spacing w:line="351" w:lineRule="auto"/>
        <w:widowControl/>
        <w:rPr>
          <w:rFonts w:hint="eastAsia" w:ascii="宋体" w:hAnsi="宋体" w:cs="宋体"/>
          <w:color w:val="auto"/>
          <w:sz w:val="24"/>
          <w:highlight w:val="none"/>
        </w:rPr>
      </w:pP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六</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交通运输业。从业人员1000人以下或营业收入30000万元以下的为中小微型企业</w:t>
      </w:r>
      <w:r>
        <w:rPr>
          <w:rFonts w:ascii="宋体" w:hAnsi="宋体" w:cs="宋体"/>
          <w:color w:val="auto"/>
          <w:spacing w:val="3"/>
          <w:sz w:val="24"/>
          <w:highlight w:val="none"/>
        </w:rPr>
        <w:t xml:space="preserve">。</w:t>
      </w:r>
      <w:r>
        <w:rPr>
          <w:rFonts w:ascii="宋体" w:hAnsi="宋体" w:cs="宋体"/>
          <w:color w:val="auto"/>
          <w:sz w:val="24"/>
          <w:highlight w:val="none"/>
        </w:rPr>
        <w:t xml:space="preserve">其</w:t>
      </w:r>
      <w:r>
        <w:rPr>
          <w:rFonts w:ascii="宋体" w:hAnsi="宋体" w:cs="宋体"/>
          <w:color w:val="auto"/>
          <w:spacing w:val="2"/>
          <w:sz w:val="24"/>
          <w:highlight w:val="none"/>
        </w:rPr>
        <w:t xml:space="preserve">中，从业人员300人及以上，且营业收入3000万元及以上的为</w:t>
      </w:r>
      <w:r>
        <w:rPr>
          <w:rFonts w:ascii="宋体" w:hAnsi="宋体" w:cs="宋体"/>
          <w:color w:val="auto"/>
          <w:spacing w:val="1"/>
          <w:sz w:val="24"/>
          <w:highlight w:val="none"/>
        </w:rPr>
        <w:t xml:space="preserve">中型企业；从业人员20人及</w:t>
      </w:r>
      <w:r>
        <w:rPr>
          <w:rFonts w:ascii="宋体" w:hAnsi="宋体" w:cs="宋体"/>
          <w:color w:val="auto"/>
          <w:spacing w:val="2"/>
          <w:sz w:val="24"/>
          <w:highlight w:val="none"/>
        </w:rPr>
        <w:t xml:space="preserve">以上，且营业收入200万元及以上的为小型企业；从业人员20人以下或营业收入20</w:t>
      </w:r>
      <w:r>
        <w:rPr>
          <w:rFonts w:ascii="宋体" w:hAnsi="宋体" w:cs="宋体"/>
          <w:color w:val="auto"/>
          <w:sz w:val="24"/>
          <w:highlight w:val="none"/>
        </w:rPr>
        <w:t xml:space="preserve">0万元以</w:t>
      </w:r>
      <w:r>
        <w:rPr>
          <w:rFonts w:ascii="宋体" w:hAnsi="宋体" w:cs="宋体"/>
          <w:color w:val="auto"/>
          <w:spacing w:val="12"/>
          <w:sz w:val="24"/>
          <w:highlight w:val="none"/>
        </w:rPr>
        <w:t xml:space="preserve">下</w:t>
      </w:r>
      <w:r>
        <w:rPr>
          <w:rFonts w:ascii="宋体" w:hAnsi="宋体" w:cs="宋体"/>
          <w:color w:val="auto"/>
          <w:spacing w:val="6"/>
          <w:sz w:val="24"/>
          <w:highlight w:val="none"/>
        </w:rPr>
        <w:t xml:space="preserve">的为微型企业。</w:t>
      </w:r>
      <w:r/>
    </w:p>
    <w:p>
      <w:pPr>
        <w:ind w:right="16" w:firstLine="10"/>
        <w:spacing w:before="2" w:line="350" w:lineRule="auto"/>
        <w:widowControl/>
        <w:rPr>
          <w:rFonts w:hint="eastAsia" w:ascii="宋体" w:hAnsi="宋体" w:cs="宋体"/>
          <w:color w:val="auto"/>
          <w:sz w:val="24"/>
          <w:highlight w:val="none"/>
        </w:rPr>
      </w:pPr>
      <w:r>
        <w:rPr>
          <w:rFonts w:hint="eastAsia" w:ascii="宋体" w:hAnsi="宋体" w:cs="宋体"/>
          <w:color w:val="auto"/>
          <w:spacing w:val="12"/>
          <w:sz w:val="24"/>
          <w:highlight w:val="none"/>
        </w:rPr>
        <w:t xml:space="preserve">（</w:t>
      </w:r>
      <w:r>
        <w:rPr>
          <w:rFonts w:ascii="宋体" w:hAnsi="宋体" w:cs="宋体"/>
          <w:color w:val="auto"/>
          <w:spacing w:val="7"/>
          <w:sz w:val="24"/>
          <w:highlight w:val="none"/>
        </w:rPr>
        <w:t xml:space="preserve">七</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仓储业。从业人员200人以下或营业收入30000万元以下的为中小微型企业。其中，</w:t>
      </w:r>
      <w:r>
        <w:rPr>
          <w:rFonts w:ascii="宋体" w:hAnsi="宋体" w:cs="宋体"/>
          <w:color w:val="auto"/>
          <w:spacing w:val="1"/>
          <w:sz w:val="24"/>
          <w:highlight w:val="none"/>
        </w:rPr>
        <w:t xml:space="preserve">从业人员100人及以上，且营业收入1000万元及以上的为中型企业；从业人员20人及</w:t>
      </w:r>
      <w:r>
        <w:rPr>
          <w:rFonts w:ascii="宋体" w:hAnsi="宋体" w:cs="宋体"/>
          <w:color w:val="auto"/>
          <w:sz w:val="24"/>
          <w:highlight w:val="none"/>
        </w:rPr>
        <w:t xml:space="preserve">以上，</w:t>
      </w:r>
      <w:r>
        <w:rPr>
          <w:rFonts w:ascii="宋体" w:hAnsi="宋体" w:cs="宋体"/>
          <w:color w:val="auto"/>
          <w:spacing w:val="2"/>
          <w:sz w:val="24"/>
          <w:highlight w:val="none"/>
        </w:rPr>
        <w:t xml:space="preserve">且营业收入 100万元及以上的为小型企业；从业人员20人以下或营业收入100万元以</w:t>
      </w:r>
      <w:r>
        <w:rPr>
          <w:rFonts w:ascii="宋体" w:hAnsi="宋体" w:cs="宋体"/>
          <w:color w:val="auto"/>
          <w:sz w:val="24"/>
          <w:highlight w:val="none"/>
        </w:rPr>
        <w:t xml:space="preserve">下的为</w:t>
      </w:r>
      <w:r>
        <w:rPr>
          <w:rFonts w:ascii="宋体" w:hAnsi="宋体" w:cs="宋体"/>
          <w:color w:val="auto"/>
          <w:spacing w:val="6"/>
          <w:sz w:val="24"/>
          <w:highlight w:val="none"/>
        </w:rPr>
        <w:t xml:space="preserve">微型企业</w:t>
      </w:r>
      <w:r>
        <w:rPr>
          <w:rFonts w:ascii="宋体" w:hAnsi="宋体" w:cs="宋体"/>
          <w:color w:val="auto"/>
          <w:spacing w:val="5"/>
          <w:sz w:val="24"/>
          <w:highlight w:val="none"/>
        </w:rPr>
        <w:t xml:space="preserve">。</w:t>
      </w:r>
      <w:r/>
    </w:p>
    <w:p>
      <w:pPr>
        <w:ind w:right="16" w:firstLine="10"/>
        <w:spacing w:before="2" w:line="350" w:lineRule="auto"/>
        <w:widowControl/>
        <w:rPr>
          <w:rFonts w:hint="eastAsia" w:ascii="宋体" w:hAnsi="宋体" w:cs="宋体"/>
          <w:color w:val="auto"/>
          <w:sz w:val="24"/>
          <w:highlight w:val="none"/>
        </w:rPr>
      </w:pPr>
      <w:r>
        <w:rPr>
          <w:rFonts w:hint="eastAsia" w:ascii="宋体" w:hAnsi="宋体" w:cs="宋体"/>
          <w:color w:val="auto"/>
          <w:spacing w:val="12"/>
          <w:sz w:val="24"/>
          <w:highlight w:val="none"/>
        </w:rPr>
        <w:t xml:space="preserve">（</w:t>
      </w:r>
      <w:r>
        <w:rPr>
          <w:rFonts w:ascii="宋体" w:hAnsi="宋体" w:cs="宋体"/>
          <w:color w:val="auto"/>
          <w:spacing w:val="7"/>
          <w:sz w:val="24"/>
          <w:highlight w:val="none"/>
        </w:rPr>
        <w:t xml:space="preserve">八</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邮政业。从业人员1000人以下或营业收入30000万元以下的为中小微型企业。其中</w:t>
      </w:r>
      <w:r>
        <w:rPr>
          <w:rFonts w:hint="eastAsia" w:ascii="宋体" w:hAnsi="宋体" w:cs="宋体"/>
          <w:color w:val="auto"/>
          <w:spacing w:val="6"/>
          <w:sz w:val="24"/>
          <w:highlight w:val="none"/>
        </w:rPr>
        <w:t xml:space="preserve">，</w:t>
      </w:r>
      <w:r>
        <w:rPr>
          <w:rFonts w:ascii="宋体" w:hAnsi="宋体" w:cs="宋体"/>
          <w:color w:val="auto"/>
          <w:spacing w:val="1"/>
          <w:sz w:val="24"/>
          <w:highlight w:val="none"/>
        </w:rPr>
        <w:t xml:space="preserve">从业人员300人及以上，且营业收入2000万元及以上的为中型企业；从业人员20人及</w:t>
      </w:r>
      <w:r>
        <w:rPr>
          <w:rFonts w:ascii="宋体" w:hAnsi="宋体" w:cs="宋体"/>
          <w:color w:val="auto"/>
          <w:sz w:val="24"/>
          <w:highlight w:val="none"/>
        </w:rPr>
        <w:t xml:space="preserve">以上</w:t>
      </w:r>
      <w:r>
        <w:rPr>
          <w:rFonts w:hint="eastAsia" w:ascii="宋体" w:hAnsi="宋体" w:cs="宋体"/>
          <w:color w:val="auto"/>
          <w:sz w:val="24"/>
          <w:highlight w:val="none"/>
        </w:rPr>
        <w:t xml:space="preserve">，</w:t>
      </w:r>
      <w:r>
        <w:rPr>
          <w:rFonts w:ascii="宋体" w:hAnsi="宋体" w:cs="宋体"/>
          <w:color w:val="auto"/>
          <w:spacing w:val="2"/>
          <w:sz w:val="24"/>
          <w:highlight w:val="none"/>
        </w:rPr>
        <w:t xml:space="preserve">且营业收入100万元及以上的为小型企业；从业人员20人以下或营业收入100万元以</w:t>
      </w:r>
      <w:r>
        <w:rPr>
          <w:rFonts w:ascii="宋体" w:hAnsi="宋体" w:cs="宋体"/>
          <w:color w:val="auto"/>
          <w:sz w:val="24"/>
          <w:highlight w:val="none"/>
        </w:rPr>
        <w:t xml:space="preserve">下的为</w:t>
      </w:r>
      <w:r>
        <w:rPr>
          <w:rFonts w:ascii="宋体" w:hAnsi="宋体" w:cs="宋体"/>
          <w:color w:val="auto"/>
          <w:spacing w:val="6"/>
          <w:sz w:val="24"/>
          <w:highlight w:val="none"/>
        </w:rPr>
        <w:t xml:space="preserve">微型企业</w:t>
      </w:r>
      <w:r>
        <w:rPr>
          <w:rFonts w:ascii="宋体" w:hAnsi="宋体" w:cs="宋体"/>
          <w:color w:val="auto"/>
          <w:spacing w:val="5"/>
          <w:sz w:val="24"/>
          <w:highlight w:val="none"/>
        </w:rPr>
        <w:t xml:space="preserve">。</w:t>
      </w:r>
      <w:r/>
    </w:p>
    <w:p>
      <w:pPr>
        <w:ind w:right="16" w:firstLine="10"/>
        <w:spacing w:before="1" w:line="351" w:lineRule="auto"/>
        <w:widowControl/>
        <w:rPr>
          <w:rFonts w:hint="eastAsia" w:ascii="宋体" w:hAnsi="宋体" w:cs="宋体"/>
          <w:color w:val="auto"/>
          <w:sz w:val="24"/>
          <w:highlight w:val="none"/>
        </w:rPr>
      </w:pPr>
      <w:r>
        <w:rPr>
          <w:rFonts w:hint="eastAsia" w:ascii="宋体" w:hAnsi="宋体" w:cs="宋体"/>
          <w:color w:val="auto"/>
          <w:spacing w:val="12"/>
          <w:sz w:val="24"/>
          <w:highlight w:val="none"/>
        </w:rPr>
        <w:t xml:space="preserve">（</w:t>
      </w:r>
      <w:r>
        <w:rPr>
          <w:rFonts w:ascii="宋体" w:hAnsi="宋体" w:cs="宋体"/>
          <w:color w:val="auto"/>
          <w:spacing w:val="7"/>
          <w:sz w:val="24"/>
          <w:highlight w:val="none"/>
        </w:rPr>
        <w:t xml:space="preserve">九</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住宿业。从业人员300人以下或营业收入10000万元以下的为中小微型企业。其中</w:t>
      </w:r>
      <w:r>
        <w:rPr>
          <w:rFonts w:hint="eastAsia" w:ascii="宋体" w:hAnsi="宋体" w:cs="宋体"/>
          <w:color w:val="auto"/>
          <w:spacing w:val="6"/>
          <w:sz w:val="24"/>
          <w:highlight w:val="none"/>
        </w:rPr>
        <w:t xml:space="preserve">，</w:t>
      </w:r>
      <w:r>
        <w:rPr>
          <w:rFonts w:ascii="宋体" w:hAnsi="宋体" w:cs="宋体"/>
          <w:color w:val="auto"/>
          <w:spacing w:val="1"/>
          <w:sz w:val="24"/>
          <w:highlight w:val="none"/>
        </w:rPr>
        <w:t xml:space="preserve">从业人员100人及以上，且营业收入2000万元及以上的为中型企业；从业人员10人及</w:t>
      </w:r>
      <w:r>
        <w:rPr>
          <w:rFonts w:ascii="宋体" w:hAnsi="宋体" w:cs="宋体"/>
          <w:color w:val="auto"/>
          <w:sz w:val="24"/>
          <w:highlight w:val="none"/>
        </w:rPr>
        <w:t xml:space="preserve">以上，</w:t>
      </w:r>
      <w:r>
        <w:rPr>
          <w:rFonts w:ascii="宋体" w:hAnsi="宋体" w:cs="宋体"/>
          <w:color w:val="auto"/>
          <w:spacing w:val="2"/>
          <w:sz w:val="24"/>
          <w:highlight w:val="none"/>
        </w:rPr>
        <w:t xml:space="preserve">且营业收入100万元及以上的为小型企业；从业人员10人以下或营业收入100万元以</w:t>
      </w:r>
      <w:r>
        <w:rPr>
          <w:rFonts w:ascii="宋体" w:hAnsi="宋体" w:cs="宋体"/>
          <w:color w:val="auto"/>
          <w:sz w:val="24"/>
          <w:highlight w:val="none"/>
        </w:rPr>
        <w:t xml:space="preserve">下的为</w:t>
      </w:r>
      <w:r>
        <w:rPr>
          <w:rFonts w:ascii="宋体" w:hAnsi="宋体" w:cs="宋体"/>
          <w:color w:val="auto"/>
          <w:spacing w:val="6"/>
          <w:sz w:val="24"/>
          <w:highlight w:val="none"/>
        </w:rPr>
        <w:t xml:space="preserve">微型企业</w:t>
      </w:r>
      <w:r>
        <w:rPr>
          <w:rFonts w:ascii="宋体" w:hAnsi="宋体" w:cs="宋体"/>
          <w:color w:val="auto"/>
          <w:spacing w:val="5"/>
          <w:sz w:val="24"/>
          <w:highlight w:val="none"/>
        </w:rPr>
        <w:t xml:space="preserve">。</w:t>
      </w:r>
      <w:r/>
    </w:p>
    <w:p>
      <w:pPr>
        <w:ind w:right="16" w:firstLine="10"/>
        <w:spacing w:before="2" w:line="350" w:lineRule="auto"/>
        <w:widowControl/>
        <w:rPr>
          <w:rFonts w:hint="eastAsia" w:ascii="宋体" w:hAnsi="宋体" w:cs="宋体"/>
          <w:color w:val="auto"/>
          <w:sz w:val="24"/>
          <w:highlight w:val="none"/>
        </w:rPr>
      </w:pPr>
      <w:r>
        <w:rPr>
          <w:rFonts w:hint="eastAsia" w:ascii="宋体" w:hAnsi="宋体" w:cs="宋体"/>
          <w:color w:val="auto"/>
          <w:spacing w:val="12"/>
          <w:sz w:val="24"/>
          <w:highlight w:val="none"/>
        </w:rPr>
        <w:t xml:space="preserve">（</w:t>
      </w:r>
      <w:r>
        <w:rPr>
          <w:rFonts w:ascii="宋体" w:hAnsi="宋体" w:cs="宋体"/>
          <w:color w:val="auto"/>
          <w:spacing w:val="7"/>
          <w:sz w:val="24"/>
          <w:highlight w:val="none"/>
        </w:rPr>
        <w:t xml:space="preserve">十</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餐饮业。从业人员300人以下或营业收入10000万元以下的为中小微型企业。其中，</w:t>
      </w:r>
      <w:r>
        <w:rPr>
          <w:rFonts w:ascii="宋体" w:hAnsi="宋体" w:cs="宋体"/>
          <w:color w:val="auto"/>
          <w:spacing w:val="1"/>
          <w:sz w:val="24"/>
          <w:highlight w:val="none"/>
        </w:rPr>
        <w:t xml:space="preserve">从业人员100人及以上，且营业收入2000万元及以上的为中型企业；从业人员10人及</w:t>
      </w:r>
      <w:r>
        <w:rPr>
          <w:rFonts w:ascii="宋体" w:hAnsi="宋体" w:cs="宋体"/>
          <w:color w:val="auto"/>
          <w:sz w:val="24"/>
          <w:highlight w:val="none"/>
        </w:rPr>
        <w:t xml:space="preserve">以上，</w:t>
      </w:r>
      <w:r>
        <w:rPr>
          <w:rFonts w:ascii="宋体" w:hAnsi="宋体" w:cs="宋体"/>
          <w:color w:val="auto"/>
          <w:spacing w:val="2"/>
          <w:sz w:val="24"/>
          <w:highlight w:val="none"/>
        </w:rPr>
        <w:t xml:space="preserve">且营业收入100万元及以上的为小型企业；从业人员10人以下或营业收入100万元以</w:t>
      </w:r>
      <w:r>
        <w:rPr>
          <w:rFonts w:ascii="宋体" w:hAnsi="宋体" w:cs="宋体"/>
          <w:color w:val="auto"/>
          <w:sz w:val="24"/>
          <w:highlight w:val="none"/>
        </w:rPr>
        <w:t xml:space="preserve">下的为</w:t>
      </w:r>
      <w:r>
        <w:rPr>
          <w:rFonts w:ascii="宋体" w:hAnsi="宋体" w:cs="宋体"/>
          <w:color w:val="auto"/>
          <w:spacing w:val="6"/>
          <w:sz w:val="24"/>
          <w:highlight w:val="none"/>
        </w:rPr>
        <w:t xml:space="preserve">微型企业</w:t>
      </w:r>
      <w:r>
        <w:rPr>
          <w:rFonts w:ascii="宋体" w:hAnsi="宋体" w:cs="宋体"/>
          <w:color w:val="auto"/>
          <w:spacing w:val="5"/>
          <w:sz w:val="24"/>
          <w:highlight w:val="none"/>
        </w:rPr>
        <w:t xml:space="preserve">。</w:t>
      </w:r>
      <w:r/>
    </w:p>
    <w:p>
      <w:pPr>
        <w:ind w:firstLine="10"/>
        <w:spacing w:before="3" w:line="355" w:lineRule="auto"/>
        <w:widowControl/>
        <w:rPr>
          <w:rFonts w:hint="eastAsia" w:ascii="宋体" w:hAnsi="宋体" w:cs="宋体"/>
          <w:color w:val="auto"/>
          <w:sz w:val="24"/>
          <w:highlight w:val="none"/>
        </w:rPr>
      </w:pPr>
      <w:r>
        <w:rPr>
          <w:rFonts w:hint="eastAsia" w:ascii="宋体" w:hAnsi="宋体" w:cs="宋体"/>
          <w:color w:val="auto"/>
          <w:spacing w:val="8"/>
          <w:sz w:val="24"/>
          <w:highlight w:val="none"/>
        </w:rPr>
        <w:t xml:space="preserve">（</w:t>
      </w:r>
      <w:r>
        <w:rPr>
          <w:rFonts w:ascii="宋体" w:hAnsi="宋体" w:cs="宋体"/>
          <w:color w:val="auto"/>
          <w:spacing w:val="5"/>
          <w:sz w:val="24"/>
          <w:highlight w:val="none"/>
        </w:rPr>
        <w:t xml:space="preserve">十一</w:t>
      </w:r>
      <w:r>
        <w:rPr>
          <w:rFonts w:hint="eastAsia" w:ascii="宋体" w:hAnsi="宋体" w:cs="宋体"/>
          <w:color w:val="auto"/>
          <w:spacing w:val="5"/>
          <w:sz w:val="24"/>
          <w:highlight w:val="none"/>
        </w:rPr>
        <w:t xml:space="preserve">）</w:t>
      </w:r>
      <w:r>
        <w:rPr>
          <w:rFonts w:ascii="宋体" w:hAnsi="宋体" w:cs="宋体"/>
          <w:color w:val="auto"/>
          <w:spacing w:val="5"/>
          <w:sz w:val="24"/>
          <w:highlight w:val="none"/>
        </w:rPr>
        <w:t xml:space="preserve">信息传输业。从业人员2000人以下或营业收入100000万元以下的为中小微型企业。</w:t>
      </w:r>
      <w:r>
        <w:rPr>
          <w:rFonts w:ascii="宋体" w:hAnsi="宋体" w:cs="宋体"/>
          <w:color w:val="auto"/>
          <w:spacing w:val="2"/>
          <w:sz w:val="24"/>
          <w:highlight w:val="none"/>
        </w:rPr>
        <w:t xml:space="preserve">其中，从业人员100人及以上，且营业收入1000万元及以上的为中型企业；从业人员</w:t>
      </w:r>
      <w:r>
        <w:rPr>
          <w:rFonts w:ascii="宋体" w:hAnsi="宋体" w:cs="宋体"/>
          <w:color w:val="auto"/>
          <w:sz w:val="24"/>
          <w:highlight w:val="none"/>
        </w:rPr>
        <w:t xml:space="preserve">10人</w:t>
      </w:r>
      <w:r>
        <w:rPr>
          <w:rFonts w:ascii="宋体" w:hAnsi="宋体" w:cs="宋体"/>
          <w:color w:val="auto"/>
          <w:spacing w:val="2"/>
          <w:sz w:val="24"/>
          <w:highlight w:val="none"/>
        </w:rPr>
        <w:t xml:space="preserve">及以上，且营业收入100万元及以上的为小型企业；从业人员10人以下或营业收入100</w:t>
      </w:r>
      <w:r>
        <w:rPr>
          <w:rFonts w:ascii="宋体" w:hAnsi="宋体" w:cs="宋体"/>
          <w:color w:val="auto"/>
          <w:sz w:val="24"/>
          <w:highlight w:val="none"/>
        </w:rPr>
        <w:t xml:space="preserve">万元</w:t>
      </w:r>
      <w:r>
        <w:rPr>
          <w:rFonts w:ascii="宋体" w:hAnsi="宋体" w:cs="宋体"/>
          <w:color w:val="auto"/>
          <w:spacing w:val="8"/>
          <w:sz w:val="24"/>
          <w:highlight w:val="none"/>
        </w:rPr>
        <w:t xml:space="preserve">以下的为微型企业</w:t>
      </w:r>
      <w:r>
        <w:rPr>
          <w:rFonts w:ascii="宋体" w:hAnsi="宋体" w:cs="宋体"/>
          <w:color w:val="auto"/>
          <w:spacing w:val="6"/>
          <w:sz w:val="24"/>
          <w:highlight w:val="none"/>
        </w:rPr>
        <w:t xml:space="preserve">。</w:t>
      </w:r>
      <w:r/>
    </w:p>
    <w:p>
      <w:pPr>
        <w:ind w:firstLine="10"/>
        <w:spacing w:before="54" w:line="351" w:lineRule="auto"/>
        <w:widowControl/>
        <w:rPr>
          <w:rFonts w:hint="eastAsia" w:ascii="宋体" w:hAnsi="宋体" w:cs="宋体"/>
          <w:color w:val="auto"/>
          <w:sz w:val="24"/>
          <w:highlight w:val="none"/>
        </w:rPr>
      </w:pP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十二</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软件和信息技术服务业。从业人员300人以下或营业收入10000万元以下的为</w:t>
      </w:r>
      <w:r>
        <w:rPr>
          <w:rFonts w:ascii="宋体" w:hAnsi="宋体" w:cs="宋体"/>
          <w:color w:val="auto"/>
          <w:spacing w:val="3"/>
          <w:sz w:val="24"/>
          <w:highlight w:val="none"/>
        </w:rPr>
        <w:t xml:space="preserve">中</w:t>
      </w:r>
      <w:r>
        <w:rPr>
          <w:rFonts w:ascii="宋体" w:hAnsi="宋体" w:cs="宋体"/>
          <w:color w:val="auto"/>
          <w:sz w:val="24"/>
          <w:highlight w:val="none"/>
        </w:rPr>
        <w:t xml:space="preserve">小</w:t>
      </w:r>
      <w:r>
        <w:rPr>
          <w:rFonts w:ascii="宋体" w:hAnsi="宋体" w:cs="宋体"/>
          <w:color w:val="auto"/>
          <w:spacing w:val="8"/>
          <w:sz w:val="24"/>
          <w:highlight w:val="none"/>
        </w:rPr>
        <w:t xml:space="preserve">微</w:t>
      </w:r>
      <w:r>
        <w:rPr>
          <w:rFonts w:ascii="宋体" w:hAnsi="宋体" w:cs="宋体"/>
          <w:color w:val="auto"/>
          <w:spacing w:val="4"/>
          <w:sz w:val="24"/>
          <w:highlight w:val="none"/>
        </w:rPr>
        <w:t xml:space="preserve">型企业。其中，从业人员100人及以上，且营业收入1000万元及以上的为中型企业；从业</w:t>
      </w:r>
      <w:r>
        <w:rPr>
          <w:rFonts w:ascii="宋体" w:hAnsi="宋体" w:cs="宋体"/>
          <w:color w:val="auto"/>
          <w:spacing w:val="2"/>
          <w:sz w:val="24"/>
          <w:highlight w:val="none"/>
        </w:rPr>
        <w:t xml:space="preserve">人员10人及以上，且营业收入50万元及以上的为小型企业；从业人员10人以下或营业收</w:t>
      </w:r>
      <w:r>
        <w:rPr>
          <w:rFonts w:ascii="宋体" w:hAnsi="宋体" w:cs="宋体"/>
          <w:color w:val="auto"/>
          <w:spacing w:val="1"/>
          <w:sz w:val="24"/>
          <w:highlight w:val="none"/>
        </w:rPr>
        <w:t xml:space="preserve">入</w:t>
      </w:r>
      <w:r>
        <w:rPr>
          <w:rFonts w:ascii="宋体" w:hAnsi="宋体" w:cs="宋体"/>
          <w:color w:val="auto"/>
          <w:spacing w:val="6"/>
          <w:sz w:val="24"/>
          <w:highlight w:val="none"/>
        </w:rPr>
        <w:t xml:space="preserve">50</w:t>
      </w:r>
      <w:r>
        <w:rPr>
          <w:rFonts w:ascii="宋体" w:hAnsi="宋体" w:cs="宋体"/>
          <w:color w:val="auto"/>
          <w:spacing w:val="3"/>
          <w:sz w:val="24"/>
          <w:highlight w:val="none"/>
        </w:rPr>
        <w:t xml:space="preserve">万元以下的为微型企业。</w:t>
      </w:r>
      <w:r/>
    </w:p>
    <w:p>
      <w:pPr>
        <w:ind w:firstLine="10"/>
        <w:spacing w:before="2" w:line="350" w:lineRule="auto"/>
        <w:widowControl/>
        <w:rPr>
          <w:rFonts w:hint="eastAsia" w:ascii="宋体" w:hAnsi="宋体" w:cs="宋体"/>
          <w:color w:val="auto"/>
          <w:sz w:val="24"/>
          <w:highlight w:val="none"/>
        </w:rPr>
      </w:pPr>
      <w:r>
        <w:rPr>
          <w:rFonts w:hint="eastAsia" w:ascii="宋体" w:hAnsi="宋体" w:cs="宋体"/>
          <w:color w:val="auto"/>
          <w:spacing w:val="10"/>
          <w:sz w:val="24"/>
          <w:highlight w:val="none"/>
        </w:rPr>
        <w:t xml:space="preserve">（</w:t>
      </w:r>
      <w:r>
        <w:rPr>
          <w:rFonts w:ascii="宋体" w:hAnsi="宋体" w:cs="宋体"/>
          <w:color w:val="auto"/>
          <w:spacing w:val="10"/>
          <w:sz w:val="24"/>
          <w:highlight w:val="none"/>
        </w:rPr>
        <w:t xml:space="preserve">十三</w:t>
      </w:r>
      <w:r>
        <w:rPr>
          <w:rFonts w:hint="eastAsia" w:ascii="宋体" w:hAnsi="宋体" w:cs="宋体"/>
          <w:color w:val="auto"/>
          <w:spacing w:val="10"/>
          <w:sz w:val="24"/>
          <w:highlight w:val="none"/>
        </w:rPr>
        <w:t xml:space="preserve">）</w:t>
      </w:r>
      <w:r>
        <w:rPr>
          <w:rFonts w:ascii="宋体" w:hAnsi="宋体" w:cs="宋体"/>
          <w:color w:val="auto"/>
          <w:spacing w:val="10"/>
          <w:sz w:val="24"/>
          <w:highlight w:val="none"/>
        </w:rPr>
        <w:t xml:space="preserve">房地</w:t>
      </w:r>
      <w:r>
        <w:rPr>
          <w:rFonts w:ascii="宋体" w:hAnsi="宋体" w:cs="宋体"/>
          <w:color w:val="auto"/>
          <w:spacing w:val="5"/>
          <w:sz w:val="24"/>
          <w:highlight w:val="none"/>
        </w:rPr>
        <w:t xml:space="preserve">产开发经营。营业收入200000万元以下或资产总额10000万元以下的为中小微</w:t>
      </w:r>
      <w:r>
        <w:rPr>
          <w:rFonts w:ascii="宋体" w:hAnsi="宋体" w:cs="宋体"/>
          <w:color w:val="auto"/>
          <w:spacing w:val="6"/>
          <w:sz w:val="24"/>
          <w:highlight w:val="none"/>
        </w:rPr>
        <w:t xml:space="preserve">型</w:t>
      </w:r>
      <w:r>
        <w:rPr>
          <w:rFonts w:ascii="宋体" w:hAnsi="宋体" w:cs="宋体"/>
          <w:color w:val="auto"/>
          <w:spacing w:val="4"/>
          <w:sz w:val="24"/>
          <w:highlight w:val="none"/>
        </w:rPr>
        <w:t xml:space="preserve">企业。其中，营业收入1000万元及以上，且资产总额5000万元及以上的为中型企业；营</w:t>
      </w:r>
      <w:r>
        <w:rPr>
          <w:rFonts w:ascii="宋体" w:hAnsi="宋体" w:cs="宋体"/>
          <w:color w:val="auto"/>
          <w:spacing w:val="2"/>
          <w:sz w:val="24"/>
          <w:highlight w:val="none"/>
        </w:rPr>
        <w:t xml:space="preserve">业收入100万元及以上，且资产总额2000万元及以上的为小型企业；营业收入100</w:t>
      </w:r>
      <w:r>
        <w:rPr>
          <w:rFonts w:ascii="宋体" w:hAnsi="宋体" w:cs="宋体"/>
          <w:color w:val="auto"/>
          <w:spacing w:val="1"/>
          <w:sz w:val="24"/>
          <w:highlight w:val="none"/>
        </w:rPr>
        <w:t xml:space="preserve">万</w:t>
      </w:r>
      <w:r>
        <w:rPr>
          <w:rFonts w:ascii="宋体" w:hAnsi="宋体" w:cs="宋体"/>
          <w:color w:val="auto"/>
          <w:sz w:val="24"/>
          <w:highlight w:val="none"/>
        </w:rPr>
        <w:t xml:space="preserve">元以下</w:t>
      </w:r>
      <w:r>
        <w:rPr>
          <w:rFonts w:ascii="宋体" w:hAnsi="宋体" w:cs="宋体"/>
          <w:color w:val="auto"/>
          <w:spacing w:val="3"/>
          <w:sz w:val="24"/>
          <w:highlight w:val="none"/>
        </w:rPr>
        <w:t xml:space="preserve">或资产总额2000万元以下的为微型企业</w:t>
      </w:r>
      <w:r>
        <w:rPr>
          <w:rFonts w:ascii="宋体" w:hAnsi="宋体" w:cs="宋体"/>
          <w:color w:val="auto"/>
          <w:spacing w:val="1"/>
          <w:sz w:val="24"/>
          <w:highlight w:val="none"/>
        </w:rPr>
        <w:t xml:space="preserve">。</w:t>
      </w:r>
      <w:r/>
    </w:p>
    <w:p>
      <w:pPr>
        <w:ind w:left="19" w:right="2" w:hanging="9"/>
        <w:spacing w:before="2" w:line="350" w:lineRule="auto"/>
        <w:widowControl/>
        <w:rPr>
          <w:rFonts w:hint="eastAsia" w:ascii="宋体" w:hAnsi="宋体" w:cs="宋体"/>
          <w:color w:val="auto"/>
          <w:sz w:val="24"/>
          <w:highlight w:val="none"/>
        </w:rPr>
      </w:pP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十四</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物业管理。从业人员1000人以下或营业收入5000万元以下的为中小微型企业</w:t>
      </w:r>
      <w:r>
        <w:rPr>
          <w:rFonts w:ascii="宋体" w:hAnsi="宋体" w:cs="宋体"/>
          <w:color w:val="auto"/>
          <w:spacing w:val="3"/>
          <w:sz w:val="24"/>
          <w:highlight w:val="none"/>
        </w:rPr>
        <w:t xml:space="preserve">。</w:t>
      </w:r>
      <w:r>
        <w:rPr>
          <w:rFonts w:ascii="宋体" w:hAnsi="宋体" w:cs="宋体"/>
          <w:color w:val="auto"/>
          <w:sz w:val="24"/>
          <w:highlight w:val="none"/>
        </w:rPr>
        <w:t xml:space="preserve">其</w:t>
      </w:r>
      <w:r>
        <w:rPr>
          <w:rFonts w:ascii="宋体" w:hAnsi="宋体" w:cs="宋体"/>
          <w:color w:val="auto"/>
          <w:spacing w:val="2"/>
          <w:sz w:val="24"/>
          <w:highlight w:val="none"/>
        </w:rPr>
        <w:t xml:space="preserve">中，从业人员300人及以上，且营业收入1</w:t>
      </w:r>
      <w:r>
        <w:rPr>
          <w:rFonts w:ascii="宋体" w:hAnsi="宋体" w:cs="宋体"/>
          <w:color w:val="auto"/>
          <w:spacing w:val="1"/>
          <w:sz w:val="24"/>
          <w:highlight w:val="none"/>
        </w:rPr>
        <w:t xml:space="preserve">000万元及以上的为中型企业；从业人员100人及</w:t>
      </w:r>
      <w:r>
        <w:rPr>
          <w:rFonts w:ascii="宋体" w:hAnsi="宋体" w:cs="宋体"/>
          <w:color w:val="auto"/>
          <w:spacing w:val="2"/>
          <w:sz w:val="24"/>
          <w:highlight w:val="none"/>
        </w:rPr>
        <w:t xml:space="preserve">以上，且营业收入500万元及以上的为小</w:t>
      </w:r>
      <w:r>
        <w:rPr>
          <w:rFonts w:ascii="宋体" w:hAnsi="宋体" w:cs="宋体"/>
          <w:color w:val="auto"/>
          <w:spacing w:val="1"/>
          <w:sz w:val="24"/>
          <w:highlight w:val="none"/>
        </w:rPr>
        <w:t xml:space="preserve">型企业；从业人员100人以下或营业收入500万元</w:t>
      </w:r>
      <w:r>
        <w:rPr>
          <w:rFonts w:ascii="宋体" w:hAnsi="宋体" w:cs="宋体"/>
          <w:color w:val="auto"/>
          <w:spacing w:val="9"/>
          <w:sz w:val="24"/>
          <w:highlight w:val="none"/>
        </w:rPr>
        <w:t xml:space="preserve">以</w:t>
      </w:r>
      <w:r>
        <w:rPr>
          <w:rFonts w:ascii="宋体" w:hAnsi="宋体" w:cs="宋体"/>
          <w:color w:val="auto"/>
          <w:spacing w:val="5"/>
          <w:sz w:val="24"/>
          <w:highlight w:val="none"/>
        </w:rPr>
        <w:t xml:space="preserve">下的为微型企业。</w:t>
      </w:r>
      <w:r/>
    </w:p>
    <w:p>
      <w:pPr>
        <w:ind w:left="4" w:firstLine="6"/>
        <w:spacing w:line="351" w:lineRule="auto"/>
        <w:widowControl/>
        <w:rPr>
          <w:rFonts w:hint="eastAsia" w:ascii="宋体" w:hAnsi="宋体" w:cs="宋体"/>
          <w:color w:val="auto"/>
          <w:sz w:val="24"/>
          <w:highlight w:val="none"/>
        </w:rPr>
      </w:pPr>
      <w:r>
        <w:rPr>
          <w:rFonts w:hint="eastAsia" w:ascii="宋体" w:hAnsi="宋体" w:cs="宋体"/>
          <w:color w:val="auto"/>
          <w:spacing w:val="10"/>
          <w:sz w:val="24"/>
          <w:highlight w:val="none"/>
        </w:rPr>
        <w:t xml:space="preserve">（</w:t>
      </w:r>
      <w:r>
        <w:rPr>
          <w:rFonts w:ascii="宋体" w:hAnsi="宋体" w:cs="宋体"/>
          <w:color w:val="auto"/>
          <w:spacing w:val="10"/>
          <w:sz w:val="24"/>
          <w:highlight w:val="none"/>
        </w:rPr>
        <w:t xml:space="preserve">十五</w:t>
      </w:r>
      <w:r>
        <w:rPr>
          <w:rFonts w:hint="eastAsia" w:ascii="宋体" w:hAnsi="宋体" w:cs="宋体"/>
          <w:color w:val="auto"/>
          <w:spacing w:val="10"/>
          <w:sz w:val="24"/>
          <w:highlight w:val="none"/>
        </w:rPr>
        <w:t xml:space="preserve">）</w:t>
      </w:r>
      <w:r>
        <w:rPr>
          <w:rFonts w:ascii="宋体" w:hAnsi="宋体" w:cs="宋体"/>
          <w:color w:val="auto"/>
          <w:spacing w:val="10"/>
          <w:sz w:val="24"/>
          <w:highlight w:val="none"/>
        </w:rPr>
        <w:t xml:space="preserve">租赁</w:t>
      </w:r>
      <w:r>
        <w:rPr>
          <w:rFonts w:ascii="宋体" w:hAnsi="宋体" w:cs="宋体"/>
          <w:color w:val="auto"/>
          <w:spacing w:val="7"/>
          <w:sz w:val="24"/>
          <w:highlight w:val="none"/>
        </w:rPr>
        <w:t xml:space="preserve">和</w:t>
      </w:r>
      <w:r>
        <w:rPr>
          <w:rFonts w:ascii="宋体" w:hAnsi="宋体" w:cs="宋体"/>
          <w:color w:val="auto"/>
          <w:spacing w:val="5"/>
          <w:sz w:val="24"/>
          <w:highlight w:val="none"/>
        </w:rPr>
        <w:t xml:space="preserve">商务服务业。从业人员300人以下或资产总额120000万元以下的为中小微型</w:t>
      </w:r>
      <w:r>
        <w:rPr>
          <w:rFonts w:ascii="宋体" w:hAnsi="宋体" w:cs="宋体"/>
          <w:color w:val="auto"/>
          <w:spacing w:val="7"/>
          <w:sz w:val="24"/>
          <w:highlight w:val="none"/>
        </w:rPr>
        <w:t xml:space="preserve">企</w:t>
      </w:r>
      <w:r>
        <w:rPr>
          <w:rFonts w:ascii="宋体" w:hAnsi="宋体" w:cs="宋体"/>
          <w:color w:val="auto"/>
          <w:spacing w:val="4"/>
          <w:sz w:val="24"/>
          <w:highlight w:val="none"/>
        </w:rPr>
        <w:t xml:space="preserve">业。其中，从业人员100人及以上，且资产总额8000万元及以上的为中型企业；从业人员</w:t>
      </w:r>
      <w:r>
        <w:rPr>
          <w:rFonts w:ascii="宋体" w:hAnsi="宋体" w:cs="宋体"/>
          <w:color w:val="auto"/>
          <w:spacing w:val="2"/>
          <w:sz w:val="24"/>
          <w:highlight w:val="none"/>
        </w:rPr>
        <w:t xml:space="preserve">10人及以上，且资产总额100万元及以上的为小型企业；从业人员10人以下或资产总</w:t>
      </w:r>
      <w:r>
        <w:rPr>
          <w:rFonts w:ascii="宋体" w:hAnsi="宋体" w:cs="宋体"/>
          <w:color w:val="auto"/>
          <w:sz w:val="24"/>
          <w:highlight w:val="none"/>
        </w:rPr>
        <w:t xml:space="preserve">额100</w:t>
      </w:r>
      <w:r>
        <w:rPr>
          <w:rFonts w:ascii="宋体" w:hAnsi="宋体" w:cs="宋体"/>
          <w:color w:val="auto"/>
          <w:spacing w:val="8"/>
          <w:sz w:val="24"/>
          <w:highlight w:val="none"/>
        </w:rPr>
        <w:t xml:space="preserve">万元以下的为微型企业</w:t>
      </w:r>
      <w:r>
        <w:rPr>
          <w:rFonts w:ascii="宋体" w:hAnsi="宋体" w:cs="宋体"/>
          <w:color w:val="auto"/>
          <w:spacing w:val="6"/>
          <w:sz w:val="24"/>
          <w:highlight w:val="none"/>
        </w:rPr>
        <w:t xml:space="preserve">。</w:t>
      </w:r>
      <w:r/>
    </w:p>
    <w:p>
      <w:pPr>
        <w:ind w:right="105" w:firstLine="10"/>
        <w:spacing w:before="2" w:line="350" w:lineRule="auto"/>
        <w:widowControl/>
        <w:rPr>
          <w:rFonts w:hint="eastAsia" w:ascii="宋体" w:hAnsi="宋体" w:cs="宋体"/>
          <w:color w:val="auto"/>
          <w:sz w:val="24"/>
          <w:highlight w:val="none"/>
        </w:rPr>
      </w:pP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十六</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其他未列明行业。从业人员300人以下的为中小微型企业。其中，从业人员100</w:t>
      </w:r>
      <w:r>
        <w:rPr>
          <w:rFonts w:ascii="宋体" w:hAnsi="宋体" w:cs="宋体"/>
          <w:color w:val="auto"/>
          <w:spacing w:val="3"/>
          <w:sz w:val="24"/>
          <w:highlight w:val="none"/>
        </w:rPr>
        <w:t xml:space="preserve">人</w:t>
      </w:r>
      <w:r>
        <w:rPr>
          <w:rFonts w:ascii="宋体" w:hAnsi="宋体" w:cs="宋体"/>
          <w:color w:val="auto"/>
          <w:spacing w:val="8"/>
          <w:sz w:val="24"/>
          <w:highlight w:val="none"/>
        </w:rPr>
        <w:t xml:space="preserve">及以</w:t>
      </w:r>
      <w:r>
        <w:rPr>
          <w:rFonts w:ascii="宋体" w:hAnsi="宋体" w:cs="宋体"/>
          <w:color w:val="auto"/>
          <w:spacing w:val="6"/>
          <w:sz w:val="24"/>
          <w:highlight w:val="none"/>
        </w:rPr>
        <w:t xml:space="preserve">上</w:t>
      </w:r>
      <w:r>
        <w:rPr>
          <w:rFonts w:ascii="宋体" w:hAnsi="宋体" w:cs="宋体"/>
          <w:color w:val="auto"/>
          <w:spacing w:val="4"/>
          <w:sz w:val="24"/>
          <w:highlight w:val="none"/>
        </w:rPr>
        <w:t xml:space="preserve">的为中型企业；从业人员10人及以上的为小型企业；从业人员10人以下的为微型企</w:t>
      </w:r>
      <w:r>
        <w:rPr>
          <w:rFonts w:ascii="宋体" w:hAnsi="宋体" w:cs="宋体"/>
          <w:color w:val="auto"/>
          <w:spacing w:val="1"/>
          <w:sz w:val="24"/>
          <w:highlight w:val="none"/>
        </w:rPr>
        <w:t xml:space="preserve">业</w:t>
      </w:r>
      <w:r>
        <w:rPr>
          <w:rFonts w:ascii="宋体" w:hAnsi="宋体" w:cs="宋体"/>
          <w:color w:val="auto"/>
          <w:sz w:val="24"/>
          <w:highlight w:val="none"/>
        </w:rPr>
        <w:t xml:space="preserve">。</w:t>
      </w:r>
      <w:r/>
    </w:p>
    <w:p>
      <w:pPr>
        <w:ind w:left="4"/>
        <w:spacing w:line="237" w:lineRule="auto"/>
        <w:widowControl/>
        <w:rPr>
          <w:rFonts w:hint="eastAsia" w:ascii="宋体" w:hAnsi="宋体" w:cs="宋体"/>
          <w:color w:val="auto"/>
          <w:sz w:val="24"/>
          <w:highlight w:val="none"/>
        </w:rPr>
      </w:pPr>
      <w:r>
        <w:rPr>
          <w:rFonts w:ascii="宋体" w:hAnsi="宋体" w:cs="宋体"/>
          <w:color w:val="auto"/>
          <w:spacing w:val="9"/>
          <w:sz w:val="24"/>
          <w:highlight w:val="none"/>
        </w:rPr>
        <w:t xml:space="preserve">五、企业类型的划分以统计部门的统计数据为依据</w:t>
      </w:r>
      <w:r>
        <w:rPr>
          <w:rFonts w:ascii="宋体" w:hAnsi="宋体" w:cs="宋体"/>
          <w:color w:val="auto"/>
          <w:spacing w:val="8"/>
          <w:sz w:val="24"/>
          <w:highlight w:val="none"/>
        </w:rPr>
        <w:t xml:space="preserve">。</w:t>
      </w:r>
      <w:r/>
    </w:p>
    <w:p>
      <w:pPr>
        <w:ind w:right="105" w:firstLine="1"/>
        <w:spacing w:before="123" w:line="288" w:lineRule="auto"/>
        <w:widowControl/>
        <w:rPr>
          <w:rFonts w:hint="eastAsia" w:ascii="宋体" w:hAnsi="宋体" w:cs="宋体"/>
          <w:color w:val="auto"/>
          <w:sz w:val="24"/>
          <w:highlight w:val="none"/>
        </w:rPr>
      </w:pPr>
      <w:r>
        <w:rPr>
          <w:rFonts w:ascii="宋体" w:hAnsi="宋体" w:cs="宋体"/>
          <w:color w:val="auto"/>
          <w:spacing w:val="18"/>
          <w:sz w:val="24"/>
          <w:highlight w:val="none"/>
        </w:rPr>
        <w:t xml:space="preserve">六、本</w:t>
      </w:r>
      <w:r>
        <w:rPr>
          <w:rFonts w:ascii="宋体" w:hAnsi="宋体" w:cs="宋体"/>
          <w:color w:val="auto"/>
          <w:spacing w:val="9"/>
          <w:sz w:val="24"/>
          <w:highlight w:val="none"/>
        </w:rPr>
        <w:t xml:space="preserve">规定适用于在中华人民共和国境内依法设立的各类所有制和各种组织形式的企业。个</w:t>
      </w:r>
      <w:r>
        <w:rPr>
          <w:rFonts w:ascii="宋体" w:hAnsi="宋体" w:cs="宋体"/>
          <w:color w:val="auto"/>
          <w:spacing w:val="13"/>
          <w:sz w:val="24"/>
          <w:highlight w:val="none"/>
        </w:rPr>
        <w:t xml:space="preserve">体</w:t>
      </w:r>
      <w:r>
        <w:rPr>
          <w:rFonts w:ascii="宋体" w:hAnsi="宋体" w:cs="宋体"/>
          <w:color w:val="auto"/>
          <w:spacing w:val="9"/>
          <w:sz w:val="24"/>
          <w:highlight w:val="none"/>
        </w:rPr>
        <w:t xml:space="preserve">工商户和本规定以外的行业，参照本规定进行划型。</w:t>
      </w:r>
      <w:r/>
    </w:p>
    <w:p>
      <w:pPr>
        <w:ind w:right="105"/>
        <w:spacing w:before="137" w:line="309" w:lineRule="auto"/>
        <w:widowControl/>
        <w:rPr>
          <w:rFonts w:hint="eastAsia" w:ascii="宋体" w:hAnsi="宋体" w:cs="宋体"/>
          <w:color w:val="auto"/>
          <w:sz w:val="24"/>
          <w:highlight w:val="none"/>
        </w:rPr>
      </w:pPr>
      <w:r>
        <w:rPr>
          <w:rFonts w:ascii="宋体" w:hAnsi="宋体" w:cs="宋体"/>
          <w:color w:val="auto"/>
          <w:spacing w:val="18"/>
          <w:sz w:val="24"/>
          <w:highlight w:val="none"/>
        </w:rPr>
        <w:t xml:space="preserve">七、本</w:t>
      </w:r>
      <w:r>
        <w:rPr>
          <w:rFonts w:ascii="宋体" w:hAnsi="宋体" w:cs="宋体"/>
          <w:color w:val="auto"/>
          <w:spacing w:val="12"/>
          <w:sz w:val="24"/>
          <w:highlight w:val="none"/>
        </w:rPr>
        <w:t xml:space="preserve">规</w:t>
      </w:r>
      <w:r>
        <w:rPr>
          <w:rFonts w:ascii="宋体" w:hAnsi="宋体" w:cs="宋体"/>
          <w:color w:val="auto"/>
          <w:spacing w:val="9"/>
          <w:sz w:val="24"/>
          <w:highlight w:val="none"/>
        </w:rPr>
        <w:t xml:space="preserve">定的中型企业标准上限即为大型企业标准的下限，国家统计部门据此制定大中小微</w:t>
      </w:r>
      <w:r>
        <w:rPr>
          <w:rFonts w:ascii="宋体" w:hAnsi="宋体" w:cs="宋体"/>
          <w:color w:val="auto"/>
          <w:spacing w:val="18"/>
          <w:sz w:val="24"/>
          <w:highlight w:val="none"/>
        </w:rPr>
        <w:t xml:space="preserve">型企业</w:t>
      </w:r>
      <w:r>
        <w:rPr>
          <w:rFonts w:ascii="宋体" w:hAnsi="宋体" w:cs="宋体"/>
          <w:color w:val="auto"/>
          <w:spacing w:val="12"/>
          <w:sz w:val="24"/>
          <w:highlight w:val="none"/>
        </w:rPr>
        <w:t xml:space="preserve">的</w:t>
      </w:r>
      <w:r>
        <w:rPr>
          <w:rFonts w:ascii="宋体" w:hAnsi="宋体" w:cs="宋体"/>
          <w:color w:val="auto"/>
          <w:spacing w:val="9"/>
          <w:sz w:val="24"/>
          <w:highlight w:val="none"/>
        </w:rPr>
        <w:t xml:space="preserve">统计分类。国务院有关部门据此进行相关数据分析，不得制定与本规定不一致的企</w:t>
      </w:r>
      <w:r>
        <w:rPr>
          <w:rFonts w:ascii="宋体" w:hAnsi="宋体" w:cs="宋体"/>
          <w:color w:val="auto"/>
          <w:spacing w:val="7"/>
          <w:sz w:val="24"/>
          <w:highlight w:val="none"/>
        </w:rPr>
        <w:t xml:space="preserve">业划型标准</w:t>
      </w:r>
      <w:r>
        <w:rPr>
          <w:rFonts w:ascii="宋体" w:hAnsi="宋体" w:cs="宋体"/>
          <w:color w:val="auto"/>
          <w:spacing w:val="6"/>
          <w:sz w:val="24"/>
          <w:highlight w:val="none"/>
        </w:rPr>
        <w:t xml:space="preserve">。</w:t>
      </w:r>
      <w:r/>
    </w:p>
    <w:p>
      <w:pPr>
        <w:ind w:left="2" w:right="105" w:firstLine="1"/>
        <w:spacing w:before="134" w:line="289" w:lineRule="auto"/>
        <w:widowControl/>
        <w:rPr>
          <w:rFonts w:hint="eastAsia" w:ascii="宋体" w:hAnsi="宋体" w:cs="宋体"/>
          <w:color w:val="auto"/>
          <w:sz w:val="24"/>
          <w:highlight w:val="none"/>
        </w:rPr>
      </w:pPr>
      <w:r>
        <w:rPr>
          <w:rFonts w:ascii="宋体" w:hAnsi="宋体" w:cs="宋体"/>
          <w:color w:val="auto"/>
          <w:spacing w:val="18"/>
          <w:sz w:val="24"/>
          <w:highlight w:val="none"/>
        </w:rPr>
        <w:t xml:space="preserve">八、</w:t>
      </w:r>
      <w:r>
        <w:rPr>
          <w:rFonts w:ascii="宋体" w:hAnsi="宋体" w:cs="宋体"/>
          <w:color w:val="auto"/>
          <w:spacing w:val="17"/>
          <w:sz w:val="24"/>
          <w:highlight w:val="none"/>
        </w:rPr>
        <w:t xml:space="preserve">本</w:t>
      </w:r>
      <w:r>
        <w:rPr>
          <w:rFonts w:ascii="宋体" w:hAnsi="宋体" w:cs="宋体"/>
          <w:color w:val="auto"/>
          <w:spacing w:val="9"/>
          <w:sz w:val="24"/>
          <w:highlight w:val="none"/>
        </w:rPr>
        <w:t xml:space="preserve">规定由工业和信息化部、国家统计局会同有关部门根据《国民经济行业分类》修订情</w:t>
      </w:r>
      <w:r>
        <w:rPr>
          <w:rFonts w:ascii="宋体" w:hAnsi="宋体" w:cs="宋体"/>
          <w:color w:val="auto"/>
          <w:spacing w:val="15"/>
          <w:sz w:val="24"/>
          <w:highlight w:val="none"/>
        </w:rPr>
        <w:t xml:space="preserve">况</w:t>
      </w:r>
      <w:r>
        <w:rPr>
          <w:rFonts w:ascii="宋体" w:hAnsi="宋体" w:cs="宋体"/>
          <w:color w:val="auto"/>
          <w:spacing w:val="8"/>
          <w:sz w:val="24"/>
          <w:highlight w:val="none"/>
        </w:rPr>
        <w:t xml:space="preserve">和企业发展变化情况适时修订。</w:t>
      </w:r>
      <w:r/>
    </w:p>
    <w:p>
      <w:pPr>
        <w:ind w:left="5"/>
        <w:spacing w:before="132" w:line="231" w:lineRule="auto"/>
        <w:widowControl/>
        <w:rPr>
          <w:rFonts w:hint="eastAsia" w:ascii="宋体" w:hAnsi="宋体" w:cs="宋体"/>
          <w:color w:val="auto"/>
          <w:sz w:val="24"/>
          <w:highlight w:val="none"/>
        </w:rPr>
      </w:pPr>
      <w:r>
        <w:rPr>
          <w:rFonts w:ascii="宋体" w:hAnsi="宋体" w:cs="宋体"/>
          <w:color w:val="auto"/>
          <w:spacing w:val="14"/>
          <w:sz w:val="24"/>
          <w:highlight w:val="none"/>
        </w:rPr>
        <w:t xml:space="preserve">九</w:t>
      </w:r>
      <w:r>
        <w:rPr>
          <w:rFonts w:ascii="宋体" w:hAnsi="宋体" w:cs="宋体"/>
          <w:color w:val="auto"/>
          <w:spacing w:val="9"/>
          <w:sz w:val="24"/>
          <w:highlight w:val="none"/>
        </w:rPr>
        <w:t xml:space="preserve">、本规定由工业和信息化部、国家统计局会同有关部门负责解释。</w:t>
      </w:r>
      <w:r/>
    </w:p>
    <w:p>
      <w:pPr>
        <w:ind w:right="2"/>
        <w:spacing w:before="133" w:line="288" w:lineRule="auto"/>
        <w:widowControl/>
        <w:rPr>
          <w:rFonts w:ascii="Arial" w:hAnsi="Arial" w:cs="Arial"/>
          <w:color w:val="auto"/>
          <w:sz w:val="24"/>
          <w:highlight w:val="none"/>
        </w:rPr>
      </w:pPr>
      <w:r>
        <w:rPr>
          <w:rFonts w:ascii="宋体" w:hAnsi="宋体" w:cs="宋体"/>
          <w:color w:val="auto"/>
          <w:spacing w:val="12"/>
          <w:sz w:val="24"/>
          <w:highlight w:val="none"/>
        </w:rPr>
        <w:t xml:space="preserve">十、本规</w:t>
      </w:r>
      <w:r>
        <w:rPr>
          <w:rFonts w:ascii="宋体" w:hAnsi="宋体" w:cs="宋体"/>
          <w:color w:val="auto"/>
          <w:spacing w:val="10"/>
          <w:sz w:val="24"/>
          <w:highlight w:val="none"/>
        </w:rPr>
        <w:t xml:space="preserve">定</w:t>
      </w:r>
      <w:r>
        <w:rPr>
          <w:rFonts w:ascii="宋体" w:hAnsi="宋体" w:cs="宋体"/>
          <w:color w:val="auto"/>
          <w:spacing w:val="6"/>
          <w:sz w:val="24"/>
          <w:highlight w:val="none"/>
        </w:rPr>
        <w:t xml:space="preserve">自发布之日起执行，原国家经贸委、原国家计委、财政部和国家统计局2003 年颁</w:t>
      </w:r>
      <w:r>
        <w:rPr>
          <w:rFonts w:ascii="宋体" w:hAnsi="宋体" w:cs="宋体"/>
          <w:color w:val="auto"/>
          <w:spacing w:val="9"/>
          <w:sz w:val="24"/>
          <w:highlight w:val="none"/>
        </w:rPr>
        <w:t xml:space="preserve">布的《中小企业标准暂行规定》同时废止</w:t>
      </w:r>
      <w:r>
        <w:rPr>
          <w:rFonts w:ascii="宋体" w:hAnsi="宋体" w:cs="宋体"/>
          <w:color w:val="auto"/>
          <w:spacing w:val="7"/>
          <w:sz w:val="24"/>
          <w:highlight w:val="none"/>
        </w:rPr>
        <w:t xml:space="preserve">。</w:t>
      </w:r>
      <w:r/>
    </w:p>
    <w:p>
      <w:pPr>
        <w:pStyle w:val="845"/>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845"/>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845"/>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845"/>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845"/>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845"/>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845"/>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856"/>
        <w:ind w:left="0" w:right="0"/>
        <w:jc w:val="center"/>
        <w:keepLines w:val="0"/>
        <w:keepNext w:val="0"/>
        <w:spacing w:before="15" w:beforeAutospacing="0" w:after="15" w:afterAutospacing="0"/>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b/>
          <w:color w:val="auto"/>
          <w:sz w:val="32"/>
          <w:szCs w:val="32"/>
          <w:highlight w:val="none"/>
        </w:rPr>
        <w:br w:type="page" w:clear="all"/>
      </w:r>
      <w:r>
        <w:rPr>
          <w:rFonts w:hint="eastAsia" w:ascii="宋体" w:hAnsi="宋体" w:eastAsia="宋体" w:cs="宋体"/>
          <w:b/>
          <w:bCs/>
          <w:color w:val="auto"/>
          <w:sz w:val="30"/>
          <w:szCs w:val="30"/>
          <w:highlight w:val="none"/>
          <w:shd w:val="clear" w:color="auto" w:fill="ffffff"/>
        </w:rPr>
        <w:t xml:space="preserve">关于符合本国产品标准的声明函</w:t>
      </w:r>
      <w:r/>
    </w:p>
    <w:p>
      <w:pPr>
        <w:pStyle w:val="856"/>
        <w:ind w:left="0" w:firstLine="420"/>
        <w:keepLines w:val="0"/>
        <w:keepNext w:val="0"/>
        <w:spacing w:before="15" w:beforeAutospacing="0" w:after="15" w:afterAutospacing="0"/>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shd w:val="clear" w:color="auto" w:fill="ffffff"/>
        </w:rPr>
        <w:t xml:space="preserve"> </w:t>
      </w:r>
      <w:r/>
    </w:p>
    <w:p>
      <w:pPr>
        <w:pStyle w:val="856"/>
        <w:ind w:left="0" w:firstLine="420"/>
        <w:keepLines w:val="0"/>
        <w:keepNext w:val="0"/>
        <w:spacing w:before="0" w:beforeAutospacing="0" w:after="0" w:afterAutospacing="0" w:line="360" w:lineRule="auto"/>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6"/>
        <w:ind w:left="0" w:firstLine="420"/>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1.</w:t>
      </w:r>
      <w:r>
        <w:rPr>
          <w:rFonts w:hint="eastAsia" w:ascii="宋体" w:hAnsi="宋体" w:eastAsia="宋体" w:cs="宋体"/>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856"/>
        <w:ind w:left="0" w:firstLine="420"/>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2.</w:t>
      </w:r>
      <w:r>
        <w:rPr>
          <w:rFonts w:hint="eastAsia" w:ascii="宋体" w:hAnsi="宋体" w:eastAsia="宋体" w:cs="宋体"/>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在中国境内完成。</w:t>
      </w:r>
      <w:r/>
    </w:p>
    <w:p>
      <w:pPr>
        <w:pStyle w:val="856"/>
        <w:ind w:left="0" w:firstLine="420"/>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w:t>
      </w:r>
      <w:r/>
    </w:p>
    <w:p>
      <w:pPr>
        <w:pStyle w:val="856"/>
        <w:ind w:left="0" w:firstLine="420"/>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856"/>
        <w:keepLines w:val="0"/>
        <w:keepNext w:val="0"/>
        <w:spacing w:before="30" w:beforeAutospacing="0" w:after="30" w:afterAutospacing="0" w:line="0" w:lineRule="atLeast"/>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shd w:val="clear" w:color="auto" w:fill="ffffff"/>
        </w:rPr>
        <w:t xml:space="preserve"> </w:t>
      </w:r>
      <w:r/>
    </w:p>
    <w:p>
      <w:pPr>
        <w:pStyle w:val="856"/>
        <w:jc w:val="right"/>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   公司（单位）名称（加盖公章）：         </w:t>
      </w:r>
      <w:r/>
    </w:p>
    <w:p>
      <w:pPr>
        <w:pStyle w:val="856"/>
        <w:jc w:val="center"/>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           日期：      年   月   日         </w:t>
      </w:r>
      <w:r/>
    </w:p>
    <w:p>
      <w:pPr>
        <w:pStyle w:val="856"/>
        <w:keepLines w:val="0"/>
        <w:keepNext w:val="0"/>
        <w:spacing w:before="30" w:beforeAutospacing="0" w:after="30" w:afterAutospacing="0" w:line="0" w:lineRule="atLeast"/>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shd w:val="clear" w:color="auto" w:fill="ffffff"/>
        </w:rPr>
        <w:t xml:space="preserve"> </w:t>
      </w:r>
      <w:r/>
    </w:p>
    <w:p>
      <w:pPr>
        <w:pStyle w:val="856"/>
        <w:keepLines w:val="0"/>
        <w:keepNext w:val="0"/>
        <w:spacing w:before="30" w:beforeAutospacing="0" w:after="30" w:afterAutospacing="0" w:line="0" w:lineRule="atLeast"/>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shd w:val="clear" w:color="auto" w:fill="ffffff"/>
        </w:rPr>
        <w:t xml:space="preserve"> </w:t>
      </w:r>
      <w:r/>
    </w:p>
    <w:p>
      <w:pPr>
        <w:pStyle w:val="856"/>
        <w:keepLines w:val="0"/>
        <w:keepNext w:val="0"/>
        <w:spacing w:before="30" w:beforeAutospacing="0" w:after="30" w:afterAutospacing="0" w:line="0" w:lineRule="atLeast"/>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_________________</w:t>
      </w:r>
      <w:r/>
    </w:p>
    <w:p>
      <w:pPr>
        <w:pStyle w:val="856"/>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856"/>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856"/>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856"/>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856"/>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856"/>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6.《声明函》中标注“</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”的地方无需填写。</w:t>
      </w:r>
      <w:r/>
    </w:p>
    <w:p>
      <w:pPr>
        <w:pStyle w:val="856"/>
        <w:ind w:left="0" w:right="0" w:firstLine="420"/>
        <w:keepLines w:val="0"/>
        <w:keepNext w:val="0"/>
        <w:spacing w:before="24" w:beforeAutospacing="0" w:after="24" w:afterAutospacing="0" w:line="360" w:lineRule="atLeast"/>
        <w:widowControl/>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sectPr>
          <w:footerReference w:type="default" r:id="rId12"/>
          <w:footerReference w:type="first" r:id="rId13"/>
          <w:footnotePr/>
          <w:endnotePr/>
          <w:type w:val="nextPage"/>
          <w:pgSz w:w="11907" w:h="16840" w:orient="portrait"/>
          <w:pgMar w:top="1440" w:right="1270" w:bottom="1440" w:left="1270" w:header="851" w:footer="992" w:gutter="0"/>
          <w:cols w:num="1" w:sep="0" w:space="1701" w:equalWidth="1"/>
          <w:docGrid w:linePitch="360"/>
          <w:titlePg/>
        </w:sectPr>
        <w:suppressLineNumbers w:val="0"/>
      </w:pPr>
      <w:r>
        <w:rPr>
          <w:rFonts w:hint="eastAsia" w:ascii="宋体" w:hAnsi="宋体" w:eastAsia="宋体" w:cs="宋体"/>
          <w:b/>
          <w:color w:val="auto"/>
          <w:sz w:val="24"/>
          <w:szCs w:val="24"/>
          <w:highlight w:val="none"/>
          <w:lang w:val="en-US" w:eastAsia="zh-CN"/>
        </w:rPr>
      </w:r>
      <w:r/>
    </w:p>
    <w:p>
      <w:pPr>
        <w:pStyle w:val="844"/>
        <w:jc w:val="both"/>
        <w:keepLines w:val="0"/>
        <w:keepNext w:val="0"/>
        <w:spacing w:before="0" w:after="0" w:line="360" w:lineRule="auto"/>
        <w:rPr>
          <w:rFonts w:hint="eastAsia" w:ascii="宋体" w:hAnsi="宋体" w:eastAsia="宋体" w:cs="宋体"/>
          <w:b w:val="0"/>
          <w:bCs/>
          <w:color w:val="auto"/>
          <w:szCs w:val="32"/>
          <w:highlight w:val="none"/>
          <w:lang w:val="en-US" w:eastAsia="zh-CN"/>
        </w:rPr>
      </w:pPr>
      <w:r>
        <w:rPr>
          <w:rFonts w:hint="eastAsia" w:ascii="宋体" w:hAnsi="宋体" w:eastAsia="宋体" w:cs="宋体"/>
          <w:b w:val="0"/>
          <w:bCs/>
          <w:color w:val="auto"/>
          <w:szCs w:val="32"/>
          <w:highlight w:val="none"/>
          <w:lang w:val="en-US" w:eastAsia="zh-CN"/>
        </w:rPr>
      </w:r>
      <w:r/>
    </w:p>
    <w:p>
      <w:pPr>
        <w:pStyle w:val="844"/>
        <w:jc w:val="center"/>
        <w:keepLines w:val="0"/>
        <w:keepNext w:val="0"/>
        <w:spacing w:before="0" w:after="0" w:line="360" w:lineRule="auto"/>
        <w:rPr>
          <w:rFonts w:hint="eastAsia" w:ascii="宋体" w:hAnsi="宋体" w:eastAsia="宋体" w:cs="宋体"/>
          <w:b w:val="0"/>
          <w:bCs/>
          <w:color w:val="auto"/>
          <w:szCs w:val="32"/>
          <w:highlight w:val="none"/>
          <w:lang w:val="en-US" w:eastAsia="zh-CN"/>
        </w:rPr>
      </w:pPr>
      <w:r>
        <w:rPr>
          <w:rFonts w:hint="eastAsia" w:ascii="宋体" w:hAnsi="宋体" w:eastAsia="宋体" w:cs="宋体"/>
          <w:b w:val="0"/>
          <w:bCs/>
          <w:color w:val="auto"/>
          <w:szCs w:val="32"/>
          <w:highlight w:val="none"/>
          <w:lang w:val="en-US" w:eastAsia="zh-CN"/>
        </w:rPr>
        <w:t xml:space="preserve">（八）本项目特定资格要求</w:t>
      </w:r>
      <w:r/>
    </w:p>
    <w:p>
      <w:pPr>
        <w:pStyle w:val="844"/>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844"/>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844"/>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844"/>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844"/>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844"/>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844"/>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844"/>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844"/>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844"/>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844"/>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844"/>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844"/>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844"/>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844"/>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844"/>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844"/>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844"/>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843"/>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w:t>
      </w:r>
      <w:r>
        <w:rPr>
          <w:rFonts w:hint="eastAsia" w:ascii="宋体" w:hAnsi="宋体" w:eastAsia="宋体" w:cs="宋体"/>
          <w:color w:val="auto"/>
          <w:sz w:val="32"/>
          <w:highlight w:val="none"/>
          <w:lang w:val="en-US" w:eastAsia="zh-CN"/>
        </w:rPr>
        <w:t xml:space="preserve">九</w:t>
      </w:r>
      <w:r>
        <w:rPr>
          <w:rFonts w:hint="eastAsia" w:ascii="宋体" w:hAnsi="宋体" w:eastAsia="宋体" w:cs="宋体"/>
          <w:color w:val="auto"/>
          <w:sz w:val="32"/>
          <w:highlight w:val="none"/>
        </w:rPr>
        <w:t xml:space="preserve">）资格承诺函</w:t>
      </w:r>
      <w:r/>
    </w:p>
    <w:p>
      <w:pPr>
        <w:pStyle w:val="843"/>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致：</w:t>
      </w:r>
      <w:r>
        <w:rPr>
          <w:rFonts w:hint="eastAsia" w:ascii="宋体" w:hAnsi="宋体" w:eastAsia="宋体" w:cs="宋体"/>
          <w:b w:val="0"/>
          <w:bCs/>
          <w:color w:val="auto"/>
          <w:sz w:val="28"/>
          <w:szCs w:val="28"/>
          <w:highlight w:val="none"/>
          <w:u w:val="single"/>
        </w:rPr>
        <w:t xml:space="preserve">    （采购人、采购代理机构）  </w:t>
      </w:r>
      <w:r>
        <w:rPr>
          <w:rFonts w:hint="eastAsia" w:ascii="宋体" w:hAnsi="宋体" w:eastAsia="宋体" w:cs="宋体"/>
          <w:b w:val="0"/>
          <w:bCs/>
          <w:color w:val="auto"/>
          <w:sz w:val="28"/>
          <w:szCs w:val="28"/>
          <w:highlight w:val="none"/>
        </w:rPr>
        <w:t xml:space="preserve"> </w:t>
      </w:r>
      <w:r/>
    </w:p>
    <w:p>
      <w:pPr>
        <w:pStyle w:val="843"/>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我单位参与</w:t>
      </w:r>
      <w:r>
        <w:rPr>
          <w:rFonts w:hint="eastAsia" w:ascii="宋体" w:hAnsi="宋体" w:eastAsia="宋体" w:cs="宋体"/>
          <w:b w:val="0"/>
          <w:bCs/>
          <w:color w:val="auto"/>
          <w:sz w:val="28"/>
          <w:szCs w:val="28"/>
          <w:highlight w:val="none"/>
          <w:u w:val="single"/>
        </w:rPr>
        <w:t xml:space="preserve">  （项目名称）  （项目编号：    ）</w:t>
      </w:r>
      <w:r>
        <w:rPr>
          <w:rFonts w:hint="eastAsia" w:ascii="宋体" w:hAnsi="宋体" w:eastAsia="宋体" w:cs="宋体"/>
          <w:b w:val="0"/>
          <w:bCs/>
          <w:color w:val="auto"/>
          <w:sz w:val="28"/>
          <w:szCs w:val="28"/>
          <w:highlight w:val="none"/>
        </w:rPr>
        <w:t xml:space="preserve">项目的政府采购活动，现承诺如下：</w:t>
      </w:r>
      <w:r/>
    </w:p>
    <w:p>
      <w:pPr>
        <w:pStyle w:val="843"/>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1.我方具有良好的商业信誉和健全的财务会计制度。</w:t>
      </w:r>
      <w:r/>
    </w:p>
    <w:p>
      <w:pPr>
        <w:pStyle w:val="843"/>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2.我方具有履行合同所必需的设备和专业技术能力。</w:t>
      </w:r>
      <w:r/>
    </w:p>
    <w:p>
      <w:pPr>
        <w:pStyle w:val="843"/>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3.我方具有依法缴纳税收和社会保障资金的良好记录。</w:t>
      </w:r>
      <w:r/>
    </w:p>
    <w:p>
      <w:pPr>
        <w:pStyle w:val="843"/>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4.我方参加本项目采购活动前三年内，在经营活动中没有重大违法记录。</w:t>
      </w:r>
      <w:r/>
    </w:p>
    <w:p>
      <w:pPr>
        <w:pStyle w:val="843"/>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若我单位承诺不实，自愿承担提供虚假材料谋取中标、成交的法律责任。</w:t>
      </w:r>
      <w:r/>
    </w:p>
    <w:p>
      <w:pPr>
        <w:pStyle w:val="843"/>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投标（响应）供应商（全称并盖章）：         </w:t>
      </w:r>
      <w:r/>
    </w:p>
    <w:p>
      <w:pPr>
        <w:pStyle w:val="843"/>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供应商法定代表人或授权代表（签字或签章）：    </w:t>
      </w:r>
      <w:r/>
    </w:p>
    <w:p>
      <w:pPr>
        <w:pStyle w:val="843"/>
        <w:ind w:firstLine="560"/>
        <w:jc w:val="both"/>
        <w:spacing w:line="360" w:lineRule="auto"/>
        <w:tabs>
          <w:tab w:val="left" w:pos="6930" w:leader="none"/>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日期：     </w:t>
      </w:r>
      <w:r>
        <w:rPr>
          <w:rFonts w:hint="eastAsia" w:ascii="宋体" w:hAnsi="宋体" w:eastAsia="宋体" w:cs="宋体"/>
          <w:b w:val="0"/>
          <w:bCs/>
          <w:color w:val="auto"/>
          <w:sz w:val="28"/>
          <w:szCs w:val="28"/>
          <w:highlight w:val="none"/>
        </w:rPr>
        <w:tab/>
      </w:r>
      <w:r/>
    </w:p>
    <w:p>
      <w:pPr>
        <w:pStyle w:val="843"/>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w:t>
      </w:r>
      <w:r/>
    </w:p>
    <w:p>
      <w:pPr>
        <w:pStyle w:val="843"/>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说明：1.供应商可自行选择是否提供本承诺函，若不提供本承诺函的，应按采购文件要求提供相应的证明材料。</w:t>
      </w:r>
      <w:r/>
    </w:p>
    <w:p>
      <w:pPr>
        <w:pStyle w:val="843"/>
        <w:ind w:firstLine="560"/>
        <w:jc w:val="left"/>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rPr>
          <w:rFonts w:hint="eastAsia" w:ascii="宋体" w:hAnsi="宋体" w:eastAsia="宋体" w:cs="宋体"/>
          <w:color w:val="auto"/>
          <w:highlight w:val="none"/>
        </w:rPr>
        <w:br w:type="page" w:clear="all"/>
      </w:r>
      <w:r/>
    </w:p>
    <w:p>
      <w:pPr>
        <w:pStyle w:val="845"/>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44"/>
        <w:ind w:firstLine="643"/>
        <w:jc w:val="center"/>
        <w:keepLines w:val="0"/>
        <w:keepNext w:val="0"/>
        <w:spacing w:before="0" w:after="0" w:line="360" w:lineRule="auto"/>
        <w:rPr>
          <w:rFonts w:hint="eastAsia" w:ascii="宋体" w:hAnsi="宋体" w:eastAsia="宋体" w:cs="宋体"/>
          <w:color w:val="auto"/>
          <w:sz w:val="36"/>
          <w:szCs w:val="36"/>
          <w:highlight w:val="none"/>
          <w:u w:val="single"/>
        </w:rPr>
      </w:pPr>
      <w:r>
        <w:rPr>
          <w:rFonts w:hint="eastAsia" w:ascii="宋体" w:hAnsi="宋体" w:eastAsia="宋体" w:cs="宋体"/>
          <w:color w:val="auto"/>
          <w:szCs w:val="32"/>
          <w:highlight w:val="none"/>
        </w:rPr>
        <w:t xml:space="preserve">二、法定代表人（负责人）身份证明书</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兹证明</w:t>
      </w:r>
      <w:r>
        <w:rPr>
          <w:rFonts w:hint="eastAsia" w:ascii="宋体" w:hAnsi="宋体" w:eastAsia="宋体" w:cs="宋体"/>
          <w:b/>
          <w:color w:val="auto"/>
          <w:sz w:val="24"/>
          <w:highlight w:val="none"/>
          <w:u w:val="single"/>
        </w:rPr>
        <w:t xml:space="preserve">×××（）姓名</w:t>
      </w:r>
      <w:r>
        <w:rPr>
          <w:rFonts w:hint="eastAsia" w:ascii="宋体" w:hAnsi="宋体" w:eastAsia="宋体" w:cs="宋体"/>
          <w:color w:val="auto"/>
          <w:sz w:val="28"/>
          <w:szCs w:val="28"/>
          <w:highlight w:val="none"/>
        </w:rPr>
        <w:t xml:space="preserve">同志，性别</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highlight w:val="none"/>
        </w:rPr>
        <w:t xml:space="preserve">居民身份证号</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8"/>
          <w:highlight w:val="none"/>
        </w:rPr>
        <w:t xml:space="preserve">，在我单位任职务，系我单位主要负责人即法定代表人。</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单位地址：</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电    话：</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单位全称： </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公    章： </w:t>
      </w:r>
      <w:r/>
    </w:p>
    <w:p>
      <w:pPr>
        <w:ind w:firstLine="560"/>
        <w:spacing w:line="360" w:lineRule="auto"/>
        <w:tabs>
          <w:tab w:val="left" w:pos="729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jc w:val="right"/>
        <w:spacing w:line="360" w:lineRule="auto"/>
        <w:tabs>
          <w:tab w:val="left" w:pos="729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年     月    日</w:t>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附：法定代表人居民身份证复印件</w:t>
      </w:r>
      <w:r/>
    </w:p>
    <w:p>
      <w:pPr>
        <w:ind w:firstLine="560"/>
        <w:spacing w:line="360" w:lineRule="auto"/>
        <w:tabs>
          <w:tab w:val="left" w:pos="7290" w:leader="none"/>
        </w:tabs>
        <w:rPr>
          <w:rFonts w:hint="eastAsia" w:ascii="宋体" w:hAnsi="宋体" w:eastAsia="宋体" w:cs="宋体"/>
          <w:color w:val="auto"/>
          <w:sz w:val="28"/>
          <w:highlight w:val="none"/>
        </w:rPr>
      </w:pPr>
      <w:r>
        <w:rPr>
          <w:rFonts w:hint="eastAsia" w:ascii="宋体" w:hAnsi="宋体" w:eastAsia="宋体" w:cs="宋体"/>
          <w:color w:val="auto"/>
          <w:sz w:val="28"/>
          <w:highlight w:val="none"/>
          <w:u w:val="single"/>
        </w:rPr>
        <w:t xml:space="preserve">注：1.“法定代表人”直接参加投标响应活动的仅需填写本身份证明</w:t>
      </w:r>
      <w:r>
        <w:rPr>
          <w:rFonts w:hint="eastAsia" w:ascii="宋体" w:hAnsi="宋体" w:eastAsia="宋体" w:cs="宋体"/>
          <w:color w:val="auto"/>
          <w:sz w:val="28"/>
          <w:highlight w:val="none"/>
        </w:rPr>
        <w:t xml:space="preserve">。</w:t>
      </w:r>
      <w:r/>
    </w:p>
    <w:p>
      <w:pPr>
        <w:ind w:firstLine="562"/>
        <w:spacing w:line="360" w:lineRule="auto"/>
        <w:tabs>
          <w:tab w:val="left" w:pos="7290" w:leader="none"/>
        </w:tabs>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t xml:space="preserve">2.投标人属于非法人组织的，按照法律、行政法规规定能够对外代表其从事民事活动的主要负责人，视同法定代表人。</w:t>
      </w:r>
      <w:r/>
    </w:p>
    <w:p>
      <w:pPr>
        <w:jc w:val="left"/>
        <w:spacing w:line="360" w:lineRule="auto"/>
        <w:widowControl/>
        <w:rPr>
          <w:rFonts w:hint="eastAsia" w:ascii="宋体" w:hAnsi="宋体" w:eastAsia="宋体" w:cs="宋体"/>
          <w:b/>
          <w:color w:val="auto"/>
          <w:sz w:val="32"/>
          <w:szCs w:val="20"/>
          <w:highlight w:val="none"/>
        </w:rPr>
      </w:pPr>
      <w:r>
        <w:rPr>
          <w:rFonts w:hint="eastAsia" w:ascii="宋体" w:hAnsi="宋体" w:eastAsia="宋体" w:cs="宋体"/>
          <w:color w:val="auto"/>
          <w:highlight w:val="none"/>
        </w:rPr>
        <w:br w:type="page" w:clear="all"/>
      </w:r>
      <w:r/>
    </w:p>
    <w:p>
      <w:pPr>
        <w:pStyle w:val="844"/>
        <w:ind w:firstLine="643"/>
        <w:jc w:val="center"/>
        <w:keepLines w:val="0"/>
        <w:keepNext w:val="0"/>
        <w:spacing w:before="0" w:after="0" w:line="360" w:lineRule="auto"/>
        <w:rPr>
          <w:rFonts w:hint="eastAsia" w:ascii="宋体" w:hAnsi="宋体" w:eastAsia="宋体" w:cs="宋体"/>
          <w:b w:val="0"/>
          <w:color w:val="auto"/>
          <w:sz w:val="15"/>
          <w:szCs w:val="15"/>
          <w:highlight w:val="none"/>
        </w:rPr>
      </w:pPr>
      <w:r>
        <w:rPr>
          <w:rFonts w:hint="eastAsia" w:ascii="宋体" w:hAnsi="宋体" w:eastAsia="宋体" w:cs="宋体"/>
          <w:color w:val="auto"/>
          <w:highlight w:val="none"/>
        </w:rPr>
        <w:t xml:space="preserve">三、法定代表人授权委托书</w:t>
      </w:r>
      <w:r/>
    </w:p>
    <w:p>
      <w:pPr>
        <w:ind w:right="420"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right="420"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本授权书声明：</w:t>
      </w:r>
      <w:r>
        <w:rPr>
          <w:rFonts w:hint="eastAsia" w:ascii="宋体" w:hAnsi="宋体" w:eastAsia="宋体" w:cs="宋体"/>
          <w:b/>
          <w:color w:val="auto"/>
          <w:sz w:val="24"/>
          <w:highlight w:val="none"/>
          <w:u w:val="single"/>
        </w:rPr>
        <w:t xml:space="preserve">×××（投标人名称）</w:t>
      </w:r>
      <w:r>
        <w:rPr>
          <w:rFonts w:hint="eastAsia" w:ascii="宋体" w:hAnsi="宋体" w:eastAsia="宋体" w:cs="宋体"/>
          <w:color w:val="auto"/>
          <w:sz w:val="28"/>
          <w:highlight w:val="none"/>
        </w:rPr>
        <w:t xml:space="preserve">法定代表人（负责人）</w:t>
      </w:r>
      <w:r>
        <w:rPr>
          <w:rFonts w:hint="eastAsia" w:ascii="宋体" w:hAnsi="宋体" w:eastAsia="宋体" w:cs="宋体"/>
          <w:b/>
          <w:color w:val="auto"/>
          <w:sz w:val="24"/>
          <w:highlight w:val="none"/>
          <w:u w:val="single"/>
        </w:rPr>
        <w:t xml:space="preserve">×××（姓名） </w:t>
      </w:r>
      <w:r>
        <w:rPr>
          <w:rFonts w:hint="eastAsia" w:ascii="宋体" w:hAnsi="宋体" w:eastAsia="宋体" w:cs="宋体"/>
          <w:color w:val="auto"/>
          <w:sz w:val="28"/>
          <w:highlight w:val="none"/>
        </w:rPr>
        <w:t xml:space="preserve">授权</w:t>
      </w:r>
      <w:r>
        <w:rPr>
          <w:rFonts w:hint="eastAsia" w:ascii="宋体" w:hAnsi="宋体" w:eastAsia="宋体" w:cs="宋体"/>
          <w:b/>
          <w:color w:val="auto"/>
          <w:sz w:val="24"/>
          <w:highlight w:val="none"/>
          <w:u w:val="single"/>
        </w:rPr>
        <w:t xml:space="preserve">×××（委托代理人的姓名、身份证号）</w:t>
      </w:r>
      <w:r>
        <w:rPr>
          <w:rFonts w:hint="eastAsia" w:ascii="宋体" w:hAnsi="宋体" w:eastAsia="宋体" w:cs="宋体"/>
          <w:color w:val="auto"/>
          <w:sz w:val="28"/>
          <w:highlight w:val="none"/>
        </w:rPr>
        <w:t xml:space="preserve">为我方就</w:t>
      </w:r>
      <w:r>
        <w:rPr>
          <w:rFonts w:hint="eastAsia" w:ascii="宋体" w:hAnsi="宋体" w:eastAsia="宋体" w:cs="宋体"/>
          <w:b/>
          <w:color w:val="auto"/>
          <w:sz w:val="24"/>
          <w:highlight w:val="none"/>
          <w:u w:val="single"/>
        </w:rPr>
        <w:t xml:space="preserve">××××（代理机构）代理的××××（项目编号）</w:t>
      </w:r>
      <w:r>
        <w:rPr>
          <w:rFonts w:hint="eastAsia" w:ascii="宋体" w:hAnsi="宋体" w:eastAsia="宋体" w:cs="宋体"/>
          <w:bCs/>
          <w:color w:val="auto"/>
          <w:sz w:val="28"/>
          <w:highlight w:val="none"/>
        </w:rPr>
        <w:t xml:space="preserve">项目</w:t>
      </w:r>
      <w:r>
        <w:rPr>
          <w:rFonts w:hint="eastAsia" w:ascii="宋体" w:hAnsi="宋体" w:eastAsia="宋体" w:cs="宋体"/>
          <w:color w:val="auto"/>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宋体" w:hAnsi="宋体" w:eastAsia="宋体" w:cs="宋体"/>
          <w:color w:val="auto"/>
          <w:sz w:val="28"/>
          <w:highlight w:val="none"/>
        </w:rPr>
      </w:pPr>
      <w:r>
        <w:rPr>
          <w:rFonts w:hint="eastAsia" w:ascii="宋体" w:hAnsi="宋体" w:eastAsia="宋体" w:cs="宋体"/>
          <w:color w:val="auto"/>
          <w:sz w:val="28"/>
          <w:highlight w:val="none"/>
        </w:rPr>
        <w:tab/>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本授权书于年月日签字生效，特此声明。</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委托代理人身份证号码：</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委托代理人联系电话：（手机）</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spacing w:line="360" w:lineRule="auto"/>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 xml:space="preserve">法定代表人签字或盖章：          </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投标人名称（公章）：</w:t>
      </w:r>
      <w:r/>
    </w:p>
    <w:p>
      <w:pPr>
        <w:ind w:firstLine="560"/>
        <w:spacing w:line="360" w:lineRule="auto"/>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 xml:space="preserve">日     期：</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643"/>
        <w:spacing w:line="360" w:lineRule="auto"/>
        <w:rPr>
          <w:rFonts w:hint="eastAsia" w:ascii="宋体" w:hAnsi="宋体" w:eastAsia="宋体" w:cs="宋体"/>
          <w:color w:val="auto"/>
          <w:sz w:val="28"/>
          <w:highlight w:val="none"/>
          <w:u w:val="single"/>
        </w:rPr>
      </w:pPr>
      <w:r>
        <w:rPr>
          <w:rFonts w:hint="eastAsia" w:ascii="宋体" w:hAnsi="宋体" w:eastAsia="宋体" w:cs="宋体"/>
          <w:b/>
          <w:color w:val="auto"/>
          <w:sz w:val="32"/>
          <w:szCs w:val="32"/>
          <w:highlight w:val="none"/>
        </w:rPr>
        <w:t xml:space="preserve">附：委托代理人居民身份证复印件</w:t>
      </w:r>
      <w:r/>
    </w:p>
    <w:p>
      <w:pPr>
        <w:pStyle w:val="843"/>
        <w:ind w:firstLine="562"/>
        <w:jc w:val="left"/>
        <w:keepLines w:val="0"/>
        <w:keepNext w:val="0"/>
        <w:spacing w:line="360" w:lineRule="auto"/>
        <w:rPr>
          <w:rFonts w:hint="eastAsia" w:ascii="宋体" w:hAnsi="宋体" w:eastAsia="宋体" w:cs="宋体"/>
          <w:color w:val="auto"/>
          <w:sz w:val="28"/>
          <w:szCs w:val="24"/>
          <w:highlight w:val="none"/>
          <w:u w:val="single"/>
        </w:rPr>
      </w:pPr>
      <w:r>
        <w:rPr>
          <w:rFonts w:hint="eastAsia" w:ascii="宋体" w:hAnsi="宋体" w:eastAsia="宋体" w:cs="宋体"/>
          <w:color w:val="auto"/>
          <w:sz w:val="28"/>
          <w:szCs w:val="28"/>
          <w:highlight w:val="none"/>
          <w:u w:val="single"/>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eastAsia="宋体" w:cs="宋体"/>
          <w:color w:val="auto"/>
          <w:sz w:val="28"/>
          <w:highlight w:val="none"/>
        </w:rPr>
        <w:t xml:space="preserve">。</w:t>
      </w:r>
      <w:r/>
    </w:p>
    <w:p>
      <w:pPr>
        <w:pStyle w:val="844"/>
        <w:ind w:firstLine="420"/>
        <w:jc w:val="center"/>
        <w:keepLines w:val="0"/>
        <w:keepNext w:val="0"/>
        <w:spacing w:before="0" w:after="0" w:line="360" w:lineRule="auto"/>
        <w:rPr>
          <w:rFonts w:hint="eastAsia" w:ascii="宋体" w:hAnsi="宋体" w:eastAsia="宋体" w:cs="宋体"/>
          <w:b w:val="0"/>
          <w:color w:val="auto"/>
          <w:sz w:val="21"/>
          <w:szCs w:val="24"/>
          <w:highlight w:val="none"/>
        </w:rPr>
      </w:pPr>
      <w:r>
        <w:rPr>
          <w:rFonts w:hint="eastAsia" w:ascii="宋体" w:hAnsi="宋体" w:eastAsia="宋体" w:cs="宋体"/>
          <w:b w:val="0"/>
          <w:color w:val="auto"/>
          <w:sz w:val="21"/>
          <w:szCs w:val="24"/>
          <w:highlight w:val="none"/>
        </w:rPr>
      </w:r>
      <w:r/>
    </w:p>
    <w:p>
      <w:pPr>
        <w:pStyle w:val="844"/>
        <w:ind w:firstLine="420"/>
        <w:jc w:val="center"/>
        <w:keepLines w:val="0"/>
        <w:keepNext w:val="0"/>
        <w:spacing w:before="0" w:after="0" w:line="360" w:lineRule="auto"/>
        <w:rPr>
          <w:rFonts w:hint="eastAsia" w:ascii="宋体" w:hAnsi="宋体" w:eastAsia="宋体" w:cs="宋体"/>
          <w:b w:val="0"/>
          <w:color w:val="auto"/>
          <w:sz w:val="21"/>
          <w:szCs w:val="24"/>
          <w:highlight w:val="none"/>
        </w:rPr>
      </w:pPr>
      <w:r>
        <w:rPr>
          <w:rFonts w:hint="eastAsia" w:ascii="宋体" w:hAnsi="宋体" w:eastAsia="宋体" w:cs="宋体"/>
          <w:b w:val="0"/>
          <w:color w:val="auto"/>
          <w:sz w:val="21"/>
          <w:szCs w:val="24"/>
          <w:highlight w:val="none"/>
        </w:rPr>
      </w:r>
      <w:r/>
    </w:p>
    <w:p>
      <w:pPr>
        <w:pStyle w:val="844"/>
        <w:ind w:firstLine="720"/>
        <w:jc w:val="center"/>
        <w:keepLines w:val="0"/>
        <w:keepNext w:val="0"/>
        <w:spacing w:before="0" w:after="0" w:line="360" w:lineRule="auto"/>
        <w:rPr>
          <w:rFonts w:hint="eastAsia" w:ascii="宋体" w:hAnsi="宋体" w:eastAsia="宋体" w:cs="宋体"/>
          <w:b w:val="0"/>
          <w:color w:val="auto"/>
          <w:sz w:val="36"/>
          <w:szCs w:val="36"/>
          <w:highlight w:val="none"/>
        </w:rPr>
      </w:pPr>
      <w:r>
        <w:rPr>
          <w:rFonts w:hint="eastAsia" w:ascii="宋体" w:hAnsi="宋体" w:eastAsia="宋体" w:cs="宋体"/>
          <w:b w:val="0"/>
          <w:color w:val="auto"/>
          <w:sz w:val="36"/>
          <w:szCs w:val="36"/>
          <w:highlight w:val="none"/>
        </w:rPr>
      </w:r>
      <w:r/>
    </w:p>
    <w:p>
      <w:pPr>
        <w:pStyle w:val="843"/>
        <w:spacing w:line="360" w:lineRule="auto"/>
        <w:rPr>
          <w:rFonts w:hint="eastAsia" w:ascii="宋体" w:hAnsi="宋体" w:eastAsia="宋体" w:cs="宋体"/>
          <w:color w:val="auto"/>
          <w:sz w:val="32"/>
          <w:highlight w:val="none"/>
        </w:rPr>
        <w:sectPr>
          <w:footerReference w:type="default" r:id="rId14"/>
          <w:footerReference w:type="first" r:id="rId15"/>
          <w:footnotePr/>
          <w:endnotePr/>
          <w:type w:val="nextPage"/>
          <w:pgSz w:w="11907" w:h="16840" w:orient="portrait"/>
          <w:pgMar w:top="1247" w:right="1247" w:bottom="1247" w:left="1247" w:header="851" w:footer="992" w:gutter="0"/>
          <w:cols w:num="1" w:sep="0" w:space="1701" w:equalWidth="1"/>
          <w:docGrid w:linePitch="360"/>
          <w:titlePg/>
        </w:sectPr>
      </w:pPr>
      <w:r>
        <w:rPr>
          <w:rFonts w:hint="eastAsia" w:ascii="宋体" w:hAnsi="宋体" w:eastAsia="宋体" w:cs="宋体"/>
          <w:color w:val="auto"/>
          <w:sz w:val="32"/>
          <w:highlight w:val="none"/>
        </w:rPr>
      </w:r>
      <w:r/>
    </w:p>
    <w:p>
      <w:pPr>
        <w:pStyle w:val="843"/>
        <w:ind w:firstLine="883"/>
        <w:spacing w:line="360" w:lineRule="auto"/>
        <w:rPr>
          <w:rFonts w:hint="eastAsia" w:ascii="宋体" w:hAnsi="宋体" w:eastAsia="宋体" w:cs="宋体"/>
          <w:color w:val="auto"/>
          <w:szCs w:val="44"/>
          <w:highlight w:val="none"/>
        </w:rPr>
      </w:pPr>
      <w:r>
        <w:rPr>
          <w:rFonts w:hint="eastAsia" w:ascii="宋体" w:hAnsi="宋体" w:eastAsia="宋体" w:cs="宋体"/>
          <w:color w:val="auto"/>
          <w:szCs w:val="44"/>
          <w:highlight w:val="none"/>
        </w:rPr>
        <w:t xml:space="preserve">四、价格部分</w:t>
      </w:r>
      <w:r/>
    </w:p>
    <w:p>
      <w:pPr>
        <w:pStyle w:val="843"/>
        <w:ind w:firstLine="883"/>
        <w:spacing w:line="360" w:lineRule="auto"/>
        <w:rPr>
          <w:rFonts w:hint="eastAsia" w:ascii="宋体" w:hAnsi="宋体" w:eastAsia="宋体" w:cs="宋体"/>
          <w:color w:val="auto"/>
          <w:szCs w:val="44"/>
          <w:highlight w:val="none"/>
        </w:rPr>
      </w:pPr>
      <w:r>
        <w:rPr>
          <w:rFonts w:hint="eastAsia" w:ascii="宋体" w:hAnsi="宋体" w:eastAsia="宋体" w:cs="宋体"/>
          <w:color w:val="auto"/>
          <w:szCs w:val="44"/>
          <w:highlight w:val="none"/>
          <w:lang w:val="en-US" w:eastAsia="zh-CN"/>
        </w:rPr>
        <w:t xml:space="preserve">4.1</w:t>
      </w:r>
      <w:r>
        <w:rPr>
          <w:rFonts w:hint="eastAsia" w:ascii="宋体" w:hAnsi="宋体" w:eastAsia="宋体" w:cs="宋体"/>
          <w:color w:val="auto"/>
          <w:szCs w:val="44"/>
          <w:highlight w:val="none"/>
        </w:rPr>
        <w:t xml:space="preserve">开标一览表</w:t>
      </w:r>
      <w:r/>
    </w:p>
    <w:tbl>
      <w:tblPr>
        <w:tblStyle w:val="839"/>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1683"/>
        <w:gridCol w:w="7603"/>
      </w:tblGrid>
      <w:tr>
        <w:trPr>
          <w:trHeight w:val="460"/>
        </w:trPr>
        <w:tc>
          <w:tcPr>
            <w:gridSpan w:val="2"/>
            <w:tcBorders>
              <w:top w:val="none" w:color="000000" w:sz="4" w:space="0"/>
              <w:left w:val="none" w:color="000000" w:sz="4" w:space="0"/>
              <w:bottom w:val="single" w:color="000000" w:sz="4" w:space="0"/>
              <w:right w:val="none" w:color="000000" w:sz="4" w:space="0"/>
            </w:tcBorders>
            <w:tcW w:w="9286" w:type="dxa"/>
            <w:vAlign w:val="center"/>
            <w:textDirection w:val="lrTb"/>
            <w:noWrap w:val="false"/>
          </w:tcPr>
          <w:p>
            <w:pPr>
              <w:ind w:firstLine="64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单位名称（公章）：</w:t>
            </w:r>
            <w:r>
              <w:rPr>
                <w:rFonts w:hint="eastAsia" w:ascii="宋体" w:hAnsi="宋体" w:eastAsia="宋体" w:cs="宋体"/>
                <w:b/>
                <w:color w:val="auto"/>
                <w:sz w:val="24"/>
                <w:highlight w:val="none"/>
                <w:u w:val="single"/>
              </w:rPr>
              <w:t xml:space="preserve">××××</w:t>
            </w:r>
            <w:r/>
          </w:p>
        </w:tc>
      </w:tr>
      <w:tr>
        <w:trPr>
          <w:trHeight w:val="1289"/>
        </w:trPr>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ind w:firstLine="880"/>
              <w:jc w:val="both"/>
              <w:spacing w:line="360" w:lineRule="auto"/>
              <w:widowControl/>
              <w:rPr>
                <w:rFonts w:hint="eastAsia" w:ascii="宋体" w:hAnsi="宋体" w:eastAsia="宋体" w:cs="宋体"/>
                <w:color w:val="auto"/>
                <w:sz w:val="36"/>
                <w:szCs w:val="36"/>
                <w:highlight w:val="none"/>
                <w:lang w:eastAsia="en-US"/>
              </w:rPr>
            </w:pPr>
            <w:r>
              <w:rPr>
                <w:rFonts w:hint="eastAsia" w:ascii="宋体" w:hAnsi="宋体" w:eastAsia="宋体" w:cs="宋体"/>
                <w:color w:val="auto"/>
                <w:sz w:val="36"/>
                <w:szCs w:val="36"/>
                <w:highlight w:val="none"/>
                <w:lang w:eastAsia="en-US"/>
              </w:rPr>
              <w:t xml:space="preserve">项目总报价</w:t>
            </w:r>
            <w:r/>
          </w:p>
        </w:tc>
        <w:tc>
          <w:tcPr>
            <w:tcBorders>
              <w:top w:val="single" w:color="000000" w:sz="4" w:space="0"/>
              <w:left w:val="none" w:color="000000" w:sz="4" w:space="0"/>
              <w:bottom w:val="single" w:color="000000" w:sz="4" w:space="0"/>
              <w:right w:val="single" w:color="000000" w:sz="4" w:space="0"/>
            </w:tcBorders>
            <w:tcW w:w="3316" w:type="dxa"/>
            <w:vAlign w:val="center"/>
            <w:textDirection w:val="lrTb"/>
            <w:noWrap w:val="false"/>
          </w:tcPr>
          <w:p>
            <w:pPr>
              <w:ind w:firstLine="880"/>
              <w:jc w:val="center"/>
              <w:spacing w:line="360" w:lineRule="auto"/>
              <w:widowControl/>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金额（大写）：</w:t>
            </w:r>
            <w:r>
              <w:rPr>
                <w:rFonts w:hint="eastAsia" w:ascii="宋体" w:hAnsi="宋体" w:eastAsia="宋体" w:cs="宋体"/>
                <w:b/>
                <w:color w:val="auto"/>
                <w:sz w:val="21"/>
                <w:szCs w:val="21"/>
                <w:highlight w:val="none"/>
                <w:u w:val="single"/>
              </w:rPr>
              <w:t xml:space="preserve">××××</w:t>
            </w:r>
            <w:r>
              <w:rPr>
                <w:rFonts w:hint="eastAsia" w:ascii="宋体" w:hAnsi="宋体" w:eastAsia="宋体" w:cs="宋体"/>
                <w:color w:val="auto"/>
                <w:sz w:val="36"/>
                <w:szCs w:val="36"/>
                <w:highlight w:val="none"/>
              </w:rPr>
              <w:t xml:space="preserve">元人民币</w:t>
            </w:r>
            <w:r/>
          </w:p>
          <w:p>
            <w:pPr>
              <w:ind w:firstLine="880"/>
              <w:jc w:val="center"/>
              <w:spacing w:line="360" w:lineRule="auto"/>
              <w:tabs>
                <w:tab w:val="left" w:pos="2185" w:leader="none"/>
              </w:tabs>
              <w:rPr>
                <w:rFonts w:hint="eastAsia" w:ascii="宋体" w:hAnsi="宋体" w:eastAsia="宋体" w:cs="宋体"/>
                <w:color w:val="auto"/>
                <w:sz w:val="36"/>
                <w:szCs w:val="36"/>
                <w:highlight w:val="none"/>
                <w:lang w:eastAsia="en-US"/>
              </w:rPr>
            </w:pPr>
            <w:r>
              <w:rPr>
                <w:rFonts w:hint="eastAsia" w:ascii="宋体" w:hAnsi="宋体" w:eastAsia="宋体" w:cs="宋体"/>
                <w:color w:val="auto"/>
                <w:sz w:val="36"/>
                <w:szCs w:val="36"/>
                <w:highlight w:val="none"/>
                <w:lang w:eastAsia="en-US"/>
              </w:rPr>
              <w:t xml:space="preserve">¥：</w:t>
            </w:r>
            <w:r>
              <w:rPr>
                <w:rFonts w:hint="eastAsia" w:ascii="宋体" w:hAnsi="宋体" w:eastAsia="宋体" w:cs="宋体"/>
                <w:b/>
                <w:color w:val="auto"/>
                <w:sz w:val="21"/>
                <w:szCs w:val="21"/>
                <w:highlight w:val="none"/>
                <w:u w:val="single"/>
                <w:lang w:eastAsia="en-US"/>
              </w:rPr>
              <w:t xml:space="preserve">××××××××</w:t>
            </w:r>
            <w:r>
              <w:rPr>
                <w:rFonts w:hint="eastAsia" w:ascii="宋体" w:hAnsi="宋体" w:eastAsia="宋体" w:cs="宋体"/>
                <w:color w:val="auto"/>
                <w:sz w:val="36"/>
                <w:szCs w:val="36"/>
                <w:highlight w:val="none"/>
                <w:lang w:eastAsia="en-US"/>
              </w:rPr>
              <w:t xml:space="preserve">元</w:t>
            </w:r>
            <w:r/>
          </w:p>
        </w:tc>
      </w:tr>
      <w:tr>
        <w:trPr>
          <w:trHeight w:val="691"/>
        </w:trPr>
        <w:tc>
          <w:tcPr>
            <w:tcBorders>
              <w:top w:val="none" w:color="000000" w:sz="4" w:space="0"/>
              <w:left w:val="single" w:color="000000" w:sz="4" w:space="0"/>
              <w:bottom w:val="single" w:color="000000" w:sz="4" w:space="0"/>
              <w:right w:val="single" w:color="000000" w:sz="4" w:space="0"/>
            </w:tcBorders>
            <w:tcW w:w="1683" w:type="dxa"/>
            <w:vAlign w:val="center"/>
            <w:textDirection w:val="lrTb"/>
            <w:noWrap w:val="false"/>
          </w:tcPr>
          <w:p>
            <w:pPr>
              <w:ind w:firstLine="880"/>
              <w:jc w:val="both"/>
              <w:spacing w:line="360" w:lineRule="auto"/>
              <w:widowControl/>
              <w:rPr>
                <w:rFonts w:hint="eastAsia" w:ascii="宋体" w:hAnsi="宋体" w:eastAsia="宋体" w:cs="宋体"/>
                <w:color w:val="auto"/>
                <w:sz w:val="36"/>
                <w:szCs w:val="36"/>
                <w:highlight w:val="none"/>
                <w:lang w:eastAsia="en-US"/>
              </w:rPr>
            </w:pPr>
            <w:r>
              <w:rPr>
                <w:rFonts w:hint="eastAsia" w:ascii="宋体" w:hAnsi="宋体" w:eastAsia="宋体" w:cs="宋体"/>
                <w:color w:val="auto"/>
                <w:sz w:val="36"/>
                <w:szCs w:val="36"/>
                <w:highlight w:val="none"/>
                <w:lang w:eastAsia="en-US"/>
              </w:rPr>
              <w:t xml:space="preserve">项目工期</w:t>
            </w:r>
            <w:r/>
          </w:p>
        </w:tc>
        <w:tc>
          <w:tcPr>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ind w:firstLine="880"/>
              <w:jc w:val="center"/>
              <w:spacing w:line="360" w:lineRule="auto"/>
              <w:widowControl/>
              <w:rPr>
                <w:rFonts w:hint="eastAsia" w:ascii="宋体" w:hAnsi="宋体" w:eastAsia="宋体" w:cs="宋体"/>
                <w:color w:val="auto"/>
                <w:sz w:val="36"/>
                <w:szCs w:val="36"/>
                <w:highlight w:val="none"/>
                <w:lang w:eastAsia="en-US"/>
              </w:rPr>
            </w:pPr>
            <w:r>
              <w:rPr>
                <w:rFonts w:hint="eastAsia" w:ascii="宋体" w:hAnsi="宋体" w:eastAsia="宋体" w:cs="宋体"/>
                <w:color w:val="auto"/>
                <w:sz w:val="36"/>
                <w:szCs w:val="36"/>
                <w:highlight w:val="none"/>
                <w:lang w:eastAsia="en-US"/>
              </w:rPr>
            </w:r>
            <w:r/>
          </w:p>
        </w:tc>
      </w:tr>
    </w:tbl>
    <w:p>
      <w:pPr>
        <w:pStyle w:val="857"/>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857"/>
        <w:ind w:firstLine="482"/>
        <w:spacing w:line="360" w:lineRule="auto"/>
        <w:rPr>
          <w:rFonts w:hint="eastAsia" w:ascii="宋体" w:hAnsi="宋体" w:eastAsia="宋体" w:cs="宋体"/>
          <w:color w:val="auto"/>
          <w:sz w:val="24"/>
          <w:highlight w:val="none"/>
          <w:u w:val="single"/>
        </w:rPr>
      </w:pPr>
      <w:r>
        <w:rPr>
          <w:rFonts w:hint="eastAsia" w:ascii="宋体" w:hAnsi="宋体" w:eastAsia="宋体" w:cs="宋体"/>
          <w:b/>
          <w:color w:val="auto"/>
          <w:sz w:val="24"/>
          <w:highlight w:val="none"/>
        </w:rPr>
        <w:t xml:space="preserve">注： </w:t>
      </w:r>
      <w:r>
        <w:rPr>
          <w:rFonts w:hint="eastAsia" w:ascii="宋体" w:hAnsi="宋体" w:eastAsia="宋体" w:cs="宋体"/>
          <w:color w:val="auto"/>
          <w:sz w:val="24"/>
          <w:highlight w:val="none"/>
          <w:u w:val="single"/>
        </w:rPr>
        <w:t xml:space="preserve">1.“项目总报价”包括本次招标要求提供的货物（服务）已支付或将支付的所有费用；</w:t>
      </w:r>
      <w:r/>
    </w:p>
    <w:p>
      <w:pPr>
        <w:pStyle w:val="857"/>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2.投标人必须据实填写此表，报价所含与招标文件要求的内容一致；</w:t>
      </w:r>
      <w:r/>
    </w:p>
    <w:p>
      <w:pPr>
        <w:pStyle w:val="857"/>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3.报价保留至小数点后两位，四舍五入。</w:t>
      </w:r>
      <w:r/>
    </w:p>
    <w:p>
      <w:pPr>
        <w:pStyle w:val="857"/>
        <w:ind w:left="482" w:firstLine="56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7"/>
        <w:ind w:left="482" w:firstLine="560"/>
        <w:spacing w:line="360" w:lineRule="auto"/>
        <w:rPr>
          <w:rFonts w:hint="eastAsia" w:ascii="宋体" w:hAnsi="宋体" w:eastAsia="宋体" w:cs="宋体"/>
          <w:color w:val="auto"/>
          <w:sz w:val="30"/>
          <w:highlight w:val="none"/>
        </w:rPr>
      </w:pPr>
      <w:r>
        <w:rPr>
          <w:rFonts w:hint="eastAsia" w:ascii="宋体" w:hAnsi="宋体" w:eastAsia="宋体" w:cs="宋体"/>
          <w:color w:val="auto"/>
          <w:highlight w:val="none"/>
        </w:rPr>
        <w:t xml:space="preserve">法定代表人签字或盖章</w:t>
      </w:r>
      <w:r>
        <w:rPr>
          <w:rFonts w:hint="eastAsia" w:ascii="宋体" w:hAnsi="宋体" w:eastAsia="宋体" w:cs="宋体"/>
          <w:color w:val="auto"/>
          <w:sz w:val="30"/>
          <w:highlight w:val="none"/>
        </w:rPr>
        <w:t xml:space="preserve">：</w:t>
      </w:r>
      <w:r>
        <w:rPr>
          <w:rFonts w:hint="eastAsia" w:ascii="宋体" w:hAnsi="宋体" w:eastAsia="宋体" w:cs="宋体"/>
          <w:b/>
          <w:color w:val="auto"/>
          <w:sz w:val="24"/>
          <w:highlight w:val="none"/>
          <w:u w:val="single"/>
        </w:rPr>
        <w:t xml:space="preserve">××××</w:t>
      </w:r>
      <w:r/>
    </w:p>
    <w:p>
      <w:pPr>
        <w:pStyle w:val="857"/>
        <w:ind w:left="840" w:firstLine="560"/>
        <w:jc w:val="right"/>
        <w:spacing w:line="360" w:lineRule="auto"/>
        <w:rPr>
          <w:rFonts w:hint="eastAsia" w:ascii="宋体" w:hAnsi="宋体" w:eastAsia="宋体" w:cs="宋体"/>
          <w:color w:val="auto"/>
          <w:sz w:val="30"/>
          <w:highlight w:val="none"/>
        </w:rPr>
        <w:sectPr>
          <w:footnotePr/>
          <w:endnotePr/>
          <w:type w:val="nextPage"/>
          <w:pgSz w:w="11906" w:h="16838" w:orient="portrait"/>
          <w:pgMar w:top="1418" w:right="1418" w:bottom="1418" w:left="1418" w:header="851" w:footer="992" w:gutter="0"/>
          <w:cols w:num="1" w:sep="0" w:space="1701" w:equalWidth="1"/>
          <w:docGrid w:linePitch="360"/>
        </w:sectPr>
      </w:pPr>
      <w:r>
        <w:rPr>
          <w:rFonts w:hint="eastAsia" w:ascii="宋体" w:hAnsi="宋体" w:eastAsia="宋体" w:cs="宋体"/>
          <w:color w:val="auto"/>
          <w:highlight w:val="none"/>
        </w:rPr>
        <w:t xml:space="preserve">日期：</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highlight w:val="none"/>
        </w:rPr>
        <w:t xml:space="preserve">年</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highlight w:val="none"/>
        </w:rPr>
        <w:t xml:space="preserve">月</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highlight w:val="none"/>
        </w:rPr>
        <w:t xml:space="preserve">日</w:t>
      </w:r>
      <w:r/>
    </w:p>
    <w:p>
      <w:pPr>
        <w:pStyle w:val="843"/>
        <w:keepLines w:val="0"/>
        <w:keepNext w:val="0"/>
        <w:spacing w:before="100" w:beforeAutospacing="1" w:after="0" w:line="360" w:lineRule="auto"/>
        <w:tabs>
          <w:tab w:val="left" w:pos="764" w:leader="none"/>
        </w:tabs>
        <w:rPr>
          <w:rFonts w:hint="eastAsia" w:ascii="楷体" w:hAnsi="楷体" w:eastAsia="楷体"/>
          <w:color w:val="auto"/>
          <w:sz w:val="36"/>
          <w:szCs w:val="36"/>
          <w:highlight w:val="none"/>
        </w:rPr>
      </w:pPr>
      <w:r>
        <w:rPr>
          <w:rFonts w:hint="eastAsia" w:ascii="楷体" w:hAnsi="楷体" w:eastAsia="楷体"/>
          <w:color w:val="auto"/>
          <w:sz w:val="36"/>
          <w:szCs w:val="36"/>
          <w:highlight w:val="none"/>
          <w:lang w:val="en-US" w:eastAsia="zh-CN"/>
        </w:rPr>
        <w:t xml:space="preserve">   4.2</w:t>
      </w:r>
      <w:r>
        <w:rPr>
          <w:rFonts w:hint="eastAsia" w:ascii="楷体" w:hAnsi="楷体" w:eastAsia="楷体"/>
          <w:color w:val="auto"/>
          <w:sz w:val="36"/>
          <w:szCs w:val="36"/>
          <w:highlight w:val="none"/>
        </w:rPr>
        <w:t xml:space="preserve">清单及明细报价</w:t>
      </w:r>
      <w:r>
        <w:rPr>
          <w:rFonts w:hint="eastAsia" w:ascii="楷体" w:hAnsi="楷体" w:eastAsia="楷体"/>
          <w:color w:val="auto"/>
          <w:sz w:val="36"/>
          <w:szCs w:val="36"/>
          <w:highlight w:val="none"/>
          <w:lang w:eastAsia="zh-CN"/>
        </w:rPr>
        <w:t xml:space="preserve">总</w:t>
      </w:r>
      <w:r>
        <w:rPr>
          <w:rFonts w:hint="eastAsia" w:ascii="楷体" w:hAnsi="楷体" w:eastAsia="楷体"/>
          <w:color w:val="auto"/>
          <w:sz w:val="36"/>
          <w:szCs w:val="36"/>
          <w:highlight w:val="none"/>
        </w:rPr>
        <w:t xml:space="preserve">表</w:t>
      </w:r>
      <w:r>
        <w:rPr>
          <w:rFonts w:hint="eastAsia" w:ascii="楷体" w:hAnsi="楷体" w:eastAsia="楷体" w:cs="宋体"/>
          <w:i/>
          <w:iCs/>
          <w:color w:val="auto"/>
          <w:szCs w:val="44"/>
          <w:highlight w:val="none"/>
        </w:rPr>
        <w:t xml:space="preserve">（可编辑）</w:t>
      </w:r>
      <w:r/>
    </w:p>
    <w:tbl>
      <w:tblPr>
        <w:tblStyle w:val="839"/>
        <w:tblW w:w="9782"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1"/>
        <w:gridCol w:w="1441"/>
        <w:gridCol w:w="1463"/>
        <w:gridCol w:w="644"/>
        <w:gridCol w:w="1014"/>
        <w:gridCol w:w="1730"/>
        <w:gridCol w:w="1607"/>
        <w:gridCol w:w="1052"/>
      </w:tblGrid>
      <w:tr>
        <w:trPr>
          <w:trHeight w:val="594"/>
        </w:trPr>
        <w:tc>
          <w:tcPr>
            <w:gridSpan w:val="8"/>
            <w:tcW w:w="9782"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一、货物部分</w:t>
            </w:r>
            <w:r/>
          </w:p>
        </w:tc>
      </w:tr>
      <w:tr>
        <w:trPr>
          <w:trHeight w:val="594"/>
        </w:trPr>
        <w:tc>
          <w:tcPr>
            <w:tcW w:w="831"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序号</w:t>
            </w:r>
            <w:r/>
          </w:p>
        </w:tc>
        <w:tc>
          <w:tcPr>
            <w:tcW w:w="1441"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标的名称</w:t>
            </w:r>
            <w:r/>
          </w:p>
        </w:tc>
        <w:tc>
          <w:tcPr>
            <w:tcW w:w="1463"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品牌型号</w:t>
            </w:r>
            <w:r/>
          </w:p>
        </w:tc>
        <w:tc>
          <w:tcPr>
            <w:gridSpan w:val="2"/>
            <w:tcW w:w="1658"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数量</w:t>
            </w:r>
            <w:r/>
          </w:p>
        </w:tc>
        <w:tc>
          <w:tcPr>
            <w:tcW w:w="1730"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单价（元）</w:t>
            </w:r>
            <w:r/>
          </w:p>
        </w:tc>
        <w:tc>
          <w:tcPr>
            <w:tcW w:w="1607"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合计（元）</w:t>
            </w:r>
            <w:r/>
          </w:p>
        </w:tc>
        <w:tc>
          <w:tcPr>
            <w:tcW w:w="1052"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免费质保期</w:t>
            </w:r>
            <w:r/>
          </w:p>
        </w:tc>
      </w:tr>
      <w:tr>
        <w:trPr>
          <w:trHeight w:val="594"/>
        </w:trPr>
        <w:tc>
          <w:tcPr>
            <w:tcW w:w="831"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w:t>
            </w:r>
            <w:r/>
          </w:p>
        </w:tc>
        <w:tc>
          <w:tcPr>
            <w:tcW w:w="1441" w:type="dxa"/>
            <w:vAlign w:val="center"/>
            <w:textDirection w:val="lrTb"/>
            <w:noWrap w:val="false"/>
          </w:tcPr>
          <w:p>
            <w:pPr>
              <w:widowControl/>
              <w:rPr>
                <w:rFonts w:hint="eastAsia" w:ascii="楷体" w:hAnsi="楷体" w:eastAsia="楷体" w:cs="Calibri"/>
                <w:color w:val="auto"/>
                <w:sz w:val="24"/>
                <w:highlight w:val="none"/>
              </w:rPr>
            </w:pPr>
            <w:r>
              <w:rPr>
                <w:rFonts w:hint="eastAsia" w:ascii="楷体" w:hAnsi="楷体" w:eastAsia="楷体" w:cs="Calibri"/>
                <w:color w:val="auto"/>
                <w:sz w:val="24"/>
                <w:highlight w:val="none"/>
              </w:rPr>
              <w:t xml:space="preserve"> </w:t>
            </w:r>
            <w:r/>
          </w:p>
        </w:tc>
        <w:tc>
          <w:tcPr>
            <w:tcW w:w="1463"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gridSpan w:val="2"/>
            <w:tcW w:w="1658" w:type="dxa"/>
            <w:vAlign w:val="center"/>
            <w:textDirection w:val="lrTb"/>
            <w:noWrap w:val="false"/>
          </w:tcPr>
          <w:p>
            <w:pPr>
              <w:jc w:val="center"/>
              <w:widowControl/>
              <w:rPr>
                <w:rFonts w:hint="eastAsia" w:ascii="楷体" w:hAnsi="楷体" w:eastAsia="楷体" w:cs="Calibri"/>
                <w:color w:val="auto"/>
                <w:sz w:val="24"/>
                <w:highlight w:val="none"/>
              </w:rPr>
            </w:pPr>
            <w:r>
              <w:rPr>
                <w:rFonts w:hint="eastAsia" w:ascii="楷体" w:hAnsi="楷体" w:eastAsia="楷体" w:cs="Calibri"/>
                <w:color w:val="auto"/>
                <w:sz w:val="24"/>
                <w:highlight w:val="none"/>
              </w:rPr>
              <w:t xml:space="preserve"> </w:t>
            </w:r>
            <w:r/>
          </w:p>
        </w:tc>
        <w:tc>
          <w:tcPr>
            <w:tcW w:w="1730"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607"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052" w:type="dxa"/>
            <w:vAlign w:val="top"/>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r>
      <w:tr>
        <w:trPr>
          <w:trHeight w:val="594"/>
        </w:trPr>
        <w:tc>
          <w:tcPr>
            <w:tcW w:w="831"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w:t>
            </w:r>
            <w:r/>
          </w:p>
        </w:tc>
        <w:tc>
          <w:tcPr>
            <w:tcW w:w="1441" w:type="dxa"/>
            <w:vAlign w:val="center"/>
            <w:textDirection w:val="lrTb"/>
            <w:noWrap w:val="false"/>
          </w:tcPr>
          <w:p>
            <w:pPr>
              <w:widowControl/>
              <w:rPr>
                <w:rFonts w:hint="eastAsia" w:ascii="楷体" w:hAnsi="楷体" w:eastAsia="楷体" w:cs="Calibri"/>
                <w:color w:val="auto"/>
                <w:sz w:val="24"/>
                <w:highlight w:val="none"/>
              </w:rPr>
            </w:pPr>
            <w:r>
              <w:rPr>
                <w:rFonts w:hint="eastAsia" w:ascii="楷体" w:hAnsi="楷体" w:eastAsia="楷体" w:cs="Calibri"/>
                <w:color w:val="auto"/>
                <w:sz w:val="24"/>
                <w:highlight w:val="none"/>
              </w:rPr>
              <w:t xml:space="preserve"> </w:t>
            </w:r>
            <w:r/>
          </w:p>
        </w:tc>
        <w:tc>
          <w:tcPr>
            <w:tcW w:w="1463"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gridSpan w:val="2"/>
            <w:tcW w:w="1658" w:type="dxa"/>
            <w:vAlign w:val="center"/>
            <w:textDirection w:val="lrTb"/>
            <w:noWrap w:val="false"/>
          </w:tcPr>
          <w:p>
            <w:pPr>
              <w:jc w:val="center"/>
              <w:widowControl/>
              <w:rPr>
                <w:rFonts w:hint="eastAsia" w:ascii="楷体" w:hAnsi="楷体" w:eastAsia="楷体" w:cs="Calibri"/>
                <w:color w:val="auto"/>
                <w:sz w:val="24"/>
                <w:highlight w:val="none"/>
              </w:rPr>
            </w:pPr>
            <w:r>
              <w:rPr>
                <w:rFonts w:hint="eastAsia" w:ascii="楷体" w:hAnsi="楷体" w:eastAsia="楷体" w:cs="Calibri"/>
                <w:color w:val="auto"/>
                <w:sz w:val="24"/>
                <w:highlight w:val="none"/>
              </w:rPr>
            </w:r>
            <w:r/>
          </w:p>
        </w:tc>
        <w:tc>
          <w:tcPr>
            <w:tcW w:w="1730"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607"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052" w:type="dxa"/>
            <w:vAlign w:val="top"/>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r>
      <w:tr>
        <w:trPr>
          <w:trHeight w:val="594"/>
        </w:trPr>
        <w:tc>
          <w:tcPr>
            <w:tcW w:w="831"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w:t>
            </w:r>
            <w:r/>
          </w:p>
        </w:tc>
        <w:tc>
          <w:tcPr>
            <w:tcW w:w="1441" w:type="dxa"/>
            <w:vAlign w:val="center"/>
            <w:textDirection w:val="lrTb"/>
            <w:noWrap w:val="false"/>
          </w:tcPr>
          <w:p>
            <w:pPr>
              <w:widowControl/>
              <w:rPr>
                <w:rFonts w:hint="eastAsia" w:ascii="楷体" w:hAnsi="楷体" w:eastAsia="楷体" w:cs="Calibri"/>
                <w:color w:val="auto"/>
                <w:sz w:val="24"/>
                <w:highlight w:val="none"/>
              </w:rPr>
            </w:pPr>
            <w:r>
              <w:rPr>
                <w:rFonts w:hint="eastAsia" w:ascii="楷体" w:hAnsi="楷体" w:eastAsia="楷体" w:cs="Calibri"/>
                <w:color w:val="auto"/>
                <w:sz w:val="24"/>
                <w:highlight w:val="none"/>
              </w:rPr>
              <w:t xml:space="preserve"> </w:t>
            </w:r>
            <w:r/>
          </w:p>
        </w:tc>
        <w:tc>
          <w:tcPr>
            <w:tcW w:w="1463"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gridSpan w:val="2"/>
            <w:tcW w:w="1658" w:type="dxa"/>
            <w:vAlign w:val="center"/>
            <w:textDirection w:val="lrTb"/>
            <w:noWrap w:val="false"/>
          </w:tcPr>
          <w:p>
            <w:pPr>
              <w:jc w:val="center"/>
              <w:widowControl/>
              <w:rPr>
                <w:rFonts w:hint="eastAsia" w:ascii="楷体" w:hAnsi="楷体" w:eastAsia="楷体" w:cs="Calibri"/>
                <w:color w:val="auto"/>
                <w:sz w:val="24"/>
                <w:highlight w:val="none"/>
              </w:rPr>
            </w:pPr>
            <w:r>
              <w:rPr>
                <w:rFonts w:hint="eastAsia" w:ascii="楷体" w:hAnsi="楷体" w:eastAsia="楷体" w:cs="Calibri"/>
                <w:color w:val="auto"/>
                <w:sz w:val="24"/>
                <w:highlight w:val="none"/>
              </w:rPr>
            </w:r>
            <w:r/>
          </w:p>
        </w:tc>
        <w:tc>
          <w:tcPr>
            <w:tcW w:w="1730"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607"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052" w:type="dxa"/>
            <w:vAlign w:val="top"/>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r>
      <w:tr>
        <w:trPr>
          <w:trHeight w:val="594"/>
        </w:trPr>
        <w:tc>
          <w:tcPr>
            <w:tcW w:w="831" w:type="dxa"/>
            <w:vAlign w:val="center"/>
            <w:textDirection w:val="lrTb"/>
            <w:noWrap w:val="false"/>
          </w:tcPr>
          <w:p>
            <w:pPr>
              <w:jc w:val="center"/>
              <w:spacing w:line="360" w:lineRule="auto"/>
              <w:rPr>
                <w:rFonts w:ascii="楷体" w:hAnsi="楷体" w:eastAsia="楷体"/>
                <w:color w:val="auto"/>
                <w:sz w:val="24"/>
                <w:highlight w:val="none"/>
                <w:lang w:val="en-US" w:eastAsia="zh-CN"/>
              </w:rPr>
            </w:pPr>
            <w:r>
              <w:rPr>
                <w:rFonts w:hint="eastAsia" w:ascii="楷体" w:hAnsi="楷体" w:eastAsia="楷体"/>
                <w:color w:val="auto"/>
                <w:sz w:val="24"/>
                <w:highlight w:val="none"/>
                <w:lang w:val="en-US" w:eastAsia="zh-CN"/>
              </w:rPr>
              <w:t xml:space="preserve">....</w:t>
            </w:r>
            <w:r/>
          </w:p>
        </w:tc>
        <w:tc>
          <w:tcPr>
            <w:tcW w:w="1441" w:type="dxa"/>
            <w:vAlign w:val="center"/>
            <w:textDirection w:val="lrTb"/>
            <w:noWrap w:val="false"/>
          </w:tcPr>
          <w:p>
            <w:pPr>
              <w:widowControl/>
              <w:rPr>
                <w:rFonts w:hint="eastAsia" w:ascii="楷体" w:hAnsi="楷体" w:eastAsia="楷体" w:cs="Calibri"/>
                <w:color w:val="auto"/>
                <w:sz w:val="24"/>
                <w:highlight w:val="none"/>
              </w:rPr>
            </w:pPr>
            <w:r>
              <w:rPr>
                <w:rFonts w:hint="eastAsia" w:ascii="楷体" w:hAnsi="楷体" w:eastAsia="楷体" w:cs="Calibri"/>
                <w:color w:val="auto"/>
                <w:sz w:val="24"/>
                <w:highlight w:val="none"/>
              </w:rPr>
            </w:r>
            <w:r/>
          </w:p>
        </w:tc>
        <w:tc>
          <w:tcPr>
            <w:tcW w:w="1463"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gridSpan w:val="2"/>
            <w:tcW w:w="1658" w:type="dxa"/>
            <w:vAlign w:val="center"/>
            <w:textDirection w:val="lrTb"/>
            <w:noWrap w:val="false"/>
          </w:tcPr>
          <w:p>
            <w:pPr>
              <w:jc w:val="center"/>
              <w:widowControl/>
              <w:rPr>
                <w:rFonts w:hint="eastAsia" w:ascii="楷体" w:hAnsi="楷体" w:eastAsia="楷体" w:cs="Calibri"/>
                <w:color w:val="auto"/>
                <w:sz w:val="24"/>
                <w:highlight w:val="none"/>
              </w:rPr>
            </w:pPr>
            <w:r>
              <w:rPr>
                <w:rFonts w:hint="eastAsia" w:ascii="楷体" w:hAnsi="楷体" w:eastAsia="楷体" w:cs="Calibri"/>
                <w:color w:val="auto"/>
                <w:sz w:val="24"/>
                <w:highlight w:val="none"/>
              </w:rPr>
            </w:r>
            <w:r/>
          </w:p>
        </w:tc>
        <w:tc>
          <w:tcPr>
            <w:tcW w:w="1730"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607"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052" w:type="dxa"/>
            <w:vAlign w:val="top"/>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货物部分小计：     元</w:t>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b/>
                <w:color w:val="auto"/>
                <w:sz w:val="24"/>
                <w:highlight w:val="none"/>
              </w:rPr>
              <w:t xml:space="preserve">二、服务部分</w:t>
            </w:r>
            <w:r/>
          </w:p>
        </w:tc>
      </w:tr>
      <w:tr>
        <w:trPr>
          <w:trHeight w:val="696"/>
        </w:trPr>
        <w:tc>
          <w:tcPr>
            <w:tcW w:w="831"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b/>
                <w:color w:val="auto"/>
                <w:sz w:val="24"/>
                <w:highlight w:val="none"/>
              </w:rPr>
            </w:pPr>
            <w:r>
              <w:rPr>
                <w:rFonts w:hint="eastAsia" w:ascii="楷体" w:hAnsi="楷体" w:eastAsia="楷体"/>
                <w:b/>
                <w:color w:val="auto"/>
                <w:sz w:val="24"/>
                <w:highlight w:val="none"/>
              </w:rPr>
              <w:t xml:space="preserve">序号</w:t>
            </w:r>
            <w:r/>
          </w:p>
        </w:tc>
        <w:tc>
          <w:tcPr>
            <w:tcW w:w="1441"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b/>
                <w:color w:val="auto"/>
                <w:sz w:val="24"/>
                <w:highlight w:val="none"/>
              </w:rPr>
            </w:pPr>
            <w:r>
              <w:rPr>
                <w:rFonts w:hint="eastAsia" w:ascii="楷体" w:hAnsi="楷体" w:eastAsia="楷体"/>
                <w:b/>
                <w:color w:val="auto"/>
                <w:sz w:val="24"/>
                <w:highlight w:val="none"/>
              </w:rPr>
              <w:t xml:space="preserve">标的名称</w:t>
            </w:r>
            <w:r/>
          </w:p>
        </w:tc>
        <w:tc>
          <w:tcPr>
            <w:gridSpan w:val="3"/>
            <w:tcW w:w="3121"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b/>
                <w:color w:val="auto"/>
                <w:sz w:val="24"/>
                <w:highlight w:val="none"/>
              </w:rPr>
            </w:pPr>
            <w:r>
              <w:rPr>
                <w:rFonts w:hint="eastAsia" w:ascii="楷体" w:hAnsi="楷体" w:eastAsia="楷体"/>
                <w:b/>
                <w:color w:val="auto"/>
                <w:sz w:val="24"/>
                <w:highlight w:val="none"/>
              </w:rPr>
              <w:t xml:space="preserve">服务内容</w:t>
            </w:r>
            <w:r/>
          </w:p>
        </w:tc>
        <w:tc>
          <w:tcPr>
            <w:tcW w:w="1730"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b/>
                <w:color w:val="auto"/>
                <w:sz w:val="24"/>
                <w:highlight w:val="none"/>
              </w:rPr>
            </w:pPr>
            <w:r>
              <w:rPr>
                <w:rFonts w:hint="eastAsia" w:ascii="楷体" w:hAnsi="楷体" w:eastAsia="楷体"/>
                <w:b/>
                <w:color w:val="auto"/>
                <w:sz w:val="24"/>
                <w:highlight w:val="none"/>
              </w:rPr>
              <w:t xml:space="preserve">服务期</w:t>
            </w:r>
            <w:r/>
          </w:p>
        </w:tc>
        <w:tc>
          <w:tcPr>
            <w:tcW w:w="1607"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b/>
                <w:color w:val="auto"/>
                <w:sz w:val="24"/>
                <w:highlight w:val="none"/>
              </w:rPr>
            </w:pPr>
            <w:r>
              <w:rPr>
                <w:rFonts w:hint="eastAsia" w:ascii="楷体" w:hAnsi="楷体" w:eastAsia="楷体"/>
                <w:b/>
                <w:color w:val="auto"/>
                <w:sz w:val="24"/>
                <w:highlight w:val="none"/>
              </w:rPr>
              <w:t xml:space="preserve">价格（元）</w:t>
            </w:r>
            <w:r/>
          </w:p>
        </w:tc>
        <w:tc>
          <w:tcPr>
            <w:tcW w:w="1052"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b/>
                <w:color w:val="auto"/>
                <w:sz w:val="24"/>
                <w:highlight w:val="none"/>
              </w:rPr>
            </w:pPr>
            <w:r>
              <w:rPr>
                <w:rFonts w:hint="eastAsia" w:ascii="楷体" w:hAnsi="楷体" w:eastAsia="楷体"/>
                <w:b/>
                <w:color w:val="auto"/>
                <w:sz w:val="24"/>
                <w:highlight w:val="none"/>
              </w:rPr>
              <w:t xml:space="preserve">备注</w:t>
            </w:r>
            <w:r/>
          </w:p>
        </w:tc>
      </w:tr>
      <w:tr>
        <w:trPr>
          <w:trHeight w:val="594"/>
        </w:trPr>
        <w:tc>
          <w:tcPr>
            <w:tcW w:w="831"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color w:val="auto"/>
                <w:sz w:val="24"/>
                <w:highlight w:val="none"/>
              </w:rPr>
            </w:pPr>
            <w:r>
              <w:rPr>
                <w:rFonts w:hint="eastAsia" w:ascii="楷体" w:hAnsi="楷体" w:eastAsia="楷体"/>
                <w:color w:val="auto"/>
                <w:sz w:val="24"/>
                <w:highlight w:val="none"/>
              </w:rPr>
              <w:t xml:space="preserve">1</w:t>
            </w:r>
            <w:r/>
          </w:p>
        </w:tc>
        <w:tc>
          <w:tcPr>
            <w:tcW w:w="1441" w:type="dxa"/>
            <w:vAlign w:val="center"/>
            <w:textDirection w:val="lrTb"/>
            <w:noWrap w:val="false"/>
          </w:tcPr>
          <w:p>
            <w:pPr>
              <w:keepLines w:val="0"/>
              <w:keepNext w:val="0"/>
              <w:pageBreakBefore w:val="0"/>
              <w:spacing w:line="400" w:lineRule="exact"/>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3"/>
            <w:tcW w:w="3121" w:type="dxa"/>
            <w:vAlign w:val="center"/>
            <w:textDirection w:val="lrTb"/>
            <w:noWrap w:val="false"/>
          </w:tcPr>
          <w:p>
            <w:pPr>
              <w:jc w:val="left"/>
              <w:keepLines w:val="0"/>
              <w:keepNext w:val="0"/>
              <w:pageBreakBefore w:val="0"/>
              <w:spacing w:line="400" w:lineRule="exact"/>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W w:w="1730"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607"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052" w:type="dxa"/>
            <w:vAlign w:val="top"/>
            <w:textDirection w:val="lrTb"/>
            <w:noWrap w:val="false"/>
          </w:tcPr>
          <w:p>
            <w:pPr>
              <w:jc w:val="center"/>
              <w:keepLines w:val="0"/>
              <w:keepNext w:val="0"/>
              <w:pageBreakBefore w:val="0"/>
              <w:spacing w:line="400" w:lineRule="exact"/>
              <w:widowControl w:val="off"/>
              <w:rPr>
                <w:rFonts w:hint="eastAsia" w:ascii="楷体" w:hAnsi="楷体" w:eastAsia="楷体"/>
                <w:color w:val="auto"/>
                <w:sz w:val="24"/>
                <w:highlight w:val="none"/>
              </w:rPr>
            </w:pPr>
            <w:r>
              <w:rPr>
                <w:rFonts w:hint="eastAsia" w:ascii="楷体" w:hAnsi="楷体" w:eastAsia="楷体"/>
                <w:color w:val="auto"/>
                <w:sz w:val="24"/>
                <w:highlight w:val="none"/>
              </w:rPr>
            </w:r>
            <w:r/>
          </w:p>
        </w:tc>
      </w:tr>
      <w:tr>
        <w:trPr>
          <w:trHeight w:val="594"/>
        </w:trPr>
        <w:tc>
          <w:tcPr>
            <w:gridSpan w:val="8"/>
            <w:tcW w:w="9782"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color w:val="auto"/>
                <w:sz w:val="24"/>
                <w:highlight w:val="none"/>
              </w:rPr>
            </w:pPr>
            <w:r>
              <w:rPr>
                <w:rFonts w:ascii="楷体" w:hAnsi="楷体" w:eastAsia="楷体"/>
                <w:b/>
                <w:color w:val="auto"/>
                <w:sz w:val="24"/>
                <w:highlight w:val="none"/>
              </w:rPr>
              <w:t xml:space="preserve">服务</w:t>
            </w:r>
            <w:r>
              <w:rPr>
                <w:rFonts w:hint="eastAsia" w:ascii="楷体" w:hAnsi="楷体" w:eastAsia="楷体"/>
                <w:b/>
                <w:color w:val="auto"/>
                <w:sz w:val="24"/>
                <w:highlight w:val="none"/>
              </w:rPr>
              <w:t xml:space="preserve">部分小计：     元</w:t>
            </w:r>
            <w:r/>
          </w:p>
        </w:tc>
      </w:tr>
      <w:tr>
        <w:trPr/>
        <w:tc>
          <w:tcPr>
            <w:gridSpan w:val="4"/>
            <w:tcW w:w="4379" w:type="dxa"/>
            <w:vAlign w:val="top"/>
            <w:textDirection w:val="lrTb"/>
            <w:noWrap w:val="false"/>
          </w:tcPr>
          <w:p>
            <w:pPr>
              <w:keepLines w:val="0"/>
              <w:keepNext w:val="0"/>
              <w:pageBreakBefore w:val="0"/>
              <w:spacing w:line="400" w:lineRule="exact"/>
              <w:widowControl w:val="off"/>
              <w:rPr>
                <w:rFonts w:hint="eastAsia" w:ascii="楷体" w:hAnsi="楷体" w:eastAsia="楷体"/>
                <w:b/>
                <w:color w:val="auto"/>
                <w:sz w:val="24"/>
                <w:highlight w:val="none"/>
              </w:rPr>
            </w:pPr>
            <w:r>
              <w:rPr>
                <w:rFonts w:hint="eastAsia" w:ascii="楷体" w:hAnsi="楷体" w:eastAsia="楷体"/>
                <w:b/>
                <w:color w:val="auto"/>
                <w:sz w:val="24"/>
                <w:highlight w:val="none"/>
              </w:rPr>
              <w:t xml:space="preserve">其它与项目有关的费用</w:t>
            </w:r>
            <w:r>
              <w:rPr>
                <w:rFonts w:hint="eastAsia" w:ascii="楷体" w:hAnsi="楷体" w:eastAsia="楷体"/>
                <w:b/>
                <w:i/>
                <w:iCs/>
                <w:color w:val="auto"/>
                <w:sz w:val="24"/>
                <w:highlight w:val="none"/>
              </w:rPr>
              <w:t xml:space="preserve">（可编辑）</w:t>
            </w:r>
            <w:r/>
          </w:p>
        </w:tc>
        <w:tc>
          <w:tcPr>
            <w:gridSpan w:val="4"/>
            <w:tcW w:w="5403" w:type="dxa"/>
            <w:vAlign w:val="top"/>
            <w:textDirection w:val="lrTb"/>
            <w:noWrap w:val="false"/>
          </w:tcPr>
          <w:p>
            <w:pPr>
              <w:jc w:val="center"/>
              <w:keepLines w:val="0"/>
              <w:keepNext w:val="0"/>
              <w:pageBreakBefore w:val="0"/>
              <w:spacing w:line="400" w:lineRule="exact"/>
              <w:widowControl w:val="off"/>
              <w:rPr>
                <w:rFonts w:hint="eastAsia" w:ascii="楷体" w:hAnsi="楷体" w:eastAsia="楷体"/>
                <w:color w:val="auto"/>
                <w:sz w:val="24"/>
                <w:highlight w:val="none"/>
              </w:rPr>
            </w:pPr>
            <w:r>
              <w:rPr>
                <w:rFonts w:hint="eastAsia" w:ascii="楷体" w:hAnsi="楷体" w:eastAsia="楷体" w:cs="楷体"/>
                <w:b/>
                <w:color w:val="auto"/>
                <w:sz w:val="24"/>
                <w:highlight w:val="none"/>
              </w:rPr>
              <w:t xml:space="preserve">元</w:t>
            </w:r>
            <w:r/>
          </w:p>
        </w:tc>
      </w:tr>
      <w:tr>
        <w:trPr/>
        <w:tc>
          <w:tcPr>
            <w:gridSpan w:val="4"/>
            <w:tcW w:w="4379" w:type="dxa"/>
            <w:vAlign w:val="top"/>
            <w:textDirection w:val="lrTb"/>
            <w:noWrap w:val="false"/>
          </w:tcPr>
          <w:p>
            <w:pPr>
              <w:keepLines w:val="0"/>
              <w:keepNext w:val="0"/>
              <w:pageBreakBefore w:val="0"/>
              <w:spacing w:line="400" w:lineRule="exact"/>
              <w:widowControl w:val="off"/>
              <w:rPr>
                <w:rFonts w:hint="eastAsia" w:ascii="楷体" w:hAnsi="楷体" w:eastAsia="楷体"/>
                <w:b/>
                <w:color w:val="auto"/>
                <w:sz w:val="24"/>
                <w:highlight w:val="none"/>
              </w:rPr>
            </w:pPr>
            <w:r>
              <w:rPr>
                <w:rFonts w:hint="eastAsia" w:ascii="楷体" w:hAnsi="楷体" w:eastAsia="楷体"/>
                <w:b/>
                <w:color w:val="auto"/>
                <w:sz w:val="24"/>
                <w:highlight w:val="none"/>
              </w:rPr>
              <w:t xml:space="preserve">项目总报价</w:t>
            </w:r>
            <w:r/>
          </w:p>
        </w:tc>
        <w:tc>
          <w:tcPr>
            <w:gridSpan w:val="4"/>
            <w:tcW w:w="5403" w:type="dxa"/>
            <w:vAlign w:val="top"/>
            <w:textDirection w:val="lrTb"/>
            <w:noWrap w:val="false"/>
          </w:tcPr>
          <w:p>
            <w:pPr>
              <w:jc w:val="center"/>
              <w:keepLines w:val="0"/>
              <w:keepNext w:val="0"/>
              <w:pageBreakBefore w:val="0"/>
              <w:spacing w:line="400" w:lineRule="exact"/>
              <w:widowControl w:val="off"/>
              <w:rPr>
                <w:rFonts w:hint="eastAsia" w:ascii="楷体" w:hAnsi="楷体" w:eastAsia="楷体"/>
                <w:color w:val="auto"/>
                <w:sz w:val="24"/>
                <w:highlight w:val="none"/>
              </w:rPr>
            </w:pPr>
            <w:r>
              <w:rPr>
                <w:rFonts w:hint="eastAsia" w:ascii="楷体" w:hAnsi="楷体" w:eastAsia="楷体" w:cs="楷体"/>
                <w:b/>
                <w:color w:val="auto"/>
                <w:sz w:val="24"/>
                <w:highlight w:val="none"/>
              </w:rPr>
              <w:t xml:space="preserve">元</w:t>
            </w:r>
            <w:r/>
          </w:p>
        </w:tc>
      </w:tr>
    </w:tbl>
    <w:p>
      <w:pPr>
        <w:keepLines w:val="0"/>
        <w:keepNext w:val="0"/>
        <w:pageBreakBefore w:val="0"/>
        <w:spacing w:line="400" w:lineRule="exact"/>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注：</w:t>
      </w:r>
      <w:r>
        <w:rPr>
          <w:rFonts w:hint="eastAsia" w:ascii="宋体" w:hAnsi="宋体" w:eastAsia="宋体" w:cs="宋体"/>
          <w:color w:val="auto"/>
          <w:sz w:val="24"/>
          <w:highlight w:val="none"/>
        </w:rPr>
        <w:t xml:space="preserve">1、</w:t>
      </w:r>
      <w:r>
        <w:rPr>
          <w:rFonts w:hint="eastAsia" w:ascii="宋体" w:hAnsi="宋体" w:eastAsia="宋体" w:cs="宋体"/>
          <w:b/>
          <w:color w:val="auto"/>
          <w:sz w:val="24"/>
          <w:highlight w:val="none"/>
          <w:u w:val="single"/>
        </w:rPr>
        <w:t xml:space="preserve">投标人应当按照招标文件采购需求及相关报价要求填写</w:t>
      </w:r>
      <w:r>
        <w:rPr>
          <w:rFonts w:hint="eastAsia" w:ascii="宋体" w:hAnsi="宋体" w:eastAsia="宋体" w:cs="宋体"/>
          <w:color w:val="auto"/>
          <w:sz w:val="24"/>
          <w:highlight w:val="none"/>
          <w:u w:val="single"/>
        </w:rPr>
        <w:t xml:space="preserve">。</w:t>
      </w:r>
      <w:r/>
    </w:p>
    <w:p>
      <w:pPr>
        <w:ind w:left="-283"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u w:val="single"/>
        </w:rPr>
        <w:t xml:space="preserve">本表中项目总报价应与开标一览表中项目总报价保持一致。</w:t>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4、</w:t>
      </w:r>
      <w:r>
        <w:rPr>
          <w:rFonts w:hint="eastAsia" w:ascii="宋体" w:hAnsi="宋体" w:eastAsia="宋体" w:cs="宋体"/>
          <w:bCs/>
          <w:color w:val="auto"/>
          <w:sz w:val="24"/>
          <w:highlight w:val="none"/>
          <w:u w:val="single"/>
        </w:rPr>
        <w:t xml:space="preserve">报价保留至小数点后两位，四舍五入。</w:t>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5、</w:t>
      </w:r>
      <w:r>
        <w:rPr>
          <w:rFonts w:hint="eastAsia" w:ascii="宋体" w:hAnsi="宋体" w:eastAsia="宋体" w:cs="宋体"/>
          <w:bCs/>
          <w:color w:val="auto"/>
          <w:sz w:val="24"/>
          <w:highlight w:val="none"/>
          <w:u w:val="single"/>
        </w:rPr>
        <w:t xml:space="preserve">标的物报价不得为零，否则投标无效。</w:t>
      </w:r>
      <w:r/>
    </w:p>
    <w:p>
      <w:pPr>
        <w:pStyle w:val="845"/>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5"/>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8"/>
        <w:ind w:firstLine="560"/>
        <w:spacing w:line="360" w:lineRule="auto"/>
        <w:rPr>
          <w:rFonts w:hint="eastAsia" w:ascii="楷体" w:hAnsi="楷体" w:eastAsia="楷体"/>
          <w:color w:val="auto"/>
          <w:sz w:val="28"/>
          <w:szCs w:val="24"/>
          <w:highlight w:val="none"/>
        </w:rPr>
      </w:pPr>
      <w:r>
        <w:rPr>
          <w:rFonts w:hint="eastAsia" w:ascii="楷体" w:hAnsi="楷体" w:eastAsia="楷体"/>
          <w:color w:val="auto"/>
          <w:sz w:val="28"/>
          <w:szCs w:val="24"/>
          <w:highlight w:val="none"/>
        </w:rPr>
        <w:t xml:space="preserve">投标人（公章）：</w:t>
      </w:r>
      <w:r>
        <w:rPr>
          <w:rFonts w:hint="eastAsia" w:ascii="宋体" w:hAnsi="宋体"/>
          <w:b/>
          <w:color w:val="auto"/>
          <w:sz w:val="24"/>
          <w:highlight w:val="none"/>
          <w:u w:val="single"/>
        </w:rPr>
        <w:t xml:space="preserve">××</w:t>
      </w:r>
      <w:r/>
    </w:p>
    <w:p>
      <w:pPr>
        <w:pStyle w:val="858"/>
        <w:ind w:firstLine="560"/>
        <w:spacing w:line="360" w:lineRule="auto"/>
        <w:rPr>
          <w:rFonts w:hint="eastAsia" w:ascii="楷体" w:hAnsi="楷体"/>
          <w:color w:val="auto"/>
          <w:sz w:val="28"/>
          <w:szCs w:val="24"/>
          <w:highlight w:val="none"/>
        </w:rPr>
      </w:pPr>
      <w:r>
        <w:rPr>
          <w:rFonts w:hint="eastAsia" w:ascii="楷体" w:hAnsi="楷体" w:eastAsia="楷体"/>
          <w:color w:val="auto"/>
          <w:sz w:val="28"/>
          <w:highlight w:val="none"/>
        </w:rPr>
        <w:t xml:space="preserve">法定代表人签字或盖章</w:t>
      </w:r>
      <w:r>
        <w:rPr>
          <w:rFonts w:hint="eastAsia" w:ascii="楷体" w:hAnsi="楷体" w:eastAsia="楷体"/>
          <w:color w:val="auto"/>
          <w:sz w:val="28"/>
          <w:szCs w:val="24"/>
          <w:highlight w:val="none"/>
        </w:rPr>
        <w:t xml:space="preserve">： </w:t>
      </w:r>
      <w:r>
        <w:rPr>
          <w:rFonts w:hint="eastAsia" w:ascii="宋体" w:hAnsi="宋体"/>
          <w:b/>
          <w:color w:val="auto"/>
          <w:sz w:val="24"/>
          <w:highlight w:val="none"/>
          <w:u w:val="single"/>
        </w:rPr>
        <w:t xml:space="preserve">××   </w:t>
      </w:r>
      <w:r/>
    </w:p>
    <w:p>
      <w:pPr>
        <w:pStyle w:val="858"/>
        <w:ind w:right="1060" w:firstLine="560"/>
        <w:jc w:val="right"/>
        <w:spacing w:line="360" w:lineRule="auto"/>
        <w:rPr>
          <w:rFonts w:hint="eastAsia" w:ascii="楷体" w:hAnsi="楷体" w:eastAsia="楷体"/>
          <w:color w:val="auto"/>
          <w:sz w:val="28"/>
          <w:szCs w:val="28"/>
          <w:highlight w:val="none"/>
        </w:rPr>
      </w:pPr>
      <w:r>
        <w:rPr>
          <w:rFonts w:hint="eastAsia" w:ascii="楷体" w:hAnsi="楷体" w:eastAsia="楷体"/>
          <w:color w:val="auto"/>
          <w:sz w:val="28"/>
          <w:highlight w:val="none"/>
        </w:rPr>
        <w:t xml:space="preserve">日期： </w:t>
      </w:r>
      <w:r>
        <w:rPr>
          <w:rFonts w:hint="eastAsia" w:ascii="宋体" w:hAnsi="宋体"/>
          <w:b/>
          <w:color w:val="auto"/>
          <w:sz w:val="24"/>
          <w:highlight w:val="none"/>
          <w:u w:val="single"/>
        </w:rPr>
        <w:t xml:space="preserve">××××</w:t>
      </w:r>
      <w:r>
        <w:rPr>
          <w:rFonts w:hint="eastAsia" w:ascii="楷体" w:hAnsi="楷体" w:eastAsia="楷体"/>
          <w:color w:val="auto"/>
          <w:sz w:val="28"/>
          <w:highlight w:val="none"/>
        </w:rPr>
        <w:t xml:space="preserve">年</w:t>
      </w:r>
      <w:r>
        <w:rPr>
          <w:rFonts w:hint="eastAsia" w:ascii="宋体" w:hAnsi="宋体"/>
          <w:b/>
          <w:color w:val="auto"/>
          <w:sz w:val="24"/>
          <w:highlight w:val="none"/>
          <w:u w:val="single"/>
        </w:rPr>
        <w:t xml:space="preserve">××</w:t>
      </w:r>
      <w:r>
        <w:rPr>
          <w:rFonts w:hint="eastAsia" w:ascii="楷体" w:hAnsi="楷体" w:eastAsia="楷体"/>
          <w:color w:val="auto"/>
          <w:sz w:val="28"/>
          <w:highlight w:val="none"/>
        </w:rPr>
        <w:t xml:space="preserve">月</w:t>
      </w:r>
      <w:r>
        <w:rPr>
          <w:rFonts w:hint="eastAsia" w:ascii="宋体" w:hAnsi="宋体"/>
          <w:b/>
          <w:color w:val="auto"/>
          <w:sz w:val="24"/>
          <w:highlight w:val="none"/>
          <w:u w:val="single"/>
        </w:rPr>
        <w:t xml:space="preserve">××</w:t>
      </w:r>
      <w:r>
        <w:rPr>
          <w:rFonts w:hint="eastAsia" w:ascii="楷体" w:hAnsi="楷体" w:eastAsia="楷体"/>
          <w:color w:val="auto"/>
          <w:sz w:val="28"/>
          <w:highlight w:val="none"/>
        </w:rPr>
        <w:t xml:space="preserve">日</w:t>
      </w:r>
      <w:r/>
    </w:p>
    <w:p>
      <w:pPr>
        <w:pStyle w:val="845"/>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楷体" w:hAnsi="楷体" w:eastAsia="楷体" w:cs="Times New Roman"/>
          <w:b/>
          <w:color w:val="auto"/>
          <w:sz w:val="36"/>
          <w:szCs w:val="36"/>
          <w:highlight w:val="none"/>
          <w:lang w:val="en-US" w:eastAsia="zh-CN" w:bidi="ar-SA"/>
        </w:rPr>
      </w:pPr>
      <w:r>
        <w:rPr>
          <w:rFonts w:hint="eastAsia" w:ascii="楷体" w:hAnsi="楷体" w:eastAsia="楷体" w:cs="Times New Roman"/>
          <w:b/>
          <w:color w:val="auto"/>
          <w:sz w:val="36"/>
          <w:szCs w:val="36"/>
          <w:highlight w:val="none"/>
          <w:lang w:val="en-US" w:eastAsia="zh-CN" w:bidi="ar-SA"/>
        </w:rPr>
        <w:br w:type="page" w:clear="all"/>
      </w:r>
      <w:r/>
    </w:p>
    <w:p>
      <w:pPr>
        <w:pStyle w:val="845"/>
        <w:ind w:firstLine="600"/>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五、技术部分</w:t>
      </w:r>
      <w:r/>
    </w:p>
    <w:p>
      <w:pPr>
        <w:jc w:val="center"/>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1.技术响应及偏离表</w:t>
      </w:r>
      <w:r>
        <w:rPr>
          <w:rFonts w:hint="eastAsia" w:ascii="楷体" w:hAnsi="楷体" w:eastAsia="楷体"/>
          <w:b/>
          <w:color w:val="auto"/>
          <w:sz w:val="32"/>
          <w:szCs w:val="32"/>
          <w:highlight w:val="none"/>
        </w:rPr>
        <w:t xml:space="preserve">（与评分标准对应）</w:t>
      </w:r>
      <w:r/>
    </w:p>
    <w:tbl>
      <w:tblPr>
        <w:tblStyle w:val="839"/>
        <w:tblW w:w="10292" w:type="dxa"/>
        <w:jc w:val="center"/>
        <w:tblLayout w:type="fixed"/>
        <w:tblCellMar>
          <w:left w:w="28" w:type="dxa"/>
          <w:top w:w="0" w:type="dxa"/>
          <w:right w:w="28" w:type="dxa"/>
          <w:bottom w:w="0"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hint="eastAsia" w:ascii="宋体" w:hAnsi="宋体" w:eastAsia="宋体" w:cs="宋体"/>
                <w:b/>
                <w:color w:val="auto"/>
                <w:szCs w:val="21"/>
                <w:highlight w:val="none"/>
                <w:lang w:eastAsia="en-US"/>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Cs w:val="21"/>
                <w:highlight w:val="none"/>
                <w:lang w:eastAsia="en-US"/>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宋体" w:hAnsi="宋体" w:eastAsia="宋体" w:cs="宋体"/>
                <w:b/>
                <w:color w:val="auto"/>
                <w:szCs w:val="21"/>
                <w:highlight w:val="none"/>
                <w:lang w:eastAsia="en-US"/>
              </w:rPr>
            </w:pPr>
            <w:r>
              <w:rPr>
                <w:rFonts w:hint="eastAsia" w:ascii="宋体" w:hAnsi="宋体" w:eastAsia="宋体" w:cs="宋体"/>
                <w:b/>
                <w:color w:val="auto"/>
                <w:szCs w:val="21"/>
                <w:highlight w:val="none"/>
                <w:lang w:eastAsia="en-US"/>
              </w:rPr>
              <w:t xml:space="preserve">重要性（★、</w:t>
            </w:r>
            <w:r>
              <w:rPr>
                <w:rFonts w:hint="eastAsia" w:ascii="楷体" w:hAnsi="楷体" w:eastAsia="楷体"/>
                <w:b/>
                <w:color w:val="auto"/>
                <w:szCs w:val="21"/>
                <w:highlight w:val="none"/>
                <w:lang w:val="en-US" w:eastAsia="zh-CN"/>
              </w:rPr>
              <w:t xml:space="preserve">#</w:t>
            </w:r>
            <w:r>
              <w:rPr>
                <w:rFonts w:hint="eastAsia" w:ascii="宋体" w:hAnsi="宋体" w:eastAsia="宋体" w:cs="宋体"/>
                <w:b/>
                <w:color w:val="auto"/>
                <w:szCs w:val="21"/>
                <w:highlight w:val="none"/>
                <w:lang w:eastAsia="en-US"/>
              </w:rPr>
              <w:t xml:space="preserve">）</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宋体" w:hAnsi="宋体" w:eastAsia="宋体" w:cs="宋体"/>
                <w:b/>
                <w:color w:val="auto"/>
                <w:szCs w:val="21"/>
                <w:highlight w:val="none"/>
                <w:lang w:eastAsia="en-US"/>
              </w:rPr>
            </w:pPr>
            <w:r>
              <w:rPr>
                <w:rFonts w:hint="eastAsia" w:ascii="宋体" w:hAnsi="宋体" w:eastAsia="宋体" w:cs="宋体"/>
                <w:b/>
                <w:color w:val="auto"/>
                <w:szCs w:val="21"/>
                <w:highlight w:val="none"/>
                <w:lang w:eastAsia="en-US"/>
              </w:rPr>
              <w:t xml:space="preserve">标的名称</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val="false"/>
          </w:tcPr>
          <w:p>
            <w:pPr>
              <w:jc w:val="center"/>
              <w:spacing w:before="40" w:after="40" w:line="360" w:lineRule="auto"/>
              <w:rPr>
                <w:rFonts w:hint="eastAsia" w:ascii="宋体" w:hAnsi="宋体" w:eastAsia="宋体" w:cs="宋体"/>
                <w:b/>
                <w:color w:val="auto"/>
                <w:szCs w:val="21"/>
                <w:highlight w:val="none"/>
                <w:lang w:eastAsia="en-US"/>
              </w:rPr>
            </w:pPr>
            <w:r>
              <w:rPr>
                <w:rFonts w:hint="eastAsia" w:ascii="宋体" w:hAnsi="宋体" w:eastAsia="宋体" w:cs="宋体"/>
                <w:b/>
                <w:color w:val="auto"/>
                <w:szCs w:val="21"/>
                <w:highlight w:val="none"/>
                <w:lang w:eastAsia="en-US"/>
              </w:rPr>
              <w:t xml:space="preserve">响应产品名称及型号</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val="false"/>
          </w:tcPr>
          <w:p>
            <w:pPr>
              <w:spacing w:before="40" w:after="40" w:line="360" w:lineRule="auto"/>
              <w:rPr>
                <w:rFonts w:hint="eastAsia" w:ascii="宋体" w:hAnsi="宋体" w:eastAsia="宋体" w:cs="宋体"/>
                <w:b/>
                <w:color w:val="auto"/>
                <w:szCs w:val="21"/>
                <w:highlight w:val="none"/>
                <w:lang w:eastAsia="en-US"/>
              </w:rPr>
            </w:pPr>
            <w:r>
              <w:rPr>
                <w:rFonts w:hint="eastAsia" w:ascii="宋体" w:hAnsi="宋体" w:eastAsia="宋体" w:cs="宋体"/>
                <w:b/>
                <w:color w:val="auto"/>
                <w:szCs w:val="21"/>
                <w:highlight w:val="none"/>
                <w:lang w:eastAsia="en-US"/>
              </w:rPr>
              <w:t xml:space="preserve">指标要求</w:t>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val="false"/>
          </w:tcPr>
          <w:p>
            <w:pPr>
              <w:spacing w:before="40" w:after="40" w:line="360" w:lineRule="auto"/>
              <w:rPr>
                <w:rFonts w:hint="eastAsia" w:ascii="宋体" w:hAnsi="宋体" w:eastAsia="宋体" w:cs="宋体"/>
                <w:b/>
                <w:color w:val="auto"/>
                <w:szCs w:val="21"/>
                <w:highlight w:val="none"/>
                <w:lang w:eastAsia="en-US"/>
              </w:rPr>
            </w:pPr>
            <w:r>
              <w:rPr>
                <w:rFonts w:hint="eastAsia" w:ascii="宋体" w:hAnsi="宋体" w:eastAsia="宋体" w:cs="宋体"/>
                <w:b/>
                <w:color w:val="auto"/>
                <w:szCs w:val="21"/>
                <w:highlight w:val="none"/>
                <w:lang w:eastAsia="en-US"/>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宋体" w:hAnsi="宋体" w:eastAsia="宋体" w:cs="宋体"/>
                <w:b/>
                <w:color w:val="auto"/>
                <w:szCs w:val="21"/>
                <w:highlight w:val="none"/>
                <w:lang w:eastAsia="en-US"/>
              </w:rPr>
            </w:pPr>
            <w:r>
              <w:rPr>
                <w:rFonts w:hint="eastAsia" w:ascii="宋体" w:hAnsi="宋体" w:eastAsia="宋体" w:cs="宋体"/>
                <w:b/>
                <w:color w:val="auto"/>
                <w:szCs w:val="21"/>
                <w:highlight w:val="none"/>
                <w:lang w:eastAsia="en-US"/>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val="false"/>
          </w:tcPr>
          <w:p>
            <w:pPr>
              <w:jc w:val="center"/>
              <w:spacing w:line="360" w:lineRule="auto"/>
              <w:rPr>
                <w:rFonts w:hint="eastAsia" w:ascii="宋体" w:hAnsi="宋体" w:eastAsia="宋体" w:cs="宋体"/>
                <w:color w:val="auto"/>
                <w:highlight w:val="none"/>
                <w:lang w:eastAsia="en-US"/>
              </w:rPr>
            </w:pPr>
            <w:r>
              <w:rPr>
                <w:rFonts w:hint="eastAsia" w:ascii="宋体" w:hAnsi="宋体" w:eastAsia="宋体" w:cs="宋体"/>
                <w:color w:val="auto"/>
                <w:highlight w:val="none"/>
                <w:lang w:eastAsia="en-US"/>
              </w:rPr>
              <w:t xml:space="preserve">1</w:t>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val="false"/>
          </w:tcPr>
          <w:p>
            <w:pPr>
              <w:jc w:val="center"/>
              <w:spacing w:line="360" w:lineRule="auto"/>
              <w:rPr>
                <w:rFonts w:hint="eastAsia" w:ascii="宋体" w:hAnsi="宋体" w:eastAsia="宋体" w:cs="宋体"/>
                <w:color w:val="auto"/>
                <w:highlight w:val="none"/>
                <w:lang w:eastAsia="en-US"/>
              </w:rPr>
            </w:pPr>
            <w:r>
              <w:rPr>
                <w:rFonts w:hint="eastAsia" w:ascii="宋体" w:hAnsi="宋体" w:eastAsia="宋体" w:cs="宋体"/>
                <w:color w:val="auto"/>
                <w:highlight w:val="none"/>
                <w:lang w:eastAsia="en-US"/>
              </w:rPr>
              <w:t xml:space="preserve">2</w:t>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val="false"/>
          </w:tcPr>
          <w:p>
            <w:pPr>
              <w:jc w:val="center"/>
              <w:spacing w:line="360" w:lineRule="auto"/>
              <w:rPr>
                <w:rFonts w:hint="eastAsia" w:ascii="宋体" w:hAnsi="宋体" w:eastAsia="宋体" w:cs="宋体"/>
                <w:color w:val="auto"/>
                <w:highlight w:val="none"/>
                <w:lang w:eastAsia="en-US"/>
              </w:rPr>
            </w:pPr>
            <w:r>
              <w:rPr>
                <w:rFonts w:hint="eastAsia" w:ascii="宋体" w:hAnsi="宋体" w:eastAsia="宋体" w:cs="宋体"/>
                <w:color w:val="auto"/>
                <w:highlight w:val="none"/>
                <w:lang w:eastAsia="en-US"/>
              </w:rPr>
              <w:t xml:space="preserve">……</w:t>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r>
    </w:tbl>
    <w:p>
      <w:pPr>
        <w:pStyle w:val="859"/>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注：1.按实际如实填写偏离表，行数不够可自行添加。</w:t>
      </w:r>
      <w:r/>
    </w:p>
    <w:p>
      <w:pPr>
        <w:pStyle w:val="859"/>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859"/>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3.项目需求中如出现具体产品的品牌、型号、参数等，仅供投标人更好地理解采购人对设备的需求，不能理解为唯一指定，只要优或相当于其技术参数及功能要求的，均可视为响应。</w:t>
      </w:r>
      <w:r/>
    </w:p>
    <w:p>
      <w:pPr>
        <w:jc w:val="lef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860"/>
        <w:numPr>
          <w:ilvl w:val="0"/>
          <w:numId w:val="0"/>
        </w:numPr>
        <w:ind w:left="0" w:firstLine="640"/>
        <w:jc w:val="center"/>
        <w:widowControl w:val="off"/>
        <w:rPr>
          <w:rFonts w:hint="eastAsia" w:ascii="宋体" w:hAnsi="宋体" w:eastAsia="宋体" w:cs="宋体"/>
          <w:color w:val="auto"/>
          <w:sz w:val="32"/>
          <w:szCs w:val="32"/>
          <w:highlight w:val="none"/>
          <w:lang w:eastAsia="en-US"/>
        </w:rPr>
      </w:pPr>
      <w:r>
        <w:rPr>
          <w:rFonts w:hint="eastAsia" w:ascii="宋体" w:hAnsi="宋体" w:eastAsia="宋体" w:cs="宋体"/>
          <w:color w:val="auto"/>
          <w:sz w:val="32"/>
          <w:szCs w:val="32"/>
          <w:highlight w:val="none"/>
          <w:lang w:val="zh-CN" w:eastAsia="en-US" w:bidi="ar-SA"/>
        </w:rPr>
        <w:t xml:space="preserve">2</w:t>
      </w:r>
      <w:r>
        <w:rPr>
          <w:rFonts w:hint="eastAsia" w:ascii="宋体" w:hAnsi="宋体" w:cs="宋体"/>
          <w:color w:val="auto"/>
          <w:sz w:val="32"/>
          <w:szCs w:val="32"/>
          <w:highlight w:val="none"/>
          <w:lang w:val="en-US" w:eastAsia="zh-CN" w:bidi="ar-SA"/>
        </w:rPr>
        <w:t xml:space="preserve">.</w:t>
      </w:r>
      <w:r>
        <w:rPr>
          <w:rFonts w:hint="eastAsia" w:ascii="宋体" w:hAnsi="宋体" w:cs="宋体"/>
          <w:color w:val="auto"/>
          <w:sz w:val="32"/>
          <w:szCs w:val="32"/>
          <w:highlight w:val="none"/>
          <w:lang w:val="en-US" w:eastAsia="zh-CN"/>
        </w:rPr>
        <w:t xml:space="preserve">技术</w:t>
      </w:r>
      <w:r>
        <w:rPr>
          <w:rFonts w:hint="eastAsia" w:ascii="宋体" w:hAnsi="宋体" w:eastAsia="宋体" w:cs="宋体"/>
          <w:color w:val="auto"/>
          <w:sz w:val="32"/>
          <w:szCs w:val="32"/>
          <w:highlight w:val="none"/>
          <w:lang w:val="en-US" w:eastAsia="zh-CN"/>
        </w:rPr>
        <w:t xml:space="preserve">方案</w:t>
      </w:r>
      <w:r/>
    </w:p>
    <w:p>
      <w:pPr>
        <w:pStyle w:val="860"/>
        <w:numPr>
          <w:ilvl w:val="0"/>
          <w:numId w:val="0"/>
        </w:numPr>
        <w:ind w:left="640"/>
        <w:jc w:val="both"/>
        <w:widowControl w:val="off"/>
        <w:rPr>
          <w:rFonts w:hint="eastAsia" w:ascii="宋体" w:hAnsi="宋体" w:eastAsia="宋体" w:cs="宋体"/>
          <w:color w:val="auto"/>
          <w:sz w:val="32"/>
          <w:szCs w:val="32"/>
          <w:highlight w:val="none"/>
          <w:lang w:eastAsia="en-US"/>
        </w:rPr>
      </w:pPr>
      <w:r>
        <w:rPr>
          <w:rFonts w:hint="eastAsia" w:ascii="宋体" w:hAnsi="宋体" w:eastAsia="宋体" w:cs="宋体"/>
          <w:color w:val="auto"/>
          <w:sz w:val="32"/>
          <w:szCs w:val="32"/>
          <w:highlight w:val="none"/>
          <w:lang w:eastAsia="en-US"/>
        </w:rPr>
      </w:r>
      <w:r/>
    </w:p>
    <w:p>
      <w:pPr>
        <w:pStyle w:val="860"/>
        <w:numPr>
          <w:ilvl w:val="0"/>
          <w:numId w:val="0"/>
        </w:numPr>
        <w:jc w:val="both"/>
        <w:widowControl w:val="off"/>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r>
      <w:r/>
    </w:p>
    <w:p>
      <w:pPr>
        <w:pStyle w:val="860"/>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60"/>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60"/>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60"/>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60"/>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60"/>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60"/>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60"/>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60"/>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60"/>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60"/>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60"/>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60"/>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60"/>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60"/>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60"/>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60"/>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60"/>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60"/>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60"/>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60"/>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60"/>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60"/>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60"/>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60"/>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60"/>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60"/>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60"/>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60"/>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60"/>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60"/>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60"/>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60"/>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60"/>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60"/>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60"/>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60"/>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60"/>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60"/>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60"/>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60"/>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60"/>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60"/>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jc w:val="both"/>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both"/>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widowControl/>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t xml:space="preserve">六、商务部分（与评分标准对应）</w:t>
      </w:r>
      <w:r/>
    </w:p>
    <w:p>
      <w:pPr>
        <w:ind w:firstLine="560"/>
        <w:jc w:val="left"/>
        <w:keepLines w:val="0"/>
        <w:keepNext w:val="0"/>
        <w:pageBreakBefore w:val="0"/>
        <w:spacing w:line="240" w:lineRule="auto"/>
        <w:widowControl/>
        <w:rPr>
          <w:rFonts w:hint="eastAsia" w:ascii="新宋体" w:hAnsi="新宋体" w:eastAsia="新宋体" w:cs="新宋体"/>
          <w:b w:val="0"/>
          <w:bCs/>
          <w:color w:val="auto"/>
          <w:sz w:val="28"/>
          <w:szCs w:val="28"/>
          <w:highlight w:val="none"/>
        </w:rPr>
      </w:pPr>
      <w:r>
        <w:rPr>
          <w:rFonts w:hint="eastAsia" w:ascii="新宋体" w:hAnsi="新宋体" w:eastAsia="新宋体" w:cs="新宋体"/>
          <w:b w:val="0"/>
          <w:bCs/>
          <w:color w:val="auto"/>
          <w:sz w:val="28"/>
          <w:szCs w:val="28"/>
          <w:highlight w:val="none"/>
        </w:rPr>
      </w:r>
      <w:r/>
    </w:p>
    <w:p>
      <w:pPr>
        <w:pStyle w:val="843"/>
        <w:jc w:val="both"/>
        <w:rPr>
          <w:rFonts w:hint="eastAsia"/>
          <w:color w:val="auto"/>
          <w:highlight w:val="none"/>
        </w:rPr>
      </w:pPr>
      <w:r>
        <w:rPr>
          <w:rFonts w:hint="eastAsia"/>
          <w:color w:val="auto"/>
          <w:highlight w:val="none"/>
        </w:rPr>
      </w:r>
      <w:r/>
    </w:p>
    <w:p>
      <w:pPr>
        <w:pStyle w:val="860"/>
        <w:numPr>
          <w:ilvl w:val="0"/>
          <w:numId w:val="0"/>
        </w:numPr>
        <w:ind w:left="0" w:firstLine="640"/>
        <w:jc w:val="both"/>
        <w:widowControl w:val="off"/>
        <w:rPr>
          <w:rFonts w:hint="eastAsia" w:ascii="宋体" w:hAnsi="宋体" w:eastAsia="宋体" w:cs="宋体"/>
          <w:color w:val="auto"/>
          <w:sz w:val="32"/>
          <w:szCs w:val="32"/>
          <w:highlight w:val="none"/>
          <w:lang w:val="zh-CN" w:eastAsia="en-US" w:bidi="ar-SA"/>
        </w:rPr>
      </w:pPr>
      <w:r>
        <w:rPr>
          <w:rFonts w:hint="eastAsia" w:ascii="宋体" w:hAnsi="宋体" w:eastAsia="宋体" w:cs="宋体"/>
          <w:color w:val="auto"/>
          <w:sz w:val="32"/>
          <w:szCs w:val="32"/>
          <w:highlight w:val="none"/>
          <w:lang w:val="zh-CN" w:eastAsia="en-US" w:bidi="ar-SA"/>
        </w:rPr>
      </w:r>
      <w:r/>
    </w:p>
    <w:p>
      <w:pPr>
        <w:pStyle w:val="845"/>
        <w:ind w:firstLine="3020"/>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845"/>
        <w:ind w:firstLine="0"/>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七、其他部分</w:t>
      </w:r>
      <w:r/>
    </w:p>
    <w:p>
      <w:pPr>
        <w:jc w:val="center"/>
        <w:spacing w:line="360" w:lineRule="auto"/>
        <w:widowControl/>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t xml:space="preserve">（</w:t>
      </w:r>
      <w:r>
        <w:rPr>
          <w:rFonts w:hint="eastAsia" w:ascii="楷体" w:hAnsi="楷体" w:eastAsia="楷体"/>
          <w:b/>
          <w:color w:val="auto"/>
          <w:sz w:val="32"/>
          <w:szCs w:val="32"/>
          <w:highlight w:val="none"/>
          <w:lang w:eastAsia="zh-CN"/>
        </w:rPr>
        <w:t xml:space="preserve">一</w:t>
      </w:r>
      <w:r>
        <w:rPr>
          <w:rFonts w:hint="eastAsia" w:ascii="楷体" w:hAnsi="楷体" w:eastAsia="楷体"/>
          <w:b/>
          <w:color w:val="auto"/>
          <w:sz w:val="32"/>
          <w:szCs w:val="32"/>
          <w:highlight w:val="none"/>
        </w:rPr>
        <w:t xml:space="preserve">）按招标文件要求投标人所能提供的</w:t>
      </w:r>
      <w:r>
        <w:rPr>
          <w:rFonts w:ascii="楷体" w:hAnsi="楷体" w:eastAsia="楷体"/>
          <w:b/>
          <w:color w:val="auto"/>
          <w:sz w:val="32"/>
          <w:szCs w:val="32"/>
          <w:highlight w:val="none"/>
        </w:rPr>
        <w:t xml:space="preserve">其他文件</w:t>
      </w:r>
      <w:r/>
    </w:p>
    <w:p>
      <w:pPr>
        <w:pStyle w:val="845"/>
        <w:ind w:left="0" w:firstLine="0"/>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color w:val="auto"/>
          <w:highlight w:val="none"/>
        </w:rPr>
      </w:pPr>
      <w:r>
        <w:rPr>
          <w:color w:val="auto"/>
          <w:highlight w:val="none"/>
        </w:rPr>
      </w:r>
      <w:r/>
    </w:p>
    <w:sectPr>
      <w:footerReference w:type="first" r:id="rId16"/>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楷体">
    <w:panose1 w:val="02010609060101010101"/>
  </w:font>
  <w:font w:name="Symbol">
    <w:panose1 w:val="05050102010706020507"/>
  </w:font>
  <w:font w:name="Wingdings">
    <w:panose1 w:val="05000000000000000000"/>
  </w:font>
  <w:font w:name="Courier New">
    <w:panose1 w:val="02070309020205020404"/>
  </w:font>
  <w:font w:name="等线">
    <w:panose1 w:val="02010600030101010101"/>
  </w:font>
  <w:font w:name="方正行楷简体">
    <w:panose1 w:val="020B0503020202020204"/>
  </w:font>
  <w:font w:name="Calibri">
    <w:panose1 w:val="020F0502020204030204"/>
  </w:font>
  <w:font w:name="楷体_GB2312">
    <w:panose1 w:val="02010609060101010101"/>
  </w:font>
  <w:font w:name="幼圆">
    <w:panose1 w:val="02010509060101010101"/>
  </w:font>
  <w:font w:name="宋体">
    <w:panose1 w:val="02010600030101010101"/>
  </w:font>
  <w:font w:name="Wingdings 2">
    <w:panose1 w:val="05020102010507070707"/>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1"/>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1"/>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1"/>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1"/>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1"/>
                          </w:pPr>
                          <w:r>
                            <w:fldChar w:fldCharType="begin"/>
                          </w:r>
                          <w:r>
                            <w:instrText xml:space="preserve"> PAGE  \* MERGEFORMAT </w:instrText>
                          </w:r>
                          <w:r>
                            <w:fldChar w:fldCharType="separate"/>
                          </w:r>
                          <w:r>
                            <w:t xml:space="preserve">181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1"/>
                    </w:pPr>
                    <w:r>
                      <w:fldChar w:fldCharType="begin"/>
                    </w:r>
                    <w:r>
                      <w:instrText xml:space="preserve"> PAGE  \* MERGEFORMAT </w:instrText>
                    </w:r>
                    <w:r>
                      <w:fldChar w:fldCharType="separate"/>
                    </w:r>
                    <w:r>
                      <w:t xml:space="preserve">181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1"/>
                          </w:pPr>
                          <w:r>
                            <w:fldChar w:fldCharType="begin"/>
                          </w:r>
                          <w:r>
                            <w:instrText xml:space="preserve"> PAGE  \* MERGEFORMAT </w:instrText>
                          </w:r>
                          <w:r>
                            <w:fldChar w:fldCharType="separate"/>
                          </w:r>
                          <w:r>
                            <w:t xml:space="preserve">180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1"/>
                    </w:pPr>
                    <w:r>
                      <w:fldChar w:fldCharType="begin"/>
                    </w:r>
                    <w:r>
                      <w:instrText xml:space="preserve"> PAGE  \* MERGEFORMAT </w:instrText>
                    </w:r>
                    <w:r>
                      <w:fldChar w:fldCharType="separate"/>
                    </w:r>
                    <w:r>
                      <w:t xml:space="preserve">180</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pPr>
    <w:r>
      <w:fldChar w:fldCharType="begin"/>
    </w:r>
    <w:r>
      <w:rPr>
        <w:rStyle w:val="864"/>
      </w:rPr>
      <w:instrText xml:space="preserve"> PAGE </w:instrText>
    </w:r>
    <w:r>
      <w:fldChar w:fldCharType="separate"/>
    </w:r>
    <w:r>
      <w:rPr>
        <w:rStyle w:val="864"/>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align>right</wp:align>
              </wp:positionH>
              <wp:positionV relativeFrom="page">
                <wp:align>top</wp:align>
              </wp:positionV>
              <wp:extent cx="443865" cy="44386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443865" cy="443865"/>
                      </a:xfrm>
                      <a:prstGeom prst="rect">
                        <a:avLst/>
                      </a:prstGeom>
                      <a:noFill/>
                      <a:ln>
                        <a:noFill/>
                      </a:ln>
                    </wps:spPr>
                    <wps:txbx>
                      <w:txbxContent>
                        <w:p>
                          <w:pPr>
                            <w:rPr>
                              <w:rFonts w:ascii="Arial" w:hAnsi="Arial" w:eastAsia="Arial" w:cs="Arial"/>
                              <w:color w:val="000000"/>
                              <w:sz w:val="16"/>
                              <w:szCs w:val="16"/>
                            </w:rPr>
                          </w:pPr>
                          <w:r>
                            <w:rPr>
                              <w:rFonts w:ascii="Arial" w:hAnsi="Arial" w:eastAsia="Arial" w:cs="Arial"/>
                              <w:color w:val="000000"/>
                              <w:sz w:val="16"/>
                              <w:szCs w:val="16"/>
                            </w:rPr>
                            <w:t xml:space="preserve">KONE Internal</w:t>
                          </w:r>
                          <w:r/>
                        </w:p>
                        <w:p>
                          <w:r/>
                          <w:r/>
                        </w:p>
                      </w:txbxContent>
                    </wps:txbx>
                    <wps:bodyPr wrap="none" lIns="0" tIns="190500" rIns="254000" bIns="0" upright="1">
                      <a:spAutoFit/>
                    </wps:bodyPr>
                  </wps:wsp>
                </a:graphicData>
              </a:graphic>
            </wp:anchor>
          </w:drawing>
        </mc:Choice>
        <mc:Fallback>
          <w:pict>
            <v:shape id="shape 0" o:spid="_x0000_s0" o:spt="202" type="#_x0000_t202" style="position:absolute;z-index:251659264;o:allowoverlap:true;o:allowincell:true;mso-position-horizontal-relative:page;mso-position-horizontal:right;mso-position-vertical-relative:page;mso-position-vertical:top;width:34.9pt;height:34.9pt;mso-wrap-distance-left:9.0pt;mso-wrap-distance-top:0.0pt;mso-wrap-distance-right:9.0pt;mso-wrap-distance-bottom:0.0pt;visibility:visible;" filled="f" stroked="f">
              <v:textbox inset="0,0,0,0">
                <w:txbxContent>
                  <w:p>
                    <w:pPr>
                      <w:rPr>
                        <w:rFonts w:ascii="Arial" w:hAnsi="Arial" w:eastAsia="Arial" w:cs="Arial"/>
                        <w:color w:val="000000"/>
                        <w:sz w:val="16"/>
                        <w:szCs w:val="16"/>
                      </w:rPr>
                    </w:pPr>
                    <w:r>
                      <w:rPr>
                        <w:rFonts w:ascii="Arial" w:hAnsi="Arial" w:eastAsia="Arial" w:cs="Arial"/>
                        <w:color w:val="000000"/>
                        <w:sz w:val="16"/>
                        <w:szCs w:val="16"/>
                      </w:rPr>
                      <w:t xml:space="preserve">KONE Internal</w:t>
                    </w:r>
                    <w:r/>
                  </w:p>
                  <w:p>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37"/>
    <w:next w:val="83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838"/>
    <w:link w:val="12"/>
    <w:uiPriority w:val="9"/>
    <w:rPr>
      <w:rFonts w:ascii="Arial" w:hAnsi="Arial" w:eastAsia="Arial" w:cs="Arial"/>
      <w:sz w:val="40"/>
      <w:szCs w:val="40"/>
    </w:rPr>
  </w:style>
  <w:style w:type="paragraph" w:styleId="14">
    <w:name w:val="Heading 2"/>
    <w:basedOn w:val="837"/>
    <w:next w:val="83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838"/>
    <w:link w:val="14"/>
    <w:uiPriority w:val="9"/>
    <w:rPr>
      <w:rFonts w:ascii="Arial" w:hAnsi="Arial" w:eastAsia="Arial" w:cs="Arial"/>
      <w:sz w:val="34"/>
    </w:rPr>
  </w:style>
  <w:style w:type="paragraph" w:styleId="16">
    <w:name w:val="Heading 3"/>
    <w:basedOn w:val="837"/>
    <w:next w:val="83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838"/>
    <w:link w:val="16"/>
    <w:uiPriority w:val="9"/>
    <w:rPr>
      <w:rFonts w:ascii="Arial" w:hAnsi="Arial" w:eastAsia="Arial" w:cs="Arial"/>
      <w:sz w:val="30"/>
      <w:szCs w:val="30"/>
    </w:rPr>
  </w:style>
  <w:style w:type="paragraph" w:styleId="18">
    <w:name w:val="Heading 4"/>
    <w:basedOn w:val="837"/>
    <w:next w:val="83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838"/>
    <w:link w:val="18"/>
    <w:uiPriority w:val="9"/>
    <w:rPr>
      <w:rFonts w:ascii="Arial" w:hAnsi="Arial" w:eastAsia="Arial" w:cs="Arial"/>
      <w:b/>
      <w:bCs/>
      <w:sz w:val="26"/>
      <w:szCs w:val="26"/>
    </w:rPr>
  </w:style>
  <w:style w:type="paragraph" w:styleId="20">
    <w:name w:val="Heading 5"/>
    <w:basedOn w:val="837"/>
    <w:next w:val="83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38"/>
    <w:link w:val="20"/>
    <w:uiPriority w:val="9"/>
    <w:rPr>
      <w:rFonts w:ascii="Arial" w:hAnsi="Arial" w:eastAsia="Arial" w:cs="Arial"/>
      <w:b/>
      <w:bCs/>
      <w:sz w:val="24"/>
      <w:szCs w:val="24"/>
    </w:rPr>
  </w:style>
  <w:style w:type="paragraph" w:styleId="22">
    <w:name w:val="Heading 6"/>
    <w:basedOn w:val="837"/>
    <w:next w:val="83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38"/>
    <w:link w:val="22"/>
    <w:uiPriority w:val="9"/>
    <w:rPr>
      <w:rFonts w:ascii="Arial" w:hAnsi="Arial" w:eastAsia="Arial" w:cs="Arial"/>
      <w:b/>
      <w:bCs/>
      <w:sz w:val="22"/>
      <w:szCs w:val="22"/>
    </w:rPr>
  </w:style>
  <w:style w:type="paragraph" w:styleId="24">
    <w:name w:val="Heading 7"/>
    <w:basedOn w:val="837"/>
    <w:next w:val="83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38"/>
    <w:link w:val="24"/>
    <w:uiPriority w:val="9"/>
    <w:rPr>
      <w:rFonts w:ascii="Arial" w:hAnsi="Arial" w:eastAsia="Arial" w:cs="Arial"/>
      <w:b/>
      <w:bCs/>
      <w:i/>
      <w:iCs/>
      <w:sz w:val="22"/>
      <w:szCs w:val="22"/>
    </w:rPr>
  </w:style>
  <w:style w:type="paragraph" w:styleId="26">
    <w:name w:val="Heading 8"/>
    <w:basedOn w:val="837"/>
    <w:next w:val="83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38"/>
    <w:link w:val="26"/>
    <w:uiPriority w:val="9"/>
    <w:rPr>
      <w:rFonts w:ascii="Arial" w:hAnsi="Arial" w:eastAsia="Arial" w:cs="Arial"/>
      <w:i/>
      <w:iCs/>
      <w:sz w:val="22"/>
      <w:szCs w:val="22"/>
    </w:rPr>
  </w:style>
  <w:style w:type="paragraph" w:styleId="28">
    <w:name w:val="Heading 9"/>
    <w:basedOn w:val="837"/>
    <w:next w:val="83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38"/>
    <w:link w:val="28"/>
    <w:uiPriority w:val="9"/>
    <w:rPr>
      <w:rFonts w:ascii="Arial" w:hAnsi="Arial" w:eastAsia="Arial" w:cs="Arial"/>
      <w:i/>
      <w:iCs/>
      <w:sz w:val="21"/>
      <w:szCs w:val="21"/>
    </w:rPr>
  </w:style>
  <w:style w:type="paragraph" w:styleId="30">
    <w:name w:val="List Paragraph"/>
    <w:basedOn w:val="83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37"/>
    <w:next w:val="837"/>
    <w:link w:val="34"/>
    <w:uiPriority w:val="10"/>
    <w:qFormat/>
    <w:pPr>
      <w:contextualSpacing/>
      <w:spacing w:before="300" w:after="200"/>
    </w:pPr>
    <w:rPr>
      <w:sz w:val="48"/>
      <w:szCs w:val="48"/>
    </w:rPr>
  </w:style>
  <w:style w:type="character" w:styleId="34">
    <w:name w:val="Title Char"/>
    <w:basedOn w:val="838"/>
    <w:link w:val="33"/>
    <w:uiPriority w:val="10"/>
    <w:rPr>
      <w:sz w:val="48"/>
      <w:szCs w:val="48"/>
    </w:rPr>
  </w:style>
  <w:style w:type="paragraph" w:styleId="35">
    <w:name w:val="Subtitle"/>
    <w:basedOn w:val="837"/>
    <w:next w:val="837"/>
    <w:link w:val="36"/>
    <w:uiPriority w:val="11"/>
    <w:qFormat/>
    <w:pPr>
      <w:spacing w:before="200" w:after="200"/>
    </w:pPr>
    <w:rPr>
      <w:sz w:val="24"/>
      <w:szCs w:val="24"/>
    </w:rPr>
  </w:style>
  <w:style w:type="character" w:styleId="36">
    <w:name w:val="Subtitle Char"/>
    <w:basedOn w:val="838"/>
    <w:link w:val="35"/>
    <w:uiPriority w:val="11"/>
    <w:rPr>
      <w:sz w:val="24"/>
      <w:szCs w:val="24"/>
    </w:rPr>
  </w:style>
  <w:style w:type="paragraph" w:styleId="37">
    <w:name w:val="Quote"/>
    <w:basedOn w:val="837"/>
    <w:next w:val="837"/>
    <w:link w:val="38"/>
    <w:uiPriority w:val="29"/>
    <w:qFormat/>
    <w:pPr>
      <w:ind w:left="720" w:right="720"/>
    </w:pPr>
    <w:rPr>
      <w:i/>
    </w:rPr>
  </w:style>
  <w:style w:type="character" w:styleId="38">
    <w:name w:val="Quote Char"/>
    <w:link w:val="37"/>
    <w:uiPriority w:val="29"/>
    <w:rPr>
      <w:i/>
    </w:rPr>
  </w:style>
  <w:style w:type="paragraph" w:styleId="39">
    <w:name w:val="Intense Quote"/>
    <w:basedOn w:val="837"/>
    <w:next w:val="83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38"/>
    <w:link w:val="842"/>
    <w:uiPriority w:val="99"/>
  </w:style>
  <w:style w:type="character" w:styleId="44">
    <w:name w:val="Footer Char"/>
    <w:basedOn w:val="838"/>
    <w:link w:val="841"/>
    <w:uiPriority w:val="99"/>
  </w:style>
  <w:style w:type="paragraph" w:styleId="45">
    <w:name w:val="Caption"/>
    <w:basedOn w:val="837"/>
    <w:next w:val="837"/>
    <w:uiPriority w:val="35"/>
    <w:semiHidden/>
    <w:unhideWhenUsed/>
    <w:qFormat/>
    <w:pPr>
      <w:spacing w:line="276" w:lineRule="auto"/>
    </w:pPr>
    <w:rPr>
      <w:b/>
      <w:bCs/>
      <w:color w:val="4f81bd" w:themeColor="accent1"/>
      <w:sz w:val="18"/>
      <w:szCs w:val="18"/>
    </w:rPr>
  </w:style>
  <w:style w:type="character" w:styleId="46">
    <w:name w:val="Caption Char"/>
    <w:basedOn w:val="45"/>
    <w:link w:val="841"/>
    <w:uiPriority w:val="99"/>
  </w:style>
  <w:style w:type="table" w:styleId="47">
    <w:name w:val="Table Grid"/>
    <w:basedOn w:val="83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8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8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8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8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83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8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83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83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83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83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83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83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83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8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83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83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83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83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83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8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83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83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83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83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83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83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83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83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83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83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83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83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3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38"/>
    <w:uiPriority w:val="99"/>
    <w:unhideWhenUsed/>
    <w:rPr>
      <w:vertAlign w:val="superscript"/>
    </w:rPr>
  </w:style>
  <w:style w:type="paragraph" w:styleId="177">
    <w:name w:val="endnote text"/>
    <w:basedOn w:val="83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38"/>
    <w:uiPriority w:val="99"/>
    <w:semiHidden/>
    <w:unhideWhenUsed/>
    <w:rPr>
      <w:vertAlign w:val="superscript"/>
    </w:rPr>
  </w:style>
  <w:style w:type="paragraph" w:styleId="180">
    <w:name w:val="toc 1"/>
    <w:basedOn w:val="837"/>
    <w:next w:val="837"/>
    <w:uiPriority w:val="39"/>
    <w:unhideWhenUsed/>
    <w:pPr>
      <w:ind w:left="0" w:right="0" w:firstLine="0"/>
      <w:spacing w:after="57"/>
    </w:pPr>
  </w:style>
  <w:style w:type="paragraph" w:styleId="181">
    <w:name w:val="toc 2"/>
    <w:basedOn w:val="837"/>
    <w:next w:val="837"/>
    <w:uiPriority w:val="39"/>
    <w:unhideWhenUsed/>
    <w:pPr>
      <w:ind w:left="283" w:right="0" w:firstLine="0"/>
      <w:spacing w:after="57"/>
    </w:pPr>
  </w:style>
  <w:style w:type="paragraph" w:styleId="182">
    <w:name w:val="toc 3"/>
    <w:basedOn w:val="837"/>
    <w:next w:val="837"/>
    <w:uiPriority w:val="39"/>
    <w:unhideWhenUsed/>
    <w:pPr>
      <w:ind w:left="567" w:right="0" w:firstLine="0"/>
      <w:spacing w:after="57"/>
    </w:pPr>
  </w:style>
  <w:style w:type="paragraph" w:styleId="183">
    <w:name w:val="toc 4"/>
    <w:basedOn w:val="837"/>
    <w:next w:val="837"/>
    <w:uiPriority w:val="39"/>
    <w:unhideWhenUsed/>
    <w:pPr>
      <w:ind w:left="850" w:right="0" w:firstLine="0"/>
      <w:spacing w:after="57"/>
    </w:pPr>
  </w:style>
  <w:style w:type="paragraph" w:styleId="184">
    <w:name w:val="toc 5"/>
    <w:basedOn w:val="837"/>
    <w:next w:val="837"/>
    <w:uiPriority w:val="39"/>
    <w:unhideWhenUsed/>
    <w:pPr>
      <w:ind w:left="1134" w:right="0" w:firstLine="0"/>
      <w:spacing w:after="57"/>
    </w:pPr>
  </w:style>
  <w:style w:type="paragraph" w:styleId="185">
    <w:name w:val="toc 6"/>
    <w:basedOn w:val="837"/>
    <w:next w:val="837"/>
    <w:uiPriority w:val="39"/>
    <w:unhideWhenUsed/>
    <w:pPr>
      <w:ind w:left="1417" w:right="0" w:firstLine="0"/>
      <w:spacing w:after="57"/>
    </w:pPr>
  </w:style>
  <w:style w:type="paragraph" w:styleId="186">
    <w:name w:val="toc 7"/>
    <w:basedOn w:val="837"/>
    <w:next w:val="837"/>
    <w:uiPriority w:val="39"/>
    <w:unhideWhenUsed/>
    <w:pPr>
      <w:ind w:left="1701" w:right="0" w:firstLine="0"/>
      <w:spacing w:after="57"/>
    </w:pPr>
  </w:style>
  <w:style w:type="paragraph" w:styleId="187">
    <w:name w:val="toc 8"/>
    <w:basedOn w:val="837"/>
    <w:next w:val="837"/>
    <w:uiPriority w:val="39"/>
    <w:unhideWhenUsed/>
    <w:pPr>
      <w:ind w:left="1984" w:right="0" w:firstLine="0"/>
      <w:spacing w:after="57"/>
    </w:pPr>
  </w:style>
  <w:style w:type="paragraph" w:styleId="188">
    <w:name w:val="toc 9"/>
    <w:basedOn w:val="837"/>
    <w:next w:val="837"/>
    <w:uiPriority w:val="39"/>
    <w:unhideWhenUsed/>
    <w:pPr>
      <w:ind w:left="2268" w:right="0" w:firstLine="0"/>
      <w:spacing w:after="57"/>
    </w:pPr>
  </w:style>
  <w:style w:type="paragraph" w:styleId="189">
    <w:name w:val="TOC Heading"/>
    <w:uiPriority w:val="39"/>
    <w:unhideWhenUsed/>
  </w:style>
  <w:style w:type="paragraph" w:styleId="190">
    <w:name w:val="table of figures"/>
    <w:basedOn w:val="837"/>
    <w:next w:val="837"/>
    <w:uiPriority w:val="99"/>
    <w:unhideWhenUsed/>
    <w:pPr>
      <w:spacing w:after="0" w:afterAutospacing="0"/>
    </w:pPr>
  </w:style>
  <w:style w:type="paragraph" w:styleId="837" w:default="1">
    <w:name w:val="Normal"/>
    <w:next w:val="840"/>
    <w:link w:val="865"/>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838" w:default="1">
    <w:name w:val="Default Paragraph Font"/>
    <w:uiPriority w:val="0"/>
    <w:semiHidden/>
    <w:qFormat/>
  </w:style>
  <w:style w:type="table" w:styleId="839" w:default="1">
    <w:name w:val="Normal Table"/>
    <w:uiPriority w:val="0"/>
    <w:semiHidden/>
    <w:qFormat/>
    <w:tblPr>
      <w:tblCellMar>
        <w:left w:w="108" w:type="dxa"/>
        <w:top w:w="0" w:type="dxa"/>
        <w:right w:w="108" w:type="dxa"/>
        <w:bottom w:w="0" w:type="dxa"/>
      </w:tblCellMar>
    </w:tblPr>
  </w:style>
  <w:style w:type="paragraph" w:styleId="840" w:customStyle="1">
    <w:name w:val="正文文本111"/>
    <w:basedOn w:val="837"/>
    <w:next w:val="837"/>
    <w:uiPriority w:val="0"/>
    <w:qFormat/>
    <w:pPr>
      <w:spacing w:after="120"/>
    </w:pPr>
  </w:style>
  <w:style w:type="paragraph" w:styleId="841">
    <w:name w:val="Footer"/>
    <w:basedOn w:val="837"/>
    <w:uiPriority w:val="0"/>
    <w:qFormat/>
    <w:pPr>
      <w:jc w:val="left"/>
      <w:tabs>
        <w:tab w:val="center" w:pos="4153" w:leader="none"/>
        <w:tab w:val="right" w:pos="8306" w:leader="none"/>
      </w:tabs>
    </w:pPr>
    <w:rPr>
      <w:sz w:val="18"/>
    </w:rPr>
  </w:style>
  <w:style w:type="paragraph" w:styleId="842">
    <w:name w:val="Header"/>
    <w:basedOn w:val="837"/>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43" w:customStyle="1">
    <w:name w:val="标题 21"/>
    <w:basedOn w:val="837"/>
    <w:next w:val="837"/>
    <w:uiPriority w:val="0"/>
    <w:qFormat/>
    <w:pPr>
      <w:jc w:val="center"/>
      <w:keepLines/>
      <w:keepNext/>
      <w:spacing w:before="260" w:after="260" w:line="416" w:lineRule="auto"/>
      <w:outlineLvl w:val="1"/>
    </w:pPr>
    <w:rPr>
      <w:rFonts w:ascii="幼圆" w:hAnsi="Arial" w:eastAsia="楷体_GB2312"/>
      <w:b/>
      <w:sz w:val="44"/>
      <w:szCs w:val="20"/>
    </w:rPr>
  </w:style>
  <w:style w:type="paragraph" w:styleId="844" w:customStyle="1">
    <w:name w:val="标题 311"/>
    <w:basedOn w:val="837"/>
    <w:next w:val="845"/>
    <w:uiPriority w:val="0"/>
    <w:qFormat/>
    <w:pPr>
      <w:keepLines/>
      <w:keepNext/>
      <w:spacing w:before="260" w:after="260" w:line="416" w:lineRule="auto"/>
      <w:outlineLvl w:val="2"/>
    </w:pPr>
    <w:rPr>
      <w:b/>
      <w:sz w:val="32"/>
      <w:szCs w:val="20"/>
      <w:lang w:val="en-US" w:eastAsia="en-US"/>
    </w:rPr>
  </w:style>
  <w:style w:type="paragraph" w:styleId="845" w:customStyle="1">
    <w:name w:val="正文缩进11"/>
    <w:basedOn w:val="837"/>
    <w:uiPriority w:val="0"/>
    <w:unhideWhenUsed/>
    <w:qFormat/>
    <w:pPr>
      <w:ind w:firstLine="420"/>
    </w:pPr>
    <w:rPr>
      <w:sz w:val="20"/>
      <w:lang w:val="en-US" w:eastAsia="en-US"/>
    </w:rPr>
  </w:style>
  <w:style w:type="paragraph" w:styleId="846" w:customStyle="1">
    <w:name w:val="列出段落3"/>
    <w:basedOn w:val="837"/>
    <w:uiPriority w:val="99"/>
    <w:qFormat/>
    <w:pPr>
      <w:ind w:firstLine="420"/>
    </w:pPr>
    <w:rPr>
      <w:rFonts w:ascii="Calibri" w:hAnsi="Calibri"/>
      <w:szCs w:val="22"/>
    </w:rPr>
  </w:style>
  <w:style w:type="character" w:styleId="847" w:customStyle="1">
    <w:name w:val="超链接11"/>
    <w:basedOn w:val="848"/>
    <w:link w:val="837"/>
    <w:uiPriority w:val="99"/>
    <w:unhideWhenUsed/>
    <w:qFormat/>
    <w:rPr>
      <w:rFonts w:hint="default" w:ascii="Times New Roman" w:hAnsi="Times New Roman" w:eastAsia="宋体" w:cs="Times New Roman"/>
      <w:sz w:val="21"/>
      <w:szCs w:val="24"/>
      <w:lang w:val="en-US" w:eastAsia="zh-CN" w:bidi="ar-SA"/>
    </w:rPr>
  </w:style>
  <w:style w:type="character" w:styleId="848" w:customStyle="1">
    <w:name w:val="默认段落字体12"/>
    <w:link w:val="837"/>
    <w:uiPriority w:val="1"/>
    <w:unhideWhenUsed/>
    <w:qFormat/>
  </w:style>
  <w:style w:type="paragraph" w:styleId="849" w:customStyle="1">
    <w:name w:val="正文缩进12"/>
    <w:basedOn w:val="837"/>
    <w:uiPriority w:val="0"/>
    <w:unhideWhenUsed/>
    <w:qFormat/>
    <w:pPr>
      <w:ind w:firstLine="420"/>
    </w:pPr>
  </w:style>
  <w:style w:type="paragraph" w:styleId="850" w:customStyle="1">
    <w:name w:val="列出段落12"/>
    <w:basedOn w:val="837"/>
    <w:uiPriority w:val="0"/>
    <w:qFormat/>
    <w:pPr>
      <w:ind w:firstLine="420"/>
    </w:pPr>
  </w:style>
  <w:style w:type="paragraph" w:styleId="851" w:customStyle="1">
    <w:name w:val="Normal_0"/>
    <w:uiPriority w:val="0"/>
    <w:qFormat/>
    <w:rPr>
      <w:rFonts w:hint="default" w:ascii="Times New Roman" w:hAnsi="Times New Roman" w:eastAsia="Times New Roman" w:cs="Times New Roman"/>
      <w:sz w:val="24"/>
      <w:szCs w:val="24"/>
      <w:lang w:bidi="ar-SA"/>
    </w:rPr>
  </w:style>
  <w:style w:type="character" w:styleId="852" w:customStyle="1">
    <w:name w:val="titlebody"/>
    <w:link w:val="837"/>
    <w:uiPriority w:val="0"/>
    <w:qFormat/>
    <w:rPr>
      <w:rFonts w:ascii="宋体" w:hAnsi="宋体" w:eastAsia="宋体" w:cs="宋体"/>
      <w:b/>
      <w:bCs/>
      <w:color w:val="000000"/>
      <w:sz w:val="24"/>
      <w:szCs w:val="24"/>
    </w:rPr>
  </w:style>
  <w:style w:type="paragraph" w:styleId="853" w:customStyle="1">
    <w:name w:val="正文文本缩进 311"/>
    <w:basedOn w:val="837"/>
    <w:uiPriority w:val="0"/>
    <w:qFormat/>
    <w:pPr>
      <w:ind w:left="520" w:firstLine="425"/>
      <w:jc w:val="center"/>
    </w:pPr>
    <w:rPr>
      <w:rFonts w:ascii="方正行楷简体" w:hAnsi="Arial" w:eastAsia="方正行楷简体" w:cs="Arial"/>
      <w:sz w:val="36"/>
      <w:szCs w:val="22"/>
    </w:rPr>
  </w:style>
  <w:style w:type="paragraph" w:styleId="854" w:customStyle="1">
    <w:name w:val="正文文本缩进11"/>
    <w:basedOn w:val="837"/>
    <w:uiPriority w:val="0"/>
    <w:qFormat/>
    <w:pPr>
      <w:ind w:firstLine="645"/>
    </w:pPr>
    <w:rPr>
      <w:rFonts w:ascii="楷体_GB2312" w:hAnsi="等线" w:eastAsia="楷体_GB2312" w:cs="Arial"/>
      <w:sz w:val="32"/>
      <w:szCs w:val="22"/>
    </w:rPr>
  </w:style>
  <w:style w:type="paragraph" w:styleId="855" w:customStyle="1">
    <w:name w:val="正文_1"/>
    <w:uiPriority w:val="0"/>
    <w:qFormat/>
    <w:pPr>
      <w:jc w:val="both"/>
      <w:widowControl w:val="off"/>
    </w:pPr>
    <w:rPr>
      <w:rFonts w:hint="default" w:ascii="Times New Roman" w:hAnsi="Times New Roman" w:eastAsia="宋体" w:cs="Times New Roman"/>
      <w:sz w:val="21"/>
      <w:szCs w:val="22"/>
    </w:rPr>
  </w:style>
  <w:style w:type="paragraph" w:styleId="856" w:customStyle="1">
    <w:name w:val="普通(网站)12"/>
    <w:basedOn w:val="837"/>
    <w:uiPriority w:val="0"/>
    <w:qFormat/>
    <w:pPr>
      <w:jc w:val="left"/>
      <w:spacing w:before="100" w:beforeAutospacing="1" w:after="100" w:afterAutospacing="1"/>
      <w:widowControl/>
    </w:pPr>
    <w:rPr>
      <w:rFonts w:ascii="宋体" w:hAnsi="宋体" w:eastAsia="宋体" w:cs="宋体"/>
      <w:color w:val="000000"/>
      <w:sz w:val="24"/>
    </w:rPr>
  </w:style>
  <w:style w:type="paragraph" w:styleId="857" w:customStyle="1">
    <w:name w:val="正文文本11"/>
    <w:basedOn w:val="837"/>
    <w:uiPriority w:val="0"/>
    <w:qFormat/>
    <w:rPr>
      <w:rFonts w:ascii="楷体_GB2312" w:hAnsi="Arial" w:eastAsia="楷体_GB2312" w:cs="Arial"/>
      <w:sz w:val="28"/>
      <w:szCs w:val="22"/>
    </w:rPr>
  </w:style>
  <w:style w:type="paragraph" w:styleId="858" w:customStyle="1">
    <w:name w:val="正文文本缩进12"/>
    <w:basedOn w:val="837"/>
    <w:uiPriority w:val="0"/>
    <w:qFormat/>
    <w:pPr>
      <w:ind w:firstLine="645"/>
    </w:pPr>
    <w:rPr>
      <w:rFonts w:ascii="楷体_GB2312" w:hAnsi="Arial" w:eastAsia="楷体_GB2312" w:cs="Times New Roman"/>
      <w:sz w:val="32"/>
      <w:szCs w:val="22"/>
    </w:rPr>
  </w:style>
  <w:style w:type="paragraph" w:styleId="859"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0" w:customStyle="1">
    <w:name w:val="首行缩进"/>
    <w:basedOn w:val="837"/>
    <w:uiPriority w:val="0"/>
    <w:qFormat/>
    <w:pPr>
      <w:ind w:firstLine="480"/>
    </w:pPr>
    <w:rPr>
      <w:lang w:val="zh-CN"/>
    </w:rPr>
  </w:style>
  <w:style w:type="paragraph" w:styleId="861" w:customStyle="1">
    <w:name w:val="页眉11"/>
    <w:basedOn w:val="837"/>
    <w:uiPriority w:val="99"/>
    <w:unhideWhenUsed/>
    <w:qFormat/>
    <w:pPr>
      <w:spacing w:after="0" w:line="240" w:lineRule="auto"/>
      <w:tabs>
        <w:tab w:val="center" w:pos="7143" w:leader="none"/>
        <w:tab w:val="right" w:pos="14287" w:leader="none"/>
      </w:tabs>
    </w:pPr>
  </w:style>
  <w:style w:type="paragraph" w:styleId="862" w:customStyle="1">
    <w:name w:val="页脚11"/>
    <w:basedOn w:val="837"/>
    <w:uiPriority w:val="99"/>
    <w:unhideWhenUsed/>
    <w:qFormat/>
    <w:pPr>
      <w:spacing w:after="0" w:line="240" w:lineRule="auto"/>
      <w:tabs>
        <w:tab w:val="center" w:pos="7143" w:leader="none"/>
        <w:tab w:val="right" w:pos="14287" w:leader="none"/>
      </w:tabs>
    </w:pPr>
  </w:style>
  <w:style w:type="paragraph" w:styleId="863" w:customStyle="1">
    <w:name w:val="Footer1"/>
    <w:basedOn w:val="837"/>
    <w:uiPriority w:val="99"/>
    <w:unhideWhenUsed/>
    <w:qFormat/>
    <w:pPr>
      <w:jc w:val="left"/>
      <w:tabs>
        <w:tab w:val="center" w:pos="4153" w:leader="none"/>
        <w:tab w:val="right" w:pos="8306" w:leader="none"/>
      </w:tabs>
    </w:pPr>
    <w:rPr>
      <w:sz w:val="18"/>
      <w:szCs w:val="18"/>
    </w:rPr>
  </w:style>
  <w:style w:type="character" w:styleId="864" w:customStyle="1">
    <w:name w:val="页码11"/>
    <w:basedOn w:val="865"/>
    <w:link w:val="837"/>
    <w:uiPriority w:val="0"/>
    <w:qFormat/>
  </w:style>
  <w:style w:type="character" w:styleId="865" w:customStyle="1">
    <w:name w:val="默认段落字体11"/>
    <w:link w:val="837"/>
    <w:uiPriority w:val="1"/>
    <w:unhideWhenUsed/>
    <w:qFormat/>
  </w:style>
  <w:style w:type="numbering" w:styleId="704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WPS_1709353813</dc:creator>
  <cp:lastModifiedBy>陈涛</cp:lastModifiedBy>
  <cp:revision>2</cp:revision>
  <dcterms:created xsi:type="dcterms:W3CDTF">2026-05-30T05:47:00Z</dcterms:created>
  <dcterms:modified xsi:type="dcterms:W3CDTF">2026-06-07T07:16:48Z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B36B451B52534233B8A7A9FA1CA55906_11</vt:lpwstr>
  </property>
  <property fmtid="{D5CDD505-2E9C-101B-9397-08002B2CF9AE}" pid="4" name="KSOTemplateDocerSaveRecord">
    <vt:lpwstr>eyJoZGlkIjoiMzFhMWY5MTlkYTE4ZDk2ZjRlMWRmZGIxZjJkOTMxZmUiLCJ1c2VySWQiOiIxNTgxODUzMTkyIn0=</vt:lpwstr>
  </property>
</Properties>
</file>