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color w:val="000000" w:themeColor="text1"/>
          <w:sz w:val="44"/>
          <w:szCs w:val="44"/>
          <w:highlight w:val="none"/>
          <w14:textFill>
            <w14:solidFill>
              <w14:schemeClr w14:val="tx1"/>
            </w14:solidFill>
          </w14:textFill>
        </w:rPr>
      </w:pPr>
      <w:r>
        <w:rPr>
          <w:rFonts w:hint="eastAsia" w:ascii="宋体"/>
          <w:caps/>
          <w:color w:val="000000" w:themeColor="text1"/>
          <w:sz w:val="44"/>
          <w:szCs w:val="44"/>
          <w:highlight w:val="none"/>
          <w14:textFill>
            <w14:solidFill>
              <w14:schemeClr w14:val="tx1"/>
            </w14:solidFill>
          </w14:textFill>
        </w:rPr>
        <w:t xml:space="preserve"> </w:t>
      </w:r>
      <w:r/>
    </w:p>
    <w:p>
      <w:pPr>
        <w:pStyle w:val="103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center"/>
        <w:spacing w:line="360" w:lineRule="auto"/>
        <w:widowControl/>
        <w:rPr>
          <w:rFonts w:ascii="宋体"/>
          <w:color w:val="000000" w:themeColor="text1"/>
          <w:sz w:val="32"/>
          <w:szCs w:val="32"/>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南京医科大学疫苗平台快速高分辨正置荧光成像系统采购项目</w:t>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6405" cy="2131060"/>
                <wp:effectExtent l="0" t="0" r="10795" b="2540"/>
                <wp:docPr id="8"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我的插图-1"/>
                        <pic:cNvPicPr>
                          <a:picLocks noChangeAspect="1"/>
                        </pic:cNvPicPr>
                        <pic:nvPr/>
                      </pic:nvPicPr>
                      <pic:blipFill>
                        <a:blip r:embed="rId17"/>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17" o:title=""/>
              </v:shape>
            </w:pict>
          </mc:Fallback>
        </mc:AlternateContent>
      </w:r>
      <w:r/>
    </w:p>
    <w:p>
      <w:pPr>
        <w:jc w:val="center"/>
        <w:spacing w:line="360" w:lineRule="auto"/>
        <w:widowControl/>
        <w:rPr>
          <w:rFonts w:asci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ascii="宋体" w:eastAsia="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项目编号：</w:t>
      </w:r>
      <w:r>
        <w:rPr>
          <w:rFonts w:hint="eastAsia" w:ascii="宋体" w:hAnsi="宋体"/>
          <w:b/>
          <w:color w:val="000000" w:themeColor="text1"/>
          <w:sz w:val="32"/>
          <w:szCs w:val="32"/>
          <w:highlight w:val="none"/>
          <w:lang w:eastAsia="zh-CN"/>
          <w14:textFill>
            <w14:solidFill>
              <w14:schemeClr w14:val="tx1"/>
            </w14:solidFill>
          </w14:textFill>
        </w:rPr>
        <w:t xml:space="preserve">JSZC-320000-SNZX-G2026-0069</w:t>
      </w:r>
      <w:r/>
    </w:p>
    <w:p>
      <w:pPr>
        <w:pStyle w:val="1039"/>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39"/>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39"/>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39"/>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采购人：南京医科大学</w:t>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招标代理机构：南京苏宁工程咨询有限公司</w:t>
      </w:r>
      <w:r/>
    </w:p>
    <w:p>
      <w:pPr>
        <w:ind w:firstLine="904"/>
        <w:spacing w:line="360" w:lineRule="auto"/>
        <w:shd w:val="clear" w:color="auto" w:fill="ffffff"/>
        <w:widowControl/>
        <w:rPr>
          <w:color w:val="000000" w:themeColor="text1"/>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日期：二〇二六年</w:t>
      </w:r>
      <w:r>
        <w:rPr>
          <w:rFonts w:hint="eastAsia" w:ascii="宋体" w:hAnsi="宋体"/>
          <w:b/>
          <w:color w:val="000000" w:themeColor="text1"/>
          <w:sz w:val="36"/>
          <w:szCs w:val="36"/>
          <w:highlight w:val="none"/>
          <w:lang w:eastAsia="zh-CN"/>
          <w14:textFill>
            <w14:solidFill>
              <w14:schemeClr w14:val="tx1"/>
            </w14:solidFill>
          </w14:textFill>
        </w:rPr>
        <w:t xml:space="preserve">五</w:t>
      </w:r>
      <w:r>
        <w:rPr>
          <w:rFonts w:hint="eastAsia" w:ascii="宋体" w:hAnsi="宋体"/>
          <w:b/>
          <w:color w:val="000000" w:themeColor="text1"/>
          <w:sz w:val="36"/>
          <w:szCs w:val="36"/>
          <w:highlight w:val="none"/>
          <w14:textFill>
            <w14:solidFill>
              <w14:schemeClr w14:val="tx1"/>
            </w14:solidFill>
          </w14:textFill>
        </w:rPr>
        <w:t xml:space="preserve">月</w:t>
      </w:r>
      <w:r/>
    </w:p>
    <w:p>
      <w:pPr>
        <w:jc w:val="center"/>
        <w:rPr>
          <w:rFonts w:ascii="黑体" w:eastAsia="黑体"/>
          <w:color w:val="000000" w:themeColor="text1"/>
          <w:sz w:val="36"/>
          <w:szCs w:val="36"/>
          <w:highlight w:val="none"/>
          <w14:textFill>
            <w14:solidFill>
              <w14:schemeClr w14:val="tx1"/>
            </w14:solidFill>
          </w14:textFill>
        </w:rPr>
        <w:sectPr>
          <w:headerReference w:type="default" r:id="rId9"/>
          <w:footerReference w:type="default" r:id="rId12"/>
          <w:footnotePr/>
          <w:endnotePr>
            <w:numFmt w:val="decimal"/>
          </w:endnotePr>
          <w:type w:val="nextPage"/>
          <w:pgSz w:w="11906" w:h="16838" w:orient="portrait"/>
          <w:pgMar w:top="850" w:right="850" w:bottom="850" w:left="1417" w:header="227" w:footer="720" w:gutter="0"/>
          <w:cols w:num="1" w:sep="0" w:space="720" w:equalWidth="1"/>
          <w:docGrid w:linePitch="360"/>
        </w:sectPr>
      </w:pPr>
      <w:r>
        <w:rPr>
          <w:rFonts w:ascii="黑体" w:eastAsia="黑体"/>
          <w:color w:val="000000" w:themeColor="text1"/>
          <w:sz w:val="36"/>
          <w:szCs w:val="36"/>
          <w:highlight w:val="none"/>
          <w14:textFill>
            <w14:solidFill>
              <w14:schemeClr w14:val="tx1"/>
            </w14:solidFill>
          </w14:textFill>
        </w:rPr>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第一章 投标邀请</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u w:val="single"/>
          <w14:textFill>
            <w14:solidFill>
              <w14:schemeClr w14:val="tx1"/>
            </w14:solidFill>
          </w14:textFill>
        </w:rPr>
        <w:t xml:space="preserve">南京医科大学疫苗平台快速高分辨正置荧光成像系统采购项目</w:t>
      </w:r>
      <w:r>
        <w:rPr>
          <w:rFonts w:hint="eastAsia" w:ascii="宋体" w:hAnsi="宋体" w:cs="宋体"/>
          <w:color w:val="000000" w:themeColor="text1"/>
          <w:szCs w:val="21"/>
          <w:highlight w:val="none"/>
          <w14:textFill>
            <w14:solidFill>
              <w14:schemeClr w14:val="tx1"/>
            </w14:solidFill>
          </w14:textFill>
        </w:rPr>
        <w:t xml:space="preserve">招标项目的潜在投标人应在</w:t>
      </w:r>
      <w:r>
        <w:rPr>
          <w:rFonts w:hint="eastAsia" w:ascii="宋体" w:hAnsi="宋体" w:cs="宋体"/>
          <w:color w:val="000000" w:themeColor="text1"/>
          <w:szCs w:val="21"/>
          <w:highlight w:val="none"/>
          <w:u w:val="single"/>
          <w14:textFill>
            <w14:solidFill>
              <w14:schemeClr w14:val="tx1"/>
            </w14:solidFill>
          </w14:textFill>
        </w:rPr>
        <w:t xml:space="preserve">江苏政府采购</w:t>
      </w:r>
      <w:r>
        <w:rPr>
          <w:rFonts w:hint="eastAsia" w:ascii="宋体" w:hAnsi="宋体" w:cs="宋体"/>
          <w:color w:val="000000" w:themeColor="text1"/>
          <w:szCs w:val="21"/>
          <w:highlight w:val="none"/>
          <w14:textFill>
            <w14:solidFill>
              <w14:schemeClr w14:val="tx1"/>
            </w14:solidFill>
          </w14:textFill>
        </w:rPr>
        <w:t xml:space="preserve">获取招标文件，并于</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15</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（北京时间）前递交投标文件。</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0" w:name="_Toc28359079"/>
      <w:r/>
      <w:bookmarkStart w:id="1" w:name="_Toc35393621"/>
      <w:r/>
      <w:bookmarkStart w:id="2" w:name="_Toc28359002"/>
      <w:r/>
      <w:bookmarkStart w:id="3" w:name="_Toc35393790"/>
      <w:r/>
      <w:bookmarkStart w:id="4" w:name="_Hlk24379207"/>
      <w:r>
        <w:rPr>
          <w:rFonts w:hint="eastAsia" w:ascii="宋体" w:hAnsi="宋体" w:cs="宋体"/>
          <w:color w:val="000000" w:themeColor="text1"/>
          <w:szCs w:val="21"/>
          <w:highlight w:val="none"/>
          <w14:textFill>
            <w14:solidFill>
              <w14:schemeClr w14:val="tx1"/>
            </w14:solidFill>
          </w14:textFill>
        </w:rPr>
        <w:t xml:space="preserve">一、项目基本情况</w:t>
      </w:r>
      <w:bookmarkEnd w:id="0"/>
      <w:r/>
      <w:bookmarkEnd w:id="1"/>
      <w:r/>
      <w:bookmarkEnd w:id="2"/>
      <w:r/>
      <w:bookmarkEnd w:id="3"/>
      <w:r/>
      <w:bookmarkStart w:id="73" w:name="_GoBack"/>
      <w:r/>
      <w:bookmarkEnd w:id="7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lang w:eastAsia="zh-CN"/>
          <w14:textFill>
            <w14:solidFill>
              <w14:schemeClr w14:val="tx1"/>
            </w14:solidFill>
          </w14:textFill>
        </w:rPr>
        <w:t xml:space="preserve">JSZC-320000-SNZX-G2026-0069</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bookmarkEnd w:id="4"/>
      <w:r>
        <w:rPr>
          <w:rFonts w:hint="eastAsia" w:ascii="宋体" w:hAnsi="宋体" w:cs="宋体"/>
          <w:color w:val="000000" w:themeColor="text1"/>
          <w:szCs w:val="21"/>
          <w:highlight w:val="none"/>
          <w14:textFill>
            <w14:solidFill>
              <w14:schemeClr w14:val="tx1"/>
            </w14:solidFill>
          </w14:textFill>
        </w:rPr>
        <w:t xml:space="preserve">：南京医科大学疫苗平台快速高分辨正置荧光成像系统采购项目</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预算金额：100万元</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最高限价：100万元，投标报价超过最高限价的为无效投标。</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采购需求：南京医科大学疫苗平台快速高分辨正置荧光成像系统采购项目，具体详见招标文件。</w:t>
      </w:r>
      <w:r/>
    </w:p>
    <w:p>
      <w:pPr>
        <w:ind w:firstLine="42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合同履行期限（交货期）：</w:t>
      </w:r>
      <w:bookmarkStart w:id="5" w:name="_Toc28359003"/>
      <w:r/>
      <w:bookmarkStart w:id="6" w:name="_Toc28359080"/>
      <w:r/>
      <w:bookmarkStart w:id="7" w:name="_Toc35393791"/>
      <w:r/>
      <w:bookmarkStart w:id="8" w:name="_Toc35393622"/>
      <w:r>
        <w:rPr>
          <w:rFonts w:hint="eastAsia" w:ascii="宋体" w:hAnsi="宋体" w:eastAsia="宋体" w:cs="宋体"/>
          <w:color w:val="000000" w:themeColor="text1"/>
          <w:sz w:val="21"/>
          <w:szCs w:val="21"/>
          <w:highlight w:val="none"/>
          <w:lang w:val="zh-CN"/>
          <w14:textFill>
            <w14:solidFill>
              <w14:schemeClr w14:val="tx1"/>
            </w14:solidFill>
          </w14:textFill>
        </w:rPr>
        <w:t xml:space="preserve">合同签订生效后，进口设备（免税）三个月内、国产设备及进口设备（非免税）一个月内全部设备、材料运抵现场，并安装、调试结束，验收合格</w:t>
      </w:r>
      <w:r>
        <w:rPr>
          <w:rFonts w:hint="eastAsia" w:ascii="宋体" w:hAnsi="宋体"/>
          <w:color w:val="000000" w:themeColor="text1"/>
          <w:sz w:val="21"/>
          <w:szCs w:val="21"/>
          <w:highlight w:val="none"/>
          <w:lang w:val="zh-CN"/>
          <w14:textFill>
            <w14:solidFill>
              <w14:schemeClr w14:val="tx1"/>
            </w14:solidFill>
          </w14:textFill>
        </w:rPr>
        <w:t xml:space="preserve">，交付采购方使用。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本项目不接受联合体投标。 </w:t>
      </w:r>
      <w:bookmarkEnd w:id="5"/>
      <w:r/>
      <w:bookmarkEnd w:id="6"/>
      <w:r/>
      <w:bookmarkEnd w:id="7"/>
      <w:r/>
      <w:bookmarkEnd w:id="8"/>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二、申请人的资格要求：</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9" w:name="_Toc35393792"/>
      <w:r/>
      <w:bookmarkStart w:id="10" w:name="_Toc35393623"/>
      <w:r/>
      <w:bookmarkStart w:id="11" w:name="_Toc28359082"/>
      <w:r/>
      <w:bookmarkStart w:id="12" w:name="_Toc28359005"/>
      <w:r/>
      <w:bookmarkStart w:id="13" w:name="_Toc35393624"/>
      <w:r/>
      <w:bookmarkStart w:id="14" w:name="_Toc35393793"/>
      <w:r>
        <w:rPr>
          <w:rFonts w:hint="eastAsia" w:ascii="宋体" w:hAnsi="宋体" w:cs="宋体"/>
          <w:color w:val="000000" w:themeColor="text1"/>
          <w:szCs w:val="21"/>
          <w:highlight w:val="none"/>
          <w14:textFill>
            <w14:solidFill>
              <w14:schemeClr w14:val="tx1"/>
            </w14:solidFill>
          </w14:textFill>
        </w:rPr>
        <w:t xml:space="preserve">（一）满足《中华人民共和国政府采购法》第二十二条规定；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1.具有独立承担民事责任的能力（提供法人或者其他组织的营业执照；供应商为自然人的提供其身份证，提供相关证明材料复印件并加盖公章）；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r>
        <w:rPr>
          <w:rFonts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firstLine="420"/>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不需要缴纳社会保障资金的应提供相应文件说明）</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5.参加政府采购活动前三年内，在经营活动中没有重大违法记录（提供承诺书原件）；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6.法律、行政法规规定的其他条件，提供相关证明材料：无。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7.注:①前款第（5）项中所称重大违法记录，是指投标人因违法经营受到刑事处罚或者责令停产停业、吊销许可证或者执照、较大数额罚款等行政处罚。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②投标人在参加政府采购活动前3年内因违法经营被禁止在一定期限内参加政府采购活动，期限届满的，可以参加政府采购活动。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（二）落实政府采购政策需满足的资格要求：如为中小微型企业、监狱企业、残疾人福利性单位，提供的产品为国家认定的节能产品和环保产品的须按要求提供相关材料。</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本项目的特定资格要求：若所投产品为进口产品且为非生产商投标，必须具有生产者或其驻中国办事机构（或生产者授权的中国境内最高级别代理机构）针对本项目的专项授权书。投标时需提供复印件加盖供应商公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（四）本项目不接受转包、分包。</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（五）拒绝下述供应商参加本次采购活动：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（六）本项目接受进口产品投标。（注：本文件所称进口产品是指通过中国海关报关验放进入中国境内且产自关境外的产品）</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三、获取招标文件</w:t>
      </w:r>
      <w:bookmarkEnd w:id="9"/>
      <w:r/>
      <w:bookmarkEnd w:id="1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时间：自招标文件公告发布之日起5个工作日</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地点：江苏政府采购网</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方式：网上下载</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售价：0.00元</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四、提交投标文件</w:t>
      </w:r>
      <w:bookmarkEnd w:id="11"/>
      <w:r/>
      <w:bookmarkEnd w:id="12"/>
      <w:r>
        <w:rPr>
          <w:rFonts w:hint="eastAsia" w:ascii="宋体" w:hAnsi="宋体" w:cs="宋体"/>
          <w:color w:val="000000" w:themeColor="text1"/>
          <w:szCs w:val="21"/>
          <w:highlight w:val="none"/>
          <w14:textFill>
            <w14:solidFill>
              <w14:schemeClr w14:val="tx1"/>
            </w14:solidFill>
          </w14:textFill>
        </w:rPr>
        <w:t xml:space="preserve">截止时间、开标时间和地点</w:t>
      </w:r>
      <w:bookmarkEnd w:id="13"/>
      <w:r/>
      <w:bookmarkEnd w:id="14"/>
      <w:r/>
      <w:r/>
    </w:p>
    <w:p>
      <w:pPr>
        <w:ind w:firstLine="420"/>
        <w:jc w:val="lef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截止时间及开标时间：</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15</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分（北京时间）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r>
        <w:rPr>
          <w:rFonts w:hint="eastAsia" w:ascii="宋体" w:hAnsi="宋体" w:cs="宋体"/>
          <w:color w:val="000000" w:themeColor="text1"/>
          <w:szCs w:val="21"/>
          <w:highlight w:val="none"/>
          <w:u w:val="single"/>
          <w14:textFill>
            <w14:solidFill>
              <w14:schemeClr w14:val="tx1"/>
            </w14:solidFill>
          </w14:textFill>
        </w:rPr>
        <w:t xml:space="preserve">江苏省政府采购交易系统（以下简称“苏采云系统”）网上开标大厅。</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5" w:name="_Toc35393794"/>
      <w:r/>
      <w:bookmarkStart w:id="16" w:name="_Toc28359084"/>
      <w:r/>
      <w:bookmarkStart w:id="17" w:name="_Toc28359007"/>
      <w:r/>
      <w:bookmarkStart w:id="18" w:name="_Toc35393625"/>
      <w:r>
        <w:rPr>
          <w:rFonts w:hint="eastAsia" w:ascii="宋体" w:hAnsi="宋体" w:cs="宋体"/>
          <w:color w:val="000000" w:themeColor="text1"/>
          <w:szCs w:val="21"/>
          <w:highlight w:val="none"/>
          <w14:textFill>
            <w14:solidFill>
              <w14:schemeClr w14:val="tx1"/>
            </w14:solidFill>
          </w14:textFill>
        </w:rPr>
        <w:t xml:space="preserve">五、公告期限</w:t>
      </w:r>
      <w:bookmarkEnd w:id="15"/>
      <w:r/>
      <w:bookmarkEnd w:id="16"/>
      <w:r/>
      <w:bookmarkEnd w:id="17"/>
      <w:r/>
      <w:bookmarkEnd w:id="18"/>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9" w:name="_Toc35393795"/>
      <w:r/>
      <w:bookmarkStart w:id="20" w:name="_Toc35393626"/>
      <w:r>
        <w:rPr>
          <w:rFonts w:hint="eastAsia" w:ascii="宋体" w:hAnsi="宋体" w:cs="宋体"/>
          <w:color w:val="000000" w:themeColor="text1"/>
          <w:szCs w:val="21"/>
          <w:highlight w:val="none"/>
          <w14:textFill>
            <w14:solidFill>
              <w14:schemeClr w14:val="tx1"/>
            </w14:solidFill>
          </w14:textFill>
        </w:rPr>
        <w:t xml:space="preserve">六、其他补充事宜</w:t>
      </w:r>
      <w:bookmarkEnd w:id="19"/>
      <w:r/>
      <w:bookmarkEnd w:id="20"/>
      <w:r/>
      <w:r/>
    </w:p>
    <w:p>
      <w:pPr>
        <w:ind w:firstLine="420"/>
        <w:jc w:val="left"/>
        <w:spacing w:line="360" w:lineRule="auto"/>
        <w:rPr>
          <w:color w:val="000000" w:themeColor="text1"/>
          <w:highlight w:val="none"/>
          <w14:textFill>
            <w14:solidFill>
              <w14:schemeClr w14:val="tx1"/>
            </w14:solidFill>
          </w14:textFill>
        </w:rPr>
      </w:pPr>
      <w:r/>
      <w:bookmarkStart w:id="21" w:name="_Toc35393796"/>
      <w:r/>
      <w:bookmarkStart w:id="22" w:name="_Toc28359085"/>
      <w:r/>
      <w:bookmarkStart w:id="23" w:name="_Toc28359008"/>
      <w:r/>
      <w:bookmarkStart w:id="24" w:name="_Toc3539362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本项目</w:t>
      </w:r>
      <w:r>
        <w:rPr>
          <w:rFonts w:hint="eastAsia" w:ascii="宋体" w:hAnsi="宋体"/>
          <w:color w:val="000000" w:themeColor="text1"/>
          <w:szCs w:val="21"/>
          <w:highlight w:val="none"/>
          <w14:textFill>
            <w14:solidFill>
              <w14:schemeClr w14:val="tx1"/>
            </w14:solidFill>
          </w14:textFill>
        </w:rPr>
        <w:t xml:space="preserve">是否专门面向中小企业：否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本项目采购标的所属行业为：</w:t>
      </w:r>
      <w:r>
        <w:rPr>
          <w:rFonts w:hint="eastAsia" w:ascii="宋体" w:hAnsi="宋体" w:cs="宋体"/>
          <w:color w:val="000000" w:themeColor="text1"/>
          <w:szCs w:val="21"/>
          <w:highlight w:val="none"/>
          <w14:textFill>
            <w14:solidFill>
              <w14:schemeClr w14:val="tx1"/>
            </w14:solidFill>
          </w14:textFill>
        </w:rPr>
        <w:t xml:space="preserve">根据《关于印发中小企业划型标准规定的通知》(工信部联企业(2011)300 号)及《国家统计局关于印发(统计上大中小微型企业划分办法(2017)〉的通知》(国统字(2017〕213 号)等文件规定，本项目所属行业为“工业”。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集中勘察或答疑：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.公告媒体</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（1）本公告在江苏政府采购网（http：//www.ccgp-jiangsu.gov.cn/）公示发布，敬请各投标人关注；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.采购项目需要落实的政府采购政策：</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（1）政府采购促进中小企业发展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（2）政府采购支持监狱企业发展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（3）政府采购促进残疾人就业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（4）政府采购鼓励采购节能环保产品</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http://www.ccgp-jiangsu.gov.cn/jiangsu/zlxz/ee/ee3a4bc5a3454aa2b0d9312230633ce9.html</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7.潜在供应商访问电子招标响应交易平台的网络地址和方法：</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（2）潜在供应商访问“苏采云”系统的网络地址和方法：“苏采云”系统的网址：http://jszfcg.jsczt.cn/。</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（3）“CA数字证书”的获取：</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（5）招标代理机构（采购代理机构）将数据电文形式的采购文件加载至“苏采云”系统，供潜在供应商下载或者查阅。</w:t>
      </w:r>
      <w:r/>
    </w:p>
    <w:p>
      <w:pPr>
        <w:ind w:firstLine="420"/>
        <w:jc w:val="left"/>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七、对本次招标提出询问，请按以下方式联系。</w:t>
      </w:r>
      <w:bookmarkEnd w:id="21"/>
      <w:r/>
      <w:bookmarkEnd w:id="22"/>
      <w:r/>
      <w:bookmarkEnd w:id="23"/>
      <w:r/>
      <w:bookmarkEnd w:id="2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25" w:name="_Toc28359086"/>
      <w:r/>
      <w:bookmarkStart w:id="26" w:name="_Toc28359009"/>
      <w:r>
        <w:rPr>
          <w:rFonts w:hint="eastAsia" w:ascii="宋体" w:hAnsi="宋体" w:cs="宋体"/>
          <w:color w:val="000000" w:themeColor="text1"/>
          <w:szCs w:val="21"/>
          <w:highlight w:val="none"/>
          <w14:textFill>
            <w14:solidFill>
              <w14:schemeClr w14:val="tx1"/>
            </w14:solidFill>
          </w14:textFill>
        </w:rPr>
        <w:t xml:space="preserve">单位名称：南京医科大学</w:t>
      </w:r>
      <w:r/>
    </w:p>
    <w:p>
      <w:pPr>
        <w:ind w:firstLine="452"/>
        <w:jc w:val="left"/>
        <w:spacing w:line="360" w:lineRule="auto"/>
        <w:rPr>
          <w:rFonts w:hint="eastAsia"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单位地址：</w:t>
      </w:r>
      <w:r>
        <w:rPr>
          <w:rFonts w:hint="eastAsia" w:ascii="宋体" w:hAnsi="宋体" w:cs="宋体"/>
          <w:color w:val="000000" w:themeColor="text1"/>
          <w:spacing w:val="8"/>
          <w:szCs w:val="21"/>
          <w:highlight w:val="none"/>
          <w:shd w:val="clear" w:color="auto" w:fill="ffffff"/>
          <w14:textFill>
            <w14:solidFill>
              <w14:schemeClr w14:val="tx1"/>
            </w14:solidFill>
          </w14:textFill>
        </w:rPr>
        <w:t xml:space="preserve">南京市江宁区龙眠大道101号</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联系人：马老师</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联系电话：025-86868572</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bookmarkEnd w:id="25"/>
      <w:r/>
      <w:bookmarkEnd w:id="2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w:t>
      </w:r>
      <w:bookmarkStart w:id="27" w:name="OLE_LINK1"/>
      <w:r>
        <w:rPr>
          <w:rFonts w:hint="eastAsia" w:ascii="宋体" w:hAnsi="宋体" w:cs="宋体"/>
          <w:color w:val="000000" w:themeColor="text1"/>
          <w:szCs w:val="21"/>
          <w:highlight w:val="none"/>
          <w14:textFill>
            <w14:solidFill>
              <w14:schemeClr w14:val="tx1"/>
            </w14:solidFill>
          </w14:textFill>
        </w:rPr>
        <w:t xml:space="preserve">南京苏宁工程咨询有限公司</w:t>
      </w:r>
      <w:bookmarkEnd w:id="2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单位地址：南京市鼓楼区中山路99号12楼1212室</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bookmarkStart w:id="28" w:name="_Toc28359010"/>
      <w:r/>
      <w:bookmarkStart w:id="29" w:name="_Toc28359087"/>
      <w:r>
        <w:rPr>
          <w:rFonts w:hint="eastAsia" w:ascii="宋体" w:hAnsi="宋体" w:cs="宋体"/>
          <w:color w:val="000000" w:themeColor="text1"/>
          <w:szCs w:val="21"/>
          <w:highlight w:val="none"/>
          <w14:textFill>
            <w14:solidFill>
              <w14:schemeClr w14:val="tx1"/>
            </w14:solidFill>
          </w14:textFill>
        </w:rPr>
        <w:t xml:space="preserve">李佳蓉025-84200809</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bookmarkEnd w:id="28"/>
      <w:r/>
      <w:bookmarkEnd w:id="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项目联系人：李佳蓉 </w:t>
      </w:r>
      <w:r/>
    </w:p>
    <w:p>
      <w:pPr>
        <w:ind w:firstLine="420"/>
        <w:jc w:val="lef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联系电话：025-84200809</w:t>
      </w:r>
      <w:r/>
    </w:p>
    <w:p>
      <w:pPr>
        <w:ind w:firstLine="422"/>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jc w:val="left"/>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hint="eastAsia" w:ascii="宋体" w:hAnsi="宋体" w:cs="宋体"/>
          <w:color w:val="000000" w:themeColor="text1"/>
          <w:sz w:val="36"/>
          <w:szCs w:val="36"/>
          <w:highlight w:val="none"/>
          <w:lang w:val="zh-CN"/>
          <w14:textFill>
            <w14:solidFill>
              <w14:schemeClr w14:val="tx1"/>
            </w14:solidFill>
          </w14:textFill>
        </w:rPr>
        <w:sectPr>
          <w:footnotePr/>
          <w:endnotePr>
            <w:numFmt w:val="decimal"/>
          </w:endnotePr>
          <w:type w:val="nextPage"/>
          <w:pgSz w:w="11906" w:h="16838" w:orient="portrait"/>
          <w:pgMar w:top="850" w:right="850" w:bottom="850" w:left="1417" w:header="227" w:footer="720" w:gutter="0"/>
          <w:rtlGutter/>
          <w:cols w:num="1" w:sep="0" w:space="720" w:equalWidth="1"/>
          <w:docGrid w:linePitch="360"/>
        </w:sectPr>
      </w:pPr>
      <w:r>
        <w:rPr>
          <w:rFonts w:hint="eastAsia" w:ascii="宋体" w:hAnsi="宋体" w:cs="宋体"/>
          <w:color w:val="000000" w:themeColor="text1"/>
          <w:sz w:val="36"/>
          <w:szCs w:val="36"/>
          <w:highlight w:val="none"/>
          <w:lang w:val="zh-CN"/>
          <w14:textFill>
            <w14:solidFill>
              <w14:schemeClr w14:val="tx1"/>
            </w14:solidFill>
          </w14:textFill>
        </w:rPr>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第二章供应商须知</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一、总则</w:t>
      </w:r>
      <w:r/>
    </w:p>
    <w:p>
      <w:pPr>
        <w:ind w:firstLine="420"/>
        <w:jc w:val="left"/>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1、适用法律</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jc w:val="left"/>
        <w:rPr>
          <w:rFonts w:ascii="宋体" w:hAnsi="宋体" w:cs="宋体"/>
          <w:b/>
          <w:color w:val="000000" w:themeColor="text1"/>
          <w:szCs w:val="21"/>
          <w:highlight w:val="none"/>
          <w:lang w:val="zh-CN"/>
          <w14:textFill>
            <w14:solidFill>
              <w14:schemeClr w14:val="tx1"/>
            </w14:solidFill>
          </w14:textFill>
        </w:rPr>
        <w:outlineLvl w:val="0"/>
      </w:pPr>
      <w:r>
        <w:rPr>
          <w:rFonts w:hint="eastAsia" w:ascii="宋体" w:hAnsi="宋体" w:cs="宋体"/>
          <w:b/>
          <w:color w:val="000000" w:themeColor="text1"/>
          <w:szCs w:val="21"/>
          <w:highlight w:val="none"/>
          <w:lang w:val="zh-CN"/>
          <w14:textFill>
            <w14:solidFill>
              <w14:schemeClr w14:val="tx1"/>
            </w14:solidFill>
          </w14:textFill>
        </w:rPr>
        <w:t xml:space="preserve">2、定义</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 “</w:t>
      </w:r>
      <w:r>
        <w:rPr>
          <w:rFonts w:hint="eastAsia" w:ascii="宋体" w:hAnsi="宋体" w:cs="宋体"/>
          <w:bCs/>
          <w:color w:val="000000" w:themeColor="text1"/>
          <w:szCs w:val="21"/>
          <w:highlight w:val="none"/>
          <w:lang w:val="zh-CN"/>
          <w14:textFill>
            <w14:solidFill>
              <w14:schemeClr w14:val="tx1"/>
            </w14:solidFill>
          </w14:textFill>
        </w:rPr>
        <w:t xml:space="preserve">供应商”</w:t>
      </w:r>
      <w:r>
        <w:rPr>
          <w:rFonts w:hint="eastAsia" w:ascii="宋体" w:hAnsi="宋体" w:cs="宋体"/>
          <w:bCs/>
          <w:color w:val="000000" w:themeColor="text1"/>
          <w:highlight w:val="none"/>
          <w14:textFill>
            <w14:solidFill>
              <w14:schemeClr w14:val="tx1"/>
            </w14:solidFill>
          </w14:textFill>
        </w:rPr>
        <w:t xml:space="preserve">是指参加投标竞争，并符合招标文件规定资格条件的法人、其他组织或者自然人。</w:t>
      </w:r>
      <w:r/>
    </w:p>
    <w:p>
      <w:pPr>
        <w:ind w:firstLine="420"/>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2.2 “产品”指本招标文件中所述产品</w:t>
      </w:r>
      <w:r>
        <w:rPr>
          <w:rFonts w:hint="eastAsia" w:ascii="宋体" w:hAnsi="宋体" w:cs="宋体"/>
          <w:color w:val="000000" w:themeColor="text1"/>
          <w:szCs w:val="21"/>
          <w:highlight w:val="none"/>
          <w:lang w:val="zh-CN"/>
          <w14:textFill>
            <w14:solidFill>
              <w14:schemeClr w14:val="tx1"/>
            </w14:solidFill>
          </w14:textFill>
        </w:rPr>
        <w:t xml:space="preserve">及相关服务。</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 “用户或使用单位”是指使用服务的单位。</w:t>
      </w:r>
      <w:r/>
    </w:p>
    <w:p>
      <w:pPr>
        <w:ind w:firstLine="422"/>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3、政策功能</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3.1中小供应商政策</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（5）提供的产品属于信息安全产品的，供应商应当选择经国家认证的信息安全产品投标，并提供由中国信息安全认证中心按国家标准认证颁发的有效认证证书复印件。</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（6）提供的产品属于政府强制采购节能产品的，供应商应当选择经过认证的节能产品投标，并提供有效的节能产品认证证书复印件。</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（7）提供的产品属于环境标志产品的,供应商应当选择经过认证的环境标志产品投标,并提供有效的环境标志产品认证证书复印件。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3.2政府采购中实施本国产品标准及相关政策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val="zh-CN"/>
          <w14:textFill>
            <w14:solidFill>
              <w14:schemeClr w14:val="tx1"/>
            </w14:solidFill>
          </w14:textFill>
        </w:rPr>
        <w:t xml:space="preserve">）本项目对采购本国产品给予政策支持，具体内容见招标文件</w:t>
      </w:r>
      <w:r>
        <w:rPr>
          <w:rFonts w:hint="eastAsia" w:ascii="宋体" w:hAnsi="宋体" w:cs="宋体"/>
          <w:bCs/>
          <w:color w:val="000000" w:themeColor="text1"/>
          <w:szCs w:val="21"/>
          <w:highlight w:val="none"/>
          <w:lang w:val="en-US" w:eastAsia="zh-CN"/>
          <w14:textFill>
            <w14:solidFill>
              <w14:schemeClr w14:val="tx1"/>
            </w14:solidFill>
          </w14:textFill>
        </w:rPr>
        <w:t xml:space="preserve">第三章</w:t>
      </w:r>
      <w:r>
        <w:rPr>
          <w:rFonts w:hint="eastAsia" w:ascii="宋体" w:hAnsi="宋体" w:cs="宋体"/>
          <w:bCs/>
          <w:color w:val="000000" w:themeColor="text1"/>
          <w:szCs w:val="21"/>
          <w:highlight w:val="none"/>
          <w:lang w:val="zh-CN"/>
          <w14:textFill>
            <w14:solidFill>
              <w14:schemeClr w14:val="tx1"/>
            </w14:solidFill>
          </w14:textFill>
        </w:rPr>
        <w:t xml:space="preserve">。</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lang w:val="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lang w:val="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3.3</w:t>
      </w:r>
      <w:r>
        <w:rPr>
          <w:rFonts w:hint="eastAsia" w:ascii="宋体" w:hAnsi="宋体" w:cs="宋体"/>
          <w:bCs/>
          <w:color w:val="000000" w:themeColor="text1"/>
          <w:szCs w:val="21"/>
          <w:highlight w:val="none"/>
          <w:lang w:val="zh-CN"/>
          <w14:textFill>
            <w14:solidFill>
              <w14:schemeClr w14:val="tx1"/>
            </w14:solidFill>
          </w14:textFill>
        </w:rPr>
        <w:t xml:space="preserve">未按要求提供相关材料的，不享受相关政策。</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 进口产品政策</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（2）允许进口产品参加的，满足需求的国内产品可以参加。</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（3）允许进口产品参加的，优先采购向我国企业转让技术、与我国企业签订消化吸收再创新方案的投标人的进口产品。</w:t>
      </w:r>
      <w:r/>
    </w:p>
    <w:p>
      <w:pPr>
        <w:ind w:firstLine="413"/>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二、招标文件</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4、招标文件组成</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4.3 招标文件如果要求供应商提交备选投标方案的，供应商可以提交备选方案；否则，备选方案将被拒绝。</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5、招标文件的澄清、修改</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 招标代理对已发出的招标文件进行必要澄清或者修改的，将在招标文件要求提交投标文件截止时间</w:t>
      </w:r>
      <w:r>
        <w:rPr>
          <w:rFonts w:hint="eastAsia" w:ascii="宋体" w:hAnsi="宋体" w:cs="宋体"/>
          <w:b/>
          <w:bCs/>
          <w:iCs/>
          <w:color w:val="000000" w:themeColor="text1"/>
          <w:szCs w:val="21"/>
          <w:highlight w:val="none"/>
          <w:u w:val="single"/>
          <w:lang w:val="zh-CN"/>
          <w14:textFill>
            <w14:solidFill>
              <w14:schemeClr w14:val="tx1"/>
            </w14:solidFill>
          </w14:textFill>
        </w:rPr>
        <w:t xml:space="preserve">十五日</w:t>
      </w:r>
      <w:r>
        <w:rPr>
          <w:rFonts w:hint="eastAsia" w:ascii="宋体" w:hAnsi="宋体" w:cs="宋体"/>
          <w:color w:val="000000" w:themeColor="text1"/>
          <w:szCs w:val="21"/>
          <w:highlight w:val="none"/>
          <w:lang w:val="zh-CN"/>
          <w14:textFill>
            <w14:solidFill>
              <w14:schemeClr w14:val="tx1"/>
            </w14:solidFill>
          </w14:textFill>
        </w:rPr>
        <w:t xml:space="preserve">前，在原招标公告媒体发布更正公告，该澄清或者修改的内容为招标文件的组成部分。</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 招标代理在招标文件要求提交投标文件截止时间前，有权决定延长投标截止时间和开标时间，并</w:t>
      </w:r>
      <w:r>
        <w:rPr>
          <w:rFonts w:hint="eastAsia" w:ascii="宋体" w:hAnsi="宋体" w:cs="宋体"/>
          <w:color w:val="000000" w:themeColor="text1"/>
          <w:highlight w:val="none"/>
          <w14:textFill>
            <w14:solidFill>
              <w14:schemeClr w14:val="tx1"/>
            </w14:solidFill>
          </w14:textFill>
        </w:rPr>
        <w:t xml:space="preserve">在原采购信息发布媒体上发布变更公告。</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.3 供应商应在投标截止时间前关注</w:t>
      </w:r>
      <w:r>
        <w:rPr>
          <w:rFonts w:hint="eastAsia" w:ascii="宋体" w:hAnsi="宋体" w:cs="宋体"/>
          <w:color w:val="000000" w:themeColor="text1"/>
          <w:highlight w:val="none"/>
          <w14:textFill>
            <w14:solidFill>
              <w14:schemeClr w14:val="tx1"/>
            </w14:solidFill>
          </w14:textFill>
        </w:rPr>
        <w:t xml:space="preserve">原采购信息发布媒体上</w:t>
      </w:r>
      <w:r>
        <w:rPr>
          <w:rFonts w:hint="eastAsia" w:ascii="宋体" w:hAnsi="宋体" w:cs="宋体"/>
          <w:color w:val="000000" w:themeColor="text1"/>
          <w:szCs w:val="21"/>
          <w:highlight w:val="none"/>
          <w:lang w:val="zh-CN"/>
          <w14:textFill>
            <w14:solidFill>
              <w14:schemeClr w14:val="tx1"/>
            </w14:solidFill>
          </w14:textFill>
        </w:rPr>
        <w:t xml:space="preserve">有关本招标项目有无变更公告。</w:t>
      </w:r>
      <w:r>
        <w:rPr>
          <w:rFonts w:hint="eastAsia" w:ascii="宋体" w:hAnsi="宋体"/>
          <w:bCs/>
          <w:color w:val="000000" w:themeColor="text1"/>
          <w:sz w:val="21"/>
          <w:szCs w:val="21"/>
          <w:highlight w:val="none"/>
          <w14:textFill>
            <w14:solidFill>
              <w14:schemeClr w14:val="tx1"/>
            </w14:solidFill>
          </w14:textFill>
        </w:rPr>
        <w:t xml:space="preserve">根据更正公告内容自行决定是否需要重新制作和提交投标文件，并承担由此产生的相应责任。</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三、投标</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6、投标文件的语言、计量单位、货币和编制</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6.2 供应商所使用的计量单位应为国家法定计量单位。</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6.3 供应商应用人民币报价。投标产品如果是进口产品的，应提供人民币与外币之间的汇率。</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 </w:t>
      </w:r>
      <w:r>
        <w:rPr>
          <w:rFonts w:hint="eastAsia" w:ascii="宋体" w:hAnsi="宋体"/>
          <w:bCs/>
          <w:color w:val="000000" w:themeColor="text1"/>
          <w:sz w:val="21"/>
          <w:szCs w:val="21"/>
          <w:highlight w:val="none"/>
          <w14:textFill>
            <w14:solidFill>
              <w14:schemeClr w14:val="tx1"/>
            </w14:solidFill>
          </w14:textFill>
        </w:rPr>
        <w:t xml:space="preserve">如标书制作工具中格式和内容与“江苏政府采购网”发布的招标文件不一致，以“江苏政府采购网”发布的招标文件为准。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6.5 供应商应在投标文件中写清相应的项目编号、项目名称、供应商全称、地址、电话、传真等。</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6.6 供应商所使用的技术标准应遵循国家最新标准及规范。</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w:t>
      </w:r>
      <w:r>
        <w:rPr>
          <w:rFonts w:hint="eastAsia" w:ascii="宋体" w:hAnsi="宋体" w:cs="宋体"/>
          <w:b/>
          <w:bCs/>
          <w:color w:val="000000" w:themeColor="text1"/>
          <w:szCs w:val="21"/>
          <w:highlight w:val="none"/>
          <w:lang w:val="zh-CN"/>
          <w14:textFill>
            <w14:solidFill>
              <w14:schemeClr w14:val="tx1"/>
            </w14:solidFill>
          </w14:textFill>
        </w:rPr>
        <w:t xml:space="preserve">、联合投标</w:t>
      </w:r>
      <w:r/>
    </w:p>
    <w:p>
      <w:pPr>
        <w:ind w:firstLine="420"/>
        <w:rPr>
          <w:rFonts w:ascii="宋体" w:hAnsi="宋体" w:cs="宋体"/>
          <w:bCs/>
          <w:color w:val="000000" w:themeColor="text1"/>
          <w:szCs w:val="21"/>
          <w:highlight w:val="none"/>
          <w14:textFill>
            <w14:solidFill>
              <w14:schemeClr w14:val="tx1"/>
            </w14:solidFill>
          </w14:textFill>
        </w:rPr>
        <w:outlineLvl w:val="0"/>
      </w:pPr>
      <w:r>
        <w:rPr>
          <w:rFonts w:hint="eastAsia" w:ascii="宋体" w:hAnsi="宋体" w:cs="宋体"/>
          <w:bCs/>
          <w:color w:val="000000" w:themeColor="text1"/>
          <w:szCs w:val="21"/>
          <w:highlight w:val="none"/>
          <w14:textFill>
            <w14:solidFill>
              <w14:schemeClr w14:val="tx1"/>
            </w14:solidFill>
          </w14:textFill>
        </w:rPr>
        <w:t xml:space="preserve">本次招标不接受联合体投标。</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8、投标费用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8.1 供应商应自行承担所有与准备和参加投标有关的费用。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8.2</w:t>
      </w:r>
      <w:r>
        <w:rPr>
          <w:rFonts w:hint="eastAsia"/>
          <w:color w:val="000000" w:themeColor="text1"/>
          <w:highlight w:val="none"/>
          <w14:textFill>
            <w14:solidFill>
              <w14:schemeClr w14:val="tx1"/>
            </w14:solidFill>
          </w14:textFill>
        </w:rPr>
        <w:t xml:space="preserve"> 本次招标，中标人按《招标代理服务费管理暂行办法》（国家发展计划委员会计价格【2002】1980 号）代理服务招标收费标准的</w:t>
      </w:r>
      <w:r>
        <w:rPr>
          <w:rFonts w:hint="eastAsia"/>
          <w:color w:val="000000" w:themeColor="text1"/>
          <w:highlight w:val="none"/>
          <w:lang w:val="en-US" w:eastAsia="zh-CN"/>
          <w14:textFill>
            <w14:solidFill>
              <w14:schemeClr w14:val="tx1"/>
            </w14:solidFill>
          </w14:textFill>
        </w:rPr>
        <w:t xml:space="preserve">48</w:t>
      </w:r>
      <w:r>
        <w:rPr>
          <w:rFonts w:hint="eastAsia"/>
          <w:color w:val="000000" w:themeColor="text1"/>
          <w:highlight w:val="none"/>
          <w14:textFill>
            <w14:solidFill>
              <w14:schemeClr w14:val="tx1"/>
            </w14:solidFill>
          </w14:textFill>
        </w:rPr>
        <w:t xml:space="preserve">%计算，超过</w:t>
      </w:r>
      <w:r>
        <w:rPr>
          <w:rFonts w:hint="eastAsia"/>
          <w:color w:val="000000" w:themeColor="text1"/>
          <w:highlight w:val="none"/>
          <w:lang w:val="en-US" w:eastAsia="zh-CN"/>
          <w14:textFill>
            <w14:solidFill>
              <w14:schemeClr w14:val="tx1"/>
            </w14:solidFill>
          </w14:textFill>
        </w:rPr>
        <w:t xml:space="preserve">18000</w:t>
      </w:r>
      <w:r>
        <w:rPr>
          <w:rFonts w:hint="eastAsia"/>
          <w:color w:val="000000" w:themeColor="text1"/>
          <w:highlight w:val="none"/>
          <w14:textFill>
            <w14:solidFill>
              <w14:schemeClr w14:val="tx1"/>
            </w14:solidFill>
          </w14:textFill>
        </w:rPr>
        <w:t xml:space="preserve">元的按固定金额人民币</w:t>
      </w:r>
      <w:r>
        <w:rPr>
          <w:rFonts w:hint="eastAsia"/>
          <w:color w:val="000000" w:themeColor="text1"/>
          <w:highlight w:val="none"/>
          <w:lang w:val="en-US" w:eastAsia="zh-CN"/>
          <w14:textFill>
            <w14:solidFill>
              <w14:schemeClr w14:val="tx1"/>
            </w14:solidFill>
          </w14:textFill>
        </w:rPr>
        <w:t xml:space="preserve">18000</w:t>
      </w:r>
      <w:r>
        <w:rPr>
          <w:rFonts w:hint="eastAsia"/>
          <w:color w:val="000000" w:themeColor="text1"/>
          <w:highlight w:val="none"/>
          <w14:textFill>
            <w14:solidFill>
              <w14:schemeClr w14:val="tx1"/>
            </w14:solidFill>
          </w14:textFill>
        </w:rPr>
        <w:t xml:space="preserve">元计算，在领取中标通知书前向采购代理机构支付招标服务费。该项费用请投标人综合考虑在投标报价中，后期采购人不单独列支，必须在领取中标通知书前向招标代理机构支付招标服务费。</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9、投标文件组成</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9.1 </w:t>
      </w:r>
      <w:r>
        <w:rPr>
          <w:rFonts w:hint="eastAsia" w:ascii="宋体" w:hAnsi="宋体" w:cs="宋体"/>
          <w:color w:val="000000" w:themeColor="text1"/>
          <w:szCs w:val="21"/>
          <w:highlight w:val="none"/>
          <w14:textFill>
            <w14:solidFill>
              <w14:schemeClr w14:val="tx1"/>
            </w14:solidFill>
          </w14:textFill>
        </w:rPr>
        <w:t xml:space="preserve">供应商应当根据招标文件要求编制投标文件，投标文件应对招标文件提出的要求和条件作出实质性响应，并在</w:t>
      </w:r>
      <w:r>
        <w:rPr>
          <w:rFonts w:hint="eastAsia" w:ascii="宋体" w:hAnsi="宋体" w:cs="宋体"/>
          <w:color w:val="000000" w:themeColor="text1"/>
          <w:szCs w:val="21"/>
          <w:highlight w:val="none"/>
          <w:lang w:val="zh-CN"/>
          <w14:textFill>
            <w14:solidFill>
              <w14:schemeClr w14:val="tx1"/>
            </w14:solidFill>
          </w14:textFill>
        </w:rPr>
        <w:t xml:space="preserve">《商务条款偏离表》和《技术条款偏离表》等处</w:t>
      </w:r>
      <w:r>
        <w:rPr>
          <w:rFonts w:hint="eastAsia" w:ascii="宋体" w:hAnsi="宋体" w:cs="宋体"/>
          <w:color w:val="000000" w:themeColor="text1"/>
          <w:szCs w:val="21"/>
          <w:highlight w:val="none"/>
          <w14:textFill>
            <w14:solidFill>
              <w14:schemeClr w14:val="tx1"/>
            </w14:solidFill>
          </w14:textFill>
        </w:rPr>
        <w:t xml:space="preserve">逐条标明满足与否。</w:t>
      </w:r>
      <w:r/>
    </w:p>
    <w:p>
      <w:pPr>
        <w:ind w:firstLine="411"/>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9.2 供应商根据招标文件载明的标的采购项目实际情况，拟在中标后将中标项目的非主体、非关键性工作交由他人完成的，应当在投标文件中载明。</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.3 投标文件由商务部分、技术部分、价格部分，以及其他部分组成。</w:t>
      </w:r>
      <w:r/>
    </w:p>
    <w:p>
      <w:pPr>
        <w:ind w:firstLine="422"/>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10、投标文件的商务部分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10.1 商务部分是证明供应商有资格参加投标和中标后有能力履行合同的文件，</w:t>
      </w:r>
      <w:r>
        <w:rPr>
          <w:rFonts w:hint="eastAsia" w:ascii="宋体" w:hAnsi="宋体" w:cs="宋体"/>
          <w:color w:val="000000" w:themeColor="text1"/>
          <w:szCs w:val="21"/>
          <w:highlight w:val="none"/>
          <w14:textFill>
            <w14:solidFill>
              <w14:schemeClr w14:val="tx1"/>
            </w14:solidFill>
          </w14:textFill>
        </w:rPr>
        <w:t xml:space="preserve">这些文件应能满足招标的要求</w:t>
      </w:r>
      <w:r>
        <w:rPr>
          <w:rFonts w:hint="eastAsia" w:ascii="宋体" w:hAnsi="宋体" w:cs="宋体"/>
          <w:color w:val="000000" w:themeColor="text1"/>
          <w:szCs w:val="21"/>
          <w:highlight w:val="none"/>
          <w:lang w:val="zh-CN"/>
          <w14:textFill>
            <w14:solidFill>
              <w14:schemeClr w14:val="tx1"/>
            </w14:solidFill>
          </w14:textFill>
        </w:rPr>
        <w:t xml:space="preserve">，包括但不限于下列文件，其中加</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项目不得有缺失或无效。</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投标函（投标申请及声明）；</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法定代表人授权委托书及委托代理人的身份证复印件；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第一章投标邀请中二、申请人的资格要求：1.《中华人民共和国政府采购法》规定的资格条件证明文件</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第一章投标邀请中</w:t>
      </w:r>
      <w:r>
        <w:rPr>
          <w:rFonts w:hint="eastAsia" w:ascii="宋体" w:hAnsi="宋体" w:cs="宋体"/>
          <w:color w:val="000000" w:themeColor="text1"/>
          <w:szCs w:val="21"/>
          <w:highlight w:val="none"/>
          <w14:textFill>
            <w14:solidFill>
              <w14:schemeClr w14:val="tx1"/>
            </w14:solidFill>
          </w14:textFill>
        </w:rPr>
        <w:t xml:space="preserve">二、申请人的资格要求：3.本项目的特定资格要求</w:t>
      </w:r>
      <w:r>
        <w:rPr>
          <w:rFonts w:hint="eastAsia" w:ascii="宋体" w:hAnsi="宋体" w:cs="宋体"/>
          <w:color w:val="000000" w:themeColor="text1"/>
          <w:szCs w:val="21"/>
          <w:highlight w:val="none"/>
          <w:lang w:val="zh-CN"/>
          <w14:textFill>
            <w14:solidFill>
              <w14:schemeClr w14:val="tx1"/>
            </w14:solidFill>
          </w14:textFill>
        </w:rPr>
        <w:t xml:space="preserve">证明文件</w:t>
      </w:r>
      <w:r>
        <w:rPr>
          <w:rFonts w:hint="eastAsia"/>
          <w:color w:val="000000" w:themeColor="text1"/>
          <w:highlight w:val="none"/>
          <w14:textFill>
            <w14:solidFill>
              <w14:schemeClr w14:val="tx1"/>
            </w14:solidFill>
          </w14:textFill>
        </w:rPr>
        <w:t xml:space="preserve">（若有）</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开标一览表；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）《商务条款偏离表》； </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合同条款</w:t>
      </w:r>
      <w:r/>
    </w:p>
    <w:p>
      <w:pPr>
        <w:ind w:firstLine="42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供应商认为需要提供的其他资格证明文件和商务资料。</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11、投标文件的技术部分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 技术部分是证明</w:t>
      </w:r>
      <w:r>
        <w:rPr>
          <w:rFonts w:hint="eastAsia" w:ascii="宋体" w:hAnsi="宋体" w:cs="宋体"/>
          <w:color w:val="000000" w:themeColor="text1"/>
          <w:szCs w:val="21"/>
          <w:highlight w:val="none"/>
          <w14:textFill>
            <w14:solidFill>
              <w14:schemeClr w14:val="tx1"/>
            </w14:solidFill>
          </w14:textFill>
        </w:rPr>
        <w:t xml:space="preserve">供应商提供的产品和服务是合格的、并符合招标文件要求的证明文件，以及</w:t>
      </w:r>
      <w:r>
        <w:rPr>
          <w:rFonts w:hint="eastAsia" w:ascii="宋体" w:hAnsi="宋体" w:cs="宋体"/>
          <w:color w:val="000000" w:themeColor="text1"/>
          <w:szCs w:val="21"/>
          <w:highlight w:val="none"/>
          <w:lang w:val="zh-CN"/>
          <w14:textFill>
            <w14:solidFill>
              <w14:schemeClr w14:val="tx1"/>
            </w14:solidFill>
          </w14:textFill>
        </w:rPr>
        <w:t xml:space="preserve">对投标报价表中的服务的详细说明，这些文件可以是文字资料、图纸和数据等。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 若技术性能无特殊说明，则按国家有关部门最新颁布的标准及规范为准；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11.3 提供的服务如与招标文件要求有不符之处，应说明其差别之所在，并在《技术条款偏离表》中逐条予以说明。</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11.4 投标文件应按照招标文件要求提供技术资料、文件和有关证明，包括但不限于其中加</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项目不得有缺失或无效：</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（1）技术说明或服务方案；</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（2）《技术条款偏离表》； </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（3）服务承诺； </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（4）投标人拟投入本项目的设备、人员情况一览表； </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（5）供应商认为需要提供的其他技术资料。</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12、投标文件的价格部分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12.1价格部分是对投标服务价格构成的说明，</w:t>
      </w:r>
      <w:r>
        <w:rPr>
          <w:rFonts w:hint="eastAsia" w:ascii="宋体" w:hAnsi="宋体" w:eastAsia="宋体" w:cs="宋体"/>
          <w:color w:val="000000" w:themeColor="text1"/>
          <w:szCs w:val="21"/>
          <w:highlight w:val="none"/>
          <w14:textFill>
            <w14:solidFill>
              <w14:schemeClr w14:val="tx1"/>
            </w14:solidFill>
          </w14:textFill>
        </w:rPr>
        <w:t xml:space="preserve">招标文件如没有特别说明的话，</w:t>
      </w:r>
      <w:r>
        <w:rPr>
          <w:rFonts w:hint="eastAsia" w:ascii="宋体" w:hAnsi="宋体" w:cs="宋体"/>
          <w:color w:val="000000" w:themeColor="text1"/>
          <w:szCs w:val="21"/>
          <w:highlight w:val="none"/>
          <w:lang w:val="zh-CN"/>
          <w14:textFill>
            <w14:solidFill>
              <w14:schemeClr w14:val="tx1"/>
            </w14:solidFill>
          </w14:textFill>
        </w:rPr>
        <w:t xml:space="preserve">每一项服务仅接受一个价格。</w:t>
      </w:r>
      <w:r>
        <w:rPr>
          <w:rFonts w:hint="eastAsia" w:ascii="宋体" w:hAnsi="宋体" w:eastAsia="宋体" w:cs="宋体"/>
          <w:color w:val="000000" w:themeColor="text1"/>
          <w:szCs w:val="21"/>
          <w:highlight w:val="none"/>
          <w14:textFill>
            <w14:solidFill>
              <w14:schemeClr w14:val="tx1"/>
            </w14:solidFill>
          </w14:textFill>
        </w:rPr>
        <w:t xml:space="preserve">投标人应按照招标文件规定格式填报投标分项报价表。</w:t>
      </w:r>
      <w:r/>
    </w:p>
    <w:p>
      <w:pPr>
        <w:ind w:left="0" w:firstLine="420"/>
        <w:keepLines w:val="0"/>
        <w:keepNext w:val="0"/>
        <w:pageBreakBefore w:val="0"/>
        <w:spacing w:line="288" w:lineRule="auto"/>
        <w:shd w:val="clear" w:color="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12.2</w:t>
      </w:r>
      <w:r>
        <w:rPr>
          <w:rFonts w:hint="eastAsia" w:ascii="宋体" w:hAnsi="宋体" w:eastAsia="宋体" w:cs="宋体"/>
          <w:color w:val="000000" w:themeColor="text1"/>
          <w:szCs w:val="21"/>
          <w:highlight w:val="none"/>
          <w14:textFill>
            <w14:solidFill>
              <w14:schemeClr w14:val="tx1"/>
            </w14:solidFill>
          </w14:textFill>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eastAsia="宋体" w:cs="宋体"/>
          <w:b/>
          <w:color w:val="000000" w:themeColor="text1"/>
          <w:szCs w:val="21"/>
          <w:highlight w:val="none"/>
          <w14:textFill>
            <w14:solidFill>
              <w14:schemeClr w14:val="tx1"/>
            </w14:solidFill>
          </w14:textFill>
        </w:rPr>
        <w:t xml:space="preserve">。</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12.3供应商的任何错漏、优惠、竞争性报价不得作为减轻责任、减少服务、增加收费、降低质量的理由。</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12.4供应商应在《开标一览表》、《分项报价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》等标明提供</w:t>
      </w:r>
      <w:r>
        <w:rPr>
          <w:rFonts w:hint="eastAsia" w:ascii="宋体" w:hAnsi="宋体" w:cs="宋体"/>
          <w:color w:val="000000" w:themeColor="text1"/>
          <w:szCs w:val="21"/>
          <w:highlight w:val="none"/>
          <w:lang w:val="en-US" w:eastAsia="zh-CN"/>
          <w14:textFill>
            <w14:solidFill>
              <w14:schemeClr w14:val="tx1"/>
            </w14:solidFill>
          </w14:textFill>
        </w:rPr>
        <w:t xml:space="preserve">货物和</w:t>
      </w:r>
      <w:r>
        <w:rPr>
          <w:rFonts w:hint="eastAsia" w:ascii="宋体" w:hAnsi="宋体" w:cs="宋体"/>
          <w:color w:val="000000" w:themeColor="text1"/>
          <w:szCs w:val="21"/>
          <w:highlight w:val="none"/>
          <w:lang w:val="zh-CN"/>
          <w14:textFill>
            <w14:solidFill>
              <w14:schemeClr w14:val="tx1"/>
            </w14:solidFill>
          </w14:textFill>
        </w:rPr>
        <w:t xml:space="preserve">服务的单价、总价以及分项报价。供应商系小企业（含小型、微型企业），并由本企业提供服务，须在《开标一览表》、《分项报价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》中注明,供应商应当如实申报,否则评标委员会有权取消其小微企业优惠政策。</w:t>
      </w:r>
      <w:r/>
    </w:p>
    <w:p>
      <w:pPr>
        <w:ind w:left="0" w:firstLine="420"/>
        <w:keepLines w:val="0"/>
        <w:keepNext w:val="0"/>
        <w:pageBreakBefore w:val="0"/>
        <w:spacing w:line="288" w:lineRule="auto"/>
        <w:shd w:val="clear" w:color="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w:t>
      </w:r>
      <w:r>
        <w:rPr>
          <w:rFonts w:hint="eastAsia" w:ascii="宋体" w:hAnsi="宋体" w:cs="宋体"/>
          <w:color w:val="000000" w:themeColor="text1"/>
          <w:sz w:val="21"/>
          <w:szCs w:val="21"/>
          <w:highlight w:val="none"/>
          <w:lang w:val="zh-CN"/>
          <w14:textFill>
            <w14:solidFill>
              <w14:schemeClr w14:val="tx1"/>
            </w14:solidFill>
          </w14:textFill>
        </w:rPr>
        <w:t xml:space="preserve">《开标一览表》须加盖电子公章。</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12.6</w:t>
      </w:r>
      <w:r>
        <w:rPr>
          <w:rFonts w:hint="eastAsia" w:ascii="宋体" w:hAnsi="宋体" w:cs="宋体"/>
          <w:color w:val="000000" w:themeColor="text1"/>
          <w:szCs w:val="21"/>
          <w:highlight w:val="none"/>
          <w14:textFill>
            <w14:solidFill>
              <w14:schemeClr w14:val="tx1"/>
            </w14:solidFill>
          </w14:textFill>
        </w:rPr>
        <w:t xml:space="preserve">评审中出现下列情形之一的，评审委员会应当启动异常低价投标（响应）审查程序：</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（3）投标（响应）报价低于采购项目最高限价45%的，即投标（响应）报价&lt;采购项目最高限价×45%；</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相关法律法规对供应商报价有规定的，从其规定。</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2.7</w:t>
      </w:r>
      <w:r>
        <w:rPr>
          <w:rFonts w:hint="eastAsia" w:ascii="宋体" w:hAnsi="宋体" w:cs="宋体"/>
          <w:color w:val="000000" w:themeColor="text1"/>
          <w:szCs w:val="21"/>
          <w:highlight w:val="none"/>
          <w14:textFill>
            <w14:solidFill>
              <w14:schemeClr w14:val="tx1"/>
            </w14:solidFill>
          </w14:textFill>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13、投标文件的其他部分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13.1其他部分由供应商根据编制投标文件需要提供的其他相关文件。</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14、投标保证金：无</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15、投标有效期</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15.1 自开标之日起60天内投标有效。</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16、投标文件的份数、签署</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 </w:t>
      </w:r>
      <w:r>
        <w:rPr>
          <w:rFonts w:hint="eastAsia" w:ascii="宋体" w:hAnsi="宋体" w:cs="宋体"/>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zCs w:val="21"/>
          <w:highlight w:val="none"/>
          <w14:textFill>
            <w14:solidFill>
              <w14:schemeClr w14:val="tx1"/>
            </w14:solidFill>
          </w14:textFill>
        </w:rPr>
        <w:t xml:space="preserve">应加盖响应供应商公章</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1"/>
          <w:highlight w:val="none"/>
          <w14:textFill>
            <w14:solidFill>
              <w14:schemeClr w14:val="tx1"/>
            </w14:solidFill>
          </w14:textFill>
        </w:rPr>
        <w:t xml:space="preserve">文件中注明须签字的地方应由供应商的法定代表人或委托代理人签字。</w:t>
      </w:r>
      <w:r/>
    </w:p>
    <w:p>
      <w:pPr>
        <w:ind w:firstLine="420"/>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 </w:t>
      </w:r>
      <w:r>
        <w:rPr>
          <w:rFonts w:hint="eastAsia" w:ascii="宋体" w:hAnsi="宋体" w:cs="宋体"/>
          <w:bCs/>
          <w:color w:val="000000" w:themeColor="text1"/>
          <w:highlight w:val="none"/>
          <w14:textFill>
            <w14:solidFill>
              <w14:schemeClr w14:val="tx1"/>
            </w14:solidFill>
          </w14:textFill>
        </w:rPr>
        <w:t xml:space="preserve">除投标人对错处做必要修改外，投标文件不得行间插字、涂改或增删。如有修改错漏处，必须由投标文件签署人签字或盖章。</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17、投标文件的密封和递交</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17.1 </w:t>
      </w:r>
      <w:r>
        <w:rPr>
          <w:rFonts w:hint="eastAsia" w:ascii="宋体" w:hAnsi="宋体" w:eastAsia="宋体" w:cs="宋体"/>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.2投标人应当按照《操作手册》规定，在苏采云系统规定的时间内对</w:t>
      </w:r>
      <w:r>
        <w:rPr>
          <w:rFonts w:hint="eastAsia" w:ascii="宋体" w:hAnsi="宋体" w:eastAsia="宋体" w:cs="宋体"/>
          <w:color w:val="000000" w:themeColor="text1"/>
          <w:szCs w:val="21"/>
          <w:highlight w:val="none"/>
          <w:lang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文件进行解密。</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color w:val="000000" w:themeColor="text1"/>
          <w:szCs w:val="21"/>
          <w:highlight w:val="none"/>
          <w14:textFill>
            <w14:solidFill>
              <w14:schemeClr w14:val="tx1"/>
            </w14:solidFill>
          </w14:textFill>
        </w:rPr>
        <w:t xml:space="preserve"> 所有</w:t>
      </w:r>
      <w:r>
        <w:rPr>
          <w:rFonts w:hint="eastAsia" w:ascii="宋体" w:hAnsi="宋体" w:eastAsia="宋体" w:cs="宋体"/>
          <w:color w:val="000000" w:themeColor="text1"/>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1"/>
          <w:highlight w:val="none"/>
          <w14:textFill>
            <w14:solidFill>
              <w14:schemeClr w14:val="tx1"/>
            </w14:solidFill>
          </w14:textFill>
        </w:rPr>
        <w:t xml:space="preserve">使用 CA 证书在递交响应文件截止后，解密各自响应文件，</w:t>
      </w:r>
      <w:r>
        <w:rPr>
          <w:rFonts w:hint="eastAsia" w:ascii="宋体" w:hAnsi="宋体" w:eastAsia="宋体" w:cs="宋体"/>
          <w:color w:val="000000" w:themeColor="text1"/>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1"/>
          <w:highlight w:val="none"/>
          <w14:textFill>
            <w14:solidFill>
              <w14:schemeClr w14:val="tx1"/>
            </w14:solidFill>
          </w14:textFill>
        </w:rPr>
        <w:t xml:space="preserve">不足3家的，不得评标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color w:val="000000" w:themeColor="text1"/>
          <w:szCs w:val="21"/>
          <w:highlight w:val="none"/>
          <w14:textFill>
            <w14:solidFill>
              <w14:schemeClr w14:val="tx1"/>
            </w14:solidFill>
          </w14:textFill>
        </w:rPr>
        <w:t xml:space="preserve"> 因投标人网络与电源不稳定、未按操作手册要求配置软硬件、解密锁发生故障或用错、故意不在要求时限内完成解密等自身原因，导致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文件在规定时间内未能解密、解密失败或解密超时，视为投标人撤销其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文件，系统内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文件将被退回；因采购人原因或网上招投标平台发生故障，导致无法按时完成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文件解密或开、评标工作无法进行的，可根据实际情况相应延迟解密时间或调整开、评标时间。部分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文件未解密的，其他</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文件的评标可以继续进行。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代理机构有权通过修改招标文件酌情延长投标截止时间，在此情况下，投标人的所有权利和义务均以延长后新的截止时间为准。</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18、有下列情形之一的投标文件将拒收：</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18.1 在招标文件要求提交投标文件的截止时间之后</w:t>
      </w:r>
      <w:r>
        <w:rPr>
          <w:rFonts w:hint="eastAsia" w:ascii="宋体" w:hAnsi="宋体" w:cs="宋体"/>
          <w:color w:val="000000" w:themeColor="text1"/>
          <w:szCs w:val="21"/>
          <w:highlight w:val="none"/>
          <w:lang w:val="en-US" w:eastAsia="zh-CN"/>
          <w14:textFill>
            <w14:solidFill>
              <w14:schemeClr w14:val="tx1"/>
            </w14:solidFill>
          </w14:textFill>
        </w:rPr>
        <w:t xml:space="preserve">上传</w:t>
      </w:r>
      <w:r>
        <w:rPr>
          <w:rFonts w:hint="eastAsia" w:ascii="宋体" w:hAnsi="宋体" w:cs="宋体"/>
          <w:color w:val="000000" w:themeColor="text1"/>
          <w:szCs w:val="21"/>
          <w:highlight w:val="none"/>
          <w:lang w:val="zh-CN"/>
          <w14:textFill>
            <w14:solidFill>
              <w14:schemeClr w14:val="tx1"/>
            </w14:solidFill>
          </w14:textFill>
        </w:rPr>
        <w:t xml:space="preserve">的。</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19、投标文件的修改和撤回</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19.1 </w:t>
      </w:r>
      <w:r>
        <w:rPr>
          <w:rFonts w:hint="eastAsia" w:ascii="宋体" w:hAnsi="宋体" w:eastAsia="宋体" w:cs="宋体"/>
          <w:color w:val="000000" w:themeColor="text1"/>
          <w:szCs w:val="21"/>
          <w:highlight w:val="none"/>
          <w14:textFill>
            <w14:solidFill>
              <w14:schemeClr w14:val="tx1"/>
            </w14:solidFill>
          </w14:textFill>
        </w:rPr>
        <w:t xml:space="preserve">投标文件的修改</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.1 投标人可在投标截止时间前对其电子投标文件进行修改，具体操作方法见《操作手册》。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.2 投标截止时间之后，投标人不得对其电子投标文件作任何修改。</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投标文件的撤回</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.2.1 投标人可在投标截止时间前撤回其电子投标文件，具体操作方法见《操作手册》。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.2.2 投标人撤回电子投标文件，则认为其不再参与本项目投标活动。</w:t>
      </w:r>
      <w:r/>
    </w:p>
    <w:p>
      <w:pPr>
        <w:ind w:left="0" w:firstLine="420"/>
        <w:keepLines w:val="0"/>
        <w:keepNext w:val="0"/>
        <w:pageBreakBefore w:val="0"/>
        <w:spacing w:line="288"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.2.3 在投标截止时间至招标文件中规定的投标有效期满之间的这段时间内，投标人不得撤回其投标。</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四、开标、评标与</w:t>
      </w:r>
      <w:r>
        <w:rPr>
          <w:rFonts w:hint="eastAsia" w:ascii="宋体" w:hAnsi="宋体" w:cs="宋体"/>
          <w:b/>
          <w:bCs/>
          <w:color w:val="000000" w:themeColor="text1"/>
          <w:highlight w:val="none"/>
          <w:lang w:val="zh-CN"/>
          <w14:textFill>
            <w14:solidFill>
              <w14:schemeClr w14:val="tx1"/>
            </w14:solidFill>
          </w14:textFill>
        </w:rPr>
        <w:t xml:space="preserve">确定中标供应商</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20、开标</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 </w:t>
      </w:r>
      <w:r>
        <w:rPr>
          <w:rFonts w:hint="eastAsia" w:ascii="宋体" w:hAnsi="宋体" w:eastAsia="宋体" w:cs="宋体"/>
          <w:color w:val="000000" w:themeColor="text1"/>
          <w:szCs w:val="21"/>
          <w:highlight w:val="none"/>
          <w14:textFill>
            <w14:solidFill>
              <w14:schemeClr w14:val="tx1"/>
            </w14:solidFill>
          </w14:textFill>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 </w:t>
      </w:r>
      <w:r>
        <w:rPr>
          <w:rFonts w:hint="eastAsia" w:ascii="宋体" w:hAnsi="宋体" w:eastAsia="宋体" w:cs="宋体"/>
          <w:color w:val="000000" w:themeColor="text1"/>
          <w:szCs w:val="21"/>
          <w:highlight w:val="none"/>
          <w14:textFill>
            <w14:solidFill>
              <w14:schemeClr w14:val="tx1"/>
            </w14:solidFill>
          </w14:textFill>
        </w:rPr>
        <w:t xml:space="preserve">投标人在开标过程中涉及到的投标文件解密、开标结果确认等工作，应按照《操作手册》规定执行。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lang w:val="zh-CN"/>
          <w14:textFill>
            <w14:solidFill>
              <w14:schemeClr w14:val="tx1"/>
            </w14:solidFill>
          </w14:textFill>
        </w:rPr>
        <w:t xml:space="preserve">.3 </w:t>
      </w:r>
      <w:r>
        <w:rPr>
          <w:rFonts w:hint="eastAsia" w:ascii="宋体" w:hAnsi="宋体" w:eastAsia="宋体" w:cs="宋体"/>
          <w:color w:val="000000" w:themeColor="text1"/>
          <w:szCs w:val="21"/>
          <w:highlight w:val="none"/>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21、评标</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w:t>
      </w:r>
      <w:r>
        <w:rPr>
          <w:rFonts w:hint="eastAsia" w:ascii="宋体" w:hAnsi="宋体" w:cs="宋体"/>
          <w:b/>
          <w:bCs/>
          <w:color w:val="000000" w:themeColor="text1"/>
          <w:szCs w:val="21"/>
          <w:highlight w:val="none"/>
          <w:lang w:val="zh-CN"/>
          <w14:textFill>
            <w14:solidFill>
              <w14:schemeClr w14:val="tx1"/>
            </w14:solidFill>
          </w14:textFill>
        </w:rPr>
        <w:t xml:space="preserve"> 评标组织</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21.1.1评标工作由招标代理负责组织，具体评标事务由依法组建的评标委员会负责，并独立履行</w:t>
      </w:r>
      <w:r>
        <w:rPr>
          <w:rFonts w:hint="eastAsia" w:ascii="宋体" w:hAnsi="宋体" w:cs="宋体"/>
          <w:color w:val="000000" w:themeColor="text1"/>
          <w:szCs w:val="21"/>
          <w:highlight w:val="none"/>
          <w14:textFill>
            <w14:solidFill>
              <w14:schemeClr w14:val="tx1"/>
            </w14:solidFill>
          </w14:textFill>
        </w:rPr>
        <w:t xml:space="preserve">下列职责：</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（2）要求投标人对投标文件有关事项作出澄清或者说明；</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（3）对投标文件进行比较和评价；</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推荐中标候选人或</w:t>
      </w:r>
      <w:r>
        <w:rPr>
          <w:rFonts w:hint="eastAsia" w:ascii="宋体" w:hAnsi="宋体" w:cs="宋体"/>
          <w:color w:val="000000" w:themeColor="text1"/>
          <w:szCs w:val="21"/>
          <w:highlight w:val="none"/>
          <w14:textFill>
            <w14:solidFill>
              <w14:schemeClr w14:val="tx1"/>
            </w14:solidFill>
          </w14:textFill>
        </w:rPr>
        <w:t xml:space="preserve">根据采购人委托协议直接确定中标人；</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（5）向采购人、财政部门报告评标中发现的违法行为。</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21.1.2 </w:t>
      </w:r>
      <w:r>
        <w:rPr>
          <w:rFonts w:hint="eastAsia" w:ascii="宋体" w:hAnsi="宋体" w:cs="宋体"/>
          <w:color w:val="000000" w:themeColor="text1"/>
          <w:szCs w:val="21"/>
          <w:highlight w:val="none"/>
          <w:lang w:val="zh-CN"/>
          <w14:textFill>
            <w14:solidFill>
              <w14:schemeClr w14:val="tx1"/>
            </w14:solidFill>
          </w14:textFill>
        </w:rPr>
        <w:t xml:space="preserve">评标委员会由采购人代表和有关技术、经济等方面的专家组成，独立开展评审工作。</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21.2 评标程序</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21.2.1 投标文件的资格审查。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21.2.1.1 采购人代表将依法对投标人的资格进行审查。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21.2.1.2 资格性审查：依据法律法规和招标文件的规定，对投标文件中的资格证明文件进行审查，以 确定投标供应商是否具备投标资格。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21.2.1.4 投标文件有下列情况之一的，在资格性审查时按照无效投标处理：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不具备招标文件中规定资格条件的；</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t xml:space="preserve">21.2.2 投标文件的符合性审查。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21.2.2.1 评标委员会将依据法律法规和招标文件的规定，对投标文件的有效性、完整性和对招标文件 的响应程度进行审查，以确定是否对招标文件的实质性要求作出响应。</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21.2.2.2 实质性要求是指本招标文件中用带星号（“</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”）的商务和技术要求。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21.2.2.3 如果投标文件实质上没有响应招标文件的要求，评标委员会将予以拒绝，投标人不得通过修改或撤销不合要求的偏离或保留而使其投标成为实质性响应的投标。</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21.2.2.4 投标文件有下列情况之一的，在符合性审查时按照无效投标处理： </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（1）供应商在苏采云系统规定的时间内未成功解密电子投标文件的。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（2）供应商未按照采购文件要求上传电子投标文件的。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（3）供应商不具备采购文件中规定资格要求的；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（4）供应商在报价时采用选择性报价；</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（5）报价超过采购文件中规定的预算金额或者最高限价的；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（6）投标文件含有采购人不能接受的附加条件的；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（7）不同供应商的投标文件由同一单位或者个人编制；</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（8）不同供应商委托同一单位或者个人办理投标事宜；</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（9）不同供应商的投标文件载明的项目管理成员或联系人员为同一人；</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（10）不同供应商的投标文件异常一致或者报价呈规律性差异；</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（11）不同供应商的投标文件相互混装；</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（12）不同供应商的负责人为同一人或者存在控股、管理关系的；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（13）未通过符合性检查的；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（15）未按文件要求签署、盖章的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（16）不符合采购文件中规定的其它实质性要求的；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（18）不符合法律、法规和磋商文件规定的其他实质性要求的。</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21.2.2.5 在评标期间，出现符合专业条件的供应商或者对招标文件作出实质性响应的供应商不足三 家情形的，比照 </w:t>
      </w:r>
      <w:r>
        <w:rPr>
          <w:rFonts w:hint="eastAsia"/>
          <w:color w:val="000000" w:themeColor="text1"/>
          <w:highlight w:val="none"/>
          <w14:textFill>
            <w14:solidFill>
              <w14:schemeClr w14:val="tx1"/>
            </w14:solidFill>
          </w14:textFill>
        </w:rPr>
        <w:t xml:space="preserve">20.4</w:t>
      </w:r>
      <w:r>
        <w:rPr>
          <w:color w:val="000000" w:themeColor="text1"/>
          <w:highlight w:val="none"/>
          <w14:textFill>
            <w14:solidFill>
              <w14:schemeClr w14:val="tx1"/>
            </w14:solidFill>
          </w14:textFill>
        </w:rPr>
        <w:t xml:space="preserve"> 款执行。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21.2.2.6 有下列情形之一的予以废标，同时将废标理由通知所有供应商：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（1）符合专业条件的供应商或者对招标文件作实质性响应的供应商不足三家的；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（2）出现影响采购公正的违法、违规行为的；</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（3）供应商的报价均超过了采购预算或最高限价的，采购人不能支付的；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（4）因重大变故，采购任务取消的；</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评委会认定招标文件存在歧义、重大缺陷导致评审工作无法进行。</w:t>
      </w:r>
      <w:r/>
    </w:p>
    <w:p>
      <w:pPr>
        <w:ind w:left="0" w:firstLine="420"/>
        <w:keepLines w:val="0"/>
        <w:keepNext w:val="0"/>
        <w:pageBreakBefore w:val="0"/>
        <w:spacing w:line="288" w:lineRule="auto"/>
        <w:shd w:val="clear" w:color="auto"/>
        <w:widowControl/>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eastAsia="zh-CN"/>
          <w14:textFill>
            <w14:solidFill>
              <w14:schemeClr w14:val="tx1"/>
            </w14:solidFill>
          </w14:textFill>
        </w:rPr>
        <w:t xml:space="preserve">）预留份额的采购项目或采购包，通过发布公告方式邀请供应商后，符合资格条件的中小企业数量不足3家的。</w:t>
      </w:r>
      <w:r/>
    </w:p>
    <w:p>
      <w:pPr>
        <w:ind w:left="0" w:firstLine="420"/>
        <w:keepLines w:val="0"/>
        <w:keepNext w:val="0"/>
        <w:pageBreakBefore w:val="0"/>
        <w:spacing w:line="288" w:lineRule="auto"/>
        <w:shd w:val="clear" w:color="auto"/>
        <w:widowControl/>
        <w:rPr>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eastAsia="zh-CN"/>
          <w14:textFill>
            <w14:solidFill>
              <w14:schemeClr w14:val="tx1"/>
            </w14:solidFill>
          </w14:textFill>
        </w:rPr>
        <w:t xml:space="preserve">）因苏采云系统故障造成开标不成功。</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 投标文件的进一步评审。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21.2.3.1 评标委员会将对确定为实质性响应的投标文件进行进一步评审，看其是否有计算上或累加上 的算术错误，修正错误的原则如下：</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）《开标一览表》（报价表）内容与投标文件中相应内容不一致的，以《开标一览表》（报价表）为准。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）投标文件、《开标一览表》（报价表）中报价的大写金额与小写金额不一致的，以大写金额为准。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）单价金额小数点或者百分比有明显错位的，以《开标一览表》（报价表）的总价为准，并修改单价；</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）总价金额与按单价汇总金额不一致的，以单价金额计算结果为准；</w:t>
      </w:r>
      <w:r>
        <w:rPr>
          <w:color w:val="000000" w:themeColor="text1"/>
          <w:highlight w:val="none"/>
          <w14:textFill>
            <w14:solidFill>
              <w14:schemeClr w14:val="tx1"/>
            </w14:solidFill>
          </w14:textFill>
        </w:rPr>
        <w:t xml:space="preserve">只有在评委会认为单价有明显的小数点错误时，才能以标出的总价为准，并修改单价。</w:t>
      </w:r>
      <w:r/>
    </w:p>
    <w:p>
      <w:pPr>
        <w:ind w:left="0" w:firstLine="420"/>
        <w:keepLines w:val="0"/>
        <w:keepNext w:val="0"/>
        <w:pageBreakBefore w:val="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）同时出现21.2.3.1中两种以上不一致的,按照（</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的顺序修正。</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）对不同文字文本投标文件的解释发生异议的，以中文文本为准。</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21.2.3.2 评标委员会将按上述修正错误的方法</w:t>
      </w:r>
      <w:r>
        <w:rPr>
          <w:rFonts w:hint="eastAsia"/>
          <w:color w:val="000000" w:themeColor="text1"/>
          <w:highlight w:val="none"/>
          <w:lang w:val="en-US" w:eastAsia="zh-CN"/>
          <w14:textFill>
            <w14:solidFill>
              <w14:schemeClr w14:val="tx1"/>
            </w14:solidFill>
          </w14:textFill>
        </w:rPr>
        <w:t xml:space="preserve">修正</w:t>
      </w:r>
      <w:r>
        <w:rPr>
          <w:color w:val="000000" w:themeColor="text1"/>
          <w:highlight w:val="none"/>
          <w14:textFill>
            <w14:solidFill>
              <w14:schemeClr w14:val="tx1"/>
            </w14:solidFill>
          </w14:textFill>
        </w:rPr>
        <w:t xml:space="preserve">投标文件中的投标价，</w:t>
      </w:r>
      <w:r>
        <w:rPr>
          <w:rFonts w:hint="eastAsia" w:ascii="宋体" w:hAnsi="宋体" w:cs="宋体"/>
          <w:color w:val="000000" w:themeColor="text1"/>
          <w:szCs w:val="21"/>
          <w:highlight w:val="none"/>
          <w:lang w:val="zh-CN"/>
          <w14:textFill>
            <w14:solidFill>
              <w14:schemeClr w14:val="tx1"/>
            </w14:solidFill>
          </w14:textFill>
        </w:rPr>
        <w:t xml:space="preserve">修正后的报价由法定代表人或其授权的代表</w:t>
      </w:r>
      <w:r>
        <w:rPr>
          <w:rFonts w:hint="eastAsia" w:ascii="宋体" w:hAnsi="宋体" w:eastAsia="宋体" w:cs="宋体"/>
          <w:color w:val="000000" w:themeColor="text1"/>
          <w:szCs w:val="21"/>
          <w:highlight w:val="none"/>
          <w:lang w:val="zh-CN"/>
          <w14:textFill>
            <w14:solidFill>
              <w14:schemeClr w14:val="tx1"/>
            </w14:solidFill>
          </w14:textFill>
        </w:rPr>
        <w:t xml:space="preserve">通过“苏采云”系统</w:t>
      </w:r>
      <w:r>
        <w:rPr>
          <w:rFonts w:hint="eastAsia" w:ascii="宋体" w:hAnsi="宋体" w:cs="宋体"/>
          <w:color w:val="000000" w:themeColor="text1"/>
          <w:szCs w:val="21"/>
          <w:highlight w:val="none"/>
          <w:lang w:val="zh-CN"/>
          <w14:textFill>
            <w14:solidFill>
              <w14:schemeClr w14:val="tx1"/>
            </w14:solidFill>
          </w14:textFill>
        </w:rPr>
        <w:t xml:space="preserve">确认后产生约束力，投标人不确认的，投标无效。</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21.2.3.3 评委会将允许修正投标文件中不构成重大偏离的、微小的、非正规的、不一致的或不规则的地方，但这些修改不能影响任何投标人相应的名次排列。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21.2.3.4 澄清有关问题。对投标文件中含义不明确、同类问题表述不一致或者明显文字错误的内容， 评标委员会可以要求供应商作出必要的澄清、说明或者补正。供应商的澄清、说明、补正应当采用书面形 式，由其授权代表签字，但不得超出投标文件的范围或者改变投标文件的实质性内容。</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21.2.3.5 </w:t>
      </w:r>
      <w:r>
        <w:rPr>
          <w:rFonts w:hint="eastAsia" w:ascii="宋体" w:hAnsi="宋体" w:eastAsia="宋体" w:cs="宋体"/>
          <w:color w:val="000000" w:themeColor="text1"/>
          <w:szCs w:val="21"/>
          <w:highlight w:val="none"/>
          <w14:textFill>
            <w14:solidFill>
              <w14:schemeClr w14:val="tx1"/>
            </w14:solidFill>
          </w14:textFill>
        </w:rPr>
        <w:t xml:space="preserve">需要供应商进行澄清、说明和补正的，</w:t>
      </w:r>
      <w:r>
        <w:rPr>
          <w:rFonts w:hint="eastAsia" w:ascii="宋体" w:hAnsi="宋体" w:cs="宋体"/>
          <w:color w:val="000000" w:themeColor="text1"/>
          <w:szCs w:val="21"/>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Cs w:val="21"/>
          <w:highlight w:val="none"/>
          <w14:textFill>
            <w14:solidFill>
              <w14:schemeClr w14:val="tx1"/>
            </w14:solidFill>
          </w14:textFill>
        </w:rPr>
        <w:t xml:space="preserve">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接到</w:t>
      </w:r>
      <w:r>
        <w:rPr>
          <w:rFonts w:hint="eastAsia" w:ascii="宋体" w:hAnsi="宋体" w:cs="宋体"/>
          <w:color w:val="000000" w:themeColor="text1"/>
          <w:szCs w:val="21"/>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Cs w:val="21"/>
          <w:highlight w:val="none"/>
          <w14:textFill>
            <w14:solidFill>
              <w14:schemeClr w14:val="tx1"/>
            </w14:solidFill>
          </w14:textFill>
        </w:rPr>
        <w:t xml:space="preserve">澄清、说明和补正要求的供应商如未按规定做出澄清、说明和补正，其风险由供应商自行承担。供应商拒不按照要求对响应件进行澄清、说明或者补正的，视其放弃该项权利。</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7 </w:t>
      </w:r>
      <w:r>
        <w:rPr>
          <w:color w:val="000000" w:themeColor="text1"/>
          <w:highlight w:val="none"/>
          <w14:textFill>
            <w14:solidFill>
              <w14:schemeClr w14:val="tx1"/>
            </w14:solidFill>
          </w14:textFill>
        </w:rPr>
        <w:t xml:space="preserve">比较与评价。按照招标文件中规定的评标方法和标准，对资格性检查和符合性检查合格的投 标文件进行商务和技术评估，综合比较与评价。</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0</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投标人在开、评标全过程中应保持通讯畅通，及时登录苏采云系统查阅、答复相关信息，并安排专人与代理机构及评委会联系。</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0</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9</w:t>
      </w:r>
      <w:r>
        <w:rPr>
          <w:rFonts w:hint="eastAsia" w:ascii="Times New Roman" w:hAnsi="Times New Roman" w:eastAsia="宋体" w:cs="Times New Roman"/>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如出现投标截止时间后参加投标的供应商或者对招标文件作出实质性响应的供应商不足三家的情况，按政府采购相关规定执行。</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 评标方法和标准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21.3.1 采用综合评分法。即在投标文件满足招标文件全部实质性要求前提下，且按照评审因素的量化指标评审得分最高的投标人为中标人的评标方法。</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21.3.2 综合评分的主要因素是：价格、技术、商务等。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21.3.3</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评分标准详见文件第三章。</w:t>
      </w:r>
      <w:r/>
    </w:p>
    <w:p>
      <w:pPr>
        <w:ind w:firstLine="422"/>
        <w:rPr>
          <w:rFonts w:ascii="宋体" w:hAnsi="宋体" w:cs="宋体"/>
          <w:b/>
          <w:bCs/>
          <w:color w:val="000000" w:themeColor="text1"/>
          <w:highlight w:val="none"/>
          <w:lang w:val="zh-CN"/>
          <w14:textFill>
            <w14:solidFill>
              <w14:schemeClr w14:val="tx1"/>
            </w14:solidFill>
          </w14:textFill>
        </w:rPr>
      </w:pPr>
      <w:r>
        <w:rPr>
          <w:rFonts w:hint="eastAsia" w:ascii="宋体" w:hAnsi="宋体" w:cs="宋体"/>
          <w:b/>
          <w:bCs/>
          <w:color w:val="000000" w:themeColor="text1"/>
          <w:highlight w:val="none"/>
          <w:lang w:val="zh-CN"/>
          <w14:textFill>
            <w14:solidFill>
              <w14:schemeClr w14:val="tx1"/>
            </w14:solidFill>
          </w14:textFill>
        </w:rPr>
        <w:t xml:space="preserve">22、确定中标供应商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w:t>
      </w:r>
      <w:r>
        <w:rPr>
          <w:rFonts w:hint="eastAsia" w:ascii="宋体" w:hAnsi="宋体" w:cs="宋体"/>
          <w:color w:val="000000" w:themeColor="text1"/>
          <w:highlight w:val="none"/>
          <w14:textFill>
            <w14:solidFill>
              <w14:schemeClr w14:val="tx1"/>
            </w14:solidFill>
          </w14:textFill>
        </w:rPr>
        <w:t xml:space="preserve">技术部分</w:t>
      </w:r>
      <w:r>
        <w:rPr>
          <w:rFonts w:hint="eastAsia" w:ascii="宋体" w:hAnsi="宋体" w:cs="宋体"/>
          <w:color w:val="000000" w:themeColor="text1"/>
          <w:highlight w:val="none"/>
          <w:lang w:val="zh-CN"/>
          <w14:textFill>
            <w14:solidFill>
              <w14:schemeClr w14:val="tx1"/>
            </w14:solidFill>
          </w14:textFill>
        </w:rPr>
        <w:t xml:space="preserve">）优劣顺序排列。</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22.2 按以下第（</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）种方式确定中标供应商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（1）评标委员会直接确定排名第一的中标候选人为中标供应商；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（2）采购人在评标委员会推荐的中标候选人中按顺序确定中标供应商。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22.3 中标供应商确定之日起两个工作日内，将在财政部门指定的政府采购信息发布媒体上公告。</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22.4 《中标通知书》对采购人和中标供应商具有同等法律效力。</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22.5 《中标通知书》发出后，中标供应商无正当理由不与采购人签订合同的，应当依法承担法律责任。</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22.6代理机构和评标委员会对未中标的供应商不作未中标原因的解释。</w:t>
      </w:r>
      <w:r/>
    </w:p>
    <w:p>
      <w:pPr>
        <w:ind w:firstLine="413"/>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23</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编写评标报告</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23.1 评标委员会根据全体评标成员签字的原始评标记录和评标结果编写评标报告。</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24、评标过程的保密性</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24.1 招标代理将采取必要措施，保证评标在严格保密的情况下进行。</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 任何单位和个人不得非法干预、影响评标办法的确定，以及评标过程和结果。</w:t>
      </w:r>
      <w:r/>
    </w:p>
    <w:p>
      <w:pPr>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24.3 凡是与审查、澄清、评价和比较投标的有关资料等，均不向供应商及与评标无关的其他人员透露。</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五、签订合同</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25、签订合同</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25.2</w:t>
      </w:r>
      <w:r>
        <w:rPr>
          <w:rFonts w:hint="eastAsia" w:ascii="宋体" w:hAnsi="宋体" w:cs="宋体"/>
          <w:color w:val="000000" w:themeColor="text1"/>
          <w:szCs w:val="21"/>
          <w:highlight w:val="none"/>
          <w14:textFill>
            <w14:solidFill>
              <w14:schemeClr w14:val="tx1"/>
            </w14:solidFill>
          </w14:textFill>
        </w:rPr>
        <w:t xml:space="preserve">采购人不得向中标人提出任何不合理的要求作为签订合同的条件，不得与中标人私下订立背离合同实质性内容的协议。</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六、询问、质疑、投诉和诚实信用</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26、询问</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 xml:space="preserve">。</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27、质疑</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27.1 投标人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27.2 </w:t>
      </w:r>
      <w:r>
        <w:rPr>
          <w:rFonts w:hint="eastAsia" w:ascii="宋体" w:hAnsi="宋体" w:eastAsia="宋体" w:cs="宋体"/>
          <w:color w:val="000000" w:themeColor="text1"/>
          <w:szCs w:val="21"/>
          <w:highlight w:val="none"/>
          <w14:textFill>
            <w14:solidFill>
              <w14:schemeClr w14:val="tx1"/>
            </w14:solidFill>
          </w14:textFill>
        </w:rPr>
        <w:t xml:space="preserve">质疑供应商的质疑行为应符合财政部94号令相关规定，</w:t>
      </w:r>
      <w:r>
        <w:rPr>
          <w:rFonts w:hint="eastAsia" w:ascii="宋体" w:hAnsi="宋体" w:cs="宋体"/>
          <w:color w:val="000000" w:themeColor="text1"/>
          <w:szCs w:val="21"/>
          <w:highlight w:val="none"/>
          <w:lang w:val="zh-CN"/>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27.3 质疑必须以参加投标供应商法定代表人或授权代表（投标文件中所确定的）原件送达的方式提交，否则，招标代理有权不予受理。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27.4上述应知其权益受到损害之日是指：</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（1）对招标文件提出质疑的，为投标文件公告期限届满之日起计算；</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（2）对采购过程提出质疑的，自采购程序环节结束之日起计算；</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（3）对中标结果提出质疑的，自中标结果公告期限届满之日起计算。  </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27.5 质疑文件应包括以下主要内容，并按照“谁主张、谁举证”的原则，附上相关证明材料。否则，招标代理或采购人不予受理：</w:t>
      </w:r>
      <w:r/>
    </w:p>
    <w:p>
      <w:pPr>
        <w:ind w:left="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（1）质疑项目名称、项目编号、包号、招标公告发布时间、开标时间；</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（2）提起质疑的日期、具体的质疑事项及事实根据（具体条款）；</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（4）质疑供应商名称、地址、邮编、联系人、联系电话（包括座机、手机、传真号码等）；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（5）质疑文件应当署名，质疑人为自然人的，应当由本人签字并附有效身份证明；质疑人为法人或其他组织的，应当由法定代表人签字并加盖单位公章。</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（6）供应商委托代理质疑的，应当向被质疑人提交授权委托书，并载明委托代理的具体权限和事项。</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27.6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28、投诉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28.1 质疑供应商对招标代理的答复不满意，或招标代理未在规定的时间内作出答复的，可以在答复期满后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 xml:space="preserve">十五个工作日内</w:t>
      </w:r>
      <w:r>
        <w:rPr>
          <w:rFonts w:hint="eastAsia" w:ascii="宋体" w:hAnsi="宋体" w:cs="宋体"/>
          <w:color w:val="000000" w:themeColor="text1"/>
          <w:szCs w:val="21"/>
          <w:highlight w:val="none"/>
          <w:lang w:val="zh-CN"/>
          <w14:textFill>
            <w14:solidFill>
              <w14:schemeClr w14:val="tx1"/>
            </w14:solidFill>
          </w14:textFill>
        </w:rPr>
        <w:t xml:space="preserve">向采购项目同级财政部门投诉。</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29、诚实信用</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29.1 供应商之间不得相互串通投标报价，不得妨碍其他供应商的公平竞争，不得损害采购人和其他供应商的合法权益。</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29.2 供应商不得以向招标代理工作人员、评标委员会成员行贿或者采取其他不正当手段谋取中标。经查实供应商有此行为的，</w:t>
      </w:r>
      <w:r>
        <w:rPr>
          <w:rFonts w:hint="eastAsia" w:ascii="宋体" w:hAnsi="宋体" w:cs="宋体"/>
          <w:color w:val="000000" w:themeColor="text1"/>
          <w:highlight w:val="none"/>
          <w14:textFill>
            <w14:solidFill>
              <w14:schemeClr w14:val="tx1"/>
            </w14:solidFill>
          </w14:textFill>
        </w:rPr>
        <w:t xml:space="preserve">政府采购管理部门将供应商列入不良行为记录名单，按照《政府采购法》有关规定处理。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29.4 供应商不得虚假承诺，否则，按照提供虚假材料谋取中标成交处理。</w:t>
      </w:r>
      <w:r/>
    </w:p>
    <w:p>
      <w:pPr>
        <w:ind w:firstLine="420"/>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color w:val="000000" w:themeColor="text1"/>
          <w:sz w:val="36"/>
          <w:szCs w:val="36"/>
          <w:highlight w:val="none"/>
          <w14:textFill>
            <w14:solidFill>
              <w14:schemeClr w14:val="tx1"/>
            </w14:solidFill>
          </w14:textFill>
        </w:rPr>
        <w:t xml:space="preserve">第三章 评标标准</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在综合比较与评价后按照得分由高到低顺序对供应商进行排序。得分相同的，按投标报价由低到高顺序排列。得分且报价相同的，按技术指标（</w:t>
      </w:r>
      <w:r>
        <w:rPr>
          <w:rFonts w:hint="eastAsia" w:ascii="宋体" w:hAnsi="宋体" w:cs="宋体"/>
          <w:color w:val="000000" w:themeColor="text1"/>
          <w:szCs w:val="21"/>
          <w:highlight w:val="none"/>
          <w14:textFill>
            <w14:solidFill>
              <w14:schemeClr w14:val="tx1"/>
            </w14:solidFill>
          </w14:textFill>
        </w:rPr>
        <w:t xml:space="preserve">技术部分</w:t>
      </w:r>
      <w:r>
        <w:rPr>
          <w:rFonts w:hint="eastAsia" w:ascii="宋体" w:hAnsi="宋体" w:cs="宋体"/>
          <w:color w:val="000000" w:themeColor="text1"/>
          <w:szCs w:val="21"/>
          <w:highlight w:val="none"/>
          <w:lang w:val="zh-CN"/>
          <w14:textFill>
            <w14:solidFill>
              <w14:schemeClr w14:val="tx1"/>
            </w14:solidFill>
          </w14:textFill>
        </w:rPr>
        <w:t xml:space="preserve">）优劣顺序排列</w:t>
      </w:r>
      <w:r>
        <w:rPr>
          <w:rFonts w:ascii="宋体" w:hAnsi="宋体" w:cs="宋体"/>
          <w:color w:val="000000" w:themeColor="text1"/>
          <w:szCs w:val="21"/>
          <w:highlight w:val="none"/>
          <w:lang w:val="zh-CN"/>
          <w14:textFill>
            <w14:solidFill>
              <w14:schemeClr w14:val="tx1"/>
            </w14:solidFill>
          </w14:textFill>
        </w:rPr>
        <w:t xml:space="preserve">。</w:t>
      </w:r>
      <w:r/>
    </w:p>
    <w:tbl>
      <w:tblPr>
        <w:tblStyle w:val="1038"/>
        <w:tblW w:w="9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733"/>
        <w:gridCol w:w="7337"/>
        <w:gridCol w:w="618"/>
      </w:tblGrid>
      <w:tr>
        <w:trPr>
          <w:trHeight w:val="602"/>
        </w:trPr>
        <w:tc>
          <w:tcPr>
            <w:tcW w:w="674" w:type="dxa"/>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733" w:type="dxa"/>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评分因素</w:t>
            </w:r>
            <w:r/>
          </w:p>
        </w:tc>
        <w:tc>
          <w:tcPr>
            <w:tcW w:w="7337" w:type="dxa"/>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  分  细  则</w:t>
            </w:r>
            <w:r/>
          </w:p>
        </w:tc>
        <w:tc>
          <w:tcPr>
            <w:tcW w:w="618" w:type="dxa"/>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r>
      <w:tr>
        <w:trPr>
          <w:trHeight w:val="1559"/>
        </w:trPr>
        <w:tc>
          <w:tcPr>
            <w:tcW w:w="674" w:type="dxa"/>
            <w:vAlign w:val="center"/>
            <w:textDirection w:val="lrTb"/>
            <w:noWrap w:val="false"/>
          </w:tcPr>
          <w:p>
            <w:pPr>
              <w:jc w:val="center"/>
              <w:spacing w:before="62" w:after="4"/>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733" w:type="dxa"/>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w:t>
            </w:r>
            <w:r/>
          </w:p>
        </w:tc>
        <w:tc>
          <w:tcPr>
            <w:tcW w:w="7337" w:type="dxa"/>
            <w:vAlign w:val="center"/>
            <w:textDirection w:val="lrTb"/>
            <w:noWrap w:val="false"/>
          </w:tcPr>
          <w:p>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本次招标，以进入详细评审的各投标人评标价的最低值为A值，A值为价格分的满分，即30分。其他投标人的价格分统一按照以下公式计算：投标人评标价得分=（A／该投标人评标价）×30。（保留小数点后两位）</w:t>
            </w:r>
            <w:r/>
          </w:p>
        </w:tc>
        <w:tc>
          <w:tcPr>
            <w:tcW w:w="618" w:type="dxa"/>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w:t>
            </w:r>
            <w:r/>
          </w:p>
        </w:tc>
      </w:tr>
      <w:tr>
        <w:trPr>
          <w:trHeight w:val="1559"/>
        </w:trPr>
        <w:tc>
          <w:tcPr>
            <w:tcW w:w="674" w:type="dxa"/>
            <w:vAlign w:val="center"/>
            <w:textDirection w:val="lrTb"/>
            <w:noWrap w:val="false"/>
          </w:tcPr>
          <w:p>
            <w:pPr>
              <w:jc w:val="center"/>
              <w:spacing w:before="62" w:after="4"/>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W w:w="733" w:type="dxa"/>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技术响应</w:t>
            </w:r>
            <w:r/>
          </w:p>
        </w:tc>
        <w:tc>
          <w:tcPr>
            <w:tcW w:w="7337" w:type="dxa"/>
            <w:vAlign w:val="center"/>
            <w:textDirection w:val="lrTb"/>
            <w:noWrap w:val="false"/>
          </w:tcPr>
          <w:p>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投标产品对招标文件具体需求的响应程度能够满足招标文件“第四章 招标项目要求”的得30分。招标文件中标注“★”的内容为实质性要求，有一项不符合的，作无效投标处理。带“▲”条款为重要技术参数指标，如带“▲”条款存在负偏离的，负偏离1项扣3分；其他技术参数，负偏离1项扣1分，扣完为止。</w:t>
            </w:r>
            <w:r/>
          </w:p>
          <w:p>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如文件中要求提供证明材料，建议采用加粗或下划线等进行明显标注，并在偏离表中标明页码，方便评委查看。</w:t>
            </w:r>
            <w:r/>
          </w:p>
        </w:tc>
        <w:tc>
          <w:tcPr>
            <w:tcW w:w="618" w:type="dxa"/>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w:t>
            </w:r>
            <w:r/>
          </w:p>
        </w:tc>
      </w:tr>
      <w:tr>
        <w:trPr>
          <w:trHeight w:val="1396"/>
        </w:trPr>
        <w:tc>
          <w:tcPr>
            <w:tcW w:w="674" w:type="dxa"/>
            <w:vAlign w:val="center"/>
            <w:textDirection w:val="lrTb"/>
            <w:noWrap w:val="false"/>
          </w:tcPr>
          <w:p>
            <w:pPr>
              <w:jc w:val="center"/>
              <w:spacing w:before="62" w:after="4"/>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c>
          <w:tcPr>
            <w:tcW w:w="733" w:type="dxa"/>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w:t>
            </w:r>
            <w:r/>
          </w:p>
        </w:tc>
        <w:tc>
          <w:tcPr>
            <w:tcW w:w="7337" w:type="dxa"/>
            <w:vAlign w:val="center"/>
            <w:textDirection w:val="lrTb"/>
            <w:noWrap w:val="false"/>
          </w:tcPr>
          <w:p>
            <w:pPr>
              <w:spacing w:line="30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投标人提供自2023年</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月1日（含）（时间以合同签订时间为准）以来同类产品的销售业绩，每提供一份得2分，最多得6分。同一业主单位的不重复计算，合同须含有清晰可见的标的物以及盖章或签字部分所在页，未体现不得分，原件备查。</w:t>
            </w:r>
            <w:r/>
          </w:p>
        </w:tc>
        <w:tc>
          <w:tcPr>
            <w:tcW w:w="618" w:type="dxa"/>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w:t>
            </w:r>
            <w:r/>
          </w:p>
        </w:tc>
      </w:tr>
      <w:tr>
        <w:trPr>
          <w:trHeight w:val="668"/>
        </w:trPr>
        <w:tc>
          <w:tcPr>
            <w:tcW w:w="674" w:type="dxa"/>
            <w:vAlign w:val="center"/>
            <w:textDirection w:val="lrTb"/>
            <w:noWrap w:val="false"/>
          </w:tcPr>
          <w:p>
            <w:pPr>
              <w:jc w:val="center"/>
              <w:spacing w:before="62" w:after="4"/>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p>
        </w:tc>
        <w:tc>
          <w:tcPr>
            <w:tcW w:w="733" w:type="dxa"/>
            <w:vAlign w:val="center"/>
            <w:textDirection w:val="lrTb"/>
            <w:noWrap w:val="false"/>
          </w:tcPr>
          <w:p>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免费质保期</w:t>
            </w:r>
            <w:r/>
          </w:p>
        </w:tc>
        <w:tc>
          <w:tcPr>
            <w:tcW w:w="7337" w:type="dxa"/>
            <w:vAlign w:val="center"/>
            <w:textDirection w:val="lrTb"/>
            <w:noWrap w:val="false"/>
          </w:tcPr>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供应商承诺项目整体及所投设备满足采购文件免费质保期要求（1年）的基础上整机免费质保期每增加1年加2分，满分4分。</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（提供质保期承诺函原件加盖投标单位公章，如承诺的设备质保期不一致按最低质保期计算）</w:t>
            </w:r>
            <w:r/>
          </w:p>
        </w:tc>
        <w:tc>
          <w:tcPr>
            <w:tcW w:w="618" w:type="dxa"/>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p>
        </w:tc>
      </w:tr>
      <w:tr>
        <w:trPr>
          <w:trHeight w:val="599"/>
        </w:trPr>
        <w:tc>
          <w:tcPr>
            <w:tcW w:w="674" w:type="dxa"/>
            <w:vAlign w:val="center"/>
            <w:textDirection w:val="lrTb"/>
            <w:noWrap w:val="false"/>
          </w:tcPr>
          <w:p>
            <w:pPr>
              <w:jc w:val="center"/>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w:t>
            </w:r>
            <w:r/>
          </w:p>
        </w:tc>
        <w:tc>
          <w:tcPr>
            <w:gridSpan w:val="3"/>
            <w:tcW w:w="8688" w:type="dxa"/>
            <w:vAlign w:val="center"/>
            <w:textDirection w:val="lrTb"/>
            <w:noWrap w:val="false"/>
          </w:tcPr>
          <w:p>
            <w:pPr>
              <w:jc w:val="center"/>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技术部分</w:t>
            </w:r>
            <w:r/>
          </w:p>
        </w:tc>
      </w:tr>
      <w:tr>
        <w:trPr>
          <w:trHeight w:val="1396"/>
        </w:trPr>
        <w:tc>
          <w:tcPr>
            <w:tcW w:w="674" w:type="dxa"/>
            <w:vAlign w:val="center"/>
            <w:textDirection w:val="lrTb"/>
            <w:noWrap w:val="false"/>
          </w:tcPr>
          <w:p>
            <w:pPr>
              <w:jc w:val="center"/>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5.1</w:t>
            </w:r>
            <w:r/>
          </w:p>
        </w:tc>
        <w:tc>
          <w:tcPr>
            <w:tcW w:w="73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实施方案</w:t>
            </w:r>
            <w:r/>
          </w:p>
        </w:tc>
        <w:tc>
          <w:tcPr>
            <w:tcW w:w="7337" w:type="dxa"/>
            <w:vAlign w:val="center"/>
            <w:textDirection w:val="lrTb"/>
            <w:noWrap w:val="false"/>
          </w:tcPr>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评标委员会根据供应商针对本项目的项目需求及项目要点提供的项目实施方案进行打分，包括但不限于全部产品的安装部署、联合调试方案、供货及安装各节点时间进度、人员配置安排等：</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1、项目实施方案全面，针对性强，能完全满足本项目需求的，得7分；</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2、项目实施方案较全面、针对性较强，能满足本项目需求的，得4分；</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3、项目实施方案一般，针对性、可行性一般，勉强能满足本项目需求的，得1分；</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4、其他或未提供不得分。</w:t>
            </w:r>
            <w:r/>
          </w:p>
        </w:tc>
        <w:tc>
          <w:tcPr>
            <w:tcW w:w="618" w:type="dxa"/>
            <w:vAlign w:val="center"/>
            <w:textDirection w:val="lrTb"/>
            <w:noWrap w:val="false"/>
          </w:tcPr>
          <w:p>
            <w:pPr>
              <w:jc w:val="cente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574"/>
        </w:trPr>
        <w:tc>
          <w:tcPr>
            <w:tcW w:w="674" w:type="dxa"/>
            <w:vAlign w:val="center"/>
            <w:textDirection w:val="lrTb"/>
            <w:noWrap w:val="false"/>
          </w:tcPr>
          <w:p>
            <w:pPr>
              <w:jc w:val="center"/>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5.2</w:t>
            </w:r>
            <w:r/>
          </w:p>
        </w:tc>
        <w:tc>
          <w:tcPr>
            <w:tcW w:w="733" w:type="dxa"/>
            <w:vAlign w:val="center"/>
            <w:textDirection w:val="lrTb"/>
            <w:noWrap w:val="false"/>
          </w:tcPr>
          <w:p>
            <w:pPr>
              <w:jc w:val="center"/>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验收方案</w:t>
            </w:r>
            <w:r/>
          </w:p>
        </w:tc>
        <w:tc>
          <w:tcPr>
            <w:tcW w:w="7337" w:type="dxa"/>
            <w:vAlign w:val="center"/>
            <w:textDirection w:val="lrTb"/>
            <w:noWrap w:val="false"/>
          </w:tcPr>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评标委员会根据供应商针对本项目的项目需求及项目要点提供的项目验收方案进行打分，包括但不限于全部产品的安装部署、联合调试方案、供货及安装各节点时间进度、人员配置安排等：</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1、验收方案全面，针对性强，能完全满足本项目需求的，得7分；</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2、验收方案较全面、针对性较强，能满足本项目需求的，得4分；</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3、验收方案一般，针对性、可行性一般，勉强能满足本项目需求的，得1分；</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4、其他或未提供不得分。</w:t>
            </w:r>
            <w:r/>
          </w:p>
        </w:tc>
        <w:tc>
          <w:tcPr>
            <w:tcW w:w="618" w:type="dxa"/>
            <w:vAlign w:val="center"/>
            <w:textDirection w:val="lrTb"/>
            <w:noWrap w:val="false"/>
          </w:tcPr>
          <w:p>
            <w:pPr>
              <w:jc w:val="center"/>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w:t>
            </w:r>
            <w:r/>
          </w:p>
        </w:tc>
      </w:tr>
      <w:tr>
        <w:trPr>
          <w:trHeight w:val="1117"/>
        </w:trPr>
        <w:tc>
          <w:tcPr>
            <w:tcW w:w="674" w:type="dxa"/>
            <w:vAlign w:val="center"/>
            <w:textDirection w:val="lrTb"/>
            <w:noWrap w:val="false"/>
          </w:tcPr>
          <w:p>
            <w:pPr>
              <w:jc w:val="center"/>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5.3</w:t>
            </w:r>
            <w:r/>
          </w:p>
        </w:tc>
        <w:tc>
          <w:tcPr>
            <w:tcW w:w="73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售后服务方案</w:t>
            </w:r>
            <w:r/>
          </w:p>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337" w:type="dxa"/>
            <w:vAlign w:val="center"/>
            <w:textDirection w:val="lrTb"/>
            <w:noWrap w:val="false"/>
          </w:tcPr>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根据投标人针对本项目提供的售后服务方案（包括但不限于售后服务人员的配备、服务响应时间、质保期后服务等技术指导及该仪器的备品、配件、耗材、维修的明细、价格或折扣的承诺）进行综合评审：</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1、服务方案全面，细致，有针对性，且售后服务、质保期后服务等技术指导方案周全，备品、配件、耗材、维修的明细、价格或折扣合理，得8分；</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2、服务方案不够全面，无针对性，且售后服务、质保期后服务等技术指导方案内容不够周全，备品、配件、耗材、维修的明细、价格或折扣较为合理的，得5分；</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3、方案无实质性内容、没有可操作性，备品、配件、耗材、维修的明细、价格或折扣不太合理得2分；</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4、其他或未提供不得分。</w:t>
            </w:r>
            <w:r/>
          </w:p>
        </w:tc>
        <w:tc>
          <w:tcPr>
            <w:tcW w:w="618" w:type="dxa"/>
            <w:vAlign w:val="center"/>
            <w:textDirection w:val="lrTb"/>
            <w:noWrap w:val="false"/>
          </w:tcPr>
          <w:p>
            <w:pPr>
              <w:jc w:val="cente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r>
      <w:tr>
        <w:trPr>
          <w:trHeight w:val="305"/>
        </w:trPr>
        <w:tc>
          <w:tcPr>
            <w:tcW w:w="674" w:type="dxa"/>
            <w:vAlign w:val="center"/>
            <w:textDirection w:val="lrTb"/>
            <w:noWrap w:val="false"/>
          </w:tcPr>
          <w:p>
            <w:pPr>
              <w:jc w:val="center"/>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5.4</w:t>
            </w:r>
            <w:r/>
          </w:p>
        </w:tc>
        <w:tc>
          <w:tcPr>
            <w:tcW w:w="733" w:type="dxa"/>
            <w:vAlign w:val="center"/>
            <w:textDirection w:val="lrTb"/>
            <w:noWrap w:val="false"/>
          </w:tcPr>
          <w:p>
            <w:pPr>
              <w:spacing w:line="30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培训及应急保障方案</w:t>
            </w:r>
            <w:r/>
          </w:p>
        </w:tc>
        <w:tc>
          <w:tcPr>
            <w:tcW w:w="7337" w:type="dxa"/>
            <w:vAlign w:val="center"/>
            <w:textDirection w:val="lrTb"/>
            <w:noWrap w:val="false"/>
          </w:tcPr>
          <w:p>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根据供应商提供的</w:t>
            </w:r>
            <w:r>
              <w:rPr>
                <w:rFonts w:hint="eastAsia" w:ascii="宋体" w:hAnsi="宋体" w:cs="宋体"/>
                <w:color w:val="000000" w:themeColor="text1"/>
                <w:szCs w:val="21"/>
                <w:highlight w:val="none"/>
                <w14:textFill>
                  <w14:solidFill>
                    <w14:schemeClr w14:val="tx1"/>
                  </w14:solidFill>
                </w14:textFill>
              </w:rPr>
              <w:t xml:space="preserve">培训及应急保障方案进行打分，</w:t>
            </w:r>
            <w:r>
              <w:rPr>
                <w:rFonts w:hint="eastAsia" w:ascii="宋体" w:hAnsi="宋体" w:cs="宋体"/>
                <w:color w:val="000000" w:themeColor="text1"/>
                <w:szCs w:val="21"/>
                <w:highlight w:val="none"/>
                <w:lang w:val="zh-CN"/>
                <w14:textFill>
                  <w14:solidFill>
                    <w14:schemeClr w14:val="tx1"/>
                  </w14:solidFill>
                </w14:textFill>
              </w:rPr>
              <w:t xml:space="preserve">包括但不限于人员操作培训、维修保养培训、相关科研教育</w:t>
            </w:r>
            <w:r>
              <w:rPr>
                <w:rFonts w:hint="eastAsia" w:ascii="宋体" w:hAnsi="宋体" w:cs="宋体"/>
                <w:color w:val="000000" w:themeColor="text1"/>
                <w:szCs w:val="21"/>
                <w:highlight w:val="none"/>
                <w14:textFill>
                  <w14:solidFill>
                    <w14:schemeClr w14:val="tx1"/>
                  </w14:solidFill>
                </w14:textFill>
              </w:rPr>
              <w:t xml:space="preserve">、应急保障预案以及项目实施风险分析</w:t>
            </w:r>
            <w:r>
              <w:rPr>
                <w:rFonts w:hint="eastAsia" w:ascii="宋体" w:hAnsi="宋体" w:cs="宋体"/>
                <w:color w:val="000000" w:themeColor="text1"/>
                <w:szCs w:val="21"/>
                <w:highlight w:val="none"/>
                <w:lang w:val="zh-CN"/>
                <w14:textFill>
                  <w14:solidFill>
                    <w14:schemeClr w14:val="tx1"/>
                  </w14:solidFill>
                </w14:textFill>
              </w:rPr>
              <w:t xml:space="preserve">等</w:t>
            </w:r>
            <w:r>
              <w:rPr>
                <w:rFonts w:hint="eastAsia" w:ascii="宋体" w:hAnsi="宋体" w:cs="宋体"/>
                <w:color w:val="000000" w:themeColor="text1"/>
                <w:szCs w:val="21"/>
                <w:highlight w:val="none"/>
                <w14:textFill>
                  <w14:solidFill>
                    <w14:schemeClr w14:val="tx1"/>
                  </w14:solidFill>
                </w14:textFill>
              </w:rPr>
              <w:t xml:space="preserve">方面进行打分。</w:t>
            </w:r>
            <w:r/>
          </w:p>
          <w:p>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1、培训内容完善、风险分析全面、保障方案周全，得8分；</w:t>
            </w:r>
            <w:r/>
          </w:p>
          <w:p>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2、培训内容基本完善、风险分析基本全面、保障方案基本周全，得5分；</w:t>
            </w:r>
            <w:r/>
          </w:p>
          <w:p>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3、培训内容和保障方案简单、风险分析有所缺漏，得2分；</w:t>
            </w:r>
            <w:r/>
          </w:p>
          <w:p>
            <w:pPr>
              <w:spacing w:line="30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4、其他或未提供不得分。</w:t>
            </w:r>
            <w:r/>
          </w:p>
        </w:tc>
        <w:tc>
          <w:tcPr>
            <w:tcW w:w="618" w:type="dxa"/>
            <w:vAlign w:val="center"/>
            <w:textDirection w:val="lrTb"/>
            <w:noWrap w:val="false"/>
          </w:tcPr>
          <w:p>
            <w:pPr>
              <w:jc w:val="center"/>
              <w:spacing w:line="30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r>
      <w:tr>
        <w:trPr>
          <w:trHeight w:val="521"/>
        </w:trPr>
        <w:tc>
          <w:tcPr>
            <w:gridSpan w:val="4"/>
            <w:tcBorders>
              <w:top w:val="single" w:color="auto" w:sz="4" w:space="0"/>
              <w:left w:val="single" w:color="auto" w:sz="4" w:space="0"/>
              <w:bottom w:val="single" w:color="auto" w:sz="4" w:space="0"/>
              <w:right w:val="single" w:color="auto" w:sz="4" w:space="0"/>
            </w:tcBorders>
            <w:tcW w:w="9362" w:type="dxa"/>
            <w:vAlign w:val="center"/>
            <w:textDirection w:val="lrTb"/>
            <w:noWrap w:val="false"/>
          </w:tcPr>
          <w:p>
            <w:pPr>
              <w:jc w:val="center"/>
              <w:spacing w:before="62" w:after="4"/>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合计：100分</w:t>
            </w:r>
            <w:r/>
          </w:p>
        </w:tc>
      </w:tr>
    </w:tbl>
    <w:p>
      <w:pPr>
        <w:pStyle w:val="1101"/>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二、小微企业的价格扣除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2.价格扣除比例或者价格分加分比例对小型企业和微型企业同等对待，不作区分。</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三、监狱和戒毒企业的价格扣除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1.本项目对监狱和戒毒企业（简称监狱企业）视同小型、微型企业，享受相同的价格扣除优惠政策。</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2.监狱企业需提供由省级以上监狱管理局、戒毒管理局（含新疆生产建设兵团）出具的属于监狱企业的证明文件。</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四、残疾人福利性单位的价格扣除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1.本项目对残疾人福利性单位视同小型、微型企业，享受相同的价格扣除优惠政策。</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2.残疾人福利性单位需按照招标文件的要求提供《残疾人福利性单位声明函》。</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3.残疾人福利性单位标准请参照《关于促进残疾人就业政府采购政策的通知》（财库〔2017〕141号）。</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五、监狱企业、残疾人福利性单位属于小型、微型企业的，不重复享受政策。</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六、采购本国产品的支持政策</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rPr>
          <w:rFonts w:hint="eastAsia" w:ascii="宋体" w:hAnsi="宋体" w:cs="宋体"/>
          <w:bCs/>
          <w:color w:val="000000" w:themeColor="text1"/>
          <w:sz w:val="22"/>
          <w:szCs w:val="22"/>
          <w:highlight w:val="none"/>
          <w14:textFill>
            <w14:solidFill>
              <w14:schemeClr w14:val="tx1"/>
            </w14:solidFill>
          </w14:textFill>
        </w:rPr>
        <w:sectPr>
          <w:headerReference w:type="default" r:id="rId10"/>
          <w:footerReference w:type="default" r:id="rId13"/>
          <w:footnotePr/>
          <w:endnotePr/>
          <w:type w:val="nextPage"/>
          <w:pgSz w:w="11906" w:h="16838" w:orient="portrait"/>
          <w:pgMar w:top="850" w:right="850" w:bottom="850" w:left="1418" w:header="170" w:footer="397"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七、除评分标准中另有说明外，所有认证、证明和业绩均以有效的证明文件的复印件为依据。</w:t>
      </w:r>
      <w:r/>
    </w:p>
    <w:p>
      <w:pPr>
        <w:jc w:val="center"/>
        <w:spacing w:after="240"/>
        <w:rPr>
          <w:rFonts w:hint="eastAsia" w:ascii="宋体" w:hAnsi="宋体"/>
          <w:b/>
          <w:bCs/>
          <w:color w:val="000000" w:themeColor="text1"/>
          <w:sz w:val="44"/>
          <w:szCs w:val="44"/>
          <w:highlight w:val="none"/>
          <w:lang w:val="zh-CN"/>
          <w14:textFill>
            <w14:solidFill>
              <w14:schemeClr w14:val="tx1"/>
            </w14:solidFill>
          </w14:textFill>
        </w:rPr>
        <w:outlineLvl w:val="0"/>
      </w:pPr>
      <w:r/>
      <w:bookmarkStart w:id="30" w:name="_Toc285612594"/>
      <w:r/>
      <w:bookmarkStart w:id="31" w:name="_Toc390713967"/>
      <w:r/>
      <w:bookmarkStart w:id="32" w:name="_Toc86950124"/>
      <w:r/>
      <w:bookmarkStart w:id="33" w:name="OLE_LINK13"/>
      <w:r/>
      <w:bookmarkStart w:id="34" w:name="OLE_LINK4"/>
      <w:r/>
      <w:bookmarkStart w:id="35" w:name="OLE_LINK12"/>
      <w:r/>
      <w:bookmarkStart w:id="36" w:name="OLE_LINK6"/>
      <w:r>
        <w:rPr>
          <w:rFonts w:ascii="宋体" w:hAnsi="宋体"/>
          <w:b/>
          <w:bCs/>
          <w:color w:val="000000" w:themeColor="text1"/>
          <w:sz w:val="44"/>
          <w:szCs w:val="44"/>
          <w:highlight w:val="none"/>
          <w:lang w:val="zh-CN"/>
          <w14:textFill>
            <w14:solidFill>
              <w14:schemeClr w14:val="tx1"/>
            </w14:solidFill>
          </w14:textFill>
        </w:rPr>
        <w:t xml:space="preserve">第</w:t>
      </w:r>
      <w:r>
        <w:rPr>
          <w:rFonts w:hint="eastAsia" w:ascii="宋体" w:hAnsi="宋体"/>
          <w:b/>
          <w:bCs/>
          <w:color w:val="000000" w:themeColor="text1"/>
          <w:sz w:val="44"/>
          <w:szCs w:val="44"/>
          <w:highlight w:val="none"/>
          <w14:textFill>
            <w14:solidFill>
              <w14:schemeClr w14:val="tx1"/>
            </w14:solidFill>
          </w14:textFill>
        </w:rPr>
        <w:t xml:space="preserve">四</w:t>
      </w:r>
      <w:r>
        <w:rPr>
          <w:rFonts w:hint="eastAsia" w:ascii="宋体" w:hAnsi="宋体"/>
          <w:b/>
          <w:bCs/>
          <w:color w:val="000000" w:themeColor="text1"/>
          <w:sz w:val="44"/>
          <w:szCs w:val="44"/>
          <w:highlight w:val="none"/>
          <w:lang w:val="zh-CN"/>
          <w14:textFill>
            <w14:solidFill>
              <w14:schemeClr w14:val="tx1"/>
            </w14:solidFill>
          </w14:textFill>
        </w:rPr>
        <w:t xml:space="preserve">章</w:t>
      </w:r>
      <w:r>
        <w:rPr>
          <w:rFonts w:ascii="宋体" w:hAnsi="宋体"/>
          <w:b/>
          <w:bCs/>
          <w:color w:val="000000" w:themeColor="text1"/>
          <w:sz w:val="44"/>
          <w:szCs w:val="44"/>
          <w:highlight w:val="none"/>
          <w:lang w:val="zh-CN"/>
          <w14:textFill>
            <w14:solidFill>
              <w14:schemeClr w14:val="tx1"/>
            </w14:solidFill>
          </w14:textFill>
        </w:rPr>
        <w:t xml:space="preserve">  </w:t>
      </w:r>
      <w:r>
        <w:rPr>
          <w:rFonts w:hint="eastAsia" w:ascii="宋体" w:hAnsi="宋体"/>
          <w:b/>
          <w:bCs/>
          <w:color w:val="000000" w:themeColor="text1"/>
          <w:sz w:val="44"/>
          <w:szCs w:val="44"/>
          <w:highlight w:val="none"/>
          <w:lang w:val="zh-CN"/>
          <w14:textFill>
            <w14:solidFill>
              <w14:schemeClr w14:val="tx1"/>
            </w14:solidFill>
          </w14:textFill>
        </w:rPr>
        <w:t xml:space="preserve">项目</w:t>
      </w:r>
      <w:bookmarkEnd w:id="30"/>
      <w:r/>
      <w:bookmarkEnd w:id="31"/>
      <w:r/>
      <w:bookmarkEnd w:id="32"/>
      <w:r>
        <w:rPr>
          <w:rFonts w:hint="eastAsia" w:ascii="宋体" w:hAnsi="宋体"/>
          <w:b/>
          <w:bCs/>
          <w:color w:val="000000" w:themeColor="text1"/>
          <w:sz w:val="44"/>
          <w:szCs w:val="44"/>
          <w:highlight w:val="none"/>
          <w:lang w:val="zh-CN"/>
          <w14:textFill>
            <w14:solidFill>
              <w14:schemeClr w14:val="tx1"/>
            </w14:solidFill>
          </w14:textFill>
        </w:rPr>
        <w:t xml:space="preserve">需求</w:t>
      </w:r>
      <w:bookmarkEnd w:id="33"/>
      <w:r/>
      <w:bookmarkEnd w:id="34"/>
      <w:r/>
      <w:bookmarkEnd w:id="35"/>
      <w:r/>
      <w:bookmarkEnd w:id="36"/>
      <w:r/>
      <w:r/>
    </w:p>
    <w:p>
      <w:pPr>
        <w:spacing w:after="120" w:line="360" w:lineRule="auto"/>
        <w:rPr>
          <w:rFonts w:hint="eastAsia" w:ascii="宋体" w:hAnsi="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注：本章节需在《技术条款偏离表》或《商务条款偏离表》中进行响应，其中加“★”内容为实质性要求，供应商未对实质性要求响应或有负偏离的，按无效响应处理。</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（第一部分：技术部分要求）</w:t>
      </w:r>
      <w:r/>
    </w:p>
    <w:p>
      <w:pPr>
        <w:spacing w:line="360" w:lineRule="auto"/>
        <w:rPr>
          <w:rFonts w:hint="eastAsia" w:ascii="宋体" w:hAnsi="宋体" w:cs="宋体"/>
          <w:b/>
          <w:color w:val="000000" w:themeColor="text1"/>
          <w:sz w:val="24"/>
          <w:highlight w:val="none"/>
          <w14:textFill>
            <w14:solidFill>
              <w14:schemeClr w14:val="tx1"/>
            </w14:solidFill>
          </w14:textFill>
        </w:rPr>
      </w:pPr>
      <w:r/>
      <w:bookmarkStart w:id="37" w:name="_Toc3932"/>
      <w:r/>
      <w:bookmarkStart w:id="38" w:name="_Toc27315"/>
      <w:r/>
      <w:bookmarkStart w:id="39" w:name="_Toc9991"/>
      <w:r/>
      <w:bookmarkStart w:id="40" w:name="_Toc2652"/>
      <w:r/>
      <w:bookmarkStart w:id="41" w:name="_Toc29315"/>
      <w:r>
        <w:rPr>
          <w:rFonts w:hint="eastAsia" w:ascii="宋体" w:hAnsi="宋体" w:cs="宋体"/>
          <w:b/>
          <w:color w:val="000000" w:themeColor="text1"/>
          <w:sz w:val="24"/>
          <w:highlight w:val="none"/>
          <w14:textFill>
            <w14:solidFill>
              <w14:schemeClr w14:val="tx1"/>
            </w14:solidFill>
          </w14:textFill>
        </w:rPr>
        <w:t xml:space="preserve">一、项目</w:t>
      </w:r>
      <w:bookmarkEnd w:id="37"/>
      <w:r>
        <w:rPr>
          <w:rFonts w:hint="eastAsia" w:ascii="宋体" w:hAnsi="宋体" w:cs="宋体"/>
          <w:b/>
          <w:color w:val="000000" w:themeColor="text1"/>
          <w:sz w:val="24"/>
          <w:highlight w:val="none"/>
          <w14:textFill>
            <w14:solidFill>
              <w14:schemeClr w14:val="tx1"/>
            </w14:solidFill>
          </w14:textFill>
        </w:rPr>
        <w:t xml:space="preserve">概述</w:t>
      </w:r>
      <w:bookmarkEnd w:id="38"/>
      <w:r/>
      <w:r/>
    </w:p>
    <w:p>
      <w:pPr>
        <w:pStyle w:val="1079"/>
        <w:ind w:firstLine="480"/>
        <w:spacing w:before="0" w:beforeAutospacing="0" w:after="0" w:afterAutospacing="0"/>
        <w:rPr>
          <w:rFonts w:hint="eastAsia"/>
          <w:color w:val="000000" w:themeColor="text1"/>
          <w:highlight w:val="none"/>
          <w14:textFill>
            <w14:solidFill>
              <w14:schemeClr w14:val="tx1"/>
            </w14:solidFill>
          </w14:textFill>
        </w:rPr>
      </w:pPr>
      <w:r/>
      <w:bookmarkStart w:id="42" w:name="_Toc32119"/>
      <w:r/>
      <w:bookmarkStart w:id="43" w:name="_Toc311"/>
      <w:r/>
      <w:bookmarkStart w:id="44" w:name="_Toc18449"/>
      <w:r/>
      <w:bookmarkStart w:id="45" w:name="_Toc4968"/>
      <w:r>
        <w:rPr>
          <w:rFonts w:hint="eastAsia"/>
          <w:color w:val="000000" w:themeColor="text1"/>
          <w:highlight w:val="none"/>
          <w14:textFill>
            <w14:solidFill>
              <w14:schemeClr w14:val="tx1"/>
            </w14:solidFill>
          </w14:textFill>
        </w:rPr>
        <w:t xml:space="preserve">南京医科大学为满足教学实验需要，需采购一台</w:t>
      </w:r>
      <w:r>
        <w:rPr>
          <w:color w:val="000000" w:themeColor="text1"/>
          <w:highlight w:val="none"/>
          <w14:textFill>
            <w14:solidFill>
              <w14:schemeClr w14:val="tx1"/>
            </w14:solidFill>
          </w14:textFill>
        </w:rPr>
        <w:t xml:space="preserve">快速高分辨</w:t>
      </w:r>
      <w:r>
        <w:rPr>
          <w:rFonts w:hint="eastAsia"/>
          <w:color w:val="000000" w:themeColor="text1"/>
          <w:highlight w:val="none"/>
          <w14:textFill>
            <w14:solidFill>
              <w14:schemeClr w14:val="tx1"/>
            </w14:solidFill>
          </w14:textFill>
        </w:rPr>
        <w:t xml:space="preserve">正置荧光显微镜。</w:t>
      </w:r>
      <w:bookmarkEnd w:id="42"/>
      <w:r/>
      <w:bookmarkEnd w:id="43"/>
      <w:r/>
      <w:r/>
    </w:p>
    <w:p>
      <w:pPr>
        <w:pStyle w:val="1484"/>
        <w:numPr>
          <w:ilvl w:val="0"/>
          <w:numId w:val="2"/>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技术参数要求</w:t>
      </w:r>
      <w:bookmarkEnd w:id="44"/>
      <w:r/>
      <w:bookmarkEnd w:id="45"/>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▲1.为确保</w:t>
      </w:r>
      <w:r>
        <w:rPr>
          <w:rStyle w:val="1480"/>
          <w:rFonts w:hint="eastAsia" w:ascii="宋体" w:hAnsi="宋体" w:eastAsia="宋体" w:cs="宋体"/>
          <w:color w:val="000000" w:themeColor="text1"/>
          <w:sz w:val="24"/>
          <w:szCs w:val="24"/>
          <w:highlight w:val="none"/>
          <w14:textFill>
            <w14:solidFill>
              <w14:schemeClr w14:val="tx1"/>
            </w14:solidFill>
          </w14:textFill>
        </w:rPr>
        <w:t xml:space="preserve">可在实验室有限场地内使用并保证实验成像的稳定性，</w:t>
      </w:r>
      <w:r>
        <w:rPr>
          <w:rStyle w:val="1480"/>
          <w:rFonts w:hint="eastAsia" w:ascii="宋体" w:hAnsi="宋体" w:cs="宋体"/>
          <w:color w:val="000000" w:themeColor="text1"/>
          <w:sz w:val="24"/>
          <w:szCs w:val="24"/>
          <w:highlight w:val="none"/>
          <w14:textFill>
            <w14:solidFill>
              <w14:schemeClr w14:val="tx1"/>
            </w14:solidFill>
          </w14:textFill>
        </w:rPr>
        <w:t xml:space="preserve">整体应</w:t>
      </w:r>
      <w:r>
        <w:rPr>
          <w:rStyle w:val="1480"/>
          <w:rFonts w:hint="eastAsia" w:ascii="宋体" w:hAnsi="宋体" w:eastAsia="宋体" w:cs="宋体"/>
          <w:color w:val="000000" w:themeColor="text1"/>
          <w:sz w:val="24"/>
          <w:szCs w:val="24"/>
          <w:highlight w:val="none"/>
          <w14:textFill>
            <w14:solidFill>
              <w14:schemeClr w14:val="tx1"/>
            </w14:solidFill>
          </w14:textFill>
        </w:rPr>
        <w:t xml:space="preserve">采用一体化紧凑设计</w:t>
      </w:r>
      <w:r>
        <w:rPr>
          <w:rStyle w:val="1480"/>
          <w:rFonts w:hint="eastAsia" w:ascii="宋体" w:hAnsi="宋体" w:cs="宋体"/>
          <w:color w:val="000000" w:themeColor="text1"/>
          <w:sz w:val="24"/>
          <w:szCs w:val="24"/>
          <w:highlight w:val="none"/>
          <w14:textFill>
            <w14:solidFill>
              <w14:schemeClr w14:val="tx1"/>
            </w14:solidFill>
          </w14:textFill>
        </w:rPr>
        <w:t xml:space="preserve">，</w:t>
      </w:r>
      <w:r>
        <w:rPr>
          <w:rStyle w:val="1480"/>
          <w:rFonts w:hint="eastAsia" w:ascii="宋体" w:hAnsi="宋体" w:eastAsia="宋体" w:cs="宋体"/>
          <w:color w:val="000000" w:themeColor="text1"/>
          <w:sz w:val="24"/>
          <w:szCs w:val="24"/>
          <w:highlight w:val="none"/>
          <w14:textFill>
            <w14:solidFill>
              <w14:schemeClr w14:val="tx1"/>
            </w14:solidFill>
          </w14:textFill>
        </w:rPr>
        <w:t xml:space="preserve">内置暗箱及减震装置； </w:t>
      </w:r>
      <w:r>
        <w:rPr>
          <w:rFonts w:hint="eastAsia" w:ascii="宋体" w:hAnsi="宋体" w:cs="宋体"/>
          <w:b/>
          <w:bCs/>
          <w:color w:val="000000" w:themeColor="text1"/>
          <w:sz w:val="24"/>
          <w:highlight w:val="none"/>
          <w14:textFill>
            <w14:solidFill>
              <w14:schemeClr w14:val="tx1"/>
            </w14:solidFill>
          </w14:textFill>
        </w:rPr>
        <w:t xml:space="preserve">提供相关证明材料并加盖投标单位公章（包括但不限于明确说明该技术内容的产品彩页或产品说明书或白皮书或第三方检测机构的检测报告等）</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▲2.显微镜支持包括彩色明场、相衬、荧光等多种观察方式； </w:t>
      </w:r>
      <w:r>
        <w:rPr>
          <w:rFonts w:hint="eastAsia" w:ascii="宋体" w:hAnsi="宋体" w:cs="宋体"/>
          <w:b/>
          <w:bCs/>
          <w:color w:val="000000" w:themeColor="text1"/>
          <w:sz w:val="24"/>
          <w:highlight w:val="none"/>
          <w14:textFill>
            <w14:solidFill>
              <w14:schemeClr w14:val="tx1"/>
            </w14:solidFill>
          </w14:textFill>
        </w:rPr>
        <w:t xml:space="preserve">提供相关证明材料并加盖投标单位公章（包括但不限于明确说明该技术内容的产品彩页或产品说明书或白皮书或第三方检测机构的检测报告等）</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▲3.显微镜支持宏观瞬时成像功能，可在≤0.1X倍率下进行宏观瞬时成像； </w:t>
      </w:r>
      <w:r>
        <w:rPr>
          <w:rFonts w:hint="eastAsia" w:ascii="宋体" w:hAnsi="宋体" w:cs="宋体"/>
          <w:b/>
          <w:bCs/>
          <w:color w:val="000000" w:themeColor="text1"/>
          <w:sz w:val="24"/>
          <w:highlight w:val="none"/>
          <w14:textFill>
            <w14:solidFill>
              <w14:schemeClr w14:val="tx1"/>
            </w14:solidFill>
          </w14:textFill>
        </w:rPr>
        <w:t xml:space="preserve">提供相关证明材料并加盖投标单位公章（包括但不限于明确说明该技术内容的产品彩页或产品说明书或白皮书或第三方检测机构的检测报告等）</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显微镜的载物台、物镜转盘（≥6位）、调焦、荧光滤色镜转换、荧光挡板等均采用全电动设计，实验人员可在配套控制软件中控制并切换显微镜光路部件，实验员可根据实验所需，在软件中预设观察方式并一键切换光路部件；</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▲5.可自动识别宏观图像中的样品区域，并控制载物台移动样品至物镜处。</w:t>
      </w:r>
      <w:r>
        <w:rPr>
          <w:rFonts w:hint="eastAsia" w:ascii="宋体" w:hAnsi="宋体" w:cs="宋体"/>
          <w:b/>
          <w:bCs/>
          <w:color w:val="000000" w:themeColor="text1"/>
          <w:sz w:val="24"/>
          <w:highlight w:val="none"/>
          <w14:textFill>
            <w14:solidFill>
              <w14:schemeClr w14:val="tx1"/>
            </w14:solidFill>
          </w14:textFill>
        </w:rPr>
        <w:t xml:space="preserve">提供相关证明材料并加盖投标单位公章（包括但不限于明确说明该技术内容的产品彩页或产品说明书或白皮书或第三方检测机构的检测报告等）</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★6.显微镜为无限远校正光学系统，齐焦距离≤50mm； </w:t>
      </w:r>
      <w:r>
        <w:rPr>
          <w:rFonts w:hint="eastAsia" w:ascii="宋体" w:hAnsi="宋体" w:cs="宋体"/>
          <w:b/>
          <w:bCs/>
          <w:color w:val="000000" w:themeColor="text1"/>
          <w:sz w:val="24"/>
          <w:highlight w:val="none"/>
          <w14:textFill>
            <w14:solidFill>
              <w14:schemeClr w14:val="tx1"/>
            </w14:solidFill>
          </w14:textFill>
        </w:rPr>
        <w:t xml:space="preserve">提供相关证明材料并加盖投标单位公章（包括但不限于明确说明该技术内容的产品彩页或产品说明书或白皮书或第三方检测机构的检测报告等）</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▲7.显微镜至少配有5个物镜，配置至少满足：</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a)10X物镜，数值孔径NA≥0.4</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b)20X物镜，数值孔径NA≥0.8</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c)40X物镜，数值孔径NA≥0.95</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d)60X物镜，数值孔径NA≥1.42</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e)100X物镜，数值孔径NA≥1.45</w:t>
      </w:r>
      <w:r/>
    </w:p>
    <w:p>
      <w:pPr>
        <w:pStyle w:val="1149"/>
        <w:ind w:firstLine="48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提供相关证明材料并加盖投标单位公章（包括但不限于明确说明该技术内容的产品彩页或产品说明书或白皮书或第三方检测机构的检测报告等）</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▲8.显微镜配有电动球差校正功能，可以使用软件旋转物镜的球差校正环。 </w:t>
      </w:r>
      <w:r>
        <w:rPr>
          <w:rFonts w:hint="eastAsia" w:ascii="宋体" w:hAnsi="宋体" w:cs="宋体"/>
          <w:b/>
          <w:bCs/>
          <w:color w:val="000000" w:themeColor="text1"/>
          <w:sz w:val="24"/>
          <w:highlight w:val="none"/>
          <w14:textFill>
            <w14:solidFill>
              <w14:schemeClr w14:val="tx1"/>
            </w14:solidFill>
          </w14:textFill>
        </w:rPr>
        <w:t xml:space="preserve">提供相关证明材料并加盖投标单位公章（包括但不限于明确说明该技术内容的产品彩页或产品说明书或白皮书或第三方检测机构的检测报告等）</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▲9.显微镜配有至少以下两种相机各一台，满足：</w:t>
      </w:r>
      <w:r/>
    </w:p>
    <w:p>
      <w:pPr>
        <w:pStyle w:val="1149"/>
        <w:numPr>
          <w:ilvl w:val="1"/>
          <w:numId w:val="0"/>
        </w:num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a)彩色明场相机，物理像素≥600万；</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b)黑白荧光相机，物理像素≥600万，QE≥75%；</w:t>
      </w:r>
      <w:r/>
    </w:p>
    <w:p>
      <w:pPr>
        <w:pStyle w:val="1149"/>
        <w:ind w:firstLine="48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提供相关证明材料并加投标单位盖公章（包括但不限于明确说明该技术内容的产品彩页或产品说明书或白皮书或第三方检测机构的检测报告等）</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显微镜采用LED荧光光源，寿命≥</w:t>
      </w:r>
      <w:r>
        <w:rPr>
          <w:rFonts w:ascii="宋体" w:hAnsi="宋体" w:cs="宋体"/>
          <w:color w:val="000000" w:themeColor="text1"/>
          <w:sz w:val="24"/>
          <w:szCs w:val="24"/>
          <w:highlight w:val="none"/>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000小时；</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显微镜配有电动荧光激发转盘（≥7位），并至少配有满足DAPI,FITC,CY3,CY5,AlexaFluor700,CY7等荧光染料观察的对应的荧光通道；</w:t>
      </w:r>
      <w:r>
        <w:rPr>
          <w:rFonts w:hint="eastAsia" w:ascii="宋体" w:hAnsi="宋体" w:cs="宋体"/>
          <w:b/>
          <w:bCs/>
          <w:color w:val="000000" w:themeColor="text1"/>
          <w:sz w:val="24"/>
          <w:highlight w:val="none"/>
          <w14:textFill>
            <w14:solidFill>
              <w14:schemeClr w14:val="tx1"/>
            </w14:solidFill>
          </w14:textFill>
        </w:rPr>
        <w:t xml:space="preserve">提供相关证明材料并加盖投标单位公章（包括但不限于明确说明该技术内容的产品彩页或产品说明书或白皮书或第三方检测机构的检测报告等）</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rPr>
          <w:rStyle w:val="1480"/>
          <w:rFonts w:hint="eastAsia" w:ascii="宋体" w:hAnsi="宋体" w:eastAsia="宋体" w:cs="宋体"/>
          <w:color w:val="000000" w:themeColor="text1"/>
          <w:sz w:val="24"/>
          <w:szCs w:val="24"/>
          <w:highlight w:val="none"/>
          <w14:textFill>
            <w14:solidFill>
              <w14:schemeClr w14:val="tx1"/>
            </w14:solidFill>
          </w14:textFill>
        </w:rPr>
        <w:t xml:space="preserve">显微镜</w:t>
      </w:r>
      <w:r>
        <w:rPr>
          <w:rFonts w:hint="eastAsia" w:ascii="宋体" w:hAnsi="宋体" w:cs="宋体"/>
          <w:color w:val="000000" w:themeColor="text1"/>
          <w:sz w:val="24"/>
          <w:szCs w:val="24"/>
          <w:highlight w:val="none"/>
          <w14:textFill>
            <w14:solidFill>
              <w14:schemeClr w14:val="tx1"/>
            </w14:solidFill>
          </w14:textFill>
        </w:rPr>
        <w:t xml:space="preserve">支持高速自动对焦功能，自动检测标本并确保每个单独视野或拼图区域焦面准确；</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rPr>
          <w:rStyle w:val="1480"/>
          <w:rFonts w:hint="eastAsia" w:ascii="宋体" w:hAnsi="宋体" w:eastAsia="宋体" w:cs="宋体"/>
          <w:color w:val="000000" w:themeColor="text1"/>
          <w:sz w:val="24"/>
          <w:szCs w:val="24"/>
          <w:highlight w:val="none"/>
          <w14:textFill>
            <w14:solidFill>
              <w14:schemeClr w14:val="tx1"/>
            </w14:solidFill>
          </w14:textFill>
        </w:rPr>
        <w:t xml:space="preserve">显微镜</w:t>
      </w:r>
      <w:r>
        <w:rPr>
          <w:rFonts w:hint="eastAsia" w:ascii="宋体" w:hAnsi="宋体" w:cs="宋体"/>
          <w:color w:val="000000" w:themeColor="text1"/>
          <w:sz w:val="24"/>
          <w:szCs w:val="24"/>
          <w:highlight w:val="none"/>
          <w14:textFill>
            <w14:solidFill>
              <w14:schemeClr w14:val="tx1"/>
            </w14:solidFill>
          </w14:textFill>
        </w:rPr>
        <w:t xml:space="preserve">支持样本的多位点拍摄，实验人员可在配套电脑端设置需拍摄的样品区域内，显微镜自动进行图像采集，显微镜自动记录拍摄区域的坐标信息，自动完成多点位相邻视野拼接，拼接的区域可以为矩形、椭圆、不规则等任意形状；</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14.可进行Z-Stack图像采集，Z轴拍摄范围可自定义，步进距离和层数可调；支持实时EFI景深拓展，减少数据量。</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rPr>
          <w:rStyle w:val="1480"/>
          <w:rFonts w:hint="eastAsia" w:ascii="宋体" w:hAnsi="宋体" w:eastAsia="宋体" w:cs="宋体"/>
          <w:color w:val="000000" w:themeColor="text1"/>
          <w:sz w:val="24"/>
          <w:szCs w:val="24"/>
          <w:highlight w:val="none"/>
          <w14:textFill>
            <w14:solidFill>
              <w14:schemeClr w14:val="tx1"/>
            </w14:solidFill>
          </w14:textFill>
        </w:rPr>
        <w:t xml:space="preserve">显微镜</w:t>
      </w:r>
      <w:r>
        <w:rPr>
          <w:rFonts w:hint="eastAsia" w:ascii="宋体" w:hAnsi="宋体" w:cs="宋体"/>
          <w:color w:val="000000" w:themeColor="text1"/>
          <w:sz w:val="24"/>
          <w:szCs w:val="24"/>
          <w:highlight w:val="none"/>
          <w14:textFill>
            <w14:solidFill>
              <w14:schemeClr w14:val="tx1"/>
            </w14:solidFill>
          </w14:textFill>
        </w:rPr>
        <w:t xml:space="preserve">配套工作站的配置：CPU性能</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应达到</w:t>
      </w:r>
      <w:r>
        <w:rPr>
          <w:rFonts w:hint="eastAsia" w:ascii="宋体" w:hAnsi="宋体" w:cs="宋体"/>
          <w:color w:val="000000" w:themeColor="text1"/>
          <w:sz w:val="24"/>
          <w:szCs w:val="24"/>
          <w:highlight w:val="none"/>
          <w14:textFill>
            <w14:solidFill>
              <w14:schemeClr w14:val="tx1"/>
            </w14:solidFill>
          </w14:textFill>
        </w:rPr>
        <w:t xml:space="preserve">Intel i7-12700K同等性能或以上； 内存≥32GB; 显卡性能</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应达到</w:t>
      </w:r>
      <w:r>
        <w:rPr>
          <w:rFonts w:hint="eastAsia" w:ascii="宋体" w:hAnsi="宋体" w:cs="宋体"/>
          <w:color w:val="000000" w:themeColor="text1"/>
          <w:sz w:val="24"/>
          <w:szCs w:val="24"/>
          <w:highlight w:val="none"/>
          <w14:textFill>
            <w14:solidFill>
              <w14:schemeClr w14:val="tx1"/>
            </w14:solidFill>
          </w14:textFill>
        </w:rPr>
        <w:t xml:space="preserve">RTX A2000同等性能或以上，显存≥6GB；硬盘≥512GB SSD，≥2TB HHD；</w:t>
      </w:r>
      <w:r/>
    </w:p>
    <w:p>
      <w:pPr>
        <w:pStyle w:val="1149"/>
        <w:ind w:firstLine="480"/>
        <w:rPr>
          <w:rStyle w:val="1480"/>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w:t>
      </w:r>
      <w:r>
        <w:rPr>
          <w:rStyle w:val="1480"/>
          <w:rFonts w:hint="eastAsia" w:ascii="宋体" w:hAnsi="宋体" w:eastAsia="宋体" w:cs="宋体"/>
          <w:color w:val="000000" w:themeColor="text1"/>
          <w:sz w:val="24"/>
          <w:szCs w:val="24"/>
          <w:highlight w:val="none"/>
          <w14:textFill>
            <w14:solidFill>
              <w14:schemeClr w14:val="tx1"/>
            </w14:solidFill>
          </w14:textFill>
        </w:rPr>
        <w:t xml:space="preserve">显微镜</w:t>
      </w:r>
      <w:r>
        <w:rPr>
          <w:rFonts w:hint="eastAsia" w:ascii="宋体" w:hAnsi="宋体" w:cs="宋体"/>
          <w:color w:val="000000" w:themeColor="text1"/>
          <w:sz w:val="24"/>
          <w:szCs w:val="24"/>
          <w:highlight w:val="none"/>
          <w14:textFill>
            <w14:solidFill>
              <w14:schemeClr w14:val="tx1"/>
            </w14:solidFill>
          </w14:textFill>
        </w:rPr>
        <w:t xml:space="preserve">配套软件支持白平衡、曝光的手动和自动调节功能；</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w:t>
      </w:r>
      <w:r>
        <w:rPr>
          <w:rStyle w:val="1480"/>
          <w:rFonts w:hint="eastAsia" w:ascii="宋体" w:hAnsi="宋体" w:eastAsia="宋体" w:cs="宋体"/>
          <w:color w:val="000000" w:themeColor="text1"/>
          <w:sz w:val="24"/>
          <w:szCs w:val="24"/>
          <w:highlight w:val="none"/>
          <w14:textFill>
            <w14:solidFill>
              <w14:schemeClr w14:val="tx1"/>
            </w14:solidFill>
          </w14:textFill>
        </w:rPr>
        <w:t xml:space="preserve">显微镜</w:t>
      </w:r>
      <w:r>
        <w:rPr>
          <w:rFonts w:hint="eastAsia" w:ascii="宋体" w:hAnsi="宋体" w:cs="宋体"/>
          <w:color w:val="000000" w:themeColor="text1"/>
          <w:sz w:val="24"/>
          <w:szCs w:val="24"/>
          <w:highlight w:val="none"/>
          <w14:textFill>
            <w14:solidFill>
              <w14:schemeClr w14:val="tx1"/>
            </w14:solidFill>
          </w14:textFill>
        </w:rPr>
        <w:t xml:space="preserve">配套软件支持多图像同步显示功能，方便实验人员对比观察不同图像的细节；</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w:t>
      </w:r>
      <w:r>
        <w:rPr>
          <w:rStyle w:val="1480"/>
          <w:rFonts w:hint="eastAsia" w:ascii="宋体" w:hAnsi="宋体" w:eastAsia="宋体" w:cs="宋体"/>
          <w:color w:val="000000" w:themeColor="text1"/>
          <w:sz w:val="24"/>
          <w:szCs w:val="24"/>
          <w:highlight w:val="none"/>
          <w14:textFill>
            <w14:solidFill>
              <w14:schemeClr w14:val="tx1"/>
            </w14:solidFill>
          </w14:textFill>
        </w:rPr>
        <w:t xml:space="preserve">显微镜配套软件可自由设置采集图像的</w:t>
      </w:r>
      <w:r>
        <w:rPr>
          <w:rFonts w:hint="eastAsia" w:ascii="宋体" w:hAnsi="宋体" w:cs="宋体"/>
          <w:color w:val="000000" w:themeColor="text1"/>
          <w:sz w:val="24"/>
          <w:szCs w:val="24"/>
          <w:highlight w:val="none"/>
          <w14:textFill>
            <w14:solidFill>
              <w14:schemeClr w14:val="tx1"/>
            </w14:solidFill>
          </w14:textFill>
        </w:rPr>
        <w:t xml:space="preserve">采集单周期时间、采集周期数及采集总时长等参数；</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w:t>
      </w:r>
      <w:r>
        <w:rPr>
          <w:rStyle w:val="1480"/>
          <w:rFonts w:hint="eastAsia" w:ascii="宋体" w:hAnsi="宋体" w:eastAsia="宋体" w:cs="宋体"/>
          <w:color w:val="000000" w:themeColor="text1"/>
          <w:sz w:val="24"/>
          <w:szCs w:val="24"/>
          <w:highlight w:val="none"/>
          <w14:textFill>
            <w14:solidFill>
              <w14:schemeClr w14:val="tx1"/>
            </w14:solidFill>
          </w14:textFill>
        </w:rPr>
        <w:t xml:space="preserve">显微镜配套软件支持</w:t>
      </w:r>
      <w:r>
        <w:rPr>
          <w:rFonts w:hint="eastAsia" w:ascii="宋体" w:hAnsi="宋体" w:cs="宋体"/>
          <w:color w:val="000000" w:themeColor="text1"/>
          <w:sz w:val="24"/>
          <w:szCs w:val="24"/>
          <w:highlight w:val="none"/>
          <w14:textFill>
            <w14:solidFill>
              <w14:schemeClr w14:val="tx1"/>
            </w14:solidFill>
          </w14:textFill>
        </w:rPr>
        <w:t xml:space="preserve">图像亮度、对比度、伽玛值、灰度范围等的调节，并支持各通道伪彩色的修改；处理RGB图像，允许实验人员单独调节其各颜色通道的亮度、对比度等，提升图像的展示效果；</w:t>
      </w:r>
      <w:r/>
    </w:p>
    <w:p>
      <w:pPr>
        <w:pStyle w:val="1149"/>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rPr>
          <w:rStyle w:val="1480"/>
          <w:rFonts w:hint="eastAsia" w:ascii="宋体" w:hAnsi="宋体" w:eastAsia="宋体" w:cs="宋体"/>
          <w:color w:val="000000" w:themeColor="text1"/>
          <w:sz w:val="24"/>
          <w:szCs w:val="24"/>
          <w:highlight w:val="none"/>
          <w14:textFill>
            <w14:solidFill>
              <w14:schemeClr w14:val="tx1"/>
            </w14:solidFill>
          </w14:textFill>
        </w:rPr>
        <w:t xml:space="preserve">显微镜配套软件</w:t>
      </w:r>
      <w:r>
        <w:rPr>
          <w:rFonts w:hint="eastAsia" w:ascii="宋体" w:hAnsi="宋体" w:cs="宋体"/>
          <w:color w:val="000000" w:themeColor="text1"/>
          <w:sz w:val="24"/>
          <w:szCs w:val="24"/>
          <w:highlight w:val="none"/>
          <w14:textFill>
            <w14:solidFill>
              <w14:schemeClr w14:val="tx1"/>
            </w14:solidFill>
          </w14:textFill>
        </w:rPr>
        <w:t xml:space="preserve">支持亮度投影、相衬光晕去除、2D消卷积、最近邻、维纳滤镜、受限迭代等多种图像处理操作；</w:t>
      </w:r>
      <w:r/>
    </w:p>
    <w:p>
      <w:pPr>
        <w:pStyle w:val="1484"/>
        <w:numPr>
          <w:ilvl w:val="0"/>
          <w:numId w:val="0"/>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三、服务要求</w:t>
      </w:r>
      <w:bookmarkEnd w:id="39"/>
      <w:r/>
      <w:bookmarkEnd w:id="40"/>
      <w:r/>
      <w:bookmarkEnd w:id="41"/>
      <w:r/>
      <w:r/>
    </w:p>
    <w:p>
      <w:pPr>
        <w:ind w:firstLine="241"/>
        <w:spacing w:line="360" w:lineRule="auto"/>
        <w:rPr>
          <w:rFonts w:hint="eastAsia" w:ascii="宋体" w:hAnsi="宋体" w:cs="宋体"/>
          <w:color w:val="000000" w:themeColor="text1"/>
          <w:sz w:val="24"/>
          <w:highlight w:val="none"/>
          <w14:textFill>
            <w14:solidFill>
              <w14:schemeClr w14:val="tx1"/>
            </w14:solidFill>
          </w14:textFill>
        </w:rPr>
      </w:pPr>
      <w:r/>
      <w:bookmarkStart w:id="46" w:name="OLE_LINK27"/>
      <w:r>
        <w:rPr>
          <w:rFonts w:hint="eastAsia" w:ascii="宋体" w:hAnsi="宋体" w:cs="宋体"/>
          <w:b/>
          <w:bCs/>
          <w:color w:val="000000" w:themeColor="text1"/>
          <w:sz w:val="24"/>
          <w:highlight w:val="none"/>
          <w14:textFill>
            <w14:solidFill>
              <w14:schemeClr w14:val="tx1"/>
            </w14:solidFill>
          </w14:textFill>
        </w:rPr>
        <w:t xml:space="preserve">（1）技术培训：</w:t>
      </w:r>
      <w:bookmarkStart w:id="47" w:name="OLE_LINK22"/>
      <w:r>
        <w:rPr>
          <w:rFonts w:hint="eastAsia" w:ascii="宋体" w:hAnsi="宋体" w:cs="宋体"/>
          <w:color w:val="000000" w:themeColor="text1"/>
          <w:sz w:val="24"/>
          <w:highlight w:val="none"/>
          <w14:textFill>
            <w14:solidFill>
              <w14:schemeClr w14:val="tx1"/>
            </w14:solidFill>
          </w14:textFill>
        </w:rPr>
        <w:t xml:space="preserve">供应商</w:t>
      </w:r>
      <w:bookmarkEnd w:id="47"/>
      <w:r>
        <w:rPr>
          <w:rFonts w:hint="eastAsia" w:ascii="宋体" w:hAnsi="宋体" w:cs="宋体"/>
          <w:color w:val="000000" w:themeColor="text1"/>
          <w:sz w:val="24"/>
          <w:highlight w:val="none"/>
          <w14:textFill>
            <w14:solidFill>
              <w14:schemeClr w14:val="tx1"/>
            </w14:solidFill>
          </w14:textFill>
        </w:rPr>
        <w:t xml:space="preserve">负责派专业技术人员到采购人处进行</w:t>
      </w:r>
      <w:bookmarkStart w:id="48" w:name="OLE_LINK32"/>
      <w:r>
        <w:rPr>
          <w:rFonts w:hint="eastAsia"/>
          <w:color w:val="000000" w:themeColor="text1"/>
          <w:sz w:val="24"/>
          <w:szCs w:val="32"/>
          <w:highlight w:val="none"/>
          <w14:textFill>
            <w14:solidFill>
              <w14:schemeClr w14:val="tx1"/>
            </w14:solidFill>
          </w14:textFill>
        </w:rPr>
        <w:t xml:space="preserve">不少于 </w:t>
      </w:r>
      <w:bookmarkStart w:id="49" w:name="OLE_LINK25"/>
      <w:r>
        <w:rPr>
          <w:rFonts w:hint="eastAsia"/>
          <w:color w:val="000000" w:themeColor="text1"/>
          <w:sz w:val="24"/>
          <w:szCs w:val="32"/>
          <w:highlight w:val="none"/>
          <w14:textFill>
            <w14:solidFill>
              <w14:schemeClr w14:val="tx1"/>
            </w14:solidFill>
          </w14:textFill>
        </w:rPr>
        <w:t xml:space="preserve">4 次</w:t>
      </w:r>
      <w:bookmarkEnd w:id="48"/>
      <w:r/>
      <w:bookmarkEnd w:id="49"/>
      <w:r>
        <w:rPr>
          <w:rFonts w:hint="eastAsia"/>
          <w:color w:val="000000" w:themeColor="text1"/>
          <w:sz w:val="24"/>
          <w:szCs w:val="32"/>
          <w:highlight w:val="none"/>
          <w14:textFill>
            <w14:solidFill>
              <w14:schemeClr w14:val="tx1"/>
            </w14:solidFill>
          </w14:textFill>
        </w:rPr>
        <w:t xml:space="preserve">的</w:t>
      </w:r>
      <w:bookmarkStart w:id="50" w:name="OLE_LINK34"/>
      <w:r>
        <w:rPr>
          <w:rFonts w:hint="eastAsia"/>
          <w:color w:val="000000" w:themeColor="text1"/>
          <w:sz w:val="24"/>
          <w:szCs w:val="32"/>
          <w:highlight w:val="none"/>
          <w14:textFill>
            <w14:solidFill>
              <w14:schemeClr w14:val="tx1"/>
            </w14:solidFill>
          </w14:textFill>
        </w:rPr>
        <w:t xml:space="preserve">设</w:t>
      </w:r>
      <w:bookmarkStart w:id="51" w:name="OLE_LINK33"/>
      <w:r>
        <w:rPr>
          <w:rFonts w:hint="eastAsia"/>
          <w:color w:val="000000" w:themeColor="text1"/>
          <w:sz w:val="24"/>
          <w:szCs w:val="32"/>
          <w:highlight w:val="none"/>
          <w14:textFill>
            <w14:solidFill>
              <w14:schemeClr w14:val="tx1"/>
            </w14:solidFill>
          </w14:textFill>
        </w:rPr>
        <w:t xml:space="preserve">备操作培</w:t>
      </w:r>
      <w:bookmarkEnd w:id="51"/>
      <w:r>
        <w:rPr>
          <w:rFonts w:hint="eastAsia"/>
          <w:color w:val="000000" w:themeColor="text1"/>
          <w:sz w:val="24"/>
          <w:szCs w:val="32"/>
          <w:highlight w:val="none"/>
          <w14:textFill>
            <w14:solidFill>
              <w14:schemeClr w14:val="tx1"/>
            </w14:solidFill>
          </w14:textFill>
        </w:rPr>
        <w:t xml:space="preserve">训</w:t>
      </w:r>
      <w:bookmarkEnd w:id="50"/>
      <w:r>
        <w:rPr>
          <w:rFonts w:hint="eastAsia"/>
          <w:color w:val="000000" w:themeColor="text1"/>
          <w:sz w:val="24"/>
          <w:szCs w:val="32"/>
          <w:highlight w:val="none"/>
          <w14:textFill>
            <w14:solidFill>
              <w14:schemeClr w14:val="tx1"/>
            </w14:solidFill>
          </w14:textFill>
        </w:rPr>
        <w:t xml:space="preserve">，培训人员数量不低于 </w:t>
      </w:r>
      <w:bookmarkStart w:id="52" w:name="OLE_LINK26"/>
      <w:r>
        <w:rPr>
          <w:rFonts w:hint="eastAsia"/>
          <w:color w:val="000000" w:themeColor="text1"/>
          <w:sz w:val="24"/>
          <w:szCs w:val="32"/>
          <w:highlight w:val="none"/>
          <w14:textFill>
            <w14:solidFill>
              <w14:schemeClr w14:val="tx1"/>
            </w14:solidFill>
          </w14:textFill>
        </w:rPr>
        <w:t xml:space="preserve">2 人</w:t>
      </w:r>
      <w:bookmarkEnd w:id="52"/>
      <w:r>
        <w:rPr>
          <w:rFonts w:hint="eastAsia" w:ascii="宋体" w:hAnsi="宋体" w:cs="宋体"/>
          <w:color w:val="000000" w:themeColor="text1"/>
          <w:sz w:val="24"/>
          <w:highlight w:val="none"/>
          <w14:textFill>
            <w14:solidFill>
              <w14:schemeClr w14:val="tx1"/>
            </w14:solidFill>
          </w14:textFill>
        </w:rPr>
        <w:t xml:space="preserve">，使其能熟练掌握仪器的各项性能（包括硬件和软件）</w:t>
      </w:r>
      <w:bookmarkStart w:id="53" w:name="OLE_LINK28"/>
      <w:r/>
      <w:bookmarkStart w:id="54" w:name="OLE_LINK24"/>
      <w:r>
        <w:rPr>
          <w:rFonts w:hint="eastAsia"/>
          <w:color w:val="000000" w:themeColor="text1"/>
          <w:sz w:val="24"/>
          <w:szCs w:val="32"/>
          <w:highlight w:val="none"/>
          <w14:textFill>
            <w14:solidFill>
              <w14:schemeClr w14:val="tx1"/>
            </w14:solidFill>
          </w14:textFill>
        </w:rPr>
        <w:t xml:space="preserve">。</w:t>
      </w:r>
      <w:bookmarkEnd w:id="53"/>
      <w:r/>
      <w:bookmarkEnd w:id="54"/>
      <w:r>
        <w:rPr>
          <w:rFonts w:hint="eastAsia" w:ascii="宋体" w:hAnsi="宋体" w:cs="宋体"/>
          <w:color w:val="000000" w:themeColor="text1"/>
          <w:sz w:val="24"/>
          <w:highlight w:val="none"/>
          <w14:textFill>
            <w14:solidFill>
              <w14:schemeClr w14:val="tx1"/>
            </w14:solidFill>
          </w14:textFill>
        </w:rPr>
        <w:t xml:space="preserve">在</w:t>
      </w:r>
      <w:bookmarkStart w:id="55" w:name="OLE_LINK35"/>
      <w:r>
        <w:rPr>
          <w:rFonts w:hint="eastAsia"/>
          <w:color w:val="000000" w:themeColor="text1"/>
          <w:sz w:val="24"/>
          <w:szCs w:val="32"/>
          <w:highlight w:val="none"/>
          <w14:textFill>
            <w14:solidFill>
              <w14:schemeClr w14:val="tx1"/>
            </w14:solidFill>
          </w14:textFill>
        </w:rPr>
        <w:t xml:space="preserve">设备操作培训</w:t>
      </w:r>
      <w:bookmarkEnd w:id="55"/>
      <w:r>
        <w:rPr>
          <w:rFonts w:hint="eastAsia" w:ascii="宋体" w:hAnsi="宋体" w:cs="宋体"/>
          <w:color w:val="000000" w:themeColor="text1"/>
          <w:sz w:val="24"/>
          <w:highlight w:val="none"/>
          <w14:textFill>
            <w14:solidFill>
              <w14:schemeClr w14:val="tx1"/>
            </w14:solidFill>
          </w14:textFill>
        </w:rPr>
        <w:t xml:space="preserve">以后，若有采购</w:t>
      </w:r>
      <w:bookmarkStart w:id="56" w:name="OLE_LINK39"/>
      <w:r>
        <w:rPr>
          <w:rFonts w:hint="eastAsia" w:ascii="宋体" w:hAnsi="宋体" w:cs="宋体"/>
          <w:color w:val="000000" w:themeColor="text1"/>
          <w:sz w:val="24"/>
          <w:highlight w:val="none"/>
          <w14:textFill>
            <w14:solidFill>
              <w14:schemeClr w14:val="tx1"/>
            </w14:solidFill>
          </w14:textFill>
        </w:rPr>
        <w:t xml:space="preserve">人</w:t>
      </w:r>
      <w:bookmarkEnd w:id="56"/>
      <w:r>
        <w:rPr>
          <w:rFonts w:hint="eastAsia" w:ascii="宋体" w:hAnsi="宋体" w:cs="宋体"/>
          <w:color w:val="000000" w:themeColor="text1"/>
          <w:sz w:val="24"/>
          <w:highlight w:val="none"/>
          <w14:textFill>
            <w14:solidFill>
              <w14:schemeClr w14:val="tx1"/>
            </w14:solidFill>
          </w14:textFill>
        </w:rPr>
        <w:t xml:space="preserve">仍</w:t>
      </w:r>
      <w:bookmarkStart w:id="57" w:name="OLE_LINK21"/>
      <w:r>
        <w:rPr>
          <w:rFonts w:hint="eastAsia" w:ascii="宋体" w:hAnsi="宋体" w:cs="宋体"/>
          <w:color w:val="000000" w:themeColor="text1"/>
          <w:sz w:val="24"/>
          <w:highlight w:val="none"/>
          <w14:textFill>
            <w14:solidFill>
              <w14:schemeClr w14:val="tx1"/>
            </w14:solidFill>
          </w14:textFill>
        </w:rPr>
        <w:t xml:space="preserve">有</w:t>
      </w:r>
      <w:bookmarkEnd w:id="57"/>
      <w:r>
        <w:rPr>
          <w:rFonts w:hint="eastAsia" w:ascii="宋体" w:hAnsi="宋体" w:cs="宋体"/>
          <w:color w:val="000000" w:themeColor="text1"/>
          <w:sz w:val="24"/>
          <w:highlight w:val="none"/>
          <w14:textFill>
            <w14:solidFill>
              <w14:schemeClr w14:val="tx1"/>
            </w14:solidFill>
          </w14:textFill>
        </w:rPr>
        <w:t xml:space="preserve">技术问题，供应商在任何时候，都应在48小时以内提供详细技术方案并予以解决。</w:t>
      </w:r>
      <w:r/>
    </w:p>
    <w:p>
      <w:pPr>
        <w:ind w:firstLine="241"/>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（2）保修期：</w:t>
      </w:r>
      <w:r>
        <w:rPr>
          <w:rFonts w:hint="eastAsia" w:ascii="宋体" w:hAnsi="宋体" w:cs="宋体"/>
          <w:color w:val="000000" w:themeColor="text1"/>
          <w:sz w:val="24"/>
          <w:highlight w:val="none"/>
          <w14:textFill>
            <w14:solidFill>
              <w14:schemeClr w14:val="tx1"/>
            </w14:solidFill>
          </w14:textFill>
        </w:rPr>
        <w:t xml:space="preserve">不低于1年</w:t>
      </w:r>
      <w:bookmarkStart w:id="58" w:name="OLE_LINK36"/>
      <w:r/>
      <w:bookmarkStart w:id="59" w:name="OLE_LINK23"/>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自验收合格次日起算。质保期内发生任何设备损坏，所需要的维修费用（包括零部件费用、维修费用）均由供应商承担（人为操作不当造成的损坏除外）</w:t>
      </w:r>
      <w:bookmarkEnd w:id="58"/>
      <w:r/>
      <w:bookmarkEnd w:id="59"/>
      <w:r>
        <w:rPr>
          <w:rFonts w:hint="eastAsia"/>
          <w:color w:val="000000" w:themeColor="text1"/>
          <w:sz w:val="24"/>
          <w:szCs w:val="32"/>
          <w:highlight w:val="none"/>
          <w14:textFill>
            <w14:solidFill>
              <w14:schemeClr w14:val="tx1"/>
            </w14:solidFill>
          </w14:textFill>
        </w:rPr>
        <w:t xml:space="preserve">。</w:t>
      </w:r>
      <w:bookmarkEnd w:id="46"/>
      <w:r/>
      <w:r/>
    </w:p>
    <w:p>
      <w:pPr>
        <w:ind w:firstLine="241"/>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（3）售后技术服务要求：</w:t>
      </w:r>
      <w:bookmarkStart w:id="60" w:name="OLE_LINK40"/>
      <w:r>
        <w:rPr>
          <w:rFonts w:hint="eastAsia" w:ascii="宋体" w:hAnsi="宋体" w:cs="宋体"/>
          <w:color w:val="000000" w:themeColor="text1"/>
          <w:sz w:val="24"/>
          <w:highlight w:val="none"/>
          <w14:textFill>
            <w14:solidFill>
              <w14:schemeClr w14:val="tx1"/>
            </w14:solidFill>
          </w14:textFill>
        </w:rPr>
        <w:t xml:space="preserve">供应商应在国内有专门负责的维修工程师或技术支持工程师。供应商应在2小时内电话响应，在24小时内对采购人的服务要求提出解决方案，经确认如有需要，技术人员须在48小时内到达现场；重大问题或其他无法迅速解决的问题应在一周内解决或提出明确解决方案，否则供应商应赔偿相应损失。</w:t>
      </w:r>
      <w:bookmarkEnd w:id="60"/>
      <w:r/>
      <w:r/>
    </w:p>
    <w:p>
      <w:pPr>
        <w:pStyle w:val="1052"/>
        <w:ind w:left="0"/>
        <w:spacing w:line="440" w:lineRule="exact"/>
        <w:rPr>
          <w:color w:val="000000" w:themeColor="text1"/>
          <w:sz w:val="24"/>
          <w:szCs w:val="32"/>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四、安装要求：</w:t>
      </w:r>
      <w:r/>
    </w:p>
    <w:p>
      <w:pPr>
        <w:pStyle w:val="1052"/>
        <w:ind w:left="0" w:firstLine="480"/>
        <w:spacing w:line="440" w:lineRule="exact"/>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w:t>
      </w:r>
      <w:bookmarkStart w:id="61" w:name="OLE_LINK7"/>
      <w:r>
        <w:rPr>
          <w:rFonts w:hint="eastAsia"/>
          <w:color w:val="000000" w:themeColor="text1"/>
          <w:sz w:val="24"/>
          <w:szCs w:val="32"/>
          <w:highlight w:val="none"/>
          <w14:textFill>
            <w14:solidFill>
              <w14:schemeClr w14:val="tx1"/>
            </w14:solidFill>
          </w14:textFill>
        </w:rPr>
        <w:t xml:space="preserve">按照国家现行行业规范标准进行安装，符合国家或行业质量检验评定标准，没有行业标准的产品，</w:t>
      </w:r>
      <w:bookmarkStart w:id="62" w:name="OLE_LINK8"/>
      <w:r>
        <w:rPr>
          <w:rFonts w:hint="eastAsia"/>
          <w:color w:val="000000" w:themeColor="text1"/>
          <w:sz w:val="24"/>
          <w:szCs w:val="32"/>
          <w:highlight w:val="none"/>
          <w14:textFill>
            <w14:solidFill>
              <w14:schemeClr w14:val="tx1"/>
            </w14:solidFill>
          </w14:textFill>
        </w:rPr>
        <w:t xml:space="preserve">供应商</w:t>
      </w:r>
      <w:bookmarkEnd w:id="62"/>
      <w:r>
        <w:rPr>
          <w:rFonts w:hint="eastAsia"/>
          <w:color w:val="000000" w:themeColor="text1"/>
          <w:sz w:val="24"/>
          <w:szCs w:val="32"/>
          <w:highlight w:val="none"/>
          <w14:textFill>
            <w14:solidFill>
              <w14:schemeClr w14:val="tx1"/>
            </w14:solidFill>
          </w14:textFill>
        </w:rPr>
        <w:t xml:space="preserve">应提供相关制造商标准。</w:t>
      </w:r>
      <w:bookmarkEnd w:id="61"/>
      <w:r/>
      <w:r/>
    </w:p>
    <w:p>
      <w:pPr>
        <w:pStyle w:val="1052"/>
        <w:ind w:left="0" w:firstLine="480"/>
        <w:spacing w:line="440" w:lineRule="exact"/>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2、设备安装调试：设备到货后，供应商在接到通知的7个工作日内派人前往负责该设备的安装、调试和操作培训，直至达到各项验收指标合格。</w:t>
      </w:r>
      <w:r/>
    </w:p>
    <w:p>
      <w:pPr>
        <w:pStyle w:val="1055"/>
        <w:ind w:firstLine="480"/>
        <w:spacing w:before="120" w:after="120" w:line="330" w:lineRule="atLeast"/>
        <w:rPr>
          <w:rFonts w:hint="eastAsia" w:hAnsi="宋体" w:cs="宋体"/>
          <w:color w:val="000000" w:themeColor="text1"/>
          <w:sz w:val="24"/>
          <w:szCs w:val="24"/>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w:t>
      </w:r>
      <w:r>
        <w:rPr>
          <w:rFonts w:hint="eastAsia" w:ascii="Calibri" w:hAnsi="Calibri"/>
          <w:color w:val="000000" w:themeColor="text1"/>
          <w:sz w:val="24"/>
          <w:szCs w:val="32"/>
          <w:highlight w:val="none"/>
          <w14:textFill>
            <w14:solidFill>
              <w14:schemeClr w14:val="tx1"/>
            </w14:solidFill>
          </w14:textFill>
        </w:rPr>
        <w:t xml:space="preserve">3、</w:t>
      </w:r>
      <w:bookmarkStart w:id="63" w:name="OLE_LINK9"/>
      <w:r>
        <w:rPr>
          <w:rFonts w:hint="eastAsia" w:ascii="Calibri" w:hAnsi="Calibri"/>
          <w:color w:val="000000" w:themeColor="text1"/>
          <w:sz w:val="24"/>
          <w:szCs w:val="32"/>
          <w:highlight w:val="none"/>
          <w14:textFill>
            <w14:solidFill>
              <w14:schemeClr w14:val="tx1"/>
            </w14:solidFill>
          </w14:textFill>
        </w:rPr>
        <w:t xml:space="preserve">为保障设备安装验收流程，配合相关工程建设进度，中标厂家需根据实际情况免费提供设备移机服务（移机区域：同一校区内）。</w:t>
      </w:r>
      <w:bookmarkEnd w:id="63"/>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（第二部分：商务部分要求）</w:t>
      </w:r>
      <w:r/>
    </w:p>
    <w:p>
      <w:pPr>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五、交货期、交货方式及交货地点</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 交货期：</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合同签订生效后，进口设备（免税）三个月内、国产设备及进口设备（非免税）一个月内全部设备、材料运抵现场，并安装、调试结束，验收合格</w:t>
      </w:r>
      <w:r>
        <w:rPr>
          <w:rFonts w:hint="eastAsia" w:ascii="宋体" w:hAnsi="宋体"/>
          <w:color w:val="000000" w:themeColor="text1"/>
          <w:sz w:val="24"/>
          <w:highlight w:val="none"/>
          <w:lang w:val="zh-CN"/>
          <w14:textFill>
            <w14:solidFill>
              <w14:schemeClr w14:val="tx1"/>
            </w14:solidFill>
          </w14:textFill>
        </w:rPr>
        <w:t xml:space="preserve">，交付采购方使用。</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 交货方式：中标人在</w:t>
      </w:r>
      <w:r>
        <w:rPr>
          <w:rFonts w:hint="eastAsia" w:ascii="宋体" w:hAnsi="宋体" w:cs="宋体"/>
          <w:color w:val="000000" w:themeColor="text1"/>
          <w:sz w:val="24"/>
          <w:highlight w:val="none"/>
          <w14:textFill>
            <w14:solidFill>
              <w14:schemeClr w14:val="tx1"/>
            </w14:solidFill>
          </w14:textFill>
        </w:rPr>
        <w:t xml:space="preserve">采购</w:t>
      </w:r>
      <w:r>
        <w:rPr>
          <w:rFonts w:hint="eastAsia" w:ascii="宋体" w:hAnsi="宋体" w:cs="宋体"/>
          <w:color w:val="000000" w:themeColor="text1"/>
          <w:sz w:val="24"/>
          <w:highlight w:val="none"/>
          <w:lang w:val="en-US" w:eastAsia="zh-CN"/>
          <w14:textFill>
            <w14:solidFill>
              <w14:schemeClr w14:val="tx1"/>
            </w14:solidFill>
          </w14:textFill>
        </w:rPr>
        <w:t xml:space="preserve">方</w:t>
      </w:r>
      <w:r>
        <w:rPr>
          <w:rFonts w:hint="eastAsia" w:ascii="宋体" w:hAnsi="宋体" w:cs="宋体"/>
          <w:color w:val="000000" w:themeColor="text1"/>
          <w:sz w:val="24"/>
          <w:highlight w:val="none"/>
          <w:lang w:val="zh-CN"/>
          <w14:textFill>
            <w14:solidFill>
              <w14:schemeClr w14:val="tx1"/>
            </w14:solidFill>
          </w14:textFill>
        </w:rPr>
        <w:t xml:space="preserve">指定地点交货，并完成安装、调试。</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 交货地点：</w:t>
      </w:r>
      <w:r>
        <w:rPr>
          <w:rFonts w:hint="eastAsia" w:hAnsi="宋体"/>
          <w:b w:val="0"/>
          <w:bCs w:val="0"/>
          <w:color w:val="000000" w:themeColor="text1"/>
          <w:sz w:val="24"/>
          <w:highlight w:val="none"/>
          <w:lang w:val="zh-CN"/>
          <w14:textFill>
            <w14:solidFill>
              <w14:schemeClr w14:val="tx1"/>
            </w14:solidFill>
          </w14:textFill>
        </w:rPr>
        <w:t xml:space="preserve">南京医科大学指定地点。</w:t>
      </w:r>
      <w:r/>
    </w:p>
    <w:p>
      <w:pPr>
        <w:pStyle w:val="1055"/>
        <w:spacing w:line="360" w:lineRule="auto"/>
        <w:rPr>
          <w:rFonts w:hint="eastAsia" w:hAnsi="宋体" w:cs="宋体"/>
          <w:b/>
          <w:bCs/>
          <w:color w:val="000000" w:themeColor="text1"/>
          <w:spacing w:val="8"/>
          <w:sz w:val="24"/>
          <w:szCs w:val="24"/>
          <w:highlight w:val="none"/>
          <w14:textFill>
            <w14:solidFill>
              <w14:schemeClr w14:val="tx1"/>
            </w14:solidFill>
          </w14:textFill>
        </w:rPr>
      </w:pPr>
      <w:r>
        <w:rPr>
          <w:rFonts w:hint="eastAsia" w:hAnsi="宋体" w:cs="宋体"/>
          <w:b/>
          <w:bCs/>
          <w:color w:val="000000" w:themeColor="text1"/>
          <w:spacing w:val="8"/>
          <w:sz w:val="24"/>
          <w:highlight w:val="none"/>
          <w14:textFill>
            <w14:solidFill>
              <w14:schemeClr w14:val="tx1"/>
            </w14:solidFill>
          </w14:textFill>
        </w:rPr>
        <w:t xml:space="preserve">六、</w:t>
      </w:r>
      <w:r>
        <w:rPr>
          <w:rFonts w:hint="eastAsia" w:hAnsi="宋体" w:cs="宋体"/>
          <w:b/>
          <w:bCs/>
          <w:color w:val="000000" w:themeColor="text1"/>
          <w:spacing w:val="8"/>
          <w:sz w:val="24"/>
          <w:szCs w:val="24"/>
          <w:highlight w:val="none"/>
          <w14:textFill>
            <w14:solidFill>
              <w14:schemeClr w14:val="tx1"/>
            </w14:solidFill>
          </w14:textFill>
        </w:rPr>
        <w:t xml:space="preserve">项目的验收方案</w:t>
      </w:r>
      <w:r/>
    </w:p>
    <w:p>
      <w:pPr>
        <w:pStyle w:val="1055"/>
        <w:ind w:firstLine="480"/>
        <w:spacing w:line="360" w:lineRule="auto"/>
        <w:rPr>
          <w:rFonts w:hint="eastAsia" w:hAnsi="宋体"/>
          <w:bCs/>
          <w:color w:val="000000" w:themeColor="text1"/>
          <w:sz w:val="24"/>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 xml:space="preserve">投标人应根据招标文件要求及本项目特点，制订项目验收方案。</w:t>
      </w:r>
      <w:bookmarkStart w:id="64" w:name="_Hlk47438576"/>
      <w:r>
        <w:rPr>
          <w:rFonts w:hint="eastAsia" w:hAnsi="宋体"/>
          <w:bCs/>
          <w:color w:val="000000" w:themeColor="text1"/>
          <w:sz w:val="24"/>
          <w:highlight w:val="none"/>
          <w14:textFill>
            <w14:solidFill>
              <w14:schemeClr w14:val="tx1"/>
            </w14:solidFill>
          </w14:textFill>
        </w:rPr>
        <w:t xml:space="preserve">验收方案要体现项目的全过程质量管控，对包括产品进场、安装过程、系统调试等实施验收并进行全过程记录，以及收集整理包括设备合格证、技术文档等的全套材料</w:t>
      </w:r>
      <w:bookmarkEnd w:id="64"/>
      <w:r>
        <w:rPr>
          <w:rFonts w:hint="eastAsia" w:hAnsi="宋体"/>
          <w:bCs/>
          <w:color w:val="000000" w:themeColor="text1"/>
          <w:sz w:val="24"/>
          <w:highlight w:val="none"/>
          <w14:textFill>
            <w14:solidFill>
              <w14:schemeClr w14:val="tx1"/>
            </w14:solidFill>
          </w14:textFill>
        </w:rPr>
        <w:t xml:space="preserve">，确保本项目达到投标人的各项响应承诺要求，货物交付、安装、调试，准备验收前，中标人需提前一周提交验收申请通知单至南京医科大学资产处。</w:t>
      </w:r>
      <w:r/>
    </w:p>
    <w:p>
      <w:pPr>
        <w:pStyle w:val="1052"/>
        <w:ind w:left="0"/>
        <w:spacing w:line="440" w:lineRule="exact"/>
        <w:rPr>
          <w:rFonts w:hint="eastAsia" w:ascii="宋体" w:hAnsi="宋体" w:cs="宋体"/>
          <w:b/>
          <w:bCs/>
          <w:color w:val="000000" w:themeColor="text1"/>
          <w:spacing w:val="8"/>
          <w:sz w:val="24"/>
          <w:highlight w:val="none"/>
          <w14:textFill>
            <w14:solidFill>
              <w14:schemeClr w14:val="tx1"/>
            </w14:solidFill>
          </w14:textFill>
        </w:rPr>
      </w:pPr>
      <w:r>
        <w:rPr>
          <w:rFonts w:hint="eastAsia" w:hAnsi="宋体" w:cs="宋体"/>
          <w:b/>
          <w:bCs/>
          <w:color w:val="000000" w:themeColor="text1"/>
          <w:spacing w:val="8"/>
          <w:sz w:val="24"/>
          <w:highlight w:val="none"/>
          <w14:textFill>
            <w14:solidFill>
              <w14:schemeClr w14:val="tx1"/>
            </w14:solidFill>
          </w14:textFill>
        </w:rPr>
        <w:t xml:space="preserve">七、</w:t>
      </w:r>
      <w:r>
        <w:rPr>
          <w:rFonts w:hint="eastAsia" w:ascii="宋体" w:hAnsi="宋体" w:cs="宋体"/>
          <w:b/>
          <w:bCs/>
          <w:color w:val="000000" w:themeColor="text1"/>
          <w:spacing w:val="8"/>
          <w:sz w:val="24"/>
          <w:highlight w:val="none"/>
          <w14:textFill>
            <w14:solidFill>
              <w14:schemeClr w14:val="tx1"/>
            </w14:solidFill>
          </w14:textFill>
        </w:rPr>
        <w:t xml:space="preserve">其他技术服务要求：</w:t>
      </w:r>
      <w:r/>
    </w:p>
    <w:p>
      <w:pPr>
        <w:pStyle w:val="1052"/>
        <w:ind w:left="0" w:firstLine="480"/>
        <w:spacing w:line="440" w:lineRule="exact"/>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w:t>
      </w:r>
      <w:bookmarkStart w:id="65" w:name="OLE_LINK10"/>
      <w:r>
        <w:rPr>
          <w:rFonts w:hint="eastAsia"/>
          <w:color w:val="000000" w:themeColor="text1"/>
          <w:sz w:val="24"/>
          <w:szCs w:val="32"/>
          <w:highlight w:val="none"/>
          <w14:textFill>
            <w14:solidFill>
              <w14:schemeClr w14:val="tx1"/>
            </w14:solidFill>
          </w14:textFill>
        </w:rPr>
        <w:t xml:space="preserve">供应商须保证本次投标产品系优质材料和先进工艺制成新出厂的产品，且完全与投标响应文件所述相符。</w:t>
      </w:r>
      <w:bookmarkEnd w:id="65"/>
      <w:r/>
      <w:r/>
    </w:p>
    <w:p>
      <w:pPr>
        <w:pStyle w:val="1052"/>
        <w:ind w:left="0" w:firstLine="480"/>
        <w:spacing w:line="440" w:lineRule="exact"/>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2、交付使用前发生的产品硬件损坏和不合格，一律退换新品。在质保期开始的前三个月内，若发生产品损坏和性能不合格（非使用不当原因造成），除采购人同意修理之外，亦应退换新品。</w:t>
      </w:r>
      <w:r/>
    </w:p>
    <w:p>
      <w:pPr>
        <w:rPr>
          <w:rFonts w:hint="eastAsia"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r>
      <w:r/>
    </w:p>
    <w:p>
      <w:pPr>
        <w:pStyle w:val="1055"/>
        <w:spacing w:line="360" w:lineRule="auto"/>
        <w:rPr>
          <w:rFonts w:hint="eastAsia" w:hAnsi="宋体" w:cs="宋体"/>
          <w:b/>
          <w:bCs/>
          <w:color w:val="000000" w:themeColor="text1"/>
          <w:spacing w:val="8"/>
          <w:sz w:val="24"/>
          <w:szCs w:val="24"/>
          <w:highlight w:val="none"/>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 xml:space="preserve">八</w:t>
      </w:r>
      <w:r>
        <w:rPr>
          <w:rFonts w:hint="eastAsia" w:hAnsi="宋体" w:cs="宋体"/>
          <w:b/>
          <w:bCs/>
          <w:color w:val="000000" w:themeColor="text1"/>
          <w:sz w:val="24"/>
          <w:szCs w:val="24"/>
          <w:highlight w:val="none"/>
          <w:lang w:val="zh-CN"/>
          <w14:textFill>
            <w14:solidFill>
              <w14:schemeClr w14:val="tx1"/>
            </w14:solidFill>
          </w14:textFill>
        </w:rPr>
        <w:t xml:space="preserve">、</w:t>
      </w:r>
      <w:r>
        <w:rPr>
          <w:rFonts w:hint="eastAsia" w:hAnsi="宋体" w:cs="宋体"/>
          <w:b/>
          <w:bCs/>
          <w:color w:val="000000" w:themeColor="text1"/>
          <w:spacing w:val="8"/>
          <w:sz w:val="24"/>
          <w:szCs w:val="24"/>
          <w:highlight w:val="none"/>
          <w14:textFill>
            <w14:solidFill>
              <w14:schemeClr w14:val="tx1"/>
            </w14:solidFill>
          </w14:textFill>
        </w:rPr>
        <w:t xml:space="preserve">结算方式</w:t>
      </w:r>
      <w:r/>
    </w:p>
    <w:p>
      <w:pPr>
        <w:ind w:firstLine="48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1、国产设备及进口设备（非免税）：货物交付、安装、调试且通过验收后一周内（遇寒暑假和法定节假日顺延），学校支付合同总金额的100%，付款之前需收到中标供应商开具的合法有效的相应全额发票。</w:t>
      </w:r>
      <w:r/>
    </w:p>
    <w:p>
      <w:pPr>
        <w:pStyle w:val="1055"/>
        <w:numPr>
          <w:ilvl w:val="0"/>
          <w:numId w:val="0"/>
        </w:numPr>
        <w:ind w:firstLine="480"/>
        <w:spacing w:before="120" w:after="120" w:line="33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2、进口设备（免税）：</w:t>
      </w:r>
      <w:bookmarkStart w:id="66" w:name="_Toc30691"/>
      <w:r/>
      <w:bookmarkStart w:id="67" w:name="_Toc5640"/>
      <w:r/>
      <w:r/>
    </w:p>
    <w:p>
      <w:pPr>
        <w:pStyle w:val="1055"/>
        <w:numPr>
          <w:ilvl w:val="0"/>
          <w:numId w:val="0"/>
        </w:numPr>
        <w:ind w:firstLine="480"/>
        <w:spacing w:before="120" w:after="120" w:line="33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（1）合同签订后，外贸代理公司提供受益人为南京医科大学的100%合同金额的预付款银行保函，保函有效期为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天（供货期＋2个月），银行保函服务费由中标单位承担。</w:t>
      </w:r>
      <w:r/>
    </w:p>
    <w:p>
      <w:pPr>
        <w:pStyle w:val="1055"/>
        <w:ind w:firstLine="480"/>
        <w:spacing w:before="120" w:after="120" w:line="33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（2）外贸代理公司收到100%货款后按照合同办理相关进口手续，货到验收合格后由学校通知外贸代理公司一周内开具合法有效的全额发票，并支付100%货款至境外厂家。</w:t>
      </w:r>
      <w:bookmarkEnd w:id="66"/>
      <w:r/>
      <w:bookmarkEnd w:id="67"/>
      <w:r/>
      <w:r/>
    </w:p>
    <w:p>
      <w:pPr>
        <w:pStyle w:val="1055"/>
        <w:spacing w:line="360" w:lineRule="auto"/>
        <w:rPr>
          <w:rFonts w:hint="eastAsia" w:hAnsi="宋体" w:cs="宋体"/>
          <w:b/>
          <w:bCs/>
          <w:color w:val="000000" w:themeColor="text1"/>
          <w:spacing w:val="8"/>
          <w:sz w:val="24"/>
          <w:szCs w:val="24"/>
          <w:highlight w:val="none"/>
          <w:lang w:val="en-US" w:eastAsia="zh-CN"/>
          <w14:textFill>
            <w14:solidFill>
              <w14:schemeClr w14:val="tx1"/>
            </w14:solidFill>
          </w14:textFill>
        </w:rPr>
      </w:pPr>
      <w:r>
        <w:rPr>
          <w:rFonts w:hint="eastAsia" w:hAnsi="宋体" w:cs="宋体"/>
          <w:b/>
          <w:bCs/>
          <w:color w:val="000000" w:themeColor="text1"/>
          <w:spacing w:val="8"/>
          <w:sz w:val="24"/>
          <w:szCs w:val="24"/>
          <w:highlight w:val="none"/>
          <w14:textFill>
            <w14:solidFill>
              <w14:schemeClr w14:val="tx1"/>
            </w14:solidFill>
          </w14:textFill>
        </w:rPr>
        <w:t xml:space="preserve">九、</w:t>
      </w:r>
      <w:r>
        <w:rPr>
          <w:rFonts w:hint="eastAsia" w:hAnsi="宋体" w:cs="宋体"/>
          <w:b/>
          <w:bCs/>
          <w:color w:val="000000" w:themeColor="text1"/>
          <w:spacing w:val="8"/>
          <w:sz w:val="24"/>
          <w:szCs w:val="24"/>
          <w:highlight w:val="none"/>
          <w:lang w:val="en-US" w:eastAsia="zh-CN"/>
          <w14:textFill>
            <w14:solidFill>
              <w14:schemeClr w14:val="tx1"/>
            </w14:solidFill>
          </w14:textFill>
        </w:rPr>
        <w:t xml:space="preserve">履约保证金</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1、缴纳履约保证金</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82"/>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南京医科大学指定账户信息具体如下：</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单位名称：南京医科大学</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 户 行：南京市工行汉中门支行                          </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账    号：4301010109001038622</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注：请在转账时备注“项目名称+履约保证金”字样。</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firstLine="480"/>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3、合同履行过程中，若经学校核实存在货物质量问题或中标供应商违约情形，学校有权在通知中标供应商后，从履约保证金中抵扣相应的补偿或赔偿款项。</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4、履约保证金退还流程</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（1）自货物验收合格之日起12个月后，中标供应商可向学校出具货物最终验收单，并同步提交填写完整的《履约保证金退还申请单》。</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（2）经最终用户签字确认，核实无质量问题且供应商无违约情形后，学校于确认完成后一个月内，将履约保证金一次性无息退还中标供应商。</w:t>
      </w:r>
      <w:r/>
    </w:p>
    <w:p>
      <w:pPr>
        <w:pStyle w:val="1055"/>
        <w:spacing w:line="360" w:lineRule="auto"/>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pacing w:val="8"/>
          <w:sz w:val="24"/>
          <w:szCs w:val="24"/>
          <w:highlight w:val="none"/>
          <w:lang w:val="en-US" w:eastAsia="zh-CN"/>
          <w14:textFill>
            <w14:solidFill>
              <w14:schemeClr w14:val="tx1"/>
            </w14:solidFill>
          </w14:textFill>
        </w:rPr>
        <w:t xml:space="preserve">十、</w:t>
      </w:r>
      <w:r>
        <w:rPr>
          <w:rFonts w:hint="eastAsia" w:hAnsi="宋体" w:cs="宋体"/>
          <w:b/>
          <w:bCs/>
          <w:color w:val="000000" w:themeColor="text1"/>
          <w:spacing w:val="8"/>
          <w:sz w:val="24"/>
          <w:szCs w:val="24"/>
          <w:highlight w:val="none"/>
          <w14:textFill>
            <w14:solidFill>
              <w14:schemeClr w14:val="tx1"/>
            </w14:solidFill>
          </w14:textFill>
        </w:rPr>
        <w:t xml:space="preserve">投标报价</w:t>
      </w:r>
      <w:r/>
    </w:p>
    <w:p>
      <w:pPr>
        <w:pStyle w:val="1052"/>
        <w:ind w:left="0" w:firstLine="512"/>
        <w:spacing w:line="440" w:lineRule="exact"/>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pStyle w:val="1052"/>
        <w:ind w:left="0" w:firstLine="512"/>
        <w:spacing w:line="440" w:lineRule="exact"/>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pStyle w:val="1052"/>
        <w:ind w:left="0" w:firstLine="512"/>
        <w:spacing w:line="440" w:lineRule="exact"/>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报价时应充分考虑所有可能影响到报价的因素，一旦评审结束最终成交，如发生漏、缺、少项都将被认为是成交供应商的报价让利行为，损失自负。</w:t>
      </w:r>
      <w:r/>
    </w:p>
    <w:p>
      <w:pPr>
        <w:pStyle w:val="1052"/>
        <w:ind w:left="0" w:firstLine="512"/>
        <w:spacing w:line="440" w:lineRule="exact"/>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ind w:firstLine="48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各档代理费率为：</w:t>
      </w:r>
      <w:r/>
    </w:p>
    <w:tbl>
      <w:tblPr>
        <w:tblStyle w:val="10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52"/>
              <w:ind w:left="0"/>
              <w:jc w:val="center"/>
              <w:spacing w:line="320" w:lineRule="exact"/>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52"/>
              <w:ind w:left="0"/>
              <w:jc w:val="center"/>
              <w:spacing w:line="320" w:lineRule="exact"/>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52"/>
              <w:ind w:left="0"/>
              <w:jc w:val="center"/>
              <w:spacing w:line="320" w:lineRule="exact"/>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0.11</w:t>
            </w:r>
            <w:r/>
          </w:p>
        </w:tc>
      </w:tr>
      <w:tr>
        <w:trPr>
          <w:jc w:val="center"/>
          <w:trHeight w:val="431"/>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0.07       </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52"/>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1052"/>
              <w:ind w:left="0"/>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合同价为20万美元及以上的，代理费率不高于上述代理费中最低一档。</w:t>
            </w:r>
            <w:r/>
          </w:p>
        </w:tc>
      </w:tr>
    </w:tbl>
    <w:p>
      <w:pPr>
        <w:ind w:firstLine="211"/>
        <w:jc w:val="left"/>
        <w:widowControl/>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r>
      <w:r/>
    </w:p>
    <w:p>
      <w:pPr>
        <w:ind w:firstLine="480"/>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如潜在供应商所投产品为进口（免税）产品，请自行综合考虑外贸代理费等报价事宜。</w:t>
      </w:r>
      <w:r/>
    </w:p>
    <w:p>
      <w:pPr>
        <w:ind w:firstLine="720"/>
        <w:spacing w:line="360" w:lineRule="auto"/>
        <w:widowControl/>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br w:type="page" w:clear="all"/>
      </w:r>
      <w:r/>
    </w:p>
    <w:p>
      <w:pPr>
        <w:pStyle w:val="1028"/>
        <w:jc w:val="center"/>
        <w:spacing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第五章  </w:t>
      </w:r>
      <w:bookmarkStart w:id="68" w:name="_Toc13969"/>
      <w:r>
        <w:rPr>
          <w:rFonts w:hint="eastAsia" w:ascii="宋体" w:hAnsi="宋体" w:cs="宋体"/>
          <w:color w:val="000000" w:themeColor="text1"/>
          <w:sz w:val="32"/>
          <w:szCs w:val="32"/>
          <w:highlight w:val="none"/>
          <w14:textFill>
            <w14:solidFill>
              <w14:schemeClr w14:val="tx1"/>
            </w14:solidFill>
          </w14:textFill>
        </w:rPr>
        <w:t xml:space="preserve"> </w:t>
      </w:r>
      <w:bookmarkEnd w:id="68"/>
      <w:r>
        <w:rPr>
          <w:rFonts w:hint="eastAsia" w:ascii="宋体" w:hAnsi="宋体" w:cs="宋体"/>
          <w:color w:val="000000" w:themeColor="text1"/>
          <w:sz w:val="36"/>
          <w:szCs w:val="36"/>
          <w:highlight w:val="none"/>
          <w:lang w:val="zh-CN"/>
          <w14:textFill>
            <w14:solidFill>
              <w14:schemeClr w14:val="tx1"/>
            </w14:solidFill>
          </w14:textFill>
        </w:rPr>
        <w:t xml:space="preserve">合同主要条款及格式</w:t>
      </w:r>
      <w:r/>
    </w:p>
    <w:p>
      <w:pPr>
        <w:pStyle w:val="1055"/>
        <w:jc w:val="center"/>
        <w:spacing w:before="120" w:after="120" w:line="360" w:lineRule="auto"/>
        <w:rPr>
          <w:rFonts w:hint="eastAsia" w:hAnsi="宋体" w:cs="宋体"/>
          <w:b/>
          <w:bCs/>
          <w:color w:val="000000" w:themeColor="text1"/>
          <w:sz w:val="24"/>
          <w:highlight w:val="none"/>
          <w:u w:val="single"/>
          <w14:textFill>
            <w14:solidFill>
              <w14:schemeClr w14:val="tx1"/>
            </w14:solidFill>
          </w14:textFill>
        </w:rPr>
      </w:pPr>
      <w:r>
        <w:rPr>
          <w:rFonts w:hint="eastAsia" w:hAnsi="宋体" w:cs="宋体"/>
          <w:b/>
          <w:bCs/>
          <w:color w:val="000000" w:themeColor="text1"/>
          <w:sz w:val="24"/>
          <w:highlight w:val="none"/>
          <w:u w:val="single"/>
          <w14:textFill>
            <w14:solidFill>
              <w14:schemeClr w14:val="tx1"/>
            </w14:solidFill>
          </w14:textFill>
        </w:rPr>
        <w:t xml:space="preserve">南京医科大学疫苗平快速高分辨正置荧光成像系统采购项目合同</w:t>
      </w:r>
      <w:r/>
    </w:p>
    <w:p>
      <w:pPr>
        <w:pStyle w:val="1055"/>
        <w:ind w:firstLine="420"/>
        <w:spacing w:before="120" w:after="12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甲方：（买方）_________         乙方：（卖方）_________ </w:t>
      </w:r>
      <w:r/>
    </w:p>
    <w:p>
      <w:pPr>
        <w:pStyle w:val="1055"/>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法定代表人：</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法定代表人：</w:t>
      </w:r>
      <w:r>
        <w:rPr>
          <w:rFonts w:hint="eastAsia" w:hAnsi="宋体" w:cs="宋体"/>
          <w:color w:val="000000" w:themeColor="text1"/>
          <w:highlight w:val="none"/>
          <w:u w:val="single"/>
          <w14:textFill>
            <w14:solidFill>
              <w14:schemeClr w14:val="tx1"/>
            </w14:solidFill>
          </w14:textFill>
        </w:rPr>
        <w:t xml:space="preserve">           </w:t>
      </w:r>
      <w:r/>
    </w:p>
    <w:p>
      <w:pPr>
        <w:pStyle w:val="1055"/>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地址：</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地址：</w:t>
      </w:r>
      <w:r>
        <w:rPr>
          <w:rFonts w:hint="eastAsia" w:hAnsi="宋体" w:cs="宋体"/>
          <w:color w:val="000000" w:themeColor="text1"/>
          <w:highlight w:val="none"/>
          <w:u w:val="single"/>
          <w14:textFill>
            <w14:solidFill>
              <w14:schemeClr w14:val="tx1"/>
            </w14:solidFill>
          </w14:textFill>
        </w:rPr>
        <w:t xml:space="preserve">                 </w:t>
      </w:r>
      <w:r/>
    </w:p>
    <w:p>
      <w:pPr>
        <w:pStyle w:val="1055"/>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联系人：</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联系人：</w:t>
      </w:r>
      <w:r>
        <w:rPr>
          <w:rFonts w:hint="eastAsia" w:hAnsi="宋体" w:cs="宋体"/>
          <w:color w:val="000000" w:themeColor="text1"/>
          <w:highlight w:val="none"/>
          <w:u w:val="single"/>
          <w14:textFill>
            <w14:solidFill>
              <w14:schemeClr w14:val="tx1"/>
            </w14:solidFill>
          </w14:textFill>
        </w:rPr>
        <w:t xml:space="preserve">                </w:t>
      </w:r>
      <w:r/>
    </w:p>
    <w:p>
      <w:pPr>
        <w:pStyle w:val="1055"/>
        <w:ind w:firstLine="420"/>
        <w:spacing w:before="120" w:after="12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联系方式：</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联系方式：</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w:t>
      </w:r>
      <w:r/>
    </w:p>
    <w:p>
      <w:pPr>
        <w:pStyle w:val="1055"/>
        <w:ind w:firstLine="420"/>
        <w:spacing w:before="120" w:after="120"/>
        <w:rPr>
          <w:rFonts w:hint="eastAsia" w:hAnsi="宋体"/>
          <w:color w:val="000000" w:themeColor="text1"/>
          <w:sz w:val="24"/>
          <w:szCs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甲、乙双方根据南京医科大学</w:t>
      </w:r>
      <w:r>
        <w:rPr>
          <w:rFonts w:hint="eastAsia" w:hAnsi="宋体" w:cs="宋体"/>
          <w:color w:val="000000" w:themeColor="text1"/>
          <w:highlight w:val="none"/>
          <w:u w:val="single"/>
          <w14:textFill>
            <w14:solidFill>
              <w14:schemeClr w14:val="tx1"/>
            </w14:solidFill>
          </w14:textFill>
        </w:rPr>
        <w:t xml:space="preserve">疫苗平快速高分辨正置荧光成像系统采购项目 </w:t>
      </w:r>
      <w:r>
        <w:rPr>
          <w:rFonts w:hint="eastAsia" w:hAnsi="宋体" w:cs="宋体"/>
          <w:color w:val="000000" w:themeColor="text1"/>
          <w:highlight w:val="none"/>
          <w14:textFill>
            <w14:solidFill>
              <w14:schemeClr w14:val="tx1"/>
            </w14:solidFill>
          </w14:textFill>
        </w:rPr>
        <w:t xml:space="preserve">公开招标的结果，本着自愿及平等互利的原则，就甲方向乙方购买本合同约定的货物事宜，签署本合同。</w:t>
      </w:r>
      <w:r/>
    </w:p>
    <w:p>
      <w:pPr>
        <w:pStyle w:val="1055"/>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一、货物内容</w:t>
      </w:r>
      <w:r>
        <w:rPr>
          <w:rFonts w:hint="eastAsia" w:hAnsi="宋体"/>
          <w:b/>
          <w:color w:val="000000" w:themeColor="text1"/>
          <w:sz w:val="24"/>
          <w:szCs w:val="24"/>
          <w:highlight w:val="none"/>
          <w14:textFill>
            <w14:solidFill>
              <w14:schemeClr w14:val="tx1"/>
            </w14:solidFill>
          </w14:textFill>
        </w:rPr>
        <w:t xml:space="preserve">、数量及金额</w:t>
      </w:r>
      <w:r/>
    </w:p>
    <w:tbl>
      <w:tblPr>
        <w:tblStyle w:val="1038"/>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459"/>
        <w:gridCol w:w="1029"/>
        <w:gridCol w:w="1029"/>
        <w:gridCol w:w="1029"/>
        <w:gridCol w:w="1037"/>
        <w:gridCol w:w="1622"/>
        <w:gridCol w:w="1628"/>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总价（人民币大写）：                         </w:t>
            </w:r>
            <w:r>
              <w:rPr>
                <w:rFonts w:hint="eastAsia" w:ascii="宋体" w:hAnsi="宋体" w:cs="宋体"/>
                <w:color w:val="000000" w:themeColor="text1"/>
                <w:szCs w:val="21"/>
                <w:highlight w:val="none"/>
                <w14:textFill>
                  <w14:solidFill>
                    <w14:schemeClr w14:val="tx1"/>
                  </w14:solidFill>
                </w14:textFill>
              </w:rPr>
              <w:t xml:space="preserve">合计（小写）：</w:t>
            </w:r>
            <w:r/>
          </w:p>
          <w:p>
            <w:pPr>
              <w:jc w:val="cente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此外，</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（1）若合同在履行过程中因国家政策调整，不在进口货物免税清单内，加征的关税亦包含在本合同总价款中。</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1055"/>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w:t>
      </w:r>
      <w:r>
        <w:rPr>
          <w:rFonts w:hint="eastAsia" w:hAnsi="宋体"/>
          <w:b/>
          <w:color w:val="000000" w:themeColor="text1"/>
          <w:sz w:val="24"/>
          <w:szCs w:val="24"/>
          <w:highlight w:val="none"/>
          <w14:textFill>
            <w14:solidFill>
              <w14:schemeClr w14:val="tx1"/>
            </w14:solidFill>
          </w14:textFill>
        </w:rPr>
        <w:t xml:space="preserve">结算方式</w:t>
      </w:r>
      <w:r/>
    </w:p>
    <w:p>
      <w:pPr>
        <w:pStyle w:val="1055"/>
        <w:ind w:firstLine="480"/>
        <w:spacing w:before="120" w:after="120" w:line="330" w:lineRule="atLeast"/>
        <w:rPr>
          <w:rFonts w:hint="eastAsia" w:hAnsi="宋体"/>
          <w:color w:val="000000" w:themeColor="text1"/>
          <w:sz w:val="24"/>
          <w:szCs w:val="28"/>
          <w:highlight w:val="none"/>
          <w14:textFill>
            <w14:solidFill>
              <w14:schemeClr w14:val="tx1"/>
            </w14:solidFill>
          </w14:textFill>
        </w:rPr>
      </w:pPr>
      <w:r>
        <w:rPr>
          <w:rFonts w:hAnsi="宋体"/>
          <w:color w:val="000000" w:themeColor="text1"/>
          <w:sz w:val="24"/>
          <w:szCs w:val="28"/>
          <w:highlight w:val="none"/>
          <w14:textFill>
            <w14:solidFill>
              <w14:schemeClr w14:val="tx1"/>
            </w14:solidFill>
          </w14:textFill>
        </w:rPr>
        <w:t xml:space="preserve">2.1结算方式：</w:t>
      </w:r>
      <w:r/>
    </w:p>
    <w:p>
      <w:pPr>
        <w:pStyle w:val="1055"/>
        <w:ind w:firstLine="480"/>
        <w:spacing w:before="120" w:after="120" w:line="330" w:lineRule="atLeast"/>
        <w:rPr>
          <w:rFonts w:hint="eastAsia" w:hAnsi="宋体" w:cstheme="minorBidi"/>
          <w:color w:val="000000" w:themeColor="text1"/>
          <w:sz w:val="24"/>
          <w:szCs w:val="22"/>
          <w:highlight w:val="none"/>
          <w14:textFill>
            <w14:solidFill>
              <w14:schemeClr w14:val="tx1"/>
            </w14:solidFill>
          </w14:textFill>
        </w:rPr>
      </w:pPr>
      <w:r>
        <w:rPr>
          <w:rFonts w:hint="eastAsia" w:hAnsi="宋体" w:cstheme="minorBidi"/>
          <w:color w:val="000000" w:themeColor="text1"/>
          <w:sz w:val="24"/>
          <w:szCs w:val="22"/>
          <w:highlight w:val="none"/>
          <w14:textFill>
            <w14:solidFill>
              <w14:schemeClr w14:val="tx1"/>
            </w14:solidFill>
          </w14:textFill>
        </w:rPr>
        <w:t xml:space="preserve">A【</w:t>
      </w:r>
      <w:r>
        <w:rPr>
          <w:rFonts w:hint="eastAsia" w:ascii="宋体" w:hAnsi="宋体" w:cs="宋体"/>
          <w:color w:val="000000" w:themeColor="text1"/>
          <w:spacing w:val="8"/>
          <w:sz w:val="24"/>
          <w:highlight w:val="none"/>
          <w14:textFill>
            <w14:solidFill>
              <w14:schemeClr w14:val="tx1"/>
            </w14:solidFill>
          </w14:textFill>
        </w:rPr>
        <w:t xml:space="preserve">国产设备及进口设备（非免税）</w:t>
      </w:r>
      <w:r>
        <w:rPr>
          <w:rFonts w:hint="eastAsia" w:hAnsi="宋体" w:cstheme="minorBidi"/>
          <w:color w:val="000000" w:themeColor="text1"/>
          <w:sz w:val="24"/>
          <w:szCs w:val="22"/>
          <w:highlight w:val="none"/>
          <w14:textFill>
            <w14:solidFill>
              <w14:schemeClr w14:val="tx1"/>
            </w14:solidFill>
          </w14:textFill>
        </w:rPr>
        <w:t xml:space="preserve">】：货物交付、安装、调试且通过验收后一周内（遇寒暑假和法定节假日顺延），学校支付合同总金额的100%，付款之前需收到中标供应商开具的合法有效的相应全额发票。</w:t>
      </w:r>
      <w:r/>
    </w:p>
    <w:p>
      <w:pPr>
        <w:pStyle w:val="1055"/>
        <w:ind w:firstLine="480"/>
        <w:spacing w:before="120" w:after="120" w:line="330" w:lineRule="atLeast"/>
        <w:rPr>
          <w:rFonts w:hint="eastAsia" w:hAnsi="宋体" w:cstheme="minorBidi"/>
          <w:color w:val="000000" w:themeColor="text1"/>
          <w:sz w:val="24"/>
          <w:szCs w:val="22"/>
          <w:highlight w:val="none"/>
          <w14:textFill>
            <w14:solidFill>
              <w14:schemeClr w14:val="tx1"/>
            </w14:solidFill>
          </w14:textFill>
        </w:rPr>
      </w:pPr>
      <w:r>
        <w:rPr>
          <w:rFonts w:hint="eastAsia" w:hAnsi="宋体" w:cstheme="minorBidi"/>
          <w:color w:val="000000" w:themeColor="text1"/>
          <w:sz w:val="24"/>
          <w:szCs w:val="22"/>
          <w:highlight w:val="none"/>
          <w14:textFill>
            <w14:solidFill>
              <w14:schemeClr w14:val="tx1"/>
            </w14:solidFill>
          </w14:textFill>
        </w:rPr>
        <w:t xml:space="preserve">B【</w:t>
      </w:r>
      <w:r>
        <w:rPr>
          <w:rFonts w:hint="eastAsia" w:ascii="宋体" w:hAnsi="宋体" w:cs="宋体"/>
          <w:color w:val="000000" w:themeColor="text1"/>
          <w:spacing w:val="8"/>
          <w:sz w:val="24"/>
          <w:highlight w:val="none"/>
          <w14:textFill>
            <w14:solidFill>
              <w14:schemeClr w14:val="tx1"/>
            </w14:solidFill>
          </w14:textFill>
        </w:rPr>
        <w:t xml:space="preserve">进口设备（免税）</w:t>
      </w:r>
      <w:r>
        <w:rPr>
          <w:rFonts w:hint="eastAsia" w:hAnsi="宋体" w:cstheme="minorBidi"/>
          <w:color w:val="000000" w:themeColor="text1"/>
          <w:sz w:val="24"/>
          <w:szCs w:val="22"/>
          <w:highlight w:val="none"/>
          <w14:textFill>
            <w14:solidFill>
              <w14:schemeClr w14:val="tx1"/>
            </w14:solidFill>
          </w14:textFill>
        </w:rPr>
        <w:t xml:space="preserve">】：</w:t>
      </w:r>
      <w:r/>
    </w:p>
    <w:p>
      <w:pPr>
        <w:pStyle w:val="1055"/>
        <w:numPr>
          <w:ilvl w:val="0"/>
          <w:numId w:val="3"/>
        </w:numPr>
        <w:ind w:firstLine="480"/>
        <w:spacing w:before="120" w:after="120" w:line="330" w:lineRule="atLeast"/>
        <w:rPr>
          <w:rFonts w:hint="eastAsia" w:hAnsi="宋体" w:cstheme="minorBidi"/>
          <w:color w:val="000000" w:themeColor="text1"/>
          <w:sz w:val="24"/>
          <w:szCs w:val="22"/>
          <w:highlight w:val="none"/>
          <w14:textFill>
            <w14:solidFill>
              <w14:schemeClr w14:val="tx1"/>
            </w14:solidFill>
          </w14:textFill>
        </w:rPr>
      </w:pPr>
      <w:r>
        <w:rPr>
          <w:rFonts w:hint="eastAsia" w:hAnsi="宋体" w:cstheme="minorBidi"/>
          <w:color w:val="000000" w:themeColor="text1"/>
          <w:sz w:val="24"/>
          <w:szCs w:val="22"/>
          <w:highlight w:val="none"/>
          <w14:textFill>
            <w14:solidFill>
              <w14:schemeClr w14:val="tx1"/>
            </w14:solidFill>
          </w14:textFill>
        </w:rPr>
        <w:t xml:space="preserve">合同签订后，外贸代理公司提供受益人为南京医科大学的100%合同金额的预付款银行保函，保函有效期为</w:t>
      </w:r>
      <w:r>
        <w:rPr>
          <w:rFonts w:hint="eastAsia" w:hAnsi="宋体" w:cstheme="minorBidi"/>
          <w:color w:val="000000" w:themeColor="text1"/>
          <w:sz w:val="24"/>
          <w:szCs w:val="22"/>
          <w:highlight w:val="none"/>
          <w:u w:val="single"/>
          <w:lang w:val="en-US" w:eastAsia="zh-CN"/>
          <w14:textFill>
            <w14:solidFill>
              <w14:schemeClr w14:val="tx1"/>
            </w14:solidFill>
          </w14:textFill>
        </w:rPr>
        <w:t xml:space="preserve">     天（</w:t>
      </w:r>
      <w:r>
        <w:rPr>
          <w:rFonts w:hint="eastAsia" w:hAnsi="宋体" w:cstheme="minorBidi"/>
          <w:color w:val="000000" w:themeColor="text1"/>
          <w:sz w:val="24"/>
          <w:szCs w:val="22"/>
          <w:highlight w:val="none"/>
          <w:lang w:val="en-US" w:eastAsia="zh-CN"/>
          <w14:textFill>
            <w14:solidFill>
              <w14:schemeClr w14:val="tx1"/>
            </w14:solidFill>
          </w14:textFill>
        </w:rPr>
        <w:t xml:space="preserve">供货期</w:t>
      </w: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＋2</w:t>
      </w:r>
      <w:r>
        <w:rPr>
          <w:rFonts w:hint="eastAsia" w:hAnsi="宋体" w:cstheme="minorBidi"/>
          <w:color w:val="000000" w:themeColor="text1"/>
          <w:sz w:val="24"/>
          <w:szCs w:val="22"/>
          <w:highlight w:val="none"/>
          <w:lang w:val="en-US" w:eastAsia="zh-CN"/>
          <w14:textFill>
            <w14:solidFill>
              <w14:schemeClr w14:val="tx1"/>
            </w14:solidFill>
          </w14:textFill>
        </w:rPr>
        <w:t xml:space="preserve">个月）</w:t>
      </w:r>
      <w:r>
        <w:rPr>
          <w:rFonts w:hint="eastAsia" w:hAnsi="宋体" w:cstheme="minorBidi"/>
          <w:color w:val="000000" w:themeColor="text1"/>
          <w:sz w:val="24"/>
          <w:szCs w:val="22"/>
          <w:highlight w:val="none"/>
          <w14:textFill>
            <w14:solidFill>
              <w14:schemeClr w14:val="tx1"/>
            </w14:solidFill>
          </w14:textFill>
        </w:rPr>
        <w:t xml:space="preserve">，银行保函服务费由中标单位承担。</w:t>
      </w:r>
      <w:r/>
    </w:p>
    <w:p>
      <w:pPr>
        <w:pStyle w:val="1055"/>
        <w:ind w:firstLine="480"/>
        <w:spacing w:before="120" w:after="120" w:line="330" w:lineRule="atLeast"/>
        <w:rPr>
          <w:rFonts w:hint="eastAsia" w:hAnsi="宋体" w:cstheme="minorBidi"/>
          <w:color w:val="000000" w:themeColor="text1"/>
          <w:sz w:val="24"/>
          <w:szCs w:val="22"/>
          <w:highlight w:val="none"/>
          <w14:textFill>
            <w14:solidFill>
              <w14:schemeClr w14:val="tx1"/>
            </w14:solidFill>
          </w14:textFill>
        </w:rPr>
      </w:pPr>
      <w:r>
        <w:rPr>
          <w:rFonts w:hint="eastAsia" w:hAnsi="宋体" w:cstheme="minorBidi"/>
          <w:color w:val="000000" w:themeColor="text1"/>
          <w:sz w:val="24"/>
          <w:szCs w:val="22"/>
          <w:highlight w:val="none"/>
          <w14:textFill>
            <w14:solidFill>
              <w14:schemeClr w14:val="tx1"/>
            </w14:solidFill>
          </w14:textFill>
        </w:rPr>
        <w:t xml:space="preserve">（2）外贸代理公司收到100%货款后按照合同办理相关进口手续，货到验收合格后由学校通知外贸代理公司一周内开具合法有效的全额发票，并支付100%货款至境外厂家。</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2.2履约保证金（根据招标文件要求选用）</w:t>
      </w:r>
      <w:r/>
    </w:p>
    <w:p>
      <w:pPr>
        <w:pStyle w:val="1055"/>
        <w:ind w:firstLine="480"/>
        <w:rPr>
          <w:rFonts w:hint="eastAsia" w:hAnsi="宋体"/>
          <w:color w:val="000000" w:themeColor="text1"/>
          <w:sz w:val="24"/>
          <w:szCs w:val="28"/>
          <w:highlight w:val="none"/>
          <w14:textFill>
            <w14:solidFill>
              <w14:schemeClr w14:val="tx1"/>
            </w14:solidFill>
          </w14:textFill>
        </w:rPr>
      </w:pPr>
      <w:r>
        <w:rPr>
          <w:rFonts w:ascii="Wingdings 2" w:hAnsi="Wingdings 2" w:eastAsia="Wingdings 2" w:cs="Wingdings 2"/>
          <w:color w:val="000000" w:themeColor="text1"/>
          <w:sz w:val="24"/>
          <w:szCs w:val="28"/>
          <w:highlight w:val="none"/>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本项目不需要缴纳履约保证金。</w:t>
      </w:r>
      <w:r/>
    </w:p>
    <w:p>
      <w:pPr>
        <w:pStyle w:val="1055"/>
        <w:ind w:firstLine="480"/>
        <w:rPr>
          <w:rFonts w:hint="eastAsia" w:hAnsi="宋体"/>
          <w:color w:val="000000" w:themeColor="text1"/>
          <w:sz w:val="24"/>
          <w:szCs w:val="28"/>
          <w:highlight w:val="none"/>
          <w14:textFill>
            <w14:solidFill>
              <w14:schemeClr w14:val="tx1"/>
            </w14:solidFill>
          </w14:textFill>
        </w:rPr>
      </w:pPr>
      <w:r>
        <w:rPr>
          <w:rFonts w:ascii="Wingdings 2" w:hAnsi="Wingdings 2" w:eastAsia="Wingdings 2" w:cs="Wingdings 2"/>
          <w:color w:val="000000" w:themeColor="text1"/>
          <w:sz w:val="24"/>
          <w:szCs w:val="28"/>
          <w:highlight w:val="none"/>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本项目需要缴纳履约保证金，具体要求如下：</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（1）供应商中标后7个工作日内，将中标合同金额10%的履约保证金以银行对公转账形式支付至</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指定账户，并将加盖单位公章的银行回执单或网银截图递交至</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凭付款凭证及到款情况办理合同签订相关手续。</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南京医科大学指定账户信息具体如下：</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单位名称：南京医科大学</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开 户 行：南京市工行汉中门支行                          </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账    号：4301010109001038622</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注：请在转账时备注“项目名称+履约保证保金”字样。</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lang w:val="en-US" w:eastAsia="zh-CN"/>
          <w14:textFill>
            <w14:solidFill>
              <w14:schemeClr w14:val="tx1"/>
            </w14:solidFill>
          </w14:textFill>
        </w:rPr>
        <w:t xml:space="preserve">2</w:t>
      </w: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合同履行过程中，若经</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核实存在货物质量问题或</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违约情形，</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有权在通知</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后，从履约保证金中抵扣相应的补偿或赔偿款项。</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lang w:val="en-US" w:eastAsia="zh-CN"/>
          <w14:textFill>
            <w14:solidFill>
              <w14:schemeClr w14:val="tx1"/>
            </w14:solidFill>
          </w14:textFill>
        </w:rPr>
        <w:t xml:space="preserve">3</w:t>
      </w: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履约保证金退还流程</w:t>
      </w: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自货物验收合格之日起12个月后，</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可向</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出具货物最终验收单，并同步提交填写完整的《履约保证金退还申请单》。经最终用户签字确认，核实无质量问题且</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无违约情形后，</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于确认完成后一个月内，将履约保证金一次性无息退还</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2.3当采购数量与实际使用数量不一致时，乙方应根据实际使用量供货，合同的最终结算金额按实际使用量乘以本合同约定的成交单价进行计算。</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2.4乙方指定账户信息：</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开户行：</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户名：</w:t>
      </w:r>
      <w:r/>
    </w:p>
    <w:p>
      <w:pPr>
        <w:pStyle w:val="1055"/>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账号：</w:t>
      </w:r>
      <w:r/>
    </w:p>
    <w:p>
      <w:pPr>
        <w:pStyle w:val="1055"/>
        <w:ind w:firstLine="480"/>
        <w:rPr>
          <w:rFonts w:hint="eastAsia" w:hAnsi="宋体" w:cs="Times New Roman"/>
          <w:color w:val="000000" w:themeColor="text1"/>
          <w:sz w:val="24"/>
          <w:szCs w:val="24"/>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上述账户信息，如有变更，乙方应在变更前3日内书面通知甲方。否则，由此产生的后果由乙方承担。</w:t>
      </w:r>
      <w:r/>
    </w:p>
    <w:p>
      <w:pPr>
        <w:pStyle w:val="1055"/>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三、交付方式、时间及地点</w:t>
      </w:r>
      <w:r/>
    </w:p>
    <w:p>
      <w:pPr>
        <w:ind w:firstLine="48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）交货期：</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合同签订生效后，进口设备（免税）三个月内、国产设备及进口设备（非免税）一个月内全部设备、材料运抵现场，并安装、调试结束，验收合格</w:t>
      </w:r>
      <w:r>
        <w:rPr>
          <w:rFonts w:hint="eastAsia" w:ascii="宋体" w:hAnsi="宋体"/>
          <w:color w:val="000000" w:themeColor="text1"/>
          <w:sz w:val="24"/>
          <w:highlight w:val="none"/>
          <w:lang w:val="zh-CN"/>
          <w14:textFill>
            <w14:solidFill>
              <w14:schemeClr w14:val="tx1"/>
            </w14:solidFill>
          </w14:textFill>
        </w:rPr>
        <w:t xml:space="preserve">，交付采购方使用。</w:t>
      </w:r>
      <w:r/>
    </w:p>
    <w:p>
      <w:pPr>
        <w:ind w:firstLine="48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）交货方式：中标人在采购方指定地点交货，并完成安装、调试。</w:t>
      </w:r>
      <w:r/>
    </w:p>
    <w:p>
      <w:pPr>
        <w:pStyle w:val="1055"/>
        <w:ind w:firstLine="480"/>
        <w:spacing w:before="120" w:after="120" w:line="330" w:lineRule="atLeast"/>
        <w:rPr>
          <w:rFonts w:hint="eastAsia" w:hAnsi="宋体"/>
          <w:b/>
          <w:bCs/>
          <w:color w:val="000000" w:themeColor="text1"/>
          <w:sz w:val="24"/>
          <w:highlight w:val="none"/>
          <w:lang w:val="zh-CN"/>
          <w14:textFill>
            <w14:solidFill>
              <w14:schemeClr w14:val="tx1"/>
            </w14:solidFill>
          </w14:textFill>
        </w:rPr>
      </w:pPr>
      <w:r>
        <w:rPr>
          <w:rFonts w:hint="eastAsia" w:hAnsi="宋体"/>
          <w:color w:val="000000" w:themeColor="text1"/>
          <w:sz w:val="24"/>
          <w:highlight w:val="none"/>
          <w:lang w:val="zh-CN"/>
          <w14:textFill>
            <w14:solidFill>
              <w14:schemeClr w14:val="tx1"/>
            </w14:solidFill>
          </w14:textFill>
        </w:rPr>
        <w:t xml:space="preserve">（</w:t>
      </w:r>
      <w:r>
        <w:rPr>
          <w:rFonts w:hint="eastAsia" w:hAnsi="宋体"/>
          <w:color w:val="000000" w:themeColor="text1"/>
          <w:sz w:val="24"/>
          <w:highlight w:val="none"/>
          <w14:textFill>
            <w14:solidFill>
              <w14:schemeClr w14:val="tx1"/>
            </w14:solidFill>
          </w14:textFill>
        </w:rPr>
        <w:t xml:space="preserve">3</w:t>
      </w:r>
      <w:r>
        <w:rPr>
          <w:rFonts w:hint="eastAsia" w:hAnsi="宋体"/>
          <w:color w:val="000000" w:themeColor="text1"/>
          <w:sz w:val="24"/>
          <w:highlight w:val="none"/>
          <w:lang w:val="zh-CN"/>
          <w14:textFill>
            <w14:solidFill>
              <w14:schemeClr w14:val="tx1"/>
            </w14:solidFill>
          </w14:textFill>
        </w:rPr>
        <w:t xml:space="preserve">）交货地点</w:t>
      </w:r>
      <w:r>
        <w:rPr>
          <w:rFonts w:hint="eastAsia" w:hAnsi="宋体"/>
          <w:b w:val="0"/>
          <w:bCs w:val="0"/>
          <w:color w:val="000000" w:themeColor="text1"/>
          <w:sz w:val="24"/>
          <w:highlight w:val="none"/>
          <w:lang w:val="zh-CN"/>
          <w14:textFill>
            <w14:solidFill>
              <w14:schemeClr w14:val="tx1"/>
            </w14:solidFill>
          </w14:textFill>
        </w:rPr>
        <w:t xml:space="preserve">：南京医科大学指定地点。</w:t>
      </w:r>
      <w:r/>
    </w:p>
    <w:p>
      <w:pPr>
        <w:pStyle w:val="1055"/>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四、货物包装、发运及运输</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 乙方应在货物发运前</w:t>
      </w:r>
      <w:r>
        <w:rPr>
          <w:rFonts w:hint="eastAsia" w:hAnsi="宋体"/>
          <w:color w:val="000000" w:themeColor="text1"/>
          <w:sz w:val="24"/>
          <w:szCs w:val="24"/>
          <w:highlight w:val="none"/>
          <w14:textFill>
            <w14:solidFill>
              <w14:schemeClr w14:val="tx1"/>
            </w14:solidFill>
          </w14:textFill>
        </w:rPr>
        <w:t xml:space="preserve">根据</w:t>
      </w:r>
      <w:r>
        <w:rPr>
          <w:rFonts w:hAnsi="宋体"/>
          <w:color w:val="000000" w:themeColor="text1"/>
          <w:sz w:val="24"/>
          <w:szCs w:val="24"/>
          <w:highlight w:val="none"/>
          <w14:textFill>
            <w14:solidFill>
              <w14:schemeClr w14:val="tx1"/>
            </w14:solidFill>
          </w14:textFill>
        </w:rPr>
        <w:t xml:space="preserve">运输距离、防潮、防震、防锈和防破损装卸等要求</w:t>
      </w:r>
      <w:r>
        <w:rPr>
          <w:rFonts w:hint="eastAsia" w:hAnsi="宋体"/>
          <w:color w:val="000000" w:themeColor="text1"/>
          <w:sz w:val="24"/>
          <w:szCs w:val="24"/>
          <w:highlight w:val="none"/>
          <w14:textFill>
            <w14:solidFill>
              <w14:schemeClr w14:val="tx1"/>
            </w14:solidFill>
          </w14:textFill>
        </w:rPr>
        <w:t xml:space="preserve">进行相应的</w:t>
      </w:r>
      <w:r>
        <w:rPr>
          <w:rFonts w:hAnsi="宋体"/>
          <w:color w:val="000000" w:themeColor="text1"/>
          <w:sz w:val="24"/>
          <w:szCs w:val="24"/>
          <w:highlight w:val="none"/>
          <w14:textFill>
            <w14:solidFill>
              <w14:schemeClr w14:val="tx1"/>
            </w14:solidFill>
          </w14:textFill>
        </w:rPr>
        <w:t xml:space="preserve">包装，以保证货物安全运达甲方指定地点。</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4.2 使用说明书、质量检验证明书、随配附件和工具以及清单一并附于货物内。</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4.3 乙方在货物发运手续办理完毕后24小时内或货到甲方48小时前通知甲方，以准备接货。</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4.4 货物在交付甲方前发生的风险均由乙方负责。</w:t>
      </w:r>
      <w:r/>
    </w:p>
    <w:p>
      <w:pPr>
        <w:pStyle w:val="1055"/>
        <w:ind w:firstLine="482"/>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五、</w:t>
      </w:r>
      <w:r>
        <w:rPr>
          <w:rFonts w:hAnsi="宋体"/>
          <w:b/>
          <w:color w:val="000000" w:themeColor="text1"/>
          <w:sz w:val="24"/>
          <w:szCs w:val="24"/>
          <w:highlight w:val="none"/>
          <w14:textFill>
            <w14:solidFill>
              <w14:schemeClr w14:val="tx1"/>
            </w14:solidFill>
          </w14:textFill>
        </w:rPr>
        <w:t xml:space="preserve">质量保证及售后服务</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乙方应按招标文件规定的货物性能、技术要求、质量标准向甲方提供全新</w:t>
      </w:r>
      <w:r>
        <w:rPr>
          <w:rFonts w:hint="eastAsia" w:hAnsi="宋体"/>
          <w:color w:val="000000" w:themeColor="text1"/>
          <w:sz w:val="24"/>
          <w:szCs w:val="24"/>
          <w:highlight w:val="none"/>
          <w14:textFill>
            <w14:solidFill>
              <w14:schemeClr w14:val="tx1"/>
            </w14:solidFill>
          </w14:textFill>
        </w:rPr>
        <w:t xml:space="preserve">货物，乙方所供货物应符合国家相关的法律规定、技术规格和质量标准；如是进口商品，则需是获得国家相关部门颁布安全许可证的出厂原装合格产品。</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5.2 乙方提供的货物在</w:t>
      </w:r>
      <w:r>
        <w:rPr>
          <w:rFonts w:hint="eastAsia" w:hAnsi="宋体"/>
          <w:color w:val="000000" w:themeColor="text1"/>
          <w:sz w:val="24"/>
          <w:szCs w:val="24"/>
          <w:highlight w:val="none"/>
          <w14:textFill>
            <w14:solidFill>
              <w14:schemeClr w14:val="tx1"/>
            </w14:solidFill>
          </w14:textFill>
        </w:rPr>
        <w:t xml:space="preserve">质保期</w:t>
      </w:r>
      <w:r>
        <w:rPr>
          <w:rFonts w:hAnsi="宋体"/>
          <w:color w:val="000000" w:themeColor="text1"/>
          <w:sz w:val="24"/>
          <w:szCs w:val="24"/>
          <w:highlight w:val="none"/>
          <w14:textFill>
            <w14:solidFill>
              <w14:schemeClr w14:val="tx1"/>
            </w14:solidFill>
          </w14:textFill>
        </w:rPr>
        <w:t xml:space="preserve">内因货物本身的质量问题发生故障，乙方应负责免费更换</w:t>
      </w:r>
      <w:r>
        <w:rPr>
          <w:rFonts w:hint="eastAsia" w:hAnsi="宋体"/>
          <w:color w:val="000000" w:themeColor="text1"/>
          <w:sz w:val="24"/>
          <w:szCs w:val="24"/>
          <w:highlight w:val="none"/>
          <w14:textFill>
            <w14:solidFill>
              <w14:schemeClr w14:val="tx1"/>
            </w14:solidFill>
          </w14:textFill>
        </w:rPr>
        <w:t xml:space="preserve">，并承担所发生的全部费用</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更换后仍</w:t>
      </w:r>
      <w:r>
        <w:rPr>
          <w:rFonts w:hAnsi="宋体"/>
          <w:color w:val="000000" w:themeColor="text1"/>
          <w:sz w:val="24"/>
          <w:szCs w:val="24"/>
          <w:highlight w:val="none"/>
          <w14:textFill>
            <w14:solidFill>
              <w14:schemeClr w14:val="tx1"/>
            </w14:solidFill>
          </w14:textFill>
        </w:rPr>
        <w:t xml:space="preserve">达不到技术要求</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乙方应退还甲方支付的合同款，同时应承担该货物的直接费用（运输、保险、检验、货款利息及银行手续费等）。</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5.3</w:t>
      </w:r>
      <w:r>
        <w:rPr>
          <w:rFonts w:hint="eastAsia" w:hAnsi="宋体"/>
          <w:color w:val="000000" w:themeColor="text1"/>
          <w:sz w:val="24"/>
          <w:szCs w:val="24"/>
          <w:highlight w:val="none"/>
          <w14:textFill>
            <w14:solidFill>
              <w14:schemeClr w14:val="tx1"/>
            </w14:solidFill>
          </w14:textFill>
        </w:rPr>
        <w:t xml:space="preserve">上述货物的</w:t>
      </w:r>
      <w:r>
        <w:rPr>
          <w:rFonts w:hAnsi="宋体"/>
          <w:color w:val="000000" w:themeColor="text1"/>
          <w:sz w:val="24"/>
          <w:szCs w:val="24"/>
          <w:highlight w:val="none"/>
          <w14:textFill>
            <w14:solidFill>
              <w14:schemeClr w14:val="tx1"/>
            </w14:solidFill>
          </w14:textFill>
        </w:rPr>
        <w:t xml:space="preserve">质保期</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年</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（自交货验收合格</w:t>
      </w:r>
      <w:r>
        <w:rPr>
          <w:rFonts w:hint="eastAsia" w:hAnsi="宋体"/>
          <w:color w:val="000000" w:themeColor="text1"/>
          <w:sz w:val="24"/>
          <w:szCs w:val="24"/>
          <w:highlight w:val="none"/>
          <w14:textFill>
            <w14:solidFill>
              <w14:schemeClr w14:val="tx1"/>
            </w14:solidFill>
          </w14:textFill>
        </w:rPr>
        <w:t xml:space="preserve">次日</w:t>
      </w:r>
      <w:r>
        <w:rPr>
          <w:rFonts w:hAnsi="宋体"/>
          <w:color w:val="000000" w:themeColor="text1"/>
          <w:sz w:val="24"/>
          <w:szCs w:val="24"/>
          <w:highlight w:val="none"/>
          <w14:textFill>
            <w14:solidFill>
              <w14:schemeClr w14:val="tx1"/>
            </w14:solidFill>
          </w14:textFill>
        </w:rPr>
        <w:t xml:space="preserve">起</w:t>
      </w:r>
      <w:r>
        <w:rPr>
          <w:rFonts w:hint="eastAsia" w:hAnsi="宋体"/>
          <w:color w:val="000000" w:themeColor="text1"/>
          <w:sz w:val="24"/>
          <w:szCs w:val="24"/>
          <w:highlight w:val="none"/>
          <w14:textFill>
            <w14:solidFill>
              <w14:schemeClr w14:val="tx1"/>
            </w14:solidFill>
          </w14:textFill>
        </w:rPr>
        <w:t xml:space="preserve">计算</w:t>
      </w:r>
      <w:r>
        <w:rPr>
          <w:rFonts w:hAnsi="宋体"/>
          <w:color w:val="000000" w:themeColor="text1"/>
          <w:sz w:val="24"/>
          <w:szCs w:val="24"/>
          <w:highlight w:val="none"/>
          <w14:textFill>
            <w14:solidFill>
              <w14:schemeClr w14:val="tx1"/>
            </w14:solidFill>
          </w14:textFill>
        </w:rPr>
        <w:t xml:space="preserve">），因人为因素出现的故障不在免费保修范围内。</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5.4</w:t>
      </w:r>
      <w:r>
        <w:rPr>
          <w:rFonts w:hint="eastAsia" w:hAnsi="宋体"/>
          <w:color w:val="000000" w:themeColor="text1"/>
          <w:sz w:val="24"/>
          <w:szCs w:val="24"/>
          <w:highlight w:val="none"/>
          <w14:textFill>
            <w14:solidFill>
              <w14:schemeClr w14:val="tx1"/>
            </w14:solidFill>
          </w14:textFill>
        </w:rPr>
        <w:t xml:space="preserve">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055"/>
        <w:ind w:firstLine="480"/>
        <w:spacing w:before="120" w:after="120" w:line="330" w:lineRule="atLeas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5.5 在质保期内，乙方应对货物出现的质量及安全问题负责处理解决并承担一切费用。</w:t>
      </w:r>
      <w:r/>
    </w:p>
    <w:p>
      <w:pPr>
        <w:pStyle w:val="1055"/>
        <w:ind w:firstLine="480"/>
        <w:spacing w:before="120" w:after="120" w:line="330" w:lineRule="atLeas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5.6 </w:t>
      </w:r>
      <w:r>
        <w:rPr>
          <w:rFonts w:hint="eastAsia" w:hAnsi="宋体"/>
          <w:color w:val="000000" w:themeColor="text1"/>
          <w:sz w:val="24"/>
          <w:szCs w:val="24"/>
          <w:highlight w:val="none"/>
          <w14:textFill>
            <w14:solidFill>
              <w14:schemeClr w14:val="tx1"/>
            </w14:solidFill>
          </w14:textFill>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color w:val="000000" w:themeColor="text1"/>
          <w:sz w:val="24"/>
          <w:szCs w:val="24"/>
          <w:highlight w:val="none"/>
          <w14:textFill>
            <w14:solidFill>
              <w14:schemeClr w14:val="tx1"/>
            </w14:solidFill>
          </w14:textFill>
        </w:rPr>
        <w:t xml:space="preserve">。</w:t>
      </w:r>
      <w:r/>
    </w:p>
    <w:p>
      <w:pPr>
        <w:pStyle w:val="1055"/>
        <w:ind w:firstLine="480"/>
        <w:spacing w:before="120" w:after="120"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5.7 技术培训：乙方负责派专业技术人员到甲方处进行</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次的设备操作培训，培训人员数量</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人，使其能熟练掌握仪器的各项性能（包括硬件和软件）。在设备操作培训以后，若有甲方仍有技术问题，乙方在任何时候，都应在</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小时以内提供详细技术方案并予以解决。</w:t>
      </w:r>
      <w:r/>
    </w:p>
    <w:p>
      <w:pPr>
        <w:pStyle w:val="1055"/>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六</w:t>
      </w:r>
      <w:r>
        <w:rPr>
          <w:rFonts w:hAnsi="宋体"/>
          <w:b/>
          <w:color w:val="000000" w:themeColor="text1"/>
          <w:sz w:val="24"/>
          <w:szCs w:val="24"/>
          <w:highlight w:val="none"/>
          <w14:textFill>
            <w14:solidFill>
              <w14:schemeClr w14:val="tx1"/>
            </w14:solidFill>
          </w14:textFill>
        </w:rPr>
        <w:t xml:space="preserve">、调试和验收</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6.1 乙方交货前应对</w:t>
      </w:r>
      <w:r>
        <w:rPr>
          <w:rFonts w:hint="eastAsia" w:hAnsi="宋体"/>
          <w:color w:val="000000" w:themeColor="text1"/>
          <w:sz w:val="24"/>
          <w:szCs w:val="24"/>
          <w:highlight w:val="none"/>
          <w14:textFill>
            <w14:solidFill>
              <w14:schemeClr w14:val="tx1"/>
            </w14:solidFill>
          </w14:textFill>
        </w:rPr>
        <w:t xml:space="preserve">货物</w:t>
      </w:r>
      <w:r>
        <w:rPr>
          <w:rFonts w:hAnsi="宋体"/>
          <w:color w:val="000000" w:themeColor="text1"/>
          <w:sz w:val="24"/>
          <w:szCs w:val="24"/>
          <w:highlight w:val="none"/>
          <w14:textFill>
            <w14:solidFill>
              <w14:schemeClr w14:val="tx1"/>
            </w14:solidFill>
          </w14:textFill>
        </w:rPr>
        <w:t xml:space="preserve">全面检查</w:t>
      </w:r>
      <w:r>
        <w:rPr>
          <w:rFonts w:hint="eastAsia" w:hAnsi="宋体"/>
          <w:color w:val="000000" w:themeColor="text1"/>
          <w:sz w:val="24"/>
          <w:szCs w:val="24"/>
          <w:highlight w:val="none"/>
          <w14:textFill>
            <w14:solidFill>
              <w14:schemeClr w14:val="tx1"/>
            </w14:solidFill>
          </w14:textFill>
        </w:rPr>
        <w:t xml:space="preserve">并</w:t>
      </w:r>
      <w:r>
        <w:rPr>
          <w:rFonts w:hAnsi="宋体"/>
          <w:color w:val="000000" w:themeColor="text1"/>
          <w:sz w:val="24"/>
          <w:szCs w:val="24"/>
          <w:highlight w:val="none"/>
          <w14:textFill>
            <w14:solidFill>
              <w14:schemeClr w14:val="tx1"/>
            </w14:solidFill>
          </w14:textFill>
        </w:rPr>
        <w:t xml:space="preserve">对验收文件进行整理，列出清单</w:t>
      </w:r>
      <w:r>
        <w:rPr>
          <w:rFonts w:hint="eastAsia" w:hAnsi="宋体"/>
          <w:color w:val="000000" w:themeColor="text1"/>
          <w:sz w:val="24"/>
          <w:szCs w:val="24"/>
          <w:highlight w:val="none"/>
          <w14:textFill>
            <w14:solidFill>
              <w14:schemeClr w14:val="tx1"/>
            </w14:solidFill>
          </w14:textFill>
        </w:rPr>
        <w:t xml:space="preserve">提交甲方</w:t>
      </w:r>
      <w:r>
        <w:rPr>
          <w:rFonts w:hAnsi="宋体"/>
          <w:color w:val="000000" w:themeColor="text1"/>
          <w:sz w:val="24"/>
          <w:szCs w:val="24"/>
          <w:highlight w:val="none"/>
          <w14:textFill>
            <w14:solidFill>
              <w14:schemeClr w14:val="tx1"/>
            </w14:solidFill>
          </w14:textFill>
        </w:rPr>
        <w:t xml:space="preserve">，检验的结果</w:t>
      </w:r>
      <w:r>
        <w:rPr>
          <w:rFonts w:hint="eastAsia" w:hAnsi="宋体"/>
          <w:color w:val="000000" w:themeColor="text1"/>
          <w:sz w:val="24"/>
          <w:szCs w:val="24"/>
          <w:highlight w:val="none"/>
          <w14:textFill>
            <w14:solidFill>
              <w14:schemeClr w14:val="tx1"/>
            </w14:solidFill>
          </w14:textFill>
        </w:rPr>
        <w:t xml:space="preserve">亦</w:t>
      </w:r>
      <w:r>
        <w:rPr>
          <w:rFonts w:hAnsi="宋体"/>
          <w:color w:val="000000" w:themeColor="text1"/>
          <w:sz w:val="24"/>
          <w:szCs w:val="24"/>
          <w:highlight w:val="none"/>
          <w14:textFill>
            <w14:solidFill>
              <w14:schemeClr w14:val="tx1"/>
            </w14:solidFill>
          </w14:textFill>
        </w:rPr>
        <w:t xml:space="preserve">应随货物交甲方。</w:t>
      </w:r>
      <w:r/>
    </w:p>
    <w:p>
      <w:pPr>
        <w:pStyle w:val="1055"/>
        <w:ind w:firstLine="480"/>
        <w:spacing w:before="120" w:after="120" w:line="330" w:lineRule="atLeast"/>
        <w:rPr>
          <w:rFonts w:hint="eastAsia"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6.2 甲方对乙方提供的货物在使用前进行调试时，乙方需负责安装并培训甲方的使用操作人员，并协助甲方一起调试，直到符合技术要求。</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6.3 </w:t>
      </w:r>
      <w:r>
        <w:rPr>
          <w:rFonts w:hint="eastAsia" w:hAnsi="宋体"/>
          <w:color w:val="000000" w:themeColor="text1"/>
          <w:sz w:val="24"/>
          <w:szCs w:val="24"/>
          <w:highlight w:val="none"/>
          <w14:textFill>
            <w14:solidFill>
              <w14:schemeClr w14:val="tx1"/>
            </w14:solidFill>
          </w14:textFill>
        </w:rPr>
        <w:t xml:space="preserve">在安装、调试和验收过程中，如发现有漏件、缺件，乙方应无条件、无偿补齐，所发生的一切费用，视为已包含在投标时的投标报价中，且并不因此而影响交付甲方使用的时间。</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6.4 甲方对乙方提交的货物依据招标文件上的技术规格要求和国家有关质量标准进行现场初步验收</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外观、说明书符合招标文件技术要求的，给予签收，初步验收不合格的不予签收。货到后，甲方需在10个工作日内</w:t>
      </w:r>
      <w:r>
        <w:rPr>
          <w:rFonts w:hint="eastAsia" w:hAnsi="宋体"/>
          <w:color w:val="000000" w:themeColor="text1"/>
          <w:sz w:val="24"/>
          <w:szCs w:val="24"/>
          <w:highlight w:val="none"/>
          <w14:textFill>
            <w14:solidFill>
              <w14:schemeClr w14:val="tx1"/>
            </w14:solidFill>
          </w14:textFill>
        </w:rPr>
        <w:t xml:space="preserve">完成初步</w:t>
      </w:r>
      <w:r>
        <w:rPr>
          <w:rFonts w:hAnsi="宋体"/>
          <w:color w:val="000000" w:themeColor="text1"/>
          <w:sz w:val="24"/>
          <w:szCs w:val="24"/>
          <w:highlight w:val="none"/>
          <w14:textFill>
            <w14:solidFill>
              <w14:schemeClr w14:val="tx1"/>
            </w14:solidFill>
          </w14:textFill>
        </w:rPr>
        <w:t xml:space="preserve">验收。</w:t>
      </w:r>
      <w:r>
        <w:rPr>
          <w:rFonts w:hint="eastAsia" w:hAnsi="宋体"/>
          <w:color w:val="000000" w:themeColor="text1"/>
          <w:sz w:val="24"/>
          <w:szCs w:val="24"/>
          <w:highlight w:val="none"/>
          <w14:textFill>
            <w14:solidFill>
              <w14:schemeClr w14:val="tx1"/>
            </w14:solidFill>
          </w14:textFill>
        </w:rPr>
        <w:t xml:space="preserve">验收不合格的，乙方应在收到甲方书面整改通知后完成整改并重新申请验收，整改后仍不合格的，甲方有权单方解除合同，乙方按9.3条承担违约责任。</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6.5 </w:t>
      </w:r>
      <w:r>
        <w:rPr>
          <w:rFonts w:hint="eastAsia" w:hAnsi="宋体"/>
          <w:color w:val="000000" w:themeColor="text1"/>
          <w:sz w:val="24"/>
          <w:szCs w:val="24"/>
          <w:highlight w:val="none"/>
          <w14:textFill>
            <w14:solidFill>
              <w14:schemeClr w14:val="tx1"/>
            </w14:solidFill>
          </w14:textFill>
        </w:rPr>
        <w:t xml:space="preserve">设备、材料安装、调试结束，甲、</w:t>
      </w:r>
      <w:r>
        <w:rPr>
          <w:rFonts w:hAnsi="宋体"/>
          <w:color w:val="000000" w:themeColor="text1"/>
          <w:sz w:val="24"/>
          <w:szCs w:val="24"/>
          <w:highlight w:val="none"/>
          <w14:textFill>
            <w14:solidFill>
              <w14:schemeClr w14:val="tx1"/>
            </w14:solidFill>
          </w14:textFill>
        </w:rPr>
        <w:t xml:space="preserve">乙</w:t>
      </w:r>
      <w:r>
        <w:rPr>
          <w:rFonts w:hint="eastAsia" w:hAnsi="宋体"/>
          <w:color w:val="000000" w:themeColor="text1"/>
          <w:sz w:val="24"/>
          <w:szCs w:val="24"/>
          <w:highlight w:val="none"/>
          <w14:textFill>
            <w14:solidFill>
              <w14:schemeClr w14:val="tx1"/>
            </w14:solidFill>
          </w14:textFill>
        </w:rPr>
        <w:t xml:space="preserve">双</w:t>
      </w:r>
      <w:r>
        <w:rPr>
          <w:rFonts w:hAnsi="宋体"/>
          <w:color w:val="000000" w:themeColor="text1"/>
          <w:sz w:val="24"/>
          <w:szCs w:val="24"/>
          <w:highlight w:val="none"/>
          <w14:textFill>
            <w14:solidFill>
              <w14:schemeClr w14:val="tx1"/>
            </w14:solidFill>
          </w14:textFill>
        </w:rPr>
        <w:t xml:space="preserve">方</w:t>
      </w:r>
      <w:r>
        <w:rPr>
          <w:rFonts w:hint="eastAsia" w:hAnsi="宋体"/>
          <w:color w:val="000000" w:themeColor="text1"/>
          <w:sz w:val="24"/>
          <w:szCs w:val="24"/>
          <w:highlight w:val="none"/>
          <w14:textFill>
            <w14:solidFill>
              <w14:schemeClr w14:val="tx1"/>
            </w14:solidFill>
          </w14:textFill>
        </w:rPr>
        <w:t xml:space="preserve">派员共同验收</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达到验收标准则验收合格。</w:t>
      </w:r>
      <w:r>
        <w:rPr>
          <w:rFonts w:hAnsi="宋体"/>
          <w:color w:val="000000" w:themeColor="text1"/>
          <w:sz w:val="24"/>
          <w:szCs w:val="24"/>
          <w:highlight w:val="none"/>
          <w14:textFill>
            <w14:solidFill>
              <w14:schemeClr w14:val="tx1"/>
            </w14:solidFill>
          </w14:textFill>
        </w:rPr>
        <w:t xml:space="preserve">验收完毕后</w:t>
      </w:r>
      <w:r>
        <w:rPr>
          <w:rFonts w:hint="eastAsia" w:hAnsi="宋体"/>
          <w:color w:val="000000" w:themeColor="text1"/>
          <w:sz w:val="24"/>
          <w:szCs w:val="24"/>
          <w:highlight w:val="none"/>
          <w14:textFill>
            <w14:solidFill>
              <w14:schemeClr w14:val="tx1"/>
            </w14:solidFill>
          </w14:textFill>
        </w:rPr>
        <w:t xml:space="preserve">出具</w:t>
      </w:r>
      <w:r>
        <w:rPr>
          <w:rFonts w:hAnsi="宋体"/>
          <w:color w:val="000000" w:themeColor="text1"/>
          <w:sz w:val="24"/>
          <w:szCs w:val="24"/>
          <w:highlight w:val="none"/>
          <w14:textFill>
            <w14:solidFill>
              <w14:schemeClr w14:val="tx1"/>
            </w14:solidFill>
          </w14:textFill>
        </w:rPr>
        <w:t xml:space="preserve">验收结果报告</w:t>
      </w:r>
      <w:r>
        <w:rPr>
          <w:rFonts w:hint="eastAsia" w:hAnsi="宋体"/>
          <w:color w:val="000000" w:themeColor="text1"/>
          <w:sz w:val="24"/>
          <w:szCs w:val="24"/>
          <w:highlight w:val="none"/>
          <w14:textFill>
            <w14:solidFill>
              <w14:schemeClr w14:val="tx1"/>
            </w14:solidFill>
          </w14:textFill>
        </w:rPr>
        <w:t xml:space="preserve">并经双方签字确认</w:t>
      </w:r>
      <w:r>
        <w:rPr>
          <w:rFonts w:hAnsi="宋体"/>
          <w:color w:val="000000" w:themeColor="text1"/>
          <w:sz w:val="24"/>
          <w:szCs w:val="24"/>
          <w:highlight w:val="none"/>
          <w14:textFill>
            <w14:solidFill>
              <w14:schemeClr w14:val="tx1"/>
            </w14:solidFill>
          </w14:textFill>
        </w:rPr>
        <w:t xml:space="preserve">；验收</w:t>
      </w:r>
      <w:r>
        <w:rPr>
          <w:rFonts w:hint="eastAsia" w:hAnsi="宋体"/>
          <w:color w:val="000000" w:themeColor="text1"/>
          <w:sz w:val="24"/>
          <w:szCs w:val="24"/>
          <w:highlight w:val="none"/>
          <w14:textFill>
            <w14:solidFill>
              <w14:schemeClr w14:val="tx1"/>
            </w14:solidFill>
          </w14:textFill>
        </w:rPr>
        <w:t xml:space="preserve">相关</w:t>
      </w:r>
      <w:r>
        <w:rPr>
          <w:rFonts w:hAnsi="宋体"/>
          <w:color w:val="000000" w:themeColor="text1"/>
          <w:sz w:val="24"/>
          <w:szCs w:val="24"/>
          <w:highlight w:val="none"/>
          <w14:textFill>
            <w14:solidFill>
              <w14:schemeClr w14:val="tx1"/>
            </w14:solidFill>
          </w14:textFill>
        </w:rPr>
        <w:t xml:space="preserve">费用由</w:t>
      </w:r>
      <w:r>
        <w:rPr>
          <w:rFonts w:hint="eastAsia" w:hAnsi="宋体"/>
          <w:color w:val="000000" w:themeColor="text1"/>
          <w:sz w:val="24"/>
          <w:szCs w:val="24"/>
          <w:highlight w:val="none"/>
          <w14:textFill>
            <w14:solidFill>
              <w14:schemeClr w14:val="tx1"/>
            </w14:solidFill>
          </w14:textFill>
        </w:rPr>
        <w:t xml:space="preserve">乙方承担。</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6.6 对技术复杂的货物，甲方</w:t>
      </w:r>
      <w:r>
        <w:rPr>
          <w:rFonts w:hint="eastAsia" w:hAnsi="宋体"/>
          <w:color w:val="000000" w:themeColor="text1"/>
          <w:sz w:val="24"/>
          <w:szCs w:val="24"/>
          <w:highlight w:val="none"/>
          <w14:textFill>
            <w14:solidFill>
              <w14:schemeClr w14:val="tx1"/>
            </w14:solidFill>
          </w14:textFill>
        </w:rPr>
        <w:t xml:space="preserve">可聘</w:t>
      </w:r>
      <w:r>
        <w:rPr>
          <w:rFonts w:hAnsi="宋体"/>
          <w:color w:val="000000" w:themeColor="text1"/>
          <w:sz w:val="24"/>
          <w:szCs w:val="24"/>
          <w:highlight w:val="none"/>
          <w14:textFill>
            <w14:solidFill>
              <w14:schemeClr w14:val="tx1"/>
            </w14:solidFill>
          </w14:textFill>
        </w:rPr>
        <w:t xml:space="preserve">请国家认可的专业检测机构参与初步验收及最终验收，</w:t>
      </w:r>
      <w:r>
        <w:rPr>
          <w:rFonts w:hint="eastAsia" w:hAnsi="宋体"/>
          <w:color w:val="000000" w:themeColor="text1"/>
          <w:sz w:val="24"/>
          <w:szCs w:val="24"/>
          <w:highlight w:val="none"/>
          <w14:textFill>
            <w14:solidFill>
              <w14:schemeClr w14:val="tx1"/>
            </w14:solidFill>
          </w14:textFill>
        </w:rPr>
        <w:t xml:space="preserve">专业检测机构</w:t>
      </w:r>
      <w:r>
        <w:rPr>
          <w:rFonts w:hAnsi="宋体"/>
          <w:color w:val="000000" w:themeColor="text1"/>
          <w:sz w:val="24"/>
          <w:szCs w:val="24"/>
          <w:highlight w:val="none"/>
          <w14:textFill>
            <w14:solidFill>
              <w14:schemeClr w14:val="tx1"/>
            </w14:solidFill>
          </w14:textFill>
        </w:rPr>
        <w:t xml:space="preserve">出具</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质量检测报告</w:t>
      </w:r>
      <w:r>
        <w:rPr>
          <w:rFonts w:hint="eastAsia" w:hAnsi="宋体"/>
          <w:color w:val="000000" w:themeColor="text1"/>
          <w:sz w:val="24"/>
          <w:szCs w:val="24"/>
          <w:highlight w:val="none"/>
          <w14:textFill>
            <w14:solidFill>
              <w14:schemeClr w14:val="tx1"/>
            </w14:solidFill>
          </w14:textFill>
        </w:rPr>
        <w:t xml:space="preserve">作为甲方判断乙方的货物能否通过验收的条件之一，无论是否通过验收，相关检测费用均由乙方承担。</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6.7为保障设备安装验收流程，配合相关工程建设进度，乙方需根据实际情况免费提供设备移机服务（移机区域：同一校区内）。</w:t>
      </w:r>
      <w:r/>
    </w:p>
    <w:p>
      <w:pPr>
        <w:pStyle w:val="1055"/>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七</w:t>
      </w:r>
      <w:r>
        <w:rPr>
          <w:rFonts w:hAnsi="宋体"/>
          <w:b/>
          <w:color w:val="000000" w:themeColor="text1"/>
          <w:sz w:val="24"/>
          <w:szCs w:val="24"/>
          <w:highlight w:val="none"/>
          <w14:textFill>
            <w14:solidFill>
              <w14:schemeClr w14:val="tx1"/>
            </w14:solidFill>
          </w14:textFill>
        </w:rPr>
        <w:t xml:space="preserve">、技术资料</w:t>
      </w:r>
      <w:r/>
    </w:p>
    <w:p>
      <w:pPr>
        <w:pStyle w:val="1055"/>
        <w:ind w:firstLine="480"/>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7.1乙方应按招标文件规定的时间向甲方提供使用货物的有关技术资料。</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7.2 </w:t>
      </w:r>
      <w:r>
        <w:rPr>
          <w:rFonts w:hint="eastAsia" w:hAnsi="宋体"/>
          <w:color w:val="000000" w:themeColor="text1"/>
          <w:sz w:val="24"/>
          <w:szCs w:val="24"/>
          <w:highlight w:val="none"/>
          <w14:textFill>
            <w14:solidFill>
              <w14:schemeClr w14:val="tx1"/>
            </w14:solidFill>
          </w14:textFill>
        </w:rPr>
        <w:t xml:space="preserve">未经</w:t>
      </w:r>
      <w:r>
        <w:rPr>
          <w:rFonts w:hAnsi="宋体"/>
          <w:color w:val="000000" w:themeColor="text1"/>
          <w:sz w:val="24"/>
          <w:szCs w:val="24"/>
          <w:highlight w:val="none"/>
          <w14:textFill>
            <w14:solidFill>
              <w14:schemeClr w14:val="tx1"/>
            </w14:solidFill>
          </w14:textFill>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055"/>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、知识产权</w:t>
      </w:r>
      <w:r/>
    </w:p>
    <w:p>
      <w:pPr>
        <w:ind w:firstLine="480"/>
        <w:spacing w:line="33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乙</w:t>
      </w:r>
      <w:r>
        <w:rPr>
          <w:rFonts w:hint="eastAsia" w:ascii="宋体" w:hAnsi="宋体"/>
          <w:color w:val="000000" w:themeColor="text1"/>
          <w:sz w:val="24"/>
          <w:szCs w:val="24"/>
          <w:highlight w:val="none"/>
          <w14:textFill>
            <w14:solidFill>
              <w14:schemeClr w14:val="tx1"/>
            </w14:solidFill>
          </w14:textFill>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055"/>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九</w:t>
      </w:r>
      <w:r>
        <w:rPr>
          <w:rFonts w:hAnsi="宋体"/>
          <w:b/>
          <w:color w:val="000000" w:themeColor="text1"/>
          <w:sz w:val="24"/>
          <w:szCs w:val="24"/>
          <w:highlight w:val="none"/>
          <w14:textFill>
            <w14:solidFill>
              <w14:schemeClr w14:val="tx1"/>
            </w14:solidFill>
          </w14:textFill>
        </w:rPr>
        <w:t xml:space="preserve">、违约责任</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9.2 乙方履约的前提下，甲方无故迟延支付货款的,甲方应按逾期付款总额每日万分之五向乙方支付违约金。</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9.8 乙方履行义务不符合合同约定时，甲方有权扣减总货款的10%作为违约金。</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055"/>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w:t>
      </w:r>
      <w:r>
        <w:rPr>
          <w:rFonts w:hAnsi="宋体"/>
          <w:b/>
          <w:color w:val="000000" w:themeColor="text1"/>
          <w:sz w:val="24"/>
          <w:szCs w:val="24"/>
          <w:highlight w:val="none"/>
          <w14:textFill>
            <w14:solidFill>
              <w14:schemeClr w14:val="tx1"/>
            </w14:solidFill>
          </w14:textFill>
        </w:rPr>
        <w:t xml:space="preserve">、不可抗力事件处理</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10.1 在合同有效期内，任何一方因不可抗力事件导致不能履行合同，则合同履行期可延长，其延长期与不可抗力影响期相同。</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10.2 不可抗力事件发生后</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应立即通知对方，并寄送有关权威机构出具的证明。</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10.3 不可抗力事件延续30天以上，双方应通过友好协商，确定是否继续履行合同。</w:t>
      </w:r>
      <w:r/>
    </w:p>
    <w:p>
      <w:pPr>
        <w:pStyle w:val="1055"/>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一</w:t>
      </w:r>
      <w:r>
        <w:rPr>
          <w:rFonts w:hAnsi="宋体"/>
          <w:b/>
          <w:color w:val="000000" w:themeColor="text1"/>
          <w:sz w:val="24"/>
          <w:szCs w:val="24"/>
          <w:highlight w:val="none"/>
          <w14:textFill>
            <w14:solidFill>
              <w14:schemeClr w14:val="tx1"/>
            </w14:solidFill>
          </w14:textFill>
        </w:rPr>
        <w:t xml:space="preserve">、诉讼</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055"/>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二</w:t>
      </w:r>
      <w:r>
        <w:rPr>
          <w:rFonts w:hAnsi="宋体"/>
          <w:b/>
          <w:color w:val="000000" w:themeColor="text1"/>
          <w:sz w:val="24"/>
          <w:szCs w:val="24"/>
          <w:highlight w:val="none"/>
          <w14:textFill>
            <w14:solidFill>
              <w14:schemeClr w14:val="tx1"/>
            </w14:solidFill>
          </w14:textFill>
        </w:rPr>
        <w:t xml:space="preserve">、合同生效及其它</w:t>
      </w:r>
      <w:r/>
    </w:p>
    <w:p>
      <w:pPr>
        <w:pStyle w:val="1055"/>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12.1招投标文件、中标通知书作为合同的附件，与本合同具有同等法律效力。合同经双方法定代表人或授权委托代表人签字、盖章后生效。</w:t>
      </w:r>
      <w:r/>
    </w:p>
    <w:p>
      <w:pPr>
        <w:pStyle w:val="1055"/>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12.2本合同未尽事宜，遵照《中华人民共和国民法典》有关条文执行。</w:t>
      </w:r>
      <w:r/>
    </w:p>
    <w:p>
      <w:pPr>
        <w:pStyle w:val="1055"/>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12.3 本合同正本一式</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份，甲方</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份，乙方</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份，具有同等法律效力。</w:t>
      </w:r>
      <w:r/>
    </w:p>
    <w:p>
      <w:pPr>
        <w:pStyle w:val="1055"/>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12.4 其他：</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r/>
    </w:p>
    <w:p>
      <w:pPr>
        <w:pStyle w:val="1055"/>
        <w:ind w:firstLine="480"/>
        <w:spacing w:before="120" w:after="120"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（以下无正文，为签字盖章处）</w:t>
      </w:r>
      <w:r/>
    </w:p>
    <w:p>
      <w:pPr>
        <w:pStyle w:val="1055"/>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w:t>
      </w:r>
      <w:r/>
    </w:p>
    <w:p>
      <w:pPr>
        <w:pStyle w:val="1055"/>
        <w:spacing w:before="120" w:after="120" w:line="240" w:lineRule="atLeas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1055"/>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甲方： 南京医科大学（盖章）                 乙方： （盖章）</w:t>
      </w:r>
      <w:r/>
    </w:p>
    <w:p>
      <w:pPr>
        <w:pStyle w:val="1055"/>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地址：南京市江宁区龙眠大道101号            地址： </w:t>
      </w:r>
      <w:r/>
    </w:p>
    <w:p>
      <w:pPr>
        <w:pStyle w:val="1055"/>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法定代表人/授权代表：（签字）               法定代表人/授权代表：（签字）</w:t>
      </w:r>
      <w:r/>
    </w:p>
    <w:p>
      <w:pPr>
        <w:pStyle w:val="1055"/>
        <w:spacing w:before="120" w:after="120" w:line="300" w:lineRule="auto"/>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签订日期：   年    月    日                 签订日期：   年    月    日</w:t>
      </w:r>
      <w:r/>
    </w:p>
    <w:p>
      <w:pPr>
        <w:jc w:val="left"/>
        <w:keepLines w:val="0"/>
        <w:keepNext w:val="0"/>
        <w:pageBreakBefore w:val="0"/>
        <w:spacing w:line="560" w:lineRule="exact"/>
        <w:widowControl w:val="off"/>
        <w:rPr>
          <w:rFonts w:hint="eastAsia" w:ascii="Times New Roman" w:hAnsi="Times New Roman" w:eastAsia="仿宋" w:cs="Times New Roman"/>
          <w:color w:val="000000" w:themeColor="text1"/>
          <w:sz w:val="28"/>
          <w:szCs w:val="28"/>
          <w:highlight w:val="none"/>
          <w:lang w:val="zh-CN"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14:textFill>
            <w14:solidFill>
              <w14:schemeClr w14:val="tx1"/>
            </w14:solidFill>
          </w14:textFill>
        </w:rPr>
        <w:t xml:space="preserve">附件1：分项报价表</w:t>
      </w:r>
      <w:r/>
    </w:p>
    <w:tbl>
      <w:tblPr>
        <w:tblStyle w:val="10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val="0"/>
        <w:keepNext w:val="0"/>
        <w:pageBreakBefore w:val="0"/>
        <w:spacing w:line="560" w:lineRule="exact"/>
        <w:widowControl w:val="off"/>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14:textFill>
            <w14:solidFill>
              <w14:schemeClr w14:val="tx1"/>
            </w14:solidFill>
          </w14:textFill>
        </w:rPr>
        <w:t xml:space="preserve">附件2：货物配置清单</w:t>
      </w:r>
      <w:r/>
    </w:p>
    <w:p>
      <w:pPr>
        <w:pStyle w:val="1052"/>
        <w:ind w:left="0"/>
        <w:rPr>
          <w:rFonts w:hint="default" w:ascii="Times New Roman" w:hAnsi="Times New Roman" w:eastAsia="仿宋" w:cs="Times New Roman"/>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bidi="ar-SA"/>
          <w14:textFill>
            <w14:solidFill>
              <w14:schemeClr w14:val="tx1"/>
            </w14:solidFill>
          </w14:textFill>
        </w:rPr>
        <w:t xml:space="preserve">附件3：履约保证金退还申请单</w:t>
      </w:r>
      <w:r/>
    </w:p>
    <w:p>
      <w:pPr>
        <w:spacing w:line="48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制表单位：</w:t>
      </w:r>
      <w:r>
        <w:rPr>
          <w:color w:val="000000" w:themeColor="text1"/>
          <w:sz w:val="24"/>
          <w:highlight w:val="none"/>
          <w14:textFill>
            <w14:solidFill>
              <w14:schemeClr w14:val="tx1"/>
            </w14:solidFill>
          </w14:textFill>
        </w:rPr>
        <w:t xml:space="preserve">                                               </w:t>
      </w:r>
      <w:r/>
    </w:p>
    <w:tbl>
      <w:tblPr>
        <w:tblStyle w:val="1038"/>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账  号</w:t>
            </w:r>
            <w:r>
              <w:rPr>
                <w:color w:val="000000" w:themeColor="text1"/>
                <w:sz w:val="24"/>
                <w:highlight w:val="none"/>
                <w14:textFill>
                  <w14:solidFill>
                    <w14:schemeClr w14:val="tx1"/>
                  </w14:solidFill>
                </w14:textFill>
              </w:rPr>
              <w:t xml:space="preserve">：</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自验收合格之日起，已正常使用满一年且无违约情况发生。</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960" w:firstLine="36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396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rPr>
          <w:rFonts w:hint="eastAsia" w:ascii="宋体" w:hAnsi="宋体" w:cs="宋体"/>
          <w:color w:val="000000" w:themeColor="text1"/>
          <w:sz w:val="36"/>
          <w:szCs w:val="36"/>
          <w:highlight w:val="none"/>
          <w:lang w:val="zh-CN"/>
          <w14:textFill>
            <w14:solidFill>
              <w14:schemeClr w14:val="tx1"/>
            </w14:solidFill>
          </w14:textFill>
        </w:rPr>
        <w:sectPr>
          <w:headerReference w:type="default" r:id="rId11"/>
          <w:footerReference w:type="default" r:id="rId14"/>
          <w:footnotePr/>
          <w:endnotePr>
            <w:numFmt w:val="decimal"/>
          </w:endnotePr>
          <w:type w:val="nextPage"/>
          <w:pgSz w:w="11906" w:h="16838" w:orient="portrait"/>
          <w:pgMar w:top="850" w:right="850" w:bottom="850" w:left="1418" w:header="340" w:footer="567" w:gutter="0"/>
          <w:cols w:num="1" w:sep="0" w:space="720" w:equalWidth="1"/>
          <w:docGrid w:linePitch="360"/>
        </w:sectPr>
      </w:pPr>
      <w:r>
        <w:rPr>
          <w:rFonts w:hint="eastAsia" w:ascii="宋体" w:hAnsi="宋体" w:cs="宋体"/>
          <w:color w:val="000000" w:themeColor="text1"/>
          <w:sz w:val="36"/>
          <w:szCs w:val="36"/>
          <w:highlight w:val="none"/>
          <w:lang w:val="zh-CN"/>
          <w14:textFill>
            <w14:solidFill>
              <w14:schemeClr w14:val="tx1"/>
            </w14:solidFill>
          </w14:textFill>
        </w:rPr>
      </w:r>
      <w:r/>
    </w:p>
    <w:p>
      <w:pPr>
        <w:jc w:val="center"/>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第六章 投标文件格式及附件</w:t>
      </w:r>
      <w:r/>
    </w:p>
    <w:p>
      <w:pPr>
        <w:ind w:left="560"/>
        <w:jc w:val="center"/>
        <w:spacing w:line="240" w:lineRule="atLeast"/>
        <w:rPr>
          <w:rFonts w:hint="eastAsia" w:ascii="宋体" w:hAnsi="宋体" w:cs="宋体"/>
          <w:b/>
          <w:bCs/>
          <w:color w:val="000000" w:themeColor="text1"/>
          <w:sz w:val="36"/>
          <w:szCs w:val="36"/>
          <w:highlight w:val="none"/>
          <w:lang w:val="zh-CN"/>
          <w14:textFill>
            <w14:solidFill>
              <w14:schemeClr w14:val="tx1"/>
            </w14:solidFill>
          </w14:textFill>
        </w:rPr>
        <w:outlineLvl w:val="0"/>
      </w:pPr>
      <w:r>
        <w:rPr>
          <w:rFonts w:hint="eastAsia" w:ascii="宋体" w:hAnsi="宋体" w:cs="宋体"/>
          <w:b/>
          <w:bCs/>
          <w:color w:val="000000" w:themeColor="text1"/>
          <w:sz w:val="36"/>
          <w:szCs w:val="36"/>
          <w:highlight w:val="none"/>
          <w:lang w:val="zh-CN"/>
          <w14:textFill>
            <w14:solidFill>
              <w14:schemeClr w14:val="tx1"/>
            </w14:solidFill>
          </w14:textFill>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370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编号：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投标文件主要目录及相关证明材料格式、附件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numPr>
          <w:ilvl w:val="0"/>
          <w:numId w:val="5"/>
        </w:numPr>
        <w:jc w:val="both"/>
        <w:spacing w:before="0" w:after="0" w:line="85" w:lineRule="atLeast"/>
        <w:tabs>
          <w:tab w:val="left" w:pos="21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投标申请及声明</w:t>
      </w:r>
      <w:r/>
    </w:p>
    <w:p>
      <w:pPr>
        <w:numPr>
          <w:ilvl w:val="0"/>
          <w:numId w:val="5"/>
        </w:numPr>
        <w:jc w:val="both"/>
        <w:spacing w:before="0" w:after="0" w:line="85" w:lineRule="atLeast"/>
        <w:tabs>
          <w:tab w:val="left" w:pos="21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法定代表人授权书</w:t>
      </w:r>
      <w:r/>
    </w:p>
    <w:p>
      <w:pPr>
        <w:numPr>
          <w:ilvl w:val="0"/>
          <w:numId w:val="5"/>
        </w:numPr>
        <w:jc w:val="both"/>
        <w:spacing w:before="0" w:after="0" w:line="85" w:lineRule="atLeast"/>
        <w:tabs>
          <w:tab w:val="left" w:pos="21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开标一览表</w:t>
      </w:r>
      <w:r/>
    </w:p>
    <w:p>
      <w:pPr>
        <w:numPr>
          <w:ilvl w:val="0"/>
          <w:numId w:val="5"/>
        </w:numPr>
        <w:jc w:val="both"/>
        <w:spacing w:before="0" w:after="0" w:line="85" w:lineRule="atLeast"/>
        <w:tabs>
          <w:tab w:val="left" w:pos="21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分项报价表</w:t>
      </w:r>
      <w:r/>
    </w:p>
    <w:p>
      <w:pPr>
        <w:numPr>
          <w:ilvl w:val="0"/>
          <w:numId w:val="5"/>
        </w:numPr>
        <w:jc w:val="both"/>
        <w:spacing w:before="0" w:after="0" w:line="85" w:lineRule="atLeast"/>
        <w:tabs>
          <w:tab w:val="left" w:pos="21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技术条款偏离表</w:t>
      </w:r>
      <w:r/>
    </w:p>
    <w:p>
      <w:pPr>
        <w:numPr>
          <w:ilvl w:val="0"/>
          <w:numId w:val="5"/>
        </w:numPr>
        <w:jc w:val="both"/>
        <w:spacing w:before="0" w:after="0" w:line="85" w:lineRule="atLeast"/>
        <w:tabs>
          <w:tab w:val="left" w:pos="21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商务条款偏离表</w:t>
      </w:r>
      <w:r/>
    </w:p>
    <w:p>
      <w:pPr>
        <w:numPr>
          <w:ilvl w:val="0"/>
          <w:numId w:val="5"/>
        </w:numPr>
        <w:jc w:val="both"/>
        <w:spacing w:before="0" w:after="0" w:line="85" w:lineRule="atLeast"/>
        <w:tabs>
          <w:tab w:val="left" w:pos="21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投标人类似业绩情况表</w:t>
      </w:r>
      <w:r/>
    </w:p>
    <w:p>
      <w:pPr>
        <w:numPr>
          <w:ilvl w:val="0"/>
          <w:numId w:val="5"/>
        </w:numPr>
        <w:jc w:val="both"/>
        <w:spacing w:before="0" w:after="0" w:line="85" w:lineRule="atLeast"/>
        <w:tabs>
          <w:tab w:val="left" w:pos="21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投标需要的其他证明文件及材料（若有)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附件一、中小企业声明函格式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附件二、关于符合本国产品标准的声明函格式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附件三、无重大违法记录声明格式</w:t>
      </w:r>
      <w:r/>
    </w:p>
    <w:p>
      <w:pPr>
        <w:ind w:left="2796"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附件四、具备履行合同所必需的设备和专业技术能力的声明格式及证明材料</w:t>
      </w:r>
      <w:r/>
    </w:p>
    <w:p>
      <w:pPr>
        <w:ind w:left="0" w:right="0" w:firstLine="168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附件五、残疾人福利性单位声明函格式</w:t>
      </w:r>
      <w:r/>
    </w:p>
    <w:p>
      <w:pPr>
        <w:ind w:left="0" w:right="0" w:firstLine="168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附件六、属于监狱企业的证明文件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致：南京医科大学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根据贵方（项目名称）（项目编号）投标邀请，正式授权下述签字人(姓名和职务)代表投标人（投标人名称），提交投标文件。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我们的资格条件完全符合政府采购法和本次招标要求</w:t>
      </w:r>
      <w:r>
        <w:rPr>
          <w:rFonts w:ascii="SimSun" w:hAnsi="SimSun" w:eastAsia="SimSun" w:cs="SimSun"/>
          <w:color w:val="000000"/>
          <w:sz w:val="22"/>
        </w:rPr>
        <w:t xml:space="preserve">，我们同意并向贵方提供了与投标有关的所有证据和资料。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2、按招标要求，我们的投标总报价为（小写）元（大写）元人民币。其中，小微型企业的产品为（大写）元人民币</w:t>
      </w:r>
      <w:r>
        <w:rPr>
          <w:rFonts w:ascii="SimSun" w:hAnsi="SimSun" w:eastAsia="SimSun" w:cs="SimSun"/>
          <w:color w:val="000000"/>
          <w:sz w:val="21"/>
        </w:rPr>
        <w:t xml:space="preserve">,</w:t>
      </w:r>
      <w:r>
        <w:rPr>
          <w:rFonts w:ascii="SimSun" w:hAnsi="SimSun" w:eastAsia="SimSun" w:cs="SimSun"/>
          <w:color w:val="000000"/>
          <w:sz w:val="22"/>
        </w:rPr>
        <w:t xml:space="preserve">交货期：</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3、我们已详细审核全部招标文件及其有效补充文件，我们放弃对招标文件任何误解的权利，提交投标文件后，</w:t>
      </w:r>
      <w:r>
        <w:rPr>
          <w:rFonts w:ascii="SimSun" w:hAnsi="SimSun" w:eastAsia="SimSun" w:cs="SimSun"/>
          <w:b/>
          <w:color w:val="000000"/>
          <w:sz w:val="22"/>
        </w:rPr>
        <w:t xml:space="preserve">不对招标文件本身提出质疑</w:t>
      </w:r>
      <w:r>
        <w:rPr>
          <w:rFonts w:ascii="SimSun" w:hAnsi="SimSun" w:eastAsia="SimSun" w:cs="SimSun"/>
          <w:color w:val="000000"/>
          <w:sz w:val="22"/>
        </w:rPr>
        <w:t xml:space="preserve">。否则，属于不诚信和故意扰乱政府采购活动行为，我们将无条件接受处罚。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5、一旦我方中标，我方将根据招标文件的规定严格履行合同，并保证于承诺的时间完成服务的启动/集成、调试等服务，交付采购人验收、使用。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供应商名称（加盖CA电子公章）：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南京医科大学：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本授权书于年月日签字生效，特此声明。</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供应商名称（加盖CA电子公章）：</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法定代表人身份证复印件：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授权委托人身份证复印件：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目录三、开标一览表格式</w:t>
      </w:r>
      <w:r/>
    </w:p>
    <w:p>
      <w:pPr>
        <w:pStyle w:val="1028"/>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开标一览表</w:t>
      </w:r>
      <w:r>
        <w:rPr>
          <w:rFonts w:ascii="Times New Roman" w:hAnsi="Times New Roman" w:eastAsia="Times New Roman" w:cs="Times New Roman"/>
          <w:b/>
          <w:color w:val="000000"/>
          <w:sz w:val="4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投标人全称（CA公章）：供应商名称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项目名称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 ：分包号 </w:t>
      </w:r>
      <w:r/>
    </w:p>
    <w:tbl>
      <w:tblPr>
        <w:tblStyle w:val="10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7"/>
        <w:gridCol w:w="8638"/>
      </w:tblGrid>
      <w:tr>
        <w:trPr>
          <w:trHeight w:val="8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6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8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63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bl>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目录四、分项报价表格式</w:t>
      </w:r>
      <w:r/>
    </w:p>
    <w:p>
      <w:pPr>
        <w:pStyle w:val="1031"/>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分项报价表</w:t>
      </w:r>
      <w:r/>
    </w:p>
    <w:tbl>
      <w:tblPr>
        <w:tblStyle w:val="10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7"/>
        <w:gridCol w:w="799"/>
        <w:gridCol w:w="615"/>
        <w:gridCol w:w="869"/>
        <w:gridCol w:w="688"/>
        <w:gridCol w:w="1682"/>
        <w:gridCol w:w="159"/>
        <w:gridCol w:w="1520"/>
        <w:gridCol w:w="2296"/>
      </w:tblGrid>
      <w:tr>
        <w:trPr>
          <w:trHeight w:val="626"/>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both"/>
              <w:spacing w:before="0" w:after="0"/>
              <w:tabs>
                <w:tab w:val="left" w:pos="1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tabs>
                <w:tab w:val="left" w:pos="2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是否属于小、微型企业的产品</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总价小计：</w:t>
            </w:r>
            <w:r/>
          </w:p>
        </w:tc>
      </w:tr>
      <w:tr>
        <w:trPr>
          <w:trHeight w:val="65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本采购包中提供的符合本国产品标准的产品成本之和占该采购包提供的全部产品成本之和的比例为______%。</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是否属于小、微型企业的产品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栏内，填写</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或</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否</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color w:val="000000"/>
          <w:sz w:val="22"/>
        </w:rPr>
        <w:t xml:space="preserve">80%</w:t>
      </w:r>
      <w:r>
        <w:rPr>
          <w:rFonts w:ascii="SimSun" w:hAnsi="SimSun" w:eastAsia="SimSun" w:cs="SimSun"/>
          <w:color w:val="000000"/>
          <w:sz w:val="22"/>
        </w:rPr>
        <w:t xml:space="preserve">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目录五、技术条款偏离表格式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10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5"/>
        <w:gridCol w:w="2038"/>
        <w:gridCol w:w="3393"/>
        <w:gridCol w:w="59"/>
        <w:gridCol w:w="1027"/>
        <w:gridCol w:w="1873"/>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0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招标文件要求的技术条款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供应商名称：（加盖CA电子公章）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、如果行数不够，请自行增加。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、供应商需在上表中对采购文件第四章“（第一部分：技术部分要求）”相关要求进行响应。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目录六、商务条款偏离表格式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10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2"/>
        <w:gridCol w:w="2062"/>
        <w:gridCol w:w="3433"/>
        <w:gridCol w:w="59"/>
        <w:gridCol w:w="1035"/>
        <w:gridCol w:w="177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3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供应商名称：（加盖CA电子公章）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、如果行数不够，请自行增加。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、供应商需在上表中对采购文件第四章“（第二部分：商务部分要求）”相关要求进行响应。</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目录七、投标人类似业绩情况表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投标人类似业绩情况表</w:t>
      </w:r>
      <w:r/>
    </w:p>
    <w:p>
      <w:pPr>
        <w:pStyle w:val="1031"/>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 </w:t>
      </w:r>
      <w:r/>
    </w:p>
    <w:tbl>
      <w:tblPr>
        <w:tblStyle w:val="10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92"/>
        <w:gridCol w:w="1134"/>
        <w:gridCol w:w="709"/>
        <w:gridCol w:w="3118"/>
        <w:gridCol w:w="1843"/>
        <w:gridCol w:w="1276"/>
        <w:gridCol w:w="568"/>
      </w:tblGrid>
      <w:tr>
        <w:trPr>
          <w:trHeight w:val="339"/>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7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8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
            <w:r/>
            <w:r/>
            <w:r/>
          </w:p>
        </w:tc>
      </w:tr>
      <w:tr>
        <w:trPr>
          <w:trHeight w:val="3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项目规模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期：</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日</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rPr>
          <w:rFonts w:ascii="Times New Roman" w:hAnsi="Times New Roman" w:eastAsia="Times New Roman" w:cs="Times New Roman"/>
          <w:color w:val="000000"/>
          <w:sz w:val="21"/>
        </w:rPr>
        <w:t xml:space="preserve"> 1</w:t>
      </w:r>
      <w:r>
        <w:rPr>
          <w:rFonts w:ascii="SimSun" w:hAnsi="SimSun" w:eastAsia="SimSun" w:cs="SimSun"/>
          <w:color w:val="000000"/>
          <w:sz w:val="22"/>
        </w:rPr>
        <w:t xml:space="preserve">、如果行、列数不够，请自行增加。</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w:t>
      </w:r>
      <w:r>
        <w:rPr>
          <w:rFonts w:ascii="SimSun" w:hAnsi="SimSun" w:eastAsia="SimSun" w:cs="SimSun"/>
          <w:color w:val="000000"/>
          <w:sz w:val="22"/>
        </w:rPr>
        <w:t xml:space="preserve">、请投标人根据本格式要求如实填写业绩情况表，并附业绩合同复印件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目录八、投标需要的其他证明文件及材料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投标需要的其他证明文件及材料（若有)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附件一、中小企业声明函格式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中小企业声明函（货物）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 号）的规定，本公司（联合体）参加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采购活动，提供的货物全部由符合政策要求的中小企业制造。相关企业（含联合体中的中小企业、签订分包意向协议的中小企业）</w:t>
      </w:r>
      <w:r>
        <w:rPr>
          <w:rFonts w:ascii="SimSun" w:hAnsi="SimSun" w:eastAsia="SimSun" w:cs="SimSun"/>
          <w:color w:val="000000"/>
          <w:sz w:val="21"/>
        </w:rPr>
        <w:t xml:space="preserve"> </w:t>
      </w:r>
      <w:r>
        <w:rPr>
          <w:rFonts w:ascii="SimSun" w:hAnsi="SimSun" w:eastAsia="SimSun" w:cs="SimSun"/>
          <w:color w:val="000000"/>
          <w:sz w:val="22"/>
        </w:rPr>
        <w:t xml:space="preserve">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1"/>
          <w:u w:val="single"/>
        </w:rPr>
        <w:t xml:space="preserve"> </w:t>
      </w:r>
      <w:r>
        <w:rPr>
          <w:rFonts w:ascii="SimSun" w:hAnsi="SimSun" w:eastAsia="SimSun" w:cs="SimSun"/>
          <w:color w:val="000000"/>
          <w:sz w:val="22"/>
        </w:rPr>
        <w:t xml:space="preserve">行业；制造商为</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2"/>
          <w:u w:val="single"/>
        </w:rPr>
        <w:tab/>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u w:val="single"/>
        </w:rPr>
        <w:tab/>
      </w:r>
      <w:r>
        <w:rPr>
          <w:rFonts w:ascii="SimSun" w:hAnsi="SimSun" w:eastAsia="SimSun" w:cs="SimSun"/>
          <w:color w:val="000000"/>
          <w:sz w:val="22"/>
        </w:rPr>
        <w:t xml:space="preserve">万元，资产总额为</w:t>
      </w:r>
      <w:r>
        <w:rPr>
          <w:rFonts w:ascii="SimSun" w:hAnsi="SimSun" w:eastAsia="SimSun" w:cs="SimSun"/>
          <w:color w:val="000000"/>
          <w:sz w:val="22"/>
          <w:u w:val="single"/>
        </w:rPr>
        <w:tab/>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1"/>
          <w:u w:val="single"/>
        </w:rPr>
        <w:t xml:space="preserve"> </w:t>
      </w:r>
      <w:r>
        <w:rPr>
          <w:rFonts w:ascii="SimSun" w:hAnsi="SimSun" w:eastAsia="SimSun" w:cs="SimSun"/>
          <w:color w:val="000000"/>
          <w:sz w:val="22"/>
        </w:rPr>
        <w:t xml:space="preserve">行业；制造商为</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2"/>
          <w:u w:val="single"/>
        </w:rPr>
        <w:tab/>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u w:val="single"/>
        </w:rPr>
        <w:tab/>
      </w:r>
      <w:r>
        <w:rPr>
          <w:rFonts w:ascii="SimSun" w:hAnsi="SimSun" w:eastAsia="SimSun" w:cs="SimSun"/>
          <w:color w:val="000000"/>
          <w:sz w:val="22"/>
        </w:rPr>
        <w:t xml:space="preserve">万元，资产总额为</w:t>
      </w:r>
      <w:r>
        <w:rPr>
          <w:rFonts w:ascii="SimSun" w:hAnsi="SimSun" w:eastAsia="SimSun" w:cs="SimSun"/>
          <w:color w:val="000000"/>
          <w:sz w:val="22"/>
          <w:u w:val="single"/>
        </w:rPr>
        <w:tab/>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企业名称（加盖CA电子公章）：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注2：从业人员、营业收入、资产总额填报上一年度数据，无上一年度数据的新成立企业可不填报。</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注3：投标人如不提供此声明函，价格将不做相应扣除。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注4：依据《关于印发中小企业划型标准规定的通知》（工信部联企业〔2011〕300号）：</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附件二、关于符合本国产品标准的声明函格式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关于符合本国产品标准的声明函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u w:val="single"/>
        </w:rPr>
        <w:t xml:space="preserve">         </w:t>
      </w:r>
      <w:r>
        <w:rPr>
          <w:rFonts w:ascii="SimSun" w:hAnsi="SimSun" w:eastAsia="SimSun" w:cs="SimSun"/>
          <w:color w:val="000000"/>
          <w:sz w:val="22"/>
        </w:rPr>
        <w:t xml:space="preserve">（产品名称1），生产厂为</w:t>
      </w:r>
      <w:r>
        <w:rPr>
          <w:rFonts w:ascii="SimSun" w:hAnsi="SimSun" w:eastAsia="SimSun" w:cs="SimSun"/>
          <w:color w:val="000000"/>
          <w:sz w:val="21"/>
          <w:u w:val="single"/>
        </w:rPr>
        <w:t xml:space="preserve">       </w:t>
      </w:r>
      <w:r>
        <w:rPr>
          <w:rFonts w:ascii="SimSun" w:hAnsi="SimSun" w:eastAsia="SimSun" w:cs="SimSun"/>
          <w:color w:val="000000"/>
          <w:sz w:val="22"/>
        </w:rPr>
        <w:t xml:space="preserve">（厂名），厂址为</w:t>
      </w:r>
      <w:r>
        <w:rPr>
          <w:rFonts w:ascii="SimSun" w:hAnsi="SimSun" w:eastAsia="SimSun" w:cs="SimSun"/>
          <w:color w:val="000000"/>
          <w:sz w:val="21"/>
          <w:u w:val="single"/>
        </w:rPr>
        <w:t xml:space="preserve">       </w:t>
      </w:r>
      <w:r>
        <w:rPr>
          <w:rFonts w:ascii="SimSun" w:hAnsi="SimSun" w:eastAsia="SimSun" w:cs="SimSun"/>
          <w:color w:val="000000"/>
          <w:sz w:val="22"/>
        </w:rPr>
        <w:t xml:space="preserve">（生产厂址）。</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（产品名称1）的中国境内生产的组件成本占比≥</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（规定比例）。</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（产品名称1）的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（关键组件）在中国境内生产。</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（产品名称1）的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（关键工序）在中国境内完成。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u w:val="single"/>
        </w:rPr>
        <w:t xml:space="preserve">         </w:t>
      </w:r>
      <w:r>
        <w:rPr>
          <w:rFonts w:ascii="SimSun" w:hAnsi="SimSun" w:eastAsia="SimSun" w:cs="SimSun"/>
          <w:color w:val="000000"/>
          <w:sz w:val="22"/>
        </w:rPr>
        <w:t xml:space="preserve">（产品名称2），生产厂为</w:t>
      </w:r>
      <w:r>
        <w:rPr>
          <w:rFonts w:ascii="SimSun" w:hAnsi="SimSun" w:eastAsia="SimSun" w:cs="SimSun"/>
          <w:color w:val="000000"/>
          <w:sz w:val="21"/>
          <w:u w:val="single"/>
        </w:rPr>
        <w:t xml:space="preserve">       </w:t>
      </w:r>
      <w:r>
        <w:rPr>
          <w:rFonts w:ascii="SimSun" w:hAnsi="SimSun" w:eastAsia="SimSun" w:cs="SimSun"/>
          <w:color w:val="000000"/>
          <w:sz w:val="22"/>
        </w:rPr>
        <w:t xml:space="preserve">（厂名），厂址为</w:t>
      </w:r>
      <w:r>
        <w:rPr>
          <w:rFonts w:ascii="SimSun" w:hAnsi="SimSun" w:eastAsia="SimSun" w:cs="SimSun"/>
          <w:color w:val="000000"/>
          <w:sz w:val="21"/>
          <w:u w:val="single"/>
        </w:rPr>
        <w:t xml:space="preserve">       </w:t>
      </w:r>
      <w:r>
        <w:rPr>
          <w:rFonts w:ascii="SimSun" w:hAnsi="SimSun" w:eastAsia="SimSun" w:cs="SimSun"/>
          <w:color w:val="000000"/>
          <w:sz w:val="22"/>
        </w:rPr>
        <w:t xml:space="preserve">（生产厂址）。</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（产品名称2）的中国境内生产的组件成本占比≥</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（规定比例）。</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（产品名称2）的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（关键组件）在中国境内生产。</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（产品名称2）的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（关键工序）在中国境内完成。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本公司（单位）对上述声明内容的真实性负责。如有虚假，愿承担相应法律责任。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公司（单位）名称（加盖CA电子公章）：</w:t>
      </w:r>
      <w:r>
        <w:rPr>
          <w:rFonts w:ascii="SimSun" w:hAnsi="SimSun" w:eastAsia="SimSun" w:cs="SimSun"/>
          <w:color w:val="000000"/>
          <w:sz w:val="21"/>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6.用斜线划除的地方无需填写。</w:t>
        <w:br w:type="page" w:clear="all"/>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附件三、无重大违法记录声明格式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南京医科大学：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参加政府采购活动前3年内在经营活动中______（在下划线上如实填写：有或没有）重大违法记录。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声明人（加盖CA电子公章）：</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具备履行合同所必需的设备和专业技术能力的声明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南京医科大学：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w:t>
      </w:r>
      <w:r>
        <w:rPr>
          <w:rFonts w:ascii="SimSun" w:hAnsi="SimSun" w:eastAsia="SimSun" w:cs="SimSun"/>
          <w:color w:val="000000"/>
          <w:sz w:val="21"/>
          <w:u w:val="single"/>
        </w:rPr>
        <w:t xml:space="preserve">                             </w:t>
      </w:r>
      <w:r>
        <w:rPr>
          <w:rFonts w:ascii="SimSun" w:hAnsi="SimSun" w:eastAsia="SimSun" w:cs="SimSun"/>
          <w:color w:val="000000"/>
          <w:sz w:val="22"/>
        </w:rPr>
        <w:t xml:space="preserve">（供应商名称）郑重声明：我公司具备履行本项采购合同所必需的设备和专业技术能力，为履行本项采购合同我单位具备如下主要设备和主要专业技术能力：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声明人：（加盖CA电子公章）</w:t>
      </w:r>
      <w:r/>
    </w:p>
    <w:p>
      <w:pPr>
        <w:ind w:left="0" w:right="0" w:firstLine="441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日期：______年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其他证明材料及文件：（如果投标人认为需要提供的话）</w:t>
      </w:r>
      <w:r/>
    </w:p>
    <w:p>
      <w:pPr>
        <w:ind w:left="0" w:right="0" w:firstLine="0"/>
        <w:spacing w:before="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附件五、残疾人福利性单位声明函格式</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167"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残疾人福利性单位声明函</w:t>
      </w:r>
      <w:r/>
    </w:p>
    <w:p>
      <w:pPr>
        <w:ind w:left="0" w:right="0" w:firstLine="0"/>
        <w:jc w:val="both"/>
        <w:spacing w:before="7"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617" w:firstLine="480"/>
        <w:jc w:val="both"/>
        <w:spacing w:before="240" w:after="120" w:line="100" w:lineRule="atLeast"/>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w:t>
      </w:r>
      <w:r>
        <w:rPr>
          <w:rFonts w:ascii="SimSun" w:hAnsi="SimSun" w:eastAsia="SimSun" w:cs="SimSun"/>
          <w:color w:val="000000"/>
          <w:spacing w:val="-27"/>
          <w:sz w:val="22"/>
        </w:rPr>
        <w:t xml:space="preserve">，</w:t>
      </w:r>
      <w:r>
        <w:rPr>
          <w:rFonts w:ascii="SimSun" w:hAnsi="SimSun" w:eastAsia="SimSun" w:cs="SimSun"/>
          <w:color w:val="000000"/>
          <w:sz w:val="22"/>
        </w:rPr>
        <w:t xml:space="preserve">根</w:t>
      </w:r>
      <w:r>
        <w:rPr>
          <w:rFonts w:ascii="SimSun" w:hAnsi="SimSun" w:eastAsia="SimSun" w:cs="SimSun"/>
          <w:color w:val="000000"/>
          <w:spacing w:val="-24"/>
          <w:sz w:val="22"/>
        </w:rPr>
        <w:t xml:space="preserve">据</w:t>
      </w:r>
      <w:r>
        <w:rPr>
          <w:rFonts w:ascii="SimSun" w:hAnsi="SimSun" w:eastAsia="SimSun" w:cs="SimSun"/>
          <w:color w:val="000000"/>
          <w:sz w:val="22"/>
        </w:rPr>
        <w:t xml:space="preserve">《财政部</w:t>
      </w:r>
      <w:r>
        <w:rPr>
          <w:rFonts w:ascii="SimSun" w:hAnsi="SimSun" w:eastAsia="SimSun" w:cs="SimSun"/>
          <w:color w:val="000000"/>
          <w:sz w:val="21"/>
        </w:rPr>
        <w:t xml:space="preserve"> </w:t>
      </w:r>
      <w:r>
        <w:rPr>
          <w:rFonts w:ascii="SimSun" w:hAnsi="SimSun" w:eastAsia="SimSun" w:cs="SimSun"/>
          <w:color w:val="000000"/>
          <w:sz w:val="22"/>
        </w:rPr>
        <w:t xml:space="preserve">民政部</w:t>
      </w:r>
      <w:r>
        <w:rPr>
          <w:rFonts w:ascii="SimSun" w:hAnsi="SimSun" w:eastAsia="SimSun" w:cs="SimSun"/>
          <w:color w:val="000000"/>
          <w:sz w:val="21"/>
        </w:rPr>
        <w:t xml:space="preserve"> </w:t>
      </w:r>
      <w:r>
        <w:rPr>
          <w:rFonts w:ascii="SimSun" w:hAnsi="SimSun" w:eastAsia="SimSun" w:cs="SimSun"/>
          <w:color w:val="000000"/>
          <w:sz w:val="22"/>
        </w:rPr>
        <w:t xml:space="preserve">中国残疾人联合会关于促进残疾人就业</w:t>
      </w:r>
      <w:r>
        <w:rPr>
          <w:rFonts w:ascii="SimSun" w:hAnsi="SimSun" w:eastAsia="SimSun" w:cs="SimSun"/>
          <w:color w:val="000000"/>
          <w:spacing w:val="-18"/>
          <w:sz w:val="22"/>
        </w:rPr>
        <w:t xml:space="preserve">政</w:t>
      </w:r>
      <w:r>
        <w:rPr>
          <w:rFonts w:ascii="SimSun" w:hAnsi="SimSun" w:eastAsia="SimSun" w:cs="SimSun"/>
          <w:color w:val="000000"/>
          <w:sz w:val="22"/>
        </w:rPr>
        <w:t xml:space="preserve">府采购政策的通知</w:t>
      </w:r>
      <w:r>
        <w:rPr>
          <w:rFonts w:ascii="SimSun" w:hAnsi="SimSun" w:eastAsia="SimSun" w:cs="SimSun"/>
          <w:color w:val="000000"/>
          <w:spacing w:val="-39"/>
          <w:sz w:val="22"/>
        </w:rPr>
        <w:t xml:space="preserve">》</w:t>
      </w:r>
      <w:r>
        <w:rPr>
          <w:rFonts w:ascii="SimSun" w:hAnsi="SimSun" w:eastAsia="SimSun" w:cs="SimSun"/>
          <w:color w:val="000000"/>
          <w:sz w:val="22"/>
        </w:rPr>
        <w:t xml:space="preserve">（财</w:t>
      </w:r>
      <w:r>
        <w:rPr>
          <w:rFonts w:ascii="SimSun" w:hAnsi="SimSun" w:eastAsia="SimSun" w:cs="SimSun"/>
          <w:color w:val="000000"/>
          <w:spacing w:val="-17"/>
          <w:sz w:val="22"/>
        </w:rPr>
        <w:t xml:space="preserve">库</w:t>
      </w:r>
      <w:r>
        <w:rPr>
          <w:rFonts w:ascii="SimSun" w:hAnsi="SimSun" w:eastAsia="SimSun" w:cs="SimSun"/>
          <w:color w:val="000000"/>
          <w:sz w:val="22"/>
        </w:rPr>
        <w:t xml:space="preserve">〔2017〕141号</w:t>
      </w:r>
      <w:r>
        <w:rPr>
          <w:rFonts w:ascii="SimSun" w:hAnsi="SimSun" w:eastAsia="SimSun" w:cs="SimSun"/>
          <w:color w:val="000000"/>
          <w:spacing w:val="-20"/>
          <w:sz w:val="22"/>
        </w:rPr>
        <w:t xml:space="preserve">）</w:t>
      </w:r>
      <w:r>
        <w:rPr>
          <w:rFonts w:ascii="SimSun" w:hAnsi="SimSun" w:eastAsia="SimSun" w:cs="SimSun"/>
          <w:color w:val="000000"/>
          <w:sz w:val="22"/>
        </w:rPr>
        <w:t xml:space="preserve">的规定</w:t>
      </w:r>
      <w:r>
        <w:rPr>
          <w:rFonts w:ascii="SimSun" w:hAnsi="SimSun" w:eastAsia="SimSun" w:cs="SimSun"/>
          <w:color w:val="000000"/>
          <w:spacing w:val="-17"/>
          <w:sz w:val="22"/>
        </w:rPr>
        <w:t xml:space="preserve">，</w:t>
      </w:r>
      <w:r>
        <w:rPr>
          <w:rFonts w:ascii="SimSun" w:hAnsi="SimSun" w:eastAsia="SimSun" w:cs="SimSun"/>
          <w:color w:val="000000"/>
          <w:sz w:val="22"/>
        </w:rPr>
        <w:t xml:space="preserve">本单位为符合条件的残疾人福</w:t>
      </w:r>
      <w:r>
        <w:rPr>
          <w:rFonts w:ascii="SimSun" w:hAnsi="SimSun" w:eastAsia="SimSun" w:cs="SimSun"/>
          <w:color w:val="000000"/>
          <w:spacing w:val="-16"/>
          <w:sz w:val="22"/>
        </w:rPr>
        <w:t xml:space="preserve">利</w:t>
      </w:r>
      <w:r>
        <w:rPr>
          <w:rFonts w:ascii="SimSun" w:hAnsi="SimSun" w:eastAsia="SimSun" w:cs="SimSun"/>
          <w:color w:val="000000"/>
          <w:sz w:val="22"/>
        </w:rPr>
        <w:t xml:space="preserve">性单位</w:t>
      </w:r>
      <w:r>
        <w:rPr>
          <w:rFonts w:ascii="SimSun" w:hAnsi="SimSun" w:eastAsia="SimSun" w:cs="SimSun"/>
          <w:color w:val="000000"/>
          <w:spacing w:val="-27"/>
          <w:sz w:val="22"/>
        </w:rPr>
        <w:t xml:space="preserve">，</w:t>
      </w:r>
      <w:r>
        <w:rPr>
          <w:rFonts w:ascii="SimSun" w:hAnsi="SimSun" w:eastAsia="SimSun" w:cs="SimSun"/>
          <w:color w:val="000000"/>
          <w:sz w:val="22"/>
        </w:rPr>
        <w:t xml:space="preserve">且本单位参加</w:t>
      </w:r>
      <w:r>
        <w:rPr>
          <w:rFonts w:ascii="SimSun" w:hAnsi="SimSun" w:eastAsia="SimSun" w:cs="SimSun"/>
          <w:color w:val="000000"/>
          <w:sz w:val="22"/>
          <w:u w:val="single"/>
        </w:rPr>
        <w:tab/>
      </w:r>
      <w:r>
        <w:rPr>
          <w:rFonts w:ascii="SimSun" w:hAnsi="SimSun" w:eastAsia="SimSun" w:cs="SimSun"/>
          <w:color w:val="000000"/>
          <w:sz w:val="22"/>
        </w:rPr>
        <w:t xml:space="preserve">单位的</w:t>
      </w:r>
      <w:r>
        <w:rPr>
          <w:rFonts w:ascii="SimSun" w:hAnsi="SimSun" w:eastAsia="SimSun" w:cs="SimSun"/>
          <w:color w:val="000000"/>
          <w:sz w:val="22"/>
          <w:u w:val="single"/>
        </w:rPr>
        <w:tab/>
      </w:r>
      <w:r>
        <w:rPr>
          <w:rFonts w:ascii="SimSun" w:hAnsi="SimSun" w:eastAsia="SimSun" w:cs="SimSun"/>
          <w:color w:val="000000"/>
          <w:sz w:val="22"/>
        </w:rPr>
        <w:t xml:space="preserve">项目采购活动提供本单位制造的货</w:t>
      </w:r>
      <w:r>
        <w:rPr>
          <w:rFonts w:ascii="SimSun" w:hAnsi="SimSun" w:eastAsia="SimSun" w:cs="SimSun"/>
          <w:color w:val="000000"/>
          <w:spacing w:val="-24"/>
          <w:sz w:val="22"/>
        </w:rPr>
        <w:t xml:space="preserve">物</w:t>
      </w:r>
      <w:r>
        <w:rPr>
          <w:rFonts w:ascii="SimSun" w:hAnsi="SimSun" w:eastAsia="SimSun" w:cs="SimSun"/>
          <w:color w:val="000000"/>
          <w:sz w:val="22"/>
        </w:rPr>
        <w:t xml:space="preserve">（由</w:t>
      </w:r>
      <w:r>
        <w:rPr>
          <w:rFonts w:ascii="SimSun" w:hAnsi="SimSun" w:eastAsia="SimSun" w:cs="SimSun"/>
          <w:color w:val="000000"/>
          <w:spacing w:val="-18"/>
          <w:sz w:val="22"/>
        </w:rPr>
        <w:t xml:space="preserve">本</w:t>
      </w:r>
      <w:r>
        <w:rPr>
          <w:rFonts w:ascii="SimSun" w:hAnsi="SimSun" w:eastAsia="SimSun" w:cs="SimSun"/>
          <w:color w:val="000000"/>
          <w:sz w:val="22"/>
        </w:rPr>
        <w:t xml:space="preserve">单位承担工程/提供服务），或者提供其他残疾人福利性单位制造的货物（不包括使用非残疾人福利性单位注册商标的货物）。</w:t>
      </w:r>
      <w:r/>
    </w:p>
    <w:p>
      <w:pPr>
        <w:ind w:left="1098" w:right="0" w:firstLine="0"/>
        <w:jc w:val="both"/>
        <w:spacing w:before="3"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2725" w:firstLine="0"/>
        <w:jc w:val="both"/>
        <w:spacing w:before="240" w:after="120" w:line="99"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单位名称（加盖CA电子公章</w:t>
      </w:r>
      <w:r>
        <w:rPr>
          <w:rFonts w:ascii="SimSun" w:hAnsi="SimSun" w:eastAsia="SimSun" w:cs="SimSun"/>
          <w:color w:val="000000"/>
          <w:spacing w:val="-9"/>
          <w:sz w:val="22"/>
        </w:rPr>
        <w:t xml:space="preserve">）：</w:t>
      </w:r>
      <w:r/>
    </w:p>
    <w:p>
      <w:pPr>
        <w:ind w:left="0" w:right="2725" w:firstLine="0"/>
        <w:jc w:val="both"/>
        <w:spacing w:before="240" w:after="120" w:line="99"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日</w:t>
      </w:r>
      <w:r>
        <w:rPr>
          <w:rFonts w:ascii="SimSun" w:hAnsi="SimSun" w:eastAsia="SimSun" w:cs="SimSun"/>
          <w:color w:val="000000"/>
          <w:sz w:val="22"/>
        </w:rPr>
        <w:t xml:space="preserve">期</w:t>
      </w:r>
      <w:r>
        <w:rPr>
          <w:rFonts w:ascii="SimSun" w:hAnsi="SimSun" w:eastAsia="SimSun" w:cs="SimSun"/>
          <w:color w:val="000000"/>
          <w:spacing w:val="-17"/>
          <w:sz w:val="22"/>
        </w:rPr>
        <w:t xml:space="preserve">：</w:t>
      </w:r>
      <w:r/>
    </w:p>
    <w:p>
      <w:pPr>
        <w:ind w:left="0" w:right="2725" w:firstLine="0"/>
        <w:jc w:val="both"/>
        <w:spacing w:before="240" w:after="120" w:line="99"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附件六、属于监狱企业的证明文件</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jc w:val="left"/>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sectPr>
      <w:footerReference w:type="default" r:id="rId15"/>
      <w:footnotePr/>
      <w:endnotePr/>
      <w:type w:val="nextPage"/>
      <w:pgSz w:w="11906" w:h="16838" w:orient="portrait"/>
      <w:pgMar w:top="850" w:right="850" w:bottom="850" w:left="1417" w:header="34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仿宋">
    <w:panose1 w:val="02010609060101010101"/>
  </w:font>
  <w:font w:name="Arial Unicode MS">
    <w:panose1 w:val="020B0604020202020204"/>
  </w:font>
  <w:font w:name="Wingdings 2">
    <w:panose1 w:val="05020102010507070707"/>
  </w:font>
  <w:font w:name="方正小标宋_GBK">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Ari">
    <w:panose1 w:val="020B060602020203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4"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a:effectLst/>
                    </wps:spPr>
                    <wps:txbx>
                      <w:txbxContent>
                        <w:p>
                          <w:pPr>
                            <w:pStyle w:val="1062"/>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1062"/>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1062"/>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wrap="none" lIns="0" tIns="0" rIns="0" bIns="0">
                      <a:spAutoFit/>
                    </wps:bodyPr>
                  </wps:wsp>
                </a:graphicData>
              </a:graphic>
            </wp:anchor>
          </w:drawing>
        </mc:Choice>
        <mc:Fallback>
          <w:pict>
            <v:shape id="shape 4" o:spid="_x0000_s4" o:spt="1" type="#_x0000_t1"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062"/>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6"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1062"/>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5" o:spid="_x0000_s5" o:spt="1" type="#_x0000_t1"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62"/>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7"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1062"/>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62"/>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both"/>
    </w:pPr>
    <w:r>
      <mc:AlternateContent>
        <mc:Choice Requires="wpg">
          <w:drawing>
            <wp:inline xmlns:wp="http://schemas.openxmlformats.org/drawingml/2006/wordprocessingDrawing" distT="0" distB="0" distL="0" distR="0">
              <wp:extent cx="1378585" cy="239395"/>
              <wp:effectExtent l="0" t="0" r="5715" b="190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826bae80687e3a7b3b8bc243736336"/>
                      <pic:cNvPicPr>
                        <a:picLocks noChangeAspect="1"/>
                      </pic:cNvPicPr>
                      <pic:nvPr/>
                    </pic:nvPicPr>
                    <pic:blipFill>
                      <a:blip r:embed="rId1"/>
                      <a:stretch/>
                    </pic:blipFill>
                    <pic:spPr bwMode="auto">
                      <a:xfrm>
                        <a:off x="0" y="0"/>
                        <a:ext cx="1378585"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0"/>
              <wp:docPr id="2"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0"/>
              <wp:docPr id="3"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484"/>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japaneseCounting"/>
      <w:isLgl w:val="false"/>
      <w:suff w:val="tab"/>
      <w:lvlText w:val="%1、"/>
      <w:lvlJc w:val="left"/>
      <w:pPr>
        <w:ind w:left="2138" w:hanging="720"/>
        <w:tabs>
          <w:tab w:val="left" w:pos="2138"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138" w:hanging="720"/>
      </w:pPr>
      <w:rPr>
        <w:rFonts w:ascii="SimSun" w:hAnsi="SimSun" w:eastAsia="SimSun" w:cs="SimSun"/>
      </w:rPr>
    </w:lvl>
    <w:lvl w:ilvl="1">
      <w:start w:val="1"/>
      <w:numFmt w:val="lowerLetter"/>
      <w:isLgl w:val="false"/>
      <w:suff w:val="tab"/>
      <w:lvlText w:val="%2)"/>
      <w:lvlJc w:val="left"/>
      <w:pPr>
        <w:ind w:left="2400" w:hanging="420"/>
      </w:pPr>
    </w:lvl>
    <w:lvl w:ilvl="2">
      <w:start w:val="1"/>
      <w:numFmt w:val="decimal"/>
      <w:isLgl w:val="false"/>
      <w:suff w:val="tab"/>
      <w:lvlText w:val="%3."/>
      <w:lvlJc w:val="right"/>
      <w:pPr>
        <w:ind w:left="2820" w:hanging="420"/>
      </w:pPr>
    </w:lvl>
    <w:lvl w:ilvl="3">
      <w:start w:val="1"/>
      <w:numFmt w:val="decimal"/>
      <w:isLgl w:val="false"/>
      <w:suff w:val="tab"/>
      <w:lvlText w:val="%4."/>
      <w:lvlJc w:val="left"/>
      <w:pPr>
        <w:ind w:left="3240" w:hanging="420"/>
      </w:pPr>
    </w:lvl>
    <w:lvl w:ilvl="4">
      <w:start w:val="1"/>
      <w:numFmt w:val="lowerLetter"/>
      <w:isLgl w:val="false"/>
      <w:suff w:val="tab"/>
      <w:lvlText w:val="%5)"/>
      <w:lvlJc w:val="left"/>
      <w:pPr>
        <w:ind w:left="3660" w:hanging="420"/>
      </w:pPr>
    </w:lvl>
    <w:lvl w:ilvl="5">
      <w:start w:val="1"/>
      <w:numFmt w:val="decimal"/>
      <w:isLgl w:val="false"/>
      <w:suff w:val="tab"/>
      <w:lvlText w:val="%6."/>
      <w:lvlJc w:val="right"/>
      <w:pPr>
        <w:ind w:left="4080" w:hanging="420"/>
      </w:pPr>
    </w:lvl>
    <w:lvl w:ilvl="6">
      <w:start w:val="1"/>
      <w:numFmt w:val="decimal"/>
      <w:isLgl w:val="false"/>
      <w:suff w:val="tab"/>
      <w:lvlText w:val="%7."/>
      <w:lvlJc w:val="left"/>
      <w:pPr>
        <w:ind w:left="4500" w:hanging="420"/>
      </w:pPr>
    </w:lvl>
    <w:lvl w:ilvl="7">
      <w:start w:val="1"/>
      <w:numFmt w:val="lowerLetter"/>
      <w:isLgl w:val="false"/>
      <w:suff w:val="tab"/>
      <w:lvlText w:val="%8)"/>
      <w:lvlJc w:val="left"/>
      <w:pPr>
        <w:ind w:left="4920" w:hanging="420"/>
      </w:pPr>
    </w:lvl>
    <w:lvl w:ilvl="8">
      <w:start w:val="1"/>
      <w:numFmt w:val="decimal"/>
      <w:isLgl w:val="false"/>
      <w:suff w:val="tab"/>
      <w:lvlText w:val="%9."/>
      <w:lvlJc w:val="right"/>
      <w:pPr>
        <w:ind w:left="5340" w:hanging="42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1">
    <w:name w:val="Heading 1 Char"/>
    <w:basedOn w:val="1037"/>
    <w:link w:val="1028"/>
    <w:uiPriority w:val="9"/>
    <w:rPr>
      <w:rFonts w:ascii="Arial" w:hAnsi="Arial" w:eastAsia="Arial" w:cs="Arial"/>
      <w:sz w:val="40"/>
      <w:szCs w:val="40"/>
    </w:rPr>
  </w:style>
  <w:style w:type="character" w:styleId="882">
    <w:name w:val="Heading 2 Char"/>
    <w:basedOn w:val="1037"/>
    <w:link w:val="1029"/>
    <w:uiPriority w:val="9"/>
    <w:rPr>
      <w:rFonts w:ascii="Arial" w:hAnsi="Arial" w:eastAsia="Arial" w:cs="Arial"/>
      <w:sz w:val="34"/>
    </w:rPr>
  </w:style>
  <w:style w:type="character" w:styleId="883">
    <w:name w:val="Heading 3 Char"/>
    <w:basedOn w:val="1037"/>
    <w:link w:val="1030"/>
    <w:uiPriority w:val="9"/>
    <w:rPr>
      <w:rFonts w:ascii="Arial" w:hAnsi="Arial" w:eastAsia="Arial" w:cs="Arial"/>
      <w:sz w:val="30"/>
      <w:szCs w:val="30"/>
    </w:rPr>
  </w:style>
  <w:style w:type="character" w:styleId="884">
    <w:name w:val="Heading 4 Char"/>
    <w:basedOn w:val="1037"/>
    <w:link w:val="1031"/>
    <w:uiPriority w:val="9"/>
    <w:rPr>
      <w:rFonts w:ascii="Arial" w:hAnsi="Arial" w:eastAsia="Arial" w:cs="Arial"/>
      <w:b/>
      <w:bCs/>
      <w:sz w:val="26"/>
      <w:szCs w:val="26"/>
    </w:rPr>
  </w:style>
  <w:style w:type="character" w:styleId="885">
    <w:name w:val="Heading 5 Char"/>
    <w:basedOn w:val="1037"/>
    <w:link w:val="1032"/>
    <w:uiPriority w:val="9"/>
    <w:rPr>
      <w:rFonts w:ascii="Arial" w:hAnsi="Arial" w:eastAsia="Arial" w:cs="Arial"/>
      <w:b/>
      <w:bCs/>
      <w:sz w:val="24"/>
      <w:szCs w:val="24"/>
    </w:rPr>
  </w:style>
  <w:style w:type="character" w:styleId="886">
    <w:name w:val="Heading 6 Char"/>
    <w:basedOn w:val="1037"/>
    <w:link w:val="1033"/>
    <w:uiPriority w:val="9"/>
    <w:rPr>
      <w:rFonts w:ascii="Arial" w:hAnsi="Arial" w:eastAsia="Arial" w:cs="Arial"/>
      <w:b/>
      <w:bCs/>
      <w:sz w:val="22"/>
      <w:szCs w:val="22"/>
    </w:rPr>
  </w:style>
  <w:style w:type="character" w:styleId="887">
    <w:name w:val="Heading 7 Char"/>
    <w:basedOn w:val="1037"/>
    <w:link w:val="1034"/>
    <w:uiPriority w:val="9"/>
    <w:rPr>
      <w:rFonts w:ascii="Arial" w:hAnsi="Arial" w:eastAsia="Arial" w:cs="Arial"/>
      <w:b/>
      <w:bCs/>
      <w:i/>
      <w:iCs/>
      <w:sz w:val="22"/>
      <w:szCs w:val="22"/>
    </w:rPr>
  </w:style>
  <w:style w:type="character" w:styleId="888">
    <w:name w:val="Heading 8 Char"/>
    <w:basedOn w:val="1037"/>
    <w:link w:val="1035"/>
    <w:uiPriority w:val="9"/>
    <w:rPr>
      <w:rFonts w:ascii="Arial" w:hAnsi="Arial" w:eastAsia="Arial" w:cs="Arial"/>
      <w:i/>
      <w:iCs/>
      <w:sz w:val="22"/>
      <w:szCs w:val="22"/>
    </w:rPr>
  </w:style>
  <w:style w:type="character" w:styleId="889">
    <w:name w:val="Heading 9 Char"/>
    <w:basedOn w:val="1037"/>
    <w:link w:val="1036"/>
    <w:uiPriority w:val="9"/>
    <w:rPr>
      <w:rFonts w:ascii="Arial" w:hAnsi="Arial" w:eastAsia="Arial" w:cs="Arial"/>
      <w:i/>
      <w:iCs/>
      <w:sz w:val="21"/>
      <w:szCs w:val="21"/>
    </w:rPr>
  </w:style>
  <w:style w:type="paragraph" w:styleId="890">
    <w:name w:val="No Spacing"/>
    <w:uiPriority w:val="1"/>
    <w:qFormat/>
    <w:pPr>
      <w:spacing w:before="0" w:after="0" w:line="240" w:lineRule="auto"/>
    </w:pPr>
  </w:style>
  <w:style w:type="character" w:styleId="891">
    <w:name w:val="Title Char"/>
    <w:basedOn w:val="1037"/>
    <w:link w:val="1081"/>
    <w:uiPriority w:val="10"/>
    <w:rPr>
      <w:sz w:val="48"/>
      <w:szCs w:val="48"/>
    </w:rPr>
  </w:style>
  <w:style w:type="character" w:styleId="892">
    <w:name w:val="Subtitle Char"/>
    <w:basedOn w:val="1037"/>
    <w:link w:val="1069"/>
    <w:uiPriority w:val="11"/>
    <w:rPr>
      <w:sz w:val="24"/>
      <w:szCs w:val="24"/>
    </w:rPr>
  </w:style>
  <w:style w:type="paragraph" w:styleId="893">
    <w:name w:val="Quote"/>
    <w:basedOn w:val="1027"/>
    <w:next w:val="1027"/>
    <w:link w:val="1189"/>
    <w:uiPriority w:val="29"/>
    <w:qFormat/>
    <w:pPr>
      <w:ind w:left="720" w:right="720"/>
    </w:pPr>
    <w:rPr>
      <w:i/>
    </w:rPr>
  </w:style>
  <w:style w:type="paragraph" w:styleId="894">
    <w:name w:val="Intense Quote"/>
    <w:basedOn w:val="1027"/>
    <w:next w:val="1027"/>
    <w:link w:val="11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name w:val="Header Char"/>
    <w:basedOn w:val="1037"/>
    <w:link w:val="1063"/>
    <w:uiPriority w:val="99"/>
  </w:style>
  <w:style w:type="character" w:styleId="896">
    <w:name w:val="Footer Char"/>
    <w:basedOn w:val="1037"/>
    <w:link w:val="1062"/>
    <w:uiPriority w:val="99"/>
  </w:style>
  <w:style w:type="paragraph" w:styleId="897">
    <w:name w:val="Caption"/>
    <w:basedOn w:val="1027"/>
    <w:next w:val="1027"/>
    <w:uiPriority w:val="35"/>
    <w:semiHidden/>
    <w:unhideWhenUsed/>
    <w:qFormat/>
    <w:pPr>
      <w:spacing w:line="276" w:lineRule="auto"/>
    </w:pPr>
    <w:rPr>
      <w:b/>
      <w:bCs/>
      <w:color w:val="4f81bd" w:themeColor="accent1"/>
      <w:sz w:val="18"/>
      <w:szCs w:val="18"/>
    </w:rPr>
  </w:style>
  <w:style w:type="character" w:styleId="898">
    <w:name w:val="Caption Char"/>
    <w:basedOn w:val="897"/>
    <w:link w:val="1062"/>
    <w:uiPriority w:val="99"/>
  </w:style>
  <w:style w:type="table" w:styleId="899">
    <w:name w:val="Table Grid Light"/>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0">
    <w:name w:val="Plain Table 1"/>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2"/>
    <w:basedOn w:val="10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3"/>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name w:val="Plain Table 4"/>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name w:val="Plain Table 5"/>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5">
    <w:name w:val="Grid Table 1 Light"/>
    <w:basedOn w:val="10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6">
    <w:name w:val="Grid Table 1 Light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7">
    <w:name w:val="Grid Table 1 Light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8">
    <w:name w:val="Grid Table 1 Light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9">
    <w:name w:val="Grid Table 1 Light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0">
    <w:name w:val="Grid Table 1 Light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1">
    <w:name w:val="Grid Table 1 Light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2">
    <w:name w:val="Grid Table 2"/>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2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4">
    <w:name w:val="Grid Table 2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2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2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2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8">
    <w:name w:val="Grid Table 2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9">
    <w:name w:val="Grid Table 3"/>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4"/>
    <w:basedOn w:val="10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name w:val="Grid Table 4 - Accent 1"/>
    <w:basedOn w:val="10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8">
    <w:name w:val="Grid Table 4 - Accent 2"/>
    <w:basedOn w:val="10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9">
    <w:name w:val="Grid Table 4 - Accent 3"/>
    <w:basedOn w:val="10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0">
    <w:name w:val="Grid Table 4 - Accent 4"/>
    <w:basedOn w:val="10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1">
    <w:name w:val="Grid Table 4 - Accent 5"/>
    <w:basedOn w:val="10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2">
    <w:name w:val="Grid Table 4 - Accent 6"/>
    <w:basedOn w:val="10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3">
    <w:name w:val="Grid Table 5 Dark"/>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5 Dark- Accent 1"/>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5">
    <w:name w:val="Grid Table 5 Dark - Accent 2"/>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6">
    <w:name w:val="Grid Table 5 Dark - Accent 3"/>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7">
    <w:name w:val="Grid Table 5 Dark- Accent 4"/>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8">
    <w:name w:val="Grid Table 5 Dark - Accent 5"/>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9">
    <w:name w:val="Grid Table 5 Dark - Accent 6"/>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0">
    <w:name w:val="Grid Table 6 Colorful"/>
    <w:basedOn w:val="10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6 Colorful - Accent 1"/>
    <w:basedOn w:val="10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2">
    <w:name w:val="Grid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3">
    <w:name w:val="Grid Table 6 Colorful - Accent 3"/>
    <w:basedOn w:val="10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4">
    <w:name w:val="Grid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5">
    <w:name w:val="Grid Table 6 Colorful - Accent 5"/>
    <w:basedOn w:val="10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6 Colorful - Accent 6"/>
    <w:basedOn w:val="10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7">
    <w:name w:val="Grid Table 7 Colorful"/>
    <w:basedOn w:val="10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8">
    <w:name w:val="Grid Table 7 Colorful - Accent 1"/>
    <w:basedOn w:val="10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9">
    <w:name w:val="Grid Table 7 Colorful - Accent 2"/>
    <w:basedOn w:val="10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7 Colorful - Accent 3"/>
    <w:basedOn w:val="10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7 Colorful - Accent 4"/>
    <w:basedOn w:val="10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7 Colorful - Accent 5"/>
    <w:basedOn w:val="10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3">
    <w:name w:val="Grid Table 7 Colorful - Accent 6"/>
    <w:basedOn w:val="10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4">
    <w:name w:val="List Table 1 Light"/>
    <w:basedOn w:val="10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name w:val="List Table 1 Light - Accent 1"/>
    <w:basedOn w:val="10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6">
    <w:name w:val="List Table 1 Light - Accent 2"/>
    <w:basedOn w:val="10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7">
    <w:name w:val="List Table 1 Light - Accent 3"/>
    <w:basedOn w:val="10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8">
    <w:name w:val="List Table 1 Light - Accent 4"/>
    <w:basedOn w:val="10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9">
    <w:name w:val="List Table 1 Light - Accent 5"/>
    <w:basedOn w:val="10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0">
    <w:name w:val="List Table 1 Light - Accent 6"/>
    <w:basedOn w:val="10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1">
    <w:name w:val="List Table 2"/>
    <w:basedOn w:val="10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2 - Accent 1"/>
    <w:basedOn w:val="10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3">
    <w:name w:val="List Table 2 - Accent 2"/>
    <w:basedOn w:val="10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4">
    <w:name w:val="List Table 2 - Accent 3"/>
    <w:basedOn w:val="10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5">
    <w:name w:val="List Table 2 - Accent 4"/>
    <w:basedOn w:val="10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6">
    <w:name w:val="List Table 2 - Accent 5"/>
    <w:basedOn w:val="10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7">
    <w:name w:val="List Table 2 - Accent 6"/>
    <w:basedOn w:val="10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8">
    <w:name w:val="List Table 3"/>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3 - Accent 1"/>
    <w:basedOn w:val="10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3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1">
    <w:name w:val="List Table 3 - Accent 3"/>
    <w:basedOn w:val="10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2">
    <w:name w:val="List Table 3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3">
    <w:name w:val="List Table 3 - Accent 5"/>
    <w:basedOn w:val="10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4">
    <w:name w:val="List Table 3 - Accent 6"/>
    <w:basedOn w:val="10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5">
    <w:name w:val="List Table 4"/>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4 - Accent 1"/>
    <w:basedOn w:val="10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4 - Accent 2"/>
    <w:basedOn w:val="10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8">
    <w:name w:val="List Table 4 - Accent 3"/>
    <w:basedOn w:val="10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9">
    <w:name w:val="List Table 4 - Accent 4"/>
    <w:basedOn w:val="10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0">
    <w:name w:val="List Table 4 - Accent 5"/>
    <w:basedOn w:val="10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1">
    <w:name w:val="List Table 4 - Accent 6"/>
    <w:basedOn w:val="10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2">
    <w:name w:val="List Table 5 Dark"/>
    <w:basedOn w:val="10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1"/>
    <w:basedOn w:val="10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2"/>
    <w:basedOn w:val="10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3"/>
    <w:basedOn w:val="10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4"/>
    <w:basedOn w:val="10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5"/>
    <w:basedOn w:val="10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6"/>
    <w:basedOn w:val="10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6 Colorful"/>
    <w:basedOn w:val="10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0">
    <w:name w:val="List Table 6 Colorful - Accent 1"/>
    <w:basedOn w:val="10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1">
    <w:name w:val="List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2">
    <w:name w:val="List Table 6 Colorful - Accent 3"/>
    <w:basedOn w:val="10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3">
    <w:name w:val="List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4">
    <w:name w:val="List Table 6 Colorful - Accent 5"/>
    <w:basedOn w:val="10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5">
    <w:name w:val="List Table 6 Colorful - Accent 6"/>
    <w:basedOn w:val="10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6">
    <w:name w:val="List Table 7 Colorful"/>
    <w:basedOn w:val="10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7">
    <w:name w:val="List Table 7 Colorful - Accent 1"/>
    <w:basedOn w:val="10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8">
    <w:name w:val="List Table 7 Colorful - Accent 2"/>
    <w:basedOn w:val="10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9">
    <w:name w:val="List Table 7 Colorful - Accent 3"/>
    <w:basedOn w:val="10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0">
    <w:name w:val="List Table 7 Colorful - Accent 4"/>
    <w:basedOn w:val="10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1">
    <w:name w:val="List Table 7 Colorful - Accent 5"/>
    <w:basedOn w:val="10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2">
    <w:name w:val="List Table 7 Colorful - Accent 6"/>
    <w:basedOn w:val="10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3">
    <w:name w:val="Lined - Accent"/>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Lined - Accent 1"/>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Lined - Accent 2"/>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Lined - Accent 3"/>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Lined - Accent 4"/>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Lined - Accent 5"/>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Lined - Accent 6"/>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amp; Lined - Accent"/>
    <w:basedOn w:val="10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Bordered &amp; Lined - Accent 1"/>
    <w:basedOn w:val="10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Bordered &amp; Lined - Accent 2"/>
    <w:basedOn w:val="10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Bordered &amp; Lined - Accent 3"/>
    <w:basedOn w:val="10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Bordered &amp; Lined - Accent 4"/>
    <w:basedOn w:val="10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Bordered &amp; Lined - Accent 5"/>
    <w:basedOn w:val="10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Bordered &amp; Lined - Accent 6"/>
    <w:basedOn w:val="10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w:basedOn w:val="10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8">
    <w:name w:val="Bordered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9">
    <w:name w:val="Bordered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0">
    <w:name w:val="Bordered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1">
    <w:name w:val="Bordered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2">
    <w:name w:val="Bordered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3">
    <w:name w:val="Bordered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4">
    <w:name w:val="Footnote Text Char"/>
    <w:link w:val="1071"/>
    <w:uiPriority w:val="99"/>
    <w:rPr>
      <w:sz w:val="18"/>
    </w:rPr>
  </w:style>
  <w:style w:type="character" w:styleId="1025">
    <w:name w:val="Endnote Text Char"/>
    <w:link w:val="1060"/>
    <w:uiPriority w:val="99"/>
    <w:rPr>
      <w:sz w:val="20"/>
    </w:rPr>
  </w:style>
  <w:style w:type="paragraph" w:styleId="1026">
    <w:name w:val="TOC Heading"/>
    <w:uiPriority w:val="39"/>
    <w:unhideWhenUsed/>
  </w:style>
  <w:style w:type="paragraph" w:styleId="1027" w:default="1">
    <w:name w:val="Normal"/>
    <w:next w:val="1039"/>
    <w:uiPriority w:val="0"/>
    <w:qFormat/>
    <w:pPr>
      <w:jc w:val="both"/>
      <w:widowControl w:val="off"/>
    </w:pPr>
    <w:rPr>
      <w:rFonts w:ascii="Times New Roman" w:hAnsi="Times New Roman" w:eastAsia="宋体" w:cs="Times New Roman"/>
      <w:sz w:val="21"/>
      <w:szCs w:val="24"/>
      <w:lang w:val="en-US" w:eastAsia="zh-CN" w:bidi="ar-SA"/>
    </w:rPr>
  </w:style>
  <w:style w:type="paragraph" w:styleId="1028">
    <w:name w:val="Heading 1"/>
    <w:basedOn w:val="1027"/>
    <w:next w:val="1027"/>
    <w:link w:val="1097"/>
    <w:uiPriority w:val="99"/>
    <w:qFormat/>
    <w:pPr>
      <w:keepLines/>
      <w:keepNext/>
      <w:spacing w:before="340" w:after="330" w:line="576" w:lineRule="auto"/>
      <w:outlineLvl w:val="0"/>
    </w:pPr>
    <w:rPr>
      <w:b/>
      <w:bCs/>
      <w:sz w:val="44"/>
      <w:szCs w:val="44"/>
    </w:rPr>
  </w:style>
  <w:style w:type="paragraph" w:styleId="1029">
    <w:name w:val="Heading 2"/>
    <w:basedOn w:val="1027"/>
    <w:next w:val="1027"/>
    <w:link w:val="1098"/>
    <w:uiPriority w:val="99"/>
    <w:qFormat/>
    <w:pPr>
      <w:keepLines/>
      <w:keepNext/>
      <w:spacing w:before="260" w:after="260" w:line="413" w:lineRule="auto"/>
      <w:outlineLvl w:val="1"/>
    </w:pPr>
    <w:rPr>
      <w:rFonts w:ascii="Arial" w:hAnsi="Arial" w:eastAsia="黑体"/>
      <w:b/>
      <w:bCs/>
      <w:sz w:val="32"/>
      <w:szCs w:val="32"/>
    </w:rPr>
  </w:style>
  <w:style w:type="paragraph" w:styleId="1030">
    <w:name w:val="Heading 3"/>
    <w:basedOn w:val="1027"/>
    <w:next w:val="1027"/>
    <w:link w:val="1103"/>
    <w:uiPriority w:val="99"/>
    <w:qFormat/>
    <w:pPr>
      <w:keepLines/>
      <w:keepNext/>
      <w:spacing w:before="260" w:after="260" w:line="413" w:lineRule="auto"/>
      <w:outlineLvl w:val="2"/>
    </w:pPr>
    <w:rPr>
      <w:b/>
      <w:bCs/>
      <w:sz w:val="32"/>
      <w:szCs w:val="32"/>
    </w:rPr>
  </w:style>
  <w:style w:type="paragraph" w:styleId="1031">
    <w:name w:val="Heading 4"/>
    <w:basedOn w:val="1027"/>
    <w:next w:val="1027"/>
    <w:link w:val="1104"/>
    <w:uiPriority w:val="99"/>
    <w:qFormat/>
    <w:pPr>
      <w:keepLines/>
      <w:keepNext/>
      <w:spacing w:before="120" w:after="120"/>
      <w:outlineLvl w:val="3"/>
    </w:pPr>
    <w:rPr>
      <w:rFonts w:ascii="Arial" w:hAnsi="Arial" w:eastAsia="黑体"/>
      <w:b/>
      <w:sz w:val="20"/>
      <w:szCs w:val="20"/>
    </w:rPr>
  </w:style>
  <w:style w:type="paragraph" w:styleId="1032">
    <w:name w:val="Heading 5"/>
    <w:basedOn w:val="1027"/>
    <w:next w:val="1027"/>
    <w:link w:val="1105"/>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1033">
    <w:name w:val="Heading 6"/>
    <w:basedOn w:val="1027"/>
    <w:next w:val="1027"/>
    <w:link w:val="1106"/>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034">
    <w:name w:val="Heading 7"/>
    <w:basedOn w:val="1027"/>
    <w:next w:val="1027"/>
    <w:link w:val="1107"/>
    <w:uiPriority w:val="99"/>
    <w:qFormat/>
    <w:pPr>
      <w:ind w:left="1296" w:hanging="1296"/>
      <w:keepLines/>
      <w:keepNext/>
      <w:spacing w:before="240" w:after="64" w:line="317" w:lineRule="auto"/>
      <w:tabs>
        <w:tab w:val="left" w:pos="1296" w:leader="none"/>
      </w:tabs>
      <w:outlineLvl w:val="6"/>
    </w:pPr>
    <w:rPr>
      <w:b/>
      <w:bCs/>
      <w:sz w:val="24"/>
    </w:rPr>
  </w:style>
  <w:style w:type="paragraph" w:styleId="1035">
    <w:name w:val="Heading 8"/>
    <w:basedOn w:val="1027"/>
    <w:next w:val="1027"/>
    <w:link w:val="1108"/>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36">
    <w:name w:val="Heading 9"/>
    <w:basedOn w:val="1027"/>
    <w:next w:val="1027"/>
    <w:link w:val="1109"/>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37" w:default="1">
    <w:name w:val="Default Paragraph Font"/>
    <w:uiPriority w:val="1"/>
    <w:semiHidden/>
    <w:unhideWhenUsed/>
    <w:qFormat/>
  </w:style>
  <w:style w:type="table" w:styleId="1038" w:default="1">
    <w:name w:val="Normal Table"/>
    <w:uiPriority w:val="99"/>
    <w:semiHidden/>
    <w:unhideWhenUsed/>
    <w:qFormat/>
    <w:tblPr>
      <w:tblCellMar>
        <w:left w:w="108" w:type="dxa"/>
        <w:top w:w="0" w:type="dxa"/>
        <w:right w:w="108" w:type="dxa"/>
        <w:bottom w:w="0" w:type="dxa"/>
      </w:tblCellMar>
    </w:tblPr>
  </w:style>
  <w:style w:type="paragraph" w:styleId="1039">
    <w:name w:val="Body Text"/>
    <w:basedOn w:val="1027"/>
    <w:link w:val="1102"/>
    <w:uiPriority w:val="99"/>
    <w:qFormat/>
    <w:pPr>
      <w:spacing w:after="120"/>
    </w:pPr>
    <w:rPr>
      <w:sz w:val="24"/>
    </w:rPr>
  </w:style>
  <w:style w:type="paragraph" w:styleId="1040">
    <w:name w:val="List 3"/>
    <w:basedOn w:val="1027"/>
    <w:uiPriority w:val="99"/>
    <w:qFormat/>
    <w:pPr>
      <w:ind w:left="1260" w:hanging="420"/>
    </w:pPr>
    <w:rPr>
      <w:szCs w:val="20"/>
    </w:rPr>
  </w:style>
  <w:style w:type="paragraph" w:styleId="1041">
    <w:name w:val="toc 7"/>
    <w:basedOn w:val="1027"/>
    <w:next w:val="1027"/>
    <w:uiPriority w:val="99"/>
    <w:semiHidden/>
    <w:qFormat/>
    <w:pPr>
      <w:ind w:left="1260"/>
      <w:jc w:val="left"/>
    </w:pPr>
    <w:rPr>
      <w:szCs w:val="21"/>
    </w:rPr>
  </w:style>
  <w:style w:type="paragraph" w:styleId="1042">
    <w:name w:val="List Number 2"/>
    <w:basedOn w:val="1027"/>
    <w:uiPriority w:val="99"/>
    <w:qFormat/>
    <w:pPr>
      <w:ind w:left="1440" w:hanging="1440"/>
      <w:spacing w:line="360" w:lineRule="auto"/>
      <w:tabs>
        <w:tab w:val="left" w:pos="1440" w:leader="none"/>
      </w:tabs>
    </w:pPr>
    <w:rPr>
      <w:sz w:val="24"/>
    </w:rPr>
  </w:style>
  <w:style w:type="paragraph" w:styleId="1043">
    <w:name w:val="List Number"/>
    <w:basedOn w:val="1027"/>
    <w:uiPriority w:val="99"/>
    <w:qFormat/>
    <w:pPr>
      <w:ind w:left="2952" w:hanging="432"/>
      <w:tabs>
        <w:tab w:val="left" w:pos="2952" w:leader="none"/>
      </w:tabs>
    </w:pPr>
  </w:style>
  <w:style w:type="paragraph" w:styleId="1044">
    <w:name w:val="Normal Indent"/>
    <w:basedOn w:val="1027"/>
    <w:uiPriority w:val="99"/>
    <w:qFormat/>
    <w:pPr>
      <w:ind w:firstLine="420"/>
    </w:pPr>
    <w:rPr>
      <w:szCs w:val="20"/>
    </w:rPr>
  </w:style>
  <w:style w:type="paragraph" w:styleId="1045">
    <w:name w:val="Document Map"/>
    <w:basedOn w:val="1027"/>
    <w:link w:val="1110"/>
    <w:uiPriority w:val="99"/>
    <w:semiHidden/>
    <w:qFormat/>
    <w:pPr>
      <w:shd w:val="clear" w:color="auto" w:fill="000080"/>
    </w:pPr>
    <w:rPr>
      <w:sz w:val="24"/>
    </w:rPr>
  </w:style>
  <w:style w:type="paragraph" w:styleId="1046">
    <w:name w:val="annotation text"/>
    <w:basedOn w:val="1027"/>
    <w:link w:val="1111"/>
    <w:uiPriority w:val="0"/>
    <w:qFormat/>
    <w:pPr>
      <w:jc w:val="left"/>
    </w:pPr>
    <w:rPr>
      <w:sz w:val="20"/>
      <w:szCs w:val="20"/>
    </w:rPr>
  </w:style>
  <w:style w:type="paragraph" w:styleId="1047">
    <w:name w:val="Salutation"/>
    <w:basedOn w:val="1027"/>
    <w:next w:val="1027"/>
    <w:link w:val="1112"/>
    <w:uiPriority w:val="99"/>
    <w:qFormat/>
    <w:rPr>
      <w:rFonts w:ascii="仿宋_GB2312" w:eastAsia="仿宋_GB2312"/>
      <w:sz w:val="20"/>
      <w:szCs w:val="20"/>
    </w:rPr>
  </w:style>
  <w:style w:type="paragraph" w:styleId="1048">
    <w:name w:val="Body Text 3"/>
    <w:basedOn w:val="1027"/>
    <w:link w:val="1113"/>
    <w:uiPriority w:val="99"/>
    <w:qFormat/>
    <w:pPr>
      <w:spacing w:after="120"/>
    </w:pPr>
    <w:rPr>
      <w:sz w:val="16"/>
      <w:szCs w:val="16"/>
    </w:rPr>
  </w:style>
  <w:style w:type="paragraph" w:styleId="1049">
    <w:name w:val="Body Text Indent"/>
    <w:basedOn w:val="1027"/>
    <w:next w:val="1050"/>
    <w:link w:val="1114"/>
    <w:uiPriority w:val="99"/>
    <w:qFormat/>
    <w:pPr>
      <w:ind w:left="420"/>
      <w:spacing w:after="120"/>
    </w:pPr>
    <w:rPr>
      <w:sz w:val="24"/>
    </w:rPr>
  </w:style>
  <w:style w:type="paragraph" w:styleId="1050">
    <w:name w:val="envelope return"/>
    <w:basedOn w:val="1027"/>
    <w:uiPriority w:val="99"/>
    <w:unhideWhenUsed/>
    <w:qFormat/>
    <w:rPr>
      <w:rFonts w:ascii="Arial" w:hAnsi="Arial"/>
    </w:rPr>
  </w:style>
  <w:style w:type="paragraph" w:styleId="1051">
    <w:name w:val="List 2"/>
    <w:basedOn w:val="1027"/>
    <w:uiPriority w:val="99"/>
    <w:qFormat/>
    <w:pPr>
      <w:ind w:left="100" w:hanging="200"/>
    </w:pPr>
    <w:rPr>
      <w:szCs w:val="21"/>
    </w:rPr>
  </w:style>
  <w:style w:type="paragraph" w:styleId="1052">
    <w:name w:val="index 4"/>
    <w:basedOn w:val="1027"/>
    <w:next w:val="1027"/>
    <w:uiPriority w:val="99"/>
    <w:qFormat/>
    <w:pPr>
      <w:ind w:left="600"/>
    </w:pPr>
    <w:rPr>
      <w:rFonts w:ascii="Calibri" w:hAnsi="Calibri"/>
    </w:rPr>
  </w:style>
  <w:style w:type="paragraph" w:styleId="1053">
    <w:name w:val="toc 5"/>
    <w:basedOn w:val="1027"/>
    <w:next w:val="1027"/>
    <w:uiPriority w:val="99"/>
    <w:semiHidden/>
    <w:qFormat/>
    <w:pPr>
      <w:ind w:left="840"/>
      <w:jc w:val="left"/>
    </w:pPr>
    <w:rPr>
      <w:szCs w:val="21"/>
    </w:rPr>
  </w:style>
  <w:style w:type="paragraph" w:styleId="1054">
    <w:name w:val="toc 3"/>
    <w:basedOn w:val="1027"/>
    <w:next w:val="1027"/>
    <w:uiPriority w:val="99"/>
    <w:semiHidden/>
    <w:qFormat/>
    <w:pPr>
      <w:ind w:left="840"/>
    </w:pPr>
  </w:style>
  <w:style w:type="paragraph" w:styleId="1055">
    <w:name w:val="Plain Text"/>
    <w:basedOn w:val="1027"/>
    <w:link w:val="1115"/>
    <w:uiPriority w:val="99"/>
    <w:qFormat/>
    <w:rPr>
      <w:rFonts w:ascii="宋体" w:hAnsi="Courier New"/>
      <w:szCs w:val="21"/>
    </w:rPr>
  </w:style>
  <w:style w:type="paragraph" w:styleId="1056">
    <w:name w:val="toc 8"/>
    <w:basedOn w:val="1027"/>
    <w:next w:val="1027"/>
    <w:uiPriority w:val="99"/>
    <w:semiHidden/>
    <w:qFormat/>
    <w:pPr>
      <w:ind w:left="1470"/>
      <w:jc w:val="left"/>
    </w:pPr>
    <w:rPr>
      <w:szCs w:val="21"/>
    </w:rPr>
  </w:style>
  <w:style w:type="paragraph" w:styleId="1057">
    <w:name w:val="index 3"/>
    <w:basedOn w:val="1027"/>
    <w:next w:val="1027"/>
    <w:uiPriority w:val="99"/>
    <w:semiHidden/>
    <w:qFormat/>
    <w:pPr>
      <w:ind w:left="840"/>
    </w:pPr>
    <w:rPr>
      <w:szCs w:val="20"/>
    </w:rPr>
  </w:style>
  <w:style w:type="paragraph" w:styleId="1058">
    <w:name w:val="Date"/>
    <w:basedOn w:val="1027"/>
    <w:next w:val="1027"/>
    <w:link w:val="1116"/>
    <w:uiPriority w:val="99"/>
    <w:qFormat/>
    <w:pPr>
      <w:ind w:left="100"/>
    </w:pPr>
    <w:rPr>
      <w:sz w:val="20"/>
      <w:szCs w:val="20"/>
    </w:rPr>
  </w:style>
  <w:style w:type="paragraph" w:styleId="1059">
    <w:name w:val="Body Text Indent 2"/>
    <w:basedOn w:val="1027"/>
    <w:link w:val="1117"/>
    <w:uiPriority w:val="99"/>
    <w:qFormat/>
    <w:pPr>
      <w:ind w:firstLine="480"/>
      <w:spacing w:line="400" w:lineRule="exact"/>
    </w:pPr>
    <w:rPr>
      <w:rFonts w:ascii="宋体" w:hAnsi="宋体"/>
      <w:sz w:val="24"/>
    </w:rPr>
  </w:style>
  <w:style w:type="paragraph" w:styleId="1060">
    <w:name w:val="endnote text"/>
    <w:basedOn w:val="1027"/>
    <w:link w:val="1118"/>
    <w:uiPriority w:val="99"/>
    <w:semiHidden/>
    <w:qFormat/>
    <w:pPr>
      <w:jc w:val="left"/>
    </w:pPr>
    <w:rPr>
      <w:sz w:val="24"/>
    </w:rPr>
  </w:style>
  <w:style w:type="paragraph" w:styleId="1061">
    <w:name w:val="Balloon Text"/>
    <w:basedOn w:val="1027"/>
    <w:link w:val="1119"/>
    <w:uiPriority w:val="99"/>
    <w:semiHidden/>
    <w:qFormat/>
    <w:rPr>
      <w:sz w:val="18"/>
      <w:szCs w:val="18"/>
    </w:rPr>
  </w:style>
  <w:style w:type="paragraph" w:styleId="1062">
    <w:name w:val="Footer"/>
    <w:basedOn w:val="1027"/>
    <w:link w:val="1120"/>
    <w:uiPriority w:val="0"/>
    <w:qFormat/>
    <w:pPr>
      <w:jc w:val="left"/>
      <w:tabs>
        <w:tab w:val="center" w:pos="4153" w:leader="none"/>
        <w:tab w:val="right" w:pos="8306" w:leader="none"/>
      </w:tabs>
    </w:pPr>
    <w:rPr>
      <w:sz w:val="18"/>
      <w:szCs w:val="18"/>
    </w:rPr>
  </w:style>
  <w:style w:type="paragraph" w:styleId="1063">
    <w:name w:val="Header"/>
    <w:basedOn w:val="1027"/>
    <w:link w:val="1121"/>
    <w:uiPriority w:val="0"/>
    <w:qFormat/>
    <w:pPr>
      <w:jc w:val="center"/>
      <w:tabs>
        <w:tab w:val="center" w:pos="4153" w:leader="none"/>
        <w:tab w:val="right" w:pos="8306" w:leader="none"/>
      </w:tabs>
      <w:pBdr>
        <w:bottom w:val="single" w:color="auto" w:sz="6" w:space="1"/>
      </w:pBdr>
    </w:pPr>
    <w:rPr>
      <w:sz w:val="18"/>
      <w:szCs w:val="18"/>
    </w:rPr>
  </w:style>
  <w:style w:type="paragraph" w:styleId="1064">
    <w:name w:val="Signature"/>
    <w:basedOn w:val="1027"/>
    <w:link w:val="1122"/>
    <w:uiPriority w:val="99"/>
    <w:qFormat/>
    <w:pPr>
      <w:jc w:val="center"/>
      <w:spacing w:after="600" w:line="312" w:lineRule="atLeast"/>
    </w:pPr>
    <w:rPr>
      <w:rFonts w:eastAsia="仿宋_GB2312"/>
      <w:sz w:val="20"/>
      <w:szCs w:val="20"/>
    </w:rPr>
  </w:style>
  <w:style w:type="paragraph" w:styleId="1065">
    <w:name w:val="toc 1"/>
    <w:basedOn w:val="1027"/>
    <w:next w:val="1027"/>
    <w:uiPriority w:val="99"/>
    <w:semiHidden/>
    <w:qFormat/>
  </w:style>
  <w:style w:type="paragraph" w:styleId="1066">
    <w:name w:val="toc 4"/>
    <w:basedOn w:val="1027"/>
    <w:next w:val="1027"/>
    <w:uiPriority w:val="99"/>
    <w:semiHidden/>
    <w:qFormat/>
    <w:pPr>
      <w:ind w:left="630"/>
      <w:jc w:val="left"/>
    </w:pPr>
    <w:rPr>
      <w:szCs w:val="21"/>
    </w:rPr>
  </w:style>
  <w:style w:type="paragraph" w:styleId="1067">
    <w:name w:val="index heading"/>
    <w:basedOn w:val="1027"/>
    <w:next w:val="1068"/>
    <w:uiPriority w:val="99"/>
    <w:semiHidden/>
    <w:qFormat/>
    <w:rPr>
      <w:szCs w:val="20"/>
    </w:rPr>
  </w:style>
  <w:style w:type="paragraph" w:styleId="1068">
    <w:name w:val="index 1"/>
    <w:basedOn w:val="1027"/>
    <w:next w:val="1027"/>
    <w:uiPriority w:val="99"/>
    <w:semiHidden/>
    <w:qFormat/>
    <w:pPr>
      <w:jc w:val="center"/>
      <w:tabs>
        <w:tab w:val="left" w:pos="1260" w:leader="none"/>
      </w:tabs>
    </w:pPr>
    <w:rPr>
      <w:rFonts w:ascii="仿宋_GB2312" w:hAnsi="宋体" w:eastAsia="仿宋_GB2312"/>
      <w:sz w:val="30"/>
      <w:szCs w:val="20"/>
    </w:rPr>
  </w:style>
  <w:style w:type="paragraph" w:styleId="1069">
    <w:name w:val="Subtitle"/>
    <w:basedOn w:val="1027"/>
    <w:next w:val="1027"/>
    <w:link w:val="1123"/>
    <w:uiPriority w:val="99"/>
    <w:qFormat/>
    <w:pPr>
      <w:jc w:val="left"/>
      <w:spacing w:after="600" w:line="276" w:lineRule="auto"/>
      <w:widowControl/>
    </w:pPr>
    <w:rPr>
      <w:rFonts w:ascii="Cambria" w:hAnsi="Cambria"/>
      <w:i/>
      <w:iCs/>
      <w:spacing w:val="13"/>
      <w:sz w:val="24"/>
      <w:lang w:eastAsia="en-US"/>
    </w:rPr>
  </w:style>
  <w:style w:type="paragraph" w:styleId="1070">
    <w:name w:val="List"/>
    <w:basedOn w:val="1027"/>
    <w:uiPriority w:val="99"/>
    <w:qFormat/>
    <w:pPr>
      <w:ind w:left="200" w:hanging="200"/>
    </w:pPr>
    <w:rPr>
      <w:szCs w:val="21"/>
    </w:rPr>
  </w:style>
  <w:style w:type="paragraph" w:styleId="1071">
    <w:name w:val="footnote text"/>
    <w:basedOn w:val="1027"/>
    <w:link w:val="1124"/>
    <w:uiPriority w:val="99"/>
    <w:semiHidden/>
    <w:qFormat/>
    <w:pPr>
      <w:jc w:val="left"/>
    </w:pPr>
    <w:rPr>
      <w:sz w:val="18"/>
      <w:szCs w:val="18"/>
    </w:rPr>
  </w:style>
  <w:style w:type="paragraph" w:styleId="1072">
    <w:name w:val="toc 6"/>
    <w:basedOn w:val="1027"/>
    <w:next w:val="1027"/>
    <w:uiPriority w:val="99"/>
    <w:semiHidden/>
    <w:qFormat/>
    <w:pPr>
      <w:ind w:left="1050"/>
      <w:jc w:val="left"/>
    </w:pPr>
    <w:rPr>
      <w:szCs w:val="21"/>
    </w:rPr>
  </w:style>
  <w:style w:type="paragraph" w:styleId="1073">
    <w:name w:val="Body Text Indent 3"/>
    <w:basedOn w:val="1027"/>
    <w:link w:val="1125"/>
    <w:uiPriority w:val="99"/>
    <w:qFormat/>
    <w:pPr>
      <w:ind w:left="480"/>
      <w:spacing w:before="120" w:after="120" w:line="264" w:lineRule="auto"/>
    </w:pPr>
    <w:rPr>
      <w:b/>
      <w:bCs/>
      <w:sz w:val="20"/>
      <w:szCs w:val="20"/>
    </w:rPr>
  </w:style>
  <w:style w:type="paragraph" w:styleId="1074">
    <w:name w:val="table of figures"/>
    <w:basedOn w:val="1027"/>
    <w:next w:val="1027"/>
    <w:uiPriority w:val="99"/>
    <w:semiHidden/>
    <w:qFormat/>
    <w:pPr>
      <w:ind w:left="840" w:hanging="420"/>
    </w:pPr>
    <w:rPr>
      <w:szCs w:val="21"/>
    </w:rPr>
  </w:style>
  <w:style w:type="paragraph" w:styleId="1075">
    <w:name w:val="toc 2"/>
    <w:basedOn w:val="1027"/>
    <w:next w:val="1027"/>
    <w:uiPriority w:val="99"/>
    <w:semiHidden/>
    <w:qFormat/>
    <w:pPr>
      <w:ind w:left="420"/>
    </w:pPr>
  </w:style>
  <w:style w:type="paragraph" w:styleId="1076">
    <w:name w:val="toc 9"/>
    <w:basedOn w:val="1027"/>
    <w:next w:val="1027"/>
    <w:uiPriority w:val="99"/>
    <w:semiHidden/>
    <w:qFormat/>
    <w:pPr>
      <w:ind w:left="1680"/>
      <w:jc w:val="left"/>
    </w:pPr>
    <w:rPr>
      <w:szCs w:val="21"/>
    </w:rPr>
  </w:style>
  <w:style w:type="paragraph" w:styleId="1077">
    <w:name w:val="Body Text 2"/>
    <w:basedOn w:val="1027"/>
    <w:link w:val="1126"/>
    <w:uiPriority w:val="99"/>
    <w:qFormat/>
    <w:pPr>
      <w:jc w:val="center"/>
    </w:pPr>
    <w:rPr>
      <w:b/>
      <w:bCs/>
      <w:sz w:val="20"/>
      <w:szCs w:val="20"/>
    </w:rPr>
  </w:style>
  <w:style w:type="paragraph" w:styleId="1078">
    <w:name w:val="HTML Preformatted"/>
    <w:basedOn w:val="1027"/>
    <w:link w:val="112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9">
    <w:name w:val="Normal (Web)"/>
    <w:basedOn w:val="1027"/>
    <w:uiPriority w:val="99"/>
    <w:qFormat/>
    <w:pPr>
      <w:jc w:val="left"/>
      <w:spacing w:before="100" w:beforeAutospacing="1" w:after="100" w:afterAutospacing="1"/>
      <w:widowControl/>
    </w:pPr>
    <w:rPr>
      <w:rFonts w:ascii="宋体" w:hAnsi="宋体" w:cs="宋体"/>
      <w:sz w:val="24"/>
    </w:rPr>
  </w:style>
  <w:style w:type="paragraph" w:styleId="1080">
    <w:name w:val="index 2"/>
    <w:basedOn w:val="1027"/>
    <w:next w:val="1027"/>
    <w:uiPriority w:val="99"/>
    <w:semiHidden/>
    <w:qFormat/>
    <w:pPr>
      <w:ind w:left="420"/>
      <w:jc w:val="center"/>
    </w:pPr>
    <w:rPr>
      <w:rFonts w:ascii="宋体" w:hAnsi="宋体"/>
      <w:b/>
      <w:sz w:val="32"/>
      <w:szCs w:val="20"/>
    </w:rPr>
  </w:style>
  <w:style w:type="paragraph" w:styleId="1081">
    <w:name w:val="Title"/>
    <w:basedOn w:val="1027"/>
    <w:link w:val="1128"/>
    <w:uiPriority w:val="99"/>
    <w:qFormat/>
    <w:pPr>
      <w:jc w:val="center"/>
      <w:spacing w:line="420" w:lineRule="exact"/>
      <w:widowControl/>
    </w:pPr>
    <w:rPr>
      <w:rFonts w:eastAsia="黑体"/>
      <w:b/>
      <w:sz w:val="20"/>
      <w:szCs w:val="20"/>
      <w:lang w:val="en-GB"/>
    </w:rPr>
  </w:style>
  <w:style w:type="paragraph" w:styleId="1082">
    <w:name w:val="annotation subject"/>
    <w:basedOn w:val="1046"/>
    <w:next w:val="1046"/>
    <w:link w:val="1129"/>
    <w:uiPriority w:val="99"/>
    <w:semiHidden/>
    <w:qFormat/>
    <w:rPr>
      <w:b/>
      <w:bCs/>
      <w:sz w:val="24"/>
    </w:rPr>
  </w:style>
  <w:style w:type="paragraph" w:styleId="1083">
    <w:name w:val="Body Text First Indent"/>
    <w:basedOn w:val="1039"/>
    <w:link w:val="1130"/>
    <w:uiPriority w:val="99"/>
    <w:qFormat/>
    <w:pPr>
      <w:ind w:firstLine="420"/>
    </w:pPr>
  </w:style>
  <w:style w:type="paragraph" w:styleId="1084">
    <w:name w:val="Body Text First Indent 2"/>
    <w:basedOn w:val="1049"/>
    <w:next w:val="1027"/>
    <w:link w:val="1131"/>
    <w:uiPriority w:val="99"/>
    <w:qFormat/>
    <w:pPr>
      <w:ind w:left="0" w:firstLine="420"/>
      <w:spacing w:after="0" w:line="360" w:lineRule="auto"/>
    </w:pPr>
    <w:rPr>
      <w:rFonts w:ascii="宋体" w:hAnsi="宋体"/>
      <w:sz w:val="20"/>
      <w:szCs w:val="20"/>
    </w:rPr>
  </w:style>
  <w:style w:type="table" w:styleId="1085">
    <w:name w:val="Table Grid"/>
    <w:basedOn w:val="103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6">
    <w:name w:val="Strong"/>
    <w:uiPriority w:val="99"/>
    <w:qFormat/>
    <w:rPr>
      <w:rFonts w:cs="Times New Roman"/>
      <w:b/>
    </w:rPr>
  </w:style>
  <w:style w:type="character" w:styleId="1087">
    <w:name w:val="endnote reference"/>
    <w:uiPriority w:val="99"/>
    <w:semiHidden/>
    <w:qFormat/>
    <w:rPr>
      <w:rFonts w:cs="Times New Roman"/>
      <w:vertAlign w:val="superscript"/>
    </w:rPr>
  </w:style>
  <w:style w:type="character" w:styleId="1088">
    <w:name w:val="page number"/>
    <w:uiPriority w:val="99"/>
    <w:qFormat/>
    <w:rPr>
      <w:rFonts w:cs="Times New Roman"/>
    </w:rPr>
  </w:style>
  <w:style w:type="character" w:styleId="1089">
    <w:name w:val="FollowedHyperlink"/>
    <w:uiPriority w:val="99"/>
    <w:qFormat/>
    <w:rPr>
      <w:rFonts w:cs="Times New Roman"/>
      <w:color w:val="auto"/>
      <w:u w:val="none"/>
    </w:rPr>
  </w:style>
  <w:style w:type="character" w:styleId="1090">
    <w:name w:val="Emphasis"/>
    <w:uiPriority w:val="99"/>
    <w:qFormat/>
    <w:rPr>
      <w:rFonts w:cs="Times New Roman"/>
      <w:b/>
      <w:i/>
      <w:spacing w:val="10"/>
      <w:shd w:val="clear" w:color="auto" w:fill="auto"/>
    </w:rPr>
  </w:style>
  <w:style w:type="character" w:styleId="1091">
    <w:name w:val="line number"/>
    <w:uiPriority w:val="99"/>
    <w:qFormat/>
    <w:rPr>
      <w:rFonts w:cs="Times New Roman"/>
    </w:rPr>
  </w:style>
  <w:style w:type="character" w:styleId="1092">
    <w:name w:val="HTML Typewriter"/>
    <w:uiPriority w:val="99"/>
    <w:qFormat/>
    <w:rPr>
      <w:rFonts w:ascii="宋体" w:hAnsi="宋体" w:eastAsia="宋体" w:cs="Times New Roman"/>
      <w:sz w:val="24"/>
    </w:rPr>
  </w:style>
  <w:style w:type="character" w:styleId="1093">
    <w:name w:val="Hyperlink"/>
    <w:uiPriority w:val="99"/>
    <w:qFormat/>
    <w:rPr>
      <w:rFonts w:cs="Times New Roman"/>
      <w:color w:val="auto"/>
      <w:u w:val="none"/>
    </w:rPr>
  </w:style>
  <w:style w:type="character" w:styleId="1094">
    <w:name w:val="annotation reference"/>
    <w:uiPriority w:val="0"/>
    <w:qFormat/>
    <w:rPr>
      <w:rFonts w:cs="Times New Roman"/>
      <w:sz w:val="21"/>
    </w:rPr>
  </w:style>
  <w:style w:type="character" w:styleId="1095">
    <w:name w:val="footnote reference"/>
    <w:uiPriority w:val="99"/>
    <w:semiHidden/>
    <w:qFormat/>
    <w:rPr>
      <w:rFonts w:cs="Times New Roman"/>
      <w:vertAlign w:val="superscript"/>
    </w:rPr>
  </w:style>
  <w:style w:type="character" w:styleId="1096">
    <w:name w:val="HTML Sample"/>
    <w:uiPriority w:val="99"/>
    <w:qFormat/>
    <w:rPr>
      <w:rFonts w:ascii="Courier New" w:hAnsi="宋体" w:eastAsia="宋体" w:cs="Times New Roman"/>
    </w:rPr>
  </w:style>
  <w:style w:type="character" w:styleId="1097" w:customStyle="1">
    <w:name w:val="标题 1 字符"/>
    <w:link w:val="1028"/>
    <w:uiPriority w:val="99"/>
    <w:qFormat/>
    <w:rPr>
      <w:rFonts w:ascii="Times New Roman" w:hAnsi="Times New Roman" w:eastAsia="宋体"/>
      <w:b/>
      <w:sz w:val="44"/>
    </w:rPr>
  </w:style>
  <w:style w:type="character" w:styleId="1098" w:customStyle="1">
    <w:name w:val="标题 2 字符"/>
    <w:link w:val="1029"/>
    <w:uiPriority w:val="99"/>
    <w:qFormat/>
    <w:rPr>
      <w:rFonts w:ascii="Arial" w:hAnsi="Arial" w:eastAsia="黑体"/>
      <w:b/>
      <w:sz w:val="32"/>
    </w:rPr>
  </w:style>
  <w:style w:type="paragraph" w:styleId="1099" w:customStyle="1">
    <w:name w:val="正文首行缩进1"/>
    <w:basedOn w:val="1100"/>
    <w:uiPriority w:val="0"/>
    <w:qFormat/>
    <w:pPr>
      <w:ind w:firstLine="100"/>
    </w:pPr>
  </w:style>
  <w:style w:type="paragraph" w:styleId="1100" w:customStyle="1">
    <w:name w:val="正文文本1"/>
    <w:basedOn w:val="1027"/>
    <w:next w:val="1027"/>
    <w:uiPriority w:val="0"/>
    <w:qFormat/>
    <w:rPr>
      <w:rFonts w:ascii="宋体"/>
      <w:sz w:val="28"/>
    </w:rPr>
  </w:style>
  <w:style w:type="paragraph" w:styleId="1101" w:customStyle="1">
    <w:name w:val="列出段落1"/>
    <w:basedOn w:val="1027"/>
    <w:uiPriority w:val="99"/>
    <w:qFormat/>
    <w:pPr>
      <w:ind w:firstLine="420"/>
    </w:pPr>
    <w:rPr>
      <w:rFonts w:ascii="Calibri" w:hAnsi="Calibri"/>
      <w:szCs w:val="22"/>
    </w:rPr>
  </w:style>
  <w:style w:type="character" w:styleId="1102" w:customStyle="1">
    <w:name w:val="正文文本 字符1"/>
    <w:link w:val="1039"/>
    <w:uiPriority w:val="99"/>
    <w:qFormat/>
    <w:rPr>
      <w:rFonts w:ascii="Times New Roman" w:hAnsi="Times New Roman" w:eastAsia="宋体" w:cs="Times New Roman"/>
      <w:sz w:val="24"/>
      <w:szCs w:val="24"/>
    </w:rPr>
  </w:style>
  <w:style w:type="character" w:styleId="1103" w:customStyle="1">
    <w:name w:val="标题 3 字符"/>
    <w:link w:val="1030"/>
    <w:uiPriority w:val="99"/>
    <w:qFormat/>
    <w:rPr>
      <w:rFonts w:ascii="Times New Roman" w:hAnsi="Times New Roman" w:eastAsia="宋体"/>
      <w:b/>
      <w:sz w:val="32"/>
    </w:rPr>
  </w:style>
  <w:style w:type="character" w:styleId="1104" w:customStyle="1">
    <w:name w:val="标题 4 字符"/>
    <w:link w:val="1031"/>
    <w:uiPriority w:val="99"/>
    <w:qFormat/>
    <w:rPr>
      <w:rFonts w:ascii="Arial" w:hAnsi="Arial" w:eastAsia="黑体"/>
      <w:b/>
      <w:sz w:val="20"/>
    </w:rPr>
  </w:style>
  <w:style w:type="character" w:styleId="1105" w:customStyle="1">
    <w:name w:val="标题 5 字符"/>
    <w:link w:val="1032"/>
    <w:uiPriority w:val="99"/>
    <w:qFormat/>
    <w:rPr>
      <w:rFonts w:ascii="Times New Roman" w:hAnsi="Times New Roman" w:eastAsia="宋体"/>
      <w:b/>
      <w:sz w:val="28"/>
    </w:rPr>
  </w:style>
  <w:style w:type="character" w:styleId="1106" w:customStyle="1">
    <w:name w:val="标题 6 字符"/>
    <w:link w:val="1033"/>
    <w:uiPriority w:val="99"/>
    <w:qFormat/>
    <w:rPr>
      <w:rFonts w:ascii="Arial" w:hAnsi="Arial" w:eastAsia="黑体"/>
      <w:b/>
      <w:sz w:val="24"/>
    </w:rPr>
  </w:style>
  <w:style w:type="character" w:styleId="1107" w:customStyle="1">
    <w:name w:val="标题 7 字符"/>
    <w:link w:val="1034"/>
    <w:uiPriority w:val="99"/>
    <w:qFormat/>
    <w:rPr>
      <w:rFonts w:ascii="Times New Roman" w:hAnsi="Times New Roman" w:eastAsia="宋体"/>
      <w:b/>
      <w:sz w:val="24"/>
    </w:rPr>
  </w:style>
  <w:style w:type="character" w:styleId="1108" w:customStyle="1">
    <w:name w:val="标题 8 字符"/>
    <w:link w:val="1035"/>
    <w:uiPriority w:val="99"/>
    <w:qFormat/>
    <w:rPr>
      <w:rFonts w:ascii="Arial" w:hAnsi="Arial" w:eastAsia="黑体"/>
      <w:sz w:val="24"/>
    </w:rPr>
  </w:style>
  <w:style w:type="character" w:styleId="1109" w:customStyle="1">
    <w:name w:val="标题 9 字符"/>
    <w:link w:val="1036"/>
    <w:uiPriority w:val="99"/>
    <w:qFormat/>
    <w:rPr>
      <w:rFonts w:ascii="Arial" w:hAnsi="Arial" w:eastAsia="黑体"/>
      <w:sz w:val="21"/>
    </w:rPr>
  </w:style>
  <w:style w:type="character" w:styleId="1110" w:customStyle="1">
    <w:name w:val="文档结构图 字符"/>
    <w:link w:val="1045"/>
    <w:uiPriority w:val="99"/>
    <w:semiHidden/>
    <w:qFormat/>
    <w:rPr>
      <w:rFonts w:ascii="Times New Roman" w:hAnsi="Times New Roman" w:eastAsia="宋体"/>
      <w:sz w:val="24"/>
      <w:shd w:val="clear" w:color="auto" w:fill="000080"/>
    </w:rPr>
  </w:style>
  <w:style w:type="character" w:styleId="1111" w:customStyle="1">
    <w:name w:val="批注文字 字符1"/>
    <w:link w:val="1046"/>
    <w:uiPriority w:val="0"/>
    <w:qFormat/>
    <w:rPr>
      <w:rFonts w:ascii="Times New Roman" w:hAnsi="Times New Roman" w:eastAsia="宋体" w:cs="Times New Roman"/>
      <w:sz w:val="24"/>
      <w:szCs w:val="24"/>
    </w:rPr>
  </w:style>
  <w:style w:type="character" w:styleId="1112" w:customStyle="1">
    <w:name w:val="称呼 字符"/>
    <w:link w:val="1047"/>
    <w:uiPriority w:val="99"/>
    <w:qFormat/>
    <w:rPr>
      <w:rFonts w:ascii="仿宋_GB2312" w:hAnsi="Times New Roman" w:eastAsia="仿宋_GB2312"/>
      <w:sz w:val="20"/>
    </w:rPr>
  </w:style>
  <w:style w:type="character" w:styleId="1113" w:customStyle="1">
    <w:name w:val="正文文本 3 字符"/>
    <w:link w:val="1048"/>
    <w:uiPriority w:val="99"/>
    <w:qFormat/>
    <w:rPr>
      <w:rFonts w:ascii="Times New Roman" w:hAnsi="Times New Roman" w:eastAsia="宋体"/>
      <w:sz w:val="16"/>
    </w:rPr>
  </w:style>
  <w:style w:type="character" w:styleId="1114" w:customStyle="1">
    <w:name w:val="正文文本缩进 字符"/>
    <w:link w:val="1049"/>
    <w:uiPriority w:val="99"/>
    <w:qFormat/>
    <w:rPr>
      <w:rFonts w:ascii="Times New Roman" w:hAnsi="Times New Roman" w:eastAsia="宋体"/>
      <w:sz w:val="24"/>
    </w:rPr>
  </w:style>
  <w:style w:type="character" w:styleId="1115" w:customStyle="1">
    <w:name w:val="纯文本 字符"/>
    <w:link w:val="1055"/>
    <w:uiPriority w:val="0"/>
    <w:qFormat/>
    <w:rPr>
      <w:rFonts w:ascii="宋体" w:hAnsi="Courier New" w:eastAsia="宋体"/>
      <w:sz w:val="21"/>
    </w:rPr>
  </w:style>
  <w:style w:type="character" w:styleId="1116" w:customStyle="1">
    <w:name w:val="日期 字符"/>
    <w:link w:val="1058"/>
    <w:uiPriority w:val="99"/>
    <w:qFormat/>
    <w:rPr>
      <w:rFonts w:ascii="Times New Roman" w:hAnsi="Times New Roman" w:eastAsia="宋体"/>
      <w:sz w:val="20"/>
    </w:rPr>
  </w:style>
  <w:style w:type="character" w:styleId="1117" w:customStyle="1">
    <w:name w:val="正文文本缩进 2 字符"/>
    <w:link w:val="1059"/>
    <w:uiPriority w:val="99"/>
    <w:qFormat/>
    <w:rPr>
      <w:rFonts w:ascii="宋体" w:hAnsi="宋体" w:eastAsia="宋体"/>
      <w:sz w:val="24"/>
    </w:rPr>
  </w:style>
  <w:style w:type="character" w:styleId="1118" w:customStyle="1">
    <w:name w:val="尾注文本 字符"/>
    <w:link w:val="1060"/>
    <w:uiPriority w:val="99"/>
    <w:semiHidden/>
    <w:qFormat/>
    <w:rPr>
      <w:rFonts w:ascii="Times New Roman" w:hAnsi="Times New Roman" w:eastAsia="宋体"/>
      <w:sz w:val="24"/>
    </w:rPr>
  </w:style>
  <w:style w:type="character" w:styleId="1119" w:customStyle="1">
    <w:name w:val="批注框文本 字符"/>
    <w:link w:val="1061"/>
    <w:uiPriority w:val="99"/>
    <w:semiHidden/>
    <w:qFormat/>
    <w:rPr>
      <w:rFonts w:ascii="Times New Roman" w:hAnsi="Times New Roman" w:eastAsia="宋体"/>
      <w:sz w:val="18"/>
    </w:rPr>
  </w:style>
  <w:style w:type="character" w:styleId="1120" w:customStyle="1">
    <w:name w:val="页脚 字符"/>
    <w:link w:val="1062"/>
    <w:uiPriority w:val="99"/>
    <w:qFormat/>
    <w:rPr>
      <w:rFonts w:cs="Times New Roman"/>
      <w:sz w:val="18"/>
      <w:szCs w:val="18"/>
    </w:rPr>
  </w:style>
  <w:style w:type="character" w:styleId="1121" w:customStyle="1">
    <w:name w:val="页眉 字符"/>
    <w:link w:val="1063"/>
    <w:uiPriority w:val="0"/>
    <w:qFormat/>
    <w:rPr>
      <w:sz w:val="18"/>
    </w:rPr>
  </w:style>
  <w:style w:type="character" w:styleId="1122" w:customStyle="1">
    <w:name w:val="签名 字符"/>
    <w:link w:val="1064"/>
    <w:uiPriority w:val="99"/>
    <w:qFormat/>
    <w:rPr>
      <w:rFonts w:ascii="Times New Roman" w:hAnsi="Times New Roman" w:eastAsia="仿宋_GB2312"/>
      <w:sz w:val="20"/>
    </w:rPr>
  </w:style>
  <w:style w:type="character" w:styleId="1123" w:customStyle="1">
    <w:name w:val="副标题 字符"/>
    <w:link w:val="1069"/>
    <w:uiPriority w:val="99"/>
    <w:qFormat/>
    <w:rPr>
      <w:rFonts w:ascii="Cambria" w:hAnsi="Cambria" w:eastAsia="宋体"/>
      <w:i/>
      <w:spacing w:val="13"/>
      <w:sz w:val="24"/>
      <w:lang w:eastAsia="en-US"/>
    </w:rPr>
  </w:style>
  <w:style w:type="character" w:styleId="1124" w:customStyle="1">
    <w:name w:val="脚注文本 字符"/>
    <w:link w:val="1071"/>
    <w:uiPriority w:val="99"/>
    <w:semiHidden/>
    <w:qFormat/>
    <w:rPr>
      <w:rFonts w:ascii="Times New Roman" w:hAnsi="Times New Roman" w:eastAsia="宋体"/>
      <w:sz w:val="18"/>
    </w:rPr>
  </w:style>
  <w:style w:type="character" w:styleId="1125" w:customStyle="1">
    <w:name w:val="正文文本缩进 3 字符"/>
    <w:link w:val="1073"/>
    <w:uiPriority w:val="99"/>
    <w:qFormat/>
    <w:rPr>
      <w:rFonts w:ascii="Times New Roman" w:hAnsi="Times New Roman" w:eastAsia="宋体"/>
      <w:b/>
      <w:sz w:val="20"/>
    </w:rPr>
  </w:style>
  <w:style w:type="character" w:styleId="1126" w:customStyle="1">
    <w:name w:val="正文文本 2 字符"/>
    <w:link w:val="1077"/>
    <w:uiPriority w:val="99"/>
    <w:qFormat/>
    <w:rPr>
      <w:rFonts w:ascii="Times New Roman" w:hAnsi="Times New Roman" w:eastAsia="宋体"/>
      <w:b/>
      <w:sz w:val="20"/>
    </w:rPr>
  </w:style>
  <w:style w:type="character" w:styleId="1127" w:customStyle="1">
    <w:name w:val="HTML 预设格式 字符"/>
    <w:link w:val="1078"/>
    <w:uiPriority w:val="99"/>
    <w:qFormat/>
    <w:rPr>
      <w:rFonts w:ascii="宋体" w:hAnsi="宋体" w:eastAsia="宋体"/>
      <w:sz w:val="24"/>
    </w:rPr>
  </w:style>
  <w:style w:type="character" w:styleId="1128" w:customStyle="1">
    <w:name w:val="标题 字符"/>
    <w:link w:val="1081"/>
    <w:uiPriority w:val="99"/>
    <w:qFormat/>
    <w:rPr>
      <w:rFonts w:ascii="Times New Roman" w:hAnsi="Times New Roman" w:eastAsia="黑体"/>
      <w:b/>
      <w:sz w:val="20"/>
      <w:lang w:val="en-GB"/>
    </w:rPr>
  </w:style>
  <w:style w:type="character" w:styleId="1129" w:customStyle="1">
    <w:name w:val="批注主题 字符"/>
    <w:link w:val="1082"/>
    <w:uiPriority w:val="99"/>
    <w:semiHidden/>
    <w:qFormat/>
    <w:rPr>
      <w:rFonts w:ascii="Times New Roman" w:hAnsi="Times New Roman" w:eastAsia="宋体" w:cs="Times New Roman"/>
      <w:b/>
      <w:sz w:val="24"/>
      <w:szCs w:val="24"/>
    </w:rPr>
  </w:style>
  <w:style w:type="character" w:styleId="1130" w:customStyle="1">
    <w:name w:val="正文文本首行缩进 字符"/>
    <w:link w:val="1083"/>
    <w:uiPriority w:val="99"/>
    <w:qFormat/>
    <w:rPr>
      <w:rFonts w:ascii="Times New Roman" w:hAnsi="Times New Roman" w:eastAsia="宋体" w:cs="Times New Roman"/>
      <w:sz w:val="24"/>
      <w:szCs w:val="24"/>
    </w:rPr>
  </w:style>
  <w:style w:type="character" w:styleId="1131" w:customStyle="1">
    <w:name w:val="正文文本首行缩进 2 字符"/>
    <w:link w:val="1084"/>
    <w:uiPriority w:val="99"/>
    <w:qFormat/>
    <w:rPr>
      <w:rFonts w:ascii="宋体" w:hAnsi="宋体" w:eastAsia="宋体"/>
      <w:sz w:val="20"/>
    </w:rPr>
  </w:style>
  <w:style w:type="paragraph" w:styleId="1132" w:customStyle="1">
    <w:name w:val="首行缩进"/>
    <w:basedOn w:val="1027"/>
    <w:uiPriority w:val="0"/>
    <w:qFormat/>
    <w:pPr>
      <w:ind w:left="420" w:firstLine="480"/>
      <w:spacing w:line="400" w:lineRule="exact"/>
    </w:pPr>
    <w:rPr>
      <w:szCs w:val="20"/>
    </w:rPr>
  </w:style>
  <w:style w:type="character" w:styleId="1133" w:customStyle="1">
    <w:name w:val="方案文档 Char Char"/>
    <w:uiPriority w:val="99"/>
    <w:qFormat/>
    <w:rPr>
      <w:rFonts w:ascii="宋体" w:hAnsi="宋体" w:eastAsia="宋体"/>
      <w:sz w:val="24"/>
      <w:lang w:val="zh-CN" w:eastAsia="zh-CN"/>
    </w:rPr>
  </w:style>
  <w:style w:type="character" w:styleId="1134" w:customStyle="1">
    <w:name w:val="textcontents"/>
    <w:uiPriority w:val="99"/>
    <w:qFormat/>
  </w:style>
  <w:style w:type="character" w:styleId="1135" w:customStyle="1">
    <w:name w:val="Char Char28"/>
    <w:uiPriority w:val="99"/>
    <w:qFormat/>
    <w:rPr>
      <w:rFonts w:ascii="Arial" w:hAnsi="Arial" w:eastAsia="黑体"/>
      <w:b/>
      <w:sz w:val="32"/>
    </w:rPr>
  </w:style>
  <w:style w:type="character" w:styleId="1136" w:customStyle="1">
    <w:name w:val="Char Char23"/>
    <w:uiPriority w:val="99"/>
    <w:qFormat/>
    <w:rPr>
      <w:rFonts w:ascii="Arial" w:hAnsi="Arial" w:eastAsia="黑体"/>
      <w:b/>
      <w:sz w:val="24"/>
    </w:rPr>
  </w:style>
  <w:style w:type="character" w:styleId="1137" w:customStyle="1">
    <w:name w:val="纯文本 Char Char Char1"/>
    <w:uiPriority w:val="99"/>
    <w:qFormat/>
    <w:rPr>
      <w:rFonts w:ascii="宋体" w:hAnsi="Courier New" w:eastAsia="宋体"/>
      <w:sz w:val="21"/>
      <w:lang w:val="en-US" w:eastAsia="zh-CN"/>
    </w:rPr>
  </w:style>
  <w:style w:type="character" w:styleId="1138" w:customStyle="1">
    <w:name w:val="华宇段落1 Char Char Char"/>
    <w:uiPriority w:val="99"/>
    <w:qFormat/>
    <w:rPr>
      <w:rFonts w:eastAsia="宋体"/>
      <w:sz w:val="24"/>
      <w:lang w:val="en-US" w:eastAsia="zh-CN"/>
    </w:rPr>
  </w:style>
  <w:style w:type="character" w:styleId="1139" w:customStyle="1">
    <w:name w:val="Char Char6"/>
    <w:uiPriority w:val="99"/>
    <w:qFormat/>
    <w:rPr>
      <w:rFonts w:eastAsia="宋体"/>
      <w:sz w:val="24"/>
      <w:lang w:val="en-US" w:eastAsia="zh-CN"/>
    </w:rPr>
  </w:style>
  <w:style w:type="character" w:styleId="1140" w:customStyle="1">
    <w:name w:val="标准文本 Char"/>
    <w:uiPriority w:val="99"/>
    <w:qFormat/>
    <w:rPr>
      <w:rFonts w:eastAsia="宋体"/>
      <w:sz w:val="24"/>
      <w:lang w:val="en-US" w:eastAsia="zh-CN"/>
    </w:rPr>
  </w:style>
  <w:style w:type="character" w:styleId="1141" w:customStyle="1">
    <w:name w:val="listbenefit"/>
    <w:uiPriority w:val="99"/>
    <w:qFormat/>
  </w:style>
  <w:style w:type="character" w:styleId="1142" w:customStyle="1">
    <w:name w:val="Char Char18"/>
    <w:uiPriority w:val="99"/>
    <w:qFormat/>
    <w:rPr>
      <w:rFonts w:eastAsia="宋体"/>
      <w:b/>
      <w:sz w:val="24"/>
      <w:lang w:val="en-US" w:eastAsia="zh-CN"/>
    </w:rPr>
  </w:style>
  <w:style w:type="character" w:styleId="1143" w:customStyle="1">
    <w:name w:val="明显强调1"/>
    <w:uiPriority w:val="99"/>
    <w:qFormat/>
    <w:rPr>
      <w:b/>
    </w:rPr>
  </w:style>
  <w:style w:type="character" w:styleId="1144" w:customStyle="1">
    <w:name w:val="font5 Char Char"/>
    <w:uiPriority w:val="99"/>
    <w:qFormat/>
    <w:rPr>
      <w:rFonts w:ascii="宋体" w:hAnsi="宋体" w:eastAsia="宋体"/>
      <w:sz w:val="28"/>
      <w:lang w:val="en-US" w:eastAsia="zh-CN"/>
    </w:rPr>
  </w:style>
  <w:style w:type="character" w:styleId="1145" w:customStyle="1">
    <w:name w:val="Char Char11"/>
    <w:uiPriority w:val="99"/>
    <w:qFormat/>
    <w:rPr>
      <w:rFonts w:ascii="宋体" w:hAnsi="宋体" w:eastAsia="宋体"/>
      <w:sz w:val="24"/>
      <w:lang w:val="en-US" w:eastAsia="zh-CN"/>
    </w:rPr>
  </w:style>
  <w:style w:type="character" w:styleId="1146" w:customStyle="1">
    <w:name w:val="Char Char10"/>
    <w:uiPriority w:val="99"/>
    <w:qFormat/>
    <w:rPr>
      <w:rFonts w:eastAsia="宋体"/>
      <w:b/>
      <w:sz w:val="24"/>
      <w:lang w:val="en-US" w:eastAsia="zh-CN"/>
    </w:rPr>
  </w:style>
  <w:style w:type="character" w:styleId="1147" w:customStyle="1">
    <w:name w:val="特点 Char1"/>
    <w:uiPriority w:val="99"/>
    <w:qFormat/>
    <w:rPr>
      <w:rFonts w:eastAsia="宋体"/>
      <w:sz w:val="21"/>
      <w:lang w:val="en-US" w:eastAsia="zh-CN"/>
    </w:rPr>
  </w:style>
  <w:style w:type="character" w:styleId="1148" w:customStyle="1">
    <w:name w:val="列表段落 字符"/>
    <w:link w:val="1149"/>
    <w:uiPriority w:val="99"/>
    <w:qFormat/>
    <w:rPr>
      <w:rFonts w:ascii="Calibri" w:hAnsi="Calibri"/>
    </w:rPr>
  </w:style>
  <w:style w:type="paragraph" w:styleId="1149">
    <w:name w:val="List Paragraph"/>
    <w:basedOn w:val="1027"/>
    <w:link w:val="1148"/>
    <w:uiPriority w:val="99"/>
    <w:qFormat/>
    <w:pPr>
      <w:ind w:firstLine="420"/>
      <w:spacing w:line="360" w:lineRule="auto"/>
    </w:pPr>
    <w:rPr>
      <w:rFonts w:ascii="Calibri" w:hAnsi="Calibri"/>
      <w:sz w:val="20"/>
      <w:szCs w:val="20"/>
    </w:rPr>
  </w:style>
  <w:style w:type="character" w:styleId="1150" w:customStyle="1">
    <w:name w:val="样式 非加粗"/>
    <w:uiPriority w:val="99"/>
    <w:qFormat/>
    <w:rPr>
      <w:rFonts w:eastAsia="宋体"/>
      <w:sz w:val="28"/>
    </w:rPr>
  </w:style>
  <w:style w:type="character" w:styleId="1151" w:customStyle="1">
    <w:name w:val="明显引用 Char"/>
    <w:uiPriority w:val="99"/>
    <w:qFormat/>
    <w:rPr>
      <w:rFonts w:ascii="Calibri" w:hAnsi="Calibri" w:eastAsia="宋体"/>
      <w:b/>
      <w:i/>
      <w:sz w:val="22"/>
      <w:lang w:val="en-US" w:eastAsia="en-US"/>
    </w:rPr>
  </w:style>
  <w:style w:type="character" w:styleId="1152" w:customStyle="1">
    <w:name w:val="content"/>
    <w:uiPriority w:val="99"/>
    <w:qFormat/>
  </w:style>
  <w:style w:type="character" w:styleId="1153" w:customStyle="1">
    <w:name w:val="Char Char14"/>
    <w:uiPriority w:val="99"/>
    <w:qFormat/>
    <w:rPr>
      <w:rFonts w:eastAsia="黑体"/>
      <w:b/>
      <w:sz w:val="28"/>
      <w:lang w:val="en-GB" w:eastAsia="zh-CN"/>
    </w:rPr>
  </w:style>
  <w:style w:type="character" w:styleId="1154" w:customStyle="1">
    <w:name w:val="标准小四 Char Char"/>
    <w:uiPriority w:val="99"/>
    <w:qFormat/>
    <w:rPr>
      <w:rFonts w:ascii="Arial" w:hAnsi="Arial" w:eastAsia="宋体"/>
      <w:sz w:val="21"/>
      <w:lang w:val="en-US" w:eastAsia="zh-CN"/>
    </w:rPr>
  </w:style>
  <w:style w:type="character" w:styleId="1155" w:customStyle="1">
    <w:name w:val="华宇段落1 Char Char"/>
    <w:uiPriority w:val="99"/>
    <w:qFormat/>
    <w:rPr>
      <w:rFonts w:eastAsia="宋体"/>
      <w:sz w:val="24"/>
      <w:lang w:val="en-US" w:eastAsia="zh-CN"/>
    </w:rPr>
  </w:style>
  <w:style w:type="character" w:styleId="1156" w:customStyle="1">
    <w:name w:val="书籍标题1"/>
    <w:uiPriority w:val="99"/>
    <w:qFormat/>
    <w:rPr>
      <w:i/>
      <w:smallCaps/>
      <w:spacing w:val="5"/>
    </w:rPr>
  </w:style>
  <w:style w:type="character" w:styleId="1157" w:customStyle="1">
    <w:name w:val="标准文本 Char Char"/>
    <w:uiPriority w:val="99"/>
    <w:qFormat/>
    <w:rPr>
      <w:rFonts w:eastAsia="宋体"/>
      <w:sz w:val="24"/>
      <w:lang w:val="en-US" w:eastAsia="zh-CN"/>
    </w:rPr>
  </w:style>
  <w:style w:type="character" w:styleId="1158" w:customStyle="1">
    <w:name w:val="纯文本 Char Char"/>
    <w:uiPriority w:val="99"/>
    <w:qFormat/>
    <w:rPr>
      <w:rFonts w:ascii="宋体" w:hAnsi="Courier New" w:eastAsia="宋体"/>
      <w:sz w:val="21"/>
      <w:lang w:val="en-US" w:eastAsia="zh-CN"/>
    </w:rPr>
  </w:style>
  <w:style w:type="character" w:styleId="1159" w:customStyle="1">
    <w:name w:val="h Char Char"/>
    <w:uiPriority w:val="99"/>
    <w:qFormat/>
    <w:rPr>
      <w:rFonts w:eastAsia="宋体"/>
      <w:sz w:val="18"/>
      <w:lang w:val="en-US" w:eastAsia="zh-CN"/>
    </w:rPr>
  </w:style>
  <w:style w:type="character" w:styleId="1160" w:customStyle="1">
    <w:name w:val="标题 Char1"/>
    <w:uiPriority w:val="99"/>
    <w:qFormat/>
    <w:rPr>
      <w:rFonts w:ascii="Cambria" w:eastAsia="宋体"/>
      <w:b/>
      <w:sz w:val="32"/>
    </w:rPr>
  </w:style>
  <w:style w:type="character" w:styleId="1161" w:customStyle="1">
    <w:name w:val="Char Char34"/>
    <w:uiPriority w:val="99"/>
    <w:qFormat/>
    <w:rPr>
      <w:rFonts w:eastAsia="宋体"/>
      <w:b/>
      <w:sz w:val="44"/>
      <w:lang w:val="en-US" w:eastAsia="zh-CN"/>
    </w:rPr>
  </w:style>
  <w:style w:type="character" w:styleId="1162" w:customStyle="1">
    <w:name w:val="不明显参考1"/>
    <w:uiPriority w:val="99"/>
    <w:qFormat/>
    <w:rPr>
      <w:smallCaps/>
    </w:rPr>
  </w:style>
  <w:style w:type="character" w:styleId="1163" w:customStyle="1">
    <w:name w:val="Intense Quote Char"/>
    <w:link w:val="1164"/>
    <w:uiPriority w:val="99"/>
    <w:qFormat/>
    <w:rPr>
      <w:rFonts w:ascii="Calibri" w:hAnsi="Calibri" w:eastAsia="宋体"/>
      <w:b/>
      <w:i/>
      <w:sz w:val="22"/>
      <w:lang w:eastAsia="en-US"/>
    </w:rPr>
  </w:style>
  <w:style w:type="paragraph" w:styleId="1164" w:customStyle="1">
    <w:name w:val="明显引用1"/>
    <w:basedOn w:val="1027"/>
    <w:next w:val="1027"/>
    <w:link w:val="1163"/>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165" w:customStyle="1">
    <w:name w:val="font41"/>
    <w:uiPriority w:val="99"/>
    <w:qFormat/>
    <w:rPr>
      <w:rFonts w:ascii="宋体" w:hAnsi="宋体" w:eastAsia="宋体" w:cs="宋体"/>
      <w:color w:val="000000"/>
      <w:sz w:val="18"/>
      <w:szCs w:val="18"/>
      <w:u w:val="none"/>
    </w:rPr>
  </w:style>
  <w:style w:type="character" w:styleId="1166" w:customStyle="1">
    <w:name w:val="Title1 Char"/>
    <w:uiPriority w:val="99"/>
    <w:qFormat/>
    <w:rPr>
      <w:rFonts w:eastAsia="宋体"/>
      <w:b/>
      <w:sz w:val="44"/>
      <w:lang w:val="en-US" w:eastAsia="zh-CN"/>
    </w:rPr>
  </w:style>
  <w:style w:type="character" w:styleId="1167" w:customStyle="1">
    <w:name w:val="font21"/>
    <w:uiPriority w:val="99"/>
    <w:qFormat/>
    <w:rPr>
      <w:rFonts w:ascii="宋体" w:hAnsi="宋体" w:eastAsia="宋体"/>
      <w:color w:val="000000"/>
      <w:sz w:val="20"/>
      <w:u w:val="none"/>
    </w:rPr>
  </w:style>
  <w:style w:type="character" w:styleId="1168" w:customStyle="1">
    <w:name w:val="Char Char19"/>
    <w:uiPriority w:val="99"/>
    <w:qFormat/>
    <w:rPr>
      <w:rFonts w:ascii="Arial" w:hAnsi="Arial" w:eastAsia="黑体"/>
      <w:b/>
      <w:sz w:val="24"/>
      <w:lang w:val="en-US" w:eastAsia="zh-CN"/>
    </w:rPr>
  </w:style>
  <w:style w:type="character" w:styleId="1169" w:customStyle="1">
    <w:name w:val="style131"/>
    <w:uiPriority w:val="99"/>
    <w:qFormat/>
    <w:rPr>
      <w:sz w:val="18"/>
    </w:rPr>
  </w:style>
  <w:style w:type="character" w:styleId="1170" w:customStyle="1">
    <w:name w:val="Char Char4"/>
    <w:uiPriority w:val="99"/>
    <w:qFormat/>
    <w:rPr>
      <w:rFonts w:ascii="方正大黑简体" w:eastAsia="方正大黑简体"/>
      <w:position w:val="6"/>
      <w:sz w:val="30"/>
      <w:lang w:val="en-US" w:eastAsia="zh-CN"/>
    </w:rPr>
  </w:style>
  <w:style w:type="character" w:styleId="1171" w:customStyle="1">
    <w:name w:val="Char Char32"/>
    <w:uiPriority w:val="99"/>
    <w:qFormat/>
    <w:rPr>
      <w:rFonts w:eastAsia="宋体"/>
      <w:b/>
      <w:sz w:val="32"/>
      <w:lang w:val="en-US" w:eastAsia="zh-CN"/>
    </w:rPr>
  </w:style>
  <w:style w:type="character" w:styleId="1172" w:customStyle="1">
    <w:name w:val="case31"/>
    <w:uiPriority w:val="99"/>
    <w:qFormat/>
    <w:rPr>
      <w:sz w:val="21"/>
    </w:rPr>
  </w:style>
  <w:style w:type="character" w:styleId="1173" w:customStyle="1">
    <w:name w:val="标准小四 Char"/>
    <w:uiPriority w:val="99"/>
    <w:qFormat/>
    <w:rPr>
      <w:rFonts w:ascii="Arial" w:hAnsi="Arial" w:eastAsia="宋体"/>
      <w:sz w:val="21"/>
      <w:lang w:val="en-US" w:eastAsia="zh-CN"/>
    </w:rPr>
  </w:style>
  <w:style w:type="character" w:styleId="1174" w:customStyle="1">
    <w:name w:val="apple-style-span"/>
    <w:uiPriority w:val="99"/>
    <w:qFormat/>
  </w:style>
  <w:style w:type="character" w:styleId="1175" w:customStyle="1">
    <w:name w:val="纯文本 Char Char Char"/>
    <w:uiPriority w:val="99"/>
    <w:qFormat/>
    <w:rPr>
      <w:rFonts w:ascii="宋体" w:hAnsi="Courier New" w:eastAsia="宋体"/>
      <w:sz w:val="21"/>
      <w:lang w:val="en-US" w:eastAsia="zh-CN"/>
    </w:rPr>
  </w:style>
  <w:style w:type="character" w:styleId="1176" w:customStyle="1">
    <w:name w:val="2nd level Char"/>
    <w:uiPriority w:val="99"/>
    <w:qFormat/>
    <w:rPr>
      <w:rFonts w:ascii="Arial" w:hAnsi="Arial" w:eastAsia="黑体"/>
      <w:b/>
      <w:sz w:val="32"/>
      <w:lang w:val="en-US" w:eastAsia="zh-CN"/>
    </w:rPr>
  </w:style>
  <w:style w:type="character" w:styleId="1177" w:customStyle="1">
    <w:name w:val="A2"/>
    <w:uiPriority w:val="99"/>
    <w:qFormat/>
    <w:rPr>
      <w:color w:val="000000"/>
      <w:sz w:val="18"/>
    </w:rPr>
  </w:style>
  <w:style w:type="character" w:styleId="1178" w:customStyle="1">
    <w:name w:val="Char Char30"/>
    <w:uiPriority w:val="99"/>
    <w:qFormat/>
    <w:rPr>
      <w:rFonts w:eastAsia="宋体"/>
      <w:b/>
      <w:sz w:val="28"/>
      <w:lang w:val="en-US" w:eastAsia="zh-CN"/>
    </w:rPr>
  </w:style>
  <w:style w:type="character" w:styleId="1179" w:customStyle="1">
    <w:name w:val="小四 段落 宋体 Char1"/>
    <w:uiPriority w:val="99"/>
    <w:qFormat/>
    <w:rPr>
      <w:rFonts w:eastAsia="宋体"/>
      <w:sz w:val="24"/>
      <w:lang w:val="en-US" w:eastAsia="zh-CN"/>
    </w:rPr>
  </w:style>
  <w:style w:type="character" w:styleId="1180" w:customStyle="1">
    <w:name w:val="普通文字 Char Char3"/>
    <w:uiPriority w:val="99"/>
    <w:qFormat/>
    <w:rPr>
      <w:rFonts w:ascii="宋体" w:hAnsi="Courier New" w:eastAsia="宋体"/>
      <w:sz w:val="21"/>
      <w:lang w:val="en-US" w:eastAsia="zh-CN"/>
    </w:rPr>
  </w:style>
  <w:style w:type="character" w:styleId="1181" w:customStyle="1">
    <w:name w:val="小四 段落 宋体 Char Char Char Char Char"/>
    <w:uiPriority w:val="99"/>
    <w:qFormat/>
    <w:rPr>
      <w:rFonts w:eastAsia="宋体"/>
      <w:sz w:val="24"/>
      <w:lang w:val="en-US" w:eastAsia="zh-CN"/>
    </w:rPr>
  </w:style>
  <w:style w:type="character" w:styleId="1182" w:customStyle="1">
    <w:name w:val="正文 + 宋体 Char"/>
    <w:uiPriority w:val="99"/>
    <w:qFormat/>
    <w:rPr>
      <w:rFonts w:eastAsia="宋体"/>
      <w:sz w:val="24"/>
      <w:lang w:val="en-US" w:eastAsia="zh-CN"/>
    </w:rPr>
  </w:style>
  <w:style w:type="character" w:styleId="1183" w:customStyle="1">
    <w:name w:val="Char Char5"/>
    <w:uiPriority w:val="99"/>
    <w:qFormat/>
    <w:rPr>
      <w:rFonts w:eastAsia="宋体"/>
      <w:sz w:val="24"/>
      <w:lang w:val="en-US" w:eastAsia="zh-CN"/>
    </w:rPr>
  </w:style>
  <w:style w:type="character" w:styleId="1184" w:customStyle="1">
    <w:name w:val="样式 首行缩进:  2 字符 Char"/>
    <w:uiPriority w:val="99"/>
    <w:qFormat/>
    <w:rPr>
      <w:rFonts w:eastAsia="宋体"/>
      <w:sz w:val="24"/>
      <w:lang w:val="en-US" w:eastAsia="zh-CN"/>
    </w:rPr>
  </w:style>
  <w:style w:type="character" w:styleId="1185" w:customStyle="1">
    <w:name w:val="已访问的超链接1"/>
    <w:uiPriority w:val="99"/>
    <w:qFormat/>
    <w:rPr>
      <w:color w:val="auto"/>
      <w:u w:val="none"/>
    </w:rPr>
  </w:style>
  <w:style w:type="character" w:styleId="1186" w:customStyle="1">
    <w:name w:val="正文文本 字符"/>
    <w:uiPriority w:val="99"/>
    <w:semiHidden/>
    <w:qFormat/>
    <w:rPr>
      <w:rFonts w:ascii="Times New Roman" w:hAnsi="Times New Roman" w:eastAsia="宋体"/>
      <w:sz w:val="24"/>
    </w:rPr>
  </w:style>
  <w:style w:type="character" w:styleId="1187" w:customStyle="1">
    <w:name w:val="normalfont1"/>
    <w:uiPriority w:val="99"/>
    <w:qFormat/>
    <w:rPr>
      <w:rFonts w:ascii="??" w:hAnsi="??"/>
      <w:sz w:val="18"/>
      <w:u w:val="none"/>
    </w:rPr>
  </w:style>
  <w:style w:type="character" w:styleId="1188" w:customStyle="1">
    <w:name w:val="小四 段落 宋体 Char Char Char Char1"/>
    <w:uiPriority w:val="99"/>
    <w:qFormat/>
    <w:rPr>
      <w:rFonts w:eastAsia="宋体"/>
      <w:sz w:val="24"/>
      <w:lang w:val="en-US" w:eastAsia="zh-CN"/>
    </w:rPr>
  </w:style>
  <w:style w:type="character" w:styleId="1189" w:customStyle="1">
    <w:name w:val="Quote Char"/>
    <w:link w:val="1190"/>
    <w:uiPriority w:val="99"/>
    <w:qFormat/>
    <w:rPr>
      <w:rFonts w:ascii="Calibri" w:hAnsi="Calibri" w:eastAsia="宋体"/>
      <w:i/>
      <w:sz w:val="22"/>
      <w:lang w:eastAsia="en-US"/>
    </w:rPr>
  </w:style>
  <w:style w:type="paragraph" w:styleId="1190" w:customStyle="1">
    <w:name w:val="引用1"/>
    <w:basedOn w:val="1027"/>
    <w:next w:val="1027"/>
    <w:link w:val="1189"/>
    <w:uiPriority w:val="99"/>
    <w:qFormat/>
    <w:pPr>
      <w:ind w:left="360" w:right="360"/>
      <w:jc w:val="left"/>
      <w:spacing w:before="200" w:line="276" w:lineRule="auto"/>
      <w:widowControl/>
    </w:pPr>
    <w:rPr>
      <w:rFonts w:ascii="Calibri" w:hAnsi="Calibri"/>
      <w:i/>
      <w:sz w:val="22"/>
      <w:szCs w:val="20"/>
      <w:lang w:eastAsia="en-US"/>
    </w:rPr>
  </w:style>
  <w:style w:type="character" w:styleId="1191" w:customStyle="1">
    <w:name w:val="样式 宋体 小四"/>
    <w:uiPriority w:val="99"/>
    <w:qFormat/>
    <w:rPr>
      <w:rFonts w:ascii="宋体" w:eastAsia="宋体"/>
      <w:sz w:val="24"/>
    </w:rPr>
  </w:style>
  <w:style w:type="character" w:styleId="1192" w:customStyle="1">
    <w:name w:val="标题 3 Char Char"/>
    <w:uiPriority w:val="99"/>
    <w:qFormat/>
    <w:rPr>
      <w:rFonts w:eastAsia="仿宋_GB2312"/>
      <w:b/>
      <w:sz w:val="32"/>
      <w:lang w:val="en-US" w:eastAsia="zh-CN"/>
    </w:rPr>
  </w:style>
  <w:style w:type="character" w:styleId="1193" w:customStyle="1">
    <w:name w:val="font111"/>
    <w:uiPriority w:val="99"/>
    <w:qFormat/>
    <w:rPr>
      <w:rFonts w:ascii="宋体" w:hAnsi="宋体" w:eastAsia="宋体"/>
      <w:color w:val="000000"/>
      <w:sz w:val="20"/>
      <w:u w:val="none"/>
    </w:rPr>
  </w:style>
  <w:style w:type="character" w:styleId="1194" w:customStyle="1">
    <w:name w:val="标准文本 Char Char Char"/>
    <w:uiPriority w:val="99"/>
    <w:qFormat/>
    <w:rPr>
      <w:rFonts w:eastAsia="宋体"/>
      <w:sz w:val="24"/>
      <w:lang w:val="en-US" w:eastAsia="zh-CN"/>
    </w:rPr>
  </w:style>
  <w:style w:type="character" w:styleId="1195" w:customStyle="1">
    <w:name w:val="Char Char24"/>
    <w:uiPriority w:val="99"/>
    <w:qFormat/>
    <w:rPr>
      <w:b/>
      <w:sz w:val="28"/>
    </w:rPr>
  </w:style>
  <w:style w:type="character" w:styleId="1196" w:customStyle="1">
    <w:name w:val="样式 首行缩进:  2 字符 Char Char Char"/>
    <w:uiPriority w:val="99"/>
    <w:qFormat/>
    <w:rPr>
      <w:rFonts w:eastAsia="宋体"/>
      <w:sz w:val="24"/>
      <w:lang w:val="en-US" w:eastAsia="zh-CN"/>
    </w:rPr>
  </w:style>
  <w:style w:type="character" w:styleId="1197" w:customStyle="1">
    <w:name w:val="Char Char31"/>
    <w:uiPriority w:val="99"/>
    <w:qFormat/>
    <w:rPr>
      <w:rFonts w:ascii="Arial" w:hAnsi="Arial" w:eastAsia="黑体"/>
      <w:b/>
      <w:sz w:val="28"/>
      <w:lang w:val="en-US" w:eastAsia="zh-CN"/>
    </w:rPr>
  </w:style>
  <w:style w:type="character" w:styleId="1198" w:customStyle="1">
    <w:name w:val="小四 段落 宋体 Char Char Char1"/>
    <w:uiPriority w:val="99"/>
    <w:qFormat/>
    <w:rPr>
      <w:rFonts w:ascii="宋体" w:hAnsi="宋体" w:eastAsia="宋体"/>
      <w:sz w:val="24"/>
      <w:lang w:val="en-US" w:eastAsia="zh-CN"/>
    </w:rPr>
  </w:style>
  <w:style w:type="character" w:styleId="1199" w:customStyle="1">
    <w:name w:val="Char Char7"/>
    <w:uiPriority w:val="99"/>
    <w:qFormat/>
    <w:rPr>
      <w:rFonts w:eastAsia="宋体"/>
      <w:b/>
      <w:sz w:val="24"/>
      <w:lang w:val="en-US" w:eastAsia="zh-CN"/>
    </w:rPr>
  </w:style>
  <w:style w:type="character" w:styleId="1200" w:customStyle="1">
    <w:name w:val="concon"/>
    <w:uiPriority w:val="99"/>
    <w:qFormat/>
  </w:style>
  <w:style w:type="character" w:styleId="1201" w:customStyle="1">
    <w:name w:val="小四 段落 宋体 Char Char Char Char Char Char"/>
    <w:uiPriority w:val="99"/>
    <w:qFormat/>
    <w:rPr>
      <w:rFonts w:eastAsia="宋体"/>
      <w:sz w:val="24"/>
      <w:lang w:val="en-US" w:eastAsia="zh-CN"/>
    </w:rPr>
  </w:style>
  <w:style w:type="character" w:styleId="1202" w:customStyle="1">
    <w:name w:val="标题 3 Char1"/>
    <w:uiPriority w:val="99"/>
    <w:qFormat/>
    <w:rPr>
      <w:rFonts w:eastAsia="宋体"/>
      <w:b/>
      <w:sz w:val="32"/>
      <w:lang w:val="en-US" w:eastAsia="zh-CN"/>
    </w:rPr>
  </w:style>
  <w:style w:type="character" w:styleId="1203" w:customStyle="1">
    <w:name w:val="Char Char26"/>
    <w:uiPriority w:val="99"/>
    <w:qFormat/>
    <w:rPr>
      <w:b/>
      <w:sz w:val="32"/>
    </w:rPr>
  </w:style>
  <w:style w:type="character" w:styleId="1204" w:customStyle="1">
    <w:name w:val="Char Char33"/>
    <w:uiPriority w:val="99"/>
    <w:qFormat/>
    <w:rPr>
      <w:rFonts w:ascii="Arial" w:hAnsi="Arial" w:eastAsia="黑体"/>
      <w:b/>
      <w:sz w:val="32"/>
      <w:lang w:val="en-US" w:eastAsia="zh-CN"/>
    </w:rPr>
  </w:style>
  <w:style w:type="character" w:styleId="1205" w:customStyle="1">
    <w:name w:val="小四 段落 宋体 Char Char Char Char Char Char Char"/>
    <w:uiPriority w:val="99"/>
    <w:qFormat/>
    <w:rPr>
      <w:rFonts w:eastAsia="宋体"/>
      <w:sz w:val="24"/>
      <w:lang w:val="en-US" w:eastAsia="zh-CN"/>
    </w:rPr>
  </w:style>
  <w:style w:type="character" w:styleId="1206" w:customStyle="1">
    <w:name w:val="Char Char20"/>
    <w:uiPriority w:val="99"/>
    <w:qFormat/>
    <w:rPr>
      <w:rFonts w:ascii="Arial" w:hAnsi="Arial" w:eastAsia="黑体"/>
      <w:sz w:val="21"/>
    </w:rPr>
  </w:style>
  <w:style w:type="character" w:styleId="1207" w:customStyle="1">
    <w:name w:val="Char Char17"/>
    <w:uiPriority w:val="99"/>
    <w:qFormat/>
    <w:rPr>
      <w:rFonts w:ascii="宋体" w:hAnsi="Courier New"/>
      <w:sz w:val="21"/>
    </w:rPr>
  </w:style>
  <w:style w:type="character" w:styleId="1208" w:customStyle="1">
    <w:name w:val="subtitle1"/>
    <w:uiPriority w:val="99"/>
    <w:qFormat/>
    <w:rPr>
      <w:rFonts w:ascii="Georgia" w:hAnsi="Georgia"/>
      <w:b/>
      <w:color w:val="auto"/>
      <w:sz w:val="18"/>
    </w:rPr>
  </w:style>
  <w:style w:type="character" w:styleId="1209" w:customStyle="1">
    <w:name w:val="正文缩进 Char1"/>
    <w:uiPriority w:val="99"/>
    <w:qFormat/>
    <w:rPr>
      <w:rFonts w:eastAsia="宋体"/>
    </w:rPr>
  </w:style>
  <w:style w:type="character" w:styleId="1210" w:customStyle="1">
    <w:name w:val="Char Char12"/>
    <w:uiPriority w:val="99"/>
    <w:qFormat/>
    <w:rPr>
      <w:rFonts w:ascii="Arial" w:hAnsi="Arial" w:eastAsia="黑体"/>
      <w:sz w:val="21"/>
      <w:lang w:val="en-US" w:eastAsia="zh-CN"/>
    </w:rPr>
  </w:style>
  <w:style w:type="character" w:styleId="1211" w:customStyle="1">
    <w:name w:val="Char Char27"/>
    <w:uiPriority w:val="99"/>
    <w:qFormat/>
    <w:rPr>
      <w:b/>
      <w:sz w:val="44"/>
    </w:rPr>
  </w:style>
  <w:style w:type="character" w:styleId="1212" w:customStyle="1">
    <w:name w:val="页脚 Char"/>
    <w:uiPriority w:val="0"/>
    <w:qFormat/>
    <w:rPr>
      <w:sz w:val="18"/>
    </w:rPr>
  </w:style>
  <w:style w:type="character" w:styleId="1213" w:customStyle="1">
    <w:name w:val="明显参考1"/>
    <w:uiPriority w:val="99"/>
    <w:qFormat/>
    <w:rPr>
      <w:smallCaps/>
      <w:spacing w:val="5"/>
      <w:u w:val="single"/>
    </w:rPr>
  </w:style>
  <w:style w:type="character" w:styleId="1214" w:customStyle="1">
    <w:name w:val="apple-converted-space"/>
    <w:uiPriority w:val="99"/>
    <w:qFormat/>
  </w:style>
  <w:style w:type="character" w:styleId="1215" w:customStyle="1">
    <w:name w:val="Char Char22"/>
    <w:uiPriority w:val="99"/>
    <w:qFormat/>
    <w:rPr>
      <w:b/>
      <w:sz w:val="24"/>
    </w:rPr>
  </w:style>
  <w:style w:type="character" w:styleId="1216" w:customStyle="1">
    <w:name w:val="Char Char13"/>
    <w:uiPriority w:val="99"/>
    <w:qFormat/>
    <w:rPr>
      <w:rFonts w:ascii="宋体" w:hAnsi="宋体" w:eastAsia="宋体"/>
      <w:sz w:val="24"/>
      <w:lang w:val="en-US" w:eastAsia="zh-CN"/>
    </w:rPr>
  </w:style>
  <w:style w:type="character" w:styleId="1217" w:customStyle="1">
    <w:name w:val="content_lineheight1"/>
    <w:uiPriority w:val="99"/>
    <w:qFormat/>
  </w:style>
  <w:style w:type="character" w:styleId="1218" w:customStyle="1">
    <w:name w:val="ih151"/>
    <w:uiPriority w:val="99"/>
    <w:qFormat/>
    <w:rPr>
      <w:color w:val="auto"/>
      <w:sz w:val="18"/>
      <w:u w:val="none"/>
    </w:rPr>
  </w:style>
  <w:style w:type="character" w:styleId="1219" w:customStyle="1">
    <w:name w:val="样式 首行缩进:  2 字符 Char Char"/>
    <w:uiPriority w:val="99"/>
    <w:qFormat/>
    <w:rPr>
      <w:rFonts w:eastAsia="宋体"/>
      <w:sz w:val="24"/>
      <w:lang w:val="en-US" w:eastAsia="zh-CN"/>
    </w:rPr>
  </w:style>
  <w:style w:type="character" w:styleId="1220" w:customStyle="1">
    <w:name w:val="Char Char15"/>
    <w:uiPriority w:val="99"/>
    <w:qFormat/>
    <w:rPr>
      <w:rFonts w:ascii="Arial" w:hAnsi="Arial" w:eastAsia="黑体"/>
      <w:sz w:val="21"/>
      <w:lang w:val="en-US" w:eastAsia="zh-CN"/>
    </w:rPr>
  </w:style>
  <w:style w:type="character" w:styleId="1221" w:customStyle="1">
    <w:name w:val="引用 Char"/>
    <w:uiPriority w:val="99"/>
    <w:qFormat/>
    <w:rPr>
      <w:rFonts w:ascii="Calibri" w:hAnsi="Calibri" w:eastAsia="宋体"/>
      <w:i/>
      <w:sz w:val="22"/>
      <w:lang w:val="en-US" w:eastAsia="en-US"/>
    </w:rPr>
  </w:style>
  <w:style w:type="character" w:styleId="1222" w:customStyle="1">
    <w:name w:val="Char Char29"/>
    <w:uiPriority w:val="99"/>
    <w:qFormat/>
    <w:rPr>
      <w:rFonts w:ascii="Times New Roman" w:hAnsi="Times New Roman" w:eastAsia="宋体"/>
      <w:b/>
      <w:sz w:val="44"/>
    </w:rPr>
  </w:style>
  <w:style w:type="character" w:styleId="1223" w:customStyle="1">
    <w:name w:val="t1"/>
    <w:uiPriority w:val="99"/>
    <w:qFormat/>
  </w:style>
  <w:style w:type="character" w:styleId="1224" w:customStyle="1">
    <w:name w:val="title_emph1"/>
    <w:uiPriority w:val="99"/>
    <w:qFormat/>
    <w:rPr>
      <w:rFonts w:ascii="Arial"/>
      <w:b/>
      <w:sz w:val="18"/>
    </w:rPr>
  </w:style>
  <w:style w:type="character" w:styleId="1225" w:customStyle="1">
    <w:name w:val="Char Char21"/>
    <w:uiPriority w:val="99"/>
    <w:qFormat/>
    <w:rPr>
      <w:rFonts w:ascii="Arial" w:hAnsi="Arial" w:eastAsia="黑体"/>
      <w:sz w:val="24"/>
    </w:rPr>
  </w:style>
  <w:style w:type="character" w:styleId="1226" w:customStyle="1">
    <w:name w:val="纯文本 Char1"/>
    <w:uiPriority w:val="99"/>
    <w:qFormat/>
    <w:rPr>
      <w:rFonts w:ascii="宋体" w:hAnsi="Courier New"/>
      <w:sz w:val="21"/>
    </w:rPr>
  </w:style>
  <w:style w:type="character" w:styleId="1227" w:customStyle="1">
    <w:name w:val="Char Char25"/>
    <w:uiPriority w:val="99"/>
    <w:qFormat/>
    <w:rPr>
      <w:rFonts w:ascii="Arial" w:hAnsi="Arial" w:eastAsia="黑体"/>
      <w:b/>
      <w:sz w:val="28"/>
    </w:rPr>
  </w:style>
  <w:style w:type="character" w:styleId="1228" w:customStyle="1">
    <w:name w:val="无间隔 Char"/>
    <w:uiPriority w:val="99"/>
    <w:qFormat/>
    <w:rPr>
      <w:rFonts w:ascii="Calibri" w:hAnsi="Calibri" w:eastAsia="微软雅黑"/>
      <w:sz w:val="22"/>
      <w:lang w:val="en-US" w:eastAsia="zh-CN"/>
    </w:rPr>
  </w:style>
  <w:style w:type="character" w:styleId="1229" w:customStyle="1">
    <w:name w:val="Char Char2"/>
    <w:uiPriority w:val="99"/>
    <w:qFormat/>
    <w:rPr>
      <w:rFonts w:ascii="宋体" w:hAnsi="Courier New" w:eastAsia="宋体"/>
      <w:sz w:val="21"/>
      <w:lang w:val="en-US" w:eastAsia="zh-CN"/>
    </w:rPr>
  </w:style>
  <w:style w:type="character" w:styleId="123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231" w:customStyle="1">
    <w:name w:val="不明显强调1"/>
    <w:uiPriority w:val="99"/>
    <w:qFormat/>
    <w:rPr>
      <w:i/>
    </w:rPr>
  </w:style>
  <w:style w:type="character" w:styleId="1232" w:customStyle="1">
    <w:name w:val="111111 Char Char"/>
    <w:uiPriority w:val="99"/>
    <w:qFormat/>
    <w:rPr>
      <w:rFonts w:ascii="宋体" w:hAnsi="宋体" w:eastAsia="黑体"/>
      <w:b/>
      <w:sz w:val="21"/>
      <w:lang w:val="en-US" w:eastAsia="zh-CN"/>
    </w:rPr>
  </w:style>
  <w:style w:type="character" w:styleId="1233" w:customStyle="1">
    <w:name w:val="font61"/>
    <w:uiPriority w:val="0"/>
    <w:qFormat/>
    <w:rPr>
      <w:rFonts w:ascii="宋体" w:hAnsi="宋体" w:eastAsia="宋体"/>
      <w:color w:val="ff0000"/>
      <w:sz w:val="20"/>
      <w:u w:val="none"/>
    </w:rPr>
  </w:style>
  <w:style w:type="character" w:styleId="1234" w:customStyle="1">
    <w:name w:val="标准小四 Char Char Char"/>
    <w:uiPriority w:val="99"/>
    <w:qFormat/>
    <w:rPr>
      <w:rFonts w:ascii="Arial" w:hAnsi="Arial" w:eastAsia="宋体"/>
      <w:sz w:val="21"/>
      <w:lang w:val="en-US" w:eastAsia="zh-CN"/>
    </w:rPr>
  </w:style>
  <w:style w:type="character" w:styleId="1235" w:customStyle="1">
    <w:name w:val="Char Char9"/>
    <w:uiPriority w:val="99"/>
    <w:qFormat/>
    <w:rPr>
      <w:rFonts w:eastAsia="宋体"/>
      <w:sz w:val="21"/>
      <w:lang w:val="en-US" w:eastAsia="zh-CN"/>
    </w:rPr>
  </w:style>
  <w:style w:type="character" w:styleId="1236" w:customStyle="1">
    <w:name w:val="3zw"/>
    <w:uiPriority w:val="99"/>
    <w:qFormat/>
  </w:style>
  <w:style w:type="character" w:styleId="1237" w:customStyle="1">
    <w:name w:val="medium_text1"/>
    <w:uiPriority w:val="99"/>
    <w:qFormat/>
    <w:rPr>
      <w:sz w:val="24"/>
    </w:rPr>
  </w:style>
  <w:style w:type="character" w:styleId="1238" w:customStyle="1">
    <w:name w:val="Char Char16"/>
    <w:uiPriority w:val="99"/>
    <w:qFormat/>
    <w:rPr>
      <w:rFonts w:ascii="Arial" w:hAnsi="Arial" w:eastAsia="黑体"/>
      <w:sz w:val="24"/>
      <w:lang w:val="en-US" w:eastAsia="zh-CN"/>
    </w:rPr>
  </w:style>
  <w:style w:type="character" w:styleId="1239" w:customStyle="1">
    <w:name w:val="华宇段落1 Char Char Char Char"/>
    <w:uiPriority w:val="99"/>
    <w:qFormat/>
    <w:rPr>
      <w:rFonts w:eastAsia="宋体"/>
      <w:sz w:val="24"/>
      <w:lang w:val="en-US" w:eastAsia="zh-CN"/>
    </w:rPr>
  </w:style>
  <w:style w:type="character" w:styleId="1240" w:customStyle="1">
    <w:name w:val="font91"/>
    <w:uiPriority w:val="99"/>
    <w:qFormat/>
    <w:rPr>
      <w:rFonts w:ascii="宋体" w:hAnsi="宋体" w:eastAsia="宋体"/>
      <w:color w:val="000000"/>
      <w:sz w:val="20"/>
      <w:u w:val="none"/>
    </w:rPr>
  </w:style>
  <w:style w:type="character" w:styleId="1241" w:customStyle="1">
    <w:name w:val="Char Char3"/>
    <w:uiPriority w:val="99"/>
    <w:qFormat/>
    <w:rPr>
      <w:rFonts w:eastAsia="宋体"/>
      <w:sz w:val="18"/>
      <w:lang w:val="en-US" w:eastAsia="zh-CN"/>
    </w:rPr>
  </w:style>
  <w:style w:type="character" w:styleId="1242" w:customStyle="1">
    <w:name w:val="普通文字1 Char"/>
    <w:uiPriority w:val="99"/>
    <w:qFormat/>
    <w:rPr>
      <w:rFonts w:ascii="宋体" w:eastAsia="宋体"/>
      <w:sz w:val="21"/>
      <w:lang w:val="en-US" w:eastAsia="zh-CN"/>
    </w:rPr>
  </w:style>
  <w:style w:type="character" w:styleId="1243" w:customStyle="1">
    <w:name w:val="Char Char8"/>
    <w:uiPriority w:val="99"/>
    <w:qFormat/>
    <w:rPr>
      <w:rFonts w:eastAsia="宋体"/>
      <w:sz w:val="18"/>
      <w:lang w:val="en-US" w:eastAsia="zh-CN"/>
    </w:rPr>
  </w:style>
  <w:style w:type="character" w:styleId="1244" w:customStyle="1">
    <w:name w:val="msosubtleemphasis"/>
    <w:uiPriority w:val="99"/>
    <w:qFormat/>
    <w:rPr>
      <w:rFonts w:cs="Times New Roman"/>
      <w:i/>
      <w:color w:val="auto"/>
    </w:rPr>
  </w:style>
  <w:style w:type="character" w:styleId="1245" w:customStyle="1">
    <w:name w:val="小四 段落 宋体 Char Char Char Char Char Char Char Char"/>
    <w:uiPriority w:val="99"/>
    <w:qFormat/>
    <w:rPr>
      <w:rFonts w:eastAsia="宋体"/>
      <w:sz w:val="24"/>
      <w:lang w:val="en-US" w:eastAsia="zh-CN"/>
    </w:rPr>
  </w:style>
  <w:style w:type="character" w:styleId="1246" w:customStyle="1">
    <w:name w:val="批注文字 Char"/>
    <w:uiPriority w:val="0"/>
    <w:qFormat/>
    <w:rPr>
      <w:rFonts w:ascii="Times New Roman" w:hAnsi="Times New Roman" w:eastAsia="宋体"/>
      <w:sz w:val="20"/>
    </w:rPr>
  </w:style>
  <w:style w:type="character" w:styleId="1247" w:customStyle="1">
    <w:name w:val="批注文字 字符"/>
    <w:uiPriority w:val="99"/>
    <w:qFormat/>
    <w:rPr>
      <w:rFonts w:ascii="Times New Roman" w:hAnsi="Times New Roman" w:eastAsia="宋体" w:cs="Times New Roman"/>
      <w:sz w:val="24"/>
      <w:szCs w:val="24"/>
    </w:rPr>
  </w:style>
  <w:style w:type="paragraph" w:styleId="1248" w:customStyle="1">
    <w:name w:val="样式 加点正文 + 段前: 0.5 行 段后: 0.5 行1"/>
    <w:basedOn w:val="1027"/>
    <w:uiPriority w:val="99"/>
    <w:qFormat/>
    <w:pPr>
      <w:ind w:left="1268" w:hanging="420"/>
      <w:spacing w:line="300" w:lineRule="auto"/>
      <w:tabs>
        <w:tab w:val="left" w:pos="1268" w:leader="none"/>
      </w:tabs>
    </w:pPr>
    <w:rPr>
      <w:sz w:val="24"/>
      <w:szCs w:val="20"/>
    </w:rPr>
  </w:style>
  <w:style w:type="paragraph" w:styleId="1249" w:customStyle="1">
    <w:name w:val="Char2"/>
    <w:basedOn w:val="1045"/>
    <w:uiPriority w:val="99"/>
    <w:qFormat/>
    <w:rPr>
      <w:rFonts w:ascii="Tahoma" w:hAnsi="Tahoma"/>
    </w:rPr>
  </w:style>
  <w:style w:type="paragraph" w:styleId="1250" w:customStyle="1">
    <w:name w:val="正文缩进2字符"/>
    <w:basedOn w:val="1027"/>
    <w:uiPriority w:val="99"/>
    <w:qFormat/>
    <w:pPr>
      <w:ind w:firstLine="200"/>
      <w:spacing w:line="300" w:lineRule="auto"/>
    </w:pPr>
    <w:rPr>
      <w:rFonts w:ascii="仿宋_GB2312" w:eastAsia="仿宋_GB2312"/>
      <w:sz w:val="32"/>
      <w:szCs w:val="32"/>
    </w:rPr>
  </w:style>
  <w:style w:type="paragraph" w:styleId="1251" w:customStyle="1">
    <w:name w:val="普通 (Web)"/>
    <w:basedOn w:val="1027"/>
    <w:uiPriority w:val="99"/>
    <w:qFormat/>
    <w:pPr>
      <w:jc w:val="left"/>
      <w:spacing w:before="100" w:beforeAutospacing="1" w:after="100" w:afterAutospacing="1"/>
      <w:widowControl/>
    </w:pPr>
    <w:rPr>
      <w:rFonts w:ascii="宋体" w:hAnsi="宋体"/>
      <w:sz w:val="24"/>
    </w:rPr>
  </w:style>
  <w:style w:type="paragraph" w:styleId="1252" w:customStyle="1">
    <w:name w:val="table_lines"/>
    <w:basedOn w:val="1027"/>
    <w:uiPriority w:val="99"/>
    <w:qFormat/>
    <w:pPr>
      <w:jc w:val="left"/>
      <w:widowControl/>
    </w:pPr>
    <w:rPr>
      <w:sz w:val="20"/>
      <w:szCs w:val="20"/>
      <w:lang w:val="de-DE" w:eastAsia="de-DE"/>
    </w:rPr>
  </w:style>
  <w:style w:type="paragraph" w:styleId="1253" w:customStyle="1">
    <w:name w:val="方案正文"/>
    <w:basedOn w:val="1027"/>
    <w:uiPriority w:val="99"/>
    <w:qFormat/>
    <w:pPr>
      <w:ind w:firstLine="359"/>
      <w:jc w:val="left"/>
      <w:spacing w:before="156" w:line="360" w:lineRule="auto"/>
    </w:pPr>
    <w:rPr>
      <w:rFonts w:ascii="Arial" w:hAnsi="Arial" w:cs="宋体"/>
      <w:sz w:val="24"/>
      <w:szCs w:val="21"/>
    </w:rPr>
  </w:style>
  <w:style w:type="paragraph" w:styleId="1254" w:customStyle="1">
    <w:name w:val="xl37"/>
    <w:basedOn w:val="10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55" w:customStyle="1">
    <w:name w:val="标准文本"/>
    <w:basedOn w:val="1027"/>
    <w:uiPriority w:val="99"/>
    <w:qFormat/>
    <w:pPr>
      <w:ind w:firstLine="480"/>
      <w:spacing w:line="360" w:lineRule="auto"/>
    </w:pPr>
    <w:rPr>
      <w:rFonts w:cs="宋体"/>
      <w:sz w:val="24"/>
    </w:rPr>
  </w:style>
  <w:style w:type="paragraph" w:styleId="1256" w:customStyle="1">
    <w:name w:val="正文 + 宋体"/>
    <w:basedOn w:val="1027"/>
    <w:uiPriority w:val="99"/>
    <w:qFormat/>
    <w:pPr>
      <w:ind w:firstLine="420"/>
      <w:spacing w:line="360" w:lineRule="auto"/>
    </w:pPr>
  </w:style>
  <w:style w:type="paragraph" w:styleId="1257" w:customStyle="1">
    <w:name w:val="我的正文"/>
    <w:basedOn w:val="1027"/>
    <w:uiPriority w:val="99"/>
    <w:qFormat/>
    <w:pPr>
      <w:ind w:firstLine="420"/>
      <w:jc w:val="left"/>
      <w:spacing w:line="360" w:lineRule="auto"/>
      <w:widowControl/>
    </w:pPr>
    <w:rPr>
      <w:rFonts w:ascii="宋体" w:hAnsi="宋体" w:cs="宋体"/>
      <w:szCs w:val="21"/>
    </w:rPr>
  </w:style>
  <w:style w:type="paragraph" w:styleId="1258" w:customStyle="1">
    <w:name w:val="Char Char Char Char Char Char Char"/>
    <w:basedOn w:val="1027"/>
    <w:uiPriority w:val="99"/>
    <w:qFormat/>
    <w:pPr>
      <w:jc w:val="left"/>
    </w:pPr>
    <w:rPr>
      <w:rFonts w:ascii="Tahoma" w:hAnsi="Tahoma"/>
      <w:sz w:val="24"/>
      <w:szCs w:val="20"/>
    </w:rPr>
  </w:style>
  <w:style w:type="paragraph" w:styleId="1259" w:customStyle="1">
    <w:name w:val="公文正文"/>
    <w:basedOn w:val="1049"/>
    <w:uiPriority w:val="99"/>
    <w:qFormat/>
    <w:pPr>
      <w:ind w:left="0" w:firstLine="200"/>
      <w:spacing w:after="0"/>
    </w:pPr>
    <w:rPr>
      <w:rFonts w:ascii="仿宋_GB2312" w:hAnsi="宋体" w:eastAsia="仿宋_GB2312"/>
      <w:sz w:val="28"/>
    </w:rPr>
  </w:style>
  <w:style w:type="paragraph" w:styleId="1260" w:customStyle="1">
    <w:name w:val="p0"/>
    <w:basedOn w:val="1027"/>
    <w:uiPriority w:val="99"/>
    <w:qFormat/>
    <w:pPr>
      <w:jc w:val="left"/>
      <w:spacing w:before="100" w:beforeAutospacing="1" w:after="100" w:afterAutospacing="1"/>
      <w:widowControl/>
    </w:pPr>
    <w:rPr>
      <w:rFonts w:ascii="宋体" w:hAnsi="宋体" w:cs="宋体"/>
      <w:sz w:val="24"/>
    </w:rPr>
  </w:style>
  <w:style w:type="paragraph" w:styleId="1261" w:customStyle="1">
    <w:name w:val="Char Char Char Char Char Char Char Char Char Char Char"/>
    <w:basedOn w:val="1027"/>
    <w:uiPriority w:val="99"/>
    <w:qFormat/>
    <w:rPr>
      <w:rFonts w:ascii="Tahoma" w:hAnsi="Tahoma"/>
      <w:sz w:val="24"/>
      <w:szCs w:val="20"/>
    </w:rPr>
  </w:style>
  <w:style w:type="paragraph" w:styleId="1262" w:customStyle="1">
    <w:name w:val="插图"/>
    <w:basedOn w:val="1027"/>
    <w:uiPriority w:val="99"/>
    <w:qFormat/>
    <w:pPr>
      <w:jc w:val="center"/>
      <w:tabs>
        <w:tab w:val="left" w:pos="1620" w:leader="none"/>
      </w:tabs>
    </w:pPr>
    <w:rPr>
      <w:bCs/>
      <w:color w:val="000000"/>
      <w:szCs w:val="22"/>
    </w:rPr>
  </w:style>
  <w:style w:type="paragraph" w:styleId="1263" w:customStyle="1">
    <w:name w:val="样式1"/>
    <w:basedOn w:val="1027"/>
    <w:uiPriority w:val="99"/>
    <w:qFormat/>
    <w:pPr>
      <w:ind w:firstLine="480"/>
      <w:spacing w:line="300" w:lineRule="auto"/>
    </w:pPr>
    <w:rPr>
      <w:sz w:val="24"/>
    </w:rPr>
  </w:style>
  <w:style w:type="paragraph" w:styleId="1264" w:customStyle="1">
    <w:name w:val="xl26"/>
    <w:basedOn w:val="10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65" w:customStyle="1">
    <w:name w:val="Char Char Char"/>
    <w:basedOn w:val="1027"/>
    <w:uiPriority w:val="99"/>
    <w:qFormat/>
    <w:rPr>
      <w:rFonts w:ascii="Tahoma" w:hAnsi="Tahoma"/>
      <w:sz w:val="24"/>
      <w:szCs w:val="20"/>
    </w:rPr>
  </w:style>
  <w:style w:type="paragraph" w:styleId="1266" w:customStyle="1">
    <w:name w:val="马刚标题3"/>
    <w:basedOn w:val="1027"/>
    <w:next w:val="1027"/>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67" w:customStyle="1">
    <w:name w:val="段"/>
    <w:uiPriority w:val="99"/>
    <w:qFormat/>
    <w:pPr>
      <w:ind w:firstLine="200"/>
      <w:jc w:val="both"/>
    </w:pPr>
    <w:rPr>
      <w:rFonts w:ascii="宋体" w:hAnsi="Times New Roman" w:eastAsia="宋体" w:cs="Times New Roman"/>
      <w:sz w:val="21"/>
      <w:lang w:val="en-US" w:eastAsia="zh-CN" w:bidi="ar-SA"/>
    </w:rPr>
  </w:style>
  <w:style w:type="paragraph" w:styleId="1268" w:customStyle="1">
    <w:name w:val="二级条标题"/>
    <w:basedOn w:val="1027"/>
    <w:next w:val="1267"/>
    <w:uiPriority w:val="99"/>
    <w:qFormat/>
    <w:pPr>
      <w:ind w:hanging="420"/>
      <w:widowControl/>
      <w:tabs>
        <w:tab w:val="left" w:pos="2240" w:leader="none"/>
      </w:tabs>
      <w:outlineLvl w:val="3"/>
    </w:pPr>
    <w:rPr>
      <w:rFonts w:eastAsia="黑体"/>
      <w:szCs w:val="20"/>
    </w:rPr>
  </w:style>
  <w:style w:type="paragraph" w:styleId="1269" w:customStyle="1">
    <w:name w:val="Char Char1 Char Char Char Char1 Char Char Char Char Char Char"/>
    <w:basedOn w:val="1027"/>
    <w:uiPriority w:val="99"/>
    <w:qFormat/>
    <w:rPr>
      <w:rFonts w:ascii="Tahoma" w:hAnsi="Tahoma"/>
      <w:sz w:val="24"/>
      <w:szCs w:val="20"/>
    </w:rPr>
  </w:style>
  <w:style w:type="paragraph" w:styleId="1270" w:customStyle="1">
    <w:name w:val="正文表标题"/>
    <w:next w:val="1267"/>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71" w:customStyle="1">
    <w:name w:val="xl44"/>
    <w:basedOn w:val="102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272" w:customStyle="1">
    <w:name w:val="Char Char Char Char Char Char Char Char Char Char Char Char Char Char Char Char Char Char Char Char Char1"/>
    <w:basedOn w:val="1027"/>
    <w:uiPriority w:val="99"/>
    <w:qFormat/>
    <w:rPr>
      <w:rFonts w:ascii="Tahoma" w:hAnsi="Tahoma"/>
      <w:sz w:val="24"/>
      <w:szCs w:val="20"/>
    </w:rPr>
  </w:style>
  <w:style w:type="paragraph" w:styleId="1273" w:customStyle="1">
    <w:name w:val="样式2"/>
    <w:basedOn w:val="1027"/>
    <w:uiPriority w:val="99"/>
    <w:qFormat/>
    <w:pPr>
      <w:ind w:left="200"/>
      <w:spacing w:line="360" w:lineRule="auto"/>
    </w:pPr>
    <w:rPr>
      <w:rFonts w:ascii="宋体" w:hAnsi="宋体"/>
      <w:b/>
      <w:sz w:val="24"/>
    </w:rPr>
  </w:style>
  <w:style w:type="paragraph" w:styleId="1274" w:customStyle="1">
    <w:name w:val="部分1"/>
    <w:basedOn w:val="1027"/>
    <w:uiPriority w:val="99"/>
    <w:qFormat/>
    <w:pPr>
      <w:jc w:val="center"/>
      <w:keepNext/>
      <w:pageBreakBefore/>
      <w:spacing w:line="360" w:lineRule="auto"/>
      <w:tabs>
        <w:tab w:val="left" w:pos="360" w:leader="none"/>
      </w:tabs>
      <w:outlineLvl w:val="0"/>
    </w:pPr>
    <w:rPr>
      <w:rFonts w:eastAsia="黑体"/>
      <w:b/>
      <w:sz w:val="36"/>
      <w:szCs w:val="20"/>
    </w:rPr>
  </w:style>
  <w:style w:type="paragraph" w:styleId="1275"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276" w:customStyle="1">
    <w:name w:val="马刚标题4"/>
    <w:basedOn w:val="1266"/>
    <w:next w:val="1027"/>
    <w:uiPriority w:val="99"/>
    <w:qFormat/>
    <w:pPr>
      <w:spacing w:before="100" w:after="40"/>
      <w:tabs>
        <w:tab w:val="left" w:pos="1050" w:leader="none"/>
      </w:tabs>
      <w:outlineLvl w:val="3"/>
    </w:pPr>
    <w:rPr>
      <w:b w:val="0"/>
    </w:rPr>
  </w:style>
  <w:style w:type="paragraph" w:styleId="1277" w:customStyle="1">
    <w:name w:val="xl27"/>
    <w:basedOn w:val="10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78" w:customStyle="1">
    <w:name w:val="xl31"/>
    <w:basedOn w:val="10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79" w:customStyle="1">
    <w:name w:val="样式 标题 3H3sect1.2.3BOD 0Heading 3 - oldh3l3CTLevel 3 Head..."/>
    <w:basedOn w:val="1030"/>
    <w:uiPriority w:val="99"/>
    <w:qFormat/>
    <w:pPr>
      <w:jc w:val="left"/>
      <w:spacing w:line="240" w:lineRule="auto"/>
    </w:pPr>
    <w:rPr>
      <w:rFonts w:cs="宋体"/>
      <w:sz w:val="30"/>
      <w:szCs w:val="20"/>
    </w:rPr>
  </w:style>
  <w:style w:type="paragraph" w:styleId="1280" w:customStyle="1">
    <w:name w:val="Table Text Char"/>
    <w:uiPriority w:val="99"/>
    <w:qFormat/>
    <w:pPr>
      <w:spacing w:before="80" w:after="80"/>
    </w:pPr>
    <w:rPr>
      <w:rFonts w:ascii="Arial" w:hAnsi="Arial" w:eastAsia="宋体" w:cs="Arial"/>
      <w:sz w:val="18"/>
      <w:szCs w:val="28"/>
      <w:lang w:val="en-US" w:eastAsia="zh-CN" w:bidi="ar-SA"/>
    </w:rPr>
  </w:style>
  <w:style w:type="paragraph" w:styleId="1281" w:customStyle="1">
    <w:name w:val="小四 段落 宋体 Char Char Char Char"/>
    <w:basedOn w:val="1027"/>
    <w:uiPriority w:val="99"/>
    <w:qFormat/>
    <w:pPr>
      <w:ind w:right="-33" w:firstLine="480"/>
      <w:jc w:val="left"/>
      <w:spacing w:line="360" w:lineRule="auto"/>
    </w:pPr>
    <w:rPr>
      <w:sz w:val="24"/>
    </w:rPr>
  </w:style>
  <w:style w:type="paragraph" w:styleId="1282" w:customStyle="1">
    <w:name w:val="Pa5"/>
    <w:basedOn w:val="1027"/>
    <w:next w:val="1027"/>
    <w:uiPriority w:val="99"/>
    <w:qFormat/>
    <w:pPr>
      <w:jc w:val="left"/>
      <w:spacing w:line="241" w:lineRule="atLeast"/>
    </w:pPr>
    <w:rPr>
      <w:rFonts w:ascii="汉仪大黑简" w:eastAsia="汉仪大黑简"/>
      <w:sz w:val="24"/>
    </w:rPr>
  </w:style>
  <w:style w:type="paragraph" w:styleId="1283" w:customStyle="1">
    <w:name w:val="样式 段后: 0.25 行"/>
    <w:basedOn w:val="1027"/>
    <w:uiPriority w:val="99"/>
    <w:qFormat/>
    <w:pPr>
      <w:ind w:firstLine="420"/>
      <w:jc w:val="left"/>
      <w:spacing w:line="300" w:lineRule="auto"/>
      <w:widowControl/>
    </w:pPr>
    <w:rPr>
      <w:rFonts w:ascii="Arial" w:hAnsi="Arial" w:cs="宋体"/>
      <w:sz w:val="22"/>
      <w:szCs w:val="20"/>
      <w:lang w:eastAsia="en-US"/>
    </w:rPr>
  </w:style>
  <w:style w:type="paragraph" w:styleId="1284" w:customStyle="1">
    <w:name w:val="flType"/>
    <w:basedOn w:val="1285"/>
    <w:uiPriority w:val="99"/>
    <w:qFormat/>
    <w:pPr>
      <w:spacing w:after="284"/>
    </w:pPr>
    <w:rPr>
      <w:rFonts w:eastAsia="宋体"/>
      <w:b w:val="0"/>
    </w:rPr>
  </w:style>
  <w:style w:type="paragraph" w:styleId="1285" w:customStyle="1">
    <w:name w:val="flName"/>
    <w:basedOn w:val="1286"/>
    <w:uiPriority w:val="99"/>
    <w:qFormat/>
    <w:pPr>
      <w:spacing w:before="0" w:line="113" w:lineRule="atLeast"/>
    </w:pPr>
  </w:style>
  <w:style w:type="paragraph" w:styleId="1286" w:customStyle="1">
    <w:name w:val="flNote"/>
    <w:basedOn w:val="1027"/>
    <w:uiPriority w:val="99"/>
    <w:qFormat/>
    <w:pPr>
      <w:jc w:val="center"/>
      <w:spacing w:before="567" w:line="360" w:lineRule="atLeast"/>
    </w:pPr>
    <w:rPr>
      <w:rFonts w:eastAsia="黑体"/>
      <w:b/>
      <w:sz w:val="24"/>
      <w:szCs w:val="20"/>
    </w:rPr>
  </w:style>
  <w:style w:type="paragraph" w:styleId="1287"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288" w:customStyle="1">
    <w:name w:val="样式 样式 首行缩进:  2 字符 + 行距: 1.5 倍行距"/>
    <w:basedOn w:val="1027"/>
    <w:uiPriority w:val="99"/>
    <w:qFormat/>
    <w:pPr>
      <w:ind w:firstLine="470"/>
      <w:spacing w:line="360" w:lineRule="auto"/>
    </w:pPr>
    <w:rPr>
      <w:sz w:val="24"/>
      <w:szCs w:val="20"/>
    </w:rPr>
  </w:style>
  <w:style w:type="paragraph" w:styleId="1289" w:customStyle="1">
    <w:name w:val="_Style 82"/>
    <w:uiPriority w:val="99"/>
    <w:qFormat/>
    <w:rPr>
      <w:rFonts w:ascii="Times New Roman" w:hAnsi="Times New Roman" w:eastAsia="宋体" w:cs="Times New Roman"/>
      <w:sz w:val="22"/>
      <w:szCs w:val="22"/>
      <w:lang w:val="en-US" w:eastAsia="zh-CN" w:bidi="ar-SA"/>
    </w:rPr>
  </w:style>
  <w:style w:type="paragraph" w:styleId="1290" w:customStyle="1">
    <w:name w:val="xl52"/>
    <w:basedOn w:val="102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91" w:customStyle="1">
    <w:name w:val="样式 样式 首行缩进:  0.74 厘米 行距: 1.5 倍行距 + 段后: 0.5 行"/>
    <w:basedOn w:val="1027"/>
    <w:uiPriority w:val="99"/>
    <w:qFormat/>
    <w:pPr>
      <w:ind w:firstLine="420"/>
      <w:spacing w:line="360" w:lineRule="auto"/>
    </w:pPr>
    <w:rPr>
      <w:rFonts w:ascii="楷体_GB2312" w:eastAsia="楷体_GB2312"/>
      <w:bCs/>
      <w:sz w:val="24"/>
      <w:szCs w:val="20"/>
    </w:rPr>
  </w:style>
  <w:style w:type="paragraph" w:styleId="1292" w:customStyle="1">
    <w:name w:val="Char Char1"/>
    <w:basedOn w:val="1027"/>
    <w:uiPriority w:val="99"/>
    <w:qFormat/>
    <w:rPr>
      <w:rFonts w:ascii="Tahoma" w:hAnsi="Tahoma"/>
      <w:sz w:val="24"/>
      <w:szCs w:val="20"/>
    </w:rPr>
  </w:style>
  <w:style w:type="paragraph" w:styleId="1293" w:customStyle="1">
    <w:name w:val="Char1 Char Char Char"/>
    <w:basedOn w:val="1027"/>
    <w:uiPriority w:val="99"/>
    <w:qFormat/>
    <w:rPr>
      <w:rFonts w:ascii="Tahoma" w:hAnsi="Tahoma" w:cs="Tahoma"/>
      <w:sz w:val="24"/>
      <w:szCs w:val="20"/>
    </w:rPr>
  </w:style>
  <w:style w:type="paragraph" w:styleId="1294" w:customStyle="1">
    <w:name w:val="标题2，章节第二层"/>
    <w:basedOn w:val="1027"/>
    <w:next w:val="1295"/>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95" w:customStyle="1">
    <w:name w:val="正文格式"/>
    <w:basedOn w:val="1027"/>
    <w:uiPriority w:val="99"/>
    <w:qFormat/>
    <w:pPr>
      <w:ind w:left="178" w:right="44" w:hanging="178"/>
      <w:jc w:val="left"/>
      <w:spacing w:line="360" w:lineRule="auto"/>
      <w:widowControl/>
    </w:pPr>
    <w:rPr>
      <w:rFonts w:ascii="宋体" w:hAnsi="宋体"/>
      <w:bCs/>
      <w:szCs w:val="21"/>
    </w:rPr>
  </w:style>
  <w:style w:type="paragraph" w:styleId="1296" w:customStyle="1">
    <w:name w:val="Test2"/>
    <w:basedOn w:val="1029"/>
    <w:uiPriority w:val="99"/>
    <w:qFormat/>
    <w:pPr>
      <w:jc w:val="center"/>
      <w:spacing w:line="480" w:lineRule="exact"/>
      <w:widowControl/>
    </w:pPr>
    <w:rPr>
      <w:rFonts w:ascii="黑体"/>
      <w:sz w:val="24"/>
      <w:szCs w:val="24"/>
    </w:rPr>
  </w:style>
  <w:style w:type="paragraph" w:styleId="1297" w:customStyle="1">
    <w:name w:val="xl36"/>
    <w:basedOn w:val="10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8" w:customStyle="1">
    <w:name w:val="font6"/>
    <w:basedOn w:val="1027"/>
    <w:uiPriority w:val="99"/>
    <w:qFormat/>
    <w:pPr>
      <w:jc w:val="left"/>
      <w:spacing w:before="100" w:beforeAutospacing="1" w:after="100" w:afterAutospacing="1"/>
      <w:widowControl/>
    </w:pPr>
    <w:rPr>
      <w:rFonts w:ascii="宋体" w:hAnsi="宋体" w:cs="宋体"/>
      <w:b/>
      <w:bCs/>
      <w:sz w:val="20"/>
      <w:szCs w:val="20"/>
    </w:rPr>
  </w:style>
  <w:style w:type="paragraph" w:styleId="1299" w:customStyle="1">
    <w:name w:val="xl58"/>
    <w:basedOn w:val="1027"/>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00" w:customStyle="1">
    <w:name w:val="font10"/>
    <w:basedOn w:val="1027"/>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301" w:customStyle="1">
    <w:name w:val="xl56"/>
    <w:basedOn w:val="102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302" w:customStyle="1">
    <w:name w:val="样式"/>
    <w:basedOn w:val="1027"/>
    <w:uiPriority w:val="99"/>
    <w:qFormat/>
    <w:pPr>
      <w:spacing w:before="120" w:after="120" w:line="360" w:lineRule="auto"/>
    </w:pPr>
    <w:rPr>
      <w:rFonts w:ascii="宋体"/>
      <w:sz w:val="24"/>
      <w:szCs w:val="20"/>
    </w:rPr>
  </w:style>
  <w:style w:type="paragraph" w:styleId="1303" w:customStyle="1">
    <w:name w:val="a0"/>
    <w:basedOn w:val="1027"/>
    <w:uiPriority w:val="99"/>
    <w:qFormat/>
    <w:pPr>
      <w:spacing w:before="100" w:beforeAutospacing="1" w:after="100" w:afterAutospacing="1"/>
      <w:widowControl/>
    </w:pPr>
    <w:rPr>
      <w:rFonts w:ascii="宋体" w:hAnsi="宋体" w:cs="宋体"/>
      <w:sz w:val="24"/>
    </w:rPr>
  </w:style>
  <w:style w:type="paragraph" w:styleId="1304" w:customStyle="1">
    <w:name w:val="retrait3"/>
    <w:basedOn w:val="1027"/>
    <w:uiPriority w:val="99"/>
    <w:qFormat/>
    <w:pPr>
      <w:ind w:left="851"/>
      <w:jc w:val="left"/>
      <w:spacing w:before="20" w:after="20"/>
      <w:widowControl/>
    </w:pPr>
    <w:rPr>
      <w:rFonts w:ascii="Arial" w:hAnsi="Arial"/>
      <w:sz w:val="24"/>
      <w:szCs w:val="20"/>
      <w:lang w:val="en-GB"/>
    </w:rPr>
  </w:style>
  <w:style w:type="paragraph" w:styleId="1305" w:customStyle="1">
    <w:name w:val="图标"/>
    <w:basedOn w:val="1027"/>
    <w:next w:val="1027"/>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06" w:customStyle="1">
    <w:name w:val="Char1 Char Char Char1"/>
    <w:basedOn w:val="1027"/>
    <w:uiPriority w:val="99"/>
    <w:qFormat/>
    <w:rPr>
      <w:rFonts w:ascii="Tahoma" w:hAnsi="Tahoma"/>
      <w:sz w:val="24"/>
      <w:szCs w:val="20"/>
    </w:rPr>
  </w:style>
  <w:style w:type="paragraph" w:styleId="1307" w:customStyle="1">
    <w:name w:val="样式 样式 标题 3H3sect1.2.3BOD 0Heading 3 - oldh3l3CTLevel 3 Head... +..."/>
    <w:basedOn w:val="1027"/>
    <w:uiPriority w:val="99"/>
    <w:qFormat/>
    <w:pPr>
      <w:jc w:val="left"/>
      <w:keepLines/>
      <w:keepNext/>
      <w:outlineLvl w:val="2"/>
    </w:pPr>
    <w:rPr>
      <w:rFonts w:cs="宋体"/>
      <w:b/>
      <w:bCs/>
      <w:sz w:val="24"/>
      <w:szCs w:val="20"/>
    </w:rPr>
  </w:style>
  <w:style w:type="paragraph" w:styleId="1308" w:customStyle="1">
    <w:name w:val="Char Char1 Char1"/>
    <w:basedOn w:val="1027"/>
    <w:uiPriority w:val="99"/>
    <w:qFormat/>
    <w:pPr>
      <w:jc w:val="left"/>
      <w:spacing w:after="160" w:line="240" w:lineRule="exact"/>
      <w:widowControl/>
    </w:pPr>
    <w:rPr>
      <w:rFonts w:ascii="Verdana" w:hAnsi="Verdana"/>
      <w:sz w:val="20"/>
      <w:szCs w:val="20"/>
      <w:lang w:eastAsia="en-US"/>
    </w:rPr>
  </w:style>
  <w:style w:type="paragraph" w:styleId="1309"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10" w:customStyle="1">
    <w:name w:val="xl34"/>
    <w:basedOn w:val="10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11" w:customStyle="1">
    <w:name w:val="正文2"/>
    <w:basedOn w:val="1027"/>
    <w:uiPriority w:val="99"/>
    <w:qFormat/>
    <w:pPr>
      <w:ind w:firstLine="510"/>
      <w:spacing w:before="156" w:line="360" w:lineRule="auto"/>
    </w:pPr>
    <w:rPr>
      <w:sz w:val="24"/>
      <w:szCs w:val="20"/>
    </w:rPr>
  </w:style>
  <w:style w:type="paragraph" w:styleId="1312" w:customStyle="1">
    <w:name w:val="7"/>
    <w:basedOn w:val="1027"/>
    <w:next w:val="1079"/>
    <w:uiPriority w:val="99"/>
    <w:qFormat/>
    <w:pPr>
      <w:jc w:val="left"/>
      <w:spacing w:before="100" w:beforeAutospacing="1" w:after="100" w:afterAutospacing="1"/>
      <w:widowControl/>
    </w:pPr>
    <w:rPr>
      <w:rFonts w:ascii="宋体" w:hAnsi="宋体"/>
      <w:sz w:val="24"/>
      <w:szCs w:val="20"/>
    </w:rPr>
  </w:style>
  <w:style w:type="paragraph" w:styleId="1313" w:customStyle="1">
    <w:name w:val="Char Char Char Char Char Char Char Char Char Char Char1 Char Char Char1"/>
    <w:basedOn w:val="1027"/>
    <w:uiPriority w:val="99"/>
    <w:qFormat/>
    <w:pPr>
      <w:ind w:firstLine="200"/>
      <w:jc w:val="left"/>
    </w:pPr>
    <w:rPr>
      <w:rFonts w:ascii="Tahoma" w:hAnsi="Tahoma"/>
      <w:sz w:val="24"/>
    </w:rPr>
  </w:style>
  <w:style w:type="paragraph" w:styleId="1314" w:customStyle="1">
    <w:name w:val="font13"/>
    <w:basedOn w:val="1027"/>
    <w:uiPriority w:val="99"/>
    <w:qFormat/>
    <w:pPr>
      <w:jc w:val="left"/>
      <w:spacing w:before="100" w:beforeAutospacing="1" w:after="100" w:afterAutospacing="1"/>
      <w:widowControl/>
    </w:pPr>
    <w:rPr>
      <w:i/>
      <w:iCs/>
      <w:sz w:val="36"/>
      <w:szCs w:val="36"/>
    </w:rPr>
  </w:style>
  <w:style w:type="paragraph" w:styleId="1315" w:customStyle="1">
    <w:name w:val="默认段落字体 Para Char"/>
    <w:basedOn w:val="1027"/>
    <w:uiPriority w:val="99"/>
    <w:qFormat/>
    <w:pPr>
      <w:spacing w:line="360" w:lineRule="auto"/>
    </w:pPr>
    <w:rPr>
      <w:sz w:val="24"/>
    </w:rPr>
  </w:style>
  <w:style w:type="paragraph" w:styleId="1316" w:customStyle="1">
    <w:name w:val="xl24"/>
    <w:basedOn w:val="10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7" w:customStyle="1">
    <w:name w:val="xl29"/>
    <w:basedOn w:val="10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18"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319" w:customStyle="1">
    <w:name w:val="符号与编号 Char Char"/>
    <w:basedOn w:val="1027"/>
    <w:uiPriority w:val="99"/>
    <w:qFormat/>
    <w:pPr>
      <w:ind w:left="839" w:hanging="419"/>
      <w:spacing w:line="400" w:lineRule="atLeast"/>
      <w:tabs>
        <w:tab w:val="left" w:pos="840" w:leader="none"/>
      </w:tabs>
    </w:pPr>
    <w:rPr>
      <w:sz w:val="24"/>
    </w:rPr>
  </w:style>
  <w:style w:type="paragraph" w:styleId="1320" w:customStyle="1">
    <w:name w:val="Char Char Char Char Char Char Char Char Char Char Char1"/>
    <w:basedOn w:val="1027"/>
    <w:uiPriority w:val="99"/>
    <w:qFormat/>
    <w:rPr>
      <w:rFonts w:ascii="Tahoma" w:hAnsi="Tahoma" w:cs="Tahoma"/>
      <w:sz w:val="24"/>
      <w:szCs w:val="20"/>
    </w:rPr>
  </w:style>
  <w:style w:type="paragraph" w:styleId="1321" w:customStyle="1">
    <w:name w:val="标题1，章节第一层"/>
    <w:basedOn w:val="1295"/>
    <w:next w:val="1295"/>
    <w:uiPriority w:val="99"/>
    <w:qFormat/>
    <w:pPr>
      <w:ind w:left="482"/>
      <w:tabs>
        <w:tab w:val="left" w:pos="693" w:leader="none"/>
      </w:tabs>
      <w:outlineLvl w:val="0"/>
    </w:pPr>
    <w:rPr>
      <w:color w:val="000000"/>
      <w:sz w:val="24"/>
      <w:szCs w:val="24"/>
    </w:rPr>
  </w:style>
  <w:style w:type="paragraph" w:styleId="1322"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23" w:customStyle="1">
    <w:name w:val="样式 首行缩进:  2 字符"/>
    <w:basedOn w:val="1027"/>
    <w:uiPriority w:val="99"/>
    <w:qFormat/>
    <w:pPr>
      <w:ind w:firstLine="480"/>
      <w:spacing w:line="360" w:lineRule="auto"/>
    </w:pPr>
    <w:rPr>
      <w:rFonts w:cs="宋体"/>
      <w:sz w:val="24"/>
      <w:szCs w:val="20"/>
    </w:rPr>
  </w:style>
  <w:style w:type="paragraph" w:styleId="1324" w:customStyle="1">
    <w:name w:val="标题5，章节第五层"/>
    <w:basedOn w:val="1027"/>
    <w:next w:val="1027"/>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25" w:customStyle="1">
    <w:name w:val="表格"/>
    <w:basedOn w:val="1027"/>
    <w:uiPriority w:val="99"/>
    <w:qFormat/>
    <w:pPr>
      <w:ind w:firstLine="21"/>
    </w:pPr>
    <w:rPr>
      <w:rFonts w:ascii="宋体" w:hAnsi="宋体" w:cs="宋体"/>
      <w:sz w:val="20"/>
      <w:szCs w:val="20"/>
    </w:rPr>
  </w:style>
  <w:style w:type="paragraph" w:styleId="1326" w:customStyle="1">
    <w:name w:val="正文1"/>
    <w:basedOn w:val="1027"/>
    <w:next w:val="1027"/>
    <w:uiPriority w:val="99"/>
    <w:qFormat/>
    <w:pPr>
      <w:ind w:firstLine="510"/>
      <w:spacing w:before="156" w:line="360" w:lineRule="auto"/>
    </w:pPr>
    <w:rPr>
      <w:sz w:val="24"/>
      <w:szCs w:val="20"/>
    </w:rPr>
  </w:style>
  <w:style w:type="paragraph" w:styleId="1327" w:customStyle="1">
    <w:name w:val="批注主题1"/>
    <w:basedOn w:val="1046"/>
    <w:next w:val="1046"/>
    <w:uiPriority w:val="99"/>
    <w:qFormat/>
    <w:rPr>
      <w:b/>
      <w:bCs/>
    </w:rPr>
  </w:style>
  <w:style w:type="paragraph" w:styleId="1328" w:customStyle="1">
    <w:name w:val="样式3"/>
    <w:basedOn w:val="1027"/>
    <w:next w:val="1027"/>
    <w:uiPriority w:val="99"/>
    <w:qFormat/>
    <w:pPr>
      <w:spacing w:line="360" w:lineRule="auto"/>
    </w:pPr>
    <w:rPr>
      <w:szCs w:val="20"/>
    </w:rPr>
  </w:style>
  <w:style w:type="paragraph" w:styleId="1329" w:customStyle="1">
    <w:name w:val="Char Char Char Char Char Char Char Char Char1"/>
    <w:basedOn w:val="1027"/>
    <w:uiPriority w:val="99"/>
    <w:qFormat/>
    <w:pPr>
      <w:ind w:left="360" w:hanging="360"/>
      <w:tabs>
        <w:tab w:val="left" w:pos="360" w:leader="none"/>
      </w:tabs>
    </w:pPr>
    <w:rPr>
      <w:sz w:val="24"/>
    </w:rPr>
  </w:style>
  <w:style w:type="paragraph" w:styleId="1330" w:customStyle="1">
    <w:name w:val="正文--wdh"/>
    <w:basedOn w:val="1027"/>
    <w:uiPriority w:val="99"/>
    <w:qFormat/>
    <w:pPr>
      <w:spacing w:line="360" w:lineRule="auto"/>
    </w:pPr>
    <w:rPr>
      <w:sz w:val="24"/>
    </w:rPr>
  </w:style>
  <w:style w:type="paragraph" w:styleId="1331" w:customStyle="1">
    <w:name w:val="Char Char Char Char Char Char Char Char Char Char Char Char Char Char Char Char Char Char Char Char Char Char Char"/>
    <w:basedOn w:val="1027"/>
    <w:uiPriority w:val="99"/>
    <w:qFormat/>
    <w:rPr>
      <w:rFonts w:ascii="Tahoma" w:hAnsi="Tahoma"/>
      <w:sz w:val="24"/>
      <w:szCs w:val="20"/>
    </w:rPr>
  </w:style>
  <w:style w:type="paragraph" w:styleId="1332" w:customStyle="1">
    <w:name w:val="Char"/>
    <w:basedOn w:val="1027"/>
    <w:uiPriority w:val="99"/>
    <w:qFormat/>
    <w:pPr>
      <w:spacing w:line="360" w:lineRule="auto"/>
    </w:pPr>
    <w:rPr>
      <w:rFonts w:ascii="Tahoma" w:hAnsi="Tahoma"/>
      <w:sz w:val="24"/>
      <w:szCs w:val="20"/>
    </w:rPr>
  </w:style>
  <w:style w:type="paragraph" w:styleId="1333" w:customStyle="1">
    <w:name w:val="Char1"/>
    <w:basedOn w:val="1027"/>
    <w:uiPriority w:val="99"/>
    <w:qFormat/>
    <w:rPr>
      <w:rFonts w:ascii="仿宋_GB2312" w:hAnsi="宋体" w:eastAsia="仿宋_GB2312" w:cs="宋体"/>
      <w:b/>
      <w:sz w:val="32"/>
      <w:szCs w:val="32"/>
    </w:rPr>
  </w:style>
  <w:style w:type="paragraph" w:styleId="1334" w:customStyle="1">
    <w:name w:val="xl62"/>
    <w:basedOn w:val="102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35" w:customStyle="1">
    <w:name w:val="xl41"/>
    <w:basedOn w:val="10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6" w:customStyle="1">
    <w:name w:val="xl40"/>
    <w:basedOn w:val="10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37" w:customStyle="1">
    <w:name w:val="xl48"/>
    <w:basedOn w:val="102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338" w:customStyle="1">
    <w:name w:val="font14"/>
    <w:basedOn w:val="1027"/>
    <w:uiPriority w:val="99"/>
    <w:qFormat/>
    <w:pPr>
      <w:jc w:val="left"/>
      <w:spacing w:before="100" w:beforeAutospacing="1" w:after="100" w:afterAutospacing="1"/>
      <w:widowControl/>
    </w:pPr>
    <w:rPr>
      <w:sz w:val="36"/>
      <w:szCs w:val="36"/>
    </w:rPr>
  </w:style>
  <w:style w:type="paragraph" w:styleId="1339" w:customStyle="1">
    <w:name w:val="xl53"/>
    <w:basedOn w:val="102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40" w:customStyle="1">
    <w:name w:val="正文文本 21"/>
    <w:basedOn w:val="1027"/>
    <w:uiPriority w:val="99"/>
    <w:qFormat/>
    <w:pPr>
      <w:ind w:left="720" w:hanging="720"/>
      <w:widowControl/>
    </w:pPr>
    <w:rPr>
      <w:sz w:val="24"/>
      <w:szCs w:val="20"/>
      <w:lang w:val="en-GB"/>
    </w:rPr>
  </w:style>
  <w:style w:type="paragraph" w:styleId="1341" w:customStyle="1">
    <w:name w:val="xl57"/>
    <w:basedOn w:val="102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342" w:customStyle="1">
    <w:name w:val="Char Char Char Char Char Char Char Char Char Char Char Char Char Char Char Char Char Char Char Char Char Char Char1"/>
    <w:basedOn w:val="1027"/>
    <w:uiPriority w:val="99"/>
    <w:qFormat/>
    <w:rPr>
      <w:rFonts w:ascii="Tahoma" w:hAnsi="Tahoma" w:cs="Tahoma"/>
      <w:sz w:val="24"/>
      <w:szCs w:val="20"/>
    </w:rPr>
  </w:style>
  <w:style w:type="paragraph" w:styleId="1343" w:customStyle="1">
    <w:name w:val="正文文本 New New"/>
    <w:basedOn w:val="1027"/>
    <w:uiPriority w:val="99"/>
    <w:qFormat/>
    <w:pPr>
      <w:ind w:firstLine="200"/>
      <w:spacing w:before="60" w:after="60" w:line="360" w:lineRule="auto"/>
      <w:widowControl/>
    </w:pPr>
    <w:rPr>
      <w:rFonts w:eastAsia="华文楷体"/>
      <w:sz w:val="24"/>
    </w:rPr>
  </w:style>
  <w:style w:type="paragraph" w:styleId="1344" w:customStyle="1">
    <w:name w:val="Char Char110"/>
    <w:basedOn w:val="1027"/>
    <w:uiPriority w:val="99"/>
    <w:qFormat/>
    <w:rPr>
      <w:rFonts w:ascii="Tahoma" w:hAnsi="Tahoma" w:cs="Tahoma"/>
      <w:sz w:val="24"/>
      <w:szCs w:val="20"/>
    </w:rPr>
  </w:style>
  <w:style w:type="paragraph" w:styleId="1345" w:customStyle="1">
    <w:name w:val="表头_5"/>
    <w:basedOn w:val="1027"/>
    <w:uiPriority w:val="99"/>
    <w:qFormat/>
    <w:pPr>
      <w:spacing w:line="360" w:lineRule="auto"/>
    </w:pPr>
    <w:rPr>
      <w:b/>
      <w:bCs/>
      <w:sz w:val="28"/>
      <w:szCs w:val="21"/>
    </w:rPr>
  </w:style>
  <w:style w:type="paragraph" w:styleId="1346" w:customStyle="1">
    <w:name w:val="华宇段落1 Char"/>
    <w:basedOn w:val="1027"/>
    <w:uiPriority w:val="99"/>
    <w:qFormat/>
    <w:pPr>
      <w:ind w:firstLine="200"/>
      <w:spacing w:line="360" w:lineRule="auto"/>
    </w:pPr>
    <w:rPr>
      <w:bCs/>
      <w:sz w:val="24"/>
    </w:rPr>
  </w:style>
  <w:style w:type="paragraph" w:styleId="1347" w:customStyle="1">
    <w:name w:val="Char Char Char Char Char Char Char Char Char Char Char Char Char Char1"/>
    <w:basedOn w:val="1027"/>
    <w:uiPriority w:val="99"/>
    <w:qFormat/>
    <w:rPr>
      <w:rFonts w:ascii="Tahoma" w:hAnsi="Tahoma" w:cs="Tahoma"/>
      <w:sz w:val="24"/>
      <w:szCs w:val="20"/>
    </w:rPr>
  </w:style>
  <w:style w:type="paragraph" w:styleId="1348" w:customStyle="1">
    <w:name w:val="文档正文"/>
    <w:basedOn w:val="1027"/>
    <w:uiPriority w:val="99"/>
    <w:qFormat/>
    <w:pPr>
      <w:spacing w:line="360" w:lineRule="auto"/>
    </w:pPr>
    <w:rPr>
      <w:rFonts w:ascii="宋体" w:hAnsi="宋体"/>
      <w:b/>
      <w:bCs/>
    </w:rPr>
  </w:style>
  <w:style w:type="paragraph" w:styleId="1349" w:customStyle="1">
    <w:name w:val="Default Text"/>
    <w:basedOn w:val="1027"/>
    <w:uiPriority w:val="99"/>
    <w:qFormat/>
    <w:pPr>
      <w:jc w:val="left"/>
      <w:widowControl/>
    </w:pPr>
    <w:rPr>
      <w:sz w:val="24"/>
      <w:szCs w:val="20"/>
      <w:lang w:eastAsia="en-US"/>
    </w:rPr>
  </w:style>
  <w:style w:type="paragraph" w:styleId="1350" w:customStyle="1">
    <w:name w:val="xl63"/>
    <w:basedOn w:val="102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351" w:customStyle="1">
    <w:name w:val="xl45"/>
    <w:basedOn w:val="1027"/>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352" w:customStyle="1">
    <w:name w:val="Char Char Char Char Char"/>
    <w:basedOn w:val="1027"/>
    <w:uiPriority w:val="99"/>
    <w:qFormat/>
    <w:rPr>
      <w:rFonts w:ascii="Tahoma" w:hAnsi="Tahoma"/>
      <w:sz w:val="24"/>
      <w:szCs w:val="20"/>
    </w:rPr>
  </w:style>
  <w:style w:type="paragraph" w:styleId="1353" w:customStyle="1">
    <w:name w:val="纯文本1"/>
    <w:basedOn w:val="1027"/>
    <w:uiPriority w:val="99"/>
    <w:qFormat/>
    <w:rPr>
      <w:rFonts w:ascii="宋体" w:hAnsi="宋体" w:eastAsia="楷体_GB2312" w:cs="宋体"/>
      <w:sz w:val="28"/>
      <w:szCs w:val="20"/>
    </w:rPr>
  </w:style>
  <w:style w:type="paragraph" w:styleId="1354" w:customStyle="1">
    <w:name w:val="font5"/>
    <w:basedOn w:val="1027"/>
    <w:uiPriority w:val="99"/>
    <w:qFormat/>
    <w:pPr>
      <w:jc w:val="left"/>
      <w:spacing w:before="100" w:beforeAutospacing="1" w:after="100" w:afterAutospacing="1"/>
      <w:widowControl/>
    </w:pPr>
    <w:rPr>
      <w:rFonts w:ascii="宋体" w:hAnsi="宋体" w:cs="宋体"/>
      <w:sz w:val="18"/>
      <w:szCs w:val="18"/>
    </w:rPr>
  </w:style>
  <w:style w:type="paragraph" w:styleId="1355" w:customStyle="1">
    <w:name w:val="章标题"/>
    <w:next w:val="1267"/>
    <w:uiPriority w:val="99"/>
    <w:qFormat/>
    <w:pPr>
      <w:jc w:val="both"/>
      <w:outlineLvl w:val="1"/>
    </w:pPr>
    <w:rPr>
      <w:rFonts w:ascii="Times New Roman" w:hAnsi="Times New Roman" w:eastAsia="黑体" w:cs="Times New Roman"/>
      <w:sz w:val="21"/>
      <w:lang w:val="en-US" w:eastAsia="zh-CN" w:bidi="ar-SA"/>
    </w:rPr>
  </w:style>
  <w:style w:type="paragraph" w:styleId="1356" w:customStyle="1">
    <w:name w:val="xl50"/>
    <w:basedOn w:val="10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57" w:customStyle="1">
    <w:name w:val="正文文本缩进1"/>
    <w:basedOn w:val="1027"/>
    <w:uiPriority w:val="99"/>
    <w:qFormat/>
    <w:pPr>
      <w:ind w:left="420"/>
      <w:spacing w:after="120"/>
    </w:pPr>
  </w:style>
  <w:style w:type="paragraph" w:styleId="1358" w:customStyle="1">
    <w:name w:val="1"/>
    <w:basedOn w:val="1027"/>
    <w:next w:val="1077"/>
    <w:uiPriority w:val="99"/>
    <w:qFormat/>
    <w:pPr>
      <w:spacing w:line="360" w:lineRule="auto"/>
    </w:pPr>
    <w:rPr>
      <w:rFonts w:eastAsia="仿宋_GB2312"/>
      <w:sz w:val="24"/>
    </w:rPr>
  </w:style>
  <w:style w:type="paragraph" w:styleId="1359" w:customStyle="1">
    <w:name w:val="table_1stline"/>
    <w:basedOn w:val="1027"/>
    <w:uiPriority w:val="99"/>
    <w:qFormat/>
    <w:pPr>
      <w:jc w:val="left"/>
      <w:spacing w:before="120"/>
      <w:widowControl/>
    </w:pPr>
    <w:rPr>
      <w:bCs/>
      <w:sz w:val="20"/>
      <w:szCs w:val="20"/>
      <w:lang w:val="de-DE" w:eastAsia="de-DE"/>
    </w:rPr>
  </w:style>
  <w:style w:type="paragraph" w:styleId="1360" w:customStyle="1">
    <w:name w:val="xl54"/>
    <w:basedOn w:val="102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361" w:customStyle="1">
    <w:name w:val="111111"/>
    <w:basedOn w:val="1027"/>
    <w:uiPriority w:val="99"/>
    <w:qFormat/>
    <w:pPr>
      <w:jc w:val="center"/>
      <w:spacing w:before="120" w:after="120"/>
    </w:pPr>
    <w:rPr>
      <w:rFonts w:ascii="宋体" w:hAnsi="宋体" w:eastAsia="黑体" w:cs="宋体"/>
      <w:b/>
      <w:bCs/>
      <w:szCs w:val="21"/>
    </w:rPr>
  </w:style>
  <w:style w:type="paragraph" w:styleId="1362" w:customStyle="1">
    <w:name w:val="丁华正文"/>
    <w:basedOn w:val="1073"/>
    <w:uiPriority w:val="99"/>
    <w:qFormat/>
    <w:pPr>
      <w:ind w:left="0" w:firstLine="510"/>
      <w:spacing w:before="0" w:after="0" w:line="360" w:lineRule="auto"/>
    </w:pPr>
    <w:rPr>
      <w:rFonts w:ascii="宋体" w:hAnsi="Arial"/>
      <w:bCs w:val="0"/>
      <w:color w:val="000000"/>
      <w:szCs w:val="16"/>
    </w:rPr>
  </w:style>
  <w:style w:type="paragraph" w:styleId="1363" w:customStyle="1">
    <w:name w:val="条1"/>
    <w:basedOn w:val="1027"/>
    <w:uiPriority w:val="99"/>
    <w:qFormat/>
    <w:pPr>
      <w:ind w:left="780" w:hanging="360"/>
      <w:spacing w:before="156" w:line="360" w:lineRule="auto"/>
      <w:tabs>
        <w:tab w:val="left" w:pos="780" w:leader="none"/>
      </w:tabs>
    </w:pPr>
    <w:rPr>
      <w:rFonts w:eastAsia="黑体"/>
      <w:sz w:val="24"/>
      <w:szCs w:val="20"/>
    </w:rPr>
  </w:style>
  <w:style w:type="paragraph" w:styleId="1364" w:customStyle="1">
    <w:name w:val="标题4，章节第四层"/>
    <w:basedOn w:val="1027"/>
    <w:next w:val="1027"/>
    <w:uiPriority w:val="99"/>
    <w:qFormat/>
    <w:pPr>
      <w:spacing w:line="360" w:lineRule="auto"/>
      <w:tabs>
        <w:tab w:val="left" w:pos="0" w:leader="none"/>
      </w:tabs>
      <w:outlineLvl w:val="3"/>
    </w:pPr>
    <w:rPr>
      <w:rFonts w:ascii="宋体" w:hAnsi="宋体"/>
      <w:b/>
      <w:sz w:val="24"/>
    </w:rPr>
  </w:style>
  <w:style w:type="paragraph" w:styleId="1365" w:customStyle="1">
    <w:name w:val="Char Char1 Char"/>
    <w:basedOn w:val="1027"/>
    <w:uiPriority w:val="99"/>
    <w:qFormat/>
    <w:pPr>
      <w:jc w:val="left"/>
      <w:spacing w:after="160" w:line="240" w:lineRule="exact"/>
      <w:widowControl/>
    </w:pPr>
    <w:rPr>
      <w:rFonts w:ascii="Verdana" w:hAnsi="Verdana"/>
      <w:sz w:val="20"/>
      <w:szCs w:val="20"/>
      <w:lang w:eastAsia="en-US"/>
    </w:rPr>
  </w:style>
  <w:style w:type="paragraph" w:styleId="1366" w:customStyle="1">
    <w:name w:val="公文标题 2"/>
    <w:basedOn w:val="1027"/>
    <w:next w:val="1259"/>
    <w:uiPriority w:val="99"/>
    <w:qFormat/>
    <w:pPr>
      <w:outlineLvl w:val="1"/>
    </w:pPr>
    <w:rPr>
      <w:rFonts w:ascii="仿宋_GB2312" w:hAnsi="宋体" w:eastAsia="仿宋_GB2312"/>
      <w:sz w:val="28"/>
    </w:rPr>
  </w:style>
  <w:style w:type="paragraph" w:styleId="1367" w:customStyle="1">
    <w:name w:val="项目符号，一级"/>
    <w:basedOn w:val="1295"/>
    <w:next w:val="1295"/>
    <w:uiPriority w:val="99"/>
    <w:qFormat/>
    <w:pPr>
      <w:ind w:left="376" w:firstLine="0"/>
      <w:spacing w:line="240" w:lineRule="atLeast"/>
      <w:tabs>
        <w:tab w:val="left" w:pos="1320" w:leader="none"/>
      </w:tabs>
    </w:pPr>
    <w:rPr>
      <w:bCs w:val="0"/>
      <w:color w:val="000000"/>
      <w:szCs w:val="24"/>
    </w:rPr>
  </w:style>
  <w:style w:type="paragraph" w:styleId="1368" w:customStyle="1">
    <w:name w:val="font11"/>
    <w:basedOn w:val="1027"/>
    <w:uiPriority w:val="99"/>
    <w:qFormat/>
    <w:pPr>
      <w:jc w:val="left"/>
      <w:spacing w:before="100" w:beforeAutospacing="1" w:after="100" w:afterAutospacing="1"/>
      <w:widowControl/>
    </w:pPr>
    <w:rPr>
      <w:b/>
      <w:bCs/>
      <w:sz w:val="18"/>
      <w:szCs w:val="18"/>
    </w:rPr>
  </w:style>
  <w:style w:type="paragraph" w:styleId="1369" w:customStyle="1">
    <w:name w:val="样式 段后: 0.5 行 左  0.75 字符"/>
    <w:basedOn w:val="1027"/>
    <w:uiPriority w:val="99"/>
    <w:qFormat/>
    <w:pPr>
      <w:ind w:firstLine="420"/>
      <w:spacing w:line="360" w:lineRule="auto"/>
      <w:widowControl/>
    </w:pPr>
    <w:rPr>
      <w:rFonts w:hAnsi="Arial" w:cs="Arial"/>
      <w:szCs w:val="21"/>
    </w:rPr>
  </w:style>
  <w:style w:type="paragraph" w:styleId="1370" w:customStyle="1">
    <w:name w:val="xl60"/>
    <w:basedOn w:val="102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71" w:customStyle="1">
    <w:name w:val="表蕊"/>
    <w:basedOn w:val="1027"/>
    <w:uiPriority w:val="99"/>
    <w:qFormat/>
    <w:pPr>
      <w:jc w:val="left"/>
      <w:spacing w:line="320" w:lineRule="atLeast"/>
    </w:pPr>
    <w:rPr>
      <w:rFonts w:eastAsia="楷体_GB2312"/>
      <w:spacing w:val="-10"/>
      <w:szCs w:val="20"/>
    </w:rPr>
  </w:style>
  <w:style w:type="paragraph" w:styleId="1372" w:customStyle="1">
    <w:name w:val="Char11"/>
    <w:basedOn w:val="1027"/>
    <w:uiPriority w:val="99"/>
    <w:qFormat/>
    <w:rPr>
      <w:rFonts w:ascii="仿宋_GB2312" w:eastAsia="仿宋_GB2312"/>
      <w:b/>
      <w:sz w:val="32"/>
      <w:szCs w:val="32"/>
    </w:rPr>
  </w:style>
  <w:style w:type="paragraph" w:styleId="1373" w:customStyle="1">
    <w:name w:val="符号与编号 Char"/>
    <w:basedOn w:val="1027"/>
    <w:uiPriority w:val="99"/>
    <w:qFormat/>
    <w:pPr>
      <w:ind w:left="720"/>
      <w:spacing w:line="400" w:lineRule="atLeast"/>
      <w:tabs>
        <w:tab w:val="left" w:pos="720" w:leader="none"/>
      </w:tabs>
    </w:pPr>
    <w:rPr>
      <w:sz w:val="24"/>
    </w:rPr>
  </w:style>
  <w:style w:type="paragraph" w:styleId="1374" w:customStyle="1">
    <w:name w:val="标题3"/>
    <w:basedOn w:val="1030"/>
    <w:uiPriority w:val="99"/>
    <w:qFormat/>
    <w:pPr>
      <w:keepLines w:val="0"/>
      <w:keepNext w:val="0"/>
      <w:spacing w:before="0" w:after="0" w:line="360" w:lineRule="auto"/>
    </w:pPr>
    <w:rPr>
      <w:rFonts w:eastAsia="仿宋_GB2312"/>
      <w:b w:val="0"/>
      <w:sz w:val="30"/>
    </w:rPr>
  </w:style>
  <w:style w:type="paragraph" w:styleId="1375" w:customStyle="1">
    <w:name w:val="表格内文字"/>
    <w:basedOn w:val="1027"/>
    <w:uiPriority w:val="99"/>
    <w:qFormat/>
    <w:pPr>
      <w:spacing w:line="300" w:lineRule="atLeast"/>
    </w:pPr>
    <w:rPr>
      <w:sz w:val="18"/>
    </w:rPr>
  </w:style>
  <w:style w:type="paragraph" w:styleId="1376" w:customStyle="1">
    <w:name w:val="xl59"/>
    <w:basedOn w:val="10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377" w:customStyle="1">
    <w:name w:val="正文 居中"/>
    <w:basedOn w:val="1027"/>
    <w:uiPriority w:val="99"/>
    <w:qFormat/>
    <w:pPr>
      <w:jc w:val="center"/>
      <w:spacing w:line="360" w:lineRule="auto"/>
    </w:pPr>
    <w:rPr>
      <w:sz w:val="24"/>
      <w:szCs w:val="20"/>
    </w:rPr>
  </w:style>
  <w:style w:type="paragraph" w:styleId="1378" w:customStyle="1">
    <w:name w:val="正文 + Arial Char"/>
    <w:basedOn w:val="1027"/>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379" w:customStyle="1">
    <w:name w:val="xl35"/>
    <w:basedOn w:val="10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80" w:customStyle="1">
    <w:name w:val="列表内容"/>
    <w:basedOn w:val="1027"/>
    <w:next w:val="1027"/>
    <w:uiPriority w:val="99"/>
    <w:qFormat/>
    <w:pPr>
      <w:ind w:left="840" w:hanging="420"/>
      <w:jc w:val="left"/>
      <w:widowControl/>
      <w:tabs>
        <w:tab w:val="left" w:pos="840" w:leader="none"/>
      </w:tabs>
    </w:pPr>
    <w:rPr>
      <w:sz w:val="18"/>
    </w:rPr>
  </w:style>
  <w:style w:type="paragraph" w:styleId="1381" w:customStyle="1">
    <w:name w:val="Char Char1 Char Char2 Char Char"/>
    <w:basedOn w:val="1027"/>
    <w:uiPriority w:val="99"/>
    <w:qFormat/>
    <w:pPr>
      <w:jc w:val="left"/>
      <w:spacing w:after="160" w:line="240" w:lineRule="exact"/>
      <w:widowControl/>
    </w:pPr>
  </w:style>
  <w:style w:type="paragraph" w:styleId="1382" w:customStyle="1">
    <w:name w:val="方案文档"/>
    <w:basedOn w:val="1027"/>
    <w:uiPriority w:val="99"/>
    <w:qFormat/>
    <w:pPr>
      <w:jc w:val="center"/>
      <w:spacing w:before="60" w:after="60" w:line="360" w:lineRule="auto"/>
    </w:pPr>
    <w:rPr>
      <w:rFonts w:ascii="宋体" w:hAnsi="宋体"/>
      <w:sz w:val="24"/>
      <w:szCs w:val="20"/>
      <w:lang w:val="zh-CN"/>
    </w:rPr>
  </w:style>
  <w:style w:type="paragraph" w:styleId="1383" w:customStyle="1">
    <w:name w:val="tableau"/>
    <w:basedOn w:val="1027"/>
    <w:uiPriority w:val="99"/>
    <w:qFormat/>
    <w:pPr>
      <w:jc w:val="center"/>
      <w:spacing w:before="20" w:after="20"/>
      <w:widowControl/>
    </w:pPr>
    <w:rPr>
      <w:rFonts w:ascii="Arial" w:hAnsi="Arial"/>
      <w:sz w:val="16"/>
      <w:szCs w:val="20"/>
      <w:lang w:val="en-GB" w:eastAsia="en-US"/>
    </w:rPr>
  </w:style>
  <w:style w:type="paragraph" w:styleId="1384" w:customStyle="1">
    <w:name w:val="样式 标题 2第一章 标题 2Heading 2 HiddenHeading 2 CCBSheading 2H2h2..."/>
    <w:basedOn w:val="1029"/>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85" w:customStyle="1">
    <w:name w:val="Char Char Char Char1"/>
    <w:basedOn w:val="1045"/>
    <w:uiPriority w:val="99"/>
    <w:qFormat/>
    <w:pPr>
      <w:spacing w:line="360" w:lineRule="auto"/>
    </w:pPr>
    <w:rPr>
      <w:rFonts w:ascii="Tahoma" w:hAnsi="Tahoma"/>
    </w:rPr>
  </w:style>
  <w:style w:type="paragraph" w:styleId="1386" w:customStyle="1">
    <w:name w:val="标题1"/>
    <w:basedOn w:val="1027"/>
    <w:next w:val="1027"/>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87" w:customStyle="1">
    <w:name w:val="Normal Indent1"/>
    <w:basedOn w:val="1027"/>
    <w:uiPriority w:val="99"/>
    <w:qFormat/>
    <w:pPr>
      <w:ind w:firstLine="420"/>
    </w:pPr>
    <w:rPr>
      <w:sz w:val="20"/>
      <w:szCs w:val="20"/>
    </w:rPr>
  </w:style>
  <w:style w:type="paragraph" w:styleId="1388" w:customStyle="1">
    <w:name w:val="Char Char1 Char Char Char Char Char Char Char"/>
    <w:basedOn w:val="1027"/>
    <w:uiPriority w:val="99"/>
    <w:qFormat/>
    <w:rPr>
      <w:rFonts w:ascii="Tahoma" w:hAnsi="Tahoma" w:cs="Tahoma"/>
      <w:sz w:val="24"/>
      <w:szCs w:val="20"/>
    </w:rPr>
  </w:style>
  <w:style w:type="paragraph" w:styleId="1389" w:customStyle="1">
    <w:name w:val="font9"/>
    <w:basedOn w:val="1027"/>
    <w:uiPriority w:val="99"/>
    <w:qFormat/>
    <w:pPr>
      <w:jc w:val="left"/>
      <w:spacing w:before="100" w:beforeAutospacing="1" w:after="100" w:afterAutospacing="1"/>
      <w:widowControl/>
    </w:pPr>
    <w:rPr>
      <w:b/>
      <w:bCs/>
      <w:sz w:val="20"/>
      <w:szCs w:val="20"/>
    </w:rPr>
  </w:style>
  <w:style w:type="paragraph" w:styleId="1390"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391" w:customStyle="1">
    <w:name w:val="Char Char Char Char Char Char Char1 Char"/>
    <w:basedOn w:val="1027"/>
    <w:uiPriority w:val="99"/>
    <w:qFormat/>
    <w:rPr>
      <w:rFonts w:ascii="Tahoma" w:hAnsi="Tahoma" w:cs="Tahoma"/>
      <w:sz w:val="24"/>
      <w:szCs w:val="20"/>
    </w:rPr>
  </w:style>
  <w:style w:type="paragraph" w:styleId="1392" w:customStyle="1">
    <w:name w:val="小四 段落 宋体 Char"/>
    <w:basedOn w:val="1043"/>
    <w:uiPriority w:val="99"/>
    <w:qFormat/>
    <w:pPr>
      <w:ind w:left="0" w:right="-33" w:firstLine="600"/>
      <w:jc w:val="left"/>
      <w:tabs>
        <w:tab w:val="clear" w:pos="2952" w:leader="none"/>
      </w:tabs>
    </w:pPr>
    <w:rPr>
      <w:rFonts w:ascii="仿宋_GB2312" w:eastAsia="仿宋_GB2312"/>
      <w:sz w:val="30"/>
      <w:szCs w:val="30"/>
    </w:rPr>
  </w:style>
  <w:style w:type="paragraph" w:styleId="1393" w:customStyle="1">
    <w:name w:val="标准小四"/>
    <w:basedOn w:val="1027"/>
    <w:uiPriority w:val="99"/>
    <w:qFormat/>
    <w:pPr>
      <w:ind w:firstLine="480"/>
      <w:spacing w:line="360" w:lineRule="auto"/>
    </w:pPr>
    <w:rPr>
      <w:rFonts w:ascii="Arial" w:hAnsi="Arial"/>
      <w:sz w:val="24"/>
      <w:szCs w:val="21"/>
    </w:rPr>
  </w:style>
  <w:style w:type="paragraph" w:styleId="1394" w:customStyle="1">
    <w:name w:val="xl47"/>
    <w:basedOn w:val="10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395" w:customStyle="1">
    <w:name w:val="xl25"/>
    <w:basedOn w:val="1027"/>
    <w:uiPriority w:val="99"/>
    <w:qFormat/>
    <w:pPr>
      <w:jc w:val="center"/>
      <w:spacing w:before="100" w:beforeAutospacing="1" w:after="100" w:afterAutospacing="1"/>
      <w:widowControl/>
      <w:pBdr>
        <w:right w:val="single" w:color="auto" w:sz="4" w:space="0"/>
      </w:pBdr>
    </w:pPr>
    <w:rPr>
      <w:szCs w:val="21"/>
    </w:rPr>
  </w:style>
  <w:style w:type="paragraph" w:styleId="1396" w:customStyle="1">
    <w:name w:val="greytypebeni"/>
    <w:basedOn w:val="1027"/>
    <w:uiPriority w:val="99"/>
    <w:qFormat/>
    <w:pPr>
      <w:jc w:val="left"/>
      <w:widowControl/>
    </w:pPr>
    <w:rPr>
      <w:rFonts w:ascii="宋体" w:hAnsi="宋体" w:cs="宋体"/>
      <w:sz w:val="24"/>
    </w:rPr>
  </w:style>
  <w:style w:type="paragraph" w:styleId="1397" w:customStyle="1">
    <w:name w:val="Body Text(ch)"/>
    <w:basedOn w:val="1027"/>
    <w:next w:val="1039"/>
    <w:uiPriority w:val="99"/>
    <w:qFormat/>
    <w:pPr>
      <w:spacing w:after="120"/>
    </w:pPr>
    <w:rPr>
      <w:rFonts w:ascii="宋体" w:hAnsi="Arial"/>
      <w:bCs/>
      <w:iCs/>
    </w:rPr>
  </w:style>
  <w:style w:type="paragraph" w:styleId="1398" w:customStyle="1">
    <w:name w:val="样式 标题 2H2h2sect 1.2Heading 2 HiddenHeading 2 CCBSheading 2..."/>
    <w:basedOn w:val="1029"/>
    <w:uiPriority w:val="99"/>
    <w:qFormat/>
    <w:pPr>
      <w:ind w:left="576" w:hanging="36"/>
      <w:jc w:val="left"/>
      <w:spacing w:line="240" w:lineRule="auto"/>
      <w:tabs>
        <w:tab w:val="left" w:pos="576" w:leader="none"/>
      </w:tabs>
    </w:pPr>
    <w:rPr>
      <w:rFonts w:ascii="宋体" w:hAnsi="宋体" w:eastAsia="宋体"/>
      <w:sz w:val="28"/>
      <w:szCs w:val="20"/>
    </w:rPr>
  </w:style>
  <w:style w:type="paragraph" w:styleId="1399" w:customStyle="1">
    <w:name w:val="a"/>
    <w:basedOn w:val="1027"/>
    <w:uiPriority w:val="99"/>
    <w:qFormat/>
    <w:pPr>
      <w:spacing w:before="100" w:beforeAutospacing="1" w:after="100" w:afterAutospacing="1"/>
      <w:widowControl/>
    </w:pPr>
    <w:rPr>
      <w:rFonts w:ascii="宋体" w:hAnsi="宋体" w:cs="宋体"/>
      <w:sz w:val="24"/>
    </w:rPr>
  </w:style>
  <w:style w:type="paragraph" w:styleId="1400" w:customStyle="1">
    <w:name w:val="小四 段落 宋体 Char Char Char"/>
    <w:basedOn w:val="1043"/>
    <w:uiPriority w:val="99"/>
    <w:qFormat/>
    <w:pPr>
      <w:ind w:left="0" w:right="-33" w:firstLine="545"/>
      <w:jc w:val="left"/>
      <w:spacing w:line="360" w:lineRule="auto"/>
      <w:tabs>
        <w:tab w:val="clear" w:pos="2952" w:leader="none"/>
      </w:tabs>
    </w:pPr>
    <w:rPr>
      <w:sz w:val="24"/>
    </w:rPr>
  </w:style>
  <w:style w:type="paragraph" w:styleId="1401" w:customStyle="1">
    <w:name w:val="Body Text 211"/>
    <w:basedOn w:val="1027"/>
    <w:uiPriority w:val="99"/>
    <w:qFormat/>
    <w:pPr>
      <w:ind w:left="720" w:hanging="720"/>
      <w:widowControl/>
    </w:pPr>
    <w:rPr>
      <w:sz w:val="24"/>
      <w:szCs w:val="20"/>
      <w:lang w:val="en-GB"/>
    </w:rPr>
  </w:style>
  <w:style w:type="paragraph" w:styleId="1402" w:customStyle="1">
    <w:name w:val="Char Char Char Char Char Char Char Char1"/>
    <w:basedOn w:val="1027"/>
    <w:uiPriority w:val="99"/>
    <w:qFormat/>
    <w:pPr>
      <w:jc w:val="left"/>
      <w:spacing w:after="160" w:line="240" w:lineRule="exact"/>
      <w:widowControl/>
    </w:pPr>
    <w:rPr>
      <w:rFonts w:ascii="Verdana" w:hAnsi="Verdana"/>
      <w:sz w:val="20"/>
      <w:szCs w:val="20"/>
      <w:lang w:eastAsia="en-US"/>
    </w:rPr>
  </w:style>
  <w:style w:type="paragraph" w:styleId="1403" w:customStyle="1">
    <w:name w:val="xl28"/>
    <w:basedOn w:val="10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04" w:customStyle="1">
    <w:name w:val="标题3，章节第三层"/>
    <w:basedOn w:val="1027"/>
    <w:next w:val="1295"/>
    <w:uiPriority w:val="99"/>
    <w:qFormat/>
    <w:pPr>
      <w:spacing w:before="78" w:line="300" w:lineRule="auto"/>
      <w:outlineLvl w:val="2"/>
    </w:pPr>
    <w:rPr>
      <w:rFonts w:ascii="Arial" w:hAnsi="Arial" w:eastAsia="华文细黑"/>
      <w:sz w:val="30"/>
    </w:rPr>
  </w:style>
  <w:style w:type="paragraph" w:styleId="1405" w:customStyle="1">
    <w:name w:val="样式4 Char"/>
    <w:basedOn w:val="1027"/>
    <w:uiPriority w:val="99"/>
    <w:qFormat/>
    <w:pPr>
      <w:ind w:firstLine="480"/>
      <w:jc w:val="left"/>
      <w:spacing w:line="360" w:lineRule="auto"/>
      <w:widowControl/>
    </w:pPr>
    <w:rPr>
      <w:rFonts w:cs="宋体"/>
      <w:color w:val="000000"/>
      <w:sz w:val="24"/>
    </w:rPr>
  </w:style>
  <w:style w:type="paragraph" w:styleId="1406" w:customStyle="1">
    <w:name w:val="Body Text 21"/>
    <w:basedOn w:val="1027"/>
    <w:uiPriority w:val="99"/>
    <w:qFormat/>
    <w:pPr>
      <w:ind w:left="720" w:hanging="720"/>
      <w:widowControl/>
    </w:pPr>
    <w:rPr>
      <w:sz w:val="24"/>
      <w:szCs w:val="20"/>
      <w:lang w:val="en-GB"/>
    </w:rPr>
  </w:style>
  <w:style w:type="paragraph" w:styleId="1407" w:customStyle="1">
    <w:name w:val="普通文字"/>
    <w:basedOn w:val="1027"/>
    <w:next w:val="1027"/>
    <w:uiPriority w:val="99"/>
    <w:qFormat/>
    <w:rPr>
      <w:rFonts w:ascii="宋体" w:hAnsi="宋体" w:cs="宋体"/>
      <w:sz w:val="24"/>
      <w:szCs w:val="20"/>
    </w:rPr>
  </w:style>
  <w:style w:type="paragraph" w:styleId="1408" w:customStyle="1">
    <w:name w:val="xl46"/>
    <w:basedOn w:val="1027"/>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09"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410" w:customStyle="1">
    <w:name w:val="font12"/>
    <w:basedOn w:val="1027"/>
    <w:uiPriority w:val="99"/>
    <w:qFormat/>
    <w:pPr>
      <w:jc w:val="left"/>
      <w:spacing w:before="100" w:beforeAutospacing="1" w:after="100" w:afterAutospacing="1"/>
      <w:widowControl/>
    </w:pPr>
    <w:rPr>
      <w:rFonts w:ascii="宋体" w:hAnsi="宋体" w:cs="宋体"/>
      <w:sz w:val="36"/>
      <w:szCs w:val="36"/>
    </w:rPr>
  </w:style>
  <w:style w:type="paragraph" w:styleId="1411" w:customStyle="1">
    <w:name w:val="马刚标题1"/>
    <w:basedOn w:val="1028"/>
    <w:next w:val="1027"/>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12" w:customStyle="1">
    <w:name w:val="Char Char Char Char Char Char Char Char Char Char Char Char Char Char Char Char Char Char Char Char Char"/>
    <w:basedOn w:val="1027"/>
    <w:uiPriority w:val="99"/>
    <w:qFormat/>
    <w:rPr>
      <w:rFonts w:ascii="Tahoma" w:hAnsi="Tahoma" w:cs="Tahoma"/>
      <w:sz w:val="24"/>
      <w:szCs w:val="20"/>
    </w:rPr>
  </w:style>
  <w:style w:type="paragraph" w:styleId="1413" w:customStyle="1">
    <w:name w:val="xl30"/>
    <w:basedOn w:val="10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14" w:customStyle="1">
    <w:name w:val="Char Char1 Char Char Char Char"/>
    <w:basedOn w:val="1045"/>
    <w:uiPriority w:val="99"/>
    <w:qFormat/>
    <w:pPr>
      <w:ind w:left="357"/>
      <w:jc w:val="left"/>
      <w:spacing w:line="436" w:lineRule="exact"/>
      <w:outlineLvl w:val="3"/>
    </w:pPr>
    <w:rPr>
      <w:rFonts w:ascii="Tahoma" w:hAnsi="Tahoma" w:cs="Tahoma"/>
      <w:b/>
    </w:rPr>
  </w:style>
  <w:style w:type="paragraph" w:styleId="1415" w:customStyle="1">
    <w:name w:val="普通正文"/>
    <w:basedOn w:val="1027"/>
    <w:uiPriority w:val="99"/>
    <w:qFormat/>
    <w:pPr>
      <w:ind w:firstLine="480"/>
      <w:jc w:val="left"/>
      <w:spacing w:before="120" w:after="120" w:line="360" w:lineRule="auto"/>
    </w:pPr>
    <w:rPr>
      <w:rFonts w:ascii="Arial" w:hAnsi="Arial"/>
      <w:sz w:val="24"/>
    </w:rPr>
  </w:style>
  <w:style w:type="paragraph" w:styleId="1416" w:customStyle="1">
    <w:name w:val="Char Char Char Char Char Char Char Char Char Char Char Char Char Char"/>
    <w:basedOn w:val="1027"/>
    <w:uiPriority w:val="99"/>
    <w:qFormat/>
    <w:rPr>
      <w:rFonts w:ascii="Tahoma" w:hAnsi="Tahoma"/>
      <w:sz w:val="24"/>
      <w:szCs w:val="20"/>
    </w:rPr>
  </w:style>
  <w:style w:type="paragraph" w:styleId="1417" w:customStyle="1">
    <w:name w:val="xl32"/>
    <w:basedOn w:val="10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18" w:customStyle="1">
    <w:name w:val="正文 首行缩进:  2 字符 Char Char"/>
    <w:basedOn w:val="1027"/>
    <w:uiPriority w:val="99"/>
    <w:qFormat/>
    <w:pPr>
      <w:ind w:firstLine="480"/>
      <w:spacing w:line="360" w:lineRule="auto"/>
    </w:pPr>
    <w:rPr>
      <w:rFonts w:ascii="楷体_GB2312" w:eastAsia="楷体_GB2312"/>
      <w:bCs/>
      <w:sz w:val="24"/>
    </w:rPr>
  </w:style>
  <w:style w:type="paragraph" w:styleId="1419" w:customStyle="1">
    <w:name w:val="4"/>
    <w:basedOn w:val="1027"/>
    <w:next w:val="1073"/>
    <w:uiPriority w:val="99"/>
    <w:qFormat/>
    <w:pPr>
      <w:ind w:firstLine="420"/>
      <w:spacing w:line="360" w:lineRule="auto"/>
    </w:pPr>
    <w:rPr>
      <w:color w:val="ff0000"/>
      <w:sz w:val="24"/>
    </w:rPr>
  </w:style>
  <w:style w:type="paragraph" w:styleId="1420" w:customStyle="1">
    <w:name w:val="font7"/>
    <w:basedOn w:val="1027"/>
    <w:uiPriority w:val="99"/>
    <w:qFormat/>
    <w:pPr>
      <w:jc w:val="left"/>
      <w:spacing w:before="100" w:beforeAutospacing="1" w:after="100" w:afterAutospacing="1"/>
      <w:widowControl/>
    </w:pPr>
    <w:rPr>
      <w:rFonts w:ascii="宋体" w:hAnsi="宋体"/>
      <w:b/>
      <w:bCs/>
      <w:sz w:val="24"/>
    </w:rPr>
  </w:style>
  <w:style w:type="paragraph" w:styleId="1421" w:customStyle="1">
    <w:name w:val="Char Char Char Char Char Char Char Char Char Char"/>
    <w:basedOn w:val="1027"/>
    <w:uiPriority w:val="99"/>
    <w:qFormat/>
    <w:pPr>
      <w:spacing w:line="360" w:lineRule="auto"/>
    </w:pPr>
    <w:rPr>
      <w:sz w:val="24"/>
      <w:szCs w:val="20"/>
    </w:rPr>
  </w:style>
  <w:style w:type="paragraph" w:styleId="1422" w:customStyle="1">
    <w:name w:val="Char Char Char Char Char Char Char Char Char Char Char Char Char"/>
    <w:basedOn w:val="1027"/>
    <w:uiPriority w:val="99"/>
    <w:qFormat/>
    <w:pPr>
      <w:jc w:val="left"/>
      <w:spacing w:after="160" w:line="240" w:lineRule="exact"/>
      <w:widowControl/>
    </w:pPr>
  </w:style>
  <w:style w:type="paragraph" w:styleId="1423" w:customStyle="1">
    <w:name w:val="xl43"/>
    <w:basedOn w:val="10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424" w:customStyle="1">
    <w:name w:val="列出段落2"/>
    <w:basedOn w:val="1027"/>
    <w:uiPriority w:val="99"/>
    <w:qFormat/>
    <w:pPr>
      <w:ind w:left="720"/>
      <w:jc w:val="left"/>
      <w:widowControl/>
    </w:pPr>
    <w:rPr>
      <w:rFonts w:ascii="Arial" w:hAnsi="Arial" w:eastAsia="黑体" w:cs="Arial"/>
      <w:sz w:val="24"/>
      <w:lang w:eastAsia="en-US"/>
    </w:rPr>
  </w:style>
  <w:style w:type="paragraph" w:styleId="1425" w:customStyle="1">
    <w:name w:val="默认段落字体 Para Char Char Char Char Char Char Char"/>
    <w:basedOn w:val="1027"/>
    <w:uiPriority w:val="99"/>
    <w:qFormat/>
    <w:rPr>
      <w:rFonts w:ascii="Tahoma" w:hAnsi="Tahoma"/>
      <w:sz w:val="24"/>
      <w:szCs w:val="20"/>
    </w:rPr>
  </w:style>
  <w:style w:type="paragraph" w:styleId="1426" w:customStyle="1">
    <w:name w:val="正文--表格内正文"/>
    <w:basedOn w:val="1027"/>
    <w:uiPriority w:val="99"/>
    <w:qFormat/>
    <w:pPr>
      <w:jc w:val="center"/>
      <w:spacing w:line="240" w:lineRule="atLeast"/>
    </w:pPr>
    <w:rPr>
      <w:rFonts w:ascii="宋体" w:hAnsi="宋体"/>
      <w:color w:val="000000"/>
      <w:sz w:val="24"/>
    </w:rPr>
  </w:style>
  <w:style w:type="paragraph" w:styleId="1427" w:customStyle="1">
    <w:name w:val="标题 4宋体"/>
    <w:basedOn w:val="1031"/>
    <w:uiPriority w:val="99"/>
    <w:qFormat/>
    <w:pPr>
      <w:jc w:val="left"/>
      <w:keepLines w:val="0"/>
      <w:spacing w:before="0" w:after="0" w:line="360" w:lineRule="auto"/>
    </w:pPr>
    <w:rPr>
      <w:rFonts w:ascii="宋体" w:hAnsi="宋体" w:eastAsia="宋体"/>
      <w:bCs/>
      <w:color w:val="000000"/>
      <w:sz w:val="24"/>
    </w:rPr>
  </w:style>
  <w:style w:type="paragraph" w:styleId="1428" w:customStyle="1">
    <w:name w:val="xl42"/>
    <w:basedOn w:val="10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9" w:customStyle="1">
    <w:name w:val="xl39"/>
    <w:basedOn w:val="10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30" w:customStyle="1">
    <w:name w:val="符号与编号"/>
    <w:basedOn w:val="1027"/>
    <w:uiPriority w:val="99"/>
    <w:qFormat/>
    <w:pPr>
      <w:ind w:left="900" w:hanging="420"/>
      <w:spacing w:line="400" w:lineRule="atLeast"/>
      <w:tabs>
        <w:tab w:val="left" w:pos="900" w:leader="none"/>
      </w:tabs>
    </w:pPr>
    <w:rPr>
      <w:sz w:val="24"/>
    </w:rPr>
  </w:style>
  <w:style w:type="paragraph" w:styleId="1431" w:customStyle="1">
    <w:name w:val="zw"/>
    <w:basedOn w:val="1027"/>
    <w:uiPriority w:val="99"/>
    <w:qFormat/>
    <w:pPr>
      <w:ind w:firstLine="480"/>
      <w:jc w:val="left"/>
      <w:spacing w:line="360" w:lineRule="auto"/>
      <w:widowControl/>
    </w:pPr>
    <w:rPr>
      <w:rFonts w:ascii="宋体" w:hAnsi="宋体"/>
      <w:bCs/>
      <w:sz w:val="24"/>
      <w:szCs w:val="20"/>
    </w:rPr>
  </w:style>
  <w:style w:type="paragraph" w:styleId="1432" w:customStyle="1">
    <w:name w:val="一级标题"/>
    <w:basedOn w:val="1027"/>
    <w:uiPriority w:val="99"/>
    <w:qFormat/>
    <w:pPr>
      <w:ind w:left="900" w:hanging="420"/>
      <w:spacing w:line="360" w:lineRule="auto"/>
      <w:tabs>
        <w:tab w:val="left" w:pos="903" w:leader="none"/>
      </w:tabs>
    </w:pPr>
    <w:rPr>
      <w:rFonts w:ascii="Arial" w:hAnsi="Arial" w:cs="Arial"/>
      <w:sz w:val="24"/>
      <w:szCs w:val="20"/>
    </w:rPr>
  </w:style>
  <w:style w:type="paragraph" w:styleId="1433"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434" w:customStyle="1">
    <w:name w:val="font8"/>
    <w:basedOn w:val="1027"/>
    <w:uiPriority w:val="99"/>
    <w:qFormat/>
    <w:pPr>
      <w:jc w:val="left"/>
      <w:spacing w:before="100" w:beforeAutospacing="1" w:after="100" w:afterAutospacing="1"/>
      <w:widowControl/>
    </w:pPr>
    <w:rPr>
      <w:rFonts w:ascii="宋体" w:hAnsi="宋体" w:cs="宋体"/>
      <w:b/>
      <w:bCs/>
      <w:i/>
      <w:iCs/>
      <w:sz w:val="20"/>
      <w:szCs w:val="20"/>
    </w:rPr>
  </w:style>
  <w:style w:type="paragraph" w:styleId="1435" w:customStyle="1">
    <w:name w:val="丁华标题2"/>
    <w:basedOn w:val="1029"/>
    <w:next w:val="1362"/>
    <w:uiPriority w:val="99"/>
    <w:qFormat/>
    <w:pPr>
      <w:ind w:left="567" w:hanging="567"/>
      <w:jc w:val="left"/>
      <w:spacing w:before="120" w:after="120"/>
      <w:tabs>
        <w:tab w:val="left" w:pos="567" w:leader="none"/>
      </w:tabs>
    </w:pPr>
    <w:rPr>
      <w:color w:val="000000"/>
      <w:sz w:val="28"/>
      <w:szCs w:val="20"/>
    </w:rPr>
  </w:style>
  <w:style w:type="paragraph" w:styleId="1436" w:customStyle="1">
    <w:name w:val="xl38"/>
    <w:basedOn w:val="10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7" w:customStyle="1">
    <w:name w:val="小四 段落 宋体"/>
    <w:basedOn w:val="1043"/>
    <w:uiPriority w:val="99"/>
    <w:qFormat/>
    <w:pPr>
      <w:ind w:left="113" w:right="113" w:firstLine="425"/>
      <w:jc w:val="left"/>
      <w:spacing w:line="360" w:lineRule="auto"/>
      <w:tabs>
        <w:tab w:val="clear" w:pos="2952" w:leader="none"/>
      </w:tabs>
    </w:pPr>
    <w:rPr>
      <w:sz w:val="24"/>
    </w:rPr>
  </w:style>
  <w:style w:type="paragraph" w:styleId="1438" w:customStyle="1">
    <w:name w:val="xl51"/>
    <w:basedOn w:val="102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39" w:customStyle="1">
    <w:name w:val="List Paragraph1"/>
    <w:basedOn w:val="1027"/>
    <w:uiPriority w:val="99"/>
    <w:qFormat/>
    <w:pPr>
      <w:ind w:left="720"/>
      <w:jc w:val="left"/>
      <w:widowControl/>
    </w:pPr>
    <w:rPr>
      <w:rFonts w:ascii="Arial" w:hAnsi="Arial" w:eastAsia="黑体"/>
      <w:sz w:val="24"/>
      <w:lang w:eastAsia="en-US"/>
    </w:rPr>
  </w:style>
  <w:style w:type="paragraph" w:styleId="1440" w:customStyle="1">
    <w:name w:val="Char Char Char Char Char Char Char Char"/>
    <w:basedOn w:val="1027"/>
    <w:uiPriority w:val="99"/>
    <w:qFormat/>
    <w:pPr>
      <w:jc w:val="left"/>
      <w:spacing w:after="160" w:line="240" w:lineRule="exact"/>
      <w:widowControl/>
    </w:pPr>
    <w:rPr>
      <w:rFonts w:ascii="Verdana" w:hAnsi="Verdana"/>
      <w:sz w:val="20"/>
      <w:szCs w:val="20"/>
      <w:lang w:eastAsia="en-US"/>
    </w:rPr>
  </w:style>
  <w:style w:type="paragraph" w:styleId="1441" w:customStyle="1">
    <w:name w:val="批注框文本1"/>
    <w:basedOn w:val="1027"/>
    <w:uiPriority w:val="99"/>
    <w:qFormat/>
    <w:rPr>
      <w:sz w:val="18"/>
      <w:szCs w:val="18"/>
    </w:rPr>
  </w:style>
  <w:style w:type="paragraph" w:styleId="1442" w:customStyle="1">
    <w:name w:val="默认段落字体 Para Char Char Char Char Char Char Char Char Char1 Char Char Char Char Char Char Char"/>
    <w:basedOn w:val="1045"/>
    <w:uiPriority w:val="99"/>
    <w:qFormat/>
    <w:rPr>
      <w:szCs w:val="20"/>
    </w:rPr>
  </w:style>
  <w:style w:type="paragraph" w:styleId="1443" w:customStyle="1">
    <w:name w:val="Pa6"/>
    <w:basedOn w:val="1027"/>
    <w:next w:val="1027"/>
    <w:uiPriority w:val="99"/>
    <w:qFormat/>
    <w:pPr>
      <w:jc w:val="left"/>
      <w:spacing w:line="241" w:lineRule="atLeast"/>
    </w:pPr>
    <w:rPr>
      <w:rFonts w:ascii="汉仪大黑简" w:eastAsia="汉仪大黑简"/>
      <w:sz w:val="24"/>
    </w:rPr>
  </w:style>
  <w:style w:type="paragraph" w:styleId="1444" w:customStyle="1">
    <w:name w:val="xl49"/>
    <w:basedOn w:val="1027"/>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445" w:customStyle="1">
    <w:name w:val="列出段落11"/>
    <w:basedOn w:val="1027"/>
    <w:uiPriority w:val="99"/>
    <w:qFormat/>
    <w:pPr>
      <w:ind w:firstLine="200"/>
    </w:pPr>
    <w:rPr>
      <w:rFonts w:ascii="Calibri" w:hAnsi="Calibri" w:cs="宋体"/>
      <w:szCs w:val="22"/>
    </w:rPr>
  </w:style>
  <w:style w:type="paragraph" w:styleId="1446" w:customStyle="1">
    <w:name w:val="Char Char Char Char Char Char Char1"/>
    <w:basedOn w:val="1027"/>
    <w:uiPriority w:val="99"/>
    <w:qFormat/>
    <w:rPr>
      <w:rFonts w:ascii="Tahoma" w:hAnsi="Tahoma"/>
      <w:sz w:val="24"/>
      <w:szCs w:val="20"/>
    </w:rPr>
  </w:style>
  <w:style w:type="paragraph" w:styleId="1447" w:customStyle="1">
    <w:name w:val="大标题"/>
    <w:basedOn w:val="1027"/>
    <w:next w:val="1027"/>
    <w:uiPriority w:val="99"/>
    <w:qFormat/>
    <w:pPr>
      <w:ind w:hanging="420"/>
      <w:pageBreakBefore/>
      <w:spacing w:line="360" w:lineRule="auto"/>
      <w:tabs>
        <w:tab w:val="left" w:pos="420" w:leader="none"/>
      </w:tabs>
      <w:outlineLvl w:val="0"/>
    </w:pPr>
    <w:rPr>
      <w:b/>
      <w:iCs/>
      <w:sz w:val="44"/>
    </w:rPr>
  </w:style>
  <w:style w:type="paragraph" w:styleId="1448" w:customStyle="1">
    <w:name w:val="Char2 Char Char Char Char Char Char1"/>
    <w:basedOn w:val="1027"/>
    <w:uiPriority w:val="99"/>
    <w:qFormat/>
    <w:pPr>
      <w:ind w:hanging="425"/>
      <w:keepNext/>
      <w:spacing w:before="80" w:after="80"/>
      <w:widowControl/>
      <w:tabs>
        <w:tab w:val="left" w:pos="425" w:leader="none"/>
      </w:tabs>
    </w:pPr>
    <w:rPr>
      <w:rFonts w:ascii="Arial" w:hAnsi="Arial" w:cs="Arial"/>
      <w:sz w:val="20"/>
      <w:szCs w:val="20"/>
    </w:rPr>
  </w:style>
  <w:style w:type="paragraph" w:styleId="1449" w:customStyle="1">
    <w:name w:val="Char Char"/>
    <w:basedOn w:val="1027"/>
    <w:uiPriority w:val="99"/>
    <w:qFormat/>
    <w:rPr>
      <w:rFonts w:ascii="Tahoma" w:hAnsi="Tahoma"/>
      <w:sz w:val="24"/>
      <w:szCs w:val="20"/>
    </w:rPr>
  </w:style>
  <w:style w:type="paragraph" w:styleId="1450" w:customStyle="1">
    <w:name w:val="Char Char Char Char"/>
    <w:basedOn w:val="1045"/>
    <w:uiPriority w:val="99"/>
    <w:qFormat/>
    <w:pPr>
      <w:spacing w:line="360" w:lineRule="auto"/>
    </w:pPr>
    <w:rPr>
      <w:rFonts w:ascii="Tahoma" w:hAnsi="Tahoma"/>
    </w:rPr>
  </w:style>
  <w:style w:type="paragraph" w:styleId="1451" w:customStyle="1">
    <w:name w:val="ewb-con-p2"/>
    <w:basedOn w:val="1027"/>
    <w:uiPriority w:val="99"/>
    <w:qFormat/>
    <w:pPr>
      <w:jc w:val="left"/>
      <w:spacing w:before="100" w:beforeAutospacing="1" w:after="100" w:afterAutospacing="1"/>
      <w:widowControl/>
    </w:pPr>
    <w:rPr>
      <w:rFonts w:ascii="宋体" w:hAnsi="宋体" w:cs="宋体"/>
      <w:sz w:val="24"/>
    </w:rPr>
  </w:style>
  <w:style w:type="paragraph" w:styleId="1452" w:customStyle="1">
    <w:name w:val="xl61"/>
    <w:basedOn w:val="102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53" w:customStyle="1">
    <w:name w:val="xl55"/>
    <w:basedOn w:val="102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54" w:customStyle="1">
    <w:name w:val="Char Char Char1"/>
    <w:basedOn w:val="1045"/>
    <w:uiPriority w:val="99"/>
    <w:qFormat/>
    <w:pPr>
      <w:spacing w:line="436" w:lineRule="exact"/>
    </w:pPr>
  </w:style>
  <w:style w:type="paragraph" w:styleId="1455"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456" w:customStyle="1">
    <w:name w:val="正文 首行缩进:  2 字符 Char"/>
    <w:basedOn w:val="1027"/>
    <w:uiPriority w:val="99"/>
    <w:qFormat/>
    <w:pPr>
      <w:ind w:firstLine="480"/>
      <w:spacing w:line="360" w:lineRule="auto"/>
    </w:pPr>
    <w:rPr>
      <w:rFonts w:cs="宋体"/>
      <w:sz w:val="24"/>
      <w:szCs w:val="20"/>
    </w:rPr>
  </w:style>
  <w:style w:type="paragraph" w:styleId="1457"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458" w:customStyle="1">
    <w:name w:val="xl33"/>
    <w:basedOn w:val="10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9" w:customStyle="1">
    <w:name w:val="表格内容"/>
    <w:basedOn w:val="1027"/>
    <w:uiPriority w:val="99"/>
    <w:qFormat/>
    <w:pPr>
      <w:jc w:val="center"/>
      <w:spacing w:before="60" w:line="300" w:lineRule="auto"/>
      <w:widowControl/>
    </w:pPr>
    <w:rPr>
      <w:szCs w:val="20"/>
    </w:rPr>
  </w:style>
  <w:style w:type="paragraph" w:styleId="1460" w:customStyle="1">
    <w:name w:val="正文lzq"/>
    <w:basedOn w:val="1027"/>
    <w:uiPriority w:val="99"/>
    <w:qFormat/>
    <w:pPr>
      <w:ind w:firstLine="480"/>
      <w:spacing w:line="360" w:lineRule="auto"/>
    </w:pPr>
    <w:rPr>
      <w:sz w:val="24"/>
      <w:szCs w:val="20"/>
    </w:rPr>
  </w:style>
  <w:style w:type="paragraph" w:styleId="1461"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462" w:customStyle="1">
    <w:name w:val="Char Char Char Char Char Char Char Char Char"/>
    <w:basedOn w:val="1027"/>
    <w:uiPriority w:val="99"/>
    <w:qFormat/>
    <w:pPr>
      <w:ind w:left="200" w:hanging="200"/>
      <w:tabs>
        <w:tab w:val="left" w:pos="360" w:leader="none"/>
      </w:tabs>
    </w:pPr>
    <w:rPr>
      <w:sz w:val="24"/>
    </w:rPr>
  </w:style>
  <w:style w:type="paragraph" w:styleId="1463" w:customStyle="1">
    <w:name w:val="项目符号：一级"/>
    <w:basedOn w:val="1295"/>
    <w:next w:val="1295"/>
    <w:uiPriority w:val="99"/>
    <w:qFormat/>
    <w:pPr>
      <w:ind w:right="-134"/>
    </w:pPr>
    <w:rPr>
      <w:bCs w:val="0"/>
    </w:rPr>
  </w:style>
  <w:style w:type="paragraph" w:styleId="1464" w:customStyle="1">
    <w:name w:val="content_lineheight"/>
    <w:basedOn w:val="1027"/>
    <w:uiPriority w:val="99"/>
    <w:qFormat/>
    <w:pPr>
      <w:jc w:val="left"/>
      <w:spacing w:before="100" w:beforeAutospacing="1" w:after="100" w:afterAutospacing="1"/>
      <w:widowControl/>
    </w:pPr>
    <w:rPr>
      <w:rFonts w:ascii="宋体" w:hAnsi="宋体"/>
      <w:sz w:val="24"/>
    </w:rPr>
  </w:style>
  <w:style w:type="paragraph" w:styleId="1465" w:customStyle="1">
    <w:name w:val="项目符号，二级"/>
    <w:basedOn w:val="1295"/>
    <w:next w:val="1295"/>
    <w:uiPriority w:val="99"/>
    <w:qFormat/>
    <w:pPr>
      <w:ind w:left="1337" w:right="-27" w:firstLine="480"/>
      <w:tabs>
        <w:tab w:val="left" w:pos="1211" w:leader="none"/>
        <w:tab w:val="left" w:pos="1337" w:leader="none"/>
      </w:tabs>
    </w:pPr>
    <w:rPr>
      <w:bCs w:val="0"/>
      <w:color w:val="000000"/>
      <w:sz w:val="24"/>
      <w:szCs w:val="24"/>
    </w:rPr>
  </w:style>
  <w:style w:type="paragraph" w:styleId="1466" w:customStyle="1">
    <w:name w:val="小四 段落 宋体 Char Char"/>
    <w:basedOn w:val="1027"/>
    <w:uiPriority w:val="99"/>
    <w:qFormat/>
    <w:pPr>
      <w:ind w:firstLine="480"/>
      <w:spacing w:line="360" w:lineRule="auto"/>
    </w:pPr>
    <w:rPr>
      <w:rFonts w:ascii="宋体" w:hAnsi="宋体"/>
      <w:sz w:val="24"/>
    </w:rPr>
  </w:style>
  <w:style w:type="paragraph" w:styleId="1467" w:customStyle="1">
    <w:name w:val="正文文本缩进 31"/>
    <w:basedOn w:val="1027"/>
    <w:uiPriority w:val="99"/>
    <w:qFormat/>
    <w:pPr>
      <w:ind w:firstLine="504"/>
      <w:spacing w:line="360" w:lineRule="auto"/>
      <w:tabs>
        <w:tab w:val="left" w:pos="0" w:leader="none"/>
      </w:tabs>
    </w:pPr>
    <w:rPr>
      <w:rFonts w:ascii="宋体"/>
      <w:b/>
      <w:bCs/>
      <w:sz w:val="24"/>
    </w:rPr>
  </w:style>
  <w:style w:type="paragraph" w:styleId="1468" w:customStyle="1">
    <w:name w:val="标题 41"/>
    <w:basedOn w:val="1027"/>
    <w:uiPriority w:val="99"/>
    <w:qFormat/>
    <w:pPr>
      <w:ind w:left="618"/>
      <w:jc w:val="left"/>
      <w:outlineLvl w:val="4"/>
    </w:pPr>
    <w:rPr>
      <w:rFonts w:ascii="宋体" w:hAnsi="宋体" w:cs="宋体"/>
      <w:b/>
      <w:bCs/>
      <w:sz w:val="24"/>
      <w:lang w:val="zh-CN"/>
    </w:rPr>
  </w:style>
  <w:style w:type="paragraph" w:styleId="1469" w:customStyle="1">
    <w:name w:val="msolistparagraph"/>
    <w:basedOn w:val="1027"/>
    <w:uiPriority w:val="99"/>
    <w:qFormat/>
    <w:pPr>
      <w:ind w:left="420" w:firstLine="420"/>
      <w:spacing w:line="400" w:lineRule="exact"/>
    </w:pPr>
    <w:rPr>
      <w:rFonts w:ascii="Calibri" w:hAnsi="Calibri"/>
    </w:rPr>
  </w:style>
  <w:style w:type="paragraph" w:styleId="1470" w:customStyle="1">
    <w:name w:val="Blockquote"/>
    <w:basedOn w:val="1027"/>
    <w:uiPriority w:val="99"/>
    <w:qFormat/>
    <w:pPr>
      <w:ind w:left="360" w:right="360"/>
      <w:jc w:val="left"/>
      <w:spacing w:before="100" w:after="100"/>
    </w:pPr>
    <w:rPr>
      <w:sz w:val="24"/>
    </w:rPr>
  </w:style>
  <w:style w:type="character" w:styleId="1471" w:customStyle="1">
    <w:name w:val="无"/>
    <w:uiPriority w:val="0"/>
    <w:qFormat/>
  </w:style>
  <w:style w:type="character" w:styleId="1472" w:customStyle="1">
    <w:name w:val="Hyperlink.1"/>
    <w:uiPriority w:val="0"/>
    <w:qFormat/>
    <w:rPr>
      <w:rFonts w:ascii="宋体" w:hAnsi="宋体" w:eastAsia="宋体" w:cs="宋体"/>
      <w:shd w:val="clear" w:color="auto" w:fill="auto"/>
      <w:lang w:val="zh-TW" w:eastAsia="zh-TW"/>
    </w:rPr>
  </w:style>
  <w:style w:type="table" w:styleId="147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474" w:customStyle="1">
    <w:name w:val="not([class*=suffix])"/>
    <w:basedOn w:val="1037"/>
    <w:uiPriority w:val="0"/>
    <w:qFormat/>
  </w:style>
  <w:style w:type="character" w:styleId="1475" w:customStyle="1">
    <w:name w:val="not([class*=suffix])1"/>
    <w:basedOn w:val="1037"/>
    <w:uiPriority w:val="0"/>
    <w:qFormat/>
    <w:rPr>
      <w:sz w:val="13"/>
      <w:szCs w:val="13"/>
    </w:rPr>
  </w:style>
  <w:style w:type="paragraph" w:styleId="1476" w:customStyle="1">
    <w:name w:val="Table Paragraph"/>
    <w:basedOn w:val="1027"/>
    <w:uiPriority w:val="1"/>
    <w:qFormat/>
    <w:pPr>
      <w:jc w:val="left"/>
    </w:pPr>
    <w:rPr>
      <w:rFonts w:ascii="宋体" w:hAnsi="宋体" w:cs="宋体"/>
      <w:sz w:val="22"/>
      <w:szCs w:val="22"/>
      <w:lang w:val="zh-CN" w:bidi="zh-CN"/>
    </w:rPr>
  </w:style>
  <w:style w:type="paragraph" w:styleId="1477" w:customStyle="1">
    <w:name w:val="BodyText"/>
    <w:basedOn w:val="1027"/>
    <w:uiPriority w:val="0"/>
    <w:qFormat/>
    <w:pPr>
      <w:spacing w:after="120"/>
    </w:pPr>
    <w:rPr>
      <w:rFonts w:ascii="Calibri"/>
      <w:sz w:val="20"/>
      <w:szCs w:val="20"/>
    </w:rPr>
  </w:style>
  <w:style w:type="character" w:styleId="1478" w:customStyle="1">
    <w:name w:val="样式 仿宋"/>
    <w:uiPriority w:val="0"/>
    <w:qFormat/>
    <w:rPr>
      <w:rFonts w:ascii="仿宋" w:hAnsi="仿宋" w:eastAsia="仿宋"/>
    </w:rPr>
  </w:style>
  <w:style w:type="character" w:styleId="1479" w:customStyle="1">
    <w:name w:val="font51"/>
    <w:basedOn w:val="1037"/>
    <w:uiPriority w:val="0"/>
    <w:qFormat/>
    <w:rPr>
      <w:rFonts w:hint="default" w:ascii="Times New Roman" w:hAnsi="Times New Roman" w:cs="Times New Roman"/>
      <w:color w:val="000000"/>
      <w:sz w:val="20"/>
      <w:szCs w:val="20"/>
      <w:u w:val="none"/>
    </w:rPr>
  </w:style>
  <w:style w:type="character" w:styleId="1480" w:customStyle="1">
    <w:name w:val="NormalCharacter"/>
    <w:uiPriority w:val="0"/>
    <w:qFormat/>
    <w:rPr>
      <w:rFonts w:ascii="KNLe" w:hAnsi="KNLe" w:eastAsia="Ari" w:cs="KNLe"/>
      <w:sz w:val="21"/>
      <w:szCs w:val="22"/>
      <w:lang w:val="en-US" w:eastAsia="zh-CN" w:bidi="ar-SA"/>
    </w:rPr>
  </w:style>
  <w:style w:type="paragraph" w:styleId="1481" w:customStyle="1">
    <w:name w:val="BodyText1I2"/>
    <w:basedOn w:val="1482"/>
    <w:next w:val="1027"/>
    <w:uiPriority w:val="0"/>
    <w:qFormat/>
    <w:pPr>
      <w:ind w:firstLine="420"/>
    </w:pPr>
    <w:rPr>
      <w:rFonts w:ascii="Calibri" w:hAnsi="Calibri"/>
    </w:rPr>
  </w:style>
  <w:style w:type="paragraph" w:styleId="1482" w:customStyle="1">
    <w:name w:val="BodyTextIndent"/>
    <w:basedOn w:val="1027"/>
    <w:next w:val="1483"/>
    <w:uiPriority w:val="0"/>
    <w:qFormat/>
    <w:pPr>
      <w:ind w:firstLine="403"/>
      <w:spacing w:line="440" w:lineRule="exact"/>
    </w:pPr>
    <w:rPr>
      <w:rFonts w:ascii="宋体" w:hAnsi="宋体"/>
      <w:szCs w:val="21"/>
    </w:rPr>
  </w:style>
  <w:style w:type="paragraph" w:styleId="1483" w:customStyle="1">
    <w:name w:val="EnvelopeReturn"/>
    <w:basedOn w:val="1027"/>
    <w:uiPriority w:val="0"/>
    <w:qFormat/>
    <w:rPr>
      <w:rFonts w:ascii="Arial" w:hAnsi="Arial"/>
    </w:rPr>
  </w:style>
  <w:style w:type="paragraph" w:styleId="1484" w:customStyle="1">
    <w:name w:val="二级目录"/>
    <w:next w:val="1027"/>
    <w:uiPriority w:val="99"/>
    <w:qFormat/>
    <w:pPr>
      <w:numPr>
        <w:ilvl w:val="0"/>
        <w:numId w:val="1"/>
      </w:numPr>
      <w:spacing w:after="160" w:line="259" w:lineRule="auto"/>
      <w:outlineLvl w:val="1"/>
    </w:pPr>
    <w:rPr>
      <w:rFonts w:ascii="Calibri" w:hAnsi="Calibri" w:eastAsia="宋体" w:cs="Times New Roman"/>
      <w:b/>
      <w:bCs/>
      <w:sz w:val="28"/>
      <w:szCs w:val="28"/>
      <w:lang w:val="en-US" w:eastAsia="zh-CN" w:bidi="ar-SA"/>
    </w:rPr>
  </w:style>
  <w:style w:type="paragraph" w:styleId="1485" w:customStyle="1">
    <w:name w:val="正文首行缩进 21"/>
    <w:basedOn w:val="1486"/>
    <w:next w:val="1027"/>
    <w:uiPriority w:val="0"/>
    <w:qFormat/>
    <w:pPr>
      <w:ind w:firstLine="420"/>
      <w:spacing w:before="100" w:beforeAutospacing="1" w:after="200" w:line="440" w:lineRule="exact"/>
    </w:pPr>
    <w:rPr>
      <w:rFonts w:ascii="Calibri" w:hAnsi="Calibri" w:cs="Calibri"/>
      <w:szCs w:val="21"/>
    </w:rPr>
  </w:style>
  <w:style w:type="paragraph" w:styleId="1486" w:customStyle="1">
    <w:name w:val="正文文本缩进11"/>
    <w:basedOn w:val="1027"/>
    <w:next w:val="1487"/>
    <w:uiPriority w:val="0"/>
    <w:qFormat/>
    <w:pPr>
      <w:ind w:firstLine="645"/>
    </w:pPr>
    <w:rPr>
      <w:rFonts w:ascii="楷体_GB2312" w:eastAsia="楷体_GB2312"/>
      <w:sz w:val="32"/>
    </w:rPr>
  </w:style>
  <w:style w:type="paragraph" w:styleId="1487" w:customStyle="1">
    <w:name w:val="寄信人地址1"/>
    <w:basedOn w:val="1027"/>
    <w:uiPriority w:val="0"/>
    <w:qFormat/>
    <w:rPr>
      <w:rFonts w:ascii="Arial" w:hAnsi="Arial"/>
    </w:rPr>
  </w:style>
  <w:style w:type="character" w:styleId="1488" w:customStyle="1">
    <w:name w:val="15"/>
    <w:uiPriority w:val="0"/>
    <w:qFormat/>
    <w:rPr>
      <w:rFonts w:hint="default" w:ascii="Times New Roman" w:hAnsi="Times New Roman" w:cs="Times New Roman"/>
    </w:rPr>
  </w:style>
  <w:style w:type="paragraph" w:styleId="1489"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49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491" w:customStyle="1">
    <w:name w:val="报告正文"/>
    <w:basedOn w:val="1027"/>
    <w:uiPriority w:val="0"/>
    <w:qFormat/>
    <w:pPr>
      <w:ind w:firstLine="560"/>
    </w:pPr>
    <w:rPr>
      <w:szCs w:val="20"/>
      <w:lang w:val="zh-CN"/>
    </w:rPr>
  </w:style>
  <w:style w:type="paragraph" w:styleId="1492" w:customStyle="1">
    <w:name w:val="正文 + 行距: 固定值 20 磅"/>
    <w:basedOn w:val="1027"/>
    <w:uiPriority w:val="0"/>
    <w:qFormat/>
    <w:pPr>
      <w:ind w:firstLine="716"/>
      <w:spacing w:line="400" w:lineRule="exact"/>
    </w:pPr>
    <w:rPr>
      <w:rFonts w:ascii="Calibri" w:hAnsi="Calibri"/>
      <w:szCs w:val="22"/>
    </w:rPr>
  </w:style>
  <w:style w:type="paragraph" w:styleId="1493" w:customStyle="1">
    <w:name w:val="_Style 55"/>
    <w:basedOn w:val="1027"/>
    <w:next w:val="1149"/>
    <w:uiPriority w:val="1"/>
    <w:qFormat/>
    <w:pPr>
      <w:ind w:firstLine="420"/>
    </w:pPr>
    <w:rPr>
      <w:rFonts w:ascii="Calibri" w:hAnsi="Calibri"/>
    </w:rPr>
  </w:style>
  <w:style w:type="numbering" w:styleId="14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9</cp:revision>
  <dcterms:created xsi:type="dcterms:W3CDTF">2026-03-16T10:12:00Z</dcterms:created>
  <dcterms:modified xsi:type="dcterms:W3CDTF">2026-05-22T07:26:55Z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6B45261217C14BADBAB2EDB9D8ECEE29_13</vt:lpwstr>
  </property>
  <property fmtid="{D5CDD505-2E9C-101B-9397-08002B2CF9AE}" pid="4" name="commondata">
    <vt:lpwstr>eyJoZGlkIjoiMzRjYzhjMjM2MzIwNWZiYjI5ZGZjZjAyNjdmMTc5ZDgifQ==</vt:lpwstr>
  </property>
  <property fmtid="{D5CDD505-2E9C-101B-9397-08002B2CF9AE}" pid="5" name="MSIP_Label_e68a7eba-5507-4be7-87ab-be5a2ad9d7c1_Enabled">
    <vt:lpwstr>true</vt:lpwstr>
  </property>
  <property fmtid="{D5CDD505-2E9C-101B-9397-08002B2CF9AE}" pid="6" name="MSIP_Label_e68a7eba-5507-4be7-87ab-be5a2ad9d7c1_SetDate">
    <vt:lpwstr>2024-04-02T08:41:07Z</vt:lpwstr>
  </property>
  <property fmtid="{D5CDD505-2E9C-101B-9397-08002B2CF9AE}" pid="7" name="MSIP_Label_e68a7eba-5507-4be7-87ab-be5a2ad9d7c1_Method">
    <vt:lpwstr>Standard</vt:lpwstr>
  </property>
  <property fmtid="{D5CDD505-2E9C-101B-9397-08002B2CF9AE}" pid="8" name="MSIP_Label_e68a7eba-5507-4be7-87ab-be5a2ad9d7c1_Name">
    <vt:lpwstr>General</vt:lpwstr>
  </property>
  <property fmtid="{D5CDD505-2E9C-101B-9397-08002B2CF9AE}" pid="9" name="MSIP_Label_e68a7eba-5507-4be7-87ab-be5a2ad9d7c1_SiteId">
    <vt:lpwstr>da758f18-b6d4-4358-942a-60930627c405</vt:lpwstr>
  </property>
  <property fmtid="{D5CDD505-2E9C-101B-9397-08002B2CF9AE}" pid="10" name="MSIP_Label_e68a7eba-5507-4be7-87ab-be5a2ad9d7c1_ActionId">
    <vt:lpwstr>0a0251e7-f409-4f32-99cf-f4f77d48c927</vt:lpwstr>
  </property>
  <property fmtid="{D5CDD505-2E9C-101B-9397-08002B2CF9AE}" pid="11" name="MSIP_Label_e68a7eba-5507-4be7-87ab-be5a2ad9d7c1_ContentBits">
    <vt:lpwstr>0</vt:lpwstr>
  </property>
  <property fmtid="{D5CDD505-2E9C-101B-9397-08002B2CF9AE}" pid="12" name="MSIP_Label_73094ff5-79ca-456b-95f6-d578316a3809_Enabled">
    <vt:lpwstr>true</vt:lpwstr>
  </property>
  <property fmtid="{D5CDD505-2E9C-101B-9397-08002B2CF9AE}" pid="13" name="MSIP_Label_73094ff5-79ca-456b-95f6-d578316a3809_SetDate">
    <vt:lpwstr>2024-08-12T05:53:11Z</vt:lpwstr>
  </property>
  <property fmtid="{D5CDD505-2E9C-101B-9397-08002B2CF9AE}" pid="14" name="MSIP_Label_73094ff5-79ca-456b-95f6-d578316a3809_Method">
    <vt:lpwstr>Privileged</vt:lpwstr>
  </property>
  <property fmtid="{D5CDD505-2E9C-101B-9397-08002B2CF9AE}" pid="15" name="MSIP_Label_73094ff5-79ca-456b-95f6-d578316a3809_Name">
    <vt:lpwstr>Public</vt:lpwstr>
  </property>
  <property fmtid="{D5CDD505-2E9C-101B-9397-08002B2CF9AE}" pid="16" name="MSIP_Label_73094ff5-79ca-456b-95f6-d578316a3809_SiteId">
    <vt:lpwstr>771c9c47-7f24-44dc-958e-34f8713a8394</vt:lpwstr>
  </property>
  <property fmtid="{D5CDD505-2E9C-101B-9397-08002B2CF9AE}" pid="17" name="MSIP_Label_73094ff5-79ca-456b-95f6-d578316a3809_ActionId">
    <vt:lpwstr>937d6e77-aee8-4fad-a372-f6bffb848a7c</vt:lpwstr>
  </property>
  <property fmtid="{D5CDD505-2E9C-101B-9397-08002B2CF9AE}" pid="18" name="MSIP_Label_73094ff5-79ca-456b-95f6-d578316a3809_ContentBits">
    <vt:lpwstr>0</vt:lpwstr>
  </property>
  <property fmtid="{D5CDD505-2E9C-101B-9397-08002B2CF9AE}" pid="19" name="KSOTemplateDocerSaveRecord">
    <vt:lpwstr>eyJoZGlkIjoiMzYwM2E0OTM1MTNmYjdhZDYzZTk0ZmY4ODg5YjlmZWEiLCJ1c2VySWQiOiI0MzkyODMxNDkifQ==</vt:lpwstr>
  </property>
</Properties>
</file>