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highlight w:val="none"/>
        </w:rPr>
        <w:t xml:space="preserve"> </w:t>
      </w:r>
      <w:r>
        <w:rPr>
          <w:rFonts w:ascii="宋体" w:hAnsi="宋体" w:eastAsia="宋体" w:cs="宋体"/>
          <w:b/>
          <w:color w:val="000000"/>
          <w:sz w:val="72"/>
          <w:highlight w:val="none"/>
        </w:rPr>
        <w:t xml:space="preserve">苏 州 市 政 府 采 购</w:t>
      </w:r>
      <w:r>
        <w:rPr>
          <w:highlight w:val="none"/>
        </w:rPr>
      </w:r>
      <w:r/>
    </w:p>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highlight w:val="none"/>
        </w:rPr>
        <w:t xml:space="preserve">竞争性磋商采购文件</w:t>
      </w:r>
      <w:r>
        <w:rPr>
          <w:highlight w:val="none"/>
        </w:rPr>
      </w:r>
      <w:r/>
    </w:p>
    <w:p>
      <w:pPr>
        <w:ind w:left="0" w:right="0" w:firstLine="0"/>
        <w:jc w:val="center"/>
        <w:spacing w:before="0" w:after="0"/>
        <w:tabs>
          <w:tab w:val="left" w:pos="759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highlight w:val="none"/>
        </w:rPr>
        <w:t xml:space="preserve"> </w:t>
      </w:r>
      <w:r>
        <w:rPr>
          <w:highlight w:val="none"/>
        </w:rPr>
      </w:r>
      <w:r/>
    </w:p>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highlight w:val="none"/>
        </w:rPr>
        <w:t xml:space="preserve"> </w:t>
      </w:r>
      <w:r>
        <w:rPr>
          <w:highlight w:val="none"/>
        </w:rPr>
      </w:r>
      <w:r/>
    </w:p>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highlight w:val="none"/>
        </w:rPr>
        <w:t xml:space="preserve"> </w:t>
      </w:r>
      <w:r>
        <w:rPr>
          <w:highlight w:val="none"/>
        </w:rPr>
      </w:r>
      <w:r/>
    </w:p>
    <w:p>
      <w:pPr>
        <w:ind w:left="1040" w:right="0" w:firstLine="928"/>
        <w:jc w:val="both"/>
        <w:spacing w:before="0" w:after="0" w:line="85" w:lineRule="atLeast"/>
        <w:rPr>
          <w:rFonts w:hint="eastAsia"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6"/>
          <w:sz w:val="32"/>
          <w:highlight w:val="none"/>
        </w:rPr>
        <w:t xml:space="preserve">采购编号：</w:t>
      </w:r>
      <w:r>
        <w:rPr>
          <w:rFonts w:hint="eastAsia" w:ascii="宋体" w:hAnsi="宋体" w:eastAsia="宋体" w:cs="宋体"/>
          <w:b/>
          <w:color w:val="000000"/>
          <w:spacing w:val="-6"/>
          <w:sz w:val="32"/>
          <w:highlight w:val="none"/>
          <w:lang w:eastAsia="zh-CN"/>
        </w:rPr>
        <w:t xml:space="preserve">JSZC-320500-RHHH-C2026-0033</w:t>
      </w:r>
      <w:r>
        <w:rPr>
          <w:highlight w:val="none"/>
        </w:rPr>
      </w:r>
      <w:r/>
    </w:p>
    <w:p>
      <w:pPr>
        <w:ind w:left="1040" w:right="0" w:firstLine="928"/>
        <w:jc w:val="both"/>
        <w:spacing w:before="0" w:after="0" w:line="85" w:lineRule="atLeast"/>
        <w:rPr>
          <w:rFonts w:hint="eastAsia"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6"/>
          <w:sz w:val="32"/>
          <w:highlight w:val="none"/>
        </w:rPr>
        <w:t xml:space="preserve">采 购 人：</w:t>
      </w:r>
      <w:r>
        <w:rPr>
          <w:rFonts w:hint="eastAsia" w:ascii="宋体" w:hAnsi="宋体" w:eastAsia="宋体" w:cs="宋体"/>
          <w:b/>
          <w:color w:val="000000"/>
          <w:spacing w:val="-6"/>
          <w:sz w:val="32"/>
          <w:highlight w:val="none"/>
          <w:lang w:eastAsia="zh-CN"/>
        </w:rPr>
        <w:t xml:space="preserve">苏州市心理健康中心</w:t>
      </w:r>
      <w:r>
        <w:rPr>
          <w:highlight w:val="none"/>
        </w:rPr>
      </w:r>
      <w:r/>
    </w:p>
    <w:p>
      <w:pPr>
        <w:ind w:left="1040" w:right="0" w:firstLine="928"/>
        <w:jc w:val="both"/>
        <w:spacing w:before="0" w:after="0" w:line="85" w:lineRule="atLeast"/>
        <w:rPr>
          <w:rFonts w:hint="eastAsia"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6"/>
          <w:sz w:val="32"/>
          <w:highlight w:val="none"/>
        </w:rPr>
        <w:t xml:space="preserve">采购内容：</w:t>
      </w:r>
      <w:r>
        <w:rPr>
          <w:rFonts w:hint="eastAsia" w:ascii="宋体" w:hAnsi="宋体" w:eastAsia="宋体" w:cs="宋体"/>
          <w:b/>
          <w:color w:val="000000"/>
          <w:spacing w:val="-6"/>
          <w:sz w:val="32"/>
          <w:highlight w:val="none"/>
          <w:lang w:eastAsia="zh-CN"/>
        </w:rPr>
        <w:t xml:space="preserve">2026年苏州市12356心理热线运营服务</w:t>
      </w:r>
      <w:r>
        <w:rPr>
          <w:highlight w:val="none"/>
        </w:rPr>
      </w:r>
      <w:r/>
    </w:p>
    <w:p>
      <w:pPr>
        <w:ind w:left="1040" w:right="0" w:firstLine="928"/>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6"/>
          <w:sz w:val="32"/>
          <w:highlight w:val="none"/>
        </w:rPr>
        <w:t xml:space="preserve">采购类别：服务类</w:t>
      </w:r>
      <w:r>
        <w:rPr>
          <w:highlight w:val="none"/>
        </w:rPr>
      </w:r>
      <w:r/>
    </w:p>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6"/>
          <w:highlight w:val="none"/>
        </w:rPr>
        <w:t xml:space="preserve"> </w:t>
      </w:r>
      <w:r>
        <w:rPr>
          <w:highlight w:val="none"/>
        </w:rPr>
      </w:r>
      <w:r/>
    </w:p>
    <w:p>
      <w:pPr>
        <w:ind w:left="420" w:right="0" w:firstLine="420"/>
        <w:jc w:val="both"/>
        <w:spacing w:before="210" w:after="120" w:line="520" w:lineRule="atLeast"/>
        <w:rPr>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highlight w:val="none"/>
        </w:rPr>
        <w:t xml:space="preserve"> </w:t>
      </w:r>
      <w:r>
        <w:rPr>
          <w:highlight w:val="none"/>
        </w:rPr>
      </w:r>
      <w:r/>
    </w:p>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6"/>
          <w:highlight w:val="none"/>
        </w:rPr>
        <w:t xml:space="preserve"> </w:t>
      </w:r>
      <w:r>
        <w:rPr>
          <w:highlight w:val="none"/>
        </w:rPr>
      </w:r>
      <w:r/>
    </w:p>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highlight w:val="none"/>
        </w:rPr>
        <mc:AlternateContent>
          <mc:Choice Requires="wpg">
            <w:drawing>
              <wp:inline xmlns:wp="http://schemas.openxmlformats.org/drawingml/2006/wordprocessingDrawing" distT="0" distB="0" distL="0" distR="0">
                <wp:extent cx="1447800" cy="127635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8"/>
                        <a:stretch/>
                      </pic:blipFill>
                      <pic:spPr bwMode="auto">
                        <a:xfrm>
                          <a:off x="0" y="0"/>
                          <a:ext cx="1447799" cy="1276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14.0pt;height:100.5pt;mso-wrap-distance-left:0.0pt;mso-wrap-distance-top:0.0pt;mso-wrap-distance-right:0.0pt;mso-wrap-distance-bottom:0.0pt;" stroked="false">
                <v:path textboxrect="0,0,0,0"/>
                <v:imagedata r:id="rId8" o:title=""/>
              </v:shape>
            </w:pict>
          </mc:Fallback>
        </mc:AlternateContent>
      </w:r>
      <w:r>
        <w:rPr>
          <w:rFonts w:ascii="宋体" w:hAnsi="宋体" w:eastAsia="宋体" w:cs="宋体"/>
          <w:b/>
          <w:color w:val="000000"/>
          <w:sz w:val="26"/>
          <w:highlight w:val="none"/>
        </w:rPr>
        <w:t xml:space="preserve"> </w:t>
      </w:r>
      <w:r>
        <w:rPr>
          <w:highlight w:val="none"/>
        </w:rPr>
      </w:r>
      <w:r/>
    </w:p>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6"/>
          <w:sz w:val="32"/>
          <w:highlight w:val="none"/>
        </w:rPr>
        <w:t xml:space="preserve"> </w:t>
      </w:r>
      <w:r>
        <w:rPr>
          <w:highlight w:val="none"/>
        </w:rPr>
      </w:r>
      <w:r/>
    </w:p>
    <w:p>
      <w:pPr>
        <w:ind w:left="420" w:right="0" w:firstLine="0"/>
        <w:jc w:val="both"/>
        <w:spacing w:before="210" w:after="120" w:line="520" w:lineRule="atLeas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6"/>
          <w:sz w:val="32"/>
          <w:highlight w:val="none"/>
        </w:rPr>
        <w:t xml:space="preserve"> </w:t>
      </w:r>
      <w:r>
        <w:rPr>
          <w:highlight w:val="none"/>
        </w:rPr>
      </w:r>
      <w:r/>
    </w:p>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江苏仁禾中衡工程咨询房地产估价有限公司</w:t>
      </w:r>
      <w:r>
        <w:rPr>
          <w:highlight w:val="none"/>
        </w:rPr>
      </w:r>
      <w:r/>
    </w:p>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二○二六年</w:t>
      </w:r>
      <w:r>
        <w:rPr>
          <w:rFonts w:hint="eastAsia" w:ascii="宋体" w:hAnsi="宋体" w:eastAsia="宋体" w:cs="宋体"/>
          <w:b/>
          <w:color w:val="000000"/>
          <w:sz w:val="32"/>
          <w:highlight w:val="none"/>
          <w:lang w:val="en-US" w:eastAsia="zh-CN"/>
        </w:rPr>
        <w:t xml:space="preserve">六</w:t>
      </w:r>
      <w:r>
        <w:rPr>
          <w:rFonts w:ascii="宋体" w:hAnsi="宋体" w:eastAsia="宋体" w:cs="宋体"/>
          <w:b/>
          <w:color w:val="000000"/>
          <w:sz w:val="32"/>
          <w:highlight w:val="none"/>
        </w:rPr>
        <w:t xml:space="preserve">月</w:t>
      </w:r>
      <w:r>
        <w:rPr>
          <w:highlight w:val="none"/>
        </w:rPr>
      </w:r>
      <w:r/>
    </w:p>
    <w:p>
      <w:pPr>
        <w:ind w:left="0" w:right="0" w:firstLine="0"/>
        <w:spacing w:before="0" w:after="0"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rPr>
          <w:highlight w:val="none"/>
        </w:rPr>
      </w:r>
      <w:r/>
    </w:p>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none"/>
        </w:rPr>
        <w:t xml:space="preserve">前附表</w:t>
      </w:r>
      <w:r>
        <w:rPr>
          <w:highlight w:val="none"/>
        </w:rPr>
      </w:r>
      <w:r/>
    </w:p>
    <w:tbl>
      <w:tblPr>
        <w:tblStyle w:val="8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0"/>
        <w:gridCol w:w="8169"/>
      </w:tblGrid>
      <w:tr>
        <w:trPr>
          <w:trHeight w:val="53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序号</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69"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内容规定</w:t>
            </w:r>
            <w:r>
              <w:rPr>
                <w:highlight w:val="none"/>
              </w:rPr>
            </w:r>
            <w:r/>
          </w:p>
        </w:tc>
      </w:tr>
      <w:tr>
        <w:trPr>
          <w:trHeight w:val="5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none"/>
              </w:rPr>
              <w:t xml:space="preserve">1</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69" w:type="dxa"/>
            <w:vAlign w:val="center"/>
            <w:textDirection w:val="lrTb"/>
            <w:noWrap w:val="false"/>
          </w:tcPr>
          <w:p>
            <w:pPr>
              <w:ind w:left="0" w:right="0" w:firstLine="0"/>
              <w:jc w:val="center"/>
              <w:spacing w:before="0" w:after="0" w:line="240" w:lineRule="auto"/>
              <w:rPr>
                <w:rFonts w:hint="eastAsia"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采购内容：</w:t>
            </w:r>
            <w:r>
              <w:rPr>
                <w:rFonts w:hint="eastAsia" w:ascii="宋体" w:hAnsi="宋体" w:eastAsia="宋体" w:cs="宋体"/>
                <w:color w:val="000000"/>
                <w:sz w:val="24"/>
                <w:highlight w:val="none"/>
                <w:lang w:eastAsia="zh-CN"/>
              </w:rPr>
              <w:t xml:space="preserve">2026年苏州市12356心理热线运营服务</w:t>
            </w:r>
            <w:r>
              <w:rPr>
                <w:highlight w:val="none"/>
              </w:rPr>
            </w:r>
            <w:r/>
          </w:p>
        </w:tc>
      </w:tr>
      <w:tr>
        <w:trPr>
          <w:trHeight w:val="5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69"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投标（响应）文件有效期：自投标（响应）截止日起</w:t>
            </w:r>
            <w:r>
              <w:rPr>
                <w:rFonts w:ascii="宋体" w:hAnsi="宋体" w:eastAsia="宋体" w:cs="宋体"/>
                <w:b/>
                <w:color w:val="000000"/>
                <w:sz w:val="24"/>
                <w:highlight w:val="none"/>
              </w:rPr>
              <w:t xml:space="preserve">九十天（日历日）</w:t>
            </w:r>
            <w:r>
              <w:rPr>
                <w:highlight w:val="none"/>
              </w:rPr>
            </w:r>
            <w:r/>
          </w:p>
        </w:tc>
      </w:tr>
      <w:tr>
        <w:trPr>
          <w:trHeight w:val="5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69"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投标（磋商）保证金：无</w:t>
            </w:r>
            <w:r>
              <w:rPr>
                <w:highlight w:val="none"/>
              </w:rPr>
            </w:r>
            <w:r/>
          </w:p>
        </w:tc>
      </w:tr>
      <w:tr>
        <w:trPr>
          <w:trHeight w:val="10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69"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投标（响应）文件：</w:t>
            </w:r>
            <w:r>
              <w:rPr>
                <w:rFonts w:ascii="宋体" w:hAnsi="宋体" w:eastAsia="宋体" w:cs="宋体"/>
                <w:b/>
                <w:color w:val="000000"/>
                <w:sz w:val="24"/>
                <w:highlight w:val="none"/>
              </w:rPr>
              <w:t xml:space="preserve">本项目采用网上提交电子投标（响应）文件，不接受纸质投标（响应）文件。</w:t>
            </w:r>
            <w:r>
              <w:rPr>
                <w:highlight w:val="none"/>
              </w:rPr>
            </w:r>
            <w:r/>
          </w:p>
        </w:tc>
      </w:tr>
      <w:tr>
        <w:trPr>
          <w:trHeight w:val="35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69"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投标（响应）文件提交：</w:t>
            </w:r>
            <w:r>
              <w:rPr>
                <w:highlight w:val="none"/>
              </w:rPr>
            </w:r>
            <w:r/>
          </w:p>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截止时间：2026年</w:t>
            </w:r>
            <w:r>
              <w:rPr>
                <w:rFonts w:hint="eastAsia" w:ascii="宋体" w:hAnsi="宋体" w:eastAsia="宋体" w:cs="宋体"/>
                <w:color w:val="000000"/>
                <w:sz w:val="24"/>
                <w:highlight w:val="none"/>
                <w:lang w:val="en-US" w:eastAsia="zh-CN"/>
              </w:rPr>
              <w:t xml:space="preserve">6</w:t>
            </w:r>
            <w:r>
              <w:rPr>
                <w:rFonts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16</w:t>
            </w:r>
            <w:r>
              <w:rPr>
                <w:rFonts w:ascii="宋体" w:hAnsi="宋体" w:eastAsia="宋体" w:cs="宋体"/>
                <w:color w:val="000000"/>
                <w:sz w:val="24"/>
                <w:highlight w:val="none"/>
              </w:rPr>
              <w:t xml:space="preserve">日9点30分（北京时间）</w:t>
            </w:r>
            <w:r>
              <w:rPr>
                <w:highlight w:val="none"/>
              </w:rPr>
            </w:r>
            <w:r/>
          </w:p>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开启时间：2026年</w:t>
            </w:r>
            <w:r>
              <w:rPr>
                <w:rFonts w:hint="eastAsia" w:ascii="宋体" w:hAnsi="宋体" w:eastAsia="宋体" w:cs="宋体"/>
                <w:color w:val="000000"/>
                <w:sz w:val="24"/>
                <w:highlight w:val="none"/>
                <w:lang w:val="en-US" w:eastAsia="zh-CN"/>
              </w:rPr>
              <w:t xml:space="preserve">6</w:t>
            </w:r>
            <w:r>
              <w:rPr>
                <w:rFonts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16</w:t>
            </w:r>
            <w:r>
              <w:rPr>
                <w:rFonts w:ascii="宋体" w:hAnsi="宋体" w:eastAsia="宋体" w:cs="宋体"/>
                <w:color w:val="000000"/>
                <w:sz w:val="24"/>
                <w:highlight w:val="none"/>
              </w:rPr>
              <w:t xml:space="preserve">日9点30分（北京时间）</w:t>
            </w:r>
            <w:r>
              <w:rPr>
                <w:highlight w:val="none"/>
              </w:rPr>
            </w:r>
            <w:r/>
          </w:p>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地点：“苏采云”系统（网址：</w:t>
            </w:r>
            <w:r>
              <w:rPr>
                <w:highlight w:val="none"/>
              </w:rPr>
              <w:fldChar w:fldCharType="begin"/>
            </w:r>
            <w:r>
              <w:rPr>
                <w:highlight w:val="none"/>
              </w:rPr>
              <w:instrText xml:space="preserve"> HYPERLINK "http://jszfcg.jsczt.cn/" \o "http://jszfcg.jsczt.cn/" </w:instrText>
            </w:r>
            <w:r>
              <w:rPr>
                <w:highlight w:val="none"/>
              </w:rPr>
              <w:fldChar w:fldCharType="separate"/>
            </w:r>
            <w:r>
              <w:rPr>
                <w:rStyle w:val="815"/>
                <w:rFonts w:ascii="宋体" w:hAnsi="宋体" w:eastAsia="宋体" w:cs="宋体"/>
                <w:color w:val="0000ee"/>
                <w:sz w:val="24"/>
                <w:highlight w:val="none"/>
                <w:u w:val="none"/>
              </w:rPr>
              <w:t xml:space="preserve">http://jszfcg.jsczt.cn/</w:t>
            </w:r>
            <w:r>
              <w:rPr>
                <w:rStyle w:val="815"/>
                <w:rFonts w:ascii="宋体" w:hAnsi="宋体" w:eastAsia="宋体" w:cs="宋体"/>
                <w:color w:val="0000ee"/>
                <w:sz w:val="24"/>
                <w:highlight w:val="none"/>
                <w:u w:val="none"/>
              </w:rPr>
              <w:fldChar w:fldCharType="end"/>
            </w:r>
            <w:r>
              <w:rPr>
                <w:rFonts w:ascii="宋体" w:hAnsi="宋体" w:eastAsia="宋体" w:cs="宋体"/>
                <w:color w:val="000000"/>
                <w:sz w:val="24"/>
                <w:highlight w:val="none"/>
              </w:rPr>
              <w:t xml:space="preserve">）</w:t>
            </w:r>
            <w:r>
              <w:rPr>
                <w:highlight w:val="none"/>
              </w:rPr>
            </w:r>
            <w:r/>
          </w:p>
          <w:p>
            <w:pPr>
              <w:ind w:left="0" w:right="0" w:firstLine="0"/>
              <w:jc w:val="center"/>
              <w:spacing w:before="210" w:after="0" w:line="52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本项目为不见面开标项目，开标阶段供应商在【供应商解密】环节必须使用CA证书解密电子投标（响应）文件，如在“苏采云”系统规定的时间内未能成功解密的视为放弃参与本项目。</w:t>
            </w:r>
            <w:r>
              <w:rPr>
                <w:highlight w:val="none"/>
              </w:rPr>
            </w:r>
            <w:r/>
          </w:p>
        </w:tc>
      </w:tr>
      <w:tr>
        <w:trPr>
          <w:trHeight w:val="19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69"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履约保证金：</w:t>
            </w:r>
            <w:r>
              <w:rPr>
                <w:highlight w:val="none"/>
              </w:rPr>
            </w:r>
            <w:r/>
          </w:p>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不需提交，采购文件中有关履约保证金的规定均不适用。</w:t>
            </w:r>
            <w:r>
              <w:rPr>
                <w:highlight w:val="none"/>
              </w:rPr>
            </w:r>
            <w:r/>
          </w:p>
        </w:tc>
      </w:tr>
      <w:tr>
        <w:trPr>
          <w:trHeight w:val="24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7</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69" w:type="dxa"/>
            <w:vAlign w:val="center"/>
            <w:textDirection w:val="lrTb"/>
            <w:noWrap w:val="false"/>
          </w:tcPr>
          <w:p>
            <w:pPr>
              <w:spacing w:after="0" w:line="360" w:lineRule="auto"/>
              <w:rPr>
                <w:rFonts w:ascii="宋体" w:hAnsi="宋体"/>
                <w:color w:val="000000"/>
                <w:sz w:val="24"/>
                <w:szCs w:val="24"/>
                <w:highlight w:val="none"/>
              </w:rPr>
            </w:pPr>
            <w:r>
              <w:rPr>
                <w:rFonts w:hint="eastAsia" w:ascii="宋体" w:hAnsi="宋体"/>
                <w:color w:val="000000"/>
                <w:sz w:val="24"/>
                <w:highlight w:val="none"/>
                <w:lang w:val="zh-CN"/>
              </w:rPr>
              <w:t xml:space="preserve">成交服务费：由成交供应商支付，按照采购预算</w:t>
            </w:r>
            <w:r>
              <w:rPr>
                <w:rFonts w:ascii="宋体" w:hAnsi="宋体"/>
                <w:color w:val="000000"/>
                <w:sz w:val="24"/>
                <w:highlight w:val="none"/>
              </w:rPr>
              <w:t xml:space="preserve">100万元以内1.</w:t>
            </w:r>
            <w:r>
              <w:rPr>
                <w:rFonts w:hint="eastAsia" w:ascii="宋体" w:hAnsi="宋体"/>
                <w:color w:val="000000"/>
                <w:sz w:val="24"/>
                <w:highlight w:val="none"/>
              </w:rPr>
              <w:t xml:space="preserve">5</w:t>
            </w:r>
            <w:r>
              <w:rPr>
                <w:rFonts w:ascii="宋体" w:hAnsi="宋体"/>
                <w:color w:val="000000"/>
                <w:sz w:val="24"/>
                <w:highlight w:val="none"/>
              </w:rPr>
              <w:t xml:space="preserve">%、100～500万元以</w:t>
            </w:r>
            <w:r>
              <w:rPr>
                <w:rFonts w:hint="eastAsia" w:ascii="宋体" w:hAnsi="宋体"/>
                <w:color w:val="000000"/>
                <w:sz w:val="24"/>
                <w:highlight w:val="none"/>
              </w:rPr>
              <w:t xml:space="preserve">1.1</w:t>
            </w:r>
            <w:r>
              <w:rPr>
                <w:rFonts w:ascii="宋体" w:hAnsi="宋体"/>
                <w:color w:val="000000"/>
                <w:sz w:val="24"/>
                <w:highlight w:val="none"/>
              </w:rPr>
              <w:t xml:space="preserve">%</w:t>
            </w:r>
            <w:r>
              <w:rPr>
                <w:rFonts w:hint="eastAsia" w:ascii="宋体" w:hAnsi="宋体"/>
                <w:color w:val="000000"/>
                <w:sz w:val="24"/>
                <w:highlight w:val="none"/>
              </w:rPr>
              <w:t xml:space="preserve">、500~1000万元以0.8%，</w:t>
            </w:r>
            <w:r>
              <w:rPr>
                <w:rFonts w:ascii="宋体" w:hAnsi="宋体"/>
                <w:color w:val="000000"/>
                <w:sz w:val="24"/>
                <w:highlight w:val="none"/>
              </w:rPr>
              <w:t xml:space="preserve">差额定率累进法计算并支付</w:t>
            </w:r>
            <w:r>
              <w:rPr>
                <w:rFonts w:hint="eastAsia" w:ascii="宋体" w:hAnsi="宋体"/>
                <w:color w:val="000000"/>
                <w:sz w:val="24"/>
                <w:highlight w:val="none"/>
              </w:rPr>
              <w:t xml:space="preserve">成交</w:t>
            </w:r>
            <w:r>
              <w:rPr>
                <w:rFonts w:ascii="宋体" w:hAnsi="宋体"/>
                <w:color w:val="000000"/>
                <w:sz w:val="24"/>
                <w:highlight w:val="none"/>
              </w:rPr>
              <w:t xml:space="preserve">服务费。</w:t>
            </w:r>
            <w:r>
              <w:rPr>
                <w:rFonts w:hint="eastAsia" w:ascii="宋体" w:hAnsi="宋体"/>
                <w:color w:val="000000"/>
                <w:sz w:val="24"/>
                <w:szCs w:val="24"/>
                <w:highlight w:val="none"/>
              </w:rPr>
              <w:t xml:space="preserve">不足3000元按3000元收取。</w:t>
            </w:r>
            <w:r>
              <w:rPr>
                <w:rFonts w:ascii="宋体" w:hAnsi="宋体"/>
                <w:color w:val="000000"/>
                <w:sz w:val="24"/>
                <w:highlight w:val="none"/>
                <w:lang w:val="zh-CN"/>
              </w:rPr>
              <w:t xml:space="preserve">领取</w:t>
            </w:r>
            <w:r>
              <w:rPr>
                <w:rFonts w:hint="eastAsia" w:ascii="宋体" w:hAnsi="宋体"/>
                <w:color w:val="000000"/>
                <w:sz w:val="24"/>
                <w:highlight w:val="none"/>
                <w:lang w:val="zh-CN"/>
              </w:rPr>
              <w:t xml:space="preserve">成交</w:t>
            </w:r>
            <w:r>
              <w:rPr>
                <w:rFonts w:ascii="宋体" w:hAnsi="宋体"/>
                <w:color w:val="000000"/>
                <w:sz w:val="24"/>
                <w:highlight w:val="none"/>
                <w:lang w:val="zh-CN"/>
              </w:rPr>
              <w:t xml:space="preserve">通知书时成交供应商向招标代理机构一次性付清。</w:t>
            </w:r>
            <w:r>
              <w:rPr>
                <w:highlight w:val="none"/>
              </w:rPr>
            </w:r>
            <w:r/>
          </w:p>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本项目</w:t>
            </w:r>
            <w:r>
              <w:rPr>
                <w:rFonts w:ascii="宋体" w:hAnsi="宋体" w:eastAsia="宋体" w:cs="宋体"/>
                <w:color w:val="000000"/>
                <w:sz w:val="24"/>
                <w:highlight w:val="none"/>
              </w:rPr>
              <w:t xml:space="preserve">代理服务费金额：人民币叁仟元整（￥3,000.00元）</w:t>
            </w:r>
            <w:r>
              <w:rPr>
                <w:highlight w:val="none"/>
              </w:rPr>
            </w:r>
            <w:r/>
          </w:p>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账户名：江苏仁禾中衡工程咨询房地产估价有限公司苏州分公司</w:t>
            </w:r>
            <w:r>
              <w:rPr>
                <w:highlight w:val="none"/>
              </w:rPr>
            </w:r>
            <w:r/>
          </w:p>
          <w:p>
            <w:pPr>
              <w:ind w:left="0" w:right="0" w:firstLine="0"/>
              <w:jc w:val="center"/>
              <w:spacing w:before="0" w:after="0" w:line="240" w:lineRule="auto"/>
              <w:tabs>
                <w:tab w:val="left" w:pos="8930" w:leader="none"/>
                <w:tab w:val="left" w:pos="9306"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账  号：75010122001312750</w:t>
            </w:r>
            <w:r>
              <w:rPr>
                <w:highlight w:val="none"/>
              </w:rPr>
            </w:r>
            <w:r/>
          </w:p>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开户行：宁波银行苏州分行</w:t>
            </w:r>
            <w:r>
              <w:rPr>
                <w:highlight w:val="none"/>
              </w:rPr>
            </w:r>
            <w:r/>
          </w:p>
        </w:tc>
      </w:tr>
      <w:tr>
        <w:trPr>
          <w:trHeight w:val="5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8</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69"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政府采购监督电话：0512-68616651</w:t>
            </w:r>
            <w:r>
              <w:rPr>
                <w:highlight w:val="none"/>
              </w:rPr>
            </w:r>
            <w:r/>
          </w:p>
        </w:tc>
      </w:tr>
    </w:tbl>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rPr>
          <w:highlight w:val="none"/>
        </w:rPr>
      </w:r>
      <w:r/>
    </w:p>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48"/>
          <w:highlight w:val="none"/>
        </w:rPr>
        <w:t xml:space="preserve"> </w:t>
      </w:r>
      <w:r>
        <w:rPr>
          <w:highlight w:val="none"/>
        </w:rPr>
      </w:r>
      <w:r/>
    </w:p>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8"/>
          <w:highlight w:val="none"/>
        </w:rPr>
        <w:t xml:space="preserve">总目录</w:t>
      </w:r>
      <w:r>
        <w:rPr>
          <w:highlight w:val="none"/>
        </w:rPr>
      </w:r>
      <w:r/>
    </w:p>
    <w:p>
      <w:pPr>
        <w:ind w:left="0" w:right="0" w:firstLine="0"/>
        <w:jc w:val="both"/>
        <w:spacing w:before="260" w:after="57"/>
        <w:tabs>
          <w:tab w:val="left" w:pos="9628"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highlight w:val="none"/>
        </w:rPr>
        <w:t xml:space="preserve">第一章 采购公告</w:t>
      </w:r>
      <w:r>
        <w:rPr>
          <w:rFonts w:ascii="楷体" w:hAnsi="楷体" w:eastAsia="楷体" w:cs="楷体"/>
          <w:color w:val="000000"/>
          <w:sz w:val="26"/>
          <w:highlight w:val="none"/>
        </w:rPr>
        <w:tab/>
      </w:r>
      <w:r>
        <w:rPr>
          <w:highlight w:val="none"/>
        </w:rPr>
      </w:r>
      <w:r/>
    </w:p>
    <w:p>
      <w:pPr>
        <w:ind w:left="0" w:right="0" w:firstLine="0"/>
        <w:jc w:val="both"/>
        <w:spacing w:before="260" w:after="57"/>
        <w:tabs>
          <w:tab w:val="left" w:pos="9628"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highlight w:val="none"/>
        </w:rPr>
        <w:t xml:space="preserve">第二章 供应商须知</w:t>
      </w:r>
      <w:r>
        <w:rPr>
          <w:rFonts w:ascii="楷体" w:hAnsi="楷体" w:eastAsia="楷体" w:cs="楷体"/>
          <w:color w:val="000000"/>
          <w:sz w:val="26"/>
          <w:highlight w:val="none"/>
        </w:rPr>
        <w:tab/>
      </w:r>
      <w:r>
        <w:rPr>
          <w:highlight w:val="none"/>
        </w:rPr>
      </w:r>
      <w:r/>
    </w:p>
    <w:p>
      <w:pPr>
        <w:ind w:left="0" w:right="0" w:firstLine="0"/>
        <w:jc w:val="both"/>
        <w:spacing w:before="260" w:after="57"/>
        <w:tabs>
          <w:tab w:val="left" w:pos="9628"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highlight w:val="none"/>
        </w:rPr>
        <w:t xml:space="preserve">第三章 投标（响应）文件格式</w:t>
      </w:r>
      <w:r>
        <w:rPr>
          <w:rFonts w:ascii="楷体" w:hAnsi="楷体" w:eastAsia="楷体" w:cs="楷体"/>
          <w:color w:val="000000"/>
          <w:sz w:val="26"/>
          <w:highlight w:val="none"/>
        </w:rPr>
        <w:tab/>
      </w:r>
      <w:r>
        <w:rPr>
          <w:highlight w:val="none"/>
        </w:rPr>
      </w:r>
      <w:r/>
    </w:p>
    <w:p>
      <w:pPr>
        <w:ind w:left="0" w:right="0" w:firstLine="0"/>
        <w:jc w:val="both"/>
        <w:spacing w:before="260" w:after="57"/>
        <w:tabs>
          <w:tab w:val="left" w:pos="9628"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highlight w:val="none"/>
        </w:rPr>
        <w:t xml:space="preserve">第四章 采购内容</w:t>
      </w:r>
      <w:r>
        <w:rPr>
          <w:rFonts w:ascii="楷体" w:hAnsi="楷体" w:eastAsia="楷体" w:cs="楷体"/>
          <w:color w:val="000000"/>
          <w:sz w:val="26"/>
          <w:highlight w:val="none"/>
        </w:rPr>
        <w:tab/>
      </w:r>
      <w:r>
        <w:rPr>
          <w:highlight w:val="none"/>
        </w:rPr>
      </w:r>
      <w:r/>
    </w:p>
    <w:p>
      <w:pPr>
        <w:ind w:left="0" w:right="0" w:firstLine="0"/>
        <w:jc w:val="both"/>
        <w:spacing w:before="260" w:after="57"/>
        <w:tabs>
          <w:tab w:val="left" w:pos="9628"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highlight w:val="none"/>
        </w:rPr>
        <w:t xml:space="preserve">第五章 合同主要条款</w:t>
      </w:r>
      <w:r>
        <w:rPr>
          <w:rFonts w:ascii="楷体" w:hAnsi="楷体" w:eastAsia="楷体" w:cs="楷体"/>
          <w:color w:val="000000"/>
          <w:sz w:val="26"/>
          <w:highlight w:val="none"/>
        </w:rPr>
        <w:tab/>
      </w:r>
      <w:r>
        <w:rPr>
          <w:highlight w:val="none"/>
        </w:rPr>
      </w:r>
      <w:r/>
    </w:p>
    <w:p>
      <w:pPr>
        <w:ind w:left="0" w:right="0" w:firstLine="0"/>
        <w:jc w:val="both"/>
        <w:spacing w:before="260" w:after="57"/>
        <w:tabs>
          <w:tab w:val="left" w:pos="9628"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highlight w:val="none"/>
        </w:rPr>
        <w:t xml:space="preserve">第六章 评审办法</w:t>
      </w:r>
      <w:r>
        <w:rPr>
          <w:rFonts w:ascii="楷体" w:hAnsi="楷体" w:eastAsia="楷体" w:cs="楷体"/>
          <w:color w:val="000000"/>
          <w:sz w:val="26"/>
          <w:highlight w:val="none"/>
        </w:rPr>
        <w:tab/>
      </w:r>
      <w:r>
        <w:rPr>
          <w:highlight w:val="none"/>
        </w:rPr>
      </w:r>
      <w:r/>
    </w:p>
    <w:p>
      <w:pPr>
        <w:ind w:left="0" w:right="0" w:firstLine="0"/>
        <w:jc w:val="both"/>
        <w:spacing w:before="260" w:after="57"/>
        <w:tabs>
          <w:tab w:val="left" w:pos="9628"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highlight w:val="none"/>
        </w:rPr>
        <w:t xml:space="preserve">第七章 附件</w:t>
      </w:r>
      <w:r>
        <w:rPr>
          <w:rFonts w:ascii="楷体" w:hAnsi="楷体" w:eastAsia="楷体" w:cs="楷体"/>
          <w:color w:val="000000"/>
          <w:sz w:val="26"/>
          <w:highlight w:val="none"/>
        </w:rPr>
        <w:tab/>
      </w:r>
      <w:r>
        <w:rPr>
          <w:highlight w:val="none"/>
        </w:rPr>
      </w:r>
      <w:r/>
    </w:p>
    <w:p>
      <w:pPr>
        <w:ind w:left="0" w:right="0" w:firstLine="0"/>
        <w:jc w:val="center"/>
        <w:spacing w:before="240" w:after="240"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rPr>
          <w:highlight w:val="none"/>
        </w:rPr>
      </w:r>
      <w:r/>
    </w:p>
    <w:p>
      <w:pPr>
        <w:ind w:left="0" w:right="0" w:firstLine="0"/>
        <w:jc w:val="both"/>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none"/>
        </w:rPr>
        <w:t xml:space="preserve"> </w:t>
      </w:r>
      <w:r>
        <w:rPr>
          <w:highlight w:val="none"/>
        </w:rPr>
      </w:r>
      <w:r/>
    </w:p>
    <w:p>
      <w:pPr>
        <w:ind w:left="0" w:right="0" w:firstLine="0"/>
        <w:jc w:val="both"/>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none"/>
        </w:rPr>
        <w:t xml:space="preserve"> </w:t>
      </w:r>
      <w:r>
        <w:rPr>
          <w:highlight w:val="none"/>
        </w:rPr>
      </w:r>
      <w:r/>
    </w:p>
    <w:p>
      <w:pPr>
        <w:ind w:left="0" w:right="0" w:firstLine="0"/>
        <w:jc w:val="both"/>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none"/>
        </w:rPr>
        <w:t xml:space="preserve"> </w:t>
      </w:r>
      <w:r>
        <w:rPr>
          <w:highlight w:val="none"/>
        </w:rPr>
      </w:r>
      <w:r/>
    </w:p>
    <w:p>
      <w:pPr>
        <w:ind w:left="0" w:right="0" w:firstLine="0"/>
        <w:jc w:val="both"/>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none"/>
        </w:rPr>
        <w:t xml:space="preserve"> </w:t>
      </w:r>
      <w:r>
        <w:rPr>
          <w:highlight w:val="none"/>
        </w:rPr>
      </w:r>
      <w:r/>
    </w:p>
    <w:p>
      <w:pPr>
        <w:ind w:left="0" w:right="0" w:firstLine="0"/>
        <w:jc w:val="both"/>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none"/>
        </w:rPr>
        <w:t xml:space="preserve"> </w:t>
      </w:r>
      <w:r>
        <w:rPr>
          <w:highlight w:val="none"/>
        </w:rPr>
      </w:r>
      <w:r/>
    </w:p>
    <w:p>
      <w:pPr>
        <w:ind w:left="0" w:right="0" w:firstLine="0"/>
        <w:jc w:val="both"/>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none"/>
        </w:rPr>
        <w:t xml:space="preserve"> </w:t>
      </w:r>
      <w:r>
        <w:rPr>
          <w:highlight w:val="none"/>
        </w:rPr>
      </w:r>
      <w:r/>
    </w:p>
    <w:p>
      <w:pPr>
        <w:ind w:left="0" w:right="0" w:firstLine="0"/>
        <w:jc w:val="both"/>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none"/>
        </w:rPr>
        <w:t xml:space="preserve"> </w:t>
      </w:r>
      <w:r>
        <w:rPr>
          <w:highlight w:val="none"/>
        </w:rPr>
      </w:r>
      <w:r/>
    </w:p>
    <w:p>
      <w:pPr>
        <w:ind w:left="0" w:right="0" w:firstLine="0"/>
        <w:jc w:val="both"/>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none"/>
        </w:rPr>
        <w:t xml:space="preserve"> </w:t>
      </w:r>
      <w:r>
        <w:rPr>
          <w:highlight w:val="none"/>
        </w:rPr>
      </w:r>
      <w:r/>
    </w:p>
    <w:p>
      <w:pPr>
        <w:ind w:left="0" w:right="0" w:firstLine="0"/>
        <w:jc w:val="both"/>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none"/>
        </w:rPr>
        <w:t xml:space="preserve"> </w:t>
      </w:r>
      <w:r>
        <w:rPr>
          <w:highlight w:val="none"/>
        </w:rPr>
      </w:r>
      <w:r/>
    </w:p>
    <w:p>
      <w:pPr>
        <w:ind w:left="0" w:right="0" w:firstLine="0"/>
        <w:jc w:val="both"/>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none"/>
        </w:rPr>
        <w:t xml:space="preserve"> </w:t>
      </w:r>
      <w:r>
        <w:rPr>
          <w:highlight w:val="none"/>
        </w:rPr>
      </w:r>
      <w:r/>
    </w:p>
    <w:p>
      <w:pPr>
        <w:ind w:left="0" w:right="0" w:firstLine="0"/>
        <w:jc w:val="both"/>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none"/>
        </w:rPr>
        <w:t xml:space="preserve"> </w:t>
      </w:r>
      <w:r>
        <w:rPr>
          <w:highlight w:val="none"/>
        </w:rPr>
      </w:r>
      <w:r/>
    </w:p>
    <w:p>
      <w:pPr>
        <w:ind w:left="0" w:right="0" w:firstLine="0"/>
        <w:jc w:val="both"/>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highlight w:val="none"/>
        </w:rPr>
        <w:t xml:space="preserve"> </w:t>
      </w:r>
      <w:r>
        <w:rPr>
          <w:highlight w:val="none"/>
        </w:rPr>
      </w:r>
      <w:r/>
    </w:p>
    <w:p>
      <w:pPr>
        <w:ind w:left="0" w:right="0" w:firstLine="0"/>
        <w:jc w:val="cente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52"/>
          <w:highlight w:val="none"/>
        </w:rPr>
        <w:t xml:space="preserve">第一章 采购公告</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rPr>
          <w:highlight w:val="none"/>
        </w:rPr>
      </w:r>
      <w:r/>
    </w:p>
    <w:p>
      <w:pPr>
        <w:ind w:left="0" w:right="0" w:firstLine="480"/>
        <w:jc w:val="both"/>
        <w:spacing w:before="240" w:after="24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项目概况</w:t>
      </w:r>
      <w:r>
        <w:rPr>
          <w:highlight w:val="none"/>
        </w:rPr>
      </w:r>
      <w:r/>
    </w:p>
    <w:p>
      <w:pPr>
        <w:ind w:left="0" w:right="0" w:firstLine="480"/>
        <w:jc w:val="both"/>
        <w:spacing w:before="240" w:after="24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2026年苏州市12356心理热线运营服务JSZC-320500-RHHH-C2026-0033</w:t>
      </w:r>
      <w:r>
        <w:rPr>
          <w:rFonts w:ascii="宋体" w:hAnsi="宋体" w:eastAsia="宋体" w:cs="宋体"/>
          <w:color w:val="000000"/>
          <w:sz w:val="24"/>
          <w:highlight w:val="none"/>
        </w:rPr>
        <w:t xml:space="preserve">的潜在供应商应在江苏省政府采购一体化平台“苏采云”系统自行免费下载招标（采购）文件，并于2026年6月16日9点30分（北京时间）前递交投标（响应）文件。</w:t>
      </w:r>
      <w:r>
        <w:rPr>
          <w:highlight w:val="none"/>
        </w:rPr>
      </w:r>
      <w:r/>
    </w:p>
    <w:p>
      <w:pPr>
        <w:pStyle w:val="810"/>
        <w:ind w:left="0" w:right="0" w:firstLine="482"/>
        <w:jc w:val="both"/>
        <w:spacing w:before="0" w:after="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一、项目基本情况</w:t>
      </w:r>
      <w:r>
        <w:rPr>
          <w:highlight w:val="none"/>
        </w:rPr>
      </w:r>
      <w:r/>
    </w:p>
    <w:p>
      <w:pPr>
        <w:ind w:left="0" w:right="0" w:firstLine="480"/>
        <w:jc w:val="both"/>
        <w:spacing w:before="240" w:after="240" w:line="85" w:lineRule="atLeast"/>
        <w:shd w:val="clear" w:color="ffffff" w:fill="ffffff"/>
        <w:rPr>
          <w:rFonts w:hint="eastAsia"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项目编号：</w:t>
      </w:r>
      <w:r>
        <w:rPr>
          <w:rFonts w:hint="eastAsia" w:ascii="宋体" w:hAnsi="宋体" w:eastAsia="宋体" w:cs="宋体"/>
          <w:color w:val="000000"/>
          <w:sz w:val="24"/>
          <w:highlight w:val="none"/>
          <w:lang w:eastAsia="zh-CN"/>
        </w:rPr>
        <w:t xml:space="preserve">JSZC-320500-RHHH-C2026-0033</w:t>
      </w:r>
      <w:r>
        <w:rPr>
          <w:highlight w:val="none"/>
        </w:rPr>
      </w:r>
      <w:r/>
    </w:p>
    <w:p>
      <w:pPr>
        <w:ind w:left="0" w:right="0" w:firstLine="480"/>
        <w:jc w:val="both"/>
        <w:spacing w:before="240" w:after="240" w:line="85" w:lineRule="atLeast"/>
        <w:shd w:val="clear" w:color="ffffff" w:fill="ffffff"/>
        <w:rPr>
          <w:rFonts w:hint="eastAsia"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项目名称：</w:t>
      </w:r>
      <w:r>
        <w:rPr>
          <w:rFonts w:hint="eastAsia" w:ascii="宋体" w:hAnsi="宋体" w:eastAsia="宋体" w:cs="宋体"/>
          <w:color w:val="000000"/>
          <w:sz w:val="24"/>
          <w:highlight w:val="none"/>
          <w:lang w:eastAsia="zh-CN"/>
        </w:rPr>
        <w:t xml:space="preserve">2026年苏州市12356心理热线运营服务</w:t>
      </w:r>
      <w:r>
        <w:rPr>
          <w:highlight w:val="none"/>
        </w:rPr>
      </w:r>
      <w:r/>
    </w:p>
    <w:p>
      <w:pPr>
        <w:ind w:left="0" w:right="0" w:firstLine="480"/>
        <w:jc w:val="both"/>
        <w:spacing w:before="240" w:after="24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采购方式：竞争性磋商</w:t>
      </w:r>
      <w:r>
        <w:rPr>
          <w:highlight w:val="none"/>
        </w:rPr>
      </w:r>
      <w:r/>
    </w:p>
    <w:p>
      <w:pPr>
        <w:ind w:left="0" w:right="0" w:firstLine="480"/>
        <w:jc w:val="both"/>
        <w:spacing w:before="240" w:after="24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预算金额：</w:t>
      </w:r>
      <w:r>
        <w:rPr>
          <w:highlight w:val="none"/>
        </w:rPr>
      </w:r>
      <w:r/>
    </w:p>
    <w:p>
      <w:pPr>
        <w:ind w:left="0" w:right="0" w:firstLine="480"/>
        <w:jc w:val="both"/>
        <w:spacing w:before="240" w:after="240" w:line="85" w:lineRule="atLeast"/>
        <w:shd w:val="clear" w:color="ffffff" w:fill="ffffff"/>
        <w:rPr>
          <w:rFonts w:hint="eastAsia"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人民币（大写）：</w:t>
      </w:r>
      <w:r>
        <w:rPr>
          <w:rFonts w:hint="eastAsia" w:ascii="宋体" w:hAnsi="宋体" w:eastAsia="宋体" w:cs="宋体"/>
          <w:color w:val="000000"/>
          <w:sz w:val="24"/>
          <w:highlight w:val="none"/>
          <w:lang w:eastAsia="zh-CN"/>
        </w:rPr>
        <w:t xml:space="preserve">壹佰玖拾玖万贰仟元整</w:t>
      </w:r>
      <w:r>
        <w:rPr>
          <w:highlight w:val="none"/>
        </w:rPr>
      </w:r>
      <w:r/>
    </w:p>
    <w:p>
      <w:pPr>
        <w:ind w:left="0" w:right="0" w:firstLine="480"/>
        <w:jc w:val="both"/>
        <w:spacing w:before="240" w:after="24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人民币（小写）：￥</w:t>
      </w:r>
      <w:r>
        <w:rPr>
          <w:rFonts w:hint="eastAsia" w:ascii="宋体" w:hAnsi="宋体" w:eastAsia="宋体" w:cs="宋体"/>
          <w:color w:val="000000"/>
          <w:sz w:val="24"/>
          <w:highlight w:val="none"/>
          <w:lang w:val="en-US" w:eastAsia="zh-CN"/>
        </w:rPr>
        <w:t xml:space="preserve">1992000</w:t>
      </w:r>
      <w:r>
        <w:rPr>
          <w:rFonts w:ascii="宋体" w:hAnsi="宋体" w:eastAsia="宋体" w:cs="宋体"/>
          <w:color w:val="000000"/>
          <w:sz w:val="24"/>
          <w:highlight w:val="none"/>
        </w:rPr>
        <w:t xml:space="preserve">.00元</w:t>
      </w:r>
      <w:r>
        <w:rPr>
          <w:highlight w:val="none"/>
        </w:rPr>
      </w:r>
      <w:r/>
    </w:p>
    <w:p>
      <w:pPr>
        <w:ind w:left="0" w:right="0" w:firstLine="480"/>
        <w:jc w:val="both"/>
        <w:spacing w:before="240" w:after="24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最高限价：</w:t>
      </w:r>
      <w:r>
        <w:rPr>
          <w:highlight w:val="none"/>
        </w:rPr>
      </w:r>
      <w:r/>
    </w:p>
    <w:p>
      <w:pPr>
        <w:ind w:left="0" w:right="0" w:firstLine="480"/>
        <w:jc w:val="both"/>
        <w:spacing w:before="240" w:after="240" w:line="85" w:lineRule="atLeast"/>
        <w:shd w:val="clear" w:color="ffffff" w:fill="ffffff"/>
        <w:rPr>
          <w:rFonts w:hint="eastAsia"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人民币（大写）：</w:t>
      </w:r>
      <w:r>
        <w:rPr>
          <w:rFonts w:hint="eastAsia" w:ascii="宋体" w:hAnsi="宋体" w:eastAsia="宋体" w:cs="宋体"/>
          <w:color w:val="000000"/>
          <w:sz w:val="24"/>
          <w:highlight w:val="none"/>
          <w:lang w:eastAsia="zh-CN"/>
        </w:rPr>
        <w:t xml:space="preserve">壹佰玖拾玖万贰仟元整</w:t>
      </w:r>
      <w:r>
        <w:rPr>
          <w:highlight w:val="none"/>
        </w:rPr>
      </w:r>
      <w:r/>
    </w:p>
    <w:p>
      <w:pPr>
        <w:ind w:left="0" w:right="0" w:firstLine="480"/>
        <w:jc w:val="both"/>
        <w:spacing w:before="240" w:after="24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人民币（小写）：￥</w:t>
      </w:r>
      <w:r>
        <w:rPr>
          <w:rFonts w:hint="eastAsia" w:ascii="宋体" w:hAnsi="宋体" w:eastAsia="宋体" w:cs="宋体"/>
          <w:color w:val="000000"/>
          <w:sz w:val="24"/>
          <w:highlight w:val="none"/>
          <w:lang w:eastAsia="zh-CN"/>
        </w:rPr>
        <w:t xml:space="preserve">1992000</w:t>
      </w:r>
      <w:r>
        <w:rPr>
          <w:rFonts w:ascii="宋体" w:hAnsi="宋体" w:eastAsia="宋体" w:cs="宋体"/>
          <w:color w:val="000000"/>
          <w:sz w:val="24"/>
          <w:highlight w:val="none"/>
        </w:rPr>
        <w:t xml:space="preserve">.00元</w:t>
      </w:r>
      <w:r>
        <w:rPr>
          <w:highlight w:val="none"/>
        </w:rPr>
      </w:r>
      <w:r/>
    </w:p>
    <w:p>
      <w:pPr>
        <w:ind w:left="0" w:right="0" w:firstLine="480"/>
        <w:jc w:val="both"/>
        <w:spacing w:before="240" w:after="24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采购需求：详见第四章 采购内容。</w:t>
      </w:r>
      <w:r>
        <w:rPr>
          <w:highlight w:val="none"/>
        </w:rPr>
      </w:r>
      <w:r/>
    </w:p>
    <w:p>
      <w:pPr>
        <w:ind w:left="0" w:right="0" w:firstLine="480"/>
        <w:jc w:val="both"/>
        <w:spacing w:before="240" w:after="24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合同履行期限：合同签订之日起</w:t>
      </w:r>
      <w:r>
        <w:rPr>
          <w:rFonts w:hint="eastAsia" w:ascii="宋体" w:hAnsi="宋体" w:eastAsia="宋体" w:cs="宋体"/>
          <w:color w:val="000000"/>
          <w:sz w:val="24"/>
          <w:highlight w:val="none"/>
          <w:lang w:val="en-US" w:eastAsia="zh-CN"/>
        </w:rPr>
        <w:t xml:space="preserve">9个月</w:t>
      </w:r>
      <w:r>
        <w:rPr>
          <w:rFonts w:ascii="宋体" w:hAnsi="宋体" w:eastAsia="宋体" w:cs="宋体"/>
          <w:color w:val="000000"/>
          <w:sz w:val="24"/>
          <w:highlight w:val="none"/>
        </w:rPr>
        <w:t xml:space="preserve">。</w:t>
      </w:r>
      <w:r>
        <w:rPr>
          <w:highlight w:val="none"/>
        </w:rPr>
      </w:r>
      <w:r/>
    </w:p>
    <w:p>
      <w:pPr>
        <w:ind w:left="0" w:right="0" w:firstLine="482"/>
        <w:jc w:val="both"/>
        <w:spacing w:before="240" w:after="24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本项目（是/否）接受联合体：否</w:t>
      </w:r>
      <w:r>
        <w:rPr>
          <w:highlight w:val="none"/>
        </w:rPr>
      </w:r>
      <w:r/>
    </w:p>
    <w:p>
      <w:pPr>
        <w:pStyle w:val="810"/>
        <w:ind w:left="0" w:right="0" w:firstLine="482"/>
        <w:jc w:val="both"/>
        <w:spacing w:before="0" w:after="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二、申请人的资格要求</w:t>
      </w:r>
      <w:r>
        <w:rPr>
          <w:highlight w:val="none"/>
        </w:rPr>
      </w:r>
      <w:r/>
    </w:p>
    <w:p>
      <w:pPr>
        <w:ind w:left="0" w:right="0" w:firstLine="480"/>
        <w:jc w:val="both"/>
        <w:spacing w:before="240" w:after="24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（一）满足《中华人民共和国政府采购法》第二十二条规定：</w:t>
      </w:r>
      <w:r>
        <w:rPr>
          <w:highlight w:val="none"/>
        </w:rPr>
      </w:r>
      <w:r/>
    </w:p>
    <w:p>
      <w:pPr>
        <w:ind w:left="0" w:right="0" w:firstLine="480"/>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1、具有独立承担民事责任的能力。</w:t>
      </w:r>
      <w:r>
        <w:rPr>
          <w:highlight w:val="none"/>
        </w:rPr>
      </w:r>
      <w:r/>
    </w:p>
    <w:p>
      <w:pPr>
        <w:ind w:left="0" w:right="0" w:firstLine="480"/>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2、具有良好的商业信誉和健全的财务会计制度。</w:t>
      </w:r>
      <w:r>
        <w:rPr>
          <w:highlight w:val="none"/>
        </w:rPr>
      </w:r>
      <w:r/>
    </w:p>
    <w:p>
      <w:pPr>
        <w:ind w:left="0" w:right="0" w:firstLine="480"/>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3、具有履行合同所必需的设备和专业技术能力。</w:t>
      </w:r>
      <w:r>
        <w:rPr>
          <w:highlight w:val="none"/>
        </w:rPr>
      </w:r>
      <w:r/>
    </w:p>
    <w:p>
      <w:pPr>
        <w:ind w:left="0" w:right="0" w:firstLine="480"/>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4、有依法缴纳税收和社会保障资金的良好记录。</w:t>
      </w:r>
      <w:r>
        <w:rPr>
          <w:highlight w:val="none"/>
        </w:rPr>
      </w:r>
      <w:r/>
    </w:p>
    <w:p>
      <w:pPr>
        <w:ind w:left="0" w:right="0" w:firstLine="480"/>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5、参加政府采购活动前三年内，在经营活动中没有重大违法记录。</w:t>
      </w:r>
      <w:r>
        <w:rPr>
          <w:highlight w:val="none"/>
        </w:rPr>
      </w:r>
      <w:r/>
    </w:p>
    <w:p>
      <w:pPr>
        <w:ind w:left="0" w:right="0" w:firstLine="480"/>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6、法律、行政法规规定的其他条件。</w:t>
      </w:r>
      <w:r>
        <w:rPr>
          <w:highlight w:val="none"/>
        </w:rPr>
      </w:r>
      <w:r/>
    </w:p>
    <w:p>
      <w:pPr>
        <w:ind w:left="0" w:right="0" w:firstLine="480"/>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（二）落实政府采购政策需满足的资格要求：</w:t>
      </w:r>
      <w:r>
        <w:rPr>
          <w:highlight w:val="none"/>
        </w:rPr>
      </w:r>
      <w:r/>
    </w:p>
    <w:p>
      <w:pPr>
        <w:ind w:firstLine="480"/>
        <w:jc w:val="left"/>
        <w:spacing w:line="360" w:lineRule="auto"/>
        <w:rPr>
          <w:rFonts w:ascii="宋体" w:hAnsi="宋体" w:cs="宋体"/>
          <w:color w:val="000000"/>
          <w:sz w:val="24"/>
          <w:szCs w:val="24"/>
          <w:highlight w:val="none"/>
        </w:rPr>
      </w:pPr>
      <w:r>
        <w:rPr>
          <w:rFonts w:hint="eastAsia" w:ascii="宋体" w:hAnsi="宋体" w:cs="宋体"/>
          <w:b/>
          <w:bCs/>
          <w:color w:val="000000"/>
          <w:sz w:val="24"/>
          <w:szCs w:val="24"/>
          <w:highlight w:val="none"/>
          <w:lang w:val="zh-TW"/>
        </w:rPr>
        <w:t xml:space="preserve">本项目整体专门面向中小微企业采购，所属行业为</w:t>
      </w:r>
      <w:r>
        <w:rPr>
          <w:rFonts w:hint="eastAsia" w:ascii="宋体" w:hAnsi="宋体"/>
          <w:b/>
          <w:sz w:val="24"/>
          <w:szCs w:val="24"/>
          <w:highlight w:val="none"/>
        </w:rPr>
        <w:t xml:space="preserve">其他未列明行业</w:t>
      </w:r>
      <w:r>
        <w:rPr>
          <w:rFonts w:hint="eastAsia" w:ascii="宋体" w:hAnsi="宋体" w:cs="宋体"/>
          <w:b/>
          <w:bCs/>
          <w:color w:val="000000"/>
          <w:sz w:val="24"/>
          <w:szCs w:val="24"/>
          <w:highlight w:val="none"/>
          <w:lang w:val="zh-TW"/>
        </w:rPr>
        <w:t xml:space="preserve">，投标人必须提供《中小企业声明函》或《残疾人福利性单位声明函》或由省级以上监狱管理局、戒毒管理局（含新疆生产建设兵团）出具的属于监狱企业的证明文件。。</w:t>
      </w:r>
      <w:r>
        <w:rPr>
          <w:highlight w:val="none"/>
        </w:rPr>
      </w:r>
      <w:r/>
    </w:p>
    <w:p>
      <w:pPr>
        <w:ind w:left="0" w:right="0" w:firstLine="480"/>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（三）本项目的特定资格要求：</w:t>
      </w:r>
      <w:r>
        <w:rPr>
          <w:highlight w:val="none"/>
        </w:rPr>
      </w:r>
      <w:r/>
    </w:p>
    <w:p>
      <w:pPr>
        <w:ind w:left="0" w:right="0" w:firstLine="480"/>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1、未被“信用中国”网站（</w:t>
      </w:r>
      <w:r>
        <w:rPr>
          <w:highlight w:val="none"/>
        </w:rPr>
        <w:fldChar w:fldCharType="begin"/>
      </w:r>
      <w:r>
        <w:rPr>
          <w:highlight w:val="none"/>
        </w:rPr>
        <w:instrText xml:space="preserve"> HYPERLINK "https://www.creditchina.gov.cn/" \o "https://www.creditchina.gov.cn/" </w:instrText>
      </w:r>
      <w:r>
        <w:rPr>
          <w:highlight w:val="none"/>
        </w:rPr>
        <w:fldChar w:fldCharType="separate"/>
      </w:r>
      <w:r>
        <w:rPr>
          <w:rStyle w:val="815"/>
          <w:rFonts w:ascii="宋体" w:hAnsi="宋体" w:eastAsia="宋体" w:cs="宋体"/>
          <w:color w:val="0000ee"/>
          <w:sz w:val="24"/>
          <w:highlight w:val="none"/>
          <w:u w:val="single"/>
        </w:rPr>
        <w:t xml:space="preserve">www.creditchina.gov.cn</w:t>
      </w:r>
      <w:r>
        <w:rPr>
          <w:rStyle w:val="815"/>
          <w:rFonts w:ascii="宋体" w:hAnsi="宋体" w:eastAsia="宋体" w:cs="宋体"/>
          <w:color w:val="0000ee"/>
          <w:sz w:val="24"/>
          <w:highlight w:val="none"/>
          <w:u w:val="single"/>
        </w:rPr>
        <w:fldChar w:fldCharType="end"/>
      </w:r>
      <w:r>
        <w:rPr>
          <w:rFonts w:ascii="宋体" w:hAnsi="宋体" w:eastAsia="宋体" w:cs="宋体"/>
          <w:color w:val="000000"/>
          <w:sz w:val="24"/>
          <w:highlight w:val="none"/>
        </w:rPr>
        <w:t xml:space="preserve">）列入失信被执行人、重大税收违法案件当事人名单、政府采购严重失信行为记录名单。</w:t>
      </w:r>
      <w:r>
        <w:rPr>
          <w:highlight w:val="none"/>
        </w:rPr>
      </w:r>
      <w:r/>
    </w:p>
    <w:p>
      <w:pPr>
        <w:ind w:left="0" w:right="0" w:firstLine="48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highlight w:val="none"/>
        </w:rPr>
        <w:t xml:space="preserve">2、</w:t>
      </w:r>
      <w:r>
        <w:rPr>
          <w:rFonts w:ascii="宋体" w:hAnsi="宋体" w:eastAsia="宋体" w:cs="宋体"/>
          <w:color w:val="000000"/>
          <w:sz w:val="24"/>
          <w:highlight w:val="none"/>
        </w:rPr>
        <w:t xml:space="preserve">单位负责人为同一人或者存在直接控股、管理关系的不同供应商，不得参加同一合同项下的采购活动。</w:t>
      </w:r>
      <w:r>
        <w:rPr>
          <w:highlight w:val="none"/>
        </w:rPr>
      </w:r>
      <w:r/>
    </w:p>
    <w:p>
      <w:pPr>
        <w:pStyle w:val="810"/>
        <w:ind w:left="0" w:right="0" w:firstLine="482"/>
        <w:jc w:val="both"/>
        <w:spacing w:before="0" w:after="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三、获取采购文件</w:t>
      </w:r>
      <w:r>
        <w:rPr>
          <w:highlight w:val="none"/>
        </w:rPr>
      </w:r>
      <w:r/>
    </w:p>
    <w:p>
      <w:pPr>
        <w:ind w:left="0" w:right="0" w:firstLine="480"/>
        <w:jc w:val="both"/>
        <w:spacing w:before="240" w:after="24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时间：自采购文件公告发布之日起5个工作日</w:t>
      </w:r>
      <w:r>
        <w:rPr>
          <w:highlight w:val="none"/>
        </w:rPr>
      </w:r>
      <w:r/>
    </w:p>
    <w:p>
      <w:pPr>
        <w:ind w:left="0" w:right="0" w:firstLine="480"/>
        <w:jc w:val="both"/>
        <w:spacing w:before="240" w:after="24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地点：江苏省政府采购一体化平台“苏采云”系统</w:t>
      </w:r>
      <w:r>
        <w:rPr>
          <w:highlight w:val="none"/>
        </w:rPr>
      </w:r>
      <w:r/>
    </w:p>
    <w:p>
      <w:pPr>
        <w:ind w:left="0" w:right="0" w:firstLine="480"/>
        <w:jc w:val="both"/>
        <w:spacing w:before="240" w:after="24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售价：0.00元</w:t>
      </w:r>
      <w:r>
        <w:rPr>
          <w:highlight w:val="none"/>
        </w:rPr>
      </w:r>
      <w:r/>
    </w:p>
    <w:p>
      <w:pPr>
        <w:pStyle w:val="810"/>
        <w:ind w:left="0" w:right="0" w:firstLine="482"/>
        <w:jc w:val="both"/>
        <w:spacing w:before="0" w:after="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四、响应文件提交</w:t>
      </w:r>
      <w:r>
        <w:rPr>
          <w:highlight w:val="none"/>
        </w:rPr>
      </w:r>
      <w:r/>
    </w:p>
    <w:p>
      <w:pPr>
        <w:ind w:left="0" w:right="0" w:firstLine="480"/>
        <w:jc w:val="both"/>
        <w:spacing w:before="240" w:after="24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截止时间：2026年</w:t>
      </w:r>
      <w:r>
        <w:rPr>
          <w:rFonts w:hint="eastAsia" w:ascii="宋体" w:hAnsi="宋体" w:eastAsia="宋体" w:cs="宋体"/>
          <w:color w:val="000000"/>
          <w:sz w:val="24"/>
          <w:highlight w:val="none"/>
          <w:lang w:val="en-US" w:eastAsia="zh-CN"/>
        </w:rPr>
        <w:t xml:space="preserve">6</w:t>
      </w:r>
      <w:r>
        <w:rPr>
          <w:rFonts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16</w:t>
      </w:r>
      <w:r>
        <w:rPr>
          <w:rFonts w:ascii="宋体" w:hAnsi="宋体" w:eastAsia="宋体" w:cs="宋体"/>
          <w:color w:val="000000"/>
          <w:sz w:val="24"/>
          <w:highlight w:val="none"/>
        </w:rPr>
        <w:t xml:space="preserve">日上午9:30（北京时间）</w:t>
      </w:r>
      <w:r>
        <w:rPr>
          <w:highlight w:val="none"/>
        </w:rPr>
      </w:r>
      <w:r/>
    </w:p>
    <w:p>
      <w:pPr>
        <w:ind w:left="0" w:right="0" w:firstLine="480"/>
        <w:jc w:val="both"/>
        <w:spacing w:before="240" w:after="24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地点：“苏采云”系统（网址：http://jszfcg.jsczt.cn/）</w:t>
      </w:r>
      <w:r>
        <w:rPr>
          <w:highlight w:val="none"/>
        </w:rPr>
      </w:r>
      <w:r/>
    </w:p>
    <w:p>
      <w:pPr>
        <w:pStyle w:val="810"/>
        <w:ind w:left="0" w:right="0" w:firstLine="482"/>
        <w:jc w:val="both"/>
        <w:spacing w:before="0" w:after="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五、开启</w:t>
      </w:r>
      <w:r>
        <w:rPr>
          <w:highlight w:val="none"/>
        </w:rPr>
      </w:r>
      <w:r/>
    </w:p>
    <w:p>
      <w:pPr>
        <w:ind w:left="0" w:right="0" w:firstLine="480"/>
        <w:jc w:val="both"/>
        <w:spacing w:before="240" w:after="24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时间：</w:t>
      </w:r>
      <w:r>
        <w:rPr>
          <w:rFonts w:ascii="宋体" w:hAnsi="宋体" w:eastAsia="宋体" w:cs="宋体"/>
          <w:color w:val="000000"/>
          <w:sz w:val="24"/>
          <w:highlight w:val="none"/>
        </w:rPr>
        <w:t xml:space="preserve">2026年</w:t>
      </w:r>
      <w:r>
        <w:rPr>
          <w:rFonts w:hint="eastAsia" w:ascii="宋体" w:hAnsi="宋体" w:eastAsia="宋体" w:cs="宋体"/>
          <w:color w:val="000000"/>
          <w:sz w:val="24"/>
          <w:highlight w:val="none"/>
          <w:lang w:val="en-US" w:eastAsia="zh-CN"/>
        </w:rPr>
        <w:t xml:space="preserve">6</w:t>
      </w:r>
      <w:r>
        <w:rPr>
          <w:rFonts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16</w:t>
      </w:r>
      <w:r>
        <w:rPr>
          <w:rFonts w:ascii="宋体" w:hAnsi="宋体" w:eastAsia="宋体" w:cs="宋体"/>
          <w:color w:val="000000"/>
          <w:sz w:val="24"/>
          <w:highlight w:val="none"/>
        </w:rPr>
        <w:t xml:space="preserve">日上午9:30（北京时间）</w:t>
      </w:r>
      <w:r>
        <w:rPr>
          <w:highlight w:val="none"/>
        </w:rPr>
      </w:r>
      <w:r/>
    </w:p>
    <w:p>
      <w:pPr>
        <w:ind w:left="0" w:right="0" w:firstLine="480"/>
        <w:jc w:val="both"/>
        <w:spacing w:before="240" w:after="24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地点：“苏采云”系统（网址：http://jszfcg.jsczt.cn/）</w:t>
      </w:r>
      <w:r>
        <w:rPr>
          <w:highlight w:val="none"/>
        </w:rPr>
      </w:r>
      <w:r/>
    </w:p>
    <w:p>
      <w:pPr>
        <w:pStyle w:val="810"/>
        <w:ind w:left="0" w:right="0" w:firstLine="482"/>
        <w:jc w:val="both"/>
        <w:spacing w:before="0" w:after="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六、公告期限</w:t>
      </w:r>
      <w:r>
        <w:rPr>
          <w:highlight w:val="none"/>
        </w:rPr>
      </w:r>
      <w:r/>
    </w:p>
    <w:p>
      <w:pPr>
        <w:ind w:left="0" w:right="0" w:firstLine="480"/>
        <w:jc w:val="both"/>
        <w:spacing w:before="240" w:after="24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自本公告发布之日起3个工作日。</w:t>
      </w:r>
      <w:r>
        <w:rPr>
          <w:highlight w:val="none"/>
        </w:rPr>
      </w:r>
      <w:r/>
    </w:p>
    <w:p>
      <w:pPr>
        <w:pStyle w:val="810"/>
        <w:ind w:left="0" w:right="0" w:firstLine="482"/>
        <w:jc w:val="both"/>
        <w:spacing w:before="0" w:after="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七、其他补充事宜</w:t>
      </w:r>
      <w:r>
        <w:rPr>
          <w:highlight w:val="none"/>
        </w:rPr>
      </w:r>
      <w:r/>
    </w:p>
    <w:p>
      <w:pPr>
        <w:ind w:left="0" w:right="0" w:firstLine="48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1.根据苏州市财政局《关于深入开展苏州市政府采购合同信用融资业务的通知》相关要求，本项目支持政府采购合同信用融资。</w:t>
      </w:r>
      <w:r>
        <w:rPr>
          <w:highlight w:val="none"/>
        </w:rPr>
      </w:r>
      <w:r/>
    </w:p>
    <w:p>
      <w:pPr>
        <w:ind w:left="0" w:right="0" w:firstLine="480"/>
        <w:jc w:val="both"/>
        <w:spacing w:before="0" w:after="0"/>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333333"/>
          <w:sz w:val="24"/>
          <w:highlight w:val="none"/>
        </w:rPr>
        <w:t xml:space="preserve">2、线上获取方式：</w:t>
      </w:r>
      <w:r>
        <w:rPr>
          <w:highlight w:val="none"/>
        </w:rPr>
      </w:r>
      <w:r/>
    </w:p>
    <w:p>
      <w:pPr>
        <w:ind w:left="0" w:right="0" w:firstLine="480"/>
        <w:jc w:val="both"/>
        <w:spacing w:before="0" w:after="0"/>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333333"/>
          <w:sz w:val="24"/>
          <w:highlight w:val="none"/>
        </w:rPr>
        <w:t xml:space="preserve">（1）CA证书办理</w:t>
      </w:r>
      <w:r>
        <w:rPr>
          <w:highlight w:val="none"/>
        </w:rPr>
      </w:r>
      <w:r/>
    </w:p>
    <w:p>
      <w:pPr>
        <w:ind w:left="0" w:right="0" w:firstLine="480"/>
        <w:jc w:val="both"/>
        <w:spacing w:before="0" w:after="0"/>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333333"/>
          <w:sz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ascii="宋体" w:hAnsi="宋体" w:eastAsia="宋体" w:cs="宋体"/>
          <w:b/>
          <w:color w:val="333333"/>
          <w:sz w:val="24"/>
          <w:highlight w:val="none"/>
        </w:rPr>
        <w:t xml:space="preserve">苏州现场办理地址：苏州市高新区邓尉路105号狮山科技馆1楼大厅。</w:t>
      </w:r>
      <w:r>
        <w:rPr>
          <w:highlight w:val="none"/>
        </w:rPr>
      </w:r>
      <w:r/>
    </w:p>
    <w:p>
      <w:pPr>
        <w:ind w:left="0" w:right="0" w:firstLine="480"/>
        <w:jc w:val="both"/>
        <w:spacing w:before="0" w:after="0"/>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333333"/>
          <w:sz w:val="24"/>
          <w:highlight w:val="none"/>
        </w:rPr>
        <w:t xml:space="preserve">（2）参与采购活动</w:t>
      </w:r>
      <w:r>
        <w:rPr>
          <w:highlight w:val="none"/>
        </w:rPr>
      </w:r>
      <w:r/>
    </w:p>
    <w:p>
      <w:pPr>
        <w:ind w:left="0" w:right="0" w:firstLine="480"/>
        <w:jc w:val="both"/>
        <w:spacing w:before="0" w:after="0"/>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333333"/>
          <w:sz w:val="24"/>
          <w:highlight w:val="none"/>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highlight w:val="none"/>
        </w:rPr>
      </w:r>
      <w:r/>
    </w:p>
    <w:p>
      <w:pPr>
        <w:ind w:left="0" w:right="0" w:firstLine="480"/>
        <w:jc w:val="both"/>
        <w:spacing w:before="0" w:after="0"/>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333333"/>
          <w:sz w:val="24"/>
          <w:highlight w:val="none"/>
        </w:rPr>
        <w:t xml:space="preserve">考虑到熟悉“苏采云”系统、办理CA证书都需要一定的时间，请提早准备以免耽误招标采购活动。</w:t>
      </w:r>
      <w:r>
        <w:rPr>
          <w:highlight w:val="none"/>
        </w:rPr>
      </w:r>
      <w:r/>
    </w:p>
    <w:p>
      <w:pPr>
        <w:ind w:left="0" w:right="0" w:firstLine="480"/>
        <w:jc w:val="both"/>
        <w:spacing w:before="0" w:after="0"/>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333333"/>
          <w:sz w:val="24"/>
          <w:highlight w:val="none"/>
        </w:rPr>
        <w:t xml:space="preserve">（3）电子投标准备</w:t>
      </w:r>
      <w:r>
        <w:rPr>
          <w:highlight w:val="none"/>
        </w:rPr>
      </w:r>
      <w:r/>
    </w:p>
    <w:p>
      <w:pPr>
        <w:ind w:left="0" w:right="0" w:firstLine="480"/>
        <w:jc w:val="both"/>
        <w:spacing w:before="0" w:after="0"/>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333333"/>
          <w:sz w:val="24"/>
          <w:highlight w:val="none"/>
        </w:rPr>
        <w:t xml:space="preserve">供应商在“苏采云”系统中操作成功参与项目后，必须在“已参与项目”界面中下载电子招标文件（后缀名为“.kedt”）并导入政府采购客户端工具后方可进行投标文件制作和提交</w:t>
      </w:r>
      <w:r>
        <w:rPr>
          <w:rFonts w:ascii="宋体" w:hAnsi="宋体" w:eastAsia="宋体" w:cs="宋体"/>
          <w:b/>
          <w:color w:val="333333"/>
          <w:sz w:val="24"/>
          <w:highlight w:val="none"/>
        </w:rPr>
        <w:t xml:space="preserve">（具体详见《苏采云系统供应商操作手册》，网址链接https://czju.suzhou.gov.cn/zfcg/html/content/20231220161910031.shtml）</w:t>
      </w:r>
      <w:r>
        <w:rPr>
          <w:rFonts w:ascii="宋体" w:hAnsi="宋体" w:eastAsia="宋体" w:cs="宋体"/>
          <w:color w:val="333333"/>
          <w:sz w:val="24"/>
          <w:highlight w:val="none"/>
        </w:rPr>
        <w:t xml:space="preserve">。</w:t>
      </w:r>
      <w:r>
        <w:rPr>
          <w:highlight w:val="none"/>
        </w:rPr>
      </w:r>
      <w:r/>
    </w:p>
    <w:p>
      <w:pPr>
        <w:ind w:left="0" w:right="0" w:firstLine="480"/>
        <w:jc w:val="both"/>
        <w:spacing w:before="0" w:after="0"/>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333333"/>
          <w:sz w:val="24"/>
          <w:highlight w:val="none"/>
        </w:rPr>
        <w:t xml:space="preserve">在系统操作过程中如有疑问，请按以下方式联系：</w:t>
      </w:r>
      <w:r>
        <w:rPr>
          <w:highlight w:val="none"/>
        </w:rPr>
      </w:r>
      <w:r/>
    </w:p>
    <w:p>
      <w:pPr>
        <w:ind w:left="0" w:right="0" w:firstLine="480"/>
        <w:jc w:val="both"/>
        <w:spacing w:before="0" w:after="0"/>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333333"/>
          <w:sz w:val="24"/>
          <w:highlight w:val="none"/>
        </w:rPr>
        <w:t xml:space="preserve">注册咨询：13914088964；</w:t>
      </w:r>
      <w:r>
        <w:rPr>
          <w:highlight w:val="none"/>
        </w:rPr>
      </w:r>
      <w:r/>
    </w:p>
    <w:p>
      <w:pPr>
        <w:ind w:left="0" w:right="0" w:firstLine="480"/>
        <w:jc w:val="both"/>
        <w:spacing w:before="0" w:after="0"/>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333333"/>
          <w:sz w:val="24"/>
          <w:highlight w:val="none"/>
        </w:rPr>
        <w:t xml:space="preserve">CA技术咨询电话：400-608-6099；</w:t>
      </w:r>
      <w:r>
        <w:rPr>
          <w:highlight w:val="none"/>
        </w:rPr>
      </w:r>
      <w:r/>
    </w:p>
    <w:p>
      <w:pPr>
        <w:ind w:left="0" w:right="0" w:firstLine="480"/>
        <w:jc w:val="both"/>
        <w:spacing w:before="0" w:after="0"/>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333333"/>
          <w:sz w:val="24"/>
          <w:highlight w:val="none"/>
        </w:rPr>
        <w:t xml:space="preserve">签章使用问题：025-83633811、025-83633812、15380932027、15371015030；</w:t>
      </w:r>
      <w:r>
        <w:rPr>
          <w:highlight w:val="none"/>
        </w:rPr>
      </w:r>
      <w:r/>
    </w:p>
    <w:p>
      <w:pPr>
        <w:ind w:left="0" w:right="0" w:firstLine="480"/>
        <w:jc w:val="both"/>
        <w:spacing w:before="0" w:after="0"/>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333333"/>
          <w:sz w:val="24"/>
          <w:highlight w:val="none"/>
        </w:rPr>
        <w:t xml:space="preserve">系统使用指导与咨询：联系电话：13914088964、0512-69820854；智能客服：登录苏采云系统后，联系系统右下方智能客服图标进行咨询。</w:t>
      </w:r>
      <w:r>
        <w:rPr>
          <w:highlight w:val="none"/>
        </w:rPr>
      </w:r>
      <w:r/>
    </w:p>
    <w:p>
      <w:pPr>
        <w:ind w:left="0" w:right="0" w:firstLine="480"/>
        <w:jc w:val="both"/>
        <w:spacing w:before="0" w:after="0"/>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333333"/>
          <w:sz w:val="24"/>
          <w:highlight w:val="none"/>
        </w:rPr>
        <w:t xml:space="preserve">3、本项目采用电子招投标形式，请供应商按照《苏采云系统供应商操作手册》进行制作、上传电子投标文件。响应文件制作完成后请于截止前成功上传至“苏采云”系统，未按要求线上递交电子投标（响应）文件视为放弃参加该采购项目。供应商应充分考虑到网络环境、网络带宽等风险因素，如因供应商自身原因造成的电子投标文件上传不成功由供应商自行承担全部责任。</w:t>
      </w:r>
      <w:r>
        <w:rPr>
          <w:highlight w:val="none"/>
        </w:rPr>
      </w:r>
      <w:r/>
    </w:p>
    <w:p>
      <w:pPr>
        <w:ind w:left="0" w:right="0" w:firstLine="480"/>
        <w:jc w:val="both"/>
        <w:spacing w:before="0" w:after="0"/>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333333"/>
          <w:sz w:val="24"/>
          <w:highlight w:val="none"/>
        </w:rPr>
        <w:t xml:space="preserve">4、本项目为不见面开标项目，开标阶段供应商在【供应商解密】环节必须使用 CA证书解密电子投标（响应）文件，如在系统规定的解密时间内未能完成解密的视为放弃投标（响应）。</w:t>
      </w:r>
      <w:r>
        <w:rPr>
          <w:highlight w:val="none"/>
        </w:rPr>
      </w:r>
      <w:r/>
    </w:p>
    <w:p>
      <w:pPr>
        <w:ind w:left="0" w:right="0" w:firstLine="480"/>
        <w:jc w:val="both"/>
        <w:spacing w:before="0" w:after="0"/>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333333"/>
          <w:sz w:val="24"/>
          <w:highlight w:val="none"/>
        </w:rPr>
        <w:t xml:space="preserve">5、线上参加开标（开启）会方式：供应商登录“苏采云”系统在平台首页点击“开标大厅”，进入江苏省政府采购一体化不见面开标（采购）大厅，在今日项目列表，点击项目，进入不见面开标系统。</w:t>
      </w:r>
      <w:r>
        <w:rPr>
          <w:highlight w:val="none"/>
        </w:rPr>
      </w:r>
      <w:r/>
    </w:p>
    <w:p>
      <w:pPr>
        <w:ind w:left="0" w:right="0" w:firstLine="480"/>
        <w:jc w:val="both"/>
        <w:spacing w:before="0" w:after="0"/>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333333"/>
          <w:sz w:val="24"/>
          <w:highlight w:val="none"/>
        </w:rPr>
        <w:t xml:space="preserve">请供应商确保电脑、系统及其他设备（视频输入输出设备等）无误，且开标直至项目结束始终保持系统在线状态。</w:t>
      </w:r>
      <w:r>
        <w:rPr>
          <w:highlight w:val="none"/>
        </w:rPr>
      </w:r>
      <w:r/>
    </w:p>
    <w:p>
      <w:pPr>
        <w:ind w:left="0" w:right="0" w:firstLine="480"/>
        <w:jc w:val="both"/>
        <w:spacing w:before="0" w:after="0"/>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333333"/>
          <w:sz w:val="24"/>
          <w:highlight w:val="none"/>
        </w:rPr>
        <w:t xml:space="preserve">6、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讯畅通，否则导致的对供应商不利的后果由供应商自行承担。</w:t>
      </w:r>
      <w:r>
        <w:rPr>
          <w:highlight w:val="none"/>
        </w:rPr>
      </w:r>
      <w:r/>
    </w:p>
    <w:p>
      <w:pPr>
        <w:ind w:left="0" w:right="0" w:firstLine="480"/>
        <w:jc w:val="both"/>
        <w:spacing w:before="0" w:after="0"/>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333333"/>
          <w:sz w:val="24"/>
          <w:highlight w:val="none"/>
        </w:rPr>
        <w:t xml:space="preserve">7、本项目获取招标文件截止日期之后仍可以下载招标文件，但截止日期之后下载的招标文件,视为非有效方式且不作为供应商权益受到损害的证明材料和依据。</w:t>
      </w:r>
      <w:r>
        <w:rPr>
          <w:highlight w:val="none"/>
        </w:rPr>
      </w:r>
      <w:r/>
    </w:p>
    <w:p>
      <w:pPr>
        <w:ind w:left="0" w:right="0" w:firstLine="480"/>
        <w:jc w:val="both"/>
        <w:spacing w:before="0" w:after="0"/>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333333"/>
          <w:sz w:val="24"/>
          <w:highlight w:val="none"/>
        </w:rPr>
        <w:t xml:space="preserve">8、更正(补充)公告及附件的获取: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w:t>
      </w:r>
      <w:r>
        <w:rPr>
          <w:highlight w:val="none"/>
        </w:rPr>
      </w:r>
      <w:r/>
    </w:p>
    <w:p>
      <w:pPr>
        <w:ind w:left="0" w:right="0" w:firstLine="480"/>
        <w:jc w:val="both"/>
        <w:spacing w:before="0" w:after="0"/>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333333"/>
          <w:sz w:val="24"/>
          <w:highlight w:val="none"/>
        </w:rPr>
        <w:t xml:space="preserve">9、政府采购监督电话：</w:t>
      </w:r>
      <w:r>
        <w:rPr>
          <w:rFonts w:ascii="宋体" w:hAnsi="宋体" w:eastAsia="宋体" w:cs="宋体"/>
          <w:color w:val="000000"/>
          <w:sz w:val="24"/>
          <w:highlight w:val="none"/>
        </w:rPr>
        <w:t xml:space="preserve">0512-68616651。</w:t>
      </w:r>
      <w:r>
        <w:rPr>
          <w:highlight w:val="none"/>
        </w:rPr>
      </w:r>
      <w:r/>
    </w:p>
    <w:p>
      <w:pPr>
        <w:ind w:left="0" w:right="0" w:firstLine="480"/>
        <w:jc w:val="both"/>
        <w:spacing w:before="0" w:after="0"/>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333333"/>
          <w:sz w:val="24"/>
          <w:highlight w:val="none"/>
        </w:rPr>
        <w:t xml:space="preserve">10、本次采购的有关信息将在苏州市政府采购网、江苏政府采购网上发布，敬请留意！</w:t>
      </w:r>
      <w:r>
        <w:rPr>
          <w:highlight w:val="none"/>
        </w:rPr>
      </w:r>
      <w:r/>
    </w:p>
    <w:p>
      <w:pPr>
        <w:ind w:left="0" w:right="0" w:firstLine="48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p>
      <w:pPr>
        <w:pStyle w:val="810"/>
        <w:ind w:left="0" w:right="0" w:firstLine="482"/>
        <w:jc w:val="both"/>
        <w:spacing w:before="0" w:after="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八、凡对本次采购提出询问，请按以下方式联系</w:t>
      </w:r>
      <w:r>
        <w:rPr>
          <w:highlight w:val="none"/>
        </w:rPr>
      </w:r>
      <w:r/>
    </w:p>
    <w:p>
      <w:pPr>
        <w:ind w:left="0" w:right="0" w:firstLine="480"/>
        <w:jc w:val="both"/>
        <w:spacing w:before="240" w:after="24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1、采购人信息</w:t>
      </w:r>
      <w:r>
        <w:rPr>
          <w:highlight w:val="none"/>
        </w:rPr>
      </w:r>
      <w:r/>
    </w:p>
    <w:p>
      <w:pPr>
        <w:ind w:left="0" w:right="0" w:firstLine="480"/>
        <w:jc w:val="both"/>
        <w:spacing w:before="240" w:after="240" w:line="85" w:lineRule="atLeast"/>
        <w:rPr>
          <w:rFonts w:hint="eastAsia"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单位名称：</w:t>
      </w:r>
      <w:r>
        <w:rPr>
          <w:rFonts w:hint="eastAsia" w:ascii="宋体" w:hAnsi="宋体" w:eastAsia="宋体" w:cs="宋体"/>
          <w:color w:val="000000"/>
          <w:sz w:val="24"/>
          <w:highlight w:val="none"/>
          <w:lang w:eastAsia="zh-CN"/>
        </w:rPr>
        <w:t xml:space="preserve">苏州市心理健康中心</w:t>
      </w:r>
      <w:r>
        <w:rPr>
          <w:highlight w:val="none"/>
        </w:rPr>
      </w:r>
      <w:r/>
    </w:p>
    <w:p>
      <w:pPr>
        <w:ind w:left="0" w:right="0" w:firstLine="480"/>
        <w:jc w:val="both"/>
        <w:spacing w:before="240" w:after="240" w:line="85" w:lineRule="atLeast"/>
        <w:rPr>
          <w:rFonts w:hint="eastAsia"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单位地址：</w:t>
      </w:r>
      <w:r>
        <w:rPr>
          <w:rFonts w:hint="eastAsia" w:ascii="宋体" w:hAnsi="宋体" w:eastAsia="宋体" w:cs="宋体"/>
          <w:color w:val="000000"/>
          <w:sz w:val="24"/>
          <w:highlight w:val="none"/>
          <w:lang w:eastAsia="zh-CN"/>
        </w:rPr>
        <w:t xml:space="preserve">苏州市姑苏区人民路3189号新平江商业广场3楼</w:t>
      </w:r>
      <w:r>
        <w:rPr>
          <w:highlight w:val="none"/>
        </w:rPr>
      </w:r>
      <w:r/>
    </w:p>
    <w:p>
      <w:pPr>
        <w:ind w:left="0" w:right="0" w:firstLine="480"/>
        <w:jc w:val="both"/>
        <w:spacing w:before="240" w:after="240" w:line="85" w:lineRule="atLeast"/>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联系人：</w:t>
      </w:r>
      <w:r>
        <w:rPr>
          <w:rFonts w:hint="eastAsia" w:asciiTheme="minorEastAsia" w:hAnsiTheme="minorEastAsia" w:eastAsiaTheme="minorEastAsia" w:cstheme="minorEastAsia"/>
          <w:i w:val="0"/>
          <w:iCs w:val="0"/>
          <w:caps w:val="0"/>
          <w:spacing w:val="0"/>
          <w:sz w:val="24"/>
          <w:szCs w:val="24"/>
          <w:highlight w:val="none"/>
          <w:shd w:val="clear" w:color="auto" w:fill="ffffff"/>
        </w:rPr>
        <w:t xml:space="preserve">陆培芳</w:t>
      </w:r>
      <w:r>
        <w:rPr>
          <w:rFonts w:ascii="宋体" w:hAnsi="宋体" w:eastAsia="宋体" w:cs="宋体"/>
          <w:color w:val="000000"/>
          <w:sz w:val="24"/>
          <w:highlight w:val="none"/>
        </w:rPr>
        <w:t xml:space="preserve"> </w:t>
      </w:r>
      <w:r>
        <w:rPr>
          <w:highlight w:val="none"/>
        </w:rPr>
      </w:r>
      <w:r/>
    </w:p>
    <w:p>
      <w:pPr>
        <w:ind w:left="0" w:right="0" w:firstLine="480"/>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联系电话：</w:t>
      </w:r>
      <w:r>
        <w:rPr>
          <w:rFonts w:hint="eastAsia" w:asciiTheme="minorEastAsia" w:hAnsiTheme="minorEastAsia" w:eastAsiaTheme="minorEastAsia" w:cstheme="minorEastAsia"/>
          <w:i w:val="0"/>
          <w:iCs w:val="0"/>
          <w:caps w:val="0"/>
          <w:spacing w:val="0"/>
          <w:sz w:val="24"/>
          <w:szCs w:val="24"/>
          <w:highlight w:val="none"/>
          <w:shd w:val="clear" w:color="auto" w:fill="ffffff"/>
        </w:rPr>
        <w:t xml:space="preserve">15306213068</w:t>
      </w:r>
      <w:r>
        <w:rPr>
          <w:highlight w:val="none"/>
        </w:rPr>
      </w:r>
      <w:r/>
    </w:p>
    <w:p>
      <w:pPr>
        <w:ind w:left="0" w:right="0" w:firstLine="480"/>
        <w:jc w:val="both"/>
        <w:spacing w:before="240" w:after="24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2、采购代理机构信息</w:t>
      </w:r>
      <w:r>
        <w:rPr>
          <w:highlight w:val="none"/>
        </w:rPr>
      </w:r>
      <w:r/>
    </w:p>
    <w:p>
      <w:pPr>
        <w:ind w:left="0" w:right="0" w:firstLine="480"/>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单位名称：江苏仁禾中衡工程咨询房地产估价有限公司</w:t>
      </w:r>
      <w:r>
        <w:rPr>
          <w:highlight w:val="none"/>
        </w:rPr>
      </w:r>
      <w:r/>
    </w:p>
    <w:p>
      <w:pPr>
        <w:ind w:left="0" w:right="0" w:firstLine="480"/>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单位地址：苏州市工业园区苏桐路37号2号楼5楼502室</w:t>
      </w:r>
      <w:r>
        <w:rPr>
          <w:highlight w:val="none"/>
        </w:rPr>
      </w:r>
      <w:r/>
    </w:p>
    <w:p>
      <w:pPr>
        <w:ind w:left="0" w:right="0" w:firstLine="480"/>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联系人：王雯婧、厉昆</w:t>
      </w:r>
      <w:r>
        <w:rPr>
          <w:highlight w:val="none"/>
        </w:rPr>
      </w:r>
      <w:r/>
    </w:p>
    <w:p>
      <w:pPr>
        <w:ind w:left="0" w:right="0" w:firstLine="480"/>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联系电话：0512-65261203-8008</w:t>
      </w:r>
      <w:r>
        <w:rPr>
          <w:highlight w:val="none"/>
        </w:rPr>
      </w:r>
      <w:r/>
    </w:p>
    <w:p>
      <w:pPr>
        <w:ind w:left="0" w:right="0" w:firstLine="480"/>
        <w:jc w:val="both"/>
        <w:spacing w:before="240" w:after="24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3、项目联系方式</w:t>
      </w:r>
      <w:r>
        <w:rPr>
          <w:highlight w:val="none"/>
        </w:rPr>
      </w:r>
      <w:r/>
    </w:p>
    <w:p>
      <w:pPr>
        <w:ind w:left="0" w:right="0" w:firstLine="480"/>
        <w:jc w:val="both"/>
        <w:spacing w:before="240" w:after="240" w:line="85" w:lineRule="atLeast"/>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项目联系人：王雯婧、厉昆</w:t>
      </w:r>
      <w:r>
        <w:rPr>
          <w:highlight w:val="none"/>
        </w:rPr>
      </w:r>
      <w:r/>
    </w:p>
    <w:p>
      <w:pPr>
        <w:ind w:left="0" w:right="0" w:firstLine="480"/>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电话：0512-65261203-8008</w:t>
      </w:r>
      <w:r>
        <w:rPr>
          <w:highlight w:val="none"/>
        </w:rPr>
      </w:r>
      <w:r/>
    </w:p>
    <w:p>
      <w:pPr>
        <w:ind w:right="0"/>
        <w:jc w:val="right"/>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2026年</w:t>
      </w:r>
      <w:r>
        <w:rPr>
          <w:rFonts w:hint="eastAsia" w:ascii="宋体" w:hAnsi="宋体" w:eastAsia="宋体" w:cs="宋体"/>
          <w:color w:val="000000"/>
          <w:sz w:val="24"/>
          <w:highlight w:val="none"/>
          <w:lang w:val="en-US" w:eastAsia="zh-CN"/>
        </w:rPr>
        <w:t xml:space="preserve">06</w:t>
      </w:r>
      <w:r>
        <w:rPr>
          <w:rFonts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04</w:t>
      </w:r>
      <w:r>
        <w:rPr>
          <w:rFonts w:ascii="宋体" w:hAnsi="宋体" w:eastAsia="宋体" w:cs="宋体"/>
          <w:color w:val="000000"/>
          <w:sz w:val="24"/>
          <w:highlight w:val="none"/>
        </w:rPr>
        <w:t xml:space="preserve">日</w:t>
      </w:r>
      <w:r>
        <w:rPr>
          <w:highlight w:val="none"/>
        </w:rPr>
      </w:r>
      <w:r/>
    </w:p>
    <w:p>
      <w:pPr>
        <w:ind w:left="0" w:right="0" w:firstLine="480"/>
        <w:jc w:val="right"/>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江苏仁禾中衡工程咨询房地产估价有限公司</w:t>
      </w:r>
      <w:r>
        <w:rPr>
          <w:highlight w:val="none"/>
        </w:rPr>
      </w:r>
      <w:r/>
    </w:p>
    <w:p>
      <w:pPr>
        <w:ind w:left="0" w:right="0" w:firstLine="7629"/>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p>
      <w:pPr>
        <w:ind w:left="420" w:right="0" w:firstLine="420"/>
        <w:jc w:val="both"/>
        <w:spacing w:before="210" w:after="120" w:line="520" w:lineRule="atLeast"/>
        <w:rPr>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highlight w:val="none"/>
        </w:rPr>
        <w:t xml:space="preserve"> </w:t>
      </w:r>
      <w:r>
        <w:rPr>
          <w:highlight w:val="none"/>
        </w:rPr>
      </w:r>
      <w:r/>
    </w:p>
    <w:p>
      <w:pPr>
        <w:ind w:left="420" w:right="0" w:firstLine="420"/>
        <w:jc w:val="both"/>
        <w:spacing w:before="210" w:after="120" w:line="520" w:lineRule="atLeast"/>
        <w:rPr>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highlight w:val="none"/>
        </w:rPr>
        <w:t xml:space="preserve"> </w:t>
      </w:r>
      <w:r>
        <w:rPr>
          <w:highlight w:val="none"/>
        </w:rPr>
      </w:r>
      <w:r/>
    </w:p>
    <w:p>
      <w:pPr>
        <w:ind w:left="420" w:right="0" w:firstLine="420"/>
        <w:jc w:val="both"/>
        <w:spacing w:before="210" w:after="120" w:line="520" w:lineRule="atLeast"/>
        <w:rPr>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highlight w:val="none"/>
        </w:rPr>
        <w:t xml:space="preserve"> </w:t>
      </w:r>
      <w:r>
        <w:rPr>
          <w:highlight w:val="none"/>
        </w:rPr>
      </w:r>
      <w:r/>
    </w:p>
    <w:p>
      <w:pPr>
        <w:ind w:left="420" w:right="0" w:firstLine="420"/>
        <w:jc w:val="both"/>
        <w:spacing w:before="210" w:after="120" w:line="520" w:lineRule="atLeast"/>
        <w:rPr>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highlight w:val="none"/>
        </w:rPr>
        <w:t xml:space="preserve"> </w:t>
      </w:r>
      <w:r>
        <w:rPr>
          <w:highlight w:val="none"/>
        </w:rPr>
      </w:r>
      <w:r/>
    </w:p>
    <w:p>
      <w:pPr>
        <w:ind w:left="420" w:right="0" w:firstLine="420"/>
        <w:jc w:val="both"/>
        <w:spacing w:before="210" w:after="120" w:line="520" w:lineRule="atLeast"/>
        <w:rPr>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highlight w:val="none"/>
        </w:rPr>
        <w:t xml:space="preserve"> </w:t>
      </w:r>
      <w:r>
        <w:rPr>
          <w:highlight w:val="none"/>
        </w:rPr>
      </w:r>
      <w:r/>
    </w:p>
    <w:p>
      <w:pPr>
        <w:ind w:left="420" w:right="0" w:firstLine="420"/>
        <w:jc w:val="both"/>
        <w:spacing w:before="210" w:after="120" w:line="520" w:lineRule="atLeast"/>
        <w:rPr>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highlight w:val="none"/>
        </w:rPr>
        <w:t xml:space="preserve"> </w:t>
      </w:r>
      <w:r>
        <w:rPr>
          <w:highlight w:val="none"/>
        </w:rPr>
      </w:r>
      <w:r/>
    </w:p>
    <w:p>
      <w:pPr>
        <w:ind w:left="420" w:right="0" w:firstLine="420"/>
        <w:jc w:val="both"/>
        <w:spacing w:before="210" w:after="120" w:line="520" w:lineRule="atLeast"/>
        <w:rPr>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highlight w:val="none"/>
        </w:rPr>
        <w:t xml:space="preserve"> </w:t>
      </w:r>
      <w:r>
        <w:rPr>
          <w:highlight w:val="none"/>
        </w:rPr>
      </w:r>
      <w:r/>
    </w:p>
    <w:p>
      <w:pPr>
        <w:ind w:left="420" w:right="0" w:firstLine="420"/>
        <w:jc w:val="both"/>
        <w:spacing w:before="210" w:after="120" w:line="520" w:lineRule="atLeast"/>
        <w:rPr>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highlight w:val="none"/>
        </w:rPr>
        <w:t xml:space="preserve"> </w:t>
      </w:r>
      <w:r>
        <w:rPr>
          <w:highlight w:val="none"/>
        </w:rPr>
      </w:r>
      <w:r/>
    </w:p>
    <w:p>
      <w:pPr>
        <w:ind w:left="420" w:right="0" w:firstLine="420"/>
        <w:jc w:val="both"/>
        <w:spacing w:before="210" w:after="120" w:line="520" w:lineRule="atLeast"/>
        <w:rPr>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highlight w:val="none"/>
        </w:rPr>
        <w:t xml:space="preserve"> </w:t>
      </w:r>
      <w:r>
        <w:rPr>
          <w:highlight w:val="none"/>
        </w:rPr>
      </w:r>
      <w:r/>
    </w:p>
    <w:p>
      <w:pPr>
        <w:ind w:left="420" w:right="0" w:firstLine="420"/>
        <w:jc w:val="both"/>
        <w:spacing w:before="210" w:after="120" w:line="520" w:lineRule="atLeast"/>
        <w:rPr>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highlight w:val="none"/>
        </w:rPr>
        <w:t xml:space="preserve"> </w:t>
      </w:r>
      <w:r>
        <w:rPr>
          <w:highlight w:val="none"/>
        </w:rPr>
      </w:r>
      <w:r/>
    </w:p>
    <w:p>
      <w:pPr>
        <w:ind w:left="420" w:right="0" w:firstLine="420"/>
        <w:jc w:val="both"/>
        <w:spacing w:before="210" w:after="120" w:line="520" w:lineRule="atLeast"/>
        <w:rPr>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highlight w:val="none"/>
        </w:rPr>
        <w:t xml:space="preserve"> </w:t>
      </w:r>
      <w:r>
        <w:rPr>
          <w:highlight w:val="none"/>
        </w:rPr>
      </w:r>
      <w:r/>
    </w:p>
    <w:p>
      <w:pPr>
        <w:ind w:left="420" w:right="0" w:firstLine="420"/>
        <w:jc w:val="both"/>
        <w:spacing w:before="210" w:after="120" w:line="520" w:lineRule="atLeast"/>
        <w:rPr>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highlight w:val="none"/>
        </w:rPr>
        <w:t xml:space="preserve"> </w:t>
      </w:r>
      <w:r>
        <w:rPr>
          <w:highlight w:val="none"/>
        </w:rPr>
      </w:r>
      <w:r/>
    </w:p>
    <w:p>
      <w:pPr>
        <w:ind w:left="420" w:right="0" w:firstLine="420"/>
        <w:jc w:val="both"/>
        <w:spacing w:before="210" w:after="120" w:line="520" w:lineRule="atLeast"/>
        <w:rPr>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highlight w:val="none"/>
        </w:rPr>
        <w:t xml:space="preserve"> </w:t>
      </w:r>
      <w:r>
        <w:rPr>
          <w:highlight w:val="none"/>
        </w:rPr>
      </w:r>
      <w:r/>
    </w:p>
    <w:p>
      <w:pPr>
        <w:ind w:left="420" w:right="0" w:firstLine="420"/>
        <w:jc w:val="both"/>
        <w:spacing w:before="210" w:after="120" w:line="520" w:lineRule="atLeast"/>
        <w:rPr>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highlight w:val="none"/>
        </w:rPr>
        <w:t xml:space="preserve"> </w:t>
      </w:r>
      <w:r>
        <w:rPr>
          <w:highlight w:val="none"/>
        </w:rPr>
      </w:r>
      <w:r/>
    </w:p>
    <w:p>
      <w:pPr>
        <w:pStyle w:val="809"/>
        <w:ind w:left="0" w:right="0" w:firstLine="0"/>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52"/>
          <w:highlight w:val="none"/>
          <w:u w:val="none"/>
        </w:rPr>
        <w:t xml:space="preserve"> </w:t>
      </w:r>
      <w:r>
        <w:rPr>
          <w:highlight w:val="none"/>
        </w:rPr>
      </w:r>
      <w:r/>
    </w:p>
    <w:p>
      <w:pPr>
        <w:pStyle w:val="809"/>
        <w:ind w:left="0" w:right="0" w:firstLine="0"/>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52"/>
          <w:highlight w:val="none"/>
        </w:rPr>
        <w:t xml:space="preserve"> </w:t>
      </w:r>
      <w:r>
        <w:rPr>
          <w:highlight w:val="none"/>
        </w:rPr>
      </w:r>
      <w:r/>
    </w:p>
    <w:p>
      <w:pPr>
        <w:pStyle w:val="809"/>
        <w:ind w:left="0" w:right="0" w:firstLine="0"/>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52"/>
          <w:highlight w:val="none"/>
        </w:rPr>
        <w:t xml:space="preserve"> </w:t>
      </w:r>
      <w:r>
        <w:rPr>
          <w:highlight w:val="none"/>
        </w:rPr>
      </w:r>
      <w:r/>
    </w:p>
    <w:p>
      <w:pPr>
        <w:pStyle w:val="809"/>
        <w:ind w:left="0" w:right="0" w:firstLine="0"/>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52"/>
          <w:highlight w:val="none"/>
        </w:rPr>
        <w:t xml:space="preserve">第二章 供应商须知</w:t>
      </w:r>
      <w:r>
        <w:rPr>
          <w:highlight w:val="none"/>
        </w:rPr>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highlight w:val="none"/>
        </w:rPr>
        <w:br w:type="page" w:clear="all"/>
      </w:r>
      <w:r>
        <w:rPr>
          <w:highlight w:val="none"/>
        </w:rPr>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A.说明和释义</w:t>
      </w:r>
      <w:r>
        <w:rPr>
          <w:highlight w:val="none"/>
        </w:rPr>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1.说明</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1.1本采购文件仅适用于江苏仁禾中衡工程咨询房地产估价有限公司组织的采购活动。</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1.2本次采购活动及因本次采购产生的合同受中国法律制约和保护。</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1.3本采购文件的解释权属于江苏仁禾中衡工程咨询房地产估价有限公司。</w:t>
      </w:r>
      <w:r>
        <w:rPr>
          <w:highlight w:val="none"/>
        </w:rPr>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2.词语释义</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2.1采购人：指依法进行政府采购的国家机关、事业单位、团体组织。</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2.2采购代理机构：指依法接受采购人委托，从事货物、工程和服务等政府采购代理业务的社会中介机构。</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2.3供应商：指响应招标、参加投标竞争的法人、其他组织或者自然人。</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2.4响应：供应商根据采购人或采购代理机构发布的采购文件，编制投标文件并按规定投标的行为。</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2.5合同：采供双方根据采购文件和中标的投标（响应）文件及中标（成交）通知书规定的内容签署的以书面形式所达成的协议，包括所有的附件、附录和构成协议的所有文件。</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2.6甲方（采购人）：合同中明确规定的实际购买货物和服务的法人或其他组织和自然人。</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2.7乙方（供应商）：合同中规定的向采购人提供货物和服务的法人或其他组织和自然人。</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2.8货物：系指乙方按采购文件规定，应向甲方提供的一切设备、备品、备件、工具、手册及其它有关技术资料和材料。</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2.9服务：系指本次采购文件规定乙方应承担的与提供货物和服务有关的辅助服务，比如运输、保险、安装、调试、提供技术援助、培训、配合措施、维修响应及合同中规定乙方应承担的其它义务。</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2.10知识产权：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2.11天：日历天。</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2.12时间：除特别说明，均指北京时间。</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2.13交货地点：合同中明确约定的乙方提交的货物和服务最终到达地点。</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2.14合同价款：根据合同规定，乙方在正确地履行合同义务后甲方应支付乙方的价款。</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2.15产地：货物开采、生长、生产、最终制造、加工或提供服务的来源地。</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2.16不可抗力：不能预见、不能避免并且不能克服的客观情况。</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2.17实质响应：满足有关本次采购标的、数量、质量、价款或者报酬、履行期限、履行地点和方式、违约责任和解决争议方法等要求。</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2.18进口产品：通过中国海关报关验放进入中国境内且产自关境外的产品。</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2.19书面形式：指书面文字、合同书、信件和传真等可以有形地表现所载内容的形式。</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2.20核心产品：根据本项目技术构成、产品价格比重等合理确定的产品。</w:t>
      </w:r>
      <w:r>
        <w:rPr>
          <w:highlight w:val="none"/>
        </w:rPr>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B.供应商</w:t>
      </w:r>
      <w:r>
        <w:rPr>
          <w:highlight w:val="none"/>
        </w:rPr>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3.</w:t>
      </w:r>
      <w:r>
        <w:rPr>
          <w:rFonts w:ascii="宋体" w:hAnsi="宋体" w:eastAsia="宋体" w:cs="宋体"/>
          <w:b/>
          <w:color w:val="000000"/>
          <w:sz w:val="24"/>
          <w:highlight w:val="none"/>
          <w:u w:val="none"/>
        </w:rPr>
        <w:t xml:space="preserve">申请人的资格要求：</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详见本项目采购公告中的“申请人的资格要求”。</w:t>
      </w:r>
      <w:r>
        <w:rPr>
          <w:highlight w:val="none"/>
        </w:rPr>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4.供应商代表</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指全权代表供应商参加磋商采购活动并签署投标（响应）文件的人，如果供应商代表不是法定代表人，须持有《法定代表人授权委托书》（详见统一格式）。</w:t>
      </w:r>
      <w:r>
        <w:rPr>
          <w:highlight w:val="none"/>
        </w:rPr>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5.磋商费用</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无论磋商过程中的做法和结果如何，供应商自行承担所有与参加磋商有关的全部费用。</w:t>
      </w:r>
      <w:r>
        <w:rPr>
          <w:highlight w:val="none"/>
        </w:rPr>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6.联合磋商</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6.1本项目不接受联合体投标。</w:t>
      </w:r>
      <w:r>
        <w:rPr>
          <w:highlight w:val="none"/>
        </w:rPr>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C.采购文件和投标（响应）文件的说明</w:t>
      </w:r>
      <w:r>
        <w:rPr>
          <w:highlight w:val="none"/>
        </w:rPr>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7.采购文件</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7.1采购文件由采购文件总目录所列内容组成，供应商获取采购文件后，应仔细检查采购文件的所有内容，如有残缺等问题应在获取采购文件后及时向采购代理机构提出，否则，由此产生的影响由供应商自己承担。供应商同时应认真审阅采购文件中所有的事项、格式、条款和规范要求等，若供应商的投标（响应）文件没有按采购文件要求提交全部资料，或投标（响应）文件没有对采购文件做出实质性响应，其风险由供应商自行承担，并根据有关条款规定，</w:t>
      </w:r>
      <w:r>
        <w:rPr>
          <w:rFonts w:ascii="宋体" w:hAnsi="宋体" w:eastAsia="宋体" w:cs="宋体"/>
          <w:b/>
          <w:color w:val="000000"/>
          <w:sz w:val="24"/>
          <w:highlight w:val="none"/>
        </w:rPr>
        <w:t xml:space="preserve">该电子投标（响应）文件将被视为未实质性响应。</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7.2采购文件及其补充文件未按规定的方式获得的，采购代理机构对采购文件及其补遗的真实性、完整性不承担任何责任。</w:t>
      </w:r>
      <w:r>
        <w:rPr>
          <w:highlight w:val="none"/>
        </w:rPr>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8.采购文件的询问</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供应商在收到采购文件后，若有问题需要询问，应于下载采购文件后，可通过公告中的联系方式及时提出，采购人或采购代理机构将予以解答。</w:t>
      </w:r>
      <w:r>
        <w:rPr>
          <w:highlight w:val="none"/>
        </w:rPr>
      </w:r>
      <w:r/>
    </w:p>
    <w:p>
      <w:pPr>
        <w:ind w:left="485" w:right="0" w:firstLine="0"/>
        <w:jc w:val="both"/>
        <w:spacing w:before="0" w:after="0" w:line="85" w:lineRule="atLeast"/>
        <w:tabs>
          <w:tab w:val="left" w:pos="60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9.现场踏勘</w:t>
      </w:r>
      <w:r>
        <w:rPr>
          <w:highlight w:val="none"/>
        </w:rPr>
      </w:r>
      <w:r/>
    </w:p>
    <w:p>
      <w:pPr>
        <w:ind w:left="0" w:right="0" w:firstLine="484"/>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供应商可自行对有关现场和周围环境进行踏勘，以获取编制投标（响应）文件和签署合同所需的信息，踏勘现场所发生的费用由供应商自己承担。</w:t>
      </w:r>
      <w:r>
        <w:rPr>
          <w:highlight w:val="none"/>
        </w:rPr>
      </w:r>
      <w:r/>
    </w:p>
    <w:p>
      <w:pPr>
        <w:ind w:left="485" w:right="0" w:firstLine="0"/>
        <w:jc w:val="both"/>
        <w:spacing w:before="0" w:after="0" w:line="85" w:lineRule="atLeast"/>
        <w:tabs>
          <w:tab w:val="left" w:pos="60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10.集中现场考察</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本项目按以下第</w:t>
      </w:r>
      <w:r>
        <w:rPr>
          <w:rFonts w:ascii="宋体" w:hAnsi="宋体" w:eastAsia="宋体" w:cs="宋体"/>
          <w:color w:val="000000"/>
          <w:sz w:val="24"/>
          <w:highlight w:val="none"/>
          <w:u w:val="single"/>
        </w:rPr>
        <w:t xml:space="preserve">①</w:t>
      </w:r>
      <w:r>
        <w:rPr>
          <w:rFonts w:ascii="宋体" w:hAnsi="宋体" w:eastAsia="宋体" w:cs="宋体"/>
          <w:color w:val="000000"/>
          <w:sz w:val="24"/>
          <w:highlight w:val="none"/>
        </w:rPr>
        <w:t xml:space="preserve">种方式组织集中现场考察：</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①采购人不组织集中现场考察；</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②采购人组织集中现场考察，请供应商持在”苏采云”系统中下载本项目采购文件的</w:t>
      </w:r>
      <w:r>
        <w:rPr>
          <w:rFonts w:ascii="宋体" w:hAnsi="宋体" w:eastAsia="宋体" w:cs="宋体"/>
          <w:b/>
          <w:color w:val="000000"/>
          <w:sz w:val="24"/>
          <w:highlight w:val="none"/>
        </w:rPr>
        <w:t xml:space="preserve">《投标供应商确认函》</w:t>
      </w:r>
      <w:r>
        <w:rPr>
          <w:rFonts w:ascii="宋体" w:hAnsi="宋体" w:eastAsia="宋体" w:cs="宋体"/>
          <w:color w:val="000000"/>
          <w:sz w:val="24"/>
          <w:highlight w:val="none"/>
        </w:rPr>
        <w:t xml:space="preserve">，按以下时间地点参加集中现场考察：</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集合时间：</w:t>
      </w:r>
      <w:r>
        <w:rPr>
          <w:rFonts w:ascii="宋体" w:hAnsi="宋体" w:eastAsia="宋体" w:cs="宋体"/>
          <w:color w:val="000000"/>
          <w:sz w:val="24"/>
          <w:highlight w:val="none"/>
          <w:u w:val="single"/>
        </w:rPr>
        <w:t xml:space="preserve">/年/月/日/时/分（北京时间）</w:t>
      </w:r>
      <w:r>
        <w:rPr>
          <w:rFonts w:ascii="宋体" w:hAnsi="宋体" w:eastAsia="宋体" w:cs="宋体"/>
          <w:color w:val="000000"/>
          <w:sz w:val="24"/>
          <w:highlight w:val="none"/>
        </w:rPr>
        <w:t xml:space="preserve">；</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集合地点：</w:t>
      </w:r>
      <w:r>
        <w:rPr>
          <w:rFonts w:ascii="宋体" w:hAnsi="宋体" w:eastAsia="宋体" w:cs="宋体"/>
          <w:color w:val="000000"/>
          <w:sz w:val="24"/>
          <w:highlight w:val="none"/>
          <w:u w:val="single"/>
        </w:rPr>
        <w:t xml:space="preserve">/</w:t>
      </w:r>
      <w:r>
        <w:rPr>
          <w:rFonts w:ascii="宋体" w:hAnsi="宋体" w:eastAsia="宋体" w:cs="宋体"/>
          <w:color w:val="000000"/>
          <w:sz w:val="24"/>
          <w:highlight w:val="none"/>
        </w:rPr>
        <w:t xml:space="preserve">。</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联系人：</w:t>
      </w:r>
      <w:r>
        <w:rPr>
          <w:rFonts w:ascii="宋体" w:hAnsi="宋体" w:eastAsia="宋体" w:cs="宋体"/>
          <w:color w:val="000000"/>
          <w:sz w:val="24"/>
          <w:highlight w:val="none"/>
          <w:u w:val="single"/>
        </w:rPr>
        <w:t xml:space="preserve">/</w:t>
      </w:r>
      <w:r>
        <w:rPr>
          <w:rFonts w:ascii="宋体" w:hAnsi="宋体" w:eastAsia="宋体" w:cs="宋体"/>
          <w:color w:val="000000"/>
          <w:sz w:val="24"/>
          <w:highlight w:val="none"/>
        </w:rPr>
        <w:t xml:space="preserve">；联系电话：</w:t>
      </w:r>
      <w:r>
        <w:rPr>
          <w:rFonts w:ascii="宋体" w:hAnsi="宋体" w:eastAsia="宋体" w:cs="宋体"/>
          <w:color w:val="000000"/>
          <w:sz w:val="24"/>
          <w:highlight w:val="none"/>
          <w:u w:val="single"/>
        </w:rPr>
        <w:t xml:space="preserve">/</w:t>
      </w:r>
      <w:r>
        <w:rPr>
          <w:rFonts w:ascii="宋体" w:hAnsi="宋体" w:eastAsia="宋体" w:cs="宋体"/>
          <w:color w:val="000000"/>
          <w:sz w:val="24"/>
          <w:highlight w:val="none"/>
        </w:rPr>
        <w:t xml:space="preserve">。</w:t>
      </w:r>
      <w:r>
        <w:rPr>
          <w:highlight w:val="none"/>
        </w:rPr>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请供应商安排好行程，不得迟到。未提供《投标供应商确认函》或迟到者，恕不接待。</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10.1根据自身投标需要，供应商可对项目相关情况进行考察，以获取编制投标（响应）文件和签署合同所需的信息。考察现场所发生的费用由供应商自己承担。</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10.2采购人或采购代理机构向供应商提供的有关本项目的资料和数据，是采购人或采购代理机构现有的并认为能使供应商可利用的资料。采购人或采购代理机构对供应商由此而做出的推论、理解和结论概不负责。</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10.3经采购人允许，供应商可为考察目的进入采购人的项目现场，但供应商不得因此使采购人承担有关的责任和蒙受损失。供应商应承担考察现场的责任和风险。</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10.4供应商应在现场考察时，熟悉现场及本项目的背景概况等情况，以获得一切可能影响其投标（响应）的直接资料。供应商中标（成交）后，不得以不完全了解情况为理由而向采购人或采购代理机构提出任何索赔的要求，对此采购人或采购代理机构不承担任何责任并将不作任何答复与考虑。</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10.5由于未进行现场考察造成的任何问题由供应商自行承担。</w:t>
      </w:r>
      <w:r>
        <w:rPr>
          <w:highlight w:val="none"/>
        </w:rPr>
      </w:r>
      <w:r/>
    </w:p>
    <w:p>
      <w:pPr>
        <w:ind w:left="0" w:right="0" w:firstLine="482"/>
        <w:jc w:val="both"/>
        <w:spacing w:before="0" w:after="0" w:line="85" w:lineRule="atLeast"/>
        <w:tabs>
          <w:tab w:val="left" w:pos="60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11.采购文件的澄清或修改</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11.1在投标（响应）截止时间前，采购代理机构有权在出于实际需要的情况下，以“更正（补充）公告”的形式在原公告发布媒体上对采购文件进行澄清或修改，澄清或修改不得改变采购标的和资格条件。更正内容作为采购文件的组成部分，对所有供应商具有约束力。</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11.2为保证供应商有足够时间修正投标（响应）文件，或出于其他合理原因，采购代理机构可依法顺延响应截止时间和开标时间。</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11.3供应商应及时关注政府采购信息发布媒体上发布的更正（补充）公告，同时在“苏采云”系统中下载更正（补充）资料，如有遗漏（包括但不限于文件未下载或下载不完整），可能无法解密投标（响应）文件，由此所造成的投标（响应）失败或损失由供应商自行负责。</w:t>
      </w:r>
      <w:r>
        <w:rPr>
          <w:highlight w:val="none"/>
        </w:rPr>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12.提示与要求</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12.1供应商应仔细阅读采购文件的所有内容，按采购文件的要求提供投标（响应）文件，并保证所提供的全部资料的真实性，以使其对采购文件作出实质性响应，否则，其投标（响应）文件可能被拒绝。</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12.2无论是否递交投标（响应）文件，供应商都应将采购文件及以后的所有通知、文件等视为保密文件。</w:t>
      </w:r>
      <w:r>
        <w:rPr>
          <w:highlight w:val="none"/>
        </w:rPr>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13.投标（响应）文件计量单位和使用文字</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13.1投标（响应）文件中所使用的计量单位，除采购文件中有特殊要求外，均应使用中华人民共和国法定计量单位。</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13.2投标（响应）文件应使用中文编制，投标（响应）文件中必须使用其他文字的，必须附有中文译本。对于未附有中文译本和中文译本不准确的投标（响应）文件可能引起的对供应商不利的后果，采购人或采购代理机构概不负责。</w:t>
      </w:r>
      <w:r>
        <w:rPr>
          <w:highlight w:val="none"/>
        </w:rPr>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14.投标（响应）文件的组成</w:t>
      </w:r>
      <w:r>
        <w:rPr>
          <w:highlight w:val="none"/>
        </w:rPr>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14.1投标（响应）文件（报价、资格及技术部分）：</w:t>
      </w:r>
      <w:r>
        <w:rPr>
          <w:highlight w:val="none"/>
        </w:rPr>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14.1.1封面；</w:t>
      </w:r>
      <w:r>
        <w:rPr>
          <w:highlight w:val="none"/>
        </w:rPr>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14.1.2开标一览表（格式详见第三章）；</w:t>
      </w:r>
      <w:r>
        <w:rPr>
          <w:highlight w:val="none"/>
        </w:rPr>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14.1.3报价明细表</w:t>
      </w:r>
      <w:r>
        <w:rPr>
          <w:rFonts w:ascii="宋体" w:hAnsi="宋体" w:eastAsia="宋体" w:cs="宋体"/>
          <w:b/>
          <w:color w:val="000000"/>
          <w:sz w:val="24"/>
          <w:highlight w:val="none"/>
          <w:u w:val="none"/>
        </w:rPr>
        <w:t xml:space="preserve">（格式详见第三章）；</w:t>
      </w:r>
      <w:r>
        <w:rPr>
          <w:highlight w:val="none"/>
        </w:rPr>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14.1.4资格审查投标（响应）文件</w:t>
      </w:r>
      <w:r>
        <w:rPr>
          <w:highlight w:val="none"/>
        </w:rPr>
      </w:r>
      <w:r/>
    </w:p>
    <w:tbl>
      <w:tblPr>
        <w:tblStyle w:val="8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118"/>
        <w:gridCol w:w="3118"/>
        <w:gridCol w:w="3118"/>
      </w:tblGrid>
      <w:tr>
        <w:trPr>
          <w:trHeight w:val="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序号</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评审项</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评审要求</w:t>
            </w:r>
            <w:r>
              <w:rPr>
                <w:highlight w:val="none"/>
              </w:rPr>
            </w:r>
            <w:r/>
          </w:p>
        </w:tc>
      </w:tr>
      <w:tr>
        <w:trPr>
          <w:trHeight w:val="23"/>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一、基本资格条件</w:t>
            </w:r>
            <w:r>
              <w:rPr>
                <w:highlight w:val="none"/>
              </w:rPr>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具有独立承担民事责任的能力</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供应商提供包括法人或者其他组织的营业执照等证明文件，自然人参与磋商的提供身份证明。</w:t>
            </w:r>
            <w:r>
              <w:rPr>
                <w:highlight w:val="none"/>
              </w:rPr>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2</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具有良好的商业信誉和健全的财务会计制度</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供应商提供最近一期的财务报告，或财政部门认可的政府采购专业担保机构出具的投标担保函；其他组织、自然人及成立未满一年的法人应提供银行出具的资信证明。</w:t>
            </w:r>
            <w:r>
              <w:rPr>
                <w:highlight w:val="none"/>
              </w:rPr>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3</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具有履行合同所必需的设备和专业技术能力</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供应商提供设备清单、相关技术人员的职称证书和用工合同或具有履行合同所必需的设备和专业技术能力的承诺书（格式自拟）。</w:t>
            </w:r>
            <w:r>
              <w:rPr>
                <w:highlight w:val="none"/>
              </w:rPr>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4</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有依法缴纳税收和社会保障资金的良好记录</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供应商提供参加本次政府采购活动前一段时间内依法缴纳税收和社会保险的凭据；依法免税或不需要缴纳社会保障资金的供应商，应提供相应证明资料证明其依法免税或不需要缴纳社会保障资金。</w:t>
            </w:r>
            <w:r>
              <w:rPr>
                <w:highlight w:val="none"/>
              </w:rPr>
            </w:r>
            <w:r/>
          </w:p>
        </w:tc>
      </w:tr>
      <w:tr>
        <w:trPr>
          <w:trHeight w:val="7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5</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参加政府采购活动前三年内，在经营活动中没有重大违法记录</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供应商提供参加政府采购活动前三年内在经营活动中没有重大违法记录的书面声明。</w:t>
            </w:r>
            <w:r>
              <w:rPr>
                <w:highlight w:val="none"/>
              </w:rPr>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6</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法律、行政法规规定的其他条件</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符合法律、行政法规规定的其他条件的证明材料或书面声明。</w:t>
            </w:r>
            <w:r>
              <w:rPr>
                <w:highlight w:val="none"/>
              </w:rPr>
            </w:r>
            <w:r/>
          </w:p>
        </w:tc>
      </w:tr>
      <w:tr>
        <w:trPr>
          <w:trHeight w:val="23"/>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二、落实政府采购政策需满足的资格要求</w:t>
            </w:r>
            <w:r>
              <w:rPr>
                <w:highlight w:val="none"/>
              </w:rPr>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根据《政府采购促进中小企业发展管理办法》的相关规定，本项目</w:t>
            </w:r>
            <w:r>
              <w:rPr>
                <w:rFonts w:ascii="宋体" w:hAnsi="宋体" w:eastAsia="宋体" w:cs="宋体"/>
                <w:b/>
                <w:color w:val="000000"/>
                <w:sz w:val="21"/>
                <w:highlight w:val="none"/>
              </w:rPr>
              <w:t xml:space="preserve">专门面向中小企业</w:t>
            </w:r>
            <w:r>
              <w:rPr>
                <w:rFonts w:ascii="宋体" w:hAnsi="宋体" w:eastAsia="宋体" w:cs="宋体"/>
                <w:color w:val="000000"/>
                <w:sz w:val="21"/>
                <w:highlight w:val="none"/>
              </w:rPr>
              <w:t xml:space="preserve">，供应商应为中小微企业、监狱企业、残疾人福利性单位。</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供应商提供以下三类文件之一的即符合本条要求，否则，将不享受中小企业扶持政策：</w:t>
            </w:r>
            <w:r>
              <w:rPr>
                <w:highlight w:val="none"/>
              </w:rPr>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1、中小企业声明函（格式见第三章）；</w:t>
            </w:r>
            <w:r>
              <w:rPr>
                <w:highlight w:val="none"/>
              </w:rPr>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2、残疾人福利性单位声明函（格式见第三章）；</w:t>
            </w:r>
            <w:r>
              <w:rPr>
                <w:highlight w:val="none"/>
              </w:rPr>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3、监狱企业证明文件，由省级以上监狱管理局、戒毒管理局（含新疆生产建设兵团）出具。</w:t>
            </w:r>
            <w:r>
              <w:rPr>
                <w:highlight w:val="none"/>
              </w:rPr>
            </w:r>
            <w:r/>
          </w:p>
          <w:p>
            <w:pPr>
              <w:ind w:left="0" w:right="0" w:firstLine="0"/>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注：若供应商提供的以上材料为虚假声明则视同提供虚假材料，按《政府采购法》相关规定处理并报请政府监管部门给予行政处罚</w:t>
            </w:r>
            <w:r>
              <w:rPr>
                <w:rFonts w:ascii="宋体" w:hAnsi="宋体" w:eastAsia="宋体" w:cs="宋体"/>
                <w:color w:val="000000"/>
                <w:sz w:val="24"/>
                <w:highlight w:val="none"/>
              </w:rPr>
              <w:t xml:space="preserve">。</w:t>
            </w:r>
            <w:r>
              <w:rPr>
                <w:highlight w:val="none"/>
              </w:rPr>
            </w:r>
            <w:r/>
          </w:p>
        </w:tc>
      </w:tr>
      <w:tr>
        <w:trPr>
          <w:trHeight w:val="23"/>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三、本项目的特定资格要求</w:t>
            </w:r>
            <w:r>
              <w:rPr>
                <w:highlight w:val="none"/>
              </w:rPr>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未被“信用中国”（www.creditchina.gov.cn）等相关网站列入失信被执行人、重大税收违法案件当事人名单、政府采购严重失信行为记录名单。</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供应商无需提供相关证明资料，由采购代理机构按照采购文件第二章“21.信用查询”要求执行。</w:t>
            </w:r>
            <w:r>
              <w:rPr>
                <w:highlight w:val="none"/>
              </w:rPr>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480"/>
              <w:jc w:val="both"/>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单位负责人为同一人或者存在直接控股、管理关系的不同供应商，不得参加同一合同项下的采购活动。</w:t>
            </w:r>
            <w:r>
              <w:rPr>
                <w:highlight w:val="none"/>
              </w:rPr>
            </w:r>
            <w:r/>
          </w:p>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提供声明函</w:t>
            </w:r>
            <w:r>
              <w:rPr>
                <w:highlight w:val="none"/>
              </w:rPr>
            </w:r>
            <w:r/>
          </w:p>
        </w:tc>
      </w:tr>
    </w:tbl>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u w:val="single"/>
        </w:rPr>
        <w:t xml:space="preserve">以上是资格性审查的要求和必须提供的材料，未按要求提供的投标（响应）无效。</w:t>
      </w:r>
      <w:r>
        <w:rPr>
          <w:highlight w:val="none"/>
        </w:rPr>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14.1.5符合性审查投标（响应）文件</w:t>
      </w:r>
      <w:r>
        <w:rPr>
          <w:highlight w:val="none"/>
        </w:rPr>
      </w:r>
      <w:r/>
    </w:p>
    <w:tbl>
      <w:tblPr>
        <w:tblStyle w:val="8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118"/>
        <w:gridCol w:w="3118"/>
        <w:gridCol w:w="3118"/>
      </w:tblGrid>
      <w:tr>
        <w:trPr>
          <w:trHeight w:val="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序号</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评审项</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评审要求</w:t>
            </w:r>
            <w:r>
              <w:rPr>
                <w:highlight w:val="none"/>
              </w:rPr>
            </w:r>
            <w:r/>
          </w:p>
        </w:tc>
      </w:tr>
      <w:tr>
        <w:trPr>
          <w:trHeight w:val="23"/>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一、报价要求</w:t>
            </w:r>
            <w:r>
              <w:rPr>
                <w:highlight w:val="none"/>
              </w:rPr>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供应商报价不得超出采购预算及最高限价</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供应商提供报价未超过采购预算及最高限价的声明</w:t>
            </w:r>
            <w:r>
              <w:rPr>
                <w:highlight w:val="none"/>
              </w:rPr>
            </w:r>
            <w:r/>
          </w:p>
        </w:tc>
      </w:tr>
      <w:tr>
        <w:trPr>
          <w:trHeight w:val="23"/>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二、商务要求</w:t>
            </w:r>
            <w:r>
              <w:rPr>
                <w:highlight w:val="none"/>
              </w:rPr>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投标（响应）函</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格式见第三章</w:t>
            </w:r>
            <w:r>
              <w:rPr>
                <w:highlight w:val="none"/>
              </w:rPr>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2</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法定代表人授权委托书（如有授权）</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格式见第三章</w:t>
            </w:r>
            <w:r>
              <w:rPr>
                <w:highlight w:val="none"/>
              </w:rPr>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3</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供应商法定代表人身份证扫描件、供应商代理人身份证扫描件（如有授权）</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供应商法定代表人身份证扫描件、供应商代理人身份证扫描件（如有授权）</w:t>
            </w:r>
            <w:r>
              <w:rPr>
                <w:highlight w:val="none"/>
              </w:rPr>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4</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《供应商基本情况表》、《关于资格文件的声明函》</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格式见第三章</w:t>
            </w:r>
            <w:r>
              <w:rPr>
                <w:highlight w:val="none"/>
              </w:rPr>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5</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《投标人与其他单位存在直接控股、管理关系情况表》、《投标（响应）保证承诺书》</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格式见第三章</w:t>
            </w:r>
            <w:r>
              <w:rPr>
                <w:highlight w:val="none"/>
              </w:rPr>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6</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《商务要求偏离表》</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格式见第三章</w:t>
            </w:r>
            <w:r>
              <w:rPr>
                <w:highlight w:val="none"/>
              </w:rPr>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7</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《拟投入本项目人员配备一览表》</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格式见第三章</w:t>
            </w:r>
            <w:r>
              <w:rPr>
                <w:highlight w:val="none"/>
              </w:rPr>
            </w:r>
            <w:r/>
          </w:p>
        </w:tc>
      </w:tr>
      <w:tr>
        <w:trPr>
          <w:trHeight w:val="23"/>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三、技术要求</w:t>
            </w:r>
            <w:r>
              <w:rPr>
                <w:highlight w:val="none"/>
              </w:rPr>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《服务或技术要求偏离表》</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格式见第三章</w:t>
            </w:r>
            <w:r>
              <w:rPr>
                <w:highlight w:val="none"/>
              </w:rPr>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2</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《服务实施方案》</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格式见第三章</w:t>
            </w:r>
            <w:r>
              <w:rPr>
                <w:highlight w:val="none"/>
              </w:rPr>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3</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top"/>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采购需求中所涉及到的或供应商认为需加以说明或证明的其他有关符合性证明材料、证明（如有）</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格式自拟</w:t>
            </w:r>
            <w:r>
              <w:rPr>
                <w:highlight w:val="none"/>
              </w:rPr>
            </w:r>
            <w:r/>
          </w:p>
        </w:tc>
      </w:tr>
    </w:tbl>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u w:val="single"/>
        </w:rPr>
        <w:t xml:space="preserve">以上为符合性审查的要求和必须提供的材料，未按要求提供的投标（响应）无效。</w:t>
      </w:r>
      <w:r>
        <w:rPr>
          <w:highlight w:val="none"/>
        </w:rPr>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14.1.6《类似项目一览表》（格式详见第三章）；</w:t>
      </w:r>
      <w:r>
        <w:rPr>
          <w:highlight w:val="none"/>
        </w:rPr>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14.1.7综合评审其他文件相关要求详见采购文件第六章评审办法。</w:t>
      </w:r>
      <w:r>
        <w:rPr>
          <w:highlight w:val="none"/>
        </w:rPr>
      </w:r>
      <w:r/>
    </w:p>
    <w:p>
      <w:pPr>
        <w:ind w:left="0" w:right="0" w:firstLine="482"/>
        <w:jc w:val="both"/>
        <w:spacing w:before="0" w:after="0" w:line="85" w:lineRule="atLeast"/>
        <w:tabs>
          <w:tab w:val="left" w:pos="753"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注：</w:t>
      </w:r>
      <w:r>
        <w:rPr>
          <w:highlight w:val="none"/>
        </w:rPr>
      </w:r>
      <w:r/>
    </w:p>
    <w:p>
      <w:pPr>
        <w:ind w:left="0" w:right="0" w:firstLine="482"/>
        <w:jc w:val="both"/>
        <w:spacing w:before="0" w:after="0" w:line="85" w:lineRule="atLeast"/>
        <w:tabs>
          <w:tab w:val="left" w:pos="753"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（1）供应商必须提交上述14.1.1—14.1.5款规定的资料。否则，投标（响应）文件将被视为因未实质性响应采购文件要求而被拒绝。</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制作电子投标（响应）文件时请与电子投标（响应）文件制作软件目录一一对应，将相关资料上传至相应模块。供应商应保证上传的投标（响应）文件完整、清晰可辨认，若因上传资料过小或模糊不清等无法辨认的都视为该资料未提供。</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供应商必须保证全部投标（响应）资料的真实性，如有虚假或对采购文件所要求说明的情况故意隐瞒或虚报，视为不实质性响应采购文件，响应无效。</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如供应商投标（响应）文件中某些条款不响应采购文件提出的全部采购内容与服务要求，须在偏离表中逐条列出，未列出的视同响应。</w:t>
      </w:r>
      <w:r>
        <w:rPr>
          <w:highlight w:val="none"/>
        </w:rPr>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磋商过程中如有问题采购代理机构工作人员会及时通过《投标供应商确认函》留存的手机号与供应商联系。请供应商确保该手机号磋商当日通讯畅通，否则因此导致的对供应商不利的后果由供应商自行承担。</w:t>
      </w:r>
      <w:r>
        <w:rPr>
          <w:highlight w:val="none"/>
        </w:rPr>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15.电子投标（响应）文件的制作及递交</w:t>
      </w:r>
      <w:r>
        <w:rPr>
          <w:highlight w:val="none"/>
        </w:rPr>
      </w:r>
      <w:r/>
    </w:p>
    <w:p>
      <w:pPr>
        <w:ind w:left="0" w:right="0" w:firstLine="480"/>
        <w:jc w:val="both"/>
        <w:spacing w:before="0" w:after="0" w:line="85" w:lineRule="atLeast"/>
        <w:tabs>
          <w:tab w:val="left" w:pos="142" w:leader="none"/>
          <w:tab w:val="left" w:pos="60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15.1电子投标（响应）文件制作：本项目为网上招投标项目，请供应商插入CA证书登陆“苏采云”系统下载客户端（参与项目页面可下载客户端及客户端使用说明），在客户端编制电子投标（响应）文件并进行CA加密。操作步骤详见“苏采云”系统页面提示和《操作手册》。</w:t>
      </w:r>
      <w:r>
        <w:rPr>
          <w:highlight w:val="none"/>
        </w:rPr>
      </w:r>
      <w:r/>
    </w:p>
    <w:p>
      <w:pPr>
        <w:ind w:left="0" w:right="0" w:firstLine="480"/>
        <w:jc w:val="both"/>
        <w:spacing w:before="0" w:after="0" w:line="85" w:lineRule="atLeast"/>
        <w:tabs>
          <w:tab w:val="left" w:pos="142" w:leader="none"/>
          <w:tab w:val="left" w:pos="60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15.2电子投标（响应）文件递交：供应商应当按照《操作手册》指引，在投标（响应）文件提交截止时间前完成电子投标（响应）文件的上传，未按要求成功上传的投标（响应）文件视为未递交。供应商应充分考虑到网络环境、网络带宽等风险因素，如因供应商自身原因造成的电子投标（响应）文件上传不成功由供应商自行承担全部责任。</w:t>
      </w:r>
      <w:r>
        <w:rPr>
          <w:highlight w:val="none"/>
        </w:rPr>
      </w:r>
      <w:r/>
    </w:p>
    <w:p>
      <w:pPr>
        <w:ind w:left="0" w:right="0" w:firstLine="480"/>
        <w:jc w:val="both"/>
        <w:spacing w:before="0" w:after="0" w:line="85" w:lineRule="atLeast"/>
        <w:tabs>
          <w:tab w:val="left" w:pos="142" w:leader="none"/>
          <w:tab w:val="left" w:pos="60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注：（1）请供应商务必保管好编制递交电子投标（响应）文件时使用的CA，如因丢失、损坏等原因更换CA锁时，需重新制作电子投标（响应）文件并递交，否则可能无法解密，因此导致的投标（响应）失败等不利后果由供应商自行承担。</w:t>
      </w:r>
      <w:r>
        <w:rPr>
          <w:highlight w:val="none"/>
        </w:rPr>
      </w:r>
      <w:r/>
    </w:p>
    <w:p>
      <w:pPr>
        <w:ind w:left="0" w:right="0" w:firstLine="480"/>
        <w:jc w:val="both"/>
        <w:spacing w:before="0" w:after="0" w:line="85" w:lineRule="atLeast"/>
        <w:tabs>
          <w:tab w:val="left" w:pos="142" w:leader="none"/>
          <w:tab w:val="left" w:pos="60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如本项目在政府采购信息发布媒体上发布了更正（补充）公告，请供应商务必在“苏采云”系统中下载更正（补充）资料，根据更正后的采购文件重新编制电子投标（响应）文件并递交，否则可能无法解密，因此导致的投标（响应）失败等不利后果由供应商自行承担。</w:t>
      </w:r>
      <w:r>
        <w:rPr>
          <w:highlight w:val="none"/>
        </w:rPr>
      </w:r>
      <w:r/>
    </w:p>
    <w:p>
      <w:pPr>
        <w:ind w:left="0" w:right="0" w:firstLine="482"/>
        <w:jc w:val="both"/>
        <w:spacing w:before="0" w:after="0" w:line="85" w:lineRule="atLeast"/>
        <w:tabs>
          <w:tab w:val="left" w:pos="142" w:leader="none"/>
          <w:tab w:val="left" w:pos="60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15.3投标（响应）文件未按照采购文件要求加盖CA电子公章的，响应无效。</w:t>
      </w:r>
      <w:r>
        <w:rPr>
          <w:highlight w:val="none"/>
        </w:rPr>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16.报价（编制）要求的说明</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16.1投标（响应）报价包括完成本项目采购所需的一切费用，除非因特殊原因并经买卖双方协商同意，供应商不得再要求追加任何费用。同时，除非合同条款中另有规定，否则，供应商所报价格在合同实施期间不因市场变化因素而变动。</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16.2供应商应对采购文件内所要采购的全部内容进行报价，只投其中部分内容者，其投标（响应）文件将被拒绝。但如果采购文件要求分标段的，则供应商可以有选择地只投其中一个或几个标段，也可以投全部标段，但各标段应分别计算填写单价和总价。</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16.3一项内容只允许一个报价，采购单位不接受任何有选择性地报价。</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16.4投标（响应）文件报价中的单价和总价全部采用人民币表示，除非合同的特殊条款另有规定。</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16.5最低报价不能作为中标（成交）的保证。</w:t>
      </w:r>
      <w:r>
        <w:rPr>
          <w:highlight w:val="none"/>
        </w:rPr>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17.履约保证金：</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17.1中标（成交）供应商应按前附表的规定提交履约保证金。</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17.2在中标（成交）通知书发出的七天内，中标（成交）单位应当以支票、汇票、本票或者金融机构、担保机构出具的保函等非现金形式提交履约保证金。如选择转账方式提交履约保证金的，款项转入以下账户：</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账户：</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开户行：</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账号：</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17.3中标（成交）单位无故拖延或拒不提交履约保证金的，视为拒绝与采购人签订合同，采购人可以按照评审报告推荐的中标（成交）候选人名单排序，确定下一候选人为中标（成交）单位或者重新开展政府采购活动。</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17.4履约保证金（无息）在服务期满且服务缺陷更正后，中标（成交）方配合采购人和新中标（成交）单位办理移交手续，由采购人确认后退还。如中标（成交）方对服务缺陷不予更正，采购人有权另请其他单位更正，所发生的费用在履约保证金中扣除。</w:t>
      </w:r>
      <w:r>
        <w:rPr>
          <w:highlight w:val="none"/>
        </w:rPr>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18.投标（响应）文件的有效期</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18.1自投标（响应）文件提交截止之日起</w:t>
      </w:r>
      <w:r>
        <w:rPr>
          <w:rFonts w:ascii="宋体" w:hAnsi="宋体" w:eastAsia="宋体" w:cs="宋体"/>
          <w:color w:val="000000"/>
          <w:sz w:val="24"/>
          <w:highlight w:val="none"/>
          <w:u w:val="single"/>
        </w:rPr>
        <w:t xml:space="preserve">90</w:t>
      </w:r>
      <w:r>
        <w:rPr>
          <w:rFonts w:ascii="宋体" w:hAnsi="宋体" w:eastAsia="宋体" w:cs="宋体"/>
          <w:color w:val="000000"/>
          <w:sz w:val="24"/>
          <w:highlight w:val="none"/>
        </w:rPr>
        <w:t xml:space="preserve">天内，投标（响应）文件应保持有效。有效期短于这个规定期限的响应，将被拒绝。</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18.2在特殊情况下，采购单位可与供应商协商延长投标（响应）文件的有效期。这种要求和答复都应以书面形式进行。同意延长有效期的供应商不能修改投标（响应）文件，拒绝接受延期要求的供应商的响应将被拒绝。</w:t>
      </w:r>
      <w:r>
        <w:rPr>
          <w:highlight w:val="none"/>
        </w:rPr>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19.响应截止时间</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19.1</w:t>
      </w:r>
      <w:r>
        <w:rPr>
          <w:rFonts w:ascii="宋体" w:hAnsi="宋体" w:eastAsia="宋体" w:cs="宋体"/>
          <w:color w:val="000000"/>
          <w:sz w:val="24"/>
          <w:highlight w:val="none"/>
          <w:u w:val="none"/>
        </w:rPr>
        <w:t xml:space="preserve">电子投标（响应）文件制作完成后请于投标（响应）截止时间前上传，否则视为放弃参加该采购项目。</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19.2</w:t>
      </w:r>
      <w:r>
        <w:rPr>
          <w:rFonts w:ascii="宋体" w:hAnsi="宋体" w:eastAsia="宋体" w:cs="宋体"/>
          <w:color w:val="000000"/>
          <w:sz w:val="24"/>
          <w:highlight w:val="none"/>
          <w:u w:val="none"/>
        </w:rPr>
        <w:t xml:space="preserve">采</w:t>
      </w:r>
      <w:r>
        <w:rPr>
          <w:rFonts w:ascii="宋体" w:hAnsi="宋体" w:eastAsia="宋体" w:cs="宋体"/>
          <w:color w:val="000000"/>
          <w:sz w:val="24"/>
          <w:highlight w:val="none"/>
        </w:rPr>
        <w:t xml:space="preserve">购人或采购代理机构推迟投标（响应）截止时间时，以更正公告形式发布。在这种情况下，采购人或采购代理机构和投标（响应）单位的权利和义务将受到新的截止期的约束。</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19.3</w:t>
      </w:r>
      <w:r>
        <w:rPr>
          <w:rFonts w:ascii="宋体" w:hAnsi="宋体" w:eastAsia="宋体" w:cs="宋体"/>
          <w:color w:val="000000"/>
          <w:sz w:val="24"/>
          <w:highlight w:val="none"/>
          <w:u w:val="none"/>
        </w:rPr>
        <w:t xml:space="preserve">在投标（响应）截止时间止，采购人或采购代理机构收到的某标段投标（响应）文件少于三份，采购人或采购代理机构有权宣布该标段本次招标（采购）失败。</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19.4</w:t>
      </w:r>
      <w:r>
        <w:rPr>
          <w:rFonts w:ascii="宋体" w:hAnsi="宋体" w:eastAsia="宋体" w:cs="宋体"/>
          <w:color w:val="000000"/>
          <w:sz w:val="24"/>
          <w:highlight w:val="none"/>
          <w:u w:val="none"/>
        </w:rPr>
        <w:t xml:space="preserve">供应商</w:t>
      </w:r>
      <w:r>
        <w:rPr>
          <w:rFonts w:ascii="宋体" w:hAnsi="宋体" w:eastAsia="宋体" w:cs="宋体"/>
          <w:color w:val="000000"/>
          <w:sz w:val="24"/>
          <w:highlight w:val="none"/>
        </w:rPr>
        <w:t xml:space="preserve">在投标（响应）截止时间前，可以对所递交的投标（响应）文件进行补充、修改或者撤回。</w:t>
      </w:r>
      <w:r>
        <w:rPr>
          <w:highlight w:val="none"/>
        </w:rPr>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D.开标和评标</w:t>
      </w:r>
      <w:r>
        <w:rPr>
          <w:highlight w:val="none"/>
        </w:rPr>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20.磋商程序</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20.1采购代理机构按本须知规定的时间、地点主持磋商采购活动。</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20.2供应商通过“苏采云”系统在线参与磋商活动。供应商应当按照《苏采云系统供应商操作手册》规定在“苏采云”系统规定的时间内对投标（响应）文件进行解密。</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20.3在投标（响应）文件网上递交截止时间止成功解密的供应商少于三家，则本次采购失败。</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20.4由磋商小组审查供应商解密的投标（响应）文件。</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20.5磋商小组在对投标（响应）文件的有效性、完整性和响应程度进行审查时，可以要求供应商对投标（响应）文件中含义不明确、同类问题表述不一致或者有明显文字和计算错误的内容等做出必要的澄清、说明或者更正。供应商的澄清、说明或者更正不得超出投标（响应）文件的范围或者改变投标（响应）文件的实质性内容。</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20.6磋商小组要求供应商澄清、说明或者更正投标（响应）文件应当以书面形式做出。供应商的澄清、说明或者更正应当由其单位加盖电子公章。</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投标（响应）文件的补充部分。（此处规定时间的计算以系统中的倒计时间为准，供应商应随时保持系统在线</w:t>
      </w:r>
      <w:r>
        <w:rPr>
          <w:rFonts w:ascii="宋体" w:hAnsi="宋体" w:eastAsia="宋体" w:cs="宋体"/>
          <w:b/>
          <w:color w:val="000000"/>
          <w:sz w:val="24"/>
          <w:highlight w:val="none"/>
        </w:rPr>
        <w:t xml:space="preserve">，如因供应商自身原因未在规定时间内提交澄清确认资料的，导致的不利后果由供应商自行承担</w:t>
      </w:r>
      <w:r>
        <w:rPr>
          <w:rFonts w:ascii="宋体" w:hAnsi="宋体" w:eastAsia="宋体" w:cs="宋体"/>
          <w:color w:val="000000"/>
          <w:sz w:val="24"/>
          <w:highlight w:val="none"/>
        </w:rPr>
        <w:t xml:space="preserve">）。</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20.7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20.8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采购文件的变动情况和磋商小组的要求在“苏采云”系统中重新提交投标（响应）文件，并加盖CA电子公章。</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20.9磋商结束后，磋商小组将在“苏采云”系统向所有实质性响应的供应商发布“最后报价要求函”及最后报价格式表，要求所有实质性响应的供应商在规定时间内提交最后报价。</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20.10供应商未在磋商小组规定的时间内在“苏采云”系统中提交最后报价的视为放弃磋商，其投标（响应）文件按无效响应处理，最后报价格式表须加盖CA电子公章,否则视为未提交最后报价（</w:t>
      </w:r>
      <w:r>
        <w:rPr>
          <w:rFonts w:ascii="宋体" w:hAnsi="宋体" w:eastAsia="宋体" w:cs="宋体"/>
          <w:b/>
          <w:color w:val="000000"/>
          <w:sz w:val="24"/>
          <w:highlight w:val="none"/>
        </w:rPr>
        <w:t xml:space="preserve">此处规定时间的计算以系统中的倒计时间为准</w:t>
      </w:r>
      <w:r>
        <w:rPr>
          <w:rFonts w:ascii="宋体" w:hAnsi="宋体" w:eastAsia="宋体" w:cs="宋体"/>
          <w:color w:val="000000"/>
          <w:sz w:val="24"/>
          <w:highlight w:val="none"/>
        </w:rPr>
        <w:t xml:space="preserve">）。</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已提交投标（响应）文件的供应商，在提交最后报价之前，可以根据磋商情况退出磋商，并在“苏采云”系统中提交“退出磋商函”并加盖CA电子公章。</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进入项目评审流程后，建议各供应商法定代表人或授权委托人始终保持通讯顺畅，及时登录苏采云系统查阅、答复相关信息。 </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20.11经磋商确定最终采购需求和提交最后报价的供应商后，由磋商小组采用综合评分法对提交最后报价的供应商的投标（响应）文件和最后报价进行综合评分。 </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20.12磋商小组根据磋商成交原则确定成交供应商，并将结果通知所有参加磋商的供应商。</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20.13在机器码检查中，出现不同供应商投标（响应）文件机器码一致情形的，投标（响应）文件将被认定为无效响应。</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20.14如磋商过程中出现本采购文件未尽事宜，由磋商小组根据政府采购有关法律、法规讨论决定。</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20.15以上磋商活动所涉及系统操作，以“苏采云”系统最新要求为准。</w:t>
      </w:r>
      <w:r>
        <w:rPr>
          <w:highlight w:val="none"/>
        </w:rPr>
      </w:r>
      <w:r/>
    </w:p>
    <w:p>
      <w:pPr>
        <w:ind w:left="0" w:right="0" w:firstLine="480"/>
        <w:jc w:val="both"/>
        <w:spacing w:before="210" w:after="210" w:line="31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*进入项目评审流程后，建议各供应商法定代表人或授权委托人始终保持通讯顺畅，时刻关注不见面开标大厅，不离开不见面开标大厅</w:t>
      </w:r>
      <w:r>
        <w:rPr>
          <w:rFonts w:ascii="宋体" w:hAnsi="宋体" w:eastAsia="宋体" w:cs="宋体"/>
          <w:color w:val="000000"/>
          <w:sz w:val="24"/>
          <w:highlight w:val="none"/>
        </w:rPr>
        <w:t xml:space="preserve">。</w:t>
      </w:r>
      <w:r>
        <w:rPr>
          <w:highlight w:val="none"/>
        </w:rPr>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21.信用查询</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根据政府采购法及相关法规，以及苏州市财政局《关于印发苏州市市级政府采购信用记录查询和使用工作试行办法的通知》（苏财购（2017）11号）文件的规定，采购人对供应商进行信用查询。</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21.1查询时间：投标（响应）文件提交截止时间。</w:t>
      </w:r>
      <w:r>
        <w:rPr>
          <w:highlight w:val="none"/>
        </w:rPr>
      </w:r>
      <w:r/>
    </w:p>
    <w:p>
      <w:pPr>
        <w:ind w:left="0" w:right="0" w:firstLine="480"/>
        <w:jc w:val="both"/>
        <w:spacing w:before="0" w:after="0" w:line="85" w:lineRule="atLeast"/>
        <w:tabs>
          <w:tab w:val="left" w:pos="753"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21.2查询渠道：中国政府采购网（www.ccgp.gov.cn）、信用中国（www.creditchina.gov.cn）、信用江苏（</w:t>
      </w:r>
      <w:r>
        <w:rPr>
          <w:highlight w:val="none"/>
        </w:rPr>
        <w:fldChar w:fldCharType="begin"/>
      </w:r>
      <w:r>
        <w:rPr>
          <w:highlight w:val="none"/>
        </w:rPr>
        <w:instrText xml:space="preserve"> HYPERLINK "http://www.jscredit.gov.cn/" \o "http://www.jscredit.gov.cn/" </w:instrText>
      </w:r>
      <w:r>
        <w:rPr>
          <w:highlight w:val="none"/>
        </w:rPr>
        <w:fldChar w:fldCharType="separate"/>
      </w:r>
      <w:r>
        <w:rPr>
          <w:rStyle w:val="815"/>
          <w:rFonts w:ascii="宋体" w:hAnsi="宋体" w:eastAsia="宋体" w:cs="宋体"/>
          <w:color w:val="0000ee"/>
          <w:sz w:val="24"/>
          <w:highlight w:val="none"/>
          <w:u w:val="single"/>
        </w:rPr>
        <w:t xml:space="preserve">www.jscredit.gov.cn</w:t>
      </w:r>
      <w:r>
        <w:rPr>
          <w:rStyle w:val="815"/>
          <w:rFonts w:ascii="宋体" w:hAnsi="宋体" w:eastAsia="宋体" w:cs="宋体"/>
          <w:color w:val="0000ee"/>
          <w:sz w:val="24"/>
          <w:highlight w:val="none"/>
          <w:u w:val="single"/>
        </w:rPr>
        <w:fldChar w:fldCharType="end"/>
      </w:r>
      <w:r>
        <w:rPr>
          <w:rFonts w:ascii="宋体" w:hAnsi="宋体" w:eastAsia="宋体" w:cs="宋体"/>
          <w:color w:val="000000"/>
          <w:sz w:val="24"/>
          <w:highlight w:val="none"/>
        </w:rPr>
        <w:t xml:space="preserve">）、诚信苏州（www.szcredit.gov.cn）。</w:t>
      </w:r>
      <w:r>
        <w:rPr>
          <w:highlight w:val="none"/>
        </w:rPr>
      </w:r>
      <w:r/>
    </w:p>
    <w:p>
      <w:pPr>
        <w:ind w:left="0" w:right="0" w:firstLine="480"/>
        <w:jc w:val="both"/>
        <w:spacing w:before="0" w:after="0" w:line="85" w:lineRule="atLeast"/>
        <w:tabs>
          <w:tab w:val="left" w:pos="753"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21.3查询证据留存方式：对存在失信信息的供应商，由失信供应商进行确认。同时，采购代理机构工作人员应根据磋商小组确认的失信信息，登陆到相关来源网站页面进行复核并打印，作为证据留存。</w:t>
      </w:r>
      <w:r>
        <w:rPr>
          <w:highlight w:val="none"/>
        </w:rPr>
      </w:r>
      <w:r/>
    </w:p>
    <w:p>
      <w:pPr>
        <w:ind w:left="0" w:right="0" w:firstLine="480"/>
        <w:jc w:val="both"/>
        <w:spacing w:before="0" w:after="0" w:line="85" w:lineRule="atLeast"/>
        <w:tabs>
          <w:tab w:val="left" w:pos="753"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21.4信用记录使用规则：在对供应商进行资格性审查时，应根据查询结果对供应商的不良信用记录逐项甄别确认。</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21.4.1政府采购严重违法记录，即供应商被全国各级财政部门列入“政府采购严重违法失信行为记录名单”，且在处罚有效期内的。</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21.4.2财政部门与法院、工商、税务等部门联合惩戒的失信信息，包括：</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21.4.2.1被列入失信被执行人名单；</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21.4.2.2被列入重大税收违法案件当事人名单；</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21.4.2.3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rPr>
          <w:highlight w:val="none"/>
        </w:rPr>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22.磋商小组</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22.1磋商小组由采购单位依法组建，由采购单位代表、专家评委组成。</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22.2磋商小组负责具体的磋商事务，并独立履行以下职责：</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22.2.1审查投标（响应）文件是否符合采购文件的要求，并做出评价；</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22.2.2可以要求供应商对投标（响应）文件有关事项做出解释或澄清；</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22.2.3推荐中标（成交）候选供应商名单；</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22.2.4向采购单位或者有关部门报告非法干预磋商工作的行为。</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22.3磋商小组成员应当履行下列义务：</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22.3.1遵纪守法，客观、公正、廉洁地履行职责；</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22.3.2按照采购文件规定的评审办法和评分标准进行评审，对评审意见承担个人责任；</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22.3.3对磋商过程和结果，以及供应商的商业秘密保密；</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22.3.4参与评审报告的起草；</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22.3.5配合相关部门的投诉处理工作；</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22.3.6配合采购单位答复供应商提出的质疑。</w:t>
      </w:r>
      <w:r>
        <w:rPr>
          <w:highlight w:val="none"/>
        </w:rPr>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23.评审内容的保密</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23.1磋商开始后，直到宣布授予中标（成交）单位合同为止，凡属于审查、澄清、评价和比较投标（响应）文件的所有资料，有关授予合同的信息都不应向供应商或与评审无关的其他人泄露。</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23.2在投标（响应）文件的审查、澄清、评价和比较以及授予合同的过程中，供应商对采购单位和磋商小组施加影响的任何行为，都将取消其成交资格。</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23.3在评审期间，采购人或采购代理机构将通过指定联络人与供应商进行联系。</w:t>
      </w:r>
      <w:r>
        <w:rPr>
          <w:highlight w:val="none"/>
        </w:rPr>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24.对投标（响应）文件初审</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24.1开始磋商后，磋商小组将审查投标（响应）文件是否实质性响应采购文件的要求、内容是否完整、价格构成有无计算错误、文件签署是否齐全等，投标（响应）文件有下列情况之一者，且磋商小组认为在磋商承诺函中无法修正的则有权将其拒绝：</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24.1.1供应商的投标（响应）文件未按照本须知规定制作的；</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24.1.2未按本须知规定提交资格文件；</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24.1.3与采购文件有重大偏离；</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24.1.4供应商拒绝修正错误；</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24.1.5供应商的报价是选择性的；</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24.1.6供应商的报价只投了部分内容；</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24.1.7供应商的投标（响应）文件出现了磋商小组认为不应当雷同的情况；</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24.1.8其他被磋商小组认定无效的情况。</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24.2磋商小组将对确定为实质上响应的文件进行审核，看其是否有计算上或累加上的算术错误，修正错误的原则如下：</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24.2.1投标（响应）文件中开标一览表内容与投标（响应）文件中相应内容不一致的，以开标一览表为准；</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24.2.2大写金额和小写金额不一致的，以大写金额为准；</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24.2.3单价金额小数点或者百分比有明显错位的，以开标一览表的总价为准，并修改单价；</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24.2.4总价金额与按单价汇总金额不一致的，以单价金额计算结果为准。</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同时出现两种以上不一致的，按照前款规定的顺序修正。修正后的报价按照本须知25.1条的规定经供应商确认后产生约束力，供应商不确认的，其投标无效。</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24.3供应商不同意以上修正，则其投标将被拒绝。</w:t>
      </w:r>
      <w:r>
        <w:rPr>
          <w:highlight w:val="none"/>
        </w:rPr>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25.投标（响应）文件的澄清</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25.1对于投标（响应）文件中含义不明确、同类问题表述不一致或者有明显文字和计算错误的内容，磋商小组应当要求供应商做出必要的澄清、说明或者补正。供应商的澄清、说明或者补正不得超出投标（响应）文件的范围或者改变投标（响应）文件的实质性内容。</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none"/>
        </w:rPr>
        <w:t xml:space="preserve">25.2本项目采用线上澄清</w:t>
      </w:r>
      <w:r>
        <w:rPr>
          <w:rFonts w:ascii="宋体" w:hAnsi="宋体" w:eastAsia="宋体" w:cs="宋体"/>
          <w:color w:val="000000"/>
          <w:sz w:val="24"/>
          <w:highlight w:val="none"/>
        </w:rPr>
        <w:t xml:space="preserve">。</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25.2.1线上澄清答复的方式：需要供应商进行澄清、说明和更正的，磋商小组将通过“苏采云”系统向供应商发布“澄清要求函”，接到“澄清要求函”的供应商应当按照要求在“苏采云”系统中提交“澄清响应函”并加盖CA电子公章。澄清、说明和更正的内容作为投标（响应）文件的补充部分，具体操作方式见《操作手册》。未加盖CA电子公章的澄清无效。</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25.2.2接到磋商小组澄清、说明和更正要求的供应商如未按规定做出澄清、说明和更正，其风险由供应商自行承担。</w:t>
      </w:r>
      <w:r>
        <w:rPr>
          <w:highlight w:val="none"/>
        </w:rPr>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26.项目的终止</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出现下列情形之一的，将终止竞争性磋商采购活动：</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26.1因情况变化，不再符合规定的竞争性磋商采购方式适用情形的；</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26.2出现影响采购公正的违法、违规行为的；</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26.3在采购过程中符合要求的供应商或者报价未超过采购预算的供应商不足3家的；</w:t>
      </w:r>
      <w:r>
        <w:rPr>
          <w:highlight w:val="none"/>
        </w:rPr>
      </w:r>
      <w:r/>
    </w:p>
    <w:p>
      <w:pPr>
        <w:ind w:left="0" w:right="0" w:firstLine="480"/>
        <w:jc w:val="both"/>
        <w:spacing w:before="0" w:after="0" w:line="85" w:lineRule="atLeast"/>
        <w:tabs>
          <w:tab w:val="left" w:pos="753"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26.4在采购活动中因重大变故，采购任务取消的。</w:t>
      </w:r>
      <w:r>
        <w:rPr>
          <w:highlight w:val="none"/>
        </w:rPr>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27.投标（响应）文件的评价和比较</w:t>
      </w:r>
      <w:r>
        <w:rPr>
          <w:highlight w:val="none"/>
        </w:rPr>
      </w:r>
      <w:r/>
    </w:p>
    <w:p>
      <w:pPr>
        <w:ind w:left="0" w:right="0" w:firstLine="502"/>
        <w:jc w:val="both"/>
        <w:spacing w:before="0" w:after="0" w:line="82"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27.1磋商小组将依据采购文件的规定，按第六章的评审办法对所有参加磋商的供应商的投标（响应）文件进行实质性响应的评价，并确定参加单一磋商的实质性响应采购文件的供应商。</w:t>
      </w:r>
      <w:r>
        <w:rPr>
          <w:highlight w:val="none"/>
        </w:rPr>
      </w:r>
      <w:r/>
    </w:p>
    <w:p>
      <w:pPr>
        <w:ind w:left="0" w:right="0" w:firstLine="502"/>
        <w:jc w:val="both"/>
        <w:spacing w:before="0" w:after="0" w:line="82"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27.2在磋商过程中，磋商小组如有实质性变动采购需求中的技术、服务要求以及合同草案条款的情形，则仍按第六章的评审办法对供应商就实质性变动内容重新提交的相应的书面响应材料进行评价。</w:t>
      </w:r>
      <w:r>
        <w:rPr>
          <w:highlight w:val="none"/>
        </w:rPr>
      </w:r>
      <w:r/>
    </w:p>
    <w:p>
      <w:pPr>
        <w:ind w:left="0" w:right="0" w:firstLine="502"/>
        <w:jc w:val="both"/>
        <w:spacing w:before="0" w:after="0" w:line="82"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27.3采购人授权磋商小组根据本文件的规定，在最后报价不超过采购预算，且响应内容的质量和服务均能满足采购文件实质性响应要求的供应商（不少于三家）中，按照最后评审得分由高到低的顺序提出中标（成交）候选人，其中最后评审得分最高的供应商为第一中标（成交）候选供应商，并编写评审报告。</w:t>
      </w:r>
      <w:r>
        <w:rPr>
          <w:highlight w:val="none"/>
        </w:rPr>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28.中标（成交）单位的确认</w:t>
      </w:r>
      <w:r>
        <w:rPr>
          <w:highlight w:val="none"/>
        </w:rPr>
      </w:r>
      <w:r/>
    </w:p>
    <w:p>
      <w:pPr>
        <w:ind w:left="0" w:right="0" w:firstLine="502"/>
        <w:jc w:val="both"/>
        <w:spacing w:before="0" w:after="0" w:line="82"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28.1磋商小组根据投标（响应）单位资格审查情况，以及对投标（响应）文件进行评价和比较，按照评审办法和标准进行评审，并根据采购人的委托，按照中标（成交）候选人的顺序在中标（成交）候选人中直接确定中标（成交）人。</w:t>
      </w:r>
      <w:r>
        <w:rPr>
          <w:highlight w:val="none"/>
        </w:rPr>
      </w:r>
      <w:r/>
    </w:p>
    <w:p>
      <w:pPr>
        <w:ind w:left="0" w:right="0" w:firstLine="502"/>
        <w:jc w:val="both"/>
        <w:spacing w:before="0" w:after="0" w:line="82"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28.2经磋商小组评审并确定中标（成交）单位后，采购人将在规定的</w:t>
      </w:r>
      <w:r>
        <w:rPr>
          <w:rFonts w:ascii="宋体" w:hAnsi="宋体" w:eastAsia="宋体" w:cs="宋体"/>
          <w:color w:val="000000"/>
          <w:sz w:val="24"/>
          <w:highlight w:val="none"/>
        </w:rPr>
        <w:t xml:space="preserve">时间内将中标（成交）结果在相关媒体上予以公告。参加磋商的各投标（响应）单位如对公告结果有异议，应在中标（成交）结果公告期满后七个工作日内，以书面形式向采购人提出质疑，同时该质疑应有投标（响应）单位法定代表人或参加磋商的代理人签署。采购人将在收到经投标（响应）单位法定代表人或参加响应供应商的代理人签署的书面质疑后七个工作日内，对质疑内容做出答复。如投标（响应）单位未在中标（成交）结果公告期满后七个工作日内向采购人提出质疑或质疑未经投标（响应）单位法定代表人或参加磋商的代理人签署的，采购人有权对该质疑不予答复。</w:t>
      </w:r>
      <w:r>
        <w:rPr>
          <w:highlight w:val="none"/>
        </w:rPr>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E.授予合同</w:t>
      </w:r>
      <w:r>
        <w:rPr>
          <w:highlight w:val="none"/>
        </w:rPr>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29.合同授予标准</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采购单位将把合同授予其投标（响应）文件在实质上响应采购文件要求和按本须知规定评选出的供应商。确定为中标（成交）的供应商必须具有实施本合同的能力和资源。</w:t>
      </w:r>
      <w:r>
        <w:rPr>
          <w:highlight w:val="none"/>
        </w:rPr>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30.中标（成交）通知书</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30.1在公告中标（成交）结果的同时，采购人或者采购代理机构应当向中标（成交）人发出中标（成交）通知书（中标（成交）通知书将在“苏采云”系统中发出，中标（成交）通知书发出之日视为中标（成交）供应商领取之日），请中标（成交）人在中标（成交）结果公告届满之日起30日内,使用CA数字证书登录“苏采云”系统及时下载中标（</w:t>
      </w:r>
      <w:r>
        <w:rPr>
          <w:rFonts w:ascii="宋体" w:hAnsi="宋体" w:eastAsia="宋体" w:cs="宋体"/>
          <w:color w:val="000000"/>
          <w:sz w:val="24"/>
          <w:highlight w:val="none"/>
        </w:rPr>
        <w:t xml:space="preserve">成交）通知书。因系统存储空间有限，自中标（成交）结果公告届满之日起30日后，“苏采云”系统不再保证提供下载中标（成交）通知书服务,因未及时下载而造成的不利后果由中标（成交）供应商自行承担。对未通过资格审查的供应商，应当告知其未通过的原因；采用综合评分法评审的，还应当告知未中标（成交）人本人的评审得分与排序。未中标（成交）供应商须在中标（成交）公告发出之日起2个工作日内向采购代理机构另行提供用以接收《未中标（成交）通知书》的电子邮件地址，未按时提供电子邮件地址或提供信息有误的，视为自动放弃并自行承担相应后果。</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30.2采购人或采购代理机构对未中标（成交）单位不承担解释未中标（成交）原因的义务。</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30.3中标（成交）通知书将成为合同的组成部分。</w:t>
      </w:r>
      <w:r>
        <w:rPr>
          <w:highlight w:val="none"/>
        </w:rPr>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31.合同的签订</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31.1中标（成交）单位应按采购单位规定的时间和地点，由法定代表人或代理人与甲方代表签订合同。</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31.2签订合同及合同条款应以采购文件和中标（成交）单位的投标（响应）文件及其澄清文件为依据。</w:t>
      </w:r>
      <w:r>
        <w:rPr>
          <w:highlight w:val="none"/>
        </w:rPr>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F.其他事项</w:t>
      </w:r>
      <w:r>
        <w:rPr>
          <w:highlight w:val="none"/>
        </w:rPr>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32.质疑</w:t>
      </w:r>
      <w:r>
        <w:rPr>
          <w:highlight w:val="none"/>
        </w:rPr>
      </w:r>
      <w:r/>
    </w:p>
    <w:p>
      <w:pPr>
        <w:ind w:left="0" w:right="0" w:firstLine="480"/>
        <w:jc w:val="both"/>
        <w:spacing w:before="0" w:after="0" w:line="85" w:lineRule="atLeast"/>
        <w:tabs>
          <w:tab w:val="left" w:pos="753"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32.1质疑及答复遵守《政府采购质疑和投诉办法》（中华人民共和国财政部令第94号）规定。</w:t>
      </w:r>
      <w:r>
        <w:rPr>
          <w:highlight w:val="none"/>
        </w:rPr>
      </w:r>
      <w:r/>
    </w:p>
    <w:p>
      <w:pPr>
        <w:ind w:left="0" w:right="0" w:firstLine="480"/>
        <w:jc w:val="both"/>
        <w:spacing w:before="0" w:after="0" w:line="85" w:lineRule="atLeast"/>
        <w:tabs>
          <w:tab w:val="left" w:pos="753"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32.2供应商认为采购文件、采购过程和采购结果使自己的权益受到损害的，可以在知道或应知其权益受到损害之日起七个工作日内，以书面形式根据下述条款的规定向代理提出质疑。上述应知其权益受到损害之日，是指：</w:t>
      </w:r>
      <w:r>
        <w:rPr>
          <w:highlight w:val="none"/>
        </w:rPr>
      </w:r>
      <w:r/>
    </w:p>
    <w:p>
      <w:pPr>
        <w:ind w:left="0" w:right="0" w:firstLine="480"/>
        <w:jc w:val="both"/>
        <w:spacing w:before="0" w:after="0" w:line="85" w:lineRule="atLeast"/>
        <w:tabs>
          <w:tab w:val="left" w:pos="753"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①对可以质疑的采购文件提出质疑的，为收到采购文件之日或者采购文件公告期限届满之日；</w:t>
      </w:r>
      <w:r>
        <w:rPr>
          <w:highlight w:val="none"/>
        </w:rPr>
      </w:r>
      <w:r/>
    </w:p>
    <w:p>
      <w:pPr>
        <w:ind w:left="0" w:right="0" w:firstLine="480"/>
        <w:jc w:val="both"/>
        <w:spacing w:before="0" w:after="0" w:line="85" w:lineRule="atLeast"/>
        <w:tabs>
          <w:tab w:val="left" w:pos="753"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②对采购过程提出质疑的，为各采购程序环节结束之日；</w:t>
      </w:r>
      <w:r>
        <w:rPr>
          <w:highlight w:val="none"/>
        </w:rPr>
      </w:r>
      <w:r/>
    </w:p>
    <w:p>
      <w:pPr>
        <w:ind w:left="0" w:right="0" w:firstLine="480"/>
        <w:jc w:val="both"/>
        <w:spacing w:before="0" w:after="0" w:line="85" w:lineRule="atLeast"/>
        <w:tabs>
          <w:tab w:val="left" w:pos="753"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③对中标（成交）结果提出质疑的，为中标（成交）结果公告期限届满之日。</w:t>
      </w:r>
      <w:r>
        <w:rPr>
          <w:highlight w:val="none"/>
        </w:rPr>
      </w:r>
      <w:r/>
    </w:p>
    <w:p>
      <w:pPr>
        <w:ind w:left="0" w:right="0" w:firstLine="480"/>
        <w:jc w:val="both"/>
        <w:spacing w:before="0" w:after="0" w:line="85" w:lineRule="atLeast"/>
        <w:tabs>
          <w:tab w:val="left" w:pos="753"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32.3供应商应当在法定质疑期内一次性提出针对同一采购程序环节的质疑。供应商如在法定期限内对同一采购程序环节提出多次质疑的，采购人或代理机构将只对供应商第一次质疑作出答复。</w:t>
      </w:r>
      <w:r>
        <w:rPr>
          <w:highlight w:val="none"/>
        </w:rPr>
      </w:r>
      <w:r/>
    </w:p>
    <w:p>
      <w:pPr>
        <w:ind w:left="0" w:right="0" w:firstLine="480"/>
        <w:jc w:val="both"/>
        <w:spacing w:before="0" w:after="0" w:line="85" w:lineRule="atLeast"/>
        <w:tabs>
          <w:tab w:val="left" w:pos="753"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32.4提出质疑的供应商应当是参与所质疑项目采购活动的供应商，未依照采购公告要求获取采购文件的供应商，视为未参与该项政府采购活动，不具备对该政府采购项目提出质疑的法定权利。</w:t>
      </w:r>
      <w:r>
        <w:rPr>
          <w:highlight w:val="none"/>
        </w:rPr>
      </w:r>
      <w:r/>
    </w:p>
    <w:p>
      <w:pPr>
        <w:ind w:left="0" w:right="0" w:firstLine="482"/>
        <w:jc w:val="both"/>
        <w:spacing w:before="0" w:after="0" w:line="85" w:lineRule="atLeast"/>
        <w:tabs>
          <w:tab w:val="left" w:pos="753"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对采购文件内容质疑时，需提供在采购交易系统中下载本项目采购文件的</w:t>
      </w:r>
      <w:r>
        <w:rPr>
          <w:rFonts w:ascii="宋体" w:hAnsi="宋体" w:eastAsia="宋体" w:cs="宋体"/>
          <w:b/>
          <w:color w:val="000000"/>
          <w:sz w:val="24"/>
          <w:highlight w:val="none"/>
          <w:u w:val="none"/>
        </w:rPr>
        <w:t xml:space="preserve">《投标供应商确认函》</w:t>
      </w:r>
      <w:r>
        <w:rPr>
          <w:rFonts w:ascii="宋体" w:hAnsi="宋体" w:eastAsia="宋体" w:cs="宋体"/>
          <w:b/>
          <w:color w:val="000000"/>
          <w:sz w:val="24"/>
          <w:highlight w:val="none"/>
        </w:rPr>
        <w:t xml:space="preserve">，未提供的视为未依照采购公告要求获取采购文件的供应商，不具备对该政府采购项目提出质疑的法定权利。</w:t>
      </w:r>
      <w:r>
        <w:rPr>
          <w:highlight w:val="none"/>
        </w:rPr>
      </w:r>
      <w:r/>
    </w:p>
    <w:p>
      <w:pPr>
        <w:ind w:left="0" w:right="0" w:firstLine="480"/>
        <w:jc w:val="both"/>
        <w:spacing w:before="0" w:after="0" w:line="85" w:lineRule="atLeast"/>
        <w:tabs>
          <w:tab w:val="left" w:pos="753"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32.5接收质疑函的方式为书面形式（当场送达或邮寄方式）。供应商质疑函范本格式请参照“苏州市政府采购”网站——“下载中心”——“</w:t>
      </w:r>
      <w:r>
        <w:rPr>
          <w:highlight w:val="none"/>
        </w:rPr>
        <w:fldChar w:fldCharType="begin"/>
      </w:r>
      <w:r>
        <w:rPr>
          <w:highlight w:val="none"/>
        </w:rPr>
        <w:instrText xml:space="preserve"> HYPERLINK "http://czju.suzhou.gov.cn/zfcg/html/content/20180305093615738.shtml" \o "政府采购供应商质疑函范本" </w:instrText>
      </w:r>
      <w:r>
        <w:rPr>
          <w:highlight w:val="none"/>
        </w:rPr>
        <w:fldChar w:fldCharType="separate"/>
      </w:r>
      <w:r>
        <w:rPr>
          <w:rStyle w:val="815"/>
          <w:rFonts w:ascii="宋体" w:hAnsi="宋体" w:eastAsia="宋体" w:cs="宋体"/>
          <w:color w:val="0000ee"/>
          <w:sz w:val="24"/>
          <w:highlight w:val="none"/>
          <w:u w:val="single"/>
        </w:rPr>
        <w:t xml:space="preserve">政府采购供应商质疑函范本</w:t>
      </w:r>
      <w:r>
        <w:rPr>
          <w:rStyle w:val="815"/>
          <w:rFonts w:ascii="宋体" w:hAnsi="宋体" w:eastAsia="宋体" w:cs="宋体"/>
          <w:color w:val="0000ee"/>
          <w:sz w:val="24"/>
          <w:highlight w:val="none"/>
          <w:u w:val="single"/>
        </w:rPr>
        <w:fldChar w:fldCharType="end"/>
      </w:r>
      <w:r>
        <w:rPr>
          <w:rFonts w:ascii="宋体" w:hAnsi="宋体" w:eastAsia="宋体" w:cs="宋体"/>
          <w:color w:val="000000"/>
          <w:sz w:val="24"/>
          <w:highlight w:val="none"/>
        </w:rPr>
        <w:t xml:space="preserve">”。</w:t>
      </w:r>
      <w:r>
        <w:rPr>
          <w:highlight w:val="none"/>
        </w:rPr>
      </w:r>
      <w:r/>
    </w:p>
    <w:p>
      <w:pPr>
        <w:ind w:left="0" w:right="0" w:firstLine="480"/>
        <w:jc w:val="both"/>
        <w:spacing w:before="0" w:after="0" w:line="85" w:lineRule="atLeast"/>
        <w:tabs>
          <w:tab w:val="left" w:pos="753"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32.6</w:t>
      </w:r>
      <w:r>
        <w:rPr>
          <w:rFonts w:ascii="宋体" w:hAnsi="宋体" w:eastAsia="宋体" w:cs="宋体"/>
          <w:color w:val="000000"/>
          <w:sz w:val="24"/>
          <w:highlight w:val="none"/>
          <w:u w:val="none"/>
        </w:rPr>
        <w:t xml:space="preserve">供应商提出书面质疑必须有理、有据，不得捏造事实、提供虚假材料进行恶意质疑。</w:t>
      </w:r>
      <w:r>
        <w:rPr>
          <w:rFonts w:ascii="宋体" w:hAnsi="宋体" w:eastAsia="宋体" w:cs="宋体"/>
          <w:color w:val="000000"/>
          <w:sz w:val="24"/>
          <w:highlight w:val="none"/>
        </w:rPr>
        <w:t xml:space="preserve">否则，一经查实，将报请政府采购监管部门按照政府采购相关法规规定，依法进行处罚和失信记录。</w:t>
      </w:r>
      <w:r>
        <w:rPr>
          <w:highlight w:val="none"/>
        </w:rPr>
      </w:r>
      <w:r/>
    </w:p>
    <w:p>
      <w:pPr>
        <w:ind w:left="0" w:right="0" w:firstLine="480"/>
        <w:jc w:val="both"/>
        <w:spacing w:before="0" w:after="0" w:line="85" w:lineRule="atLeast"/>
        <w:tabs>
          <w:tab w:val="left" w:pos="753"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32.7质疑递交信息：详见第一章采购人及采购代理机构联系信息。</w:t>
      </w:r>
      <w:r>
        <w:rPr>
          <w:highlight w:val="none"/>
        </w:rPr>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33.代理服务费</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33.1中标（成交）单位须按前附表的规定计算并支付代理服务费，该费用应在领取中标（成交）通知书时付清。</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33.2中标（成交）单位如果未按规定缴纳代理服务费，采购单位将保留诉讼的权利。</w:t>
      </w:r>
      <w:r>
        <w:rPr>
          <w:highlight w:val="none"/>
        </w:rPr>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34.未尽事宜</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未尽事宜应按《中华人民共和国民法典》、《中华人民共和国政府采购法》以及其它相关法律、法规之规定解释。</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6"/>
          <w:highlight w:val="none"/>
        </w:rPr>
        <w:t xml:space="preserve"> </w:t>
      </w:r>
      <w:r>
        <w:rPr>
          <w:highlight w:val="none"/>
        </w:rPr>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6"/>
          <w:highlight w:val="none"/>
        </w:rPr>
        <w:t xml:space="preserve"> </w:t>
      </w:r>
      <w:r>
        <w:rPr>
          <w:highlight w:val="none"/>
        </w:rPr>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highlight w:val="none"/>
        </w:rPr>
        <w:br w:type="page" w:clear="all"/>
      </w:r>
      <w:r>
        <w:rPr>
          <w:highlight w:val="none"/>
        </w:rPr>
      </w:r>
      <w:r/>
    </w:p>
    <w:p>
      <w:pPr>
        <w:ind w:left="420" w:right="0" w:firstLine="420"/>
        <w:jc w:val="both"/>
        <w:spacing w:before="210" w:after="120" w:line="520" w:lineRule="atLeast"/>
        <w:rPr>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highlight w:val="none"/>
        </w:rPr>
        <w:t xml:space="preserve"> </w:t>
      </w:r>
      <w:r>
        <w:rPr>
          <w:highlight w:val="none"/>
        </w:rPr>
      </w:r>
      <w:r/>
    </w:p>
    <w:p>
      <w:pPr>
        <w:ind w:left="420" w:right="0" w:firstLine="420"/>
        <w:jc w:val="both"/>
        <w:spacing w:before="210" w:after="120" w:line="520" w:lineRule="atLeast"/>
        <w:rPr>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highlight w:val="none"/>
        </w:rPr>
        <w:t xml:space="preserve"> </w:t>
      </w:r>
      <w:r>
        <w:rPr>
          <w:highlight w:val="none"/>
        </w:rPr>
      </w:r>
      <w:r/>
    </w:p>
    <w:p>
      <w:pPr>
        <w:ind w:left="420" w:right="0" w:firstLine="420"/>
        <w:jc w:val="both"/>
        <w:spacing w:before="210" w:after="120" w:line="520" w:lineRule="atLeast"/>
        <w:rPr>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highlight w:val="none"/>
        </w:rPr>
        <w:t xml:space="preserve"> </w:t>
      </w:r>
      <w:r>
        <w:rPr>
          <w:highlight w:val="none"/>
        </w:rPr>
      </w:r>
      <w:r/>
    </w:p>
    <w:p>
      <w:pPr>
        <w:ind w:left="420" w:right="0" w:firstLine="420"/>
        <w:jc w:val="both"/>
        <w:spacing w:before="210" w:after="120" w:line="520" w:lineRule="atLeast"/>
        <w:rPr>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highlight w:val="none"/>
        </w:rPr>
        <w:t xml:space="preserve"> </w:t>
      </w:r>
      <w:r>
        <w:rPr>
          <w:highlight w:val="none"/>
        </w:rPr>
      </w:r>
      <w:r/>
    </w:p>
    <w:p>
      <w:pPr>
        <w:ind w:left="420" w:right="0" w:firstLine="420"/>
        <w:jc w:val="both"/>
        <w:spacing w:before="210" w:after="120" w:line="520" w:lineRule="atLeast"/>
        <w:rPr>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highlight w:val="none"/>
        </w:rPr>
        <w:t xml:space="preserve"> </w:t>
      </w:r>
      <w:r>
        <w:rPr>
          <w:highlight w:val="none"/>
        </w:rPr>
      </w:r>
      <w:r/>
    </w:p>
    <w:p>
      <w:pPr>
        <w:ind w:left="420" w:right="0" w:firstLine="420"/>
        <w:jc w:val="both"/>
        <w:spacing w:before="210" w:after="120" w:line="520" w:lineRule="atLeast"/>
        <w:rPr>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highlight w:val="none"/>
        </w:rPr>
        <w:t xml:space="preserve"> </w:t>
      </w:r>
      <w:r>
        <w:rPr>
          <w:highlight w:val="none"/>
        </w:rPr>
      </w:r>
      <w:r/>
    </w:p>
    <w:p>
      <w:pPr>
        <w:ind w:left="420" w:right="0" w:firstLine="420"/>
        <w:jc w:val="both"/>
        <w:spacing w:before="210" w:after="120" w:line="520" w:lineRule="atLeast"/>
        <w:rPr>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highlight w:val="none"/>
        </w:rPr>
        <w:t xml:space="preserve"> </w:t>
      </w:r>
      <w:r>
        <w:rPr>
          <w:highlight w:val="none"/>
        </w:rPr>
      </w:r>
      <w:r/>
    </w:p>
    <w:p>
      <w:pPr>
        <w:ind w:left="0" w:right="0" w:firstLine="0"/>
        <w:jc w:val="cente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52"/>
          <w:highlight w:val="none"/>
        </w:rPr>
        <w:t xml:space="preserve">第三章 投标（响应）文件格式</w:t>
      </w:r>
      <w:r>
        <w:rPr>
          <w:highlight w:val="none"/>
        </w:rPr>
      </w:r>
      <w:r/>
    </w:p>
    <w:p>
      <w:pPr>
        <w:ind w:left="0" w:right="0" w:firstLine="0"/>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说明：</w:t>
      </w:r>
      <w:r>
        <w:rPr>
          <w:highlight w:val="none"/>
        </w:rPr>
      </w:r>
      <w:r/>
    </w:p>
    <w:p>
      <w:pPr>
        <w:ind w:left="0" w:right="0" w:firstLine="482"/>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对本章所有的格式，供应商可根据自身情况进行补充和修改，但补充和修改不得造成与本格式内容有实质性的违背。</w:t>
      </w:r>
      <w:r>
        <w:rPr>
          <w:highlight w:val="none"/>
        </w:rPr>
      </w:r>
      <w:r/>
    </w:p>
    <w:p>
      <w:pPr>
        <w:ind w:left="0" w:right="0" w:firstLine="0"/>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rPr>
          <w:highlight w:val="none"/>
        </w:rPr>
      </w:r>
      <w:r/>
    </w:p>
    <w:p>
      <w:pPr>
        <w:ind w:left="0" w:right="0" w:firstLine="0"/>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1、（供应商）法定代表人授权委托书</w:t>
      </w:r>
      <w:r>
        <w:rPr>
          <w:highlight w:val="none"/>
        </w:rPr>
      </w:r>
      <w:r/>
    </w:p>
    <w:p>
      <w:pPr>
        <w:ind w:left="0" w:right="0" w:firstLine="0"/>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p>
      <w:pPr>
        <w:ind w:left="0" w:right="0" w:firstLine="0"/>
        <w:jc w:val="cente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授权委托书</w:t>
      </w:r>
      <w:r>
        <w:rPr>
          <w:highlight w:val="none"/>
        </w:rPr>
      </w:r>
      <w:r/>
    </w:p>
    <w:p>
      <w:pPr>
        <w:ind w:left="0" w:right="0" w:firstLine="0"/>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本授权委托书声明：我</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（姓名）系</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（投标人名称）的法定代表人，现授权委托</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（姓名+手机号码）为我公司代理人，以本公司的名义参加</w:t>
      </w:r>
      <w:r>
        <w:rPr>
          <w:rFonts w:hint="eastAsia" w:ascii="宋体" w:hAnsi="宋体" w:eastAsia="宋体" w:cs="宋体"/>
          <w:color w:val="000000"/>
          <w:sz w:val="24"/>
          <w:highlight w:val="none"/>
          <w:u w:val="single"/>
          <w:lang w:eastAsia="zh-CN"/>
        </w:rPr>
        <w:t xml:space="preserve">苏州市心理健康中心</w:t>
      </w:r>
      <w:r>
        <w:rPr>
          <w:rFonts w:ascii="宋体" w:hAnsi="宋体" w:eastAsia="宋体" w:cs="宋体"/>
          <w:color w:val="000000"/>
          <w:sz w:val="24"/>
          <w:highlight w:val="none"/>
        </w:rPr>
        <w:t xml:space="preserve">（采购人名称）组织实施的编号为</w:t>
      </w:r>
      <w:r>
        <w:rPr>
          <w:rFonts w:hint="eastAsia" w:ascii="宋体" w:hAnsi="宋体" w:eastAsia="宋体" w:cs="宋体"/>
          <w:color w:val="000000"/>
          <w:sz w:val="24"/>
          <w:highlight w:val="none"/>
          <w:u w:val="single"/>
          <w:lang w:eastAsia="zh-CN"/>
        </w:rPr>
        <w:t xml:space="preserve">JSZC-320500-RHHH-C2026-0033</w:t>
      </w:r>
      <w:r>
        <w:rPr>
          <w:rFonts w:ascii="宋体" w:hAnsi="宋体" w:eastAsia="宋体" w:cs="宋体"/>
          <w:color w:val="000000"/>
          <w:sz w:val="24"/>
          <w:highlight w:val="none"/>
        </w:rPr>
        <w:t xml:space="preserve">号的招标（采购）活动。代理人在投标、开标、评标、合同订立和履行过程中所签署的一切文件和处理与这有关的一切事务，我均予以承认。</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代理人在授权委托书有效期内签署的所有文件不因授权委托的撤销而失效，除非有撤销授权委托的书面通知，本授权委托书自投标开始至合同履行完毕止。</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代理人无转委托权。特此委托。</w:t>
      </w:r>
      <w:r>
        <w:rPr>
          <w:highlight w:val="none"/>
        </w:rPr>
      </w:r>
      <w:r/>
    </w:p>
    <w:p>
      <w:pPr>
        <w:ind w:left="0" w:right="960" w:firstLine="0"/>
        <w:jc w:val="both"/>
        <w:spacing w:before="0" w:after="0"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p>
      <w:pPr>
        <w:ind w:left="0" w:right="960" w:firstLine="0"/>
        <w:jc w:val="both"/>
        <w:spacing w:before="0" w:after="0"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p>
      <w:pPr>
        <w:ind w:left="0" w:right="105" w:firstLine="210"/>
        <w:jc w:val="right"/>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供应商名称：（加盖CA电子公章）</w:t>
      </w:r>
      <w:r>
        <w:rPr>
          <w:highlight w:val="none"/>
        </w:rPr>
      </w:r>
      <w:r/>
    </w:p>
    <w:p>
      <w:pPr>
        <w:ind w:left="0" w:right="420" w:firstLine="210"/>
        <w:jc w:val="right"/>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日期：　　　年　　月　　日</w:t>
      </w:r>
      <w:r>
        <w:rPr>
          <w:highlight w:val="none"/>
        </w:rPr>
      </w:r>
      <w:r/>
    </w:p>
    <w:p>
      <w:pPr>
        <w:ind w:left="0" w:right="0" w:firstLine="0"/>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rPr>
          <w:highlight w:val="none"/>
        </w:rPr>
      </w:r>
      <w:r/>
    </w:p>
    <w:p>
      <w:pPr>
        <w:ind w:left="0" w:right="0" w:firstLine="0"/>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2、投标（响应）函</w:t>
      </w:r>
      <w:r>
        <w:rPr>
          <w:highlight w:val="none"/>
        </w:rPr>
      </w:r>
      <w:r/>
    </w:p>
    <w:p>
      <w:pPr>
        <w:ind w:left="0" w:right="0" w:firstLine="0"/>
        <w:jc w:val="cente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投标（响应）函</w:t>
      </w:r>
      <w:r>
        <w:rPr>
          <w:highlight w:val="none"/>
        </w:rPr>
      </w:r>
      <w:r/>
    </w:p>
    <w:p>
      <w:pPr>
        <w:ind w:left="0" w:right="0" w:firstLine="0"/>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江苏仁禾中衡工程咨询房地产估价有限公司</w:t>
      </w:r>
      <w:r>
        <w:rPr>
          <w:rFonts w:ascii="宋体" w:hAnsi="宋体" w:eastAsia="宋体" w:cs="宋体"/>
          <w:color w:val="000000"/>
          <w:sz w:val="24"/>
          <w:highlight w:val="none"/>
        </w:rPr>
        <w:t xml:space="preserve">：</w:t>
      </w:r>
      <w:r>
        <w:rPr>
          <w:highlight w:val="none"/>
        </w:rPr>
      </w:r>
      <w:r/>
    </w:p>
    <w:p>
      <w:pPr>
        <w:ind w:left="0" w:right="0" w:firstLine="480"/>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我们收到贵公司</w:t>
      </w:r>
      <w:r>
        <w:rPr>
          <w:rFonts w:hint="eastAsia" w:ascii="宋体" w:hAnsi="宋体" w:eastAsia="宋体" w:cs="宋体"/>
          <w:color w:val="000000"/>
          <w:sz w:val="24"/>
          <w:highlight w:val="none"/>
          <w:u w:val="single"/>
          <w:lang w:eastAsia="zh-CN"/>
        </w:rPr>
        <w:t xml:space="preserve">JSZC-320500-RHHH-C2026-0033</w:t>
      </w:r>
      <w:r>
        <w:rPr>
          <w:rFonts w:ascii="宋体" w:hAnsi="宋体" w:eastAsia="宋体" w:cs="宋体"/>
          <w:color w:val="000000"/>
          <w:sz w:val="24"/>
          <w:highlight w:val="none"/>
        </w:rPr>
        <w:t xml:space="preserve">号采购文件，经仔细阅读和研究，我们决定参加磋商活动。</w:t>
      </w:r>
      <w:r>
        <w:rPr>
          <w:highlight w:val="none"/>
        </w:rPr>
      </w:r>
      <w:r/>
    </w:p>
    <w:p>
      <w:pPr>
        <w:ind w:left="0" w:right="0" w:firstLine="48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1、我们愿意按照采购文件的一切要求，提供完成该项目的全部内容，我们的报价包括但不限于人工、交通、保险、管理费、税金</w:t>
      </w:r>
      <w:r>
        <w:rPr>
          <w:rFonts w:hint="eastAsia" w:ascii="宋体" w:hAnsi="宋体" w:eastAsia="宋体" w:cs="宋体"/>
          <w:color w:val="000000"/>
          <w:sz w:val="24"/>
          <w:highlight w:val="none"/>
          <w:lang w:eastAsia="zh-CN"/>
        </w:rPr>
        <w:t xml:space="preserve">、</w:t>
      </w:r>
      <w:r>
        <w:rPr>
          <w:rFonts w:ascii="Times New Roman" w:hAnsi="Times New Roman" w:eastAsia="宋体" w:cs="Times New Roman"/>
          <w:color w:val="000000"/>
          <w:sz w:val="24"/>
          <w:highlight w:val="none"/>
        </w:rPr>
        <w:t xml:space="preserve">采购代理服务费</w:t>
      </w:r>
      <w:r>
        <w:rPr>
          <w:rFonts w:ascii="宋体" w:hAnsi="宋体" w:eastAsia="宋体" w:cs="宋体"/>
          <w:color w:val="000000"/>
          <w:sz w:val="24"/>
          <w:highlight w:val="none"/>
        </w:rPr>
        <w:t xml:space="preserve">及政策性文件规定费用及合同包含的所有风险、责任等各项费用。</w:t>
      </w:r>
      <w:r>
        <w:rPr>
          <w:highlight w:val="none"/>
        </w:rPr>
      </w:r>
      <w:r/>
    </w:p>
    <w:p>
      <w:pPr>
        <w:ind w:left="0" w:right="0" w:firstLine="480"/>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2、如果我们的投标（响应）文件被接受，我们将严格履行采购文件中规定的每一项要求，按期、按质、按量履行合同的义务。</w:t>
      </w:r>
      <w:r>
        <w:rPr>
          <w:highlight w:val="none"/>
        </w:rPr>
      </w:r>
      <w:r/>
    </w:p>
    <w:p>
      <w:pPr>
        <w:ind w:left="0" w:right="0" w:firstLine="480"/>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3、我们已详细审查全部采购文件，包括更正公告（如有）。我们完全理解并同意放弃对这方面有不明及误解的权力。</w:t>
      </w:r>
      <w:r>
        <w:rPr>
          <w:highlight w:val="none"/>
        </w:rPr>
      </w:r>
      <w:r/>
    </w:p>
    <w:p>
      <w:pPr>
        <w:ind w:left="0" w:right="0" w:firstLine="480"/>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4、我们同意按采购文件中的规定，本投标（响应）文件的有效期限为投标（响应）文件提交截止之日起九十天。</w:t>
      </w:r>
      <w:r>
        <w:rPr>
          <w:highlight w:val="none"/>
        </w:rPr>
      </w:r>
      <w:r/>
    </w:p>
    <w:p>
      <w:pPr>
        <w:ind w:left="0" w:right="0" w:firstLine="480"/>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5、我们愿意提供采购单位在采购文件中要求的所有资料。</w:t>
      </w:r>
      <w:r>
        <w:rPr>
          <w:highlight w:val="none"/>
        </w:rPr>
      </w:r>
      <w:r/>
    </w:p>
    <w:p>
      <w:pPr>
        <w:ind w:left="0" w:right="0" w:firstLine="480"/>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6、我们愿意遵守采购文件中所列的收费标准。</w:t>
      </w:r>
      <w:r>
        <w:rPr>
          <w:highlight w:val="none"/>
        </w:rPr>
      </w:r>
      <w:r/>
    </w:p>
    <w:p>
      <w:pPr>
        <w:ind w:left="0" w:right="0" w:firstLine="480"/>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7、我们承诺该投标（响应）文件在磋商开始后的全过程中保持有效，不做任何更改和变动。</w:t>
      </w:r>
      <w:r>
        <w:rPr>
          <w:highlight w:val="none"/>
        </w:rPr>
      </w:r>
      <w:r/>
    </w:p>
    <w:p>
      <w:pPr>
        <w:ind w:left="0" w:right="0" w:firstLine="480"/>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8、我们承诺我公司符合采购文件中申请人的资格要求，若与真实情况不符，本公司愿意承担由此而产生的一切后果。</w:t>
      </w:r>
      <w:r>
        <w:rPr>
          <w:highlight w:val="none"/>
        </w:rPr>
      </w:r>
      <w:r/>
    </w:p>
    <w:p>
      <w:pPr>
        <w:ind w:left="0" w:right="0" w:firstLine="480"/>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9、我们声明：我们在参加本次政府采购活动前3年内在经营活动中没有重大违法记录。</w:t>
      </w:r>
      <w:r>
        <w:rPr>
          <w:highlight w:val="none"/>
        </w:rPr>
      </w:r>
      <w:r/>
    </w:p>
    <w:p>
      <w:pPr>
        <w:ind w:left="0" w:right="0" w:firstLine="480"/>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10、如果我们中标（成交），我们愿意按采购文件的规定支付代理服务费和履约保证金。</w:t>
      </w:r>
      <w:r>
        <w:rPr>
          <w:highlight w:val="none"/>
        </w:rPr>
      </w:r>
      <w:r/>
    </w:p>
    <w:p>
      <w:pPr>
        <w:ind w:left="0" w:right="0" w:firstLine="480"/>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11、综合说明：</w:t>
      </w:r>
      <w:r>
        <w:rPr>
          <w:highlight w:val="none"/>
        </w:rPr>
      </w:r>
      <w:r/>
    </w:p>
    <w:p>
      <w:pPr>
        <w:ind w:left="0" w:right="0" w:firstLine="480"/>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（1）伴随服务及配合措施；（2）要求甲方提供的配合；</w:t>
      </w:r>
      <w:r>
        <w:rPr>
          <w:highlight w:val="none"/>
        </w:rPr>
      </w:r>
      <w:r/>
    </w:p>
    <w:p>
      <w:pPr>
        <w:ind w:left="0" w:right="0" w:firstLine="480"/>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（3）对采购文件有不同意见的偏离说明；（4）其它说明。</w:t>
      </w:r>
      <w:r>
        <w:rPr>
          <w:highlight w:val="none"/>
        </w:rPr>
      </w:r>
      <w:r/>
    </w:p>
    <w:p>
      <w:pPr>
        <w:ind w:left="0" w:right="0" w:firstLine="480"/>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p>
      <w:pPr>
        <w:ind w:left="0" w:right="0" w:firstLine="480"/>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所有有关投标（响应）文件的函电，请按下列地址联系：</w:t>
      </w:r>
      <w:r>
        <w:rPr>
          <w:highlight w:val="none"/>
        </w:rPr>
      </w:r>
      <w:r/>
    </w:p>
    <w:p>
      <w:pPr>
        <w:ind w:left="0" w:right="0" w:firstLine="480"/>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p>
      <w:pPr>
        <w:ind w:left="0" w:right="0" w:firstLine="480"/>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单位：联系人：</w:t>
      </w:r>
      <w:r>
        <w:rPr>
          <w:highlight w:val="none"/>
        </w:rPr>
      </w:r>
      <w:r/>
    </w:p>
    <w:p>
      <w:pPr>
        <w:ind w:left="0" w:right="0" w:firstLine="480"/>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地址：邮政编码：</w:t>
      </w:r>
      <w:r>
        <w:rPr>
          <w:highlight w:val="none"/>
        </w:rPr>
      </w:r>
      <w:r/>
    </w:p>
    <w:p>
      <w:pPr>
        <w:ind w:left="0" w:right="0" w:firstLine="480"/>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联系电话：电子邮箱：</w:t>
      </w:r>
      <w:r>
        <w:rPr>
          <w:highlight w:val="none"/>
        </w:rPr>
      </w:r>
      <w:r/>
    </w:p>
    <w:p>
      <w:pPr>
        <w:ind w:left="0" w:right="0" w:firstLine="480"/>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银行账号：</w:t>
      </w:r>
      <w:r>
        <w:rPr>
          <w:highlight w:val="none"/>
        </w:rPr>
      </w:r>
      <w:r/>
    </w:p>
    <w:p>
      <w:pPr>
        <w:ind w:left="0" w:right="0" w:firstLine="480"/>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银行开户行：</w:t>
      </w:r>
      <w:r>
        <w:rPr>
          <w:highlight w:val="none"/>
        </w:rPr>
      </w:r>
      <w:r/>
    </w:p>
    <w:p>
      <w:pPr>
        <w:ind w:left="0" w:right="0" w:firstLine="480"/>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数字人民币开户行（如有）：</w:t>
      </w:r>
      <w:r>
        <w:rPr>
          <w:highlight w:val="none"/>
        </w:rPr>
      </w:r>
      <w:r/>
    </w:p>
    <w:p>
      <w:pPr>
        <w:ind w:left="0" w:right="0" w:firstLine="480"/>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数字人民币账户（数币钱包ID）：</w:t>
      </w:r>
      <w:r>
        <w:rPr>
          <w:highlight w:val="none"/>
        </w:rPr>
      </w:r>
      <w:r/>
    </w:p>
    <w:p>
      <w:pPr>
        <w:ind w:left="0" w:right="0" w:firstLine="480"/>
        <w:spacing w:before="240" w:after="240" w:line="32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p>
      <w:pPr>
        <w:ind w:left="0" w:right="105" w:firstLine="210"/>
        <w:jc w:val="right"/>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供应商名称：（加盖CA电子公章）</w:t>
      </w:r>
      <w:r>
        <w:rPr>
          <w:highlight w:val="none"/>
        </w:rPr>
      </w:r>
      <w:r/>
    </w:p>
    <w:p>
      <w:pPr>
        <w:ind w:left="0" w:right="420" w:firstLine="210"/>
        <w:jc w:val="right"/>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日期：　　　年　　月　　日</w:t>
      </w:r>
      <w:r>
        <w:rPr>
          <w:highlight w:val="none"/>
        </w:rPr>
      </w:r>
      <w:r/>
    </w:p>
    <w:p>
      <w:pPr>
        <w:ind w:left="0" w:right="0" w:firstLine="0"/>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rPr>
          <w:highlight w:val="none"/>
        </w:rPr>
      </w:r>
      <w:r/>
    </w:p>
    <w:p>
      <w:pPr>
        <w:ind w:left="0" w:right="0" w:firstLine="0"/>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3、开标一览表</w:t>
      </w:r>
      <w:r>
        <w:rPr>
          <w:highlight w:val="none"/>
        </w:rPr>
      </w:r>
      <w:r/>
    </w:p>
    <w:p>
      <w:pPr>
        <w:ind w:left="0" w:right="0" w:firstLine="0"/>
        <w:jc w:val="cente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rPr>
          <w:highlight w:val="none"/>
        </w:rPr>
      </w:r>
      <w:r/>
    </w:p>
    <w:p>
      <w:pPr>
        <w:ind w:left="0" w:right="0" w:firstLine="0"/>
        <w:jc w:val="cente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开标一览表（总报价）</w:t>
      </w:r>
      <w:r>
        <w:rPr>
          <w:highlight w:val="none"/>
        </w:rPr>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投标人全称（加盖公章）：</w:t>
      </w:r>
      <w:r>
        <w:rPr>
          <w:highlight w:val="none"/>
        </w:rPr>
      </w:r>
      <w:r/>
    </w:p>
    <w:p>
      <w:pPr>
        <w:ind w:left="0" w:right="0" w:firstLine="0"/>
        <w:jc w:val="both"/>
        <w:spacing w:before="0" w:after="0"/>
        <w:rPr>
          <w:rFonts w:hint="eastAsia"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项目编号：</w:t>
      </w:r>
      <w:r>
        <w:rPr>
          <w:rFonts w:hint="eastAsia" w:ascii="宋体" w:hAnsi="宋体" w:eastAsia="宋体" w:cs="宋体"/>
          <w:color w:val="000000"/>
          <w:sz w:val="24"/>
          <w:highlight w:val="none"/>
          <w:lang w:eastAsia="zh-CN"/>
        </w:rPr>
        <w:t xml:space="preserve">JSZC-320500-RHHH-C2026-0033</w:t>
      </w:r>
      <w:r>
        <w:rPr>
          <w:highlight w:val="none"/>
        </w:rPr>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分包号：采购包1</w:t>
      </w:r>
      <w:r>
        <w:rPr>
          <w:highlight w:val="none"/>
        </w:rPr>
      </w:r>
      <w:r/>
    </w:p>
    <w:tbl>
      <w:tblPr>
        <w:tblStyle w:val="8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054"/>
        <w:gridCol w:w="5300"/>
      </w:tblGrid>
      <w:tr>
        <w:trPr>
          <w:trHeight w:val="56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54"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项目名称</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300"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投标总报价</w:t>
            </w:r>
            <w:r>
              <w:rPr>
                <w:highlight w:val="none"/>
              </w:rPr>
            </w:r>
            <w:r/>
          </w:p>
        </w:tc>
      </w:tr>
      <w:tr>
        <w:trPr>
          <w:trHeight w:val="6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4" w:type="dxa"/>
            <w:vAlign w:val="center"/>
            <w:textDirection w:val="lrTb"/>
            <w:noWrap w:val="false"/>
          </w:tcPr>
          <w:p>
            <w:pPr>
              <w:ind w:left="0" w:right="0" w:firstLine="0"/>
              <w:jc w:val="both"/>
              <w:spacing w:before="0" w:after="0" w:line="85" w:lineRule="atLeast"/>
              <w:rPr>
                <w:rFonts w:hint="eastAsia" w:eastAsiaTheme="minorEastAsia"/>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2026年苏州市12356心理热线运营服务</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00" w:type="dxa"/>
            <w:vAlign w:val="center"/>
            <w:textDirection w:val="lrTb"/>
            <w:noWrap w:val="false"/>
          </w:tcPr>
          <w:p>
            <w:pPr>
              <w:ind w:left="0" w:right="0" w:firstLine="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小写：         （元人民币）</w:t>
            </w:r>
            <w:r>
              <w:rPr>
                <w:highlight w:val="none"/>
              </w:rPr>
            </w:r>
            <w:r/>
          </w:p>
        </w:tc>
      </w:tr>
      <w:tr>
        <w:trPr>
          <w:trHeight w:val="6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4" w:type="dxa"/>
            <w:vAlign w:val="center"/>
            <w:textDirection w:val="lrTb"/>
            <w:noWrap w:val="false"/>
          </w:tcPr>
          <w:p>
            <w:pPr>
              <w:ind w:left="0" w:right="0" w:firstLine="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投标报价大写金额</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00" w:type="dxa"/>
            <w:vAlign w:val="center"/>
            <w:textDirection w:val="lrTb"/>
            <w:noWrap w:val="false"/>
          </w:tcPr>
          <w:p>
            <w:pPr>
              <w:ind w:left="0" w:right="0" w:firstLine="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r>
    </w:tbl>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rPr>
          <w:highlight w:val="none"/>
        </w:rPr>
      </w:r>
      <w:r/>
    </w:p>
    <w:p>
      <w:pPr>
        <w:ind w:left="1024" w:right="300" w:firstLine="231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p>
      <w:pPr>
        <w:ind w:left="1024" w:right="300" w:firstLine="231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p>
      <w:pPr>
        <w:ind w:left="1024" w:right="300" w:firstLine="378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日期：年    月 日</w:t>
      </w:r>
      <w:r>
        <w:rPr>
          <w:highlight w:val="none"/>
        </w:rPr>
      </w:r>
      <w:r/>
    </w:p>
    <w:p>
      <w:pPr>
        <w:ind w:left="0" w:right="0" w:firstLine="0"/>
        <w:jc w:val="both"/>
        <w:spacing w:before="21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填写说明</w:t>
      </w:r>
      <w:r>
        <w:rPr>
          <w:rFonts w:ascii="Calibri" w:hAnsi="Calibri" w:eastAsia="Calibri" w:cs="Calibri"/>
          <w:color w:val="000000"/>
          <w:sz w:val="24"/>
          <w:highlight w:val="none"/>
        </w:rPr>
        <w:t xml:space="preserve">:</w:t>
      </w:r>
      <w:r>
        <w:rPr>
          <w:highlight w:val="none"/>
        </w:rPr>
      </w:r>
      <w:r/>
    </w:p>
    <w:p>
      <w:pPr>
        <w:ind w:left="0" w:right="0" w:firstLine="0"/>
        <w:jc w:val="both"/>
        <w:spacing w:before="21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1、开标一览表必须加盖投标人公章（复印件无效）。</w:t>
      </w:r>
      <w:r>
        <w:rPr>
          <w:highlight w:val="none"/>
        </w:rPr>
      </w:r>
      <w:r/>
    </w:p>
    <w:p>
      <w:pPr>
        <w:ind w:left="0" w:right="0" w:firstLine="0"/>
        <w:jc w:val="both"/>
        <w:spacing w:before="21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2、如有分包，投标人投任何一个包的标的，都需单独填写开标一览表。</w:t>
      </w:r>
      <w:r>
        <w:rPr>
          <w:rFonts w:ascii="宋体" w:hAnsi="宋体" w:eastAsia="宋体" w:cs="宋体"/>
          <w:color w:val="000000"/>
          <w:sz w:val="24"/>
          <w:highlight w:val="none"/>
          <w:u w:val="single"/>
        </w:rPr>
        <w:br w:type="page" w:clear="all"/>
      </w:r>
      <w:r>
        <w:rPr>
          <w:highlight w:val="none"/>
        </w:rPr>
      </w:r>
      <w:r/>
    </w:p>
    <w:p>
      <w:pPr>
        <w:ind w:left="0" w:right="0" w:firstLine="0"/>
        <w:jc w:val="both"/>
        <w:spacing w:before="21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4、报价明细表</w:t>
      </w:r>
      <w:r>
        <w:rPr>
          <w:highlight w:val="none"/>
        </w:rPr>
      </w:r>
      <w:r/>
    </w:p>
    <w:p>
      <w:pPr>
        <w:ind w:left="0" w:right="0" w:firstLine="0"/>
        <w:jc w:val="cente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rPr>
          <w:highlight w:val="none"/>
        </w:rPr>
      </w:r>
      <w:r/>
    </w:p>
    <w:p>
      <w:pPr>
        <w:ind w:left="0" w:right="0" w:firstLine="0"/>
        <w:jc w:val="cente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报价明细表</w:t>
      </w:r>
      <w:r>
        <w:rPr>
          <w:highlight w:val="none"/>
        </w:rPr>
      </w:r>
      <w:r/>
    </w:p>
    <w:p>
      <w:pPr>
        <w:ind w:left="0" w:right="0" w:firstLine="0"/>
        <w:jc w:val="cente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rPr>
          <w:highlight w:val="none"/>
        </w:rPr>
      </w:r>
      <w:r/>
    </w:p>
    <w:tbl>
      <w:tblPr>
        <w:tblStyle w:val="812"/>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0"/>
        <w:gridCol w:w="2528"/>
        <w:gridCol w:w="1419"/>
        <w:gridCol w:w="2055"/>
        <w:gridCol w:w="1337"/>
      </w:tblGrid>
      <w:tr>
        <w:trPr>
          <w:jc w:val="center"/>
          <w:trHeight w:val="620"/>
        </w:trPr>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pStyle w:val="816"/>
              <w:ind w:firstLine="0"/>
              <w:rPr>
                <w:rFonts w:hAnsi="宋体" w:cs="宋体"/>
                <w:b/>
                <w:bCs/>
                <w:color w:val="000000"/>
                <w:sz w:val="24"/>
                <w:szCs w:val="24"/>
                <w:highlight w:val="none"/>
              </w:rPr>
            </w:pPr>
            <w:r>
              <w:rPr>
                <w:rFonts w:hint="eastAsia" w:hAnsi="宋体" w:cs="宋体"/>
                <w:b/>
                <w:bCs/>
                <w:color w:val="000000"/>
                <w:sz w:val="24"/>
                <w:szCs w:val="24"/>
                <w:highlight w:val="none"/>
              </w:rPr>
              <w:t xml:space="preserve">序号</w:t>
            </w:r>
            <w:r>
              <w:rPr>
                <w:highlight w:val="none"/>
              </w:rPr>
            </w:r>
            <w:r/>
          </w:p>
        </w:tc>
        <w:tc>
          <w:tcPr>
            <w:tcBorders>
              <w:top w:val="single" w:color="auto" w:sz="4" w:space="0"/>
              <w:left w:val="single" w:color="auto" w:sz="4" w:space="0"/>
              <w:bottom w:val="single" w:color="auto" w:sz="4" w:space="0"/>
              <w:right w:val="single" w:color="auto" w:sz="4" w:space="0"/>
            </w:tcBorders>
            <w:tcW w:w="2528" w:type="dxa"/>
            <w:vAlign w:val="center"/>
            <w:textDirection w:val="lrTb"/>
            <w:noWrap w:val="false"/>
          </w:tcPr>
          <w:p>
            <w:pPr>
              <w:pStyle w:val="816"/>
              <w:ind w:firstLine="482"/>
              <w:rPr>
                <w:rFonts w:hAnsi="宋体" w:cs="宋体"/>
                <w:b/>
                <w:bCs/>
                <w:color w:val="000000"/>
                <w:sz w:val="24"/>
                <w:szCs w:val="24"/>
                <w:highlight w:val="none"/>
              </w:rPr>
            </w:pPr>
            <w:r>
              <w:rPr>
                <w:rFonts w:hint="eastAsia" w:hAnsi="宋体" w:cs="宋体"/>
                <w:b/>
                <w:bCs/>
                <w:color w:val="000000"/>
                <w:sz w:val="24"/>
                <w:szCs w:val="24"/>
                <w:highlight w:val="none"/>
              </w:rPr>
              <w:t xml:space="preserve">费用名称</w:t>
            </w:r>
            <w:r>
              <w:rPr>
                <w:highlight w:val="none"/>
              </w:rPr>
            </w:r>
            <w:r/>
          </w:p>
        </w:tc>
        <w:tc>
          <w:tcPr>
            <w:tcBorders>
              <w:top w:val="single" w:color="auto" w:sz="4" w:space="0"/>
              <w:left w:val="single" w:color="auto" w:sz="4" w:space="0"/>
              <w:bottom w:val="single" w:color="auto" w:sz="4" w:space="0"/>
              <w:right w:val="single" w:color="auto" w:sz="4" w:space="0"/>
            </w:tcBorders>
            <w:tcW w:w="1419" w:type="dxa"/>
            <w:vAlign w:val="center"/>
            <w:textDirection w:val="lrTb"/>
            <w:noWrap w:val="false"/>
          </w:tcPr>
          <w:p>
            <w:pPr>
              <w:pStyle w:val="816"/>
              <w:ind w:firstLine="482"/>
              <w:rPr>
                <w:rFonts w:hAnsi="宋体" w:cs="宋体"/>
                <w:b/>
                <w:bCs/>
                <w:color w:val="000000"/>
                <w:sz w:val="24"/>
                <w:szCs w:val="24"/>
                <w:highlight w:val="none"/>
              </w:rPr>
            </w:pPr>
            <w:r>
              <w:rPr>
                <w:rFonts w:hint="eastAsia" w:hAnsi="宋体" w:cs="宋体"/>
                <w:b/>
                <w:bCs/>
                <w:color w:val="000000"/>
                <w:sz w:val="24"/>
                <w:szCs w:val="24"/>
                <w:highlight w:val="none"/>
              </w:rPr>
              <w:t xml:space="preserve">单价</w:t>
            </w:r>
            <w:r>
              <w:rPr>
                <w:highlight w:val="none"/>
              </w:rPr>
            </w:r>
            <w:r/>
          </w:p>
        </w:tc>
        <w:tc>
          <w:tcPr>
            <w:tcBorders>
              <w:top w:val="single" w:color="auto" w:sz="4" w:space="0"/>
              <w:left w:val="single" w:color="auto" w:sz="4" w:space="0"/>
              <w:bottom w:val="single" w:color="auto" w:sz="4" w:space="0"/>
              <w:right w:val="single" w:color="auto" w:sz="4" w:space="0"/>
            </w:tcBorders>
            <w:tcW w:w="2055" w:type="dxa"/>
            <w:vAlign w:val="center"/>
            <w:textDirection w:val="lrTb"/>
            <w:noWrap w:val="false"/>
          </w:tcPr>
          <w:p>
            <w:pPr>
              <w:pStyle w:val="816"/>
              <w:ind w:firstLine="0"/>
              <w:rPr>
                <w:rFonts w:hAnsi="宋体" w:cs="宋体"/>
                <w:b/>
                <w:bCs/>
                <w:color w:val="000000"/>
                <w:sz w:val="24"/>
                <w:szCs w:val="24"/>
                <w:highlight w:val="none"/>
              </w:rPr>
            </w:pPr>
            <w:r>
              <w:rPr>
                <w:rFonts w:hint="eastAsia" w:hAnsi="宋体" w:cs="宋体"/>
                <w:b/>
                <w:bCs/>
                <w:color w:val="000000"/>
                <w:sz w:val="24"/>
                <w:szCs w:val="24"/>
                <w:highlight w:val="none"/>
              </w:rPr>
              <w:t xml:space="preserve">响应报价（总价）</w:t>
            </w:r>
            <w:r>
              <w:rPr>
                <w:highlight w:val="none"/>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pStyle w:val="816"/>
              <w:ind w:firstLine="482"/>
              <w:rPr>
                <w:rFonts w:hAnsi="宋体" w:cs="宋体"/>
                <w:b/>
                <w:bCs/>
                <w:color w:val="000000"/>
                <w:sz w:val="24"/>
                <w:szCs w:val="24"/>
                <w:highlight w:val="none"/>
              </w:rPr>
            </w:pPr>
            <w:r>
              <w:rPr>
                <w:rFonts w:hint="eastAsia" w:hAnsi="宋体" w:cs="宋体"/>
                <w:b/>
                <w:bCs/>
                <w:color w:val="000000"/>
                <w:sz w:val="24"/>
                <w:szCs w:val="24"/>
                <w:highlight w:val="none"/>
              </w:rPr>
              <w:t xml:space="preserve">备注</w:t>
            </w:r>
            <w:r>
              <w:rPr>
                <w:highlight w:val="none"/>
              </w:rPr>
            </w:r>
            <w:r/>
          </w:p>
        </w:tc>
      </w:tr>
      <w:tr>
        <w:trPr>
          <w:jc w:val="center"/>
          <w:trHeight w:val="365"/>
        </w:trPr>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pStyle w:val="816"/>
              <w:ind w:firstLine="0"/>
              <w:rPr>
                <w:rFonts w:hAnsi="宋体" w:cs="宋体"/>
                <w:b/>
                <w:bCs/>
                <w:color w:val="000000"/>
                <w:sz w:val="24"/>
                <w:szCs w:val="24"/>
                <w:highlight w:val="none"/>
              </w:rPr>
            </w:pPr>
            <w:r>
              <w:rPr>
                <w:rFonts w:hint="eastAsia" w:hAnsi="宋体" w:cs="宋体"/>
                <w:b/>
                <w:bCs/>
                <w:color w:val="000000"/>
                <w:sz w:val="24"/>
                <w:szCs w:val="24"/>
                <w:highlight w:val="none"/>
              </w:rPr>
              <w:t xml:space="preserve">1</w:t>
            </w:r>
            <w:r>
              <w:rPr>
                <w:highlight w:val="none"/>
              </w:rPr>
            </w:r>
            <w:r/>
          </w:p>
        </w:tc>
        <w:tc>
          <w:tcPr>
            <w:tcBorders>
              <w:top w:val="single" w:color="auto" w:sz="4" w:space="0"/>
              <w:left w:val="single" w:color="auto" w:sz="4" w:space="0"/>
              <w:bottom w:val="single" w:color="auto" w:sz="4" w:space="0"/>
              <w:right w:val="single" w:color="auto" w:sz="4" w:space="0"/>
            </w:tcBorders>
            <w:tcW w:w="2528" w:type="dxa"/>
            <w:vAlign w:val="center"/>
            <w:textDirection w:val="lrTb"/>
            <w:noWrap w:val="false"/>
          </w:tcPr>
          <w:p>
            <w:pPr>
              <w:pStyle w:val="816"/>
              <w:ind w:firstLine="482"/>
              <w:rPr>
                <w:rFonts w:hAnsi="宋体" w:cs="宋体"/>
                <w:b/>
                <w:bCs/>
                <w:color w:val="000000"/>
                <w:sz w:val="24"/>
                <w:szCs w:val="24"/>
                <w:highlight w:val="none"/>
              </w:rPr>
            </w:pPr>
            <w:r>
              <w:rPr>
                <w:rFonts w:hAnsi="宋体" w:cs="宋体"/>
                <w:b/>
                <w:bCs/>
                <w:color w:val="000000"/>
                <w:sz w:val="24"/>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419" w:type="dxa"/>
            <w:vAlign w:val="center"/>
            <w:textDirection w:val="lrTb"/>
            <w:noWrap w:val="false"/>
          </w:tcPr>
          <w:p>
            <w:pPr>
              <w:pStyle w:val="816"/>
              <w:ind w:firstLine="482"/>
              <w:rPr>
                <w:rFonts w:hAnsi="宋体" w:cs="宋体"/>
                <w:b/>
                <w:bCs/>
                <w:color w:val="000000"/>
                <w:sz w:val="24"/>
                <w:szCs w:val="24"/>
                <w:highlight w:val="none"/>
              </w:rPr>
            </w:pPr>
            <w:r>
              <w:rPr>
                <w:rFonts w:hAnsi="宋体" w:cs="宋体"/>
                <w:b/>
                <w:bCs/>
                <w:color w:val="000000"/>
                <w:sz w:val="24"/>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2055" w:type="dxa"/>
            <w:vAlign w:val="center"/>
            <w:textDirection w:val="lrTb"/>
            <w:noWrap w:val="false"/>
          </w:tcPr>
          <w:p>
            <w:pPr>
              <w:pStyle w:val="816"/>
              <w:ind w:firstLine="482"/>
              <w:rPr>
                <w:rFonts w:hAnsi="宋体" w:cs="宋体"/>
                <w:b/>
                <w:bCs/>
                <w:color w:val="000000"/>
                <w:sz w:val="24"/>
                <w:szCs w:val="24"/>
                <w:highlight w:val="none"/>
              </w:rPr>
            </w:pPr>
            <w:r>
              <w:rPr>
                <w:rFonts w:hAnsi="宋体" w:cs="宋体"/>
                <w:b/>
                <w:bCs/>
                <w:color w:val="000000"/>
                <w:sz w:val="24"/>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pStyle w:val="816"/>
              <w:ind w:firstLine="482"/>
              <w:rPr>
                <w:rFonts w:hAnsi="宋体" w:cs="宋体"/>
                <w:b/>
                <w:bCs/>
                <w:color w:val="000000"/>
                <w:sz w:val="24"/>
                <w:szCs w:val="24"/>
                <w:highlight w:val="none"/>
              </w:rPr>
            </w:pPr>
            <w:r>
              <w:rPr>
                <w:rFonts w:hAnsi="宋体" w:cs="宋体"/>
                <w:b/>
                <w:bCs/>
                <w:color w:val="000000"/>
                <w:sz w:val="24"/>
                <w:szCs w:val="24"/>
                <w:highlight w:val="none"/>
              </w:rPr>
            </w:r>
            <w:r>
              <w:rPr>
                <w:highlight w:val="none"/>
              </w:rPr>
            </w:r>
            <w:r/>
          </w:p>
        </w:tc>
      </w:tr>
      <w:tr>
        <w:trPr>
          <w:jc w:val="center"/>
          <w:trHeight w:val="373"/>
        </w:trPr>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pStyle w:val="816"/>
              <w:ind w:firstLine="0"/>
              <w:rPr>
                <w:rFonts w:hAnsi="宋体" w:cs="宋体"/>
                <w:b/>
                <w:bCs/>
                <w:color w:val="000000"/>
                <w:sz w:val="24"/>
                <w:szCs w:val="24"/>
                <w:highlight w:val="none"/>
              </w:rPr>
            </w:pPr>
            <w:r>
              <w:rPr>
                <w:rFonts w:hint="eastAsia" w:hAnsi="宋体" w:cs="宋体"/>
                <w:b/>
                <w:bCs/>
                <w:color w:val="000000"/>
                <w:sz w:val="24"/>
                <w:szCs w:val="24"/>
                <w:highlight w:val="none"/>
              </w:rPr>
              <w:t xml:space="preserve">2</w:t>
            </w:r>
            <w:r>
              <w:rPr>
                <w:highlight w:val="none"/>
              </w:rPr>
            </w:r>
            <w:r/>
          </w:p>
        </w:tc>
        <w:tc>
          <w:tcPr>
            <w:tcBorders>
              <w:top w:val="single" w:color="auto" w:sz="4" w:space="0"/>
              <w:left w:val="single" w:color="auto" w:sz="4" w:space="0"/>
              <w:bottom w:val="single" w:color="auto" w:sz="4" w:space="0"/>
              <w:right w:val="single" w:color="auto" w:sz="4" w:space="0"/>
            </w:tcBorders>
            <w:tcW w:w="2528" w:type="dxa"/>
            <w:vAlign w:val="center"/>
            <w:textDirection w:val="lrTb"/>
            <w:noWrap w:val="false"/>
          </w:tcPr>
          <w:p>
            <w:pPr>
              <w:pStyle w:val="816"/>
              <w:ind w:firstLine="482"/>
              <w:rPr>
                <w:rFonts w:hAnsi="宋体" w:cs="宋体"/>
                <w:b/>
                <w:bCs/>
                <w:color w:val="000000"/>
                <w:sz w:val="24"/>
                <w:szCs w:val="24"/>
                <w:highlight w:val="none"/>
              </w:rPr>
            </w:pPr>
            <w:r>
              <w:rPr>
                <w:rFonts w:hAnsi="宋体" w:cs="宋体"/>
                <w:b/>
                <w:bCs/>
                <w:color w:val="000000"/>
                <w:sz w:val="24"/>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419" w:type="dxa"/>
            <w:vAlign w:val="center"/>
            <w:textDirection w:val="lrTb"/>
            <w:noWrap w:val="false"/>
          </w:tcPr>
          <w:p>
            <w:pPr>
              <w:pStyle w:val="816"/>
              <w:ind w:firstLine="482"/>
              <w:rPr>
                <w:rFonts w:hAnsi="宋体" w:cs="宋体"/>
                <w:b/>
                <w:bCs/>
                <w:color w:val="000000"/>
                <w:sz w:val="24"/>
                <w:szCs w:val="24"/>
                <w:highlight w:val="none"/>
              </w:rPr>
            </w:pPr>
            <w:r>
              <w:rPr>
                <w:rFonts w:hAnsi="宋体" w:cs="宋体"/>
                <w:b/>
                <w:bCs/>
                <w:color w:val="000000"/>
                <w:sz w:val="24"/>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2055" w:type="dxa"/>
            <w:vAlign w:val="center"/>
            <w:textDirection w:val="lrTb"/>
            <w:noWrap w:val="false"/>
          </w:tcPr>
          <w:p>
            <w:pPr>
              <w:pStyle w:val="816"/>
              <w:ind w:firstLine="482"/>
              <w:rPr>
                <w:rFonts w:hAnsi="宋体" w:cs="宋体"/>
                <w:b/>
                <w:bCs/>
                <w:color w:val="000000"/>
                <w:sz w:val="24"/>
                <w:szCs w:val="24"/>
                <w:highlight w:val="none"/>
              </w:rPr>
            </w:pPr>
            <w:r>
              <w:rPr>
                <w:rFonts w:hAnsi="宋体" w:cs="宋体"/>
                <w:b/>
                <w:bCs/>
                <w:color w:val="000000"/>
                <w:sz w:val="24"/>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pStyle w:val="816"/>
              <w:ind w:firstLine="482"/>
              <w:rPr>
                <w:rFonts w:hAnsi="宋体" w:cs="宋体"/>
                <w:b/>
                <w:bCs/>
                <w:color w:val="000000"/>
                <w:sz w:val="24"/>
                <w:szCs w:val="24"/>
                <w:highlight w:val="none"/>
              </w:rPr>
            </w:pPr>
            <w:r>
              <w:rPr>
                <w:rFonts w:hAnsi="宋体" w:cs="宋体"/>
                <w:b/>
                <w:bCs/>
                <w:color w:val="000000"/>
                <w:sz w:val="24"/>
                <w:szCs w:val="24"/>
                <w:highlight w:val="none"/>
              </w:rPr>
            </w:r>
            <w:r>
              <w:rPr>
                <w:highlight w:val="none"/>
              </w:rPr>
            </w:r>
            <w:r/>
          </w:p>
        </w:tc>
      </w:tr>
      <w:tr>
        <w:trPr>
          <w:jc w:val="center"/>
          <w:trHeight w:val="395"/>
        </w:trPr>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pStyle w:val="816"/>
              <w:ind w:firstLine="0"/>
              <w:rPr>
                <w:rFonts w:hAnsi="宋体" w:cs="宋体"/>
                <w:b/>
                <w:bCs/>
                <w:color w:val="000000"/>
                <w:sz w:val="24"/>
                <w:szCs w:val="24"/>
                <w:highlight w:val="none"/>
              </w:rPr>
            </w:pPr>
            <w:r>
              <w:rPr>
                <w:rFonts w:hint="eastAsia" w:hAnsi="宋体" w:cs="宋体"/>
                <w:b/>
                <w:bCs/>
                <w:color w:val="000000"/>
                <w:sz w:val="24"/>
                <w:szCs w:val="24"/>
                <w:highlight w:val="none"/>
              </w:rPr>
              <w:t xml:space="preserve">3</w:t>
            </w:r>
            <w:r>
              <w:rPr>
                <w:highlight w:val="none"/>
              </w:rPr>
            </w:r>
            <w:r/>
          </w:p>
        </w:tc>
        <w:tc>
          <w:tcPr>
            <w:tcBorders>
              <w:top w:val="single" w:color="auto" w:sz="4" w:space="0"/>
              <w:left w:val="single" w:color="auto" w:sz="4" w:space="0"/>
              <w:bottom w:val="single" w:color="auto" w:sz="4" w:space="0"/>
              <w:right w:val="single" w:color="auto" w:sz="4" w:space="0"/>
            </w:tcBorders>
            <w:tcW w:w="2528" w:type="dxa"/>
            <w:vAlign w:val="center"/>
            <w:textDirection w:val="lrTb"/>
            <w:noWrap w:val="false"/>
          </w:tcPr>
          <w:p>
            <w:pPr>
              <w:pStyle w:val="816"/>
              <w:ind w:firstLine="482"/>
              <w:rPr>
                <w:rFonts w:hAnsi="宋体" w:cs="宋体"/>
                <w:b/>
                <w:bCs/>
                <w:color w:val="000000"/>
                <w:sz w:val="24"/>
                <w:szCs w:val="24"/>
                <w:highlight w:val="none"/>
              </w:rPr>
            </w:pPr>
            <w:r>
              <w:rPr>
                <w:rFonts w:hAnsi="宋体" w:cs="宋体"/>
                <w:b/>
                <w:bCs/>
                <w:color w:val="000000"/>
                <w:sz w:val="24"/>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419" w:type="dxa"/>
            <w:vAlign w:val="center"/>
            <w:textDirection w:val="lrTb"/>
            <w:noWrap w:val="false"/>
          </w:tcPr>
          <w:p>
            <w:pPr>
              <w:pStyle w:val="816"/>
              <w:ind w:firstLine="482"/>
              <w:rPr>
                <w:rFonts w:hAnsi="宋体" w:cs="宋体"/>
                <w:b/>
                <w:bCs/>
                <w:color w:val="000000"/>
                <w:sz w:val="24"/>
                <w:szCs w:val="24"/>
                <w:highlight w:val="none"/>
              </w:rPr>
            </w:pPr>
            <w:r>
              <w:rPr>
                <w:rFonts w:hAnsi="宋体" w:cs="宋体"/>
                <w:b/>
                <w:bCs/>
                <w:color w:val="000000"/>
                <w:sz w:val="24"/>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2055" w:type="dxa"/>
            <w:vAlign w:val="center"/>
            <w:textDirection w:val="lrTb"/>
            <w:noWrap w:val="false"/>
          </w:tcPr>
          <w:p>
            <w:pPr>
              <w:pStyle w:val="816"/>
              <w:ind w:firstLine="482"/>
              <w:rPr>
                <w:rFonts w:hAnsi="宋体" w:cs="宋体"/>
                <w:b/>
                <w:bCs/>
                <w:color w:val="000000"/>
                <w:sz w:val="24"/>
                <w:szCs w:val="24"/>
                <w:highlight w:val="none"/>
              </w:rPr>
            </w:pPr>
            <w:r>
              <w:rPr>
                <w:rFonts w:hAnsi="宋体" w:cs="宋体"/>
                <w:b/>
                <w:bCs/>
                <w:color w:val="000000"/>
                <w:sz w:val="24"/>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pStyle w:val="816"/>
              <w:ind w:firstLine="482"/>
              <w:rPr>
                <w:rFonts w:hAnsi="宋体" w:cs="宋体"/>
                <w:b/>
                <w:bCs/>
                <w:color w:val="000000"/>
                <w:sz w:val="24"/>
                <w:szCs w:val="24"/>
                <w:highlight w:val="none"/>
              </w:rPr>
            </w:pPr>
            <w:r>
              <w:rPr>
                <w:rFonts w:hAnsi="宋体" w:cs="宋体"/>
                <w:b/>
                <w:bCs/>
                <w:color w:val="000000"/>
                <w:sz w:val="24"/>
                <w:szCs w:val="24"/>
                <w:highlight w:val="none"/>
              </w:rPr>
            </w:r>
            <w:r>
              <w:rPr>
                <w:highlight w:val="none"/>
              </w:rPr>
            </w:r>
            <w:r/>
          </w:p>
        </w:tc>
      </w:tr>
      <w:tr>
        <w:trPr>
          <w:jc w:val="center"/>
          <w:trHeight w:val="403"/>
        </w:trPr>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pStyle w:val="816"/>
              <w:ind w:firstLine="0"/>
              <w:rPr>
                <w:rFonts w:hAnsi="宋体" w:cs="宋体"/>
                <w:b/>
                <w:bCs/>
                <w:color w:val="000000"/>
                <w:sz w:val="24"/>
                <w:szCs w:val="24"/>
                <w:highlight w:val="none"/>
              </w:rPr>
            </w:pPr>
            <w:r>
              <w:rPr>
                <w:rFonts w:hint="eastAsia" w:hAnsi="宋体" w:cs="宋体"/>
                <w:b/>
                <w:bCs/>
                <w:color w:val="000000"/>
                <w:sz w:val="24"/>
                <w:szCs w:val="24"/>
                <w:highlight w:val="none"/>
              </w:rPr>
              <w:t xml:space="preserve">4</w:t>
            </w:r>
            <w:r>
              <w:rPr>
                <w:highlight w:val="none"/>
              </w:rPr>
            </w:r>
            <w:r/>
          </w:p>
        </w:tc>
        <w:tc>
          <w:tcPr>
            <w:tcBorders>
              <w:top w:val="single" w:color="auto" w:sz="4" w:space="0"/>
              <w:left w:val="single" w:color="auto" w:sz="4" w:space="0"/>
              <w:bottom w:val="single" w:color="auto" w:sz="4" w:space="0"/>
              <w:right w:val="single" w:color="auto" w:sz="4" w:space="0"/>
            </w:tcBorders>
            <w:tcW w:w="2528" w:type="dxa"/>
            <w:vAlign w:val="center"/>
            <w:textDirection w:val="lrTb"/>
            <w:noWrap w:val="false"/>
          </w:tcPr>
          <w:p>
            <w:pPr>
              <w:pStyle w:val="816"/>
              <w:ind w:firstLine="482"/>
              <w:rPr>
                <w:rFonts w:hAnsi="宋体" w:cs="宋体"/>
                <w:b/>
                <w:bCs/>
                <w:color w:val="000000"/>
                <w:sz w:val="24"/>
                <w:szCs w:val="24"/>
                <w:highlight w:val="none"/>
              </w:rPr>
            </w:pPr>
            <w:r>
              <w:rPr>
                <w:rFonts w:hAnsi="宋体" w:cs="宋体"/>
                <w:b/>
                <w:bCs/>
                <w:color w:val="000000"/>
                <w:sz w:val="24"/>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419" w:type="dxa"/>
            <w:vAlign w:val="center"/>
            <w:textDirection w:val="lrTb"/>
            <w:noWrap w:val="false"/>
          </w:tcPr>
          <w:p>
            <w:pPr>
              <w:pStyle w:val="816"/>
              <w:ind w:firstLine="482"/>
              <w:rPr>
                <w:rFonts w:hAnsi="宋体" w:cs="宋体"/>
                <w:b/>
                <w:bCs/>
                <w:color w:val="000000"/>
                <w:sz w:val="24"/>
                <w:szCs w:val="24"/>
                <w:highlight w:val="none"/>
              </w:rPr>
            </w:pPr>
            <w:r>
              <w:rPr>
                <w:rFonts w:hAnsi="宋体" w:cs="宋体"/>
                <w:b/>
                <w:bCs/>
                <w:color w:val="000000"/>
                <w:sz w:val="24"/>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2055" w:type="dxa"/>
            <w:vAlign w:val="center"/>
            <w:textDirection w:val="lrTb"/>
            <w:noWrap w:val="false"/>
          </w:tcPr>
          <w:p>
            <w:pPr>
              <w:pStyle w:val="816"/>
              <w:ind w:firstLine="482"/>
              <w:rPr>
                <w:rFonts w:hAnsi="宋体" w:cs="宋体"/>
                <w:b/>
                <w:bCs/>
                <w:color w:val="000000"/>
                <w:sz w:val="24"/>
                <w:szCs w:val="24"/>
                <w:highlight w:val="none"/>
              </w:rPr>
            </w:pPr>
            <w:r>
              <w:rPr>
                <w:rFonts w:hAnsi="宋体" w:cs="宋体"/>
                <w:b/>
                <w:bCs/>
                <w:color w:val="000000"/>
                <w:sz w:val="24"/>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pStyle w:val="816"/>
              <w:ind w:firstLine="482"/>
              <w:rPr>
                <w:rFonts w:hAnsi="宋体" w:cs="宋体"/>
                <w:b/>
                <w:bCs/>
                <w:color w:val="000000"/>
                <w:sz w:val="24"/>
                <w:szCs w:val="24"/>
                <w:highlight w:val="none"/>
              </w:rPr>
            </w:pPr>
            <w:r>
              <w:rPr>
                <w:rFonts w:hAnsi="宋体" w:cs="宋体"/>
                <w:b/>
                <w:bCs/>
                <w:color w:val="000000"/>
                <w:sz w:val="24"/>
                <w:szCs w:val="24"/>
                <w:highlight w:val="none"/>
              </w:rPr>
            </w:r>
            <w:r>
              <w:rPr>
                <w:highlight w:val="none"/>
              </w:rPr>
            </w:r>
            <w:r/>
          </w:p>
        </w:tc>
      </w:tr>
      <w:tr>
        <w:trPr>
          <w:jc w:val="center"/>
          <w:trHeight w:val="411"/>
        </w:trPr>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pStyle w:val="816"/>
              <w:ind w:firstLine="0"/>
              <w:rPr>
                <w:rFonts w:hAnsi="宋体" w:cs="宋体"/>
                <w:b/>
                <w:bCs/>
                <w:color w:val="000000"/>
                <w:sz w:val="24"/>
                <w:szCs w:val="24"/>
                <w:highlight w:val="none"/>
              </w:rPr>
            </w:pPr>
            <w:r>
              <w:rPr>
                <w:rFonts w:hint="eastAsia" w:hAnsi="宋体" w:cs="宋体"/>
                <w:b/>
                <w:bCs/>
                <w:color w:val="000000"/>
                <w:sz w:val="24"/>
                <w:szCs w:val="24"/>
                <w:highlight w:val="none"/>
              </w:rPr>
              <w:t xml:space="preserve">5</w:t>
            </w:r>
            <w:r>
              <w:rPr>
                <w:highlight w:val="none"/>
              </w:rPr>
            </w:r>
            <w:r/>
          </w:p>
        </w:tc>
        <w:tc>
          <w:tcPr>
            <w:tcBorders>
              <w:top w:val="single" w:color="auto" w:sz="4" w:space="0"/>
              <w:left w:val="single" w:color="auto" w:sz="4" w:space="0"/>
              <w:bottom w:val="single" w:color="auto" w:sz="4" w:space="0"/>
              <w:right w:val="single" w:color="auto" w:sz="4" w:space="0"/>
            </w:tcBorders>
            <w:tcW w:w="2528" w:type="dxa"/>
            <w:vAlign w:val="center"/>
            <w:textDirection w:val="lrTb"/>
            <w:noWrap w:val="false"/>
          </w:tcPr>
          <w:p>
            <w:pPr>
              <w:pStyle w:val="816"/>
              <w:ind w:firstLine="482"/>
              <w:rPr>
                <w:rFonts w:hAnsi="宋体" w:cs="宋体"/>
                <w:b/>
                <w:bCs/>
                <w:color w:val="000000"/>
                <w:sz w:val="24"/>
                <w:szCs w:val="24"/>
                <w:highlight w:val="none"/>
              </w:rPr>
            </w:pPr>
            <w:r>
              <w:rPr>
                <w:rFonts w:hAnsi="宋体" w:cs="宋体"/>
                <w:b/>
                <w:bCs/>
                <w:color w:val="000000"/>
                <w:sz w:val="24"/>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419" w:type="dxa"/>
            <w:vAlign w:val="center"/>
            <w:textDirection w:val="lrTb"/>
            <w:noWrap w:val="false"/>
          </w:tcPr>
          <w:p>
            <w:pPr>
              <w:pStyle w:val="816"/>
              <w:ind w:firstLine="482"/>
              <w:rPr>
                <w:rFonts w:hAnsi="宋体" w:cs="宋体"/>
                <w:b/>
                <w:bCs/>
                <w:color w:val="000000"/>
                <w:sz w:val="24"/>
                <w:szCs w:val="24"/>
                <w:highlight w:val="none"/>
              </w:rPr>
            </w:pPr>
            <w:r>
              <w:rPr>
                <w:rFonts w:hAnsi="宋体" w:cs="宋体"/>
                <w:b/>
                <w:bCs/>
                <w:color w:val="000000"/>
                <w:sz w:val="24"/>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2055" w:type="dxa"/>
            <w:vAlign w:val="center"/>
            <w:textDirection w:val="lrTb"/>
            <w:noWrap w:val="false"/>
          </w:tcPr>
          <w:p>
            <w:pPr>
              <w:pStyle w:val="816"/>
              <w:ind w:firstLine="482"/>
              <w:rPr>
                <w:rFonts w:hAnsi="宋体" w:cs="宋体"/>
                <w:b/>
                <w:bCs/>
                <w:color w:val="000000"/>
                <w:sz w:val="24"/>
                <w:szCs w:val="24"/>
                <w:highlight w:val="none"/>
              </w:rPr>
            </w:pPr>
            <w:r>
              <w:rPr>
                <w:rFonts w:hAnsi="宋体" w:cs="宋体"/>
                <w:b/>
                <w:bCs/>
                <w:color w:val="000000"/>
                <w:sz w:val="24"/>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pStyle w:val="816"/>
              <w:ind w:firstLine="482"/>
              <w:rPr>
                <w:rFonts w:hAnsi="宋体" w:cs="宋体"/>
                <w:b/>
                <w:bCs/>
                <w:color w:val="000000"/>
                <w:sz w:val="24"/>
                <w:szCs w:val="24"/>
                <w:highlight w:val="none"/>
              </w:rPr>
            </w:pPr>
            <w:r>
              <w:rPr>
                <w:rFonts w:hAnsi="宋体" w:cs="宋体"/>
                <w:b/>
                <w:bCs/>
                <w:color w:val="000000"/>
                <w:sz w:val="24"/>
                <w:szCs w:val="24"/>
                <w:highlight w:val="none"/>
              </w:rPr>
            </w:r>
            <w:r>
              <w:rPr>
                <w:highlight w:val="none"/>
              </w:rPr>
            </w:r>
            <w:r/>
          </w:p>
        </w:tc>
      </w:tr>
      <w:tr>
        <w:trPr>
          <w:jc w:val="center"/>
          <w:trHeight w:val="544"/>
        </w:trPr>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pStyle w:val="816"/>
              <w:ind w:firstLine="0"/>
              <w:rPr>
                <w:rFonts w:hAnsi="宋体" w:cs="宋体"/>
                <w:b/>
                <w:bCs/>
                <w:color w:val="000000"/>
                <w:sz w:val="24"/>
                <w:szCs w:val="24"/>
                <w:highlight w:val="none"/>
              </w:rPr>
            </w:pPr>
            <w:r>
              <w:rPr>
                <w:rFonts w:hint="eastAsia" w:hAnsi="宋体" w:cs="宋体"/>
                <w:b/>
                <w:bCs/>
                <w:color w:val="000000"/>
                <w:sz w:val="24"/>
                <w:szCs w:val="24"/>
                <w:highlight w:val="none"/>
              </w:rPr>
              <w:t xml:space="preserve">6</w:t>
            </w:r>
            <w:r>
              <w:rPr>
                <w:highlight w:val="none"/>
              </w:rPr>
            </w:r>
            <w:r/>
          </w:p>
        </w:tc>
        <w:tc>
          <w:tcPr>
            <w:tcBorders>
              <w:top w:val="single" w:color="auto" w:sz="4" w:space="0"/>
              <w:left w:val="single" w:color="auto" w:sz="4" w:space="0"/>
              <w:bottom w:val="single" w:color="auto" w:sz="4" w:space="0"/>
              <w:right w:val="single" w:color="auto" w:sz="4" w:space="0"/>
            </w:tcBorders>
            <w:tcW w:w="2528" w:type="dxa"/>
            <w:vAlign w:val="center"/>
            <w:textDirection w:val="lrTb"/>
            <w:noWrap w:val="false"/>
          </w:tcPr>
          <w:p>
            <w:pPr>
              <w:pStyle w:val="816"/>
              <w:ind w:firstLine="482"/>
              <w:rPr>
                <w:rFonts w:hAnsi="宋体" w:cs="宋体"/>
                <w:b/>
                <w:bCs/>
                <w:color w:val="000000"/>
                <w:sz w:val="24"/>
                <w:szCs w:val="24"/>
                <w:highlight w:val="none"/>
              </w:rPr>
            </w:pPr>
            <w:r>
              <w:rPr>
                <w:rFonts w:hAnsi="宋体" w:cs="宋体"/>
                <w:b/>
                <w:bCs/>
                <w:color w:val="000000"/>
                <w:sz w:val="24"/>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419" w:type="dxa"/>
            <w:vAlign w:val="center"/>
            <w:textDirection w:val="lrTb"/>
            <w:noWrap w:val="false"/>
          </w:tcPr>
          <w:p>
            <w:pPr>
              <w:pStyle w:val="816"/>
              <w:ind w:firstLine="482"/>
              <w:rPr>
                <w:rFonts w:hAnsi="宋体" w:cs="宋体"/>
                <w:b/>
                <w:bCs/>
                <w:color w:val="000000"/>
                <w:sz w:val="24"/>
                <w:szCs w:val="24"/>
                <w:highlight w:val="none"/>
              </w:rPr>
            </w:pPr>
            <w:r>
              <w:rPr>
                <w:rFonts w:hAnsi="宋体" w:cs="宋体"/>
                <w:b/>
                <w:bCs/>
                <w:color w:val="000000"/>
                <w:sz w:val="24"/>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2055" w:type="dxa"/>
            <w:vAlign w:val="center"/>
            <w:textDirection w:val="lrTb"/>
            <w:noWrap w:val="false"/>
          </w:tcPr>
          <w:p>
            <w:pPr>
              <w:pStyle w:val="816"/>
              <w:ind w:firstLine="482"/>
              <w:rPr>
                <w:rFonts w:hAnsi="宋体" w:cs="宋体"/>
                <w:b/>
                <w:bCs/>
                <w:color w:val="000000"/>
                <w:sz w:val="24"/>
                <w:szCs w:val="24"/>
                <w:highlight w:val="none"/>
              </w:rPr>
            </w:pPr>
            <w:r>
              <w:rPr>
                <w:rFonts w:hAnsi="宋体" w:cs="宋体"/>
                <w:b/>
                <w:bCs/>
                <w:color w:val="000000"/>
                <w:sz w:val="24"/>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pStyle w:val="816"/>
              <w:ind w:firstLine="482"/>
              <w:rPr>
                <w:rFonts w:hAnsi="宋体" w:cs="宋体"/>
                <w:b/>
                <w:bCs/>
                <w:color w:val="000000"/>
                <w:sz w:val="24"/>
                <w:szCs w:val="24"/>
                <w:highlight w:val="none"/>
              </w:rPr>
            </w:pPr>
            <w:r>
              <w:rPr>
                <w:rFonts w:hAnsi="宋体" w:cs="宋体"/>
                <w:b/>
                <w:bCs/>
                <w:color w:val="000000"/>
                <w:sz w:val="24"/>
                <w:szCs w:val="24"/>
                <w:highlight w:val="none"/>
              </w:rPr>
            </w:r>
            <w:r>
              <w:rPr>
                <w:highlight w:val="none"/>
              </w:rPr>
            </w:r>
            <w:r/>
          </w:p>
        </w:tc>
      </w:tr>
      <w:tr>
        <w:trPr>
          <w:jc w:val="center"/>
          <w:trHeight w:val="407"/>
        </w:trPr>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pStyle w:val="816"/>
              <w:ind w:firstLine="0"/>
              <w:rPr>
                <w:rFonts w:hAnsi="宋体" w:cs="宋体"/>
                <w:b/>
                <w:bCs/>
                <w:color w:val="000000"/>
                <w:sz w:val="24"/>
                <w:szCs w:val="24"/>
                <w:highlight w:val="none"/>
              </w:rPr>
            </w:pPr>
            <w:r>
              <w:rPr>
                <w:rFonts w:hint="eastAsia" w:hAnsi="宋体" w:cs="宋体"/>
                <w:b/>
                <w:bCs/>
                <w:color w:val="000000"/>
                <w:sz w:val="24"/>
                <w:szCs w:val="24"/>
                <w:highlight w:val="none"/>
              </w:rPr>
              <w:t xml:space="preserve">7</w:t>
            </w:r>
            <w:r>
              <w:rPr>
                <w:highlight w:val="none"/>
              </w:rPr>
            </w:r>
            <w:r/>
          </w:p>
        </w:tc>
        <w:tc>
          <w:tcPr>
            <w:tcBorders>
              <w:top w:val="single" w:color="auto" w:sz="4" w:space="0"/>
              <w:left w:val="single" w:color="auto" w:sz="4" w:space="0"/>
              <w:bottom w:val="single" w:color="auto" w:sz="4" w:space="0"/>
              <w:right w:val="single" w:color="auto" w:sz="4" w:space="0"/>
            </w:tcBorders>
            <w:tcW w:w="2528" w:type="dxa"/>
            <w:vAlign w:val="center"/>
            <w:textDirection w:val="lrTb"/>
            <w:noWrap w:val="false"/>
          </w:tcPr>
          <w:p>
            <w:pPr>
              <w:pStyle w:val="816"/>
              <w:ind w:firstLine="482"/>
              <w:rPr>
                <w:rFonts w:hAnsi="宋体" w:cs="宋体"/>
                <w:b/>
                <w:bCs/>
                <w:color w:val="000000"/>
                <w:sz w:val="24"/>
                <w:szCs w:val="24"/>
                <w:highlight w:val="none"/>
              </w:rPr>
            </w:pPr>
            <w:r>
              <w:rPr>
                <w:rFonts w:hAnsi="宋体" w:cs="宋体"/>
                <w:b/>
                <w:bCs/>
                <w:color w:val="000000"/>
                <w:sz w:val="24"/>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419" w:type="dxa"/>
            <w:vAlign w:val="center"/>
            <w:textDirection w:val="lrTb"/>
            <w:noWrap w:val="false"/>
          </w:tcPr>
          <w:p>
            <w:pPr>
              <w:pStyle w:val="816"/>
              <w:ind w:firstLine="482"/>
              <w:rPr>
                <w:rFonts w:hAnsi="宋体" w:cs="宋体"/>
                <w:b/>
                <w:bCs/>
                <w:color w:val="000000"/>
                <w:sz w:val="24"/>
                <w:szCs w:val="24"/>
                <w:highlight w:val="none"/>
              </w:rPr>
            </w:pPr>
            <w:r>
              <w:rPr>
                <w:rFonts w:hAnsi="宋体" w:cs="宋体"/>
                <w:b/>
                <w:bCs/>
                <w:color w:val="000000"/>
                <w:sz w:val="24"/>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2055" w:type="dxa"/>
            <w:vAlign w:val="center"/>
            <w:textDirection w:val="lrTb"/>
            <w:noWrap w:val="false"/>
          </w:tcPr>
          <w:p>
            <w:pPr>
              <w:pStyle w:val="816"/>
              <w:ind w:firstLine="482"/>
              <w:rPr>
                <w:rFonts w:hAnsi="宋体" w:cs="宋体"/>
                <w:b/>
                <w:bCs/>
                <w:color w:val="000000"/>
                <w:sz w:val="24"/>
                <w:szCs w:val="24"/>
                <w:highlight w:val="none"/>
              </w:rPr>
            </w:pPr>
            <w:r>
              <w:rPr>
                <w:rFonts w:hAnsi="宋体" w:cs="宋体"/>
                <w:b/>
                <w:bCs/>
                <w:color w:val="000000"/>
                <w:sz w:val="24"/>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pStyle w:val="816"/>
              <w:ind w:firstLine="482"/>
              <w:rPr>
                <w:rFonts w:hAnsi="宋体" w:cs="宋体"/>
                <w:b/>
                <w:bCs/>
                <w:color w:val="000000"/>
                <w:sz w:val="24"/>
                <w:szCs w:val="24"/>
                <w:highlight w:val="none"/>
              </w:rPr>
            </w:pPr>
            <w:r>
              <w:rPr>
                <w:rFonts w:hAnsi="宋体" w:cs="宋体"/>
                <w:b/>
                <w:bCs/>
                <w:color w:val="000000"/>
                <w:sz w:val="24"/>
                <w:szCs w:val="24"/>
                <w:highlight w:val="none"/>
              </w:rPr>
            </w:r>
            <w:r>
              <w:rPr>
                <w:highlight w:val="none"/>
              </w:rPr>
            </w:r>
            <w:r/>
          </w:p>
        </w:tc>
      </w:tr>
      <w:tr>
        <w:trPr>
          <w:jc w:val="center"/>
          <w:trHeight w:val="413"/>
        </w:trPr>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pStyle w:val="816"/>
              <w:ind w:firstLine="0"/>
              <w:rPr>
                <w:rFonts w:hAnsi="宋体" w:cs="宋体"/>
                <w:b/>
                <w:bCs/>
                <w:color w:val="000000"/>
                <w:sz w:val="24"/>
                <w:szCs w:val="24"/>
                <w:highlight w:val="none"/>
              </w:rPr>
            </w:pPr>
            <w:r>
              <w:rPr>
                <w:rFonts w:hint="eastAsia" w:hAnsi="宋体" w:cs="宋体"/>
                <w:b/>
                <w:bCs/>
                <w:color w:val="000000"/>
                <w:sz w:val="24"/>
                <w:szCs w:val="24"/>
                <w:highlight w:val="none"/>
              </w:rPr>
              <w:t xml:space="preserve">8</w:t>
            </w:r>
            <w:r>
              <w:rPr>
                <w:highlight w:val="none"/>
              </w:rPr>
            </w:r>
            <w:r/>
          </w:p>
        </w:tc>
        <w:tc>
          <w:tcPr>
            <w:tcBorders>
              <w:top w:val="single" w:color="auto" w:sz="4" w:space="0"/>
              <w:left w:val="single" w:color="auto" w:sz="4" w:space="0"/>
              <w:bottom w:val="single" w:color="auto" w:sz="4" w:space="0"/>
              <w:right w:val="single" w:color="auto" w:sz="4" w:space="0"/>
            </w:tcBorders>
            <w:tcW w:w="2528" w:type="dxa"/>
            <w:vAlign w:val="center"/>
            <w:textDirection w:val="lrTb"/>
            <w:noWrap w:val="false"/>
          </w:tcPr>
          <w:p>
            <w:pPr>
              <w:pStyle w:val="816"/>
              <w:ind w:firstLine="482"/>
              <w:rPr>
                <w:rFonts w:hAnsi="宋体" w:cs="宋体"/>
                <w:b/>
                <w:bCs/>
                <w:color w:val="000000"/>
                <w:sz w:val="24"/>
                <w:szCs w:val="24"/>
                <w:highlight w:val="none"/>
              </w:rPr>
            </w:pPr>
            <w:r>
              <w:rPr>
                <w:rFonts w:hAnsi="宋体" w:cs="宋体"/>
                <w:b/>
                <w:bCs/>
                <w:color w:val="000000"/>
                <w:sz w:val="24"/>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419" w:type="dxa"/>
            <w:vAlign w:val="center"/>
            <w:textDirection w:val="lrTb"/>
            <w:noWrap w:val="false"/>
          </w:tcPr>
          <w:p>
            <w:pPr>
              <w:pStyle w:val="816"/>
              <w:ind w:firstLine="482"/>
              <w:rPr>
                <w:rFonts w:hAnsi="宋体" w:cs="宋体"/>
                <w:b/>
                <w:bCs/>
                <w:color w:val="000000"/>
                <w:sz w:val="24"/>
                <w:szCs w:val="24"/>
                <w:highlight w:val="none"/>
              </w:rPr>
            </w:pPr>
            <w:r>
              <w:rPr>
                <w:rFonts w:hAnsi="宋体" w:cs="宋体"/>
                <w:b/>
                <w:bCs/>
                <w:color w:val="000000"/>
                <w:sz w:val="24"/>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2055" w:type="dxa"/>
            <w:vAlign w:val="center"/>
            <w:textDirection w:val="lrTb"/>
            <w:noWrap w:val="false"/>
          </w:tcPr>
          <w:p>
            <w:pPr>
              <w:pStyle w:val="816"/>
              <w:ind w:firstLine="482"/>
              <w:rPr>
                <w:rFonts w:hAnsi="宋体" w:cs="宋体"/>
                <w:b/>
                <w:bCs/>
                <w:color w:val="000000"/>
                <w:sz w:val="24"/>
                <w:szCs w:val="24"/>
                <w:highlight w:val="none"/>
              </w:rPr>
            </w:pPr>
            <w:r>
              <w:rPr>
                <w:rFonts w:hAnsi="宋体" w:cs="宋体"/>
                <w:b/>
                <w:bCs/>
                <w:color w:val="000000"/>
                <w:sz w:val="24"/>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pStyle w:val="816"/>
              <w:ind w:firstLine="482"/>
              <w:rPr>
                <w:rFonts w:hAnsi="宋体" w:cs="宋体"/>
                <w:b/>
                <w:bCs/>
                <w:color w:val="000000"/>
                <w:sz w:val="24"/>
                <w:szCs w:val="24"/>
                <w:highlight w:val="none"/>
              </w:rPr>
            </w:pPr>
            <w:r>
              <w:rPr>
                <w:rFonts w:hAnsi="宋体" w:cs="宋体"/>
                <w:b/>
                <w:bCs/>
                <w:color w:val="000000"/>
                <w:sz w:val="24"/>
                <w:szCs w:val="24"/>
                <w:highlight w:val="none"/>
              </w:rPr>
            </w:r>
            <w:r>
              <w:rPr>
                <w:highlight w:val="none"/>
              </w:rPr>
            </w:r>
            <w:r/>
          </w:p>
        </w:tc>
      </w:tr>
      <w:tr>
        <w:trPr>
          <w:jc w:val="center"/>
          <w:trHeight w:val="544"/>
        </w:trPr>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pStyle w:val="816"/>
              <w:ind w:firstLine="0"/>
              <w:rPr>
                <w:rFonts w:hAnsi="宋体" w:cs="宋体"/>
                <w:b/>
                <w:bCs/>
                <w:color w:val="000000"/>
                <w:sz w:val="24"/>
                <w:szCs w:val="24"/>
                <w:highlight w:val="none"/>
              </w:rPr>
            </w:pPr>
            <w:r>
              <w:rPr>
                <w:rFonts w:hint="eastAsia" w:hAnsi="宋体" w:cs="宋体"/>
                <w:b/>
                <w:bCs/>
                <w:color w:val="000000"/>
                <w:sz w:val="24"/>
                <w:szCs w:val="24"/>
                <w:highlight w:val="none"/>
              </w:rPr>
              <w:t xml:space="preserve">9</w:t>
            </w:r>
            <w:r>
              <w:rPr>
                <w:highlight w:val="none"/>
              </w:rPr>
            </w:r>
            <w:r/>
          </w:p>
        </w:tc>
        <w:tc>
          <w:tcPr>
            <w:tcBorders>
              <w:top w:val="single" w:color="auto" w:sz="4" w:space="0"/>
              <w:left w:val="single" w:color="auto" w:sz="4" w:space="0"/>
              <w:bottom w:val="single" w:color="auto" w:sz="4" w:space="0"/>
              <w:right w:val="single" w:color="auto" w:sz="4" w:space="0"/>
            </w:tcBorders>
            <w:tcW w:w="2528" w:type="dxa"/>
            <w:vAlign w:val="center"/>
            <w:textDirection w:val="lrTb"/>
            <w:noWrap w:val="false"/>
          </w:tcPr>
          <w:p>
            <w:pPr>
              <w:pStyle w:val="816"/>
              <w:ind w:firstLine="482"/>
              <w:rPr>
                <w:rFonts w:hAnsi="宋体" w:cs="宋体"/>
                <w:b/>
                <w:bCs/>
                <w:color w:val="000000"/>
                <w:sz w:val="24"/>
                <w:szCs w:val="24"/>
                <w:highlight w:val="none"/>
              </w:rPr>
            </w:pPr>
            <w:r>
              <w:rPr>
                <w:rFonts w:hAnsi="宋体" w:cs="宋体"/>
                <w:b/>
                <w:bCs/>
                <w:color w:val="000000"/>
                <w:sz w:val="24"/>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419" w:type="dxa"/>
            <w:vAlign w:val="center"/>
            <w:textDirection w:val="lrTb"/>
            <w:noWrap w:val="false"/>
          </w:tcPr>
          <w:p>
            <w:pPr>
              <w:pStyle w:val="816"/>
              <w:ind w:firstLine="482"/>
              <w:rPr>
                <w:rFonts w:hAnsi="宋体" w:cs="宋体"/>
                <w:b/>
                <w:bCs/>
                <w:color w:val="000000"/>
                <w:sz w:val="24"/>
                <w:szCs w:val="24"/>
                <w:highlight w:val="none"/>
              </w:rPr>
            </w:pPr>
            <w:r>
              <w:rPr>
                <w:rFonts w:hAnsi="宋体" w:cs="宋体"/>
                <w:b/>
                <w:bCs/>
                <w:color w:val="000000"/>
                <w:sz w:val="24"/>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2055" w:type="dxa"/>
            <w:vAlign w:val="center"/>
            <w:textDirection w:val="lrTb"/>
            <w:noWrap w:val="false"/>
          </w:tcPr>
          <w:p>
            <w:pPr>
              <w:pStyle w:val="816"/>
              <w:ind w:firstLine="482"/>
              <w:rPr>
                <w:rFonts w:hAnsi="宋体" w:cs="宋体"/>
                <w:b/>
                <w:bCs/>
                <w:color w:val="000000"/>
                <w:sz w:val="24"/>
                <w:szCs w:val="24"/>
                <w:highlight w:val="none"/>
              </w:rPr>
            </w:pPr>
            <w:r>
              <w:rPr>
                <w:rFonts w:hAnsi="宋体" w:cs="宋体"/>
                <w:b/>
                <w:bCs/>
                <w:color w:val="000000"/>
                <w:sz w:val="24"/>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pStyle w:val="816"/>
              <w:ind w:firstLine="482"/>
              <w:rPr>
                <w:rFonts w:hAnsi="宋体" w:cs="宋体"/>
                <w:b/>
                <w:bCs/>
                <w:color w:val="000000"/>
                <w:sz w:val="24"/>
                <w:szCs w:val="24"/>
                <w:highlight w:val="none"/>
              </w:rPr>
            </w:pPr>
            <w:r>
              <w:rPr>
                <w:rFonts w:hAnsi="宋体" w:cs="宋体"/>
                <w:b/>
                <w:bCs/>
                <w:color w:val="000000"/>
                <w:sz w:val="24"/>
                <w:szCs w:val="24"/>
                <w:highlight w:val="none"/>
              </w:rPr>
            </w:r>
            <w:r>
              <w:rPr>
                <w:highlight w:val="none"/>
              </w:rPr>
            </w:r>
            <w:r/>
          </w:p>
        </w:tc>
      </w:tr>
      <w:tr>
        <w:trPr>
          <w:jc w:val="center"/>
          <w:trHeight w:val="445"/>
        </w:trPr>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pStyle w:val="816"/>
              <w:ind w:firstLine="0"/>
              <w:rPr>
                <w:rFonts w:hAnsi="宋体" w:cs="宋体"/>
                <w:b/>
                <w:bCs/>
                <w:color w:val="000000"/>
                <w:sz w:val="24"/>
                <w:szCs w:val="24"/>
                <w:highlight w:val="none"/>
              </w:rPr>
            </w:pPr>
            <w:r>
              <w:rPr>
                <w:rFonts w:hint="eastAsia" w:hAnsi="宋体" w:cs="宋体"/>
                <w:b/>
                <w:bCs/>
                <w:color w:val="000000"/>
                <w:sz w:val="24"/>
                <w:szCs w:val="24"/>
                <w:highlight w:val="none"/>
              </w:rPr>
              <w:t xml:space="preserve">10</w:t>
            </w:r>
            <w:r>
              <w:rPr>
                <w:highlight w:val="none"/>
              </w:rPr>
            </w:r>
            <w:r/>
          </w:p>
        </w:tc>
        <w:tc>
          <w:tcPr>
            <w:tcBorders>
              <w:top w:val="single" w:color="auto" w:sz="4" w:space="0"/>
              <w:left w:val="single" w:color="auto" w:sz="4" w:space="0"/>
              <w:bottom w:val="single" w:color="auto" w:sz="4" w:space="0"/>
              <w:right w:val="single" w:color="auto" w:sz="4" w:space="0"/>
            </w:tcBorders>
            <w:tcW w:w="2528" w:type="dxa"/>
            <w:vAlign w:val="center"/>
            <w:textDirection w:val="lrTb"/>
            <w:noWrap w:val="false"/>
          </w:tcPr>
          <w:p>
            <w:pPr>
              <w:pStyle w:val="816"/>
              <w:ind w:firstLine="482"/>
              <w:rPr>
                <w:rFonts w:hAnsi="宋体" w:cs="宋体"/>
                <w:b/>
                <w:bCs/>
                <w:color w:val="000000"/>
                <w:sz w:val="24"/>
                <w:szCs w:val="24"/>
                <w:highlight w:val="none"/>
              </w:rPr>
            </w:pPr>
            <w:r>
              <w:rPr>
                <w:rFonts w:hAnsi="宋体" w:cs="宋体"/>
                <w:b/>
                <w:bCs/>
                <w:color w:val="000000"/>
                <w:sz w:val="24"/>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419" w:type="dxa"/>
            <w:vAlign w:val="center"/>
            <w:textDirection w:val="lrTb"/>
            <w:noWrap w:val="false"/>
          </w:tcPr>
          <w:p>
            <w:pPr>
              <w:pStyle w:val="816"/>
              <w:ind w:firstLine="482"/>
              <w:rPr>
                <w:rFonts w:hAnsi="宋体" w:cs="宋体"/>
                <w:b/>
                <w:bCs/>
                <w:color w:val="000000"/>
                <w:sz w:val="24"/>
                <w:szCs w:val="24"/>
                <w:highlight w:val="none"/>
              </w:rPr>
            </w:pPr>
            <w:r>
              <w:rPr>
                <w:rFonts w:hAnsi="宋体" w:cs="宋体"/>
                <w:b/>
                <w:bCs/>
                <w:color w:val="000000"/>
                <w:sz w:val="24"/>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2055" w:type="dxa"/>
            <w:vAlign w:val="center"/>
            <w:textDirection w:val="lrTb"/>
            <w:noWrap w:val="false"/>
          </w:tcPr>
          <w:p>
            <w:pPr>
              <w:pStyle w:val="816"/>
              <w:ind w:firstLine="482"/>
              <w:rPr>
                <w:rFonts w:hAnsi="宋体" w:cs="宋体"/>
                <w:b/>
                <w:bCs/>
                <w:color w:val="000000"/>
                <w:sz w:val="24"/>
                <w:szCs w:val="24"/>
                <w:highlight w:val="none"/>
              </w:rPr>
            </w:pPr>
            <w:r>
              <w:rPr>
                <w:rFonts w:hAnsi="宋体" w:cs="宋体"/>
                <w:b/>
                <w:bCs/>
                <w:color w:val="000000"/>
                <w:sz w:val="24"/>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pStyle w:val="816"/>
              <w:ind w:firstLine="482"/>
              <w:rPr>
                <w:rFonts w:hAnsi="宋体" w:cs="宋体"/>
                <w:b/>
                <w:bCs/>
                <w:color w:val="000000"/>
                <w:sz w:val="24"/>
                <w:szCs w:val="24"/>
                <w:highlight w:val="none"/>
              </w:rPr>
            </w:pPr>
            <w:r>
              <w:rPr>
                <w:rFonts w:hAnsi="宋体" w:cs="宋体"/>
                <w:b/>
                <w:bCs/>
                <w:color w:val="000000"/>
                <w:sz w:val="24"/>
                <w:szCs w:val="24"/>
                <w:highlight w:val="none"/>
              </w:rPr>
            </w:r>
            <w:r>
              <w:rPr>
                <w:highlight w:val="none"/>
              </w:rPr>
            </w:r>
            <w:r/>
          </w:p>
        </w:tc>
      </w:tr>
      <w:tr>
        <w:trPr>
          <w:jc w:val="center"/>
          <w:trHeight w:val="409"/>
        </w:trPr>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pStyle w:val="816"/>
              <w:ind w:firstLine="0"/>
              <w:rPr>
                <w:rFonts w:hAnsi="宋体" w:cs="宋体"/>
                <w:b/>
                <w:bCs/>
                <w:color w:val="000000"/>
                <w:sz w:val="24"/>
                <w:szCs w:val="24"/>
                <w:highlight w:val="none"/>
              </w:rPr>
            </w:pPr>
            <w:r>
              <w:rPr>
                <w:rFonts w:hint="eastAsia" w:hAnsi="宋体" w:cs="宋体"/>
                <w:b/>
                <w:bCs/>
                <w:color w:val="000000"/>
                <w:sz w:val="24"/>
                <w:szCs w:val="24"/>
                <w:highlight w:val="none"/>
              </w:rPr>
              <w:t xml:space="preserve">11</w:t>
            </w:r>
            <w:r>
              <w:rPr>
                <w:highlight w:val="none"/>
              </w:rPr>
            </w:r>
            <w:r/>
          </w:p>
        </w:tc>
        <w:tc>
          <w:tcPr>
            <w:tcBorders>
              <w:top w:val="single" w:color="auto" w:sz="4" w:space="0"/>
              <w:left w:val="single" w:color="auto" w:sz="4" w:space="0"/>
              <w:bottom w:val="single" w:color="auto" w:sz="4" w:space="0"/>
              <w:right w:val="single" w:color="auto" w:sz="4" w:space="0"/>
            </w:tcBorders>
            <w:tcW w:w="2528" w:type="dxa"/>
            <w:vAlign w:val="center"/>
            <w:textDirection w:val="lrTb"/>
            <w:noWrap w:val="false"/>
          </w:tcPr>
          <w:p>
            <w:pPr>
              <w:pStyle w:val="816"/>
              <w:ind w:firstLine="482"/>
              <w:rPr>
                <w:rFonts w:hAnsi="宋体" w:cs="宋体"/>
                <w:b/>
                <w:bCs/>
                <w:color w:val="000000"/>
                <w:sz w:val="24"/>
                <w:szCs w:val="24"/>
                <w:highlight w:val="none"/>
              </w:rPr>
            </w:pPr>
            <w:r>
              <w:rPr>
                <w:rFonts w:hAnsi="宋体" w:cs="宋体"/>
                <w:b/>
                <w:bCs/>
                <w:color w:val="000000"/>
                <w:sz w:val="24"/>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419" w:type="dxa"/>
            <w:vAlign w:val="center"/>
            <w:textDirection w:val="lrTb"/>
            <w:noWrap w:val="false"/>
          </w:tcPr>
          <w:p>
            <w:pPr>
              <w:pStyle w:val="816"/>
              <w:ind w:firstLine="482"/>
              <w:rPr>
                <w:rFonts w:hAnsi="宋体" w:cs="宋体"/>
                <w:b/>
                <w:bCs/>
                <w:color w:val="000000"/>
                <w:sz w:val="24"/>
                <w:szCs w:val="24"/>
                <w:highlight w:val="none"/>
              </w:rPr>
            </w:pPr>
            <w:r>
              <w:rPr>
                <w:rFonts w:hAnsi="宋体" w:cs="宋体"/>
                <w:b/>
                <w:bCs/>
                <w:color w:val="000000"/>
                <w:sz w:val="24"/>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2055" w:type="dxa"/>
            <w:vAlign w:val="center"/>
            <w:textDirection w:val="lrTb"/>
            <w:noWrap w:val="false"/>
          </w:tcPr>
          <w:p>
            <w:pPr>
              <w:pStyle w:val="816"/>
              <w:ind w:firstLine="482"/>
              <w:rPr>
                <w:rFonts w:hAnsi="宋体" w:cs="宋体"/>
                <w:b/>
                <w:bCs/>
                <w:color w:val="000000"/>
                <w:sz w:val="24"/>
                <w:szCs w:val="24"/>
                <w:highlight w:val="none"/>
              </w:rPr>
            </w:pPr>
            <w:r>
              <w:rPr>
                <w:rFonts w:hAnsi="宋体" w:cs="宋体"/>
                <w:b/>
                <w:bCs/>
                <w:color w:val="000000"/>
                <w:sz w:val="24"/>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pStyle w:val="816"/>
              <w:ind w:firstLine="482"/>
              <w:rPr>
                <w:rFonts w:hAnsi="宋体" w:cs="宋体"/>
                <w:b/>
                <w:bCs/>
                <w:color w:val="000000"/>
                <w:sz w:val="24"/>
                <w:szCs w:val="24"/>
                <w:highlight w:val="none"/>
              </w:rPr>
            </w:pPr>
            <w:r>
              <w:rPr>
                <w:rFonts w:hAnsi="宋体" w:cs="宋体"/>
                <w:b/>
                <w:bCs/>
                <w:color w:val="000000"/>
                <w:sz w:val="24"/>
                <w:szCs w:val="24"/>
                <w:highlight w:val="none"/>
              </w:rPr>
            </w:r>
            <w:r>
              <w:rPr>
                <w:highlight w:val="none"/>
              </w:rPr>
            </w:r>
            <w:r/>
          </w:p>
        </w:tc>
      </w:tr>
      <w:tr>
        <w:trPr>
          <w:jc w:val="center"/>
          <w:trHeight w:val="544"/>
        </w:trPr>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pStyle w:val="816"/>
              <w:ind w:firstLine="0"/>
              <w:rPr>
                <w:rFonts w:hAnsi="宋体" w:cs="宋体"/>
                <w:b/>
                <w:bCs/>
                <w:color w:val="000000"/>
                <w:sz w:val="24"/>
                <w:szCs w:val="24"/>
                <w:highlight w:val="none"/>
              </w:rPr>
            </w:pPr>
            <w:r>
              <w:rPr>
                <w:rFonts w:hint="eastAsia" w:hAnsi="宋体" w:cs="宋体"/>
                <w:b/>
                <w:bCs/>
                <w:color w:val="000000"/>
                <w:sz w:val="24"/>
                <w:szCs w:val="24"/>
                <w:highlight w:val="none"/>
              </w:rPr>
              <w:t xml:space="preserve">12</w:t>
            </w:r>
            <w:r>
              <w:rPr>
                <w:highlight w:val="none"/>
              </w:rPr>
            </w:r>
            <w:r/>
          </w:p>
        </w:tc>
        <w:tc>
          <w:tcPr>
            <w:tcBorders>
              <w:top w:val="single" w:color="auto" w:sz="4" w:space="0"/>
              <w:left w:val="single" w:color="auto" w:sz="4" w:space="0"/>
              <w:bottom w:val="single" w:color="auto" w:sz="4" w:space="0"/>
              <w:right w:val="single" w:color="auto" w:sz="4" w:space="0"/>
            </w:tcBorders>
            <w:tcW w:w="2528" w:type="dxa"/>
            <w:vAlign w:val="center"/>
            <w:textDirection w:val="lrTb"/>
            <w:noWrap w:val="false"/>
          </w:tcPr>
          <w:p>
            <w:pPr>
              <w:pStyle w:val="816"/>
              <w:ind w:firstLine="482"/>
              <w:rPr>
                <w:rFonts w:hAnsi="宋体" w:cs="宋体"/>
                <w:b/>
                <w:bCs/>
                <w:color w:val="000000"/>
                <w:sz w:val="24"/>
                <w:szCs w:val="24"/>
                <w:highlight w:val="none"/>
              </w:rPr>
            </w:pPr>
            <w:r>
              <w:rPr>
                <w:rFonts w:hAnsi="宋体" w:cs="宋体"/>
                <w:b/>
                <w:bCs/>
                <w:color w:val="000000"/>
                <w:sz w:val="24"/>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419" w:type="dxa"/>
            <w:vAlign w:val="center"/>
            <w:textDirection w:val="lrTb"/>
            <w:noWrap w:val="false"/>
          </w:tcPr>
          <w:p>
            <w:pPr>
              <w:pStyle w:val="816"/>
              <w:ind w:firstLine="482"/>
              <w:rPr>
                <w:rFonts w:hAnsi="宋体" w:cs="宋体"/>
                <w:b/>
                <w:bCs/>
                <w:color w:val="000000"/>
                <w:sz w:val="24"/>
                <w:szCs w:val="24"/>
                <w:highlight w:val="none"/>
              </w:rPr>
            </w:pPr>
            <w:r>
              <w:rPr>
                <w:rFonts w:hAnsi="宋体" w:cs="宋体"/>
                <w:b/>
                <w:bCs/>
                <w:color w:val="000000"/>
                <w:sz w:val="24"/>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2055" w:type="dxa"/>
            <w:vAlign w:val="center"/>
            <w:textDirection w:val="lrTb"/>
            <w:noWrap w:val="false"/>
          </w:tcPr>
          <w:p>
            <w:pPr>
              <w:pStyle w:val="816"/>
              <w:ind w:firstLine="482"/>
              <w:rPr>
                <w:rFonts w:hAnsi="宋体" w:cs="宋体"/>
                <w:b/>
                <w:bCs/>
                <w:color w:val="000000"/>
                <w:sz w:val="24"/>
                <w:szCs w:val="24"/>
                <w:highlight w:val="none"/>
              </w:rPr>
            </w:pPr>
            <w:r>
              <w:rPr>
                <w:rFonts w:hAnsi="宋体" w:cs="宋体"/>
                <w:b/>
                <w:bCs/>
                <w:color w:val="000000"/>
                <w:sz w:val="24"/>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pStyle w:val="816"/>
              <w:ind w:firstLine="482"/>
              <w:rPr>
                <w:rFonts w:hAnsi="宋体" w:cs="宋体"/>
                <w:b/>
                <w:bCs/>
                <w:color w:val="000000"/>
                <w:sz w:val="24"/>
                <w:szCs w:val="24"/>
                <w:highlight w:val="none"/>
              </w:rPr>
            </w:pPr>
            <w:r>
              <w:rPr>
                <w:rFonts w:hAnsi="宋体" w:cs="宋体"/>
                <w:b/>
                <w:bCs/>
                <w:color w:val="000000"/>
                <w:sz w:val="24"/>
                <w:szCs w:val="24"/>
                <w:highlight w:val="none"/>
              </w:rPr>
            </w:r>
            <w:r>
              <w:rPr>
                <w:highlight w:val="none"/>
              </w:rPr>
            </w:r>
            <w:r/>
          </w:p>
        </w:tc>
      </w:tr>
      <w:tr>
        <w:trPr>
          <w:jc w:val="center"/>
          <w:trHeight w:val="396"/>
        </w:trPr>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pStyle w:val="816"/>
              <w:ind w:firstLine="0"/>
              <w:rPr>
                <w:rFonts w:hAnsi="宋体" w:cs="宋体"/>
                <w:b/>
                <w:bCs/>
                <w:color w:val="000000"/>
                <w:sz w:val="24"/>
                <w:szCs w:val="24"/>
                <w:highlight w:val="none"/>
              </w:rPr>
            </w:pPr>
            <w:r>
              <w:rPr>
                <w:rFonts w:hint="eastAsia" w:hAnsi="宋体" w:cs="宋体"/>
                <w:b/>
                <w:bCs/>
                <w:color w:val="000000"/>
                <w:sz w:val="24"/>
                <w:szCs w:val="24"/>
                <w:highlight w:val="none"/>
              </w:rPr>
              <w:t xml:space="preserve">……</w:t>
            </w:r>
            <w:r>
              <w:rPr>
                <w:highlight w:val="none"/>
              </w:rPr>
            </w:r>
            <w:r/>
          </w:p>
        </w:tc>
        <w:tc>
          <w:tcPr>
            <w:tcBorders>
              <w:top w:val="single" w:color="auto" w:sz="4" w:space="0"/>
              <w:left w:val="single" w:color="auto" w:sz="4" w:space="0"/>
              <w:bottom w:val="single" w:color="auto" w:sz="4" w:space="0"/>
              <w:right w:val="single" w:color="auto" w:sz="4" w:space="0"/>
            </w:tcBorders>
            <w:tcW w:w="2528" w:type="dxa"/>
            <w:vAlign w:val="center"/>
            <w:textDirection w:val="lrTb"/>
            <w:noWrap w:val="false"/>
          </w:tcPr>
          <w:p>
            <w:pPr>
              <w:pStyle w:val="816"/>
              <w:ind w:firstLine="482"/>
              <w:rPr>
                <w:rFonts w:hAnsi="宋体" w:cs="宋体"/>
                <w:b/>
                <w:bCs/>
                <w:color w:val="000000"/>
                <w:sz w:val="24"/>
                <w:szCs w:val="24"/>
                <w:highlight w:val="none"/>
              </w:rPr>
            </w:pPr>
            <w:r>
              <w:rPr>
                <w:rFonts w:hint="eastAsia" w:hAnsi="宋体" w:cs="宋体"/>
                <w:b/>
                <w:bCs/>
                <w:color w:val="000000"/>
                <w:sz w:val="24"/>
                <w:szCs w:val="24"/>
                <w:highlight w:val="none"/>
              </w:rPr>
              <w:t xml:space="preserve">……</w:t>
            </w:r>
            <w:r>
              <w:rPr>
                <w:highlight w:val="none"/>
              </w:rPr>
            </w:r>
            <w:r/>
          </w:p>
        </w:tc>
        <w:tc>
          <w:tcPr>
            <w:tcBorders>
              <w:top w:val="single" w:color="auto" w:sz="4" w:space="0"/>
              <w:left w:val="single" w:color="auto" w:sz="4" w:space="0"/>
              <w:bottom w:val="single" w:color="auto" w:sz="4" w:space="0"/>
              <w:right w:val="single" w:color="auto" w:sz="4" w:space="0"/>
            </w:tcBorders>
            <w:tcW w:w="1419" w:type="dxa"/>
            <w:vAlign w:val="center"/>
            <w:textDirection w:val="lrTb"/>
            <w:noWrap w:val="false"/>
          </w:tcPr>
          <w:p>
            <w:pPr>
              <w:pStyle w:val="816"/>
              <w:ind w:firstLine="482"/>
              <w:rPr>
                <w:rFonts w:hAnsi="宋体" w:cs="宋体"/>
                <w:b/>
                <w:bCs/>
                <w:color w:val="000000"/>
                <w:sz w:val="24"/>
                <w:szCs w:val="24"/>
                <w:highlight w:val="none"/>
              </w:rPr>
            </w:pPr>
            <w:r>
              <w:rPr>
                <w:rFonts w:hAnsi="宋体" w:cs="宋体"/>
                <w:b/>
                <w:bCs/>
                <w:color w:val="000000"/>
                <w:sz w:val="24"/>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2055" w:type="dxa"/>
            <w:vAlign w:val="center"/>
            <w:textDirection w:val="lrTb"/>
            <w:noWrap w:val="false"/>
          </w:tcPr>
          <w:p>
            <w:pPr>
              <w:pStyle w:val="816"/>
              <w:ind w:firstLine="482"/>
              <w:rPr>
                <w:rFonts w:hAnsi="宋体" w:cs="宋体"/>
                <w:b/>
                <w:bCs/>
                <w:color w:val="000000"/>
                <w:sz w:val="24"/>
                <w:szCs w:val="24"/>
                <w:highlight w:val="none"/>
              </w:rPr>
            </w:pPr>
            <w:r>
              <w:rPr>
                <w:rFonts w:hAnsi="宋体" w:cs="宋体"/>
                <w:b/>
                <w:bCs/>
                <w:color w:val="000000"/>
                <w:sz w:val="24"/>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pStyle w:val="816"/>
              <w:ind w:firstLine="482"/>
              <w:rPr>
                <w:rFonts w:hAnsi="宋体" w:cs="宋体"/>
                <w:b/>
                <w:bCs/>
                <w:color w:val="000000"/>
                <w:sz w:val="24"/>
                <w:szCs w:val="24"/>
                <w:highlight w:val="none"/>
              </w:rPr>
            </w:pPr>
            <w:r>
              <w:rPr>
                <w:rFonts w:hAnsi="宋体" w:cs="宋体"/>
                <w:b/>
                <w:bCs/>
                <w:color w:val="000000"/>
                <w:sz w:val="24"/>
                <w:szCs w:val="24"/>
                <w:highlight w:val="none"/>
              </w:rPr>
            </w:r>
            <w:r>
              <w:rPr>
                <w:highlight w:val="none"/>
              </w:rPr>
            </w:r>
            <w:r/>
          </w:p>
        </w:tc>
      </w:tr>
      <w:tr>
        <w:trPr>
          <w:jc w:val="center"/>
          <w:trHeight w:val="610"/>
        </w:trPr>
        <w:tc>
          <w:tcPr>
            <w:gridSpan w:val="5"/>
            <w:tcBorders>
              <w:top w:val="single" w:color="auto" w:sz="4" w:space="0"/>
              <w:left w:val="single" w:color="auto" w:sz="4" w:space="0"/>
              <w:bottom w:val="single" w:color="auto" w:sz="4" w:space="0"/>
              <w:right w:val="single" w:color="auto" w:sz="4" w:space="0"/>
            </w:tcBorders>
            <w:tcW w:w="8119" w:type="dxa"/>
            <w:vAlign w:val="center"/>
            <w:textDirection w:val="lrTb"/>
            <w:noWrap w:val="false"/>
          </w:tcPr>
          <w:p>
            <w:pPr>
              <w:pStyle w:val="816"/>
              <w:ind w:firstLine="0"/>
              <w:jc w:val="left"/>
              <w:rPr>
                <w:rFonts w:hAnsi="宋体" w:cs="宋体"/>
                <w:b/>
                <w:bCs/>
                <w:color w:val="000000"/>
                <w:sz w:val="24"/>
                <w:szCs w:val="24"/>
                <w:highlight w:val="none"/>
              </w:rPr>
            </w:pPr>
            <w:r>
              <w:rPr>
                <w:rFonts w:hint="eastAsia" w:hAnsi="宋体" w:cs="宋体"/>
                <w:b/>
                <w:bCs/>
                <w:color w:val="000000"/>
                <w:sz w:val="24"/>
                <w:szCs w:val="24"/>
                <w:highlight w:val="none"/>
              </w:rPr>
              <w:t xml:space="preserve">投标总报价（人民币大写）：                             （¥：     ）</w:t>
            </w:r>
            <w:r>
              <w:rPr>
                <w:highlight w:val="none"/>
              </w:rPr>
            </w:r>
            <w:r/>
          </w:p>
        </w:tc>
      </w:tr>
    </w:tbl>
    <w:p>
      <w:pPr>
        <w:ind w:left="0" w:right="105" w:firstLine="210"/>
        <w:jc w:val="right"/>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p>
      <w:pPr>
        <w:ind w:left="0" w:right="105" w:firstLine="210"/>
        <w:jc w:val="right"/>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p>
      <w:pPr>
        <w:ind w:left="0" w:right="105" w:firstLine="210"/>
        <w:jc w:val="right"/>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供应商名称：（加盖CA电子公章）</w:t>
      </w:r>
      <w:r>
        <w:rPr>
          <w:highlight w:val="none"/>
        </w:rPr>
      </w:r>
      <w:r/>
    </w:p>
    <w:p>
      <w:pPr>
        <w:ind w:left="0" w:right="420" w:firstLine="210"/>
        <w:jc w:val="right"/>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日期：　　　年　　月　　日</w:t>
      </w:r>
      <w:r>
        <w:rPr>
          <w:highlight w:val="none"/>
        </w:rPr>
      </w:r>
      <w:r/>
    </w:p>
    <w:p>
      <w:pPr>
        <w:ind w:left="0" w:right="0" w:firstLine="0"/>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rPr>
          <w:highlight w:val="none"/>
        </w:rPr>
      </w:r>
      <w:r/>
    </w:p>
    <w:p>
      <w:pPr>
        <w:ind w:left="0" w:right="0" w:firstLine="0"/>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5、服务实施方案</w:t>
      </w:r>
      <w:r>
        <w:rPr>
          <w:highlight w:val="none"/>
        </w:rPr>
      </w:r>
      <w:r/>
    </w:p>
    <w:p>
      <w:pPr>
        <w:ind w:left="0" w:right="0" w:firstLine="0"/>
        <w:jc w:val="cente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rPr>
          <w:highlight w:val="none"/>
        </w:rPr>
      </w:r>
      <w:r/>
    </w:p>
    <w:p>
      <w:pPr>
        <w:ind w:left="0" w:right="0" w:firstLine="0"/>
        <w:jc w:val="cente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服务实施方案</w:t>
      </w:r>
      <w:r>
        <w:rPr>
          <w:highlight w:val="none"/>
        </w:rPr>
      </w:r>
      <w:r/>
    </w:p>
    <w:p>
      <w:pPr>
        <w:ind w:left="0" w:right="0" w:firstLine="0"/>
        <w:jc w:val="cente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rPr>
          <w:highlight w:val="none"/>
        </w:rPr>
      </w:r>
      <w:r/>
    </w:p>
    <w:tbl>
      <w:tblPr>
        <w:tblStyle w:val="8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54"/>
      </w:tblGrid>
      <w:tr>
        <w:trPr>
          <w:trHeight w:val="926"/>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354" w:type="dxa"/>
            <w:vAlign w:val="top"/>
            <w:textDirection w:val="lrTb"/>
            <w:noWrap w:val="false"/>
          </w:tcPr>
          <w:p>
            <w:pPr>
              <w:ind w:left="0" w:right="0" w:firstLine="0"/>
              <w:jc w:val="both"/>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提示：</w:t>
            </w:r>
            <w:r>
              <w:rPr>
                <w:highlight w:val="none"/>
              </w:rPr>
            </w:r>
            <w:r/>
          </w:p>
          <w:p>
            <w:pPr>
              <w:ind w:left="0" w:right="0" w:firstLine="0"/>
              <w:jc w:val="both"/>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1、供应商应根据本次采购项目要求，对所响应标的进行详细的说明与描述，包括针对本次采购项目特点及具体情况编写成交后拟采取的实施方案等。</w:t>
            </w:r>
            <w:r>
              <w:rPr>
                <w:highlight w:val="none"/>
              </w:rPr>
            </w:r>
            <w:r/>
          </w:p>
          <w:p>
            <w:pPr>
              <w:ind w:left="0" w:right="0" w:firstLine="0"/>
              <w:jc w:val="both"/>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2、供应商可根据自身情况编写，本页不够可另加页附后。</w:t>
            </w:r>
            <w:r>
              <w:rPr>
                <w:highlight w:val="none"/>
              </w:rPr>
            </w:r>
            <w:r/>
          </w:p>
        </w:tc>
      </w:tr>
      <w:tr>
        <w:trPr>
          <w:trHeight w:val="891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54" w:type="dxa"/>
            <w:vAlign w:val="bottom"/>
            <w:textDirection w:val="lrTb"/>
            <w:noWrap w:val="false"/>
          </w:tcPr>
          <w:p>
            <w:pPr>
              <w:ind w:left="0" w:right="0" w:firstLine="240"/>
              <w:jc w:val="center"/>
              <w:spacing w:before="0" w:after="0" w:line="85" w:lineRule="atLeast"/>
              <w:tabs>
                <w:tab w:val="left" w:pos="132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 </w:t>
            </w:r>
            <w:r>
              <w:rPr>
                <w:highlight w:val="none"/>
              </w:rPr>
            </w:r>
            <w:r/>
          </w:p>
        </w:tc>
      </w:tr>
    </w:tbl>
    <w:p>
      <w:pPr>
        <w:ind w:left="0" w:right="0" w:firstLine="482"/>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p>
      <w:pPr>
        <w:ind w:left="0" w:right="105" w:firstLine="210"/>
        <w:jc w:val="right"/>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供应商名称：（加盖CA电子公章）</w:t>
      </w:r>
      <w:r>
        <w:rPr>
          <w:highlight w:val="none"/>
        </w:rPr>
      </w:r>
      <w:r/>
    </w:p>
    <w:p>
      <w:pPr>
        <w:ind w:left="0" w:right="420" w:firstLine="210"/>
        <w:jc w:val="right"/>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日期：　　　年　　月　　日</w:t>
      </w:r>
      <w:r>
        <w:rPr>
          <w:highlight w:val="none"/>
        </w:rPr>
      </w:r>
      <w:r/>
    </w:p>
    <w:p>
      <w:pPr>
        <w:ind w:left="0" w:right="0" w:firstLine="0"/>
        <w:spacing w:before="0" w:after="0"/>
        <w:rPr>
          <w:highlight w:val="none"/>
        </w:rPr>
        <w:pBdr>
          <w:top w:val="none" w:color="000000" w:sz="0" w:space="0"/>
          <w:left w:val="none" w:color="000000" w:sz="0" w:space="0"/>
          <w:bottom w:val="none" w:color="000000" w:sz="0" w:space="0"/>
          <w:right w:val="none" w:color="000000" w:sz="0" w:space="0"/>
        </w:pBdr>
      </w:pPr>
      <w:r>
        <w:rPr>
          <w:highlight w:val="none"/>
        </w:rPr>
        <w:br w:type="page" w:clear="all"/>
      </w:r>
      <w:r>
        <w:rPr>
          <w:highlight w:val="none"/>
        </w:rPr>
      </w:r>
      <w:r/>
    </w:p>
    <w:p>
      <w:pPr>
        <w:ind w:left="0" w:right="0" w:firstLine="0"/>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6、商务要求偏离表</w:t>
      </w:r>
      <w:r>
        <w:rPr>
          <w:highlight w:val="none"/>
        </w:rPr>
      </w:r>
      <w:r/>
    </w:p>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rPr>
          <w:highlight w:val="none"/>
        </w:rPr>
      </w:r>
      <w:r/>
    </w:p>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商务要求偏离表</w:t>
      </w:r>
      <w:r>
        <w:rPr>
          <w:highlight w:val="none"/>
        </w:rPr>
      </w:r>
      <w:r/>
    </w:p>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rPr>
          <w:highlight w:val="none"/>
        </w:rPr>
      </w:r>
      <w:r/>
    </w:p>
    <w:tbl>
      <w:tblPr>
        <w:tblStyle w:val="8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59"/>
        <w:gridCol w:w="1559"/>
        <w:gridCol w:w="1559"/>
        <w:gridCol w:w="1559"/>
        <w:gridCol w:w="1559"/>
        <w:gridCol w:w="1559"/>
      </w:tblGrid>
      <w:tr>
        <w:trPr>
          <w:trHeight w:val="47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序号</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采购内容</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采购要求</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响应情况</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偏离/响应</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说明</w:t>
            </w:r>
            <w:r>
              <w:rPr>
                <w:highlight w:val="none"/>
              </w:rPr>
            </w:r>
            <w:r/>
          </w:p>
        </w:tc>
      </w:tr>
      <w:tr>
        <w:trPr>
          <w:trHeight w:val="4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r>
      <w:tr>
        <w:trPr>
          <w:trHeight w:val="4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r>
      <w:tr>
        <w:trPr>
          <w:trHeight w:val="4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r>
      <w:tr>
        <w:trPr>
          <w:trHeight w:val="4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r>
      <w:tr>
        <w:trPr>
          <w:trHeight w:val="4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r>
    </w:tbl>
    <w:p>
      <w:pPr>
        <w:ind w:left="0" w:right="0" w:firstLine="480"/>
        <w:jc w:val="both"/>
        <w:spacing w:before="21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注：</w:t>
      </w:r>
      <w:r>
        <w:rPr>
          <w:highlight w:val="none"/>
        </w:rPr>
      </w:r>
      <w:r/>
    </w:p>
    <w:p>
      <w:pPr>
        <w:ind w:left="0" w:right="0" w:firstLine="480"/>
        <w:jc w:val="both"/>
        <w:spacing w:before="21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供应商应对照采购文件要求，如响应有偏离的，应在本表“响应情况”一栏中申明与采购文件要求的偏差；若未在本表中说明但在投标（响应）文件其他相关内容中有文字说明的，则以文字说明为准。否则，将被视为完全响应采购文件的要求。</w:t>
      </w:r>
      <w:r>
        <w:rPr>
          <w:highlight w:val="none"/>
        </w:rPr>
      </w:r>
      <w:r/>
    </w:p>
    <w:p>
      <w:pPr>
        <w:ind w:left="0" w:right="0" w:firstLine="480"/>
        <w:jc w:val="both"/>
        <w:spacing w:before="21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2、本表不作为供应商对所响应标的物商务条款详细描述和说明的替代。</w:t>
      </w:r>
      <w:r>
        <w:rPr>
          <w:highlight w:val="none"/>
        </w:rPr>
      </w:r>
      <w:r/>
    </w:p>
    <w:p>
      <w:pPr>
        <w:ind w:left="0" w:right="105" w:firstLine="210"/>
        <w:jc w:val="right"/>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p>
      <w:pPr>
        <w:ind w:left="0" w:right="105" w:firstLine="210"/>
        <w:jc w:val="right"/>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供应商名称：（加盖CA电子公章）</w:t>
      </w:r>
      <w:r>
        <w:rPr>
          <w:highlight w:val="none"/>
        </w:rPr>
      </w:r>
      <w:r/>
    </w:p>
    <w:p>
      <w:pPr>
        <w:ind w:left="0" w:right="420" w:firstLine="210"/>
        <w:jc w:val="right"/>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日期：　　　年　　月　　日</w:t>
      </w:r>
      <w:r>
        <w:rPr>
          <w:highlight w:val="none"/>
        </w:rPr>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highlight w:val="none"/>
        </w:rPr>
        <w:br w:type="page" w:clear="all"/>
      </w:r>
      <w:r>
        <w:rPr>
          <w:highlight w:val="none"/>
        </w:rPr>
      </w:r>
      <w:r/>
    </w:p>
    <w:p>
      <w:pPr>
        <w:ind w:left="0" w:right="0" w:firstLine="0"/>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7、服务或技术要求偏离表</w:t>
      </w:r>
      <w:r>
        <w:rPr>
          <w:highlight w:val="none"/>
        </w:rPr>
      </w:r>
      <w:r/>
    </w:p>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rPr>
          <w:highlight w:val="none"/>
        </w:rPr>
      </w:r>
      <w:r/>
    </w:p>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服务或技术要求偏离表</w:t>
      </w:r>
      <w:r>
        <w:rPr>
          <w:highlight w:val="none"/>
        </w:rPr>
      </w:r>
      <w:r/>
    </w:p>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rPr>
          <w:highlight w:val="none"/>
        </w:rPr>
      </w:r>
      <w:r/>
    </w:p>
    <w:tbl>
      <w:tblPr>
        <w:tblStyle w:val="8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59"/>
        <w:gridCol w:w="1559"/>
        <w:gridCol w:w="1559"/>
        <w:gridCol w:w="1559"/>
        <w:gridCol w:w="1559"/>
        <w:gridCol w:w="1559"/>
      </w:tblGrid>
      <w:tr>
        <w:trPr>
          <w:trHeight w:val="47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序号</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采购内容</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采购要求</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响应情况</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偏离/响应</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说明</w:t>
            </w:r>
            <w:r>
              <w:rPr>
                <w:highlight w:val="none"/>
              </w:rPr>
            </w:r>
            <w:r/>
          </w:p>
        </w:tc>
      </w:tr>
      <w:tr>
        <w:trPr>
          <w:trHeight w:val="4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r>
      <w:tr>
        <w:trPr>
          <w:trHeight w:val="4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r>
      <w:tr>
        <w:trPr>
          <w:trHeight w:val="4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r>
      <w:tr>
        <w:trPr>
          <w:trHeight w:val="4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r>
      <w:tr>
        <w:trPr>
          <w:trHeight w:val="4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r>
    </w:tbl>
    <w:p>
      <w:pPr>
        <w:ind w:left="0" w:right="0" w:firstLine="480"/>
        <w:jc w:val="both"/>
        <w:spacing w:before="21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注：</w:t>
      </w:r>
      <w:r>
        <w:rPr>
          <w:highlight w:val="none"/>
        </w:rPr>
      </w:r>
      <w:r/>
    </w:p>
    <w:p>
      <w:pPr>
        <w:ind w:left="0" w:right="0" w:firstLine="480"/>
        <w:jc w:val="both"/>
        <w:spacing w:before="21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供应商应对照采购文件要求，如响应有偏离的，应在本表“响应情况”一栏中申明与采购文件要求的偏差；若未在本表中说明但在投标（响应）文件其他相关内容中有文字说明的，则以文字说明为准。否则，将被视为完全响应采购文件的要求。</w:t>
      </w:r>
      <w:r>
        <w:rPr>
          <w:highlight w:val="none"/>
        </w:rPr>
      </w:r>
      <w:r/>
    </w:p>
    <w:p>
      <w:pPr>
        <w:ind w:left="0" w:right="0" w:firstLine="480"/>
        <w:jc w:val="both"/>
        <w:spacing w:before="21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2、本表不作为供应商对所响应标的物服务条款详细描述和说明的替代。</w:t>
      </w:r>
      <w:r>
        <w:rPr>
          <w:highlight w:val="none"/>
        </w:rPr>
      </w:r>
      <w:r/>
    </w:p>
    <w:p>
      <w:pPr>
        <w:ind w:left="0" w:right="105" w:firstLine="210"/>
        <w:jc w:val="right"/>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p>
      <w:pPr>
        <w:ind w:left="0" w:right="105" w:firstLine="210"/>
        <w:jc w:val="right"/>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供应商名称：（加盖CA电子公章）</w:t>
      </w:r>
      <w:r>
        <w:rPr>
          <w:highlight w:val="none"/>
        </w:rPr>
      </w:r>
      <w:r/>
    </w:p>
    <w:p>
      <w:pPr>
        <w:ind w:left="0" w:right="420" w:firstLine="210"/>
        <w:jc w:val="right"/>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日期：　　　年　　月　　日</w:t>
      </w:r>
      <w:r>
        <w:rPr>
          <w:highlight w:val="none"/>
        </w:rPr>
      </w:r>
      <w:r/>
    </w:p>
    <w:p>
      <w:pPr>
        <w:ind w:left="420" w:right="0" w:firstLine="420"/>
        <w:jc w:val="both"/>
        <w:spacing w:before="210" w:after="120" w:line="520" w:lineRule="atLeast"/>
        <w:rPr>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highlight w:val="none"/>
        </w:rPr>
        <w:t xml:space="preserve"> </w:t>
      </w:r>
      <w:r>
        <w:rPr>
          <w:highlight w:val="none"/>
        </w:rPr>
      </w:r>
      <w:r/>
    </w:p>
    <w:p>
      <w:pPr>
        <w:ind w:left="0" w:right="0" w:firstLine="0"/>
        <w:jc w:val="both"/>
        <w:spacing w:before="210" w:after="120" w:line="52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p>
      <w:pPr>
        <w:ind w:left="0" w:right="0" w:firstLine="0"/>
        <w:spacing w:before="240" w:after="240"/>
        <w:rPr>
          <w:highlight w:val="none"/>
        </w:rPr>
        <w:pBdr>
          <w:top w:val="none" w:color="000000" w:sz="0" w:space="0"/>
          <w:left w:val="none" w:color="000000" w:sz="0" w:space="0"/>
          <w:bottom w:val="none" w:color="000000" w:sz="0" w:space="0"/>
          <w:right w:val="none" w:color="000000" w:sz="0" w:space="0"/>
        </w:pBdr>
      </w:pPr>
      <w:r>
        <w:rPr>
          <w:highlight w:val="none"/>
        </w:rPr>
        <w:br w:type="page" w:clear="all"/>
      </w:r>
      <w:r>
        <w:rPr>
          <w:highlight w:val="none"/>
        </w:rPr>
      </w:r>
      <w:r/>
    </w:p>
    <w:p>
      <w:pPr>
        <w:ind w:left="0" w:right="0" w:firstLine="0"/>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8、拟投入本项目人员配备一览表</w:t>
      </w:r>
      <w:r>
        <w:rPr>
          <w:highlight w:val="none"/>
        </w:rPr>
      </w:r>
      <w:r/>
    </w:p>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rPr>
          <w:highlight w:val="none"/>
        </w:rPr>
      </w:r>
      <w:r/>
    </w:p>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拟投入本项目人员配备一览表</w:t>
      </w:r>
      <w:r>
        <w:rPr>
          <w:highlight w:val="none"/>
        </w:rPr>
      </w:r>
      <w:r/>
    </w:p>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rPr>
          <w:highlight w:val="none"/>
        </w:rPr>
      </w:r>
      <w:r/>
    </w:p>
    <w:tbl>
      <w:tblPr>
        <w:tblStyle w:val="8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39"/>
        <w:gridCol w:w="1039"/>
        <w:gridCol w:w="1039"/>
        <w:gridCol w:w="1039"/>
        <w:gridCol w:w="1039"/>
        <w:gridCol w:w="1039"/>
        <w:gridCol w:w="1039"/>
        <w:gridCol w:w="1039"/>
        <w:gridCol w:w="103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序号</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项目组所任职务</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姓名</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性别</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年龄</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职称</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专业/资格</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从事本工作时间</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典型业务与技术专长</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7</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8</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9</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10</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r>
    </w:tbl>
    <w:p>
      <w:pPr>
        <w:ind w:left="0" w:right="0" w:firstLine="0"/>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p>
      <w:pPr>
        <w:ind w:left="420" w:right="0" w:firstLine="420"/>
        <w:jc w:val="both"/>
        <w:spacing w:before="210" w:after="120" w:line="520" w:lineRule="atLeast"/>
        <w:rPr>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highlight w:val="none"/>
        </w:rPr>
        <w:t xml:space="preserve"> </w:t>
      </w:r>
      <w:r>
        <w:rPr>
          <w:highlight w:val="none"/>
        </w:rPr>
      </w:r>
      <w:r/>
    </w:p>
    <w:p>
      <w:pPr>
        <w:ind w:left="0" w:right="0" w:firstLine="480"/>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注：请将相关证明材料复印件加盖公章后附在本表后面。</w:t>
      </w:r>
      <w:r>
        <w:rPr>
          <w:highlight w:val="none"/>
        </w:rPr>
      </w:r>
      <w:r/>
    </w:p>
    <w:p>
      <w:pPr>
        <w:ind w:left="0" w:right="0" w:firstLine="0"/>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p>
      <w:pPr>
        <w:ind w:left="0" w:right="0" w:firstLine="480"/>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p>
      <w:pPr>
        <w:ind w:left="0" w:right="0" w:firstLine="480"/>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p>
      <w:pPr>
        <w:ind w:left="0" w:right="105" w:firstLine="210"/>
        <w:jc w:val="right"/>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供应商名称：（加盖CA电子公章）</w:t>
      </w:r>
      <w:r>
        <w:rPr>
          <w:highlight w:val="none"/>
        </w:rPr>
      </w:r>
      <w:r/>
    </w:p>
    <w:p>
      <w:pPr>
        <w:ind w:left="0" w:right="420" w:firstLine="210"/>
        <w:jc w:val="right"/>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日期：　　　年　　月　　日</w:t>
      </w:r>
      <w:r>
        <w:rPr>
          <w:highlight w:val="none"/>
        </w:rPr>
      </w:r>
      <w:r/>
    </w:p>
    <w:p>
      <w:pPr>
        <w:ind w:left="0" w:right="420" w:firstLine="210"/>
        <w:jc w:val="right"/>
        <w:spacing w:before="0" w:after="0"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rPr>
          <w:highlight w:val="none"/>
        </w:rPr>
      </w:r>
      <w:r/>
    </w:p>
    <w:p>
      <w:pPr>
        <w:ind w:left="0" w:right="0" w:firstLine="0"/>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9、类似项目一览表</w:t>
      </w:r>
      <w:r>
        <w:rPr>
          <w:highlight w:val="none"/>
        </w:rPr>
      </w: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类似项目一览表</w:t>
      </w:r>
      <w:r>
        <w:rPr>
          <w:highlight w:val="none"/>
        </w:rPr>
      </w:r>
      <w:r/>
    </w:p>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highlight w:val="none"/>
        </w:rPr>
        <w:t xml:space="preserve"> </w:t>
      </w:r>
      <w:r>
        <w:rPr>
          <w:highlight w:val="none"/>
        </w:rPr>
      </w:r>
      <w:r/>
    </w:p>
    <w:tbl>
      <w:tblPr>
        <w:tblStyle w:val="8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59"/>
        <w:gridCol w:w="1559"/>
        <w:gridCol w:w="1559"/>
        <w:gridCol w:w="1559"/>
        <w:gridCol w:w="1559"/>
        <w:gridCol w:w="1559"/>
      </w:tblGrid>
      <w:tr>
        <w:trPr>
          <w:trHeight w:val="125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序号</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合同名称</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240" w:lineRule="auto"/>
              <w:tabs>
                <w:tab w:val="left" w:pos="6252"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业主单位</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240" w:lineRule="auto"/>
              <w:tabs>
                <w:tab w:val="left" w:pos="6252"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合同金额（元）</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240" w:lineRule="auto"/>
              <w:tabs>
                <w:tab w:val="left" w:pos="6252"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合同签订日期</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240" w:lineRule="auto"/>
              <w:tabs>
                <w:tab w:val="left" w:pos="6252"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备注</w:t>
            </w:r>
            <w:r>
              <w:rPr>
                <w:highlight w:val="none"/>
              </w:r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r>
    </w:tbl>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p>
      <w:pPr>
        <w:ind w:left="0" w:right="0" w:firstLine="48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注：请将其他相关证明材料复印件加盖公章后附在本表后面。</w:t>
      </w:r>
      <w:r>
        <w:rPr>
          <w:highlight w:val="none"/>
        </w:rPr>
      </w:r>
      <w:r/>
    </w:p>
    <w:p>
      <w:pPr>
        <w:ind w:left="0" w:right="0" w:firstLine="48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p>
      <w:pPr>
        <w:ind w:left="0" w:right="105" w:firstLine="210"/>
        <w:jc w:val="right"/>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供应商名称：（加盖CA电子公章）</w:t>
      </w:r>
      <w:r>
        <w:rPr>
          <w:highlight w:val="none"/>
        </w:rPr>
      </w:r>
      <w:r/>
    </w:p>
    <w:p>
      <w:pPr>
        <w:ind w:left="0" w:right="420" w:firstLine="210"/>
        <w:jc w:val="right"/>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日期：　　　年　　月　　日</w:t>
      </w:r>
      <w:r>
        <w:rPr>
          <w:highlight w:val="none"/>
        </w:rPr>
      </w:r>
      <w:r/>
    </w:p>
    <w:p>
      <w:pPr>
        <w:ind w:left="0" w:right="0" w:firstLine="0"/>
        <w:jc w:val="both"/>
        <w:spacing w:before="0" w:after="0" w:line="85" w:lineRule="atLeast"/>
        <w:tabs>
          <w:tab w:val="left" w:pos="753" w:leader="none"/>
        </w:tabs>
        <w:rPr>
          <w:highlight w:val="none"/>
        </w:rPr>
        <w:pBdr>
          <w:top w:val="none" w:color="000000" w:sz="0" w:space="0"/>
          <w:left w:val="none" w:color="000000" w:sz="0" w:space="0"/>
          <w:bottom w:val="none" w:color="000000" w:sz="0" w:space="0"/>
          <w:right w:val="none" w:color="000000" w:sz="0" w:space="0"/>
        </w:pBdr>
      </w:pPr>
      <w:r>
        <w:rPr>
          <w:highlight w:val="none"/>
        </w:rPr>
        <w:br w:type="page" w:clear="all"/>
      </w:r>
      <w:r>
        <w:rPr>
          <w:highlight w:val="none"/>
        </w:rPr>
      </w:r>
      <w:r/>
    </w:p>
    <w:p>
      <w:pPr>
        <w:ind w:left="0" w:right="0" w:firstLine="0"/>
        <w:jc w:val="both"/>
        <w:spacing w:before="0" w:after="0" w:line="85" w:lineRule="atLeast"/>
        <w:tabs>
          <w:tab w:val="left" w:pos="753"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10、资格证明文件</w:t>
      </w:r>
      <w:r>
        <w:rPr>
          <w:highlight w:val="none"/>
        </w:rPr>
      </w:r>
      <w:r/>
    </w:p>
    <w:p>
      <w:pPr>
        <w:ind w:left="0" w:right="0" w:firstLine="0"/>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（1）关于资格文件的声明函</w:t>
      </w:r>
      <w:r>
        <w:rPr>
          <w:highlight w:val="none"/>
        </w:rPr>
      </w:r>
      <w:r/>
    </w:p>
    <w:p>
      <w:pPr>
        <w:ind w:left="0" w:right="0" w:firstLine="0"/>
        <w:jc w:val="cente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p>
      <w:pPr>
        <w:ind w:left="0" w:right="0" w:firstLine="0"/>
        <w:jc w:val="cente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关于资格文件的声明函</w:t>
      </w:r>
      <w:r>
        <w:rPr>
          <w:highlight w:val="none"/>
        </w:rPr>
      </w:r>
      <w:r/>
    </w:p>
    <w:p>
      <w:pPr>
        <w:ind w:left="0" w:right="0" w:firstLine="0"/>
        <w:jc w:val="cente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p>
      <w:pPr>
        <w:ind w:left="0" w:right="0" w:firstLine="0"/>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江苏仁禾中衡工程咨询房地产估价有限公司</w:t>
      </w:r>
      <w:r>
        <w:rPr>
          <w:rFonts w:ascii="宋体" w:hAnsi="宋体" w:eastAsia="宋体" w:cs="宋体"/>
          <w:color w:val="000000"/>
          <w:sz w:val="24"/>
          <w:highlight w:val="none"/>
        </w:rPr>
        <w:t xml:space="preserve">：</w:t>
      </w:r>
      <w:r>
        <w:rPr>
          <w:highlight w:val="none"/>
        </w:rPr>
      </w:r>
      <w:r/>
    </w:p>
    <w:p>
      <w:pPr>
        <w:ind w:left="0" w:right="0" w:firstLine="480"/>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本公司愿就由贵公司组织实施的编号为</w:t>
      </w:r>
      <w:r>
        <w:rPr>
          <w:rFonts w:hint="eastAsia" w:ascii="宋体" w:hAnsi="宋体" w:eastAsia="宋体" w:cs="宋体"/>
          <w:color w:val="000000"/>
          <w:sz w:val="24"/>
          <w:highlight w:val="none"/>
          <w:u w:val="single"/>
          <w:lang w:eastAsia="zh-CN"/>
        </w:rPr>
        <w:t xml:space="preserve">JSZC-320500-RHHH-C2026-0033</w:t>
      </w:r>
      <w:r>
        <w:rPr>
          <w:rFonts w:ascii="宋体" w:hAnsi="宋体" w:eastAsia="宋体" w:cs="宋体"/>
          <w:color w:val="000000"/>
          <w:sz w:val="24"/>
          <w:highlight w:val="none"/>
        </w:rPr>
        <w:t xml:space="preserve">号的磋商采购活动进行响应。本公司所提交的响应文件中所有关于磋商资格的文件、证明和陈述均是真实的、准确的。若与真实情况不符，本公司愿意承担由此而产生的一切后果。</w:t>
      </w:r>
      <w:r>
        <w:rPr>
          <w:highlight w:val="none"/>
        </w:rPr>
      </w:r>
      <w:r/>
    </w:p>
    <w:p>
      <w:pPr>
        <w:ind w:left="0" w:right="0" w:firstLine="480"/>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p>
      <w:pPr>
        <w:ind w:left="0" w:right="0" w:firstLine="480"/>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p>
      <w:pPr>
        <w:ind w:left="0" w:right="105" w:firstLine="210"/>
        <w:jc w:val="right"/>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供应商名称：（加盖CA电子公章）</w:t>
      </w:r>
      <w:r>
        <w:rPr>
          <w:highlight w:val="none"/>
        </w:rPr>
      </w:r>
      <w:r/>
    </w:p>
    <w:p>
      <w:pPr>
        <w:ind w:left="0" w:right="420" w:firstLine="210"/>
        <w:jc w:val="right"/>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日期：　　　年　　月　　日</w:t>
      </w:r>
      <w:r>
        <w:rPr>
          <w:highlight w:val="none"/>
        </w:rPr>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highlight w:val="none"/>
        </w:rPr>
        <w:br w:type="page" w:clear="all"/>
      </w:r>
      <w:r>
        <w:rPr>
          <w:highlight w:val="none"/>
        </w:rPr>
      </w: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（2）供应商基本情况表</w:t>
      </w:r>
      <w:r>
        <w:rPr>
          <w:highlight w:val="none"/>
        </w:rPr>
      </w:r>
      <w:r/>
    </w:p>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rPr>
          <w:highlight w:val="none"/>
        </w:rPr>
      </w:r>
      <w:r/>
    </w:p>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供应商基本情况表</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单位名称：</w:t>
      </w:r>
      <w:r>
        <w:rPr>
          <w:highlight w:val="none"/>
        </w:rPr>
      </w:r>
      <w:r/>
    </w:p>
    <w:tbl>
      <w:tblPr>
        <w:tblStyle w:val="8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52"/>
        <w:gridCol w:w="2136"/>
        <w:gridCol w:w="1852"/>
        <w:gridCol w:w="1865"/>
        <w:gridCol w:w="1866"/>
      </w:tblGrid>
      <w:tr>
        <w:trPr>
          <w:trHeight w:val="36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法定代表人</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成立日期</w:t>
            </w:r>
            <w:r>
              <w:rPr>
                <w:highlight w:val="none"/>
              </w:rPr>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42" w:type="dxa"/>
            <w:vAlign w:val="center"/>
            <w:textDirection w:val="lrTb"/>
            <w:noWrap w:val="false"/>
          </w:tcPr>
          <w:p>
            <w:pPr>
              <w:ind w:left="0" w:right="0" w:firstLine="0"/>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r>
      <w:tr>
        <w:trPr>
          <w:trHeight w:val="3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企业地址</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注册资本</w:t>
            </w:r>
            <w:r>
              <w:rPr>
                <w:highlight w:val="none"/>
              </w:rPr>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42" w:type="dxa"/>
            <w:vAlign w:val="center"/>
            <w:textDirection w:val="lrTb"/>
            <w:noWrap w:val="false"/>
          </w:tcPr>
          <w:p>
            <w:pPr>
              <w:ind w:left="0" w:right="0" w:firstLine="2160"/>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万元</w:t>
            </w:r>
            <w:r>
              <w:rPr>
                <w:highlight w:val="none"/>
              </w:rPr>
            </w:r>
            <w:r/>
          </w:p>
        </w:tc>
      </w:tr>
      <w:tr>
        <w:trPr>
          <w:trHeight w:val="3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经营范围</w:t>
            </w:r>
            <w:r>
              <w:rPr>
                <w:highlight w:val="none"/>
              </w:rPr>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3" w:type="dxa"/>
            <w:vAlign w:val="center"/>
            <w:textDirection w:val="lrTb"/>
            <w:noWrap w:val="false"/>
          </w:tcPr>
          <w:p>
            <w:pPr>
              <w:ind w:left="0" w:right="0" w:firstLine="0"/>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r>
      <w:tr>
        <w:trPr>
          <w:trHeight w:val="3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职工人数</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42" w:type="dxa"/>
            <w:vAlign w:val="center"/>
            <w:textDirection w:val="lrTb"/>
            <w:noWrap w:val="false"/>
          </w:tcPr>
          <w:p>
            <w:pPr>
              <w:ind w:left="0" w:right="0" w:firstLine="0"/>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其中：有中高级以上职称的人数</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r>
      <w:tr>
        <w:trPr>
          <w:trHeight w:val="3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both"/>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资产总计</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万元</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both"/>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净资产</w:t>
            </w:r>
            <w:r>
              <w:rPr>
                <w:highlight w:val="none"/>
              </w:rPr>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42" w:type="dxa"/>
            <w:vAlign w:val="center"/>
            <w:textDirection w:val="lrTb"/>
            <w:noWrap w:val="false"/>
          </w:tcPr>
          <w:p>
            <w:pPr>
              <w:ind w:left="0" w:right="0" w:firstLine="960"/>
              <w:jc w:val="both"/>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万元</w:t>
            </w:r>
            <w:r>
              <w:rPr>
                <w:highlight w:val="none"/>
              </w:rPr>
            </w:r>
            <w:r/>
          </w:p>
        </w:tc>
      </w:tr>
      <w:tr>
        <w:trPr>
          <w:trHeight w:val="3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both"/>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股东权益</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万元</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both"/>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销售收入</w:t>
            </w:r>
            <w:r>
              <w:rPr>
                <w:highlight w:val="none"/>
              </w:rPr>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42"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2025年    万元</w:t>
            </w:r>
            <w:r>
              <w:rPr>
                <w:highlight w:val="none"/>
              </w:rPr>
            </w:r>
            <w:r/>
          </w:p>
        </w:tc>
      </w:tr>
      <w:tr>
        <w:trPr>
          <w:trHeight w:val="3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实现利润</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2025年  万元</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42" w:type="dxa"/>
            <w:vAlign w:val="center"/>
            <w:textDirection w:val="lrTb"/>
            <w:noWrap w:val="false"/>
          </w:tcPr>
          <w:p>
            <w:pPr>
              <w:ind w:left="0" w:right="0" w:firstLine="0"/>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r>
      <w:tr>
        <w:trPr>
          <w:trHeight w:val="3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营业面积（含厂房面积）</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960"/>
              <w:jc w:val="both"/>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平方米</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其中：</w:t>
            </w:r>
            <w:r>
              <w:rPr>
                <w:highlight w:val="none"/>
              </w:rPr>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42" w:type="dxa"/>
            <w:vAlign w:val="center"/>
            <w:textDirection w:val="lrTb"/>
            <w:noWrap w:val="false"/>
          </w:tcPr>
          <w:p>
            <w:pPr>
              <w:ind w:left="0" w:right="0" w:firstLine="0"/>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自有面积      平方米</w:t>
            </w:r>
            <w:r>
              <w:rPr>
                <w:highlight w:val="none"/>
              </w:rPr>
            </w:r>
            <w:r/>
          </w:p>
          <w:p>
            <w:pPr>
              <w:ind w:left="0" w:right="0" w:firstLine="0"/>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承租面积      平方米</w:t>
            </w:r>
            <w:r>
              <w:rPr>
                <w:highlight w:val="none"/>
              </w:rPr>
            </w:r>
            <w:r/>
          </w:p>
        </w:tc>
      </w:tr>
      <w:tr>
        <w:trPr>
          <w:trHeight w:val="3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单位简历及内设机构情况</w:t>
            </w:r>
            <w:r>
              <w:rPr>
                <w:highlight w:val="none"/>
              </w:rPr>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3" w:type="dxa"/>
            <w:vAlign w:val="center"/>
            <w:textDirection w:val="lrTb"/>
            <w:noWrap w:val="false"/>
          </w:tcPr>
          <w:p>
            <w:pPr>
              <w:ind w:left="0" w:right="0" w:firstLine="0"/>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r>
      <w:tr>
        <w:trPr>
          <w:trHeight w:val="3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单位优势及特长</w:t>
            </w:r>
            <w:r>
              <w:rPr>
                <w:highlight w:val="none"/>
              </w:rPr>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3" w:type="dxa"/>
            <w:vAlign w:val="center"/>
            <w:textDirection w:val="lrTb"/>
            <w:noWrap w:val="false"/>
          </w:tcPr>
          <w:p>
            <w:pPr>
              <w:ind w:left="0" w:right="0" w:firstLine="0"/>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是否处于被行政或司法机关责令停业或停止承接项目或停止投标资格</w:t>
            </w:r>
            <w:r>
              <w:rPr>
                <w:highlight w:val="none"/>
              </w:rPr>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3" w:type="dxa"/>
            <w:vAlign w:val="center"/>
            <w:textDirection w:val="lrTb"/>
            <w:noWrap w:val="false"/>
          </w:tcPr>
          <w:p>
            <w:pPr>
              <w:ind w:left="0" w:right="0" w:firstLine="0"/>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最近2年内在经营过程中受到何种奖励或处分（包括情况和结果）</w:t>
            </w:r>
            <w:r>
              <w:rPr>
                <w:highlight w:val="none"/>
              </w:rPr>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3" w:type="dxa"/>
            <w:vAlign w:val="center"/>
            <w:textDirection w:val="lrTb"/>
            <w:noWrap w:val="false"/>
          </w:tcPr>
          <w:p>
            <w:pPr>
              <w:ind w:left="0" w:right="0" w:firstLine="0"/>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最近3年内有无因售假、售劣或是其他原因被消费者投诉或起诉的情况及说明（包括解决方式和结果）</w:t>
            </w:r>
            <w:r>
              <w:rPr>
                <w:highlight w:val="none"/>
              </w:rPr>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3" w:type="dxa"/>
            <w:vAlign w:val="center"/>
            <w:textDirection w:val="lrTb"/>
            <w:noWrap w:val="false"/>
          </w:tcPr>
          <w:p>
            <w:pPr>
              <w:ind w:left="0" w:right="0" w:firstLine="0"/>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最近3年内主要负责人有无因经济犯罪被司法机关追究的情况及说明</w:t>
            </w:r>
            <w:r>
              <w:rPr>
                <w:highlight w:val="none"/>
              </w:rPr>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3" w:type="dxa"/>
            <w:vAlign w:val="center"/>
            <w:textDirection w:val="lrTb"/>
            <w:noWrap w:val="false"/>
          </w:tcPr>
          <w:p>
            <w:pPr>
              <w:ind w:left="0" w:right="0" w:firstLine="0"/>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获得技术认证的工程师及简介</w:t>
            </w:r>
            <w:r>
              <w:rPr>
                <w:highlight w:val="none"/>
              </w:rPr>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3" w:type="dxa"/>
            <w:vAlign w:val="center"/>
            <w:textDirection w:val="lrTb"/>
            <w:noWrap w:val="false"/>
          </w:tcPr>
          <w:p>
            <w:pPr>
              <w:ind w:left="0" w:right="0" w:firstLine="0"/>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其他需要说明的情况</w:t>
            </w:r>
            <w:r>
              <w:rPr>
                <w:highlight w:val="none"/>
              </w:rPr>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3" w:type="dxa"/>
            <w:vAlign w:val="center"/>
            <w:textDirection w:val="lrTb"/>
            <w:noWrap w:val="false"/>
          </w:tcPr>
          <w:p>
            <w:pPr>
              <w:ind w:left="0" w:right="0" w:firstLine="0"/>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r>
    </w:tbl>
    <w:p>
      <w:pPr>
        <w:ind w:left="0" w:right="105" w:firstLine="0"/>
        <w:jc w:val="right"/>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p>
      <w:pPr>
        <w:ind w:left="0" w:right="105" w:firstLine="0"/>
        <w:jc w:val="right"/>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p>
      <w:pPr>
        <w:ind w:left="0" w:right="105" w:firstLine="0"/>
        <w:jc w:val="right"/>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供应商名称：（加盖CA电子公章）</w:t>
      </w:r>
      <w:r>
        <w:rPr>
          <w:highlight w:val="none"/>
        </w:rPr>
      </w:r>
      <w:r/>
    </w:p>
    <w:p>
      <w:pPr>
        <w:ind w:left="0" w:right="420" w:firstLine="210"/>
        <w:jc w:val="right"/>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日期：　　　年　　月　　日</w:t>
      </w:r>
      <w:r>
        <w:rPr>
          <w:highlight w:val="none"/>
        </w:rPr>
      </w:r>
      <w:r/>
    </w:p>
    <w:p>
      <w:pPr>
        <w:ind w:left="0" w:right="0" w:firstLine="0"/>
        <w:spacing w:before="0" w:after="0"/>
        <w:rPr>
          <w:highlight w:val="none"/>
        </w:rPr>
        <w:pBdr>
          <w:top w:val="none" w:color="000000" w:sz="0" w:space="0"/>
          <w:left w:val="none" w:color="000000" w:sz="0" w:space="0"/>
          <w:bottom w:val="none" w:color="000000" w:sz="0" w:space="0"/>
          <w:right w:val="none" w:color="000000" w:sz="0" w:space="0"/>
        </w:pBdr>
      </w:pPr>
      <w:r>
        <w:rPr>
          <w:highlight w:val="none"/>
        </w:rPr>
        <w:br w:type="page" w:clear="all"/>
      </w:r>
      <w:r>
        <w:rPr>
          <w:highlight w:val="none"/>
        </w:rPr>
      </w:r>
      <w:r/>
    </w:p>
    <w:p>
      <w:pPr>
        <w:ind w:left="0" w:right="0" w:firstLine="0"/>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（3）中小企业声明函</w:t>
      </w:r>
      <w:r>
        <w:rPr>
          <w:highlight w:val="none"/>
        </w:rPr>
      </w:r>
      <w:r/>
    </w:p>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p>
      <w:pPr>
        <w:ind w:left="0" w:right="0" w:firstLine="482"/>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中小企业声明函（服务）</w:t>
      </w:r>
      <w:r>
        <w:rPr>
          <w:highlight w:val="none"/>
        </w:rPr>
      </w:r>
      <w:r/>
    </w:p>
    <w:p>
      <w:pPr>
        <w:ind w:left="57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本公司郑重声明，根据《政府采购促进中小企业发展管理办法》（财库﹝2020﹞46号）的规定，本公司参加</w:t>
      </w:r>
      <w:r>
        <w:rPr>
          <w:rFonts w:hint="eastAsia" w:ascii="宋体" w:hAnsi="宋体" w:eastAsia="宋体" w:cs="宋体"/>
          <w:color w:val="000000"/>
          <w:sz w:val="24"/>
          <w:highlight w:val="none"/>
          <w:u w:val="single"/>
          <w:lang w:eastAsia="zh-CN"/>
        </w:rPr>
        <w:t xml:space="preserve">苏州市心理健康中心</w:t>
      </w:r>
      <w:r>
        <w:rPr>
          <w:rFonts w:ascii="宋体" w:hAnsi="宋体" w:eastAsia="宋体" w:cs="宋体"/>
          <w:color w:val="000000"/>
          <w:sz w:val="24"/>
          <w:highlight w:val="none"/>
        </w:rPr>
        <w:t xml:space="preserve">的</w:t>
      </w:r>
      <w:r>
        <w:rPr>
          <w:rFonts w:hint="eastAsia" w:ascii="宋体" w:hAnsi="宋体" w:eastAsia="宋体" w:cs="宋体"/>
          <w:color w:val="000000"/>
          <w:sz w:val="24"/>
          <w:highlight w:val="none"/>
          <w:u w:val="single"/>
          <w:lang w:eastAsia="zh-CN"/>
        </w:rPr>
        <w:t xml:space="preserve">2026年苏州市12356心理热线运营服务</w:t>
      </w:r>
      <w:r>
        <w:rPr>
          <w:rFonts w:ascii="宋体" w:hAnsi="宋体" w:eastAsia="宋体" w:cs="宋体"/>
          <w:color w:val="000000"/>
          <w:sz w:val="24"/>
          <w:highlight w:val="none"/>
        </w:rPr>
        <w:t xml:space="preserve">采购活动，服务全部由符合政策要求的中小企业承接。相关企业的具体情况如下：</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w:t>
      </w:r>
      <w:r>
        <w:rPr>
          <w:rFonts w:hint="eastAsia" w:ascii="宋体" w:hAnsi="宋体" w:eastAsia="宋体" w:cs="宋体"/>
          <w:color w:val="000000"/>
          <w:sz w:val="24"/>
          <w:highlight w:val="none"/>
          <w:u w:val="single"/>
          <w:lang w:eastAsia="zh-CN"/>
        </w:rPr>
        <w:t xml:space="preserve">2026年苏州市12356心理热线运营服务</w:t>
      </w:r>
      <w:r>
        <w:rPr>
          <w:rFonts w:ascii="宋体" w:hAnsi="宋体" w:eastAsia="宋体" w:cs="宋体"/>
          <w:color w:val="000000"/>
          <w:sz w:val="24"/>
          <w:highlight w:val="none"/>
        </w:rPr>
        <w:t xml:space="preserve">，属于</w:t>
      </w:r>
      <w:r>
        <w:rPr>
          <w:rFonts w:ascii="宋体" w:hAnsi="宋体" w:eastAsia="宋体" w:cs="宋体"/>
          <w:color w:val="000000"/>
          <w:sz w:val="24"/>
          <w:highlight w:val="none"/>
          <w:u w:val="single"/>
        </w:rPr>
        <w:t xml:space="preserve">其他未列明行业</w:t>
      </w:r>
      <w:r>
        <w:rPr>
          <w:rFonts w:ascii="宋体" w:hAnsi="宋体" w:eastAsia="宋体" w:cs="宋体"/>
          <w:color w:val="000000"/>
          <w:sz w:val="24"/>
          <w:highlight w:val="none"/>
        </w:rPr>
        <w:t xml:space="preserve">；承接企业为</w:t>
      </w:r>
      <w:r>
        <w:rPr>
          <w:rFonts w:ascii="宋体" w:hAnsi="宋体" w:eastAsia="宋体" w:cs="宋体"/>
          <w:color w:val="000000"/>
          <w:sz w:val="24"/>
          <w:highlight w:val="none"/>
          <w:u w:val="single"/>
        </w:rPr>
        <w:t xml:space="preserve">（企业名称）</w:t>
      </w:r>
      <w:r>
        <w:rPr>
          <w:rFonts w:ascii="宋体" w:hAnsi="宋体" w:eastAsia="宋体" w:cs="宋体"/>
          <w:color w:val="000000"/>
          <w:sz w:val="24"/>
          <w:highlight w:val="none"/>
        </w:rPr>
        <w:t xml:space="preserve">，从业人员</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人，营业收入为</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万元，资产总额为</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万元，属于</w:t>
      </w:r>
      <w:r>
        <w:rPr>
          <w:rFonts w:ascii="宋体" w:hAnsi="宋体" w:eastAsia="宋体" w:cs="宋体"/>
          <w:color w:val="000000"/>
          <w:sz w:val="24"/>
          <w:highlight w:val="none"/>
          <w:u w:val="single"/>
        </w:rPr>
        <w:t xml:space="preserve">（□中型企业、□小型企业、□微型企业）</w:t>
      </w:r>
      <w:r>
        <w:rPr>
          <w:rFonts w:ascii="宋体" w:hAnsi="宋体" w:eastAsia="宋体" w:cs="宋体"/>
          <w:color w:val="000000"/>
          <w:sz w:val="24"/>
          <w:highlight w:val="none"/>
        </w:rPr>
        <w:t xml:space="preserve">；</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w:t>
      </w:r>
      <w:r>
        <w:rPr>
          <w:rFonts w:ascii="宋体" w:hAnsi="宋体" w:eastAsia="宋体" w:cs="宋体"/>
          <w:color w:val="000000"/>
          <w:sz w:val="24"/>
          <w:highlight w:val="none"/>
          <w:u w:val="single"/>
        </w:rPr>
        <w:t xml:space="preserve">（项目名称）</w:t>
      </w:r>
      <w:r>
        <w:rPr>
          <w:rFonts w:ascii="宋体" w:hAnsi="宋体" w:eastAsia="宋体" w:cs="宋体"/>
          <w:color w:val="000000"/>
          <w:sz w:val="24"/>
          <w:highlight w:val="none"/>
        </w:rPr>
        <w:t xml:space="preserve">，属于</w:t>
      </w:r>
      <w:r>
        <w:rPr>
          <w:rFonts w:ascii="宋体" w:hAnsi="宋体" w:eastAsia="宋体" w:cs="宋体"/>
          <w:color w:val="000000"/>
          <w:sz w:val="24"/>
          <w:highlight w:val="none"/>
          <w:u w:val="single"/>
        </w:rPr>
        <w:t xml:space="preserve">（采购文件中明确的所属行业）行业</w:t>
      </w:r>
      <w:r>
        <w:rPr>
          <w:rFonts w:ascii="宋体" w:hAnsi="宋体" w:eastAsia="宋体" w:cs="宋体"/>
          <w:color w:val="000000"/>
          <w:sz w:val="24"/>
          <w:highlight w:val="none"/>
        </w:rPr>
        <w:t xml:space="preserve">；承接企业为</w:t>
      </w:r>
      <w:r>
        <w:rPr>
          <w:rFonts w:ascii="宋体" w:hAnsi="宋体" w:eastAsia="宋体" w:cs="宋体"/>
          <w:color w:val="000000"/>
          <w:sz w:val="24"/>
          <w:highlight w:val="none"/>
          <w:u w:val="single"/>
        </w:rPr>
        <w:t xml:space="preserve">（企业名称）</w:t>
      </w:r>
      <w:r>
        <w:rPr>
          <w:rFonts w:ascii="宋体" w:hAnsi="宋体" w:eastAsia="宋体" w:cs="宋体"/>
          <w:color w:val="000000"/>
          <w:sz w:val="24"/>
          <w:highlight w:val="none"/>
        </w:rPr>
        <w:t xml:space="preserve">，从业人员</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人，营业收入为</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万元，资产总额为</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万元，属于</w:t>
      </w:r>
      <w:r>
        <w:rPr>
          <w:rFonts w:ascii="宋体" w:hAnsi="宋体" w:eastAsia="宋体" w:cs="宋体"/>
          <w:color w:val="000000"/>
          <w:sz w:val="24"/>
          <w:highlight w:val="none"/>
          <w:u w:val="single"/>
        </w:rPr>
        <w:t xml:space="preserve">（□中型企业、□小型企业、□微型企业）</w:t>
      </w:r>
      <w:r>
        <w:rPr>
          <w:rFonts w:ascii="宋体" w:hAnsi="宋体" w:eastAsia="宋体" w:cs="宋体"/>
          <w:color w:val="000000"/>
          <w:sz w:val="24"/>
          <w:highlight w:val="none"/>
        </w:rPr>
        <w:t xml:space="preserve">；</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以上企业，不属于大企业的分支机构，不存在控股股东为大企业的情形，也不存在与大企业的负责人为同一人的情形。</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本企业对上述声明内容的真实性负责。如有虚假，将依法承担相应责任。</w:t>
      </w:r>
      <w:r>
        <w:rPr>
          <w:highlight w:val="none"/>
        </w:rPr>
      </w:r>
      <w:r/>
    </w:p>
    <w:p>
      <w:pPr>
        <w:ind w:left="0" w:right="0" w:firstLine="48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p>
      <w:pPr>
        <w:ind w:left="0" w:right="0" w:firstLine="480"/>
        <w:jc w:val="center"/>
        <w:spacing w:before="100" w:after="100" w:line="85" w:lineRule="atLeast"/>
        <w:tabs>
          <w:tab w:val="left" w:pos="572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ab/>
      </w:r>
      <w:r>
        <w:rPr>
          <w:rFonts w:ascii="宋体" w:hAnsi="宋体" w:eastAsia="宋体" w:cs="宋体"/>
          <w:color w:val="000000"/>
          <w:sz w:val="24"/>
          <w:highlight w:val="none"/>
        </w:rPr>
        <w:t xml:space="preserve">单位名称（盖章）：</w:t>
      </w:r>
      <w:r>
        <w:rPr>
          <w:highlight w:val="none"/>
        </w:rPr>
      </w:r>
      <w:r/>
    </w:p>
    <w:p>
      <w:pPr>
        <w:ind w:left="0" w:right="0" w:firstLine="0"/>
        <w:spacing w:before="240" w:after="240"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rPr>
          <w:highlight w:val="none"/>
        </w:rPr>
      </w:r>
      <w:r/>
    </w:p>
    <w:p>
      <w:pPr>
        <w:ind w:left="0" w:right="0" w:firstLine="0"/>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（4）残疾人福利性单位声明函</w:t>
      </w:r>
      <w:r>
        <w:rPr>
          <w:highlight w:val="none"/>
        </w:rPr>
      </w:r>
      <w:r/>
    </w:p>
    <w:p>
      <w:pPr>
        <w:ind w:left="0" w:right="0" w:firstLine="0"/>
        <w:jc w:val="cente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rPr>
          <w:highlight w:val="none"/>
        </w:rPr>
      </w:r>
      <w:r/>
    </w:p>
    <w:p>
      <w:pPr>
        <w:ind w:left="0" w:right="0" w:firstLine="0"/>
        <w:jc w:val="cente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残疾人福利性单位声明函</w:t>
      </w:r>
      <w:r>
        <w:rPr>
          <w:highlight w:val="none"/>
        </w:rPr>
      </w:r>
      <w:r/>
    </w:p>
    <w:p>
      <w:pPr>
        <w:ind w:left="0" w:right="0" w:firstLine="480"/>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p>
      <w:pPr>
        <w:ind w:left="0" w:right="0" w:firstLine="480"/>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highlight w:val="none"/>
        </w:rPr>
      </w:r>
      <w:r/>
    </w:p>
    <w:p>
      <w:pPr>
        <w:ind w:left="0" w:right="0" w:firstLine="480"/>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本单位对上述声明的真实性负责。如有虚假，将依法承担相应责任。</w:t>
      </w:r>
      <w:r>
        <w:rPr>
          <w:highlight w:val="none"/>
        </w:rPr>
      </w:r>
      <w:r/>
    </w:p>
    <w:p>
      <w:pPr>
        <w:ind w:left="0" w:right="0" w:firstLine="480"/>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p>
      <w:pPr>
        <w:ind w:left="0" w:right="0" w:firstLine="480"/>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p>
      <w:pPr>
        <w:ind w:left="0" w:right="0" w:firstLine="480"/>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单位名称（盖章）：</w:t>
      </w:r>
      <w:r>
        <w:rPr>
          <w:highlight w:val="none"/>
        </w:rPr>
      </w:r>
      <w:r/>
    </w:p>
    <w:p>
      <w:pPr>
        <w:ind w:left="0" w:right="0" w:firstLine="480"/>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日期：</w:t>
      </w:r>
      <w:r>
        <w:rPr>
          <w:rFonts w:ascii="宋体" w:hAnsi="宋体" w:eastAsia="宋体" w:cs="宋体"/>
          <w:color w:val="000000"/>
          <w:sz w:val="24"/>
          <w:highlight w:val="none"/>
        </w:rPr>
        <w:br/>
      </w:r>
      <w:r>
        <w:rPr>
          <w:highlight w:val="none"/>
        </w:rPr>
      </w:r>
      <w:r/>
    </w:p>
    <w:p>
      <w:pPr>
        <w:ind w:left="0" w:right="0" w:firstLine="422"/>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注：</w:t>
      </w:r>
      <w:r>
        <w:rPr>
          <w:rFonts w:ascii="宋体" w:hAnsi="宋体" w:eastAsia="宋体" w:cs="宋体"/>
          <w:b/>
          <w:color w:val="000000"/>
          <w:sz w:val="21"/>
          <w:highlight w:val="none"/>
          <w:u w:val="none"/>
        </w:rPr>
        <w:t xml:space="preserve">投标（响应）文件中的电子签章视为供应商对本声明进行了签署盖章并承担相应责任</w:t>
      </w:r>
      <w:r>
        <w:rPr>
          <w:rFonts w:ascii="宋体" w:hAnsi="宋体" w:eastAsia="宋体" w:cs="宋体"/>
          <w:b/>
          <w:color w:val="000000"/>
          <w:sz w:val="21"/>
          <w:highlight w:val="none"/>
        </w:rPr>
        <w:t xml:space="preserve">。</w:t>
      </w:r>
      <w:r>
        <w:rPr>
          <w:highlight w:val="none"/>
        </w:rPr>
      </w:r>
      <w:r/>
    </w:p>
    <w:p>
      <w:pPr>
        <w:ind w:left="0" w:right="0" w:firstLine="0"/>
        <w:spacing w:before="0" w:after="0"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rPr>
          <w:highlight w:val="none"/>
        </w:rPr>
      </w:r>
      <w:r/>
    </w:p>
    <w:p>
      <w:pPr>
        <w:ind w:left="0" w:right="0" w:firstLine="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（5）投标人与其他单位存在直接控股、管理关系情况表</w:t>
      </w:r>
      <w:r>
        <w:rPr>
          <w:highlight w:val="none"/>
        </w:rPr>
      </w:r>
      <w:r/>
    </w:p>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rPr>
          <w:highlight w:val="none"/>
        </w:rPr>
      </w:r>
      <w:r/>
    </w:p>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投标人与其他单位存在直接控股、管理关系情况表</w:t>
      </w:r>
      <w:r>
        <w:rPr>
          <w:highlight w:val="none"/>
        </w:rPr>
      </w:r>
      <w:r/>
    </w:p>
    <w:p>
      <w:pPr>
        <w:ind w:left="0" w:right="0" w:firstLine="42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单位名称：</w:t>
      </w:r>
      <w:r>
        <w:rPr>
          <w:highlight w:val="none"/>
        </w:rPr>
      </w:r>
      <w:r/>
    </w:p>
    <w:tbl>
      <w:tblPr>
        <w:tblStyle w:val="8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53"/>
        <w:gridCol w:w="1425"/>
        <w:gridCol w:w="1259"/>
        <w:gridCol w:w="1322"/>
        <w:gridCol w:w="1204"/>
        <w:gridCol w:w="1431"/>
        <w:gridCol w:w="1060"/>
      </w:tblGrid>
      <w:tr>
        <w:trPr>
          <w:trHeight w:val="766"/>
        </w:trPr>
        <w:tc>
          <w:tcPr>
            <w:gridSpan w:val="4"/>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59"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与投标人存在直接股权关系</w:t>
            </w:r>
            <w:r>
              <w:rPr>
                <w:highlight w:val="none"/>
              </w:rPr>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95"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与投标人存在直接管理关系</w:t>
            </w:r>
            <w:r>
              <w:rPr>
                <w:highlight w:val="none"/>
              </w:rPr>
            </w:r>
            <w:r/>
          </w:p>
        </w:tc>
      </w:tr>
      <w:tr>
        <w:trPr>
          <w:trHeight w:val="7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3"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单位名称</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是否为大型企业</w:t>
            </w:r>
            <w:r>
              <w:rPr>
                <w:highlight w:val="none"/>
              </w:rPr>
            </w:r>
            <w:r/>
          </w:p>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18"/>
                <w:highlight w:val="none"/>
              </w:rPr>
              <w:t xml:space="preserve">（填写“是”或 “否”）</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top"/>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是否直接控股</w:t>
            </w:r>
            <w:r>
              <w:rPr>
                <w:highlight w:val="none"/>
              </w:rPr>
            </w:r>
            <w:r/>
          </w:p>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18"/>
                <w:highlight w:val="none"/>
              </w:rPr>
              <w:t xml:space="preserve">（填写“是”或 “否”）</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1"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直接控股关系情况说明</w:t>
            </w:r>
            <w:r>
              <w:rPr>
                <w:rFonts w:ascii="宋体" w:hAnsi="宋体" w:eastAsia="宋体" w:cs="宋体"/>
                <w:b/>
                <w:color w:val="000000"/>
                <w:sz w:val="18"/>
                <w:highlight w:val="none"/>
              </w:rPr>
              <w:t xml:space="preserve">（持股比例等）</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单位名称</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是否为大型企业</w:t>
            </w:r>
            <w:r>
              <w:rPr>
                <w:highlight w:val="none"/>
              </w:rPr>
            </w:r>
            <w:r/>
          </w:p>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18"/>
                <w:highlight w:val="none"/>
              </w:rPr>
              <w:t xml:space="preserve">（填写“是”或 “否”）</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0"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直接管理关系情况说明</w:t>
            </w:r>
            <w:r>
              <w:rPr>
                <w:highlight w:val="none"/>
              </w:rPr>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3"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1"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0"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 </w:t>
            </w:r>
            <w:r>
              <w:rPr>
                <w:highlight w:val="none"/>
              </w:rPr>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3"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1"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0"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 </w:t>
            </w:r>
            <w:r>
              <w:rPr>
                <w:highlight w:val="none"/>
              </w:rPr>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3"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1"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0"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 </w:t>
            </w:r>
            <w:r>
              <w:rPr>
                <w:highlight w:val="none"/>
              </w:rPr>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3"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1"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0"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 </w:t>
            </w:r>
            <w:r>
              <w:rPr>
                <w:highlight w:val="none"/>
              </w:rPr>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3"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1"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0"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 </w:t>
            </w:r>
            <w:r>
              <w:rPr>
                <w:highlight w:val="none"/>
              </w:rPr>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3"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1"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0"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 </w:t>
            </w:r>
            <w:r>
              <w:rPr>
                <w:highlight w:val="none"/>
              </w:rPr>
            </w:r>
            <w:r/>
          </w:p>
        </w:tc>
      </w:tr>
    </w:tbl>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注：1、本表仅须填写与投标人存在直接股权、管理关系的企业情况。投标人应按上表要求据实填写，如填写“无”或不填写，均视为投标人声明不存在有关情形。</w:t>
      </w:r>
      <w:r>
        <w:rPr>
          <w:highlight w:val="none"/>
        </w:rPr>
      </w:r>
      <w:r/>
    </w:p>
    <w:p>
      <w:pPr>
        <w:ind w:left="0" w:right="0" w:firstLine="482"/>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2、其中“直接控股”是指投标人与大型企业之间存在直接投资并控股（非普通持股）的关系。</w:t>
      </w:r>
      <w:r>
        <w:rPr>
          <w:highlight w:val="none"/>
        </w:rPr>
      </w:r>
      <w:r/>
    </w:p>
    <w:p>
      <w:pPr>
        <w:ind w:left="0" w:right="0" w:firstLine="480"/>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p>
      <w:pPr>
        <w:ind w:left="0" w:right="0" w:firstLine="480"/>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p>
      <w:pPr>
        <w:ind w:left="0" w:right="0" w:firstLine="480"/>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p>
      <w:pPr>
        <w:ind w:left="0" w:right="105" w:firstLine="210"/>
        <w:jc w:val="right"/>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供应商名称：（加盖CA电子公章）</w:t>
      </w:r>
      <w:r>
        <w:rPr>
          <w:highlight w:val="none"/>
        </w:rPr>
      </w:r>
      <w:r/>
    </w:p>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日期：　　　年　　月　　日</w:t>
      </w:r>
      <w:r>
        <w:rPr>
          <w:highlight w:val="none"/>
        </w:rPr>
      </w:r>
      <w:r/>
    </w:p>
    <w:p>
      <w:pPr>
        <w:ind w:left="0" w:right="0" w:firstLine="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rPr>
          <w:highlight w:val="none"/>
        </w:rPr>
      </w:r>
      <w:r/>
    </w:p>
    <w:p>
      <w:pPr>
        <w:ind w:left="0" w:right="0" w:firstLine="0"/>
        <w:spacing w:before="0" w:after="0"/>
        <w:rPr>
          <w:highlight w:val="none"/>
        </w:rPr>
        <w:pBdr>
          <w:top w:val="none" w:color="000000" w:sz="0" w:space="0"/>
          <w:left w:val="none" w:color="000000" w:sz="0" w:space="0"/>
          <w:bottom w:val="none" w:color="000000" w:sz="0" w:space="0"/>
          <w:right w:val="none" w:color="000000" w:sz="0" w:space="0"/>
        </w:pBdr>
      </w:pPr>
      <w:r>
        <w:rPr>
          <w:highlight w:val="none"/>
        </w:rPr>
        <w:br w:type="page" w:clear="all"/>
      </w:r>
      <w:r>
        <w:rPr>
          <w:highlight w:val="none"/>
        </w:rPr>
      </w:r>
      <w:r/>
    </w:p>
    <w:p>
      <w:pPr>
        <w:ind w:left="0" w:right="0" w:firstLine="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（6）投标（响应）保证承诺书</w:t>
      </w:r>
      <w:r>
        <w:rPr>
          <w:highlight w:val="none"/>
        </w:rPr>
      </w:r>
      <w:r/>
    </w:p>
    <w:p>
      <w:pPr>
        <w:ind w:left="0" w:right="0" w:firstLine="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投标（响应）保证承诺书</w:t>
      </w:r>
      <w:r>
        <w:rPr>
          <w:highlight w:val="none"/>
        </w:rPr>
      </w:r>
      <w:r/>
    </w:p>
    <w:p>
      <w:pPr>
        <w:ind w:left="520" w:right="0" w:firstLine="520"/>
        <w:jc w:val="both"/>
        <w:spacing w:before="210" w:after="120" w:line="52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致：</w:t>
      </w:r>
      <w:r>
        <w:rPr>
          <w:rFonts w:ascii="宋体" w:hAnsi="宋体" w:eastAsia="宋体" w:cs="宋体"/>
          <w:color w:val="000000"/>
          <w:sz w:val="24"/>
          <w:highlight w:val="none"/>
          <w:u w:val="single"/>
        </w:rPr>
        <w:t xml:space="preserve">（采购代理机构名称）</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我（单位/本人，以下统称我单位）自愿参加</w:t>
      </w:r>
      <w:r>
        <w:rPr>
          <w:rFonts w:ascii="宋体" w:hAnsi="宋体" w:eastAsia="宋体" w:cs="宋体"/>
          <w:color w:val="000000"/>
          <w:sz w:val="24"/>
          <w:highlight w:val="none"/>
          <w:u w:val="single"/>
        </w:rPr>
        <w:t xml:space="preserve"> （项目名称和采购编号） </w:t>
      </w:r>
      <w:r>
        <w:rPr>
          <w:rFonts w:ascii="宋体" w:hAnsi="宋体" w:eastAsia="宋体" w:cs="宋体"/>
          <w:color w:val="000000"/>
          <w:sz w:val="24"/>
          <w:highlight w:val="none"/>
        </w:rPr>
        <w:t xml:space="preserve">的投标（响应），并做出如下承诺：</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一、除不可抗力外，我单位如果发生以下行为，将在行为发生的10个工作日内，向</w:t>
      </w:r>
      <w:r>
        <w:rPr>
          <w:rFonts w:ascii="宋体" w:hAnsi="宋体" w:eastAsia="宋体" w:cs="宋体"/>
          <w:color w:val="000000"/>
          <w:sz w:val="24"/>
          <w:highlight w:val="none"/>
          <w:u w:val="single"/>
        </w:rPr>
        <w:t xml:space="preserve">采购人</w:t>
      </w:r>
      <w:r>
        <w:rPr>
          <w:rFonts w:ascii="宋体" w:hAnsi="宋体" w:eastAsia="宋体" w:cs="宋体"/>
          <w:color w:val="000000"/>
          <w:sz w:val="24"/>
          <w:highlight w:val="none"/>
        </w:rPr>
        <w:t xml:space="preserve">支付本采购文件公布的预算金额的2%作为违约赔偿金。</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1.自投标（响应）截止时间至本项目发布成交（成交）公告为止，撤销投标（响应）；</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2.成交（成交）后不依法与采购人签订合同；</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二、我单位知晓上述行为的法律后果，承认本承诺书作为贵方</w:t>
      </w:r>
      <w:r>
        <w:rPr>
          <w:rFonts w:ascii="宋体" w:hAnsi="宋体" w:eastAsia="宋体" w:cs="宋体"/>
          <w:color w:val="000000"/>
          <w:sz w:val="24"/>
          <w:highlight w:val="none"/>
          <w:u w:val="single"/>
        </w:rPr>
        <w:t xml:space="preserve">（或采购人）</w:t>
      </w:r>
      <w:r>
        <w:rPr>
          <w:rFonts w:ascii="宋体" w:hAnsi="宋体" w:eastAsia="宋体" w:cs="宋体"/>
          <w:color w:val="000000"/>
          <w:sz w:val="24"/>
          <w:highlight w:val="none"/>
        </w:rPr>
        <w:t xml:space="preserve">要求我单位履行违约赔偿义务的依据作用。</w:t>
      </w:r>
      <w:r>
        <w:rPr>
          <w:highlight w:val="none"/>
        </w:rPr>
      </w:r>
      <w:r/>
    </w:p>
    <w:p>
      <w:pPr>
        <w:ind w:left="0" w:right="0" w:firstLine="48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p>
      <w:pPr>
        <w:ind w:left="0" w:right="0" w:firstLine="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投标（响应）人：（盖公章）</w:t>
      </w:r>
      <w:r>
        <w:rPr>
          <w:highlight w:val="none"/>
        </w:rPr>
      </w:r>
      <w:r/>
    </w:p>
    <w:p>
      <w:pPr>
        <w:ind w:left="0" w:right="0" w:firstLine="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地址：</w:t>
      </w:r>
      <w:r>
        <w:rPr>
          <w:highlight w:val="none"/>
        </w:rPr>
      </w:r>
      <w:r/>
    </w:p>
    <w:p>
      <w:pPr>
        <w:ind w:left="0" w:right="0" w:firstLine="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电话：传真：</w:t>
      </w:r>
      <w:r>
        <w:rPr>
          <w:highlight w:val="none"/>
        </w:rPr>
      </w:r>
      <w:r/>
    </w:p>
    <w:p>
      <w:pPr>
        <w:ind w:left="0" w:right="0" w:firstLine="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电子邮件：邮编：</w:t>
      </w:r>
      <w:r>
        <w:rPr>
          <w:highlight w:val="none"/>
        </w:rPr>
      </w:r>
      <w:r/>
    </w:p>
    <w:p>
      <w:pPr>
        <w:ind w:left="0" w:right="0" w:firstLine="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法定代表人或委托代理人(签字或签章)：          </w:t>
      </w:r>
      <w:r>
        <w:rPr>
          <w:highlight w:val="none"/>
        </w:rPr>
      </w: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日期：年月日</w:t>
      </w:r>
      <w:r>
        <w:rPr>
          <w:highlight w:val="none"/>
        </w:rPr>
      </w:r>
      <w:r/>
    </w:p>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r>
      <w:r>
        <w:rPr>
          <w:rFonts w:ascii="宋体" w:hAnsi="宋体" w:eastAsia="宋体" w:cs="宋体"/>
          <w:color w:val="000000"/>
          <w:sz w:val="24"/>
          <w:highlight w:val="none"/>
        </w:rPr>
      </w:r>
      <w:r/>
    </w:p>
    <w:p>
      <w:pPr>
        <w:ind w:left="0" w:right="0" w:firstLine="0"/>
        <w:jc w:val="center"/>
        <w:spacing w:before="0" w:after="0" w:line="85"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r>
      <w:r>
        <w:rPr>
          <w:rFonts w:ascii="宋体" w:hAnsi="宋体" w:eastAsia="宋体" w:cs="宋体"/>
          <w:color w:val="000000"/>
          <w:sz w:val="24"/>
          <w:highlight w:val="none"/>
        </w:rPr>
      </w:r>
      <w:r/>
    </w:p>
    <w:p>
      <w:pPr>
        <w:ind w:left="0" w:right="0" w:firstLine="0"/>
        <w:jc w:val="center"/>
        <w:spacing w:before="0" w:after="0" w:line="85"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r>
      <w:r>
        <w:rPr>
          <w:rFonts w:ascii="宋体" w:hAnsi="宋体" w:eastAsia="宋体" w:cs="宋体"/>
          <w:color w:val="000000"/>
          <w:sz w:val="24"/>
          <w:highlight w:val="none"/>
        </w:rPr>
      </w:r>
      <w:r/>
    </w:p>
    <w:p>
      <w:pPr>
        <w:ind w:left="0" w:right="0" w:firstLine="0"/>
        <w:jc w:val="center"/>
        <w:spacing w:before="0" w:after="0" w:line="85"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r>
      <w:r>
        <w:rPr>
          <w:rFonts w:ascii="宋体" w:hAnsi="宋体" w:eastAsia="宋体" w:cs="宋体"/>
          <w:color w:val="000000"/>
          <w:sz w:val="24"/>
          <w:szCs w:val="24"/>
          <w:highlight w:val="none"/>
        </w:rPr>
      </w:r>
      <w:r/>
    </w:p>
    <w:p>
      <w:pPr>
        <w:ind w:left="0" w:right="0" w:firstLine="0"/>
        <w:jc w:val="center"/>
        <w:spacing w:before="0" w:after="0" w:line="85"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r>
      <w:r>
        <w:rPr>
          <w:rFonts w:ascii="宋体" w:hAnsi="宋体" w:eastAsia="宋体" w:cs="宋体"/>
          <w:color w:val="000000"/>
          <w:sz w:val="24"/>
          <w:szCs w:val="24"/>
          <w:highlight w:val="none"/>
        </w:rPr>
      </w:r>
      <w:r/>
    </w:p>
    <w:p>
      <w:pPr>
        <w:ind w:left="0" w:right="0" w:firstLine="0"/>
        <w:jc w:val="center"/>
        <w:spacing w:before="0" w:after="0" w:line="85"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r>
      <w:r>
        <w:rPr>
          <w:rFonts w:ascii="宋体" w:hAnsi="宋体" w:eastAsia="宋体" w:cs="宋体"/>
          <w:color w:val="000000"/>
          <w:sz w:val="24"/>
          <w:szCs w:val="24"/>
          <w:highlight w:val="none"/>
        </w:rPr>
      </w:r>
      <w:r/>
    </w:p>
    <w:p>
      <w:pPr>
        <w:ind w:left="0" w:right="0" w:firstLine="0"/>
        <w:jc w:val="center"/>
        <w:spacing w:before="0" w:after="0" w:line="85"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r>
      <w:r>
        <w:rPr>
          <w:rFonts w:ascii="宋体" w:hAnsi="宋体" w:eastAsia="宋体" w:cs="宋体"/>
          <w:color w:val="000000"/>
          <w:sz w:val="24"/>
          <w:szCs w:val="24"/>
          <w:highlight w:val="none"/>
        </w:rPr>
      </w:r>
      <w:r/>
    </w:p>
    <w:p>
      <w:pPr>
        <w:ind w:left="0" w:right="0" w:firstLine="0"/>
        <w:jc w:val="center"/>
        <w:spacing w:before="0" w:after="0" w:line="85"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r>
      <w:r>
        <w:rPr>
          <w:rFonts w:ascii="宋体" w:hAnsi="宋体" w:eastAsia="宋体" w:cs="宋体"/>
          <w:color w:val="000000"/>
          <w:sz w:val="24"/>
          <w:szCs w:val="24"/>
          <w:highlight w:val="none"/>
        </w:rPr>
      </w:r>
      <w:r/>
    </w:p>
    <w:p>
      <w:pPr>
        <w:ind w:left="0" w:right="0" w:firstLine="0"/>
        <w:jc w:val="center"/>
        <w:spacing w:before="0" w:after="0" w:line="85"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r>
      <w:r>
        <w:rPr>
          <w:rFonts w:ascii="宋体" w:hAnsi="宋体" w:eastAsia="宋体" w:cs="宋体"/>
          <w:color w:val="000000"/>
          <w:sz w:val="24"/>
          <w:szCs w:val="24"/>
          <w:highlight w:val="none"/>
        </w:rPr>
      </w:r>
      <w:r/>
    </w:p>
    <w:p>
      <w:pPr>
        <w:ind w:left="0" w:right="0" w:firstLine="0"/>
        <w:jc w:val="center"/>
        <w:spacing w:before="0" w:after="0" w:line="85"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r>
      <w:r>
        <w:rPr>
          <w:rFonts w:ascii="宋体" w:hAnsi="宋体" w:eastAsia="宋体" w:cs="宋体"/>
          <w:color w:val="000000"/>
          <w:sz w:val="24"/>
          <w:szCs w:val="24"/>
          <w:highlight w:val="none"/>
        </w:rPr>
      </w:r>
      <w:r/>
    </w:p>
    <w:p>
      <w:pPr>
        <w:ind w:left="0" w:right="0" w:firstLine="0"/>
        <w:jc w:val="center"/>
        <w:spacing w:before="0" w:after="0" w:line="85"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r>
      <w:r>
        <w:rPr>
          <w:rFonts w:ascii="宋体" w:hAnsi="宋体" w:eastAsia="宋体" w:cs="宋体"/>
          <w:color w:val="000000"/>
          <w:sz w:val="24"/>
          <w:szCs w:val="24"/>
          <w:highlight w:val="none"/>
        </w:rPr>
      </w:r>
      <w:r/>
    </w:p>
    <w:p>
      <w:pPr>
        <w:ind w:left="0" w:right="0" w:firstLine="0"/>
        <w:jc w:val="center"/>
        <w:spacing w:before="0" w:after="0" w:line="85"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r>
      <w:r>
        <w:rPr>
          <w:rFonts w:ascii="宋体" w:hAnsi="宋体" w:eastAsia="宋体" w:cs="宋体"/>
          <w:color w:val="000000"/>
          <w:sz w:val="24"/>
          <w:szCs w:val="24"/>
          <w:highlight w:val="none"/>
        </w:rPr>
      </w:r>
      <w:r/>
    </w:p>
    <w:p>
      <w:pPr>
        <w:ind w:left="0" w:right="0" w:firstLine="0"/>
        <w:jc w:val="center"/>
        <w:spacing w:before="0" w:after="0" w:line="85"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r>
      <w:r>
        <w:rPr>
          <w:rFonts w:ascii="宋体" w:hAnsi="宋体" w:eastAsia="宋体" w:cs="宋体"/>
          <w:color w:val="000000"/>
          <w:sz w:val="24"/>
          <w:szCs w:val="24"/>
          <w:highlight w:val="none"/>
        </w:rPr>
      </w:r>
      <w:r/>
    </w:p>
    <w:p>
      <w:pPr>
        <w:ind w:left="0" w:right="0" w:firstLine="0"/>
        <w:jc w:val="center"/>
        <w:spacing w:before="0" w:after="0" w:line="85"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r>
      <w:r>
        <w:rPr>
          <w:rFonts w:ascii="宋体" w:hAnsi="宋体" w:eastAsia="宋体" w:cs="宋体"/>
          <w:color w:val="000000"/>
          <w:sz w:val="24"/>
          <w:szCs w:val="24"/>
          <w:highlight w:val="none"/>
        </w:rPr>
      </w:r>
      <w:r/>
    </w:p>
    <w:p>
      <w:pPr>
        <w:ind w:left="0" w:right="0" w:firstLine="0"/>
        <w:jc w:val="center"/>
        <w:spacing w:before="0" w:after="0" w:line="85"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r>
      <w:r>
        <w:rPr>
          <w:rFonts w:ascii="宋体" w:hAnsi="宋体" w:eastAsia="宋体" w:cs="宋体"/>
          <w:color w:val="000000"/>
          <w:sz w:val="24"/>
          <w:szCs w:val="24"/>
          <w:highlight w:val="none"/>
        </w:rPr>
      </w:r>
      <w:r/>
    </w:p>
    <w:p>
      <w:pPr>
        <w:ind w:left="0" w:right="0" w:firstLine="0"/>
        <w:jc w:val="center"/>
        <w:spacing w:before="0" w:after="0" w:line="85"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r>
      <w:r>
        <w:rPr>
          <w:rFonts w:ascii="宋体" w:hAnsi="宋体" w:eastAsia="宋体" w:cs="宋体"/>
          <w:color w:val="000000"/>
          <w:sz w:val="24"/>
          <w:szCs w:val="24"/>
          <w:highlight w:val="none"/>
        </w:rPr>
      </w:r>
      <w:r/>
    </w:p>
    <w:p>
      <w:pPr>
        <w:ind w:left="0" w:right="0" w:firstLine="0"/>
        <w:jc w:val="center"/>
        <w:spacing w:before="0" w:after="0" w:line="85"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r>
      <w:r>
        <w:rPr>
          <w:rFonts w:ascii="宋体" w:hAnsi="宋体" w:eastAsia="宋体" w:cs="宋体"/>
          <w:color w:val="000000"/>
          <w:sz w:val="24"/>
          <w:szCs w:val="24"/>
          <w:highlight w:val="none"/>
        </w:rPr>
      </w:r>
      <w:r/>
    </w:p>
    <w:p>
      <w:pPr>
        <w:ind w:left="0" w:right="0" w:firstLine="0"/>
        <w:jc w:val="center"/>
        <w:spacing w:before="0" w:after="0" w:line="85"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r>
      <w:r>
        <w:rPr>
          <w:rFonts w:ascii="宋体" w:hAnsi="宋体" w:eastAsia="宋体" w:cs="宋体"/>
          <w:color w:val="000000"/>
          <w:sz w:val="24"/>
          <w:szCs w:val="24"/>
          <w:highlight w:val="none"/>
        </w:rPr>
      </w:r>
      <w:r/>
    </w:p>
    <w:p>
      <w:pPr>
        <w:ind w:left="0" w:right="0" w:firstLine="0"/>
        <w:jc w:val="center"/>
        <w:spacing w:before="0" w:after="0" w:line="85"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r>
      <w:r>
        <w:rPr>
          <w:rFonts w:ascii="宋体" w:hAnsi="宋体" w:eastAsia="宋体" w:cs="宋体"/>
          <w:color w:val="000000"/>
          <w:sz w:val="24"/>
          <w:szCs w:val="24"/>
          <w:highlight w:val="none"/>
        </w:rPr>
      </w:r>
      <w:r/>
    </w:p>
    <w:p>
      <w:pPr>
        <w:ind w:left="0" w:right="0" w:firstLine="0"/>
        <w:jc w:val="center"/>
        <w:spacing w:before="0" w:after="0" w:line="85"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r>
      <w:r>
        <w:rPr>
          <w:rFonts w:ascii="宋体" w:hAnsi="宋体" w:eastAsia="宋体" w:cs="宋体"/>
          <w:color w:val="000000"/>
          <w:sz w:val="24"/>
          <w:szCs w:val="24"/>
          <w:highlight w:val="none"/>
        </w:rPr>
      </w:r>
      <w:r/>
    </w:p>
    <w:p>
      <w:pPr>
        <w:ind w:left="0" w:right="0" w:firstLine="0"/>
        <w:jc w:val="center"/>
        <w:spacing w:before="0" w:after="0" w:line="85"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r>
      <w:r>
        <w:rPr>
          <w:rFonts w:ascii="宋体" w:hAnsi="宋体" w:eastAsia="宋体" w:cs="宋体"/>
          <w:color w:val="000000"/>
          <w:sz w:val="24"/>
          <w:szCs w:val="24"/>
          <w:highlight w:val="none"/>
        </w:rPr>
      </w:r>
      <w:r/>
    </w:p>
    <w:p>
      <w:pPr>
        <w:ind w:left="0" w:right="0" w:firstLine="0"/>
        <w:jc w:val="center"/>
        <w:spacing w:before="0" w:after="0" w:line="85"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r>
      <w:r>
        <w:rPr>
          <w:rFonts w:ascii="宋体" w:hAnsi="宋体" w:eastAsia="宋体" w:cs="宋体"/>
          <w:color w:val="000000"/>
          <w:sz w:val="24"/>
          <w:szCs w:val="24"/>
          <w:highlight w:val="none"/>
        </w:rPr>
      </w:r>
      <w:r/>
    </w:p>
    <w:p>
      <w:pPr>
        <w:ind w:left="0" w:right="0" w:firstLine="0"/>
        <w:jc w:val="center"/>
        <w:spacing w:before="0" w:after="0" w:line="85"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r>
      <w:r>
        <w:rPr>
          <w:rFonts w:ascii="宋体" w:hAnsi="宋体" w:eastAsia="宋体" w:cs="宋体"/>
          <w:color w:val="000000"/>
          <w:sz w:val="24"/>
          <w:szCs w:val="24"/>
          <w:highlight w:val="none"/>
        </w:rPr>
      </w:r>
      <w:r/>
    </w:p>
    <w:p>
      <w:pPr>
        <w:ind w:left="0" w:right="0" w:firstLine="0"/>
        <w:jc w:val="center"/>
        <w:spacing w:before="0" w:after="0" w:line="85"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r>
      <w:r>
        <w:rPr>
          <w:rFonts w:ascii="宋体" w:hAnsi="宋体" w:eastAsia="宋体" w:cs="宋体"/>
          <w:color w:val="000000"/>
          <w:sz w:val="24"/>
          <w:highlight w:val="none"/>
        </w:rPr>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w:t>
      </w:r>
      <w:r/>
    </w:p>
    <w:p>
      <w:pPr>
        <w:ind w:left="0" w:right="0" w:firstLine="0"/>
        <w:jc w:val="center"/>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关于符合本国产品标准的声明函（采购包号：**）</w:t>
      </w:r>
      <w:r/>
    </w:p>
    <w:p>
      <w:pPr>
        <w:ind w:left="40" w:right="40" w:firstLine="3720"/>
        <w:spacing w:before="0" w:after="0" w:line="300" w:lineRule="atLeast"/>
        <w:pBdr>
          <w:top w:val="none" w:color="000000" w:sz="4" w:space="0"/>
          <w:left w:val="none" w:color="000000" w:sz="4" w:space="0"/>
          <w:bottom w:val="none" w:color="000000" w:sz="4" w:space="0"/>
          <w:right w:val="none" w:color="000000" w:sz="4" w:space="0"/>
        </w:pBdr>
      </w:pPr>
      <w:r>
        <w:rPr>
          <w:rFonts w:ascii="Arial" w:hAnsi="Arial" w:eastAsia="Arial" w:cs="Arial"/>
          <w:color w:val="ff0000"/>
          <w:sz w:val="24"/>
        </w:rPr>
        <w:t xml:space="preserve"> </w:t>
      </w:r>
      <w:r/>
    </w:p>
    <w:p>
      <w:pPr>
        <w:ind w:left="40" w:right="4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40" w:right="40" w:firstLine="420"/>
        <w:spacing w:before="0" w:after="3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1.</w:t>
      </w:r>
      <w:r>
        <w:rPr>
          <w:rFonts w:ascii="Arial" w:hAnsi="Arial" w:eastAsia="Arial" w:cs="Arial"/>
          <w:color w:val="000000"/>
          <w:sz w:val="21"/>
          <w:highlight w:val="white"/>
          <w:u w:val="single"/>
        </w:rPr>
        <w:t xml:space="preserve">（产品名称1）</w:t>
      </w:r>
      <w:r>
        <w:rPr>
          <w:rFonts w:ascii="Arial" w:hAnsi="Arial" w:eastAsia="Arial" w:cs="Arial"/>
          <w:color w:val="000000"/>
          <w:sz w:val="21"/>
          <w:highlight w:val="white"/>
          <w:vertAlign w:val="superscript"/>
        </w:rPr>
        <w:t xml:space="preserve">1</w:t>
      </w:r>
      <w:r>
        <w:rPr>
          <w:rFonts w:ascii="Arial" w:hAnsi="Arial" w:eastAsia="Arial" w:cs="Arial"/>
          <w:color w:val="000000"/>
          <w:sz w:val="24"/>
          <w:highlight w:val="white"/>
        </w:rPr>
        <w:t xml:space="preserve">，生产厂为</w:t>
      </w:r>
      <w:r>
        <w:rPr>
          <w:rFonts w:ascii="Arial" w:hAnsi="Arial" w:eastAsia="Arial" w:cs="Arial"/>
          <w:color w:val="000000"/>
          <w:sz w:val="21"/>
          <w:highlight w:val="white"/>
          <w:u w:val="single"/>
        </w:rPr>
        <w:t xml:space="preserve">（厂名）</w:t>
      </w:r>
      <w:r>
        <w:rPr>
          <w:rFonts w:ascii="Arial" w:hAnsi="Arial" w:eastAsia="Arial" w:cs="Arial"/>
          <w:color w:val="000000"/>
          <w:sz w:val="21"/>
          <w:highlight w:val="white"/>
          <w:vertAlign w:val="superscript"/>
        </w:rPr>
        <w:t xml:space="preserve">2</w:t>
      </w:r>
      <w:r>
        <w:rPr>
          <w:rFonts w:ascii="Arial" w:hAnsi="Arial" w:eastAsia="Arial" w:cs="Arial"/>
          <w:color w:val="000000"/>
          <w:sz w:val="24"/>
          <w:highlight w:val="white"/>
        </w:rPr>
        <w:t xml:space="preserve">，厂址为</w:t>
      </w:r>
      <w:r>
        <w:rPr>
          <w:rFonts w:ascii="Arial" w:hAnsi="Arial" w:eastAsia="Arial" w:cs="Arial"/>
          <w:color w:val="000000"/>
          <w:sz w:val="21"/>
          <w:highlight w:val="white"/>
          <w:u w:val="single"/>
        </w:rPr>
        <w:t xml:space="preserve">（生产厂址）</w:t>
      </w:r>
      <w:r>
        <w:rPr>
          <w:rFonts w:ascii="Arial" w:hAnsi="Arial" w:eastAsia="Arial" w:cs="Arial"/>
          <w:color w:val="000000"/>
          <w:sz w:val="24"/>
          <w:highlight w:val="white"/>
        </w:rPr>
        <w:t xml:space="preserve">。</w:t>
      </w:r>
      <w:r>
        <w:rPr>
          <w:rFonts w:ascii="Arial" w:hAnsi="Arial" w:eastAsia="Arial" w:cs="Arial"/>
          <w:color w:val="000000"/>
          <w:sz w:val="24"/>
          <w:highlight w:val="white"/>
          <w:u w:val="single"/>
        </w:rPr>
        <w:t xml:space="preserve"> </w:t>
      </w:r>
      <w:r>
        <w:rPr>
          <w:rFonts w:ascii="Arial" w:hAnsi="Arial" w:eastAsia="Arial" w:cs="Arial"/>
          <w:color w:val="000000"/>
          <w:sz w:val="21"/>
          <w:highlight w:val="white"/>
          <w:u w:val="single"/>
        </w:rPr>
        <w:t xml:space="preserve">（产品名称1） </w:t>
      </w:r>
      <w:r>
        <w:rPr>
          <w:rFonts w:ascii="Arial" w:hAnsi="Arial" w:eastAsia="Arial" w:cs="Arial"/>
          <w:color w:val="000000"/>
          <w:sz w:val="24"/>
          <w:highlight w:val="white"/>
        </w:rPr>
        <w:t xml:space="preserve">的中国境内生产的组件成本占比≥</w:t>
      </w:r>
      <w:r>
        <w:rPr>
          <w:rFonts w:ascii="Arial" w:hAnsi="Arial" w:eastAsia="Arial" w:cs="Arial"/>
          <w:color w:val="000000"/>
          <w:sz w:val="21"/>
          <w:highlight w:val="white"/>
          <w:u w:val="single"/>
        </w:rPr>
        <w:t xml:space="preserve">（规定比例）</w:t>
      </w:r>
      <w:r>
        <w:rPr>
          <w:rFonts w:ascii="Arial" w:hAnsi="Arial" w:eastAsia="Arial" w:cs="Arial"/>
          <w:color w:val="000000"/>
          <w:sz w:val="21"/>
          <w:highlight w:val="white"/>
          <w:vertAlign w:val="superscript"/>
        </w:rPr>
        <w:t xml:space="preserve">3</w:t>
      </w:r>
      <w:r>
        <w:rPr>
          <w:rFonts w:ascii="Arial" w:hAnsi="Arial" w:eastAsia="Arial" w:cs="Arial"/>
          <w:color w:val="000000"/>
          <w:sz w:val="24"/>
          <w:highlight w:val="white"/>
        </w:rPr>
        <w:t xml:space="preserve">。</w:t>
      </w:r>
      <w:r>
        <w:rPr>
          <w:rFonts w:ascii="Arial" w:hAnsi="Arial" w:eastAsia="Arial" w:cs="Arial"/>
          <w:color w:val="000000"/>
          <w:sz w:val="21"/>
          <w:highlight w:val="white"/>
          <w:u w:val="single"/>
        </w:rPr>
        <w:t xml:space="preserve">（产品名称1）</w:t>
      </w:r>
      <w:r>
        <w:rPr>
          <w:rFonts w:ascii="Arial" w:hAnsi="Arial" w:eastAsia="Arial" w:cs="Arial"/>
          <w:color w:val="000000"/>
          <w:sz w:val="24"/>
          <w:highlight w:val="white"/>
        </w:rPr>
        <w:t xml:space="preserve">的</w:t>
      </w:r>
      <w:r>
        <w:rPr>
          <w:rFonts w:ascii="Arial" w:hAnsi="Arial" w:eastAsia="Arial" w:cs="Arial"/>
          <w:color w:val="000000"/>
          <w:sz w:val="21"/>
          <w:highlight w:val="white"/>
          <w:u w:val="single"/>
        </w:rPr>
        <w:t xml:space="preserve">（关键组件）</w:t>
      </w:r>
      <w:r>
        <w:rPr>
          <w:rFonts w:ascii="Arial" w:hAnsi="Arial" w:eastAsia="Arial" w:cs="Arial"/>
          <w:color w:val="000000"/>
          <w:sz w:val="21"/>
          <w:highlight w:val="white"/>
          <w:vertAlign w:val="superscript"/>
        </w:rPr>
        <w:t xml:space="preserve">4</w:t>
      </w:r>
      <w:r>
        <w:rPr>
          <w:rFonts w:ascii="Arial" w:hAnsi="Arial" w:eastAsia="Arial" w:cs="Arial"/>
          <w:color w:val="000000"/>
          <w:sz w:val="24"/>
          <w:highlight w:val="white"/>
        </w:rPr>
        <w:t xml:space="preserve">在中国境内生产。</w:t>
      </w:r>
      <w:r>
        <w:rPr>
          <w:rFonts w:ascii="Arial" w:hAnsi="Arial" w:eastAsia="Arial" w:cs="Arial"/>
          <w:color w:val="000000"/>
          <w:sz w:val="21"/>
          <w:highlight w:val="white"/>
          <w:u w:val="single"/>
        </w:rPr>
        <w:t xml:space="preserve">（产品名称1）</w:t>
      </w:r>
      <w:r>
        <w:rPr>
          <w:rFonts w:ascii="Arial" w:hAnsi="Arial" w:eastAsia="Arial" w:cs="Arial"/>
          <w:color w:val="000000"/>
          <w:sz w:val="24"/>
          <w:highlight w:val="white"/>
        </w:rPr>
        <w:t xml:space="preserve">的</w:t>
      </w:r>
      <w:r>
        <w:rPr>
          <w:rFonts w:ascii="Arial" w:hAnsi="Arial" w:eastAsia="Arial" w:cs="Arial"/>
          <w:color w:val="000000"/>
          <w:sz w:val="21"/>
          <w:highlight w:val="white"/>
          <w:u w:val="single"/>
        </w:rPr>
        <w:t xml:space="preserve">（关键工序）</w:t>
      </w:r>
      <w:r>
        <w:rPr>
          <w:rFonts w:ascii="Arial" w:hAnsi="Arial" w:eastAsia="Arial" w:cs="Arial"/>
          <w:color w:val="000000"/>
          <w:sz w:val="21"/>
          <w:highlight w:val="white"/>
          <w:vertAlign w:val="superscript"/>
        </w:rPr>
        <w:t xml:space="preserve">5</w:t>
      </w:r>
      <w:r>
        <w:rPr>
          <w:rFonts w:ascii="Arial" w:hAnsi="Arial" w:eastAsia="Arial" w:cs="Arial"/>
          <w:color w:val="000000"/>
          <w:sz w:val="24"/>
          <w:highlight w:val="white"/>
        </w:rPr>
        <w:t xml:space="preserve">在中国境内完成。</w:t>
      </w:r>
      <w:r/>
    </w:p>
    <w:p>
      <w:pPr>
        <w:ind w:left="40" w:right="40" w:firstLine="420"/>
        <w:spacing w:before="0" w:after="3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2.</w:t>
      </w:r>
      <w:r>
        <w:rPr>
          <w:rFonts w:ascii="Arial" w:hAnsi="Arial" w:eastAsia="Arial" w:cs="Arial"/>
          <w:color w:val="000000"/>
          <w:sz w:val="21"/>
          <w:highlight w:val="white"/>
          <w:u w:val="single"/>
        </w:rPr>
        <w:t xml:space="preserve">（产品名称2）</w:t>
      </w:r>
      <w:r>
        <w:rPr>
          <w:rFonts w:ascii="Arial" w:hAnsi="Arial" w:eastAsia="Arial" w:cs="Arial"/>
          <w:color w:val="000000"/>
          <w:sz w:val="24"/>
          <w:highlight w:val="white"/>
        </w:rPr>
        <w:t xml:space="preserve">，生产厂为</w:t>
      </w:r>
      <w:r>
        <w:rPr>
          <w:rFonts w:ascii="Arial" w:hAnsi="Arial" w:eastAsia="Arial" w:cs="Arial"/>
          <w:color w:val="000000"/>
          <w:sz w:val="21"/>
          <w:highlight w:val="white"/>
          <w:u w:val="single"/>
        </w:rPr>
        <w:t xml:space="preserve">（厂名）</w:t>
      </w:r>
      <w:r>
        <w:rPr>
          <w:rFonts w:ascii="Arial" w:hAnsi="Arial" w:eastAsia="Arial" w:cs="Arial"/>
          <w:color w:val="000000"/>
          <w:sz w:val="24"/>
          <w:highlight w:val="white"/>
        </w:rPr>
        <w:t xml:space="preserve">，厂址为</w:t>
      </w:r>
      <w:r>
        <w:rPr>
          <w:rFonts w:ascii="Arial" w:hAnsi="Arial" w:eastAsia="Arial" w:cs="Arial"/>
          <w:color w:val="000000"/>
          <w:sz w:val="21"/>
          <w:highlight w:val="white"/>
          <w:u w:val="single"/>
        </w:rPr>
        <w:t xml:space="preserve">（生产厂址）</w:t>
      </w:r>
      <w:r>
        <w:rPr>
          <w:rFonts w:ascii="Arial" w:hAnsi="Arial" w:eastAsia="Arial" w:cs="Arial"/>
          <w:color w:val="000000"/>
          <w:sz w:val="24"/>
          <w:highlight w:val="white"/>
        </w:rPr>
        <w:t xml:space="preserve">。</w:t>
      </w:r>
      <w:r>
        <w:rPr>
          <w:rFonts w:ascii="Arial" w:hAnsi="Arial" w:eastAsia="Arial" w:cs="Arial"/>
          <w:color w:val="000000"/>
          <w:sz w:val="21"/>
          <w:highlight w:val="white"/>
          <w:u w:val="single"/>
        </w:rPr>
        <w:t xml:space="preserve">（产品名称2）</w:t>
      </w:r>
      <w:r>
        <w:rPr>
          <w:rFonts w:ascii="Arial" w:hAnsi="Arial" w:eastAsia="Arial" w:cs="Arial"/>
          <w:color w:val="000000"/>
          <w:sz w:val="24"/>
          <w:highlight w:val="white"/>
        </w:rPr>
        <w:t xml:space="preserve">的中国境内生产的组件成本占比≥</w:t>
      </w:r>
      <w:r>
        <w:rPr>
          <w:rFonts w:ascii="Arial" w:hAnsi="Arial" w:eastAsia="Arial" w:cs="Arial"/>
          <w:color w:val="000000"/>
          <w:sz w:val="21"/>
          <w:highlight w:val="white"/>
          <w:u w:val="single"/>
        </w:rPr>
        <w:t xml:space="preserve">（规定比例）</w:t>
      </w:r>
      <w:r>
        <w:rPr>
          <w:rFonts w:ascii="Arial" w:hAnsi="Arial" w:eastAsia="Arial" w:cs="Arial"/>
          <w:color w:val="000000"/>
          <w:sz w:val="24"/>
          <w:highlight w:val="white"/>
        </w:rPr>
        <w:t xml:space="preserve">。</w:t>
      </w:r>
      <w:r>
        <w:rPr>
          <w:rFonts w:ascii="Arial" w:hAnsi="Arial" w:eastAsia="Arial" w:cs="Arial"/>
          <w:color w:val="000000"/>
          <w:sz w:val="21"/>
          <w:highlight w:val="white"/>
          <w:u w:val="single"/>
        </w:rPr>
        <w:t xml:space="preserve">（产品名称2）</w:t>
      </w:r>
      <w:r>
        <w:rPr>
          <w:rFonts w:ascii="Arial" w:hAnsi="Arial" w:eastAsia="Arial" w:cs="Arial"/>
          <w:color w:val="000000"/>
          <w:sz w:val="24"/>
          <w:highlight w:val="white"/>
        </w:rPr>
        <w:t xml:space="preserve">的</w:t>
      </w:r>
      <w:r>
        <w:rPr>
          <w:rFonts w:ascii="Arial" w:hAnsi="Arial" w:eastAsia="Arial" w:cs="Arial"/>
          <w:color w:val="000000"/>
          <w:sz w:val="21"/>
          <w:highlight w:val="white"/>
          <w:u w:val="single"/>
        </w:rPr>
        <w:t xml:space="preserve">（关键组件）</w:t>
      </w:r>
      <w:r>
        <w:rPr>
          <w:rFonts w:ascii="Arial" w:hAnsi="Arial" w:eastAsia="Arial" w:cs="Arial"/>
          <w:color w:val="000000"/>
          <w:sz w:val="24"/>
          <w:highlight w:val="white"/>
        </w:rPr>
        <w:t xml:space="preserve">在中国境内生产。</w:t>
      </w:r>
      <w:r>
        <w:rPr>
          <w:rFonts w:ascii="Arial" w:hAnsi="Arial" w:eastAsia="Arial" w:cs="Arial"/>
          <w:color w:val="000000"/>
          <w:sz w:val="21"/>
          <w:highlight w:val="white"/>
          <w:u w:val="single"/>
        </w:rPr>
        <w:t xml:space="preserve">（产品名称1）</w:t>
      </w:r>
      <w:r>
        <w:rPr>
          <w:rFonts w:ascii="Arial" w:hAnsi="Arial" w:eastAsia="Arial" w:cs="Arial"/>
          <w:color w:val="000000"/>
          <w:sz w:val="24"/>
          <w:highlight w:val="white"/>
        </w:rPr>
        <w:t xml:space="preserve">的</w:t>
      </w:r>
      <w:r>
        <w:rPr>
          <w:rFonts w:ascii="Arial" w:hAnsi="Arial" w:eastAsia="Arial" w:cs="Arial"/>
          <w:color w:val="000000"/>
          <w:sz w:val="21"/>
          <w:highlight w:val="white"/>
          <w:u w:val="single"/>
        </w:rPr>
        <w:t xml:space="preserve">（关键工序）</w:t>
      </w:r>
      <w:r>
        <w:rPr>
          <w:rFonts w:ascii="Arial" w:hAnsi="Arial" w:eastAsia="Arial" w:cs="Arial"/>
          <w:color w:val="000000"/>
          <w:sz w:val="24"/>
          <w:highlight w:val="white"/>
        </w:rPr>
        <w:t xml:space="preserve">在中国境内完成。</w:t>
      </w:r>
      <w:r/>
    </w:p>
    <w:p>
      <w:pPr>
        <w:ind w:left="40" w:right="40" w:firstLine="420"/>
        <w:spacing w:before="30" w:after="3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w:t>
      </w:r>
      <w:r/>
    </w:p>
    <w:p>
      <w:pPr>
        <w:ind w:left="40" w:right="40" w:firstLine="420"/>
        <w:spacing w:before="30" w:after="3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本公司（单位）对上述声明内容的真实性负责。如有虚假，愿承担相应法律责任。</w:t>
      </w:r>
      <w:r/>
    </w:p>
    <w:p>
      <w:pPr>
        <w:ind w:left="40" w:right="40" w:firstLine="0"/>
        <w:spacing w:before="30" w:after="30" w:line="3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40" w:right="480" w:firstLine="0"/>
        <w:jc w:val="right"/>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公司（单位）名称（盖章）：</w:t>
      </w:r>
      <w:r>
        <w:rPr>
          <w:rFonts w:ascii="Arial" w:hAnsi="Arial" w:eastAsia="Arial" w:cs="Arial"/>
          <w:color w:val="000000"/>
          <w:sz w:val="24"/>
          <w:highlight w:val="white"/>
        </w:rPr>
        <w:t xml:space="preserve"> </w:t>
      </w:r>
      <w:r/>
    </w:p>
    <w:p>
      <w:pPr>
        <w:ind w:left="40" w:right="40" w:firstLine="0"/>
        <w:jc w:val="center"/>
        <w:spacing w:before="30" w:after="3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                                </w:t>
      </w:r>
      <w:r>
        <w:rPr>
          <w:rFonts w:ascii="SimSun" w:hAnsi="SimSun" w:eastAsia="SimSun" w:cs="SimSun"/>
          <w:color w:val="000000"/>
          <w:sz w:val="24"/>
          <w:highlight w:val="white"/>
        </w:rPr>
        <w:t xml:space="preserve">日期：</w:t>
      </w:r>
      <w:r>
        <w:rPr>
          <w:rFonts w:ascii="Arial" w:hAnsi="Arial" w:eastAsia="Arial" w:cs="Arial"/>
          <w:color w:val="000000"/>
          <w:sz w:val="24"/>
          <w:highlight w:val="white"/>
        </w:rPr>
        <w:t xml:space="preserve"> </w:t>
      </w:r>
      <w:r>
        <w:rPr>
          <w:rFonts w:ascii="SimSun" w:hAnsi="SimSun" w:eastAsia="SimSun" w:cs="SimSun"/>
          <w:color w:val="000000"/>
          <w:sz w:val="24"/>
          <w:highlight w:val="white"/>
        </w:rPr>
        <w:t xml:space="preserve">年</w:t>
      </w:r>
      <w:r>
        <w:rPr>
          <w:rFonts w:ascii="Arial" w:hAnsi="Arial" w:eastAsia="Arial" w:cs="Arial"/>
          <w:color w:val="000000"/>
          <w:sz w:val="24"/>
          <w:highlight w:val="white"/>
        </w:rPr>
        <w:t xml:space="preserve"> </w:t>
      </w:r>
      <w:r>
        <w:rPr>
          <w:rFonts w:ascii="SimSun" w:hAnsi="SimSun" w:eastAsia="SimSun" w:cs="SimSun"/>
          <w:color w:val="000000"/>
          <w:sz w:val="24"/>
          <w:highlight w:val="white"/>
        </w:rPr>
        <w:t xml:space="preserve">月</w:t>
      </w:r>
      <w:r>
        <w:rPr>
          <w:rFonts w:ascii="Arial" w:hAnsi="Arial" w:eastAsia="Arial" w:cs="Arial"/>
          <w:color w:val="000000"/>
          <w:sz w:val="24"/>
          <w:highlight w:val="white"/>
        </w:rPr>
        <w:t xml:space="preserve"> </w:t>
      </w:r>
      <w:r>
        <w:rPr>
          <w:rFonts w:ascii="SimSun" w:hAnsi="SimSun" w:eastAsia="SimSun" w:cs="SimSun"/>
          <w:color w:val="000000"/>
          <w:sz w:val="24"/>
          <w:highlight w:val="white"/>
        </w:rPr>
        <w:t xml:space="preserve">日</w:t>
      </w:r>
      <w:r/>
    </w:p>
    <w:p>
      <w:pPr>
        <w:ind w:left="40" w:right="40" w:firstLine="0"/>
        <w:spacing w:before="30" w:after="3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__________________</w:t>
      </w:r>
      <w:r/>
    </w:p>
    <w:p>
      <w:pPr>
        <w:ind w:left="40" w:right="40" w:firstLine="0"/>
        <w:spacing w:before="30" w:after="3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highlight w:val="white"/>
        </w:rPr>
        <w:t xml:space="preserve">1.</w:t>
      </w:r>
      <w:r>
        <w:rPr>
          <w:rFonts w:ascii="SimSun" w:hAnsi="SimSun" w:eastAsia="SimSun" w:cs="SimSun"/>
          <w:color w:val="000000"/>
          <w:sz w:val="22"/>
          <w:highlight w:val="white"/>
        </w:rPr>
        <w:t xml:space="preserve">产品如有型号，请在</w:t>
      </w:r>
      <w:r>
        <w:rPr>
          <w:rFonts w:ascii="Arial" w:hAnsi="Arial" w:eastAsia="Arial" w:cs="Arial"/>
          <w:color w:val="000000"/>
          <w:sz w:val="22"/>
          <w:highlight w:val="white"/>
        </w:rPr>
        <w:t xml:space="preserve">“</w:t>
      </w:r>
      <w:r>
        <w:rPr>
          <w:rFonts w:ascii="SimSun" w:hAnsi="SimSun" w:eastAsia="SimSun" w:cs="SimSun"/>
          <w:color w:val="000000"/>
          <w:sz w:val="22"/>
          <w:highlight w:val="white"/>
        </w:rPr>
        <w:t xml:space="preserve">产品名称</w:t>
      </w:r>
      <w:r>
        <w:rPr>
          <w:rFonts w:ascii="Arial" w:hAnsi="Arial" w:eastAsia="Arial" w:cs="Arial"/>
          <w:color w:val="000000"/>
          <w:sz w:val="22"/>
          <w:highlight w:val="white"/>
        </w:rPr>
        <w:t xml:space="preserve">”</w:t>
      </w:r>
      <w:r>
        <w:rPr>
          <w:rFonts w:ascii="SimSun" w:hAnsi="SimSun" w:eastAsia="SimSun" w:cs="SimSun"/>
          <w:color w:val="000000"/>
          <w:sz w:val="22"/>
          <w:highlight w:val="white"/>
        </w:rPr>
        <w:t xml:space="preserve">栏一并填写。</w:t>
      </w:r>
      <w:r/>
    </w:p>
    <w:p>
      <w:pPr>
        <w:ind w:left="40" w:right="40" w:firstLine="0"/>
        <w:spacing w:before="30" w:after="3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highlight w:val="white"/>
        </w:rPr>
        <w:t xml:space="preserve">2.</w:t>
      </w:r>
      <w:r>
        <w:rPr>
          <w:rFonts w:ascii="SimSun" w:hAnsi="SimSun" w:eastAsia="SimSun" w:cs="SimSun"/>
          <w:color w:val="000000"/>
          <w:sz w:val="22"/>
          <w:highlight w:val="white"/>
        </w:rPr>
        <w:t xml:space="preserve">生产厂名与厂址应与生产厂营业执照载明的相关信息保持一致。</w:t>
      </w:r>
      <w:r/>
    </w:p>
    <w:p>
      <w:pPr>
        <w:ind w:left="40" w:right="40" w:firstLine="0"/>
        <w:spacing w:before="30" w:after="3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highlight w:val="white"/>
        </w:rPr>
        <w:t xml:space="preserve">3.</w:t>
      </w:r>
      <w:r>
        <w:rPr>
          <w:rFonts w:ascii="SimSun" w:hAnsi="SimSun" w:eastAsia="SimSun" w:cs="SimSun"/>
          <w:color w:val="000000"/>
          <w:sz w:val="22"/>
          <w:highlight w:val="white"/>
        </w:rPr>
        <w:t xml:space="preserve">该产品的中国境内生产的组件成本占比相关要求实施前，</w:t>
      </w:r>
      <w:r>
        <w:rPr>
          <w:rFonts w:ascii="Arial" w:hAnsi="Arial" w:eastAsia="Arial" w:cs="Arial"/>
          <w:color w:val="000000"/>
          <w:sz w:val="22"/>
          <w:highlight w:val="white"/>
        </w:rPr>
        <w:t xml:space="preserve">“</w:t>
      </w:r>
      <w:r>
        <w:rPr>
          <w:rFonts w:ascii="SimSun" w:hAnsi="SimSun" w:eastAsia="SimSun" w:cs="SimSun"/>
          <w:color w:val="000000"/>
          <w:sz w:val="22"/>
          <w:highlight w:val="white"/>
        </w:rPr>
        <w:t xml:space="preserve">规定比例</w:t>
      </w:r>
      <w:r>
        <w:rPr>
          <w:rFonts w:ascii="Arial" w:hAnsi="Arial" w:eastAsia="Arial" w:cs="Arial"/>
          <w:color w:val="000000"/>
          <w:sz w:val="22"/>
          <w:highlight w:val="white"/>
        </w:rPr>
        <w:t xml:space="preserve">”</w:t>
      </w:r>
      <w:r>
        <w:rPr>
          <w:rFonts w:ascii="SimSun" w:hAnsi="SimSun" w:eastAsia="SimSun" w:cs="SimSun"/>
          <w:color w:val="000000"/>
          <w:sz w:val="22"/>
          <w:highlight w:val="white"/>
        </w:rPr>
        <w:t xml:space="preserve">栏可不填，下同。</w:t>
      </w:r>
      <w:r/>
    </w:p>
    <w:p>
      <w:pPr>
        <w:ind w:left="40" w:right="40" w:firstLine="0"/>
        <w:spacing w:before="30" w:after="3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highlight w:val="white"/>
        </w:rPr>
        <w:t xml:space="preserve">4.</w:t>
      </w:r>
      <w:r>
        <w:rPr>
          <w:rFonts w:ascii="SimSun" w:hAnsi="SimSun" w:eastAsia="SimSun" w:cs="SimSun"/>
          <w:color w:val="000000"/>
          <w:sz w:val="22"/>
          <w:highlight w:val="white"/>
        </w:rPr>
        <w:t xml:space="preserve">该产品的关键组件要求实施前，</w:t>
      </w:r>
      <w:r>
        <w:rPr>
          <w:rFonts w:ascii="Arial" w:hAnsi="Arial" w:eastAsia="Arial" w:cs="Arial"/>
          <w:color w:val="000000"/>
          <w:sz w:val="22"/>
          <w:highlight w:val="white"/>
        </w:rPr>
        <w:t xml:space="preserve">“</w:t>
      </w:r>
      <w:r>
        <w:rPr>
          <w:rFonts w:ascii="SimSun" w:hAnsi="SimSun" w:eastAsia="SimSun" w:cs="SimSun"/>
          <w:color w:val="000000"/>
          <w:sz w:val="22"/>
          <w:highlight w:val="white"/>
        </w:rPr>
        <w:t xml:space="preserve">关键组件</w:t>
      </w:r>
      <w:r>
        <w:rPr>
          <w:rFonts w:ascii="Arial" w:hAnsi="Arial" w:eastAsia="Arial" w:cs="Arial"/>
          <w:color w:val="000000"/>
          <w:sz w:val="22"/>
          <w:highlight w:val="white"/>
        </w:rPr>
        <w:t xml:space="preserve">”</w:t>
      </w:r>
      <w:r>
        <w:rPr>
          <w:rFonts w:ascii="SimSun" w:hAnsi="SimSun" w:eastAsia="SimSun" w:cs="SimSun"/>
          <w:color w:val="000000"/>
          <w:sz w:val="22"/>
          <w:highlight w:val="white"/>
        </w:rPr>
        <w:t xml:space="preserve">栏可不填，下同。</w:t>
      </w:r>
      <w:r/>
    </w:p>
    <w:p>
      <w:pPr>
        <w:ind w:left="40" w:right="40" w:firstLine="0"/>
        <w:spacing w:before="30" w:after="3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highlight w:val="white"/>
        </w:rPr>
        <w:t xml:space="preserve">5.</w:t>
      </w:r>
      <w:r>
        <w:rPr>
          <w:rFonts w:ascii="SimSun" w:hAnsi="SimSun" w:eastAsia="SimSun" w:cs="SimSun"/>
          <w:color w:val="000000"/>
          <w:sz w:val="22"/>
          <w:highlight w:val="white"/>
        </w:rPr>
        <w:t xml:space="preserve">该产品的关键工序要求实施前，</w:t>
      </w:r>
      <w:r>
        <w:rPr>
          <w:rFonts w:ascii="Arial" w:hAnsi="Arial" w:eastAsia="Arial" w:cs="Arial"/>
          <w:color w:val="000000"/>
          <w:sz w:val="22"/>
          <w:highlight w:val="white"/>
        </w:rPr>
        <w:t xml:space="preserve">“</w:t>
      </w:r>
      <w:r>
        <w:rPr>
          <w:rFonts w:ascii="SimSun" w:hAnsi="SimSun" w:eastAsia="SimSun" w:cs="SimSun"/>
          <w:color w:val="000000"/>
          <w:sz w:val="22"/>
          <w:highlight w:val="white"/>
        </w:rPr>
        <w:t xml:space="preserve">关键工序</w:t>
      </w:r>
      <w:r>
        <w:rPr>
          <w:rFonts w:ascii="Arial" w:hAnsi="Arial" w:eastAsia="Arial" w:cs="Arial"/>
          <w:color w:val="000000"/>
          <w:sz w:val="22"/>
          <w:highlight w:val="white"/>
        </w:rPr>
        <w:t xml:space="preserve">”</w:t>
      </w:r>
      <w:r>
        <w:rPr>
          <w:rFonts w:ascii="SimSun" w:hAnsi="SimSun" w:eastAsia="SimSun" w:cs="SimSun"/>
          <w:color w:val="000000"/>
          <w:sz w:val="22"/>
          <w:highlight w:val="white"/>
        </w:rPr>
        <w:t xml:space="preserve">栏可不填，下同。</w:t>
      </w:r>
      <w:r/>
    </w:p>
    <w:p>
      <w:pPr>
        <w:ind w:left="40" w:right="40" w:firstLine="0"/>
        <w:spacing w:before="30" w:after="3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highlight w:val="white"/>
        </w:rPr>
        <w:t xml:space="preserve">6.</w:t>
      </w:r>
      <w:r>
        <w:rPr>
          <w:rFonts w:ascii="SimSun" w:hAnsi="SimSun" w:eastAsia="SimSun" w:cs="SimSun"/>
          <w:color w:val="000000"/>
          <w:sz w:val="22"/>
          <w:highlight w:val="white"/>
        </w:rPr>
        <w:t xml:space="preserve">用斜线划除的地方无需填写。</w:t>
      </w:r>
      <w:r/>
    </w:p>
    <w:p>
      <w:pPr>
        <w:ind w:left="40" w:right="40" w:firstLine="0"/>
        <w:spacing w:before="30" w:after="3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highlight w:val="white"/>
        </w:rPr>
        <w:t xml:space="preserve">7.</w:t>
      </w:r>
      <w:r>
        <w:rPr>
          <w:rFonts w:ascii="SimSun" w:hAnsi="SimSun" w:eastAsia="SimSun" w:cs="SimSun"/>
          <w:b/>
          <w:color w:val="000000"/>
          <w:sz w:val="22"/>
          <w:highlight w:val="white"/>
        </w:rPr>
        <w:t xml:space="preserve">政府采购服务项目中涉及的货物需填写本表，不涉及无需填写。</w:t>
      </w:r>
      <w:r/>
    </w:p>
    <w:p>
      <w:pPr>
        <w:ind w:left="0" w:right="0" w:firstLine="0"/>
        <w:jc w:val="center"/>
        <w:spacing w:before="0" w:after="0" w:line="85"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p>
      <w:pPr>
        <w:ind w:left="0" w:right="0" w:firstLine="0"/>
        <w:spacing w:before="0" w:after="0"/>
        <w:rPr>
          <w:highlight w:val="none"/>
        </w:rPr>
        <w:pBdr>
          <w:top w:val="none" w:color="000000" w:sz="0" w:space="0"/>
          <w:left w:val="none" w:color="000000" w:sz="0" w:space="0"/>
          <w:bottom w:val="none" w:color="000000" w:sz="0" w:space="0"/>
          <w:right w:val="none" w:color="000000" w:sz="0" w:space="0"/>
        </w:pBdr>
      </w:pPr>
      <w:r>
        <w:rPr>
          <w:highlight w:val="none"/>
        </w:rPr>
        <w:br w:type="page" w:clear="all"/>
      </w:r>
      <w:r>
        <w:rPr>
          <w:highlight w:val="none"/>
        </w:rPr>
      </w:r>
      <w:r/>
    </w:p>
    <w:p>
      <w:pPr>
        <w:ind w:left="420" w:right="0" w:firstLine="420"/>
        <w:jc w:val="both"/>
        <w:spacing w:before="210" w:after="120" w:line="520" w:lineRule="atLeast"/>
        <w:rPr>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highlight w:val="none"/>
          <w:u w:val="none"/>
        </w:rPr>
        <w:t xml:space="preserve"> </w:t>
      </w:r>
      <w:r>
        <w:rPr>
          <w:highlight w:val="none"/>
        </w:rPr>
      </w:r>
      <w:r/>
    </w:p>
    <w:p>
      <w:pPr>
        <w:ind w:left="420" w:right="0" w:firstLine="420"/>
        <w:jc w:val="both"/>
        <w:spacing w:before="210" w:after="120" w:line="520" w:lineRule="atLeast"/>
        <w:rPr>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highlight w:val="none"/>
        </w:rPr>
        <w:t xml:space="preserve"> </w:t>
      </w:r>
      <w:r>
        <w:rPr>
          <w:highlight w:val="none"/>
        </w:rPr>
      </w:r>
      <w:r/>
    </w:p>
    <w:p>
      <w:pPr>
        <w:ind w:left="420" w:right="0" w:firstLine="420"/>
        <w:jc w:val="both"/>
        <w:spacing w:before="210" w:after="120" w:line="520" w:lineRule="atLeast"/>
        <w:rPr>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highlight w:val="none"/>
        </w:rPr>
        <w:t xml:space="preserve"> </w:t>
      </w:r>
      <w:r>
        <w:rPr>
          <w:highlight w:val="none"/>
        </w:rPr>
      </w:r>
      <w:r/>
    </w:p>
    <w:p>
      <w:pPr>
        <w:ind w:left="420" w:right="0" w:firstLine="420"/>
        <w:jc w:val="both"/>
        <w:spacing w:before="210" w:after="120" w:line="520" w:lineRule="atLeast"/>
        <w:rPr>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highlight w:val="none"/>
        </w:rPr>
        <w:t xml:space="preserve"> </w:t>
      </w:r>
      <w:r>
        <w:rPr>
          <w:highlight w:val="none"/>
        </w:rPr>
      </w:r>
      <w:r/>
    </w:p>
    <w:p>
      <w:pPr>
        <w:ind w:left="420" w:right="0" w:firstLine="420"/>
        <w:jc w:val="both"/>
        <w:spacing w:before="210" w:after="120" w:line="520" w:lineRule="atLeast"/>
        <w:rPr>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highlight w:val="none"/>
        </w:rPr>
        <w:t xml:space="preserve"> </w:t>
      </w:r>
      <w:r>
        <w:rPr>
          <w:highlight w:val="none"/>
        </w:rPr>
      </w:r>
      <w:r/>
    </w:p>
    <w:p>
      <w:pPr>
        <w:ind w:left="420" w:right="0" w:firstLine="420"/>
        <w:jc w:val="both"/>
        <w:spacing w:before="210" w:after="120" w:line="520" w:lineRule="atLeast"/>
        <w:rPr>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highlight w:val="none"/>
        </w:rPr>
        <w:t xml:space="preserve"> </w:t>
      </w:r>
      <w:r>
        <w:rPr>
          <w:highlight w:val="none"/>
        </w:rPr>
      </w:r>
      <w:r/>
    </w:p>
    <w:p>
      <w:pPr>
        <w:ind w:left="420" w:right="0" w:firstLine="420"/>
        <w:jc w:val="both"/>
        <w:spacing w:before="210" w:after="120" w:line="520" w:lineRule="atLeast"/>
        <w:rPr>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highlight w:val="none"/>
        </w:rPr>
        <w:t xml:space="preserve"> </w:t>
      </w:r>
      <w:r>
        <w:rPr>
          <w:highlight w:val="none"/>
        </w:rPr>
      </w:r>
      <w:r/>
    </w:p>
    <w:p>
      <w:pPr>
        <w:pStyle w:val="809"/>
        <w:ind w:left="0" w:right="0" w:firstLine="0"/>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52"/>
          <w:highlight w:val="none"/>
        </w:rPr>
        <w:t xml:space="preserve">第四章 采购内容</w:t>
      </w:r>
      <w:r>
        <w:rPr>
          <w:highlight w:val="none"/>
        </w:rPr>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highlight w:val="none"/>
        </w:rPr>
        <w:br w:type="page" w:clear="all"/>
      </w:r>
      <w:r>
        <w:rPr>
          <w:highlight w:val="none"/>
        </w:rPr>
      </w:r>
      <w:r/>
    </w:p>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t xml:space="preserve">采购内容</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江苏仁禾中衡工程咨询房地产估价有限公司受</w:t>
      </w:r>
      <w:r>
        <w:rPr>
          <w:rFonts w:hint="eastAsia" w:ascii="宋体" w:hAnsi="宋体" w:eastAsia="宋体" w:cs="宋体"/>
          <w:color w:val="000000"/>
          <w:sz w:val="24"/>
          <w:highlight w:val="none"/>
          <w:lang w:eastAsia="zh-CN"/>
        </w:rPr>
        <w:t xml:space="preserve">苏州市心理健康中心</w:t>
      </w:r>
      <w:r>
        <w:rPr>
          <w:rFonts w:ascii="宋体" w:hAnsi="宋体" w:eastAsia="宋体" w:cs="宋体"/>
          <w:color w:val="000000"/>
          <w:sz w:val="24"/>
          <w:highlight w:val="none"/>
        </w:rPr>
        <w:t xml:space="preserve">的委托，就其所需的</w:t>
      </w:r>
      <w:r>
        <w:rPr>
          <w:rFonts w:hint="eastAsia" w:ascii="宋体" w:hAnsi="宋体" w:eastAsia="宋体" w:cs="宋体"/>
          <w:color w:val="000000"/>
          <w:sz w:val="24"/>
          <w:highlight w:val="none"/>
          <w:lang w:eastAsia="zh-CN"/>
        </w:rPr>
        <w:t xml:space="preserve">2026年苏州市12356心理热线运营服务</w:t>
      </w:r>
      <w:r>
        <w:rPr>
          <w:rFonts w:ascii="宋体" w:hAnsi="宋体" w:eastAsia="宋体" w:cs="宋体"/>
          <w:color w:val="000000"/>
          <w:sz w:val="24"/>
          <w:highlight w:val="none"/>
        </w:rPr>
        <w:t xml:space="preserve">组织竞争性磋商采购，</w:t>
      </w:r>
      <w:r>
        <w:rPr>
          <w:rFonts w:ascii="宋体" w:hAnsi="宋体" w:eastAsia="宋体" w:cs="宋体"/>
          <w:color w:val="000000"/>
          <w:sz w:val="24"/>
          <w:highlight w:val="none"/>
          <w:u w:val="none"/>
        </w:rPr>
        <w:t xml:space="preserve">欢迎符合条件的供应商</w:t>
      </w:r>
      <w:r>
        <w:rPr>
          <w:rFonts w:ascii="宋体" w:hAnsi="宋体" w:eastAsia="宋体" w:cs="宋体"/>
          <w:color w:val="000000"/>
          <w:sz w:val="24"/>
          <w:highlight w:val="none"/>
        </w:rPr>
        <w:t xml:space="preserve">前来参加磋商。</w:t>
      </w:r>
      <w:r>
        <w:rPr>
          <w:highlight w:val="none"/>
        </w:rPr>
      </w:r>
      <w:r/>
    </w:p>
    <w:p>
      <w:pPr>
        <w:ind w:left="0" w:right="0" w:firstLine="482"/>
        <w:jc w:val="both"/>
        <w:spacing w:before="240" w:after="240" w:line="85" w:lineRule="atLeast"/>
        <w:rPr>
          <w:rFonts w:hint="eastAsia"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一、采购编号：</w:t>
      </w:r>
      <w:r>
        <w:rPr>
          <w:rFonts w:hint="eastAsia" w:ascii="宋体" w:hAnsi="宋体" w:eastAsia="宋体" w:cs="宋体"/>
          <w:b/>
          <w:color w:val="000000"/>
          <w:sz w:val="24"/>
          <w:highlight w:val="none"/>
          <w:lang w:eastAsia="zh-CN"/>
        </w:rPr>
        <w:t xml:space="preserve">JSZC-320500-RHHH-C2026-0033</w:t>
      </w:r>
      <w:r>
        <w:rPr>
          <w:highlight w:val="none"/>
        </w:rPr>
      </w:r>
      <w:r/>
    </w:p>
    <w:p>
      <w:pPr>
        <w:ind w:left="0" w:right="0" w:firstLine="482"/>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二、采购内容及要求</w:t>
      </w:r>
      <w:r>
        <w:rPr>
          <w:highlight w:val="none"/>
        </w:rPr>
      </w:r>
      <w:r/>
    </w:p>
    <w:p>
      <w:pPr>
        <w:ind w:left="0" w:right="0" w:firstLine="480"/>
        <w:jc w:val="both"/>
        <w:spacing w:before="0" w:after="0" w:line="360" w:lineRule="auto"/>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（一）</w:t>
      </w:r>
      <w:r>
        <w:rPr>
          <w:rFonts w:ascii="Segoe UI" w:hAnsi="Segoe UI" w:eastAsia="Segoe UI" w:cs="Segoe UI"/>
          <w:i w:val="0"/>
          <w:iCs w:val="0"/>
          <w:caps w:val="0"/>
          <w:color w:val="0f1115"/>
          <w:spacing w:val="0"/>
          <w:sz w:val="24"/>
          <w:szCs w:val="24"/>
          <w:highlight w:val="none"/>
          <w:shd w:val="clear" w:color="auto" w:fill="ffffff"/>
        </w:rPr>
        <w:t xml:space="preserve">本项目为苏州市12356心理援助热线运营服务采购。通过引入专业社会力量，保障热线7×24小时稳定、专业、高效运行，为公众提供及时、规范的心理支持、危机干预和心理健康服务。</w:t>
      </w:r>
      <w:bookmarkStart w:id="0" w:name="_GoBack"/>
      <w:r>
        <w:rPr>
          <w:highlight w:val="none"/>
        </w:rPr>
      </w:r>
      <w:bookmarkEnd w:id="0"/>
      <w:r>
        <w:rPr>
          <w:highlight w:val="none"/>
        </w:rPr>
      </w:r>
      <w:r/>
    </w:p>
    <w:p>
      <w:pPr>
        <w:ind w:left="0" w:right="0" w:firstLine="480"/>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（二）</w:t>
      </w:r>
      <w:r>
        <w:rPr>
          <w:rFonts w:hint="eastAsia" w:ascii="宋体" w:hAnsi="宋体" w:eastAsia="宋体" w:cs="宋体"/>
          <w:color w:val="000000"/>
          <w:sz w:val="24"/>
          <w:highlight w:val="none"/>
        </w:rPr>
        <w:t xml:space="preserve">服务范围与内容</w:t>
      </w:r>
      <w:r>
        <w:rPr>
          <w:highlight w:val="none"/>
        </w:rPr>
      </w:r>
      <w:r/>
    </w:p>
    <w:p>
      <w:pPr>
        <w:ind w:left="0" w:right="0" w:firstLine="480"/>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供应商须负责苏州市12356心理援助热线的整体运营，具体包括：</w:t>
      </w:r>
      <w:r>
        <w:rPr>
          <w:highlight w:val="none"/>
        </w:rPr>
      </w:r>
      <w:r/>
    </w:p>
    <w:p>
      <w:pPr>
        <w:ind w:left="0" w:right="0" w:firstLine="480"/>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1、热线接听服务：确保热线7×24小时人工接听（含法定节假日），为来电者提供心理支持、情绪疏导、危机干预及心理健康知识普及等服务。</w:t>
      </w:r>
      <w:r>
        <w:rPr>
          <w:highlight w:val="none"/>
        </w:rPr>
      </w:r>
      <w:r/>
    </w:p>
    <w:p>
      <w:pPr>
        <w:ind w:right="0" w:firstLine="480"/>
        <w:jc w:val="both"/>
        <w:spacing w:before="0" w:after="0" w:line="360" w:lineRule="auto"/>
        <w:rPr>
          <w:rFonts w:hint="default"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2、人员配置与管理：供应商须自行组建并管理服务团队，团队成员应具备心理学或相关专业背景，持有心理咨询师/心理治疗师资质者优先。供应商须负责人员的招聘、培训、考核、排班及日常管理，确保服务人员具备胜任岗位的专业能力和职业素养并配备项目管理员1名，项目管理员能胜任心理热线管理工作且具有本科以上学历。</w:t>
      </w:r>
      <w:r>
        <w:rPr>
          <w:highlight w:val="none"/>
        </w:rPr>
      </w:r>
      <w:r/>
    </w:p>
    <w:p>
      <w:pPr>
        <w:ind w:left="0" w:right="0" w:firstLine="480"/>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3、岗前及在岗培训：供应商须为服务人员提供系统性的岗前培训（包括热线接听规范、危机干预流程、伦理守则等），并定期组织在岗培训和督导，确保服务质量持续提升。</w:t>
      </w:r>
      <w:r>
        <w:rPr>
          <w:highlight w:val="none"/>
        </w:rPr>
      </w:r>
      <w:r/>
    </w:p>
    <w:p>
      <w:pPr>
        <w:ind w:right="0" w:firstLine="480"/>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4、服务质量管理：供应商须建立服务质量监控机制，包括热线接听录音抽检、来电满意度回访、个案记录与督导等。</w:t>
      </w:r>
      <w:r>
        <w:rPr>
          <w:highlight w:val="none"/>
        </w:rPr>
      </w:r>
      <w:r/>
    </w:p>
    <w:p>
      <w:pPr>
        <w:ind w:right="0" w:firstLine="480"/>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5、</w:t>
      </w:r>
      <w:r>
        <w:rPr>
          <w:rFonts w:ascii="Segoe UI" w:hAnsi="Segoe UI" w:eastAsia="Segoe UI" w:cs="Segoe UI"/>
          <w:i w:val="0"/>
          <w:iCs w:val="0"/>
          <w:caps w:val="0"/>
          <w:color w:val="0f1115"/>
          <w:spacing w:val="0"/>
          <w:sz w:val="24"/>
          <w:szCs w:val="24"/>
          <w:highlight w:val="none"/>
          <w:shd w:val="clear" w:color="auto" w:fill="ffffff"/>
        </w:rPr>
        <w:t xml:space="preserve">确保16台座机同时稳定运行，支持心理咨询热线全天候接听。每台座机均可独立接听来电，互不干扰，整体线路保持畅通、响应及时，能够满足日常及高峰时段的接听需求。</w:t>
      </w:r>
      <w:r>
        <w:rPr>
          <w:highlight w:val="none"/>
        </w:rPr>
      </w:r>
      <w:r/>
    </w:p>
    <w:p>
      <w:pPr>
        <w:ind w:left="0" w:right="0" w:firstLine="480"/>
        <w:jc w:val="both"/>
        <w:spacing w:before="0" w:after="0" w:line="360" w:lineRule="auto"/>
        <w:rPr>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t xml:space="preserve">管理要求：</w:t>
      </w:r>
      <w:r>
        <w:rPr>
          <w:highlight w:val="none"/>
        </w:rPr>
      </w:r>
      <w:r/>
    </w:p>
    <w:p>
      <w:pPr>
        <w:ind w:left="0" w:right="0" w:firstLine="480"/>
        <w:jc w:val="both"/>
        <w:spacing w:before="0" w:after="0" w:line="360" w:lineRule="auto"/>
        <w:rPr>
          <w:rFonts w:hint="default"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服务期内采购单位对中标单位进行考核</w:t>
      </w:r>
      <w:r>
        <w:rPr>
          <w:rFonts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详见附件考核方案</w:t>
      </w:r>
      <w:r>
        <w:rPr>
          <w:rFonts w:hint="eastAsia" w:ascii="宋体" w:hAnsi="宋体" w:eastAsia="宋体" w:cs="宋体"/>
          <w:color w:val="000000"/>
          <w:sz w:val="24"/>
          <w:szCs w:val="24"/>
          <w:highlight w:val="none"/>
          <w:lang w:eastAsia="zh-CN"/>
        </w:rPr>
        <w:t xml:space="preserve">）</w:t>
      </w:r>
      <w:r>
        <w:rPr>
          <w:highlight w:val="none"/>
        </w:rPr>
      </w:r>
      <w:r/>
    </w:p>
    <w:p>
      <w:pPr>
        <w:ind w:left="0" w:right="0" w:firstLine="480"/>
        <w:jc w:val="both"/>
        <w:spacing w:before="0" w:after="0" w:line="360" w:lineRule="auto"/>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2、服务人员必须严格遵守国家有关的法律、法规及行业标准。认真执行采购单位各项制度，不得有损采购单位名誉或利益，保守采购单位商业秘密。</w:t>
      </w:r>
      <w:r>
        <w:rPr>
          <w:highlight w:val="none"/>
        </w:rPr>
      </w:r>
      <w:r/>
    </w:p>
    <w:p>
      <w:pPr>
        <w:ind w:left="0" w:right="0" w:firstLine="480"/>
        <w:jc w:val="both"/>
        <w:spacing w:before="0" w:after="0" w:line="360" w:lineRule="auto"/>
        <w:rPr>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4</w:t>
      </w:r>
      <w:r>
        <w:rPr>
          <w:rFonts w:ascii="宋体" w:hAnsi="宋体" w:eastAsia="宋体" w:cs="宋体"/>
          <w:color w:val="000000"/>
          <w:sz w:val="24"/>
          <w:szCs w:val="24"/>
          <w:highlight w:val="none"/>
        </w:rPr>
        <w:t xml:space="preserve">、成交单位对双方共同确认的符合正式录用条件的人员，在其入职前安排职业道德、岗前技能、劳动纪律及双方相关规章制度的培训和考核，并确保员工已经知悉并了解工作内容、工作职责、违约责任等。岗前培训达100%。</w:t>
      </w:r>
      <w:r>
        <w:rPr>
          <w:highlight w:val="none"/>
        </w:rPr>
      </w:r>
      <w:r/>
    </w:p>
    <w:p>
      <w:pPr>
        <w:ind w:left="0" w:right="0" w:firstLine="480"/>
        <w:jc w:val="both"/>
        <w:spacing w:before="0" w:after="0" w:line="360" w:lineRule="auto"/>
        <w:rPr>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5</w:t>
      </w:r>
      <w:r>
        <w:rPr>
          <w:rFonts w:ascii="宋体" w:hAnsi="宋体" w:eastAsia="宋体" w:cs="宋体"/>
          <w:color w:val="000000"/>
          <w:sz w:val="24"/>
          <w:szCs w:val="24"/>
          <w:highlight w:val="none"/>
        </w:rPr>
        <w:t xml:space="preserve">、采购单位负责考核监督成交单位的服务人员工作质量，对服务人员出现工作差错的有权要求扣减工资待遇，对考核不合格或者出现重大责任心事故的服务人员，成交单位必须在规定时间内更换，直至人选合格为止。</w:t>
      </w:r>
      <w:r>
        <w:rPr>
          <w:highlight w:val="none"/>
        </w:rPr>
      </w:r>
      <w:r/>
    </w:p>
    <w:p>
      <w:pPr>
        <w:ind w:left="0" w:right="0" w:firstLine="480"/>
        <w:jc w:val="both"/>
        <w:spacing w:before="0" w:after="0" w:line="360" w:lineRule="auto"/>
        <w:rPr>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6</w:t>
      </w:r>
      <w:r>
        <w:rPr>
          <w:rFonts w:ascii="宋体" w:hAnsi="宋体" w:eastAsia="宋体" w:cs="宋体"/>
          <w:color w:val="000000"/>
          <w:sz w:val="24"/>
          <w:szCs w:val="24"/>
          <w:highlight w:val="none"/>
        </w:rPr>
        <w:t xml:space="preserve">、发生服务人员退回、解除、终止等涉及《劳动法》、《劳动合同法》规定的经济补偿金事宜的，成交单位应与服务人员做好沟通协调工作，如涉及到经济补偿金等相关费用的由</w:t>
      </w:r>
      <w:r>
        <w:rPr>
          <w:rFonts w:hint="eastAsia" w:ascii="宋体" w:hAnsi="宋体" w:eastAsia="宋体" w:cs="宋体"/>
          <w:color w:val="000000"/>
          <w:sz w:val="24"/>
          <w:szCs w:val="24"/>
          <w:highlight w:val="none"/>
          <w:lang w:val="en-US" w:eastAsia="zh-CN"/>
        </w:rPr>
        <w:t xml:space="preserve">中标</w:t>
      </w:r>
      <w:r>
        <w:rPr>
          <w:rFonts w:ascii="宋体" w:hAnsi="宋体" w:eastAsia="宋体" w:cs="宋体"/>
          <w:color w:val="000000"/>
          <w:sz w:val="24"/>
          <w:szCs w:val="24"/>
          <w:highlight w:val="none"/>
        </w:rPr>
        <w:t xml:space="preserve">单位支付。</w:t>
      </w:r>
      <w:r>
        <w:rPr>
          <w:highlight w:val="none"/>
        </w:rPr>
      </w:r>
      <w:r/>
    </w:p>
    <w:p>
      <w:pPr>
        <w:ind w:left="0" w:right="0" w:firstLine="480"/>
        <w:jc w:val="both"/>
        <w:spacing w:before="0" w:after="0" w:line="360" w:lineRule="auto"/>
        <w:rPr>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7</w:t>
      </w:r>
      <w:r>
        <w:rPr>
          <w:rFonts w:ascii="宋体" w:hAnsi="宋体" w:eastAsia="宋体" w:cs="宋体"/>
          <w:color w:val="000000"/>
          <w:sz w:val="24"/>
          <w:szCs w:val="24"/>
          <w:highlight w:val="none"/>
        </w:rPr>
        <w:t xml:space="preserve">、</w:t>
      </w:r>
      <w:r>
        <w:rPr>
          <w:rFonts w:ascii="宋体" w:hAnsi="宋体" w:eastAsia="宋体" w:cs="宋体"/>
          <w:color w:val="000000"/>
          <w:sz w:val="24"/>
          <w:szCs w:val="24"/>
          <w:highlight w:val="none"/>
          <w:u w:val="none"/>
        </w:rPr>
        <w:t xml:space="preserve">服务人员</w:t>
      </w:r>
      <w:r>
        <w:rPr>
          <w:rFonts w:ascii="宋体" w:hAnsi="宋体" w:eastAsia="宋体" w:cs="宋体"/>
          <w:color w:val="000000"/>
          <w:sz w:val="24"/>
          <w:szCs w:val="24"/>
          <w:highlight w:val="none"/>
        </w:rPr>
        <w:t xml:space="preserve">按照采购单位的请假流程执行，需经采购单位审批确认。</w:t>
      </w:r>
      <w:r>
        <w:rPr>
          <w:highlight w:val="none"/>
        </w:rPr>
      </w:r>
      <w:r/>
    </w:p>
    <w:p>
      <w:pPr>
        <w:ind w:left="0" w:right="0" w:firstLine="480"/>
        <w:jc w:val="both"/>
        <w:spacing w:before="0" w:after="0" w:line="360" w:lineRule="auto"/>
        <w:rPr>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8</w:t>
      </w:r>
      <w:r>
        <w:rPr>
          <w:rFonts w:ascii="宋体" w:hAnsi="宋体" w:eastAsia="宋体" w:cs="宋体"/>
          <w:color w:val="000000"/>
          <w:sz w:val="24"/>
          <w:szCs w:val="24"/>
          <w:highlight w:val="none"/>
        </w:rPr>
        <w:t xml:space="preserve">、非经采购单位许可，成交单位不得随意召回其员工（员工主动辞职的除外）、不能随意调换员工工作岗位。</w:t>
      </w:r>
      <w:r>
        <w:rPr>
          <w:highlight w:val="none"/>
        </w:rPr>
      </w:r>
      <w:r/>
    </w:p>
    <w:p>
      <w:pPr>
        <w:ind w:left="0" w:right="0" w:firstLine="480"/>
        <w:jc w:val="both"/>
        <w:spacing w:before="0" w:after="0" w:line="360" w:lineRule="auto"/>
        <w:rPr>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9</w:t>
      </w:r>
      <w:r>
        <w:rPr>
          <w:rFonts w:ascii="宋体" w:hAnsi="宋体" w:eastAsia="宋体" w:cs="宋体"/>
          <w:color w:val="000000"/>
          <w:sz w:val="24"/>
          <w:szCs w:val="24"/>
          <w:highlight w:val="none"/>
        </w:rPr>
        <w:t xml:space="preserve">、成交单位及其员工应保守用人单位的工作秘密，如因成交单位或其员工的原因导致用人单位工作秘密泄露的，成交单位应承担相应的法律责任。</w:t>
      </w:r>
      <w:r>
        <w:rPr>
          <w:highlight w:val="none"/>
        </w:rPr>
      </w:r>
      <w:r/>
    </w:p>
    <w:p>
      <w:pPr>
        <w:ind w:left="0" w:right="0" w:firstLine="480"/>
        <w:jc w:val="both"/>
        <w:spacing w:before="0" w:after="0" w:line="360" w:lineRule="auto"/>
        <w:rPr>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10</w:t>
      </w:r>
      <w:r>
        <w:rPr>
          <w:rFonts w:ascii="宋体" w:hAnsi="宋体" w:eastAsia="宋体" w:cs="宋体"/>
          <w:color w:val="000000"/>
          <w:sz w:val="24"/>
          <w:szCs w:val="24"/>
          <w:highlight w:val="none"/>
        </w:rPr>
        <w:t xml:space="preserve">、采购单位如遇工作需要或因突发事件等因素，而需要服务人员加班时，成交单位应予配合。</w:t>
      </w:r>
      <w:r>
        <w:rPr>
          <w:highlight w:val="none"/>
        </w:rPr>
      </w:r>
      <w:r/>
    </w:p>
    <w:p>
      <w:pPr>
        <w:ind w:left="0" w:right="0" w:firstLine="480"/>
        <w:jc w:val="both"/>
        <w:spacing w:before="0" w:after="0" w:line="360" w:lineRule="auto"/>
        <w:rPr>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11</w:t>
      </w:r>
      <w:r>
        <w:rPr>
          <w:rFonts w:ascii="宋体" w:hAnsi="宋体" w:eastAsia="宋体" w:cs="宋体"/>
          <w:color w:val="000000"/>
          <w:sz w:val="24"/>
          <w:szCs w:val="24"/>
          <w:highlight w:val="none"/>
        </w:rPr>
        <w:t xml:space="preserve">、成交单位按照合同要求为采购单位提供服务，对服务过程中出现的问题主动及时和采购单位沟通，并提出改善方案，不断提升服务质量。</w:t>
      </w:r>
      <w:r>
        <w:rPr>
          <w:highlight w:val="none"/>
        </w:rPr>
      </w:r>
      <w:r/>
    </w:p>
    <w:p>
      <w:pPr>
        <w:ind w:left="0" w:right="0" w:firstLine="480"/>
        <w:jc w:val="both"/>
        <w:spacing w:before="0" w:after="0" w:line="360" w:lineRule="auto"/>
        <w:rPr>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12</w:t>
      </w:r>
      <w:r>
        <w:rPr>
          <w:rFonts w:ascii="宋体" w:hAnsi="宋体" w:eastAsia="宋体" w:cs="宋体"/>
          <w:color w:val="000000"/>
          <w:sz w:val="24"/>
          <w:szCs w:val="24"/>
          <w:highlight w:val="none"/>
        </w:rPr>
        <w:t xml:space="preserve">、采购单位提供办公用房。如遇采购单位办公场所调整、迁移或重大政策变化等，采购单位将提前一个月告知成交单位，合同内容经双方协商调整直至终止。</w:t>
      </w:r>
      <w:r>
        <w:rPr>
          <w:highlight w:val="none"/>
        </w:rPr>
      </w:r>
      <w:r/>
    </w:p>
    <w:p>
      <w:pPr>
        <w:ind w:left="0" w:right="0" w:firstLine="482"/>
        <w:jc w:val="both"/>
        <w:spacing w:before="0" w:after="0" w:line="360" w:lineRule="auto"/>
        <w:tabs>
          <w:tab w:val="left" w:pos="753" w:leader="none"/>
        </w:tabs>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highlight w:val="none"/>
        </w:rPr>
        <w:t xml:space="preserve">三、综合说明及其他要求</w:t>
      </w:r>
      <w:r>
        <w:rPr>
          <w:highlight w:val="none"/>
        </w:rPr>
      </w:r>
      <w:r/>
    </w:p>
    <w:p>
      <w:pPr>
        <w:ind w:left="0" w:right="0" w:firstLine="480"/>
        <w:jc w:val="both"/>
        <w:spacing w:before="0" w:after="0" w:line="360" w:lineRule="auto"/>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1、供应商提供的服务能够至少达到以上要求，同时明确详细的服务方案，并对所提供的全部资料的真实性承担法律责任。</w:t>
      </w:r>
      <w:r>
        <w:rPr>
          <w:highlight w:val="none"/>
        </w:rPr>
      </w:r>
      <w:r/>
    </w:p>
    <w:p>
      <w:pPr>
        <w:ind w:left="0" w:right="0" w:firstLine="480"/>
        <w:jc w:val="both"/>
        <w:spacing w:before="0" w:after="0" w:line="360" w:lineRule="auto"/>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2、供应商必须承诺响应采购文件中提出的全部技术规格与要求。如果其中某些条款不响应时，应在文件中逐条列出，未列出的视同响应。</w:t>
      </w:r>
      <w:r>
        <w:rPr>
          <w:highlight w:val="none"/>
        </w:rPr>
      </w:r>
      <w:r/>
    </w:p>
    <w:p>
      <w:pPr>
        <w:ind w:left="0" w:right="0" w:firstLine="480"/>
        <w:jc w:val="both"/>
        <w:spacing w:before="0" w:after="0" w:line="360" w:lineRule="auto"/>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3、供应商应对所投标段的全部内容进行报价，只投其中部分内容者，其投标（响应）文件将被拒绝。总报价包括但不限于人工、交通、保险、管理费、税金</w:t>
      </w:r>
      <w:r>
        <w:rPr>
          <w:rFonts w:hint="eastAsia" w:ascii="宋体" w:hAnsi="宋体" w:eastAsia="宋体" w:cs="宋体"/>
          <w:color w:val="000000"/>
          <w:sz w:val="24"/>
          <w:szCs w:val="24"/>
          <w:highlight w:val="none"/>
          <w:lang w:eastAsia="zh-CN"/>
        </w:rPr>
        <w:t xml:space="preserve">、</w:t>
      </w:r>
      <w:r>
        <w:rPr>
          <w:rFonts w:ascii="Times New Roman" w:hAnsi="Times New Roman" w:eastAsia="宋体" w:cs="Times New Roman"/>
          <w:color w:val="000000"/>
          <w:sz w:val="24"/>
          <w:szCs w:val="24"/>
          <w:highlight w:val="none"/>
        </w:rPr>
        <w:t xml:space="preserve">采购代理服务费</w:t>
      </w:r>
      <w:r>
        <w:rPr>
          <w:rFonts w:ascii="宋体" w:hAnsi="宋体" w:eastAsia="宋体" w:cs="宋体"/>
          <w:color w:val="000000"/>
          <w:sz w:val="24"/>
          <w:szCs w:val="24"/>
          <w:highlight w:val="none"/>
        </w:rPr>
        <w:t xml:space="preserve">及政策性文件规定费用及合同包含的所有风险、责任等各项费用。</w:t>
      </w:r>
      <w:r>
        <w:rPr>
          <w:highlight w:val="none"/>
        </w:rPr>
      </w:r>
      <w:r/>
    </w:p>
    <w:p>
      <w:pPr>
        <w:ind w:left="0" w:right="0" w:firstLine="480"/>
        <w:jc w:val="both"/>
        <w:spacing w:before="0" w:after="0" w:line="360" w:lineRule="auto"/>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4、响应单位必须按照《劳动法》及国家、江苏省、苏州市、项目所在地的区政府的有关规定及成交单位的工作开展需求配置服务人员数量，并支付工资、国假加班费和交纳正常的社会保险公积金，不得安排工作人员超时限加班。</w:t>
      </w:r>
      <w:r>
        <w:rPr>
          <w:highlight w:val="none"/>
        </w:rPr>
      </w:r>
      <w:r/>
    </w:p>
    <w:p>
      <w:pPr>
        <w:ind w:left="0" w:right="0" w:firstLine="480"/>
        <w:jc w:val="both"/>
        <w:spacing w:before="0" w:after="0" w:line="360" w:lineRule="auto"/>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5、服务人员在采购单位管理区域内引发的人身伤亡及财产损失等事故，责任由</w:t>
      </w:r>
      <w:r>
        <w:rPr>
          <w:rFonts w:hint="eastAsia" w:ascii="宋体" w:hAnsi="宋体" w:eastAsia="宋体" w:cs="宋体"/>
          <w:color w:val="000000"/>
          <w:sz w:val="24"/>
          <w:szCs w:val="24"/>
          <w:highlight w:val="none"/>
          <w:lang w:val="en-US" w:eastAsia="zh-CN"/>
        </w:rPr>
        <w:t xml:space="preserve">中标</w:t>
      </w:r>
      <w:r>
        <w:rPr>
          <w:rFonts w:ascii="宋体" w:hAnsi="宋体" w:eastAsia="宋体" w:cs="宋体"/>
          <w:color w:val="000000"/>
          <w:sz w:val="24"/>
          <w:szCs w:val="24"/>
          <w:highlight w:val="none"/>
        </w:rPr>
        <w:t xml:space="preserve">单位全部承担。</w:t>
      </w:r>
      <w:r>
        <w:rPr>
          <w:highlight w:val="none"/>
        </w:rPr>
      </w:r>
      <w:r/>
    </w:p>
    <w:p>
      <w:pPr>
        <w:ind w:left="0" w:right="0" w:firstLine="480"/>
        <w:jc w:val="both"/>
        <w:spacing w:before="0" w:after="0" w:line="360" w:lineRule="auto"/>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6、采购单位应在工作开展期间为服务人员提供必要的劳动保护条件。</w:t>
      </w:r>
      <w:r>
        <w:rPr>
          <w:highlight w:val="none"/>
        </w:rPr>
      </w:r>
      <w:r/>
    </w:p>
    <w:p>
      <w:pPr>
        <w:ind w:left="0" w:right="0" w:firstLine="480"/>
        <w:jc w:val="both"/>
        <w:spacing w:before="0" w:after="0" w:line="360" w:lineRule="auto"/>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7、付款方式：</w:t>
      </w:r>
      <w:r>
        <w:rPr>
          <w:rFonts w:ascii="宋体" w:hAnsi="宋体" w:eastAsia="宋体" w:cs="宋体"/>
          <w:color w:val="000000"/>
          <w:sz w:val="24"/>
          <w:szCs w:val="24"/>
          <w:highlight w:val="none"/>
        </w:rPr>
        <w:t xml:space="preserve">按季支付，在当季度初预支本季度费用，由采购单位收到成交单位发票后支付费用。</w:t>
      </w:r>
      <w:r>
        <w:rPr>
          <w:highlight w:val="none"/>
        </w:rPr>
      </w:r>
      <w:r/>
    </w:p>
    <w:p>
      <w:pPr>
        <w:ind w:left="0" w:right="0" w:firstLine="480"/>
        <w:jc w:val="both"/>
        <w:spacing w:before="0" w:after="0" w:line="360" w:lineRule="auto"/>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8、凡涉及采购文件的补充说明和修改，均以苏州政府采购网发布的内容为准。</w:t>
      </w:r>
      <w:r>
        <w:rPr>
          <w:highlight w:val="none"/>
        </w:rPr>
      </w:r>
      <w:r/>
    </w:p>
    <w:p>
      <w:pPr>
        <w:ind w:left="0" w:right="0" w:firstLine="0"/>
        <w:jc w:val="both"/>
        <w:spacing w:before="0" w:after="0"/>
        <w:rPr>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szCs w:val="24"/>
          <w:highlight w:val="none"/>
        </w:rPr>
        <w:t xml:space="preserve"> </w:t>
      </w:r>
      <w:r>
        <w:rPr>
          <w:highlight w:val="none"/>
        </w:rPr>
      </w:r>
      <w:r/>
    </w:p>
    <w:p>
      <w:pPr>
        <w:ind w:left="0" w:right="0" w:firstLine="0"/>
        <w:jc w:val="both"/>
        <w:spacing w:before="0" w:after="0"/>
        <w:rPr>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szCs w:val="24"/>
          <w:highlight w:val="none"/>
        </w:rPr>
        <w:t xml:space="preserve"> </w:t>
      </w:r>
      <w:r>
        <w:rPr>
          <w:highlight w:val="none"/>
        </w:rPr>
      </w:r>
      <w:r/>
    </w:p>
    <w:p>
      <w:pPr>
        <w:ind w:left="0" w:right="0" w:firstLine="0"/>
        <w:jc w:val="both"/>
        <w:spacing w:before="0" w:after="0"/>
        <w:rPr>
          <w:sz w:val="24"/>
          <w:szCs w:val="24"/>
          <w:highlight w:val="none"/>
        </w:rPr>
        <w:pBdr>
          <w:top w:val="none" w:color="000000" w:sz="0" w:space="0"/>
          <w:left w:val="none" w:color="000000" w:sz="0" w:space="0"/>
          <w:bottom w:val="none" w:color="000000" w:sz="0" w:space="0"/>
          <w:right w:val="none" w:color="000000" w:sz="0" w:space="0"/>
        </w:pBdr>
      </w:pPr>
      <w:r>
        <w:rPr>
          <w:sz w:val="24"/>
          <w:szCs w:val="24"/>
          <w:highlight w:val="none"/>
        </w:rPr>
        <w:br w:type="page" w:clear="all"/>
      </w:r>
      <w:r>
        <w:rPr>
          <w:highlight w:val="none"/>
        </w:rPr>
      </w:r>
      <w:r/>
    </w:p>
    <w:p>
      <w:pPr>
        <w:ind w:left="420" w:right="0" w:firstLine="420"/>
        <w:jc w:val="both"/>
        <w:spacing w:before="210" w:after="120" w:line="520" w:lineRule="atLeast"/>
        <w:rPr>
          <w:rFonts w:hint="eastAsia" w:ascii="Calibri" w:hAnsi="Calibri" w:eastAsia="宋体" w:cs="Calibri"/>
          <w:color w:val="000000"/>
          <w:sz w:val="24"/>
          <w:szCs w:val="24"/>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4"/>
          <w:highlight w:val="none"/>
        </w:rPr>
        <w:t xml:space="preserve"> </w:t>
      </w:r>
      <w:r>
        <w:rPr>
          <w:rFonts w:hint="eastAsia" w:ascii="Calibri" w:hAnsi="Calibri" w:eastAsia="宋体" w:cs="Calibri"/>
          <w:color w:val="000000"/>
          <w:sz w:val="24"/>
          <w:szCs w:val="24"/>
          <w:highlight w:val="none"/>
          <w:lang w:val="en-US" w:eastAsia="zh-CN"/>
        </w:rPr>
        <w:t xml:space="preserve">附件：</w:t>
      </w:r>
      <w:r>
        <w:rPr>
          <w:highlight w:val="none"/>
        </w:rPr>
      </w:r>
      <w:r/>
    </w:p>
    <w:p>
      <w:pPr>
        <w:ind w:firstLine="0"/>
        <w:jc w:val="center"/>
        <w:spacing w:line="640" w:lineRule="exact"/>
        <w:rPr>
          <w:rFonts w:hint="default" w:ascii="Times New Roman" w:hAnsi="Times New Roman" w:eastAsia="仿宋_GB2312" w:cs="Times New Roman"/>
          <w:sz w:val="30"/>
          <w:szCs w:val="30"/>
          <w:highlight w:val="none"/>
        </w:rPr>
      </w:pPr>
      <w:r>
        <w:rPr>
          <w:rFonts w:hint="eastAsia" w:ascii="方正小标宋_GBK" w:hAnsi="Times New Roman" w:eastAsia="方正小标宋_GBK" w:cs="Times New Roman"/>
          <w:sz w:val="30"/>
          <w:szCs w:val="30"/>
          <w:highlight w:val="none"/>
          <w:lang w:val="en-US" w:eastAsia="zh-CN"/>
        </w:rPr>
        <w:t xml:space="preserve">考核方案</w:t>
      </w:r>
      <w:r>
        <w:rPr>
          <w:highlight w:val="none"/>
        </w:rPr>
      </w:r>
      <w:r/>
    </w:p>
    <w:p>
      <w:pPr>
        <w:ind w:firstLine="480"/>
        <w:spacing w:line="5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一、考核周期</w:t>
      </w:r>
      <w:r>
        <w:rPr>
          <w:highlight w:val="none"/>
        </w:rPr>
      </w:r>
      <w:r/>
    </w:p>
    <w:p>
      <w:pPr>
        <w:ind w:firstLine="480"/>
        <w:spacing w:line="5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月度考核与年度总评相结合。</w:t>
      </w:r>
      <w:r>
        <w:rPr>
          <w:highlight w:val="none"/>
        </w:rPr>
      </w:r>
      <w:r/>
    </w:p>
    <w:p>
      <w:pPr>
        <w:ind w:firstLine="480"/>
        <w:spacing w:line="5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cstheme="minorEastAsia"/>
          <w:sz w:val="24"/>
          <w:szCs w:val="24"/>
          <w:highlight w:val="none"/>
          <w:lang w:val="en-US" w:eastAsia="zh-CN"/>
        </w:rPr>
        <w:t xml:space="preserve">二</w:t>
      </w:r>
      <w:r>
        <w:rPr>
          <w:rFonts w:hint="eastAsia" w:asciiTheme="minorEastAsia" w:hAnsiTheme="minorEastAsia" w:eastAsiaTheme="minorEastAsia" w:cstheme="minorEastAsia"/>
          <w:sz w:val="24"/>
          <w:szCs w:val="24"/>
          <w:highlight w:val="none"/>
          <w:lang w:val="en-US" w:eastAsia="zh-CN"/>
        </w:rPr>
        <w:t xml:space="preserve">、考核内容及细则</w:t>
      </w:r>
      <w:r>
        <w:rPr>
          <w:highlight w:val="none"/>
        </w:rPr>
      </w:r>
      <w:r/>
    </w:p>
    <w:p>
      <w:pPr>
        <w:ind w:firstLine="480"/>
        <w:spacing w:line="5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考核总分值设为100分，由基础考核、工作量考核、行为奖惩三部分构成，另设专项补贴与关怀支出。</w:t>
      </w:r>
      <w:r>
        <w:rPr>
          <w:highlight w:val="none"/>
        </w:rPr>
      </w:r>
      <w:r/>
    </w:p>
    <w:p>
      <w:pPr>
        <w:ind w:firstLine="480"/>
        <w:spacing w:line="5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（一）基础考核（20分）—— 考勤与纪律</w:t>
      </w:r>
      <w:r>
        <w:rPr>
          <w:highlight w:val="none"/>
        </w:rPr>
      </w:r>
      <w:r/>
    </w:p>
    <w:p>
      <w:pPr>
        <w:ind w:firstLine="480"/>
        <w:spacing w:line="5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1. 出勤要求：严格遵守作息时间，按时打卡。</w:t>
      </w:r>
      <w:r>
        <w:rPr>
          <w:highlight w:val="none"/>
        </w:rPr>
      </w:r>
      <w:r/>
    </w:p>
    <w:p>
      <w:pPr>
        <w:ind w:firstLine="480"/>
        <w:spacing w:line="5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2. 扣分标准：</w:t>
      </w:r>
      <w:r>
        <w:rPr>
          <w:highlight w:val="none"/>
        </w:rPr>
      </w:r>
      <w:r/>
    </w:p>
    <w:p>
      <w:pPr>
        <w:ind w:firstLine="480"/>
        <w:spacing w:line="5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（1）每迟到或早退一次，扣2分，并扣罚绩效工资100元。</w:t>
      </w:r>
      <w:r>
        <w:rPr>
          <w:highlight w:val="none"/>
        </w:rPr>
      </w:r>
      <w:r/>
    </w:p>
    <w:p>
      <w:pPr>
        <w:ind w:firstLine="480"/>
        <w:spacing w:line="5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（2）每旷工一次，扣10分，并扣罚绩效工资300元。</w:t>
      </w:r>
      <w:r>
        <w:rPr>
          <w:highlight w:val="none"/>
        </w:rPr>
      </w:r>
      <w:r/>
    </w:p>
    <w:p>
      <w:pPr>
        <w:ind w:firstLine="480"/>
        <w:spacing w:line="5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（3）月累计迟到/早退超3次或旷工1次以上，基础考核项得0分，并视情节给予纪律处分。</w:t>
      </w:r>
      <w:r>
        <w:rPr>
          <w:highlight w:val="none"/>
        </w:rPr>
      </w:r>
      <w:r/>
    </w:p>
    <w:p>
      <w:pPr>
        <w:ind w:firstLine="480"/>
        <w:spacing w:line="5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（二）工作量考核（60分）—— 效率与数量</w:t>
      </w:r>
      <w:r>
        <w:rPr>
          <w:highlight w:val="none"/>
        </w:rPr>
      </w:r>
      <w:r/>
    </w:p>
    <w:p>
      <w:pPr>
        <w:ind w:firstLine="480"/>
        <w:spacing w:line="5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以月度接电数据为基准，设立基准工作量和分级计分制。</w:t>
      </w:r>
      <w:r>
        <w:rPr>
          <w:highlight w:val="none"/>
        </w:rPr>
      </w:r>
      <w:r/>
    </w:p>
    <w:p>
      <w:pPr>
        <w:ind w:firstLine="480"/>
        <w:spacing w:line="5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1. 接电数量（40分）：达到当月设定的标准接听量（中位数）得基础分30分。每超额完成5%，加2分，最高加至40分；每未完成5%，扣2分，最低不低于0分。</w:t>
      </w:r>
      <w:r>
        <w:rPr>
          <w:highlight w:val="none"/>
        </w:rPr>
      </w:r>
      <w:r/>
    </w:p>
    <w:p>
      <w:pPr>
        <w:ind w:firstLine="480"/>
        <w:spacing w:line="5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2. 接电总时长（20分）：达到人均平均有效通话时长要求得15分。在保证服务质量前提下，平均处理时长优于团队均值一定比例，可酌情加分，最高加至20分；处理效率过低或存在无效通话，酌情扣分。</w:t>
      </w:r>
      <w:r>
        <w:rPr>
          <w:highlight w:val="none"/>
        </w:rPr>
      </w:r>
      <w:r/>
    </w:p>
    <w:p>
      <w:pPr>
        <w:ind w:firstLine="480"/>
        <w:spacing w:line="5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（三）行为奖惩（20分）—— 服务质量</w:t>
      </w:r>
      <w:r>
        <w:rPr>
          <w:highlight w:val="none"/>
        </w:rPr>
      </w:r>
      <w:r/>
    </w:p>
    <w:p>
      <w:pPr>
        <w:ind w:firstLine="480"/>
        <w:spacing w:line="5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1. 有效投诉：经核实确属服务态度、业务解答错误或流程过失引发的有效投诉，每发生一次扣5分，并扣罚绩效工资100元。</w:t>
      </w:r>
      <w:r>
        <w:rPr>
          <w:highlight w:val="none"/>
        </w:rPr>
      </w:r>
      <w:r/>
    </w:p>
    <w:p>
      <w:pPr>
        <w:ind w:firstLine="480"/>
        <w:spacing w:line="5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2. 有效表扬：收到来自服务对象、上级部门或合作单位的书面、电话等形式的明确表扬，经核实后，每次加5分，并奖励绩效工资100元。</w:t>
      </w:r>
      <w:r>
        <w:rPr>
          <w:highlight w:val="none"/>
        </w:rPr>
      </w:r>
      <w:r/>
    </w:p>
    <w:p>
      <w:pPr>
        <w:ind w:firstLine="480"/>
        <w:spacing w:line="5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3. 业务差错：发生一般性业务操作或信息记录差错，每次扣2分；造成不良影响的，视同有效投诉处理。</w:t>
      </w:r>
      <w:r>
        <w:rPr>
          <w:highlight w:val="none"/>
        </w:rPr>
      </w:r>
      <w:r/>
    </w:p>
    <w:p>
      <w:pPr>
        <w:ind w:firstLine="480"/>
        <w:spacing w:line="5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（四）专项补贴（额外计发，不占考核分）</w:t>
      </w:r>
      <w:r>
        <w:rPr>
          <w:highlight w:val="none"/>
        </w:rPr>
      </w:r>
      <w:r/>
    </w:p>
    <w:p>
      <w:pPr>
        <w:ind w:firstLine="480"/>
        <w:spacing w:line="5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1. 班次补贴：按实际出勤班次发放。中班(21:00-24:00)补贴50元/班；夜班(24:00-8:30)补贴80元/班。</w:t>
      </w:r>
      <w:r>
        <w:rPr>
          <w:highlight w:val="none"/>
        </w:rPr>
      </w:r>
      <w:r/>
    </w:p>
    <w:p>
      <w:pPr>
        <w:ind w:firstLine="480"/>
        <w:spacing w:line="5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2. 节假日补贴：在国家法定节假日（以国家规定为准）出勤执勤的，补贴150元/天。</w:t>
      </w:r>
      <w:r>
        <w:rPr>
          <w:highlight w:val="none"/>
        </w:rPr>
      </w:r>
      <w:r/>
    </w:p>
    <w:p>
      <w:pPr>
        <w:ind w:firstLine="480"/>
        <w:spacing w:line="5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cstheme="minorEastAsia"/>
          <w:sz w:val="24"/>
          <w:szCs w:val="24"/>
          <w:highlight w:val="none"/>
          <w:lang w:val="en-US" w:eastAsia="zh-CN"/>
        </w:rPr>
        <w:t xml:space="preserve">三</w:t>
      </w:r>
      <w:r>
        <w:rPr>
          <w:rFonts w:hint="eastAsia" w:asciiTheme="minorEastAsia" w:hAnsiTheme="minorEastAsia" w:eastAsiaTheme="minorEastAsia" w:cstheme="minorEastAsia"/>
          <w:sz w:val="24"/>
          <w:szCs w:val="24"/>
          <w:highlight w:val="none"/>
          <w:lang w:val="en-US" w:eastAsia="zh-CN"/>
        </w:rPr>
        <w:t xml:space="preserve">、绩效工资计算</w:t>
      </w:r>
      <w:r>
        <w:rPr>
          <w:highlight w:val="none"/>
        </w:rPr>
      </w:r>
      <w:r/>
    </w:p>
    <w:p>
      <w:pPr>
        <w:ind w:firstLine="480"/>
        <w:spacing w:line="5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月度绩效工资 = （基础考核得分 + 工作量考核得分 + 行为奖惩得分）% × 绩效工资基数 + 专项补贴</w:t>
      </w:r>
      <w:r>
        <w:rPr>
          <w:highlight w:val="none"/>
        </w:rPr>
      </w:r>
      <w:r/>
    </w:p>
    <w:p>
      <w:pPr>
        <w:ind w:firstLine="480"/>
        <w:spacing w:line="5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注：扣罚与奖励款项在当月绩效工资中直接进行加减。</w:t>
      </w:r>
      <w:r>
        <w:rPr>
          <w:highlight w:val="none"/>
        </w:rPr>
      </w:r>
      <w:r/>
    </w:p>
    <w:p>
      <w:pPr>
        <w:ind w:firstLine="480"/>
        <w:spacing w:line="5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cstheme="minorEastAsia"/>
          <w:sz w:val="24"/>
          <w:szCs w:val="24"/>
          <w:highlight w:val="none"/>
          <w:lang w:val="en-US" w:eastAsia="zh-CN"/>
        </w:rPr>
        <w:t xml:space="preserve">四</w:t>
      </w:r>
      <w:r>
        <w:rPr>
          <w:rFonts w:hint="eastAsia" w:asciiTheme="minorEastAsia" w:hAnsiTheme="minorEastAsia" w:eastAsiaTheme="minorEastAsia" w:cstheme="minorEastAsia"/>
          <w:sz w:val="24"/>
          <w:szCs w:val="24"/>
          <w:highlight w:val="none"/>
          <w:lang w:val="en-US" w:eastAsia="zh-CN"/>
        </w:rPr>
        <w:t xml:space="preserve">、考核结果应用</w:t>
      </w:r>
      <w:r>
        <w:rPr>
          <w:highlight w:val="none"/>
        </w:rPr>
      </w:r>
      <w:r/>
    </w:p>
    <w:p>
      <w:pPr>
        <w:ind w:firstLine="480"/>
        <w:spacing w:line="5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（一）月度考核：作为月度绩效工资发放的直接依据。</w:t>
      </w:r>
      <w:r>
        <w:rPr>
          <w:highlight w:val="none"/>
        </w:rPr>
      </w:r>
      <w:r/>
    </w:p>
    <w:p>
      <w:pPr>
        <w:ind w:firstLine="480"/>
        <w:spacing w:line="5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（二）年度总评：作为年度评优评先、岗位晋级、薪酬调整、培训发展的重要参考。</w:t>
      </w:r>
      <w:r>
        <w:rPr>
          <w:highlight w:val="none"/>
        </w:rPr>
      </w:r>
      <w:r/>
    </w:p>
    <w:p>
      <w:pPr>
        <w:ind w:firstLine="480"/>
        <w:spacing w:line="5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（三）改进反馈：主管每月需就考核结果与员工进行沟通，肯定成绩，指出不足，制定改进计划。</w:t>
      </w:r>
      <w:r>
        <w:rPr>
          <w:highlight w:val="none"/>
        </w:rPr>
      </w:r>
      <w:r/>
    </w:p>
    <w:p>
      <w:pPr>
        <w:ind w:left="420" w:right="0" w:firstLine="420"/>
        <w:jc w:val="both"/>
        <w:spacing w:before="210" w:after="120" w:line="520" w:lineRule="atLeast"/>
        <w:rPr>
          <w:rFonts w:hint="eastAsia" w:ascii="Calibri" w:hAnsi="Calibri" w:eastAsia="宋体" w:cs="Calibri"/>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Calibri" w:hAnsi="Calibri" w:eastAsia="宋体" w:cs="Calibri"/>
          <w:color w:val="000000"/>
          <w:sz w:val="24"/>
          <w:szCs w:val="24"/>
          <w:highlight w:val="none"/>
          <w:lang w:val="en-US" w:eastAsia="zh-CN"/>
        </w:rPr>
      </w:r>
      <w:r>
        <w:rPr>
          <w:highlight w:val="none"/>
        </w:rPr>
      </w:r>
      <w:r/>
    </w:p>
    <w:p>
      <w:pPr>
        <w:ind w:left="420" w:right="0" w:firstLine="420"/>
        <w:jc w:val="both"/>
        <w:spacing w:before="210" w:after="120" w:line="520" w:lineRule="atLeast"/>
        <w:rPr>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highlight w:val="none"/>
        </w:rPr>
        <w:t xml:space="preserve"> </w:t>
      </w:r>
      <w:r>
        <w:rPr>
          <w:highlight w:val="none"/>
        </w:rPr>
      </w:r>
      <w:r/>
    </w:p>
    <w:p>
      <w:pPr>
        <w:ind w:left="420" w:right="0" w:firstLine="420"/>
        <w:jc w:val="both"/>
        <w:spacing w:before="210" w:after="120" w:line="520" w:lineRule="atLeast"/>
        <w:rPr>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highlight w:val="none"/>
        </w:rPr>
        <w:t xml:space="preserve"> </w:t>
      </w:r>
      <w:r>
        <w:rPr>
          <w:highlight w:val="none"/>
        </w:rPr>
      </w:r>
      <w:r/>
    </w:p>
    <w:p>
      <w:pPr>
        <w:ind w:left="420" w:right="0" w:firstLine="420"/>
        <w:jc w:val="both"/>
        <w:spacing w:before="210" w:after="120" w:line="520" w:lineRule="atLeast"/>
        <w:rPr>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highlight w:val="none"/>
        </w:rPr>
        <w:t xml:space="preserve"> </w:t>
      </w:r>
      <w:r>
        <w:rPr>
          <w:highlight w:val="none"/>
        </w:rPr>
      </w:r>
      <w:r/>
    </w:p>
    <w:p>
      <w:pPr>
        <w:ind w:left="420" w:right="0" w:firstLine="420"/>
        <w:jc w:val="both"/>
        <w:spacing w:before="210" w:after="120" w:line="520" w:lineRule="atLeast"/>
        <w:rPr>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highlight w:val="none"/>
        </w:rPr>
        <w:t xml:space="preserve"> </w:t>
      </w:r>
      <w:r>
        <w:rPr>
          <w:highlight w:val="none"/>
        </w:rPr>
      </w:r>
      <w:r/>
    </w:p>
    <w:p>
      <w:pPr>
        <w:ind w:left="420" w:right="0" w:firstLine="420"/>
        <w:jc w:val="both"/>
        <w:spacing w:before="210" w:after="120" w:line="520" w:lineRule="atLeast"/>
        <w:rPr>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highlight w:val="none"/>
        </w:rPr>
        <w:t xml:space="preserve"> </w:t>
      </w:r>
      <w:r>
        <w:rPr>
          <w:highlight w:val="none"/>
        </w:rPr>
      </w:r>
      <w:r/>
    </w:p>
    <w:p>
      <w:pPr>
        <w:ind w:left="420" w:right="0" w:firstLine="420"/>
        <w:jc w:val="both"/>
        <w:spacing w:before="210" w:after="120" w:line="520" w:lineRule="atLeast"/>
        <w:rPr>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highlight w:val="none"/>
        </w:rPr>
        <w:t xml:space="preserve"> </w:t>
      </w:r>
      <w:r>
        <w:rPr>
          <w:highlight w:val="none"/>
        </w:rPr>
      </w:r>
      <w:r/>
    </w:p>
    <w:p>
      <w:pPr>
        <w:ind w:left="0" w:right="0" w:firstLine="0"/>
        <w:jc w:val="cente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52"/>
          <w:highlight w:val="none"/>
        </w:rPr>
        <w:t xml:space="preserve">第五章 合同主要条款</w:t>
      </w:r>
      <w:r>
        <w:rPr>
          <w:highlight w:val="none"/>
        </w:rPr>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none"/>
        </w:rPr>
        <w:t xml:space="preserve"> </w:t>
      </w:r>
      <w:r>
        <w:rPr>
          <w:highlight w:val="none"/>
        </w:rPr>
      </w:r>
      <w:r/>
    </w:p>
    <w:p>
      <w:pPr>
        <w:ind w:left="0" w:right="0" w:firstLine="60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rPr>
          <w:highlight w:val="none"/>
        </w:rPr>
      </w:r>
      <w:r/>
    </w:p>
    <w:p>
      <w:pPr>
        <w:ind w:left="0" w:right="0" w:firstLine="0"/>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合同主要条款</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依据甲方委托</w:t>
      </w:r>
      <w:r>
        <w:rPr>
          <w:rFonts w:ascii="宋体" w:hAnsi="宋体" w:eastAsia="宋体" w:cs="宋体"/>
          <w:color w:val="000000"/>
          <w:sz w:val="24"/>
          <w:highlight w:val="none"/>
          <w:u w:val="single"/>
        </w:rPr>
        <w:t xml:space="preserve">江苏仁禾中衡工程咨询房地产估价有限公司</w:t>
      </w:r>
      <w:r>
        <w:rPr>
          <w:rFonts w:ascii="宋体" w:hAnsi="宋体" w:eastAsia="宋体" w:cs="宋体"/>
          <w:color w:val="000000"/>
          <w:sz w:val="24"/>
          <w:highlight w:val="none"/>
        </w:rPr>
        <w:t xml:space="preserve">进行本项目政府采购</w:t>
      </w:r>
      <w:r>
        <w:rPr>
          <w:rFonts w:ascii="宋体" w:hAnsi="宋体" w:eastAsia="宋体" w:cs="宋体"/>
          <w:color w:val="000000"/>
          <w:sz w:val="24"/>
          <w:highlight w:val="none"/>
          <w:u w:val="single"/>
        </w:rPr>
        <w:t xml:space="preserve">（采购编号：</w:t>
      </w:r>
      <w:r>
        <w:rPr>
          <w:rFonts w:hint="eastAsia" w:ascii="宋体" w:hAnsi="宋体" w:eastAsia="宋体" w:cs="宋体"/>
          <w:color w:val="000000"/>
          <w:sz w:val="24"/>
          <w:highlight w:val="none"/>
          <w:u w:val="single"/>
          <w:lang w:eastAsia="zh-CN"/>
        </w:rPr>
        <w:t xml:space="preserve">JSZC-320500-RHHH-C2026-0033</w:t>
      </w:r>
      <w:r>
        <w:rPr>
          <w:rFonts w:ascii="宋体" w:hAnsi="宋体" w:eastAsia="宋体" w:cs="宋体"/>
          <w:color w:val="000000"/>
          <w:sz w:val="24"/>
          <w:highlight w:val="none"/>
          <w:u w:val="single"/>
        </w:rPr>
        <w:t xml:space="preserve">）</w:t>
      </w:r>
      <w:r>
        <w:rPr>
          <w:rFonts w:ascii="宋体" w:hAnsi="宋体" w:eastAsia="宋体" w:cs="宋体"/>
          <w:color w:val="000000"/>
          <w:sz w:val="24"/>
          <w:highlight w:val="none"/>
        </w:rPr>
        <w:t xml:space="preserve">的采购结果，确定乙方为本次成交供应商，现依照采购文件、乙方的响应文件及相关文件的内容，签订本合同书。</w:t>
      </w:r>
      <w:r>
        <w:rPr>
          <w:highlight w:val="none"/>
        </w:rPr>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一、合同标的物和合同价格组成</w:t>
      </w:r>
      <w:r>
        <w:rPr>
          <w:highlight w:val="none"/>
        </w:rPr>
      </w:r>
      <w:r/>
    </w:p>
    <w:p>
      <w:pPr>
        <w:ind w:left="0" w:right="0" w:firstLine="480"/>
        <w:jc w:val="both"/>
        <w:spacing w:before="0" w:after="0" w:line="85" w:lineRule="atLeast"/>
        <w:tabs>
          <w:tab w:val="left" w:pos="756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1、采购的服务内容概述：详见第四章 采购内容。</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2、服务期限：详见第四章采购内容。</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3、合同价款的组成：合同价款包含甲方应付乙方的全部款项。</w:t>
      </w:r>
      <w:r>
        <w:rPr>
          <w:highlight w:val="none"/>
        </w:rPr>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二、下列文件为本合同不可分割部分，</w:t>
      </w:r>
      <w:r>
        <w:rPr>
          <w:rFonts w:ascii="宋体" w:hAnsi="宋体" w:eastAsia="宋体" w:cs="宋体"/>
          <w:color w:val="000000"/>
          <w:sz w:val="24"/>
          <w:highlight w:val="none"/>
        </w:rPr>
        <w:t xml:space="preserve">如果合同文件存在歧义或不一致，则根据如下优先次序判断：</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1、成交通知书。</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2、乙方成交的响应文件。</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3、采购文件。</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4、乙方在招投标过程中所作的其它承诺、声明、书面澄清等。</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以上与本合同具有同等法律效力，如上述文件与本合同内容存在冲突的，双方认可按照本合同约定内容执行。</w:t>
      </w:r>
      <w:r>
        <w:rPr>
          <w:highlight w:val="none"/>
        </w:rPr>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三、合同价格支付</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1、合同价格：</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2、付款办法：详见第四章采购内容。</w:t>
      </w:r>
      <w:r>
        <w:rPr>
          <w:highlight w:val="none"/>
        </w:rPr>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四、不可抗力</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1、因不可抗力不能履行合同的，根据不可抗力的影响，部分或者全部免除责任。但合同一方延迟履行后发生不可抗力的，不能免除责任。</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2、合同一方因不可抗力不能履行合同的，应当及时通知对方，以减轻可能给对方造成的损失，并应当在合理期限内提供证明。</w:t>
      </w:r>
      <w:r>
        <w:rPr>
          <w:highlight w:val="none"/>
        </w:rPr>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五、合同的解除和转让</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1、甲方和乙方协商一致，可以解除合同。</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2、有下列情形之一，合同一方可以解除合同：</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（1）因不可抗力致使不能实现合同目的，未受不可抗力影响的一方有权解除合同。</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（2）因合同一方违约导致合同不能履行，另一方有权解除合同。</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（3）因乙方在履行合同过程中造成社会不良影响的，甲方有权解除合同。</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3、有权解除合同的一方，应当在违约事实或不可抗力发生之后三十天内书面通知对方以主张解除合同，合同在书面通知到达对方时解除。</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4、合同的部分和全部都不得转让。</w:t>
      </w:r>
      <w:r>
        <w:rPr>
          <w:highlight w:val="none"/>
        </w:rPr>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六、违约责任</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1、合同一方不履行合同义务或者履行合同义务不符合约定的，应当承担继续履行、采取补救措施或赔偿损失等违约责任。</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2、甲方违约责任。甲方未按照约定时间支付合同价款的，应当承担逾期付款违约责任。</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3、乙方违约责任。</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（1）甲方有权按照本合同规定对乙方进行考核，并按照考核办法的规定要求乙方承担相应责任。</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（2）乙方承担的违约金不足以赔偿甲方实际损失的，甲方有权要求乙方继续赔偿。</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（3）乙方履行合同不符合合同要求的，甲方有权责令乙方立即改正，乙方拒不改正或已经造成不良社会影响的，甲方有权要求乙方承担责任。</w:t>
      </w:r>
      <w:r>
        <w:rPr>
          <w:highlight w:val="none"/>
        </w:rPr>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七、争议解决办法</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因本合同或与本合同有关的一切事项发生争议，由双方友好协商解决。协商不成的，任何一方均可以向甲方所在地人民法院起诉。</w:t>
      </w:r>
      <w:r>
        <w:rPr>
          <w:highlight w:val="none"/>
        </w:rPr>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八、合同生效</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本合同经双方法定代表人或授权代表签字（或盖章）并经单位盖章后生效。</w:t>
      </w:r>
      <w:r>
        <w:rPr>
          <w:highlight w:val="none"/>
        </w:rPr>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九、附则</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1、本合同一式</w:t>
      </w:r>
      <w:r>
        <w:rPr>
          <w:rFonts w:ascii="宋体" w:hAnsi="宋体" w:eastAsia="宋体" w:cs="宋体"/>
          <w:color w:val="000000"/>
          <w:sz w:val="24"/>
          <w:highlight w:val="none"/>
          <w:u w:val="single"/>
        </w:rPr>
        <w:t xml:space="preserve"> 叁</w:t>
      </w:r>
      <w:r>
        <w:rPr>
          <w:rFonts w:ascii="宋体" w:hAnsi="宋体" w:eastAsia="宋体" w:cs="宋体"/>
          <w:color w:val="000000"/>
          <w:sz w:val="24"/>
          <w:highlight w:val="none"/>
        </w:rPr>
        <w:t xml:space="preserve">份，甲方、乙方各执</w:t>
      </w:r>
      <w:r>
        <w:rPr>
          <w:rFonts w:ascii="宋体" w:hAnsi="宋体" w:eastAsia="宋体" w:cs="宋体"/>
          <w:color w:val="000000"/>
          <w:sz w:val="24"/>
          <w:highlight w:val="none"/>
          <w:u w:val="single"/>
        </w:rPr>
        <w:t xml:space="preserve"> 壹</w:t>
      </w:r>
      <w:r>
        <w:rPr>
          <w:rFonts w:ascii="宋体" w:hAnsi="宋体" w:eastAsia="宋体" w:cs="宋体"/>
          <w:color w:val="000000"/>
          <w:sz w:val="24"/>
          <w:highlight w:val="none"/>
        </w:rPr>
        <w:t xml:space="preserve">份，采购代理机构</w:t>
      </w:r>
      <w:r>
        <w:rPr>
          <w:rFonts w:ascii="宋体" w:hAnsi="宋体" w:eastAsia="宋体" w:cs="宋体"/>
          <w:color w:val="000000"/>
          <w:sz w:val="24"/>
          <w:highlight w:val="none"/>
          <w:u w:val="single"/>
        </w:rPr>
        <w:t xml:space="preserve"> 壹</w:t>
      </w:r>
      <w:r>
        <w:rPr>
          <w:rFonts w:ascii="宋体" w:hAnsi="宋体" w:eastAsia="宋体" w:cs="宋体"/>
          <w:color w:val="000000"/>
          <w:sz w:val="24"/>
          <w:highlight w:val="none"/>
        </w:rPr>
        <w:t xml:space="preserve">份。</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2、本合同文件使用中文书写、解释和说明。</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3、本合同履行过程中产生的纪要、协议以及中标通知书、投标文件和采购文件为本合同的附件，与合同具有同等效力。</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4、未尽事宜</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按《中华人民共和国政府采购法》及其他有关的法律法规的规定执行。</w:t>
      </w:r>
      <w:r>
        <w:rPr>
          <w:highlight w:val="none"/>
        </w:rPr>
      </w:r>
      <w:r/>
    </w:p>
    <w:p>
      <w:pPr>
        <w:ind w:left="0" w:right="0" w:firstLine="0"/>
        <w:spacing w:before="0" w:after="0"/>
        <w:rPr>
          <w:highlight w:val="none"/>
        </w:rPr>
        <w:pBdr>
          <w:top w:val="none" w:color="000000" w:sz="0" w:space="0"/>
          <w:left w:val="none" w:color="000000" w:sz="0" w:space="0"/>
          <w:bottom w:val="none" w:color="000000" w:sz="0" w:space="0"/>
          <w:right w:val="none" w:color="000000" w:sz="0" w:space="0"/>
        </w:pBdr>
      </w:pPr>
      <w:r>
        <w:rPr>
          <w:highlight w:val="none"/>
        </w:rPr>
        <w:br w:type="page" w:clear="all"/>
      </w:r>
      <w:r>
        <w:rPr>
          <w:highlight w:val="none"/>
        </w:rPr>
      </w:r>
      <w:r/>
    </w:p>
    <w:p>
      <w:pPr>
        <w:ind w:left="420" w:right="0" w:firstLine="420"/>
        <w:jc w:val="both"/>
        <w:spacing w:before="210" w:after="120" w:line="520" w:lineRule="atLeast"/>
        <w:rPr>
          <w:rFonts w:hint="eastAsia" w:ascii="Calibri" w:hAnsi="Calibri" w:eastAsia="宋体" w:cs="Calibri"/>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6"/>
          <w:highlight w:val="none"/>
        </w:rPr>
        <w:t xml:space="preserve"> </w:t>
      </w:r>
      <w:r>
        <w:rPr>
          <w:rFonts w:ascii="Calibri" w:hAnsi="Calibri" w:eastAsia="Calibri" w:cs="Calibri"/>
          <w:color w:val="000000"/>
          <w:sz w:val="24"/>
          <w:szCs w:val="24"/>
          <w:highlight w:val="none"/>
        </w:rPr>
        <w:t xml:space="preserve"> </w:t>
      </w:r>
      <w:r>
        <w:rPr>
          <w:rFonts w:hint="eastAsia" w:ascii="Calibri" w:hAnsi="Calibri" w:eastAsia="宋体" w:cs="Calibri"/>
          <w:color w:val="000000"/>
          <w:sz w:val="24"/>
          <w:szCs w:val="24"/>
          <w:highlight w:val="none"/>
          <w:lang w:val="en-US" w:eastAsia="zh-CN"/>
        </w:rPr>
        <w:t xml:space="preserve">附件：</w:t>
      </w:r>
      <w:r>
        <w:rPr>
          <w:highlight w:val="none"/>
        </w:rPr>
      </w:r>
      <w:r/>
    </w:p>
    <w:p>
      <w:pPr>
        <w:ind w:firstLine="0"/>
        <w:jc w:val="center"/>
        <w:spacing w:line="640" w:lineRule="exact"/>
        <w:rPr>
          <w:rFonts w:hint="default" w:ascii="Times New Roman" w:hAnsi="Times New Roman" w:eastAsia="仿宋_GB2312" w:cs="Times New Roman"/>
          <w:sz w:val="30"/>
          <w:szCs w:val="30"/>
          <w:highlight w:val="none"/>
        </w:rPr>
      </w:pPr>
      <w:r>
        <w:rPr>
          <w:rFonts w:hint="eastAsia" w:ascii="方正小标宋_GBK" w:hAnsi="Times New Roman" w:eastAsia="方正小标宋_GBK" w:cs="Times New Roman"/>
          <w:sz w:val="30"/>
          <w:szCs w:val="30"/>
          <w:highlight w:val="none"/>
          <w:lang w:val="en-US" w:eastAsia="zh-CN"/>
        </w:rPr>
        <w:t xml:space="preserve">考核方案</w:t>
      </w:r>
      <w:r>
        <w:rPr>
          <w:highlight w:val="none"/>
        </w:rPr>
      </w:r>
      <w:r/>
    </w:p>
    <w:p>
      <w:pPr>
        <w:ind w:firstLine="480"/>
        <w:spacing w:line="5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一、考核周期</w:t>
      </w:r>
      <w:r>
        <w:rPr>
          <w:highlight w:val="none"/>
        </w:rPr>
      </w:r>
      <w:r/>
    </w:p>
    <w:p>
      <w:pPr>
        <w:ind w:firstLine="480"/>
        <w:spacing w:line="5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月度考核与年度总评相结合。</w:t>
      </w:r>
      <w:r>
        <w:rPr>
          <w:highlight w:val="none"/>
        </w:rPr>
      </w:r>
      <w:r/>
    </w:p>
    <w:p>
      <w:pPr>
        <w:ind w:firstLine="480"/>
        <w:spacing w:line="5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cstheme="minorEastAsia"/>
          <w:sz w:val="24"/>
          <w:szCs w:val="24"/>
          <w:highlight w:val="none"/>
          <w:lang w:val="en-US" w:eastAsia="zh-CN"/>
        </w:rPr>
        <w:t xml:space="preserve">二</w:t>
      </w:r>
      <w:r>
        <w:rPr>
          <w:rFonts w:hint="eastAsia" w:asciiTheme="minorEastAsia" w:hAnsiTheme="minorEastAsia" w:eastAsiaTheme="minorEastAsia" w:cstheme="minorEastAsia"/>
          <w:sz w:val="24"/>
          <w:szCs w:val="24"/>
          <w:highlight w:val="none"/>
          <w:lang w:val="en-US" w:eastAsia="zh-CN"/>
        </w:rPr>
        <w:t xml:space="preserve">、考核内容及细则</w:t>
      </w:r>
      <w:r>
        <w:rPr>
          <w:highlight w:val="none"/>
        </w:rPr>
      </w:r>
      <w:r/>
    </w:p>
    <w:p>
      <w:pPr>
        <w:ind w:firstLine="480"/>
        <w:spacing w:line="5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考核总分值设为100分，由基础考核、工作量考核、行为奖惩三部分构成，另设专项补贴与关怀支出。</w:t>
      </w:r>
      <w:r>
        <w:rPr>
          <w:highlight w:val="none"/>
        </w:rPr>
      </w:r>
      <w:r/>
    </w:p>
    <w:p>
      <w:pPr>
        <w:ind w:firstLine="480"/>
        <w:spacing w:line="5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（一）基础考核（20分）—— 考勤与纪律</w:t>
      </w:r>
      <w:r>
        <w:rPr>
          <w:highlight w:val="none"/>
        </w:rPr>
      </w:r>
      <w:r/>
    </w:p>
    <w:p>
      <w:pPr>
        <w:ind w:firstLine="480"/>
        <w:spacing w:line="5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1. 出勤要求：严格遵守作息时间，按时打卡。</w:t>
      </w:r>
      <w:r>
        <w:rPr>
          <w:highlight w:val="none"/>
        </w:rPr>
      </w:r>
      <w:r/>
    </w:p>
    <w:p>
      <w:pPr>
        <w:ind w:firstLine="480"/>
        <w:spacing w:line="5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2. 扣分标准：</w:t>
      </w:r>
      <w:r>
        <w:rPr>
          <w:highlight w:val="none"/>
        </w:rPr>
      </w:r>
      <w:r/>
    </w:p>
    <w:p>
      <w:pPr>
        <w:ind w:firstLine="480"/>
        <w:spacing w:line="5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（1）每迟到或早退一次，扣2分，并扣罚绩效工资100元。</w:t>
      </w:r>
      <w:r>
        <w:rPr>
          <w:highlight w:val="none"/>
        </w:rPr>
      </w:r>
      <w:r/>
    </w:p>
    <w:p>
      <w:pPr>
        <w:ind w:firstLine="480"/>
        <w:spacing w:line="5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（2）每旷工一次，扣10分，并扣罚绩效工资300元。</w:t>
      </w:r>
      <w:r>
        <w:rPr>
          <w:highlight w:val="none"/>
        </w:rPr>
      </w:r>
      <w:r/>
    </w:p>
    <w:p>
      <w:pPr>
        <w:ind w:firstLine="480"/>
        <w:spacing w:line="5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（3）月累计迟到/早退超3次或旷工1次以上，基础考核项得0分，并视情节给予纪律处分。</w:t>
      </w:r>
      <w:r>
        <w:rPr>
          <w:highlight w:val="none"/>
        </w:rPr>
      </w:r>
      <w:r/>
    </w:p>
    <w:p>
      <w:pPr>
        <w:ind w:firstLine="480"/>
        <w:spacing w:line="5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（二）工作量考核（60分）—— 效率与数量</w:t>
      </w:r>
      <w:r>
        <w:rPr>
          <w:highlight w:val="none"/>
        </w:rPr>
      </w:r>
      <w:r/>
    </w:p>
    <w:p>
      <w:pPr>
        <w:ind w:firstLine="480"/>
        <w:spacing w:line="5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以月度接电数据为基准，设立基准工作量和分级计分制。</w:t>
      </w:r>
      <w:r>
        <w:rPr>
          <w:highlight w:val="none"/>
        </w:rPr>
      </w:r>
      <w:r/>
    </w:p>
    <w:p>
      <w:pPr>
        <w:ind w:firstLine="480"/>
        <w:spacing w:line="5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1. 接电数量（40分）：达到当月设定的标准接听量（中位数）得基础分30分。每超额完成5%，加2分，最高加至40分；每未完成5%，扣2分，最低不低于0分。</w:t>
      </w:r>
      <w:r>
        <w:rPr>
          <w:highlight w:val="none"/>
        </w:rPr>
      </w:r>
      <w:r/>
    </w:p>
    <w:p>
      <w:pPr>
        <w:ind w:firstLine="480"/>
        <w:spacing w:line="5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2. 接电总时长（20分）：达到人均平均有效通话时长要求得15分。在保证服务质量前提下，平均处理时长优于团队均值一定比例，可酌情加分，最高加至20分；处理效率过低或存在无效通话，酌情扣分。</w:t>
      </w:r>
      <w:r>
        <w:rPr>
          <w:highlight w:val="none"/>
        </w:rPr>
      </w:r>
      <w:r/>
    </w:p>
    <w:p>
      <w:pPr>
        <w:ind w:firstLine="480"/>
        <w:spacing w:line="5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（三）行为奖惩（20分）—— 服务质量</w:t>
      </w:r>
      <w:r>
        <w:rPr>
          <w:highlight w:val="none"/>
        </w:rPr>
      </w:r>
      <w:r/>
    </w:p>
    <w:p>
      <w:pPr>
        <w:ind w:firstLine="480"/>
        <w:spacing w:line="5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1. 有效投诉：经核实确属服务态度、业务解答错误或流程过失引发的有效投诉，每发生一次扣5分，并扣罚绩效工资100元。</w:t>
      </w:r>
      <w:r>
        <w:rPr>
          <w:highlight w:val="none"/>
        </w:rPr>
      </w:r>
      <w:r/>
    </w:p>
    <w:p>
      <w:pPr>
        <w:ind w:firstLine="480"/>
        <w:spacing w:line="5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2. 有效表扬：收到来自服务对象、上级部门或合作单位的书面、电话等形式的明确表扬，经核实后，每次加5分，并奖励绩效工资100元。</w:t>
      </w:r>
      <w:r>
        <w:rPr>
          <w:highlight w:val="none"/>
        </w:rPr>
      </w:r>
      <w:r/>
    </w:p>
    <w:p>
      <w:pPr>
        <w:ind w:firstLine="480"/>
        <w:spacing w:line="5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3. 业务差错：发生一般性业务操作或信息记录差错，每次扣2分；造成不良影响的，视同有效投诉处理。</w:t>
      </w:r>
      <w:r>
        <w:rPr>
          <w:highlight w:val="none"/>
        </w:rPr>
      </w:r>
      <w:r/>
    </w:p>
    <w:p>
      <w:pPr>
        <w:ind w:firstLine="480"/>
        <w:spacing w:line="5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（四）专项补贴（额外计发，不占考核分）</w:t>
      </w:r>
      <w:r>
        <w:rPr>
          <w:highlight w:val="none"/>
        </w:rPr>
      </w:r>
      <w:r/>
    </w:p>
    <w:p>
      <w:pPr>
        <w:ind w:firstLine="480"/>
        <w:spacing w:line="5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1. 班次补贴：按实际出勤班次发放。中班(21:00-24:00)补贴50元/班；夜班(24:00-8:30)补贴80元/班。</w:t>
      </w:r>
      <w:r>
        <w:rPr>
          <w:highlight w:val="none"/>
        </w:rPr>
      </w:r>
      <w:r/>
    </w:p>
    <w:p>
      <w:pPr>
        <w:ind w:firstLine="480"/>
        <w:spacing w:line="5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2. 节假日补贴：在国家法定节假日（以国家规定为准）出勤执勤的，补贴150元/天。</w:t>
      </w:r>
      <w:r>
        <w:rPr>
          <w:highlight w:val="none"/>
        </w:rPr>
      </w:r>
      <w:r/>
    </w:p>
    <w:p>
      <w:pPr>
        <w:ind w:firstLine="480"/>
        <w:spacing w:line="5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（五）关怀支出（额外计发，不占考核分）</w:t>
      </w:r>
      <w:r>
        <w:rPr>
          <w:highlight w:val="none"/>
        </w:rPr>
      </w:r>
      <w:r/>
    </w:p>
    <w:p>
      <w:pPr>
        <w:ind w:firstLine="480"/>
        <w:spacing w:line="5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遇婚嫁、生育、大病住院、直系亲属亡故等重大情况，按规定标准发放慰问礼金，体现组织关怀。</w:t>
      </w:r>
      <w:r>
        <w:rPr>
          <w:highlight w:val="none"/>
        </w:rPr>
      </w:r>
      <w:r/>
    </w:p>
    <w:p>
      <w:pPr>
        <w:ind w:firstLine="480"/>
        <w:spacing w:line="5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cstheme="minorEastAsia"/>
          <w:sz w:val="24"/>
          <w:szCs w:val="24"/>
          <w:highlight w:val="none"/>
          <w:lang w:val="en-US" w:eastAsia="zh-CN"/>
        </w:rPr>
        <w:t xml:space="preserve">三</w:t>
      </w:r>
      <w:r>
        <w:rPr>
          <w:rFonts w:hint="eastAsia" w:asciiTheme="minorEastAsia" w:hAnsiTheme="minorEastAsia" w:eastAsiaTheme="minorEastAsia" w:cstheme="minorEastAsia"/>
          <w:sz w:val="24"/>
          <w:szCs w:val="24"/>
          <w:highlight w:val="none"/>
          <w:lang w:val="en-US" w:eastAsia="zh-CN"/>
        </w:rPr>
        <w:t xml:space="preserve">、绩效工资计算</w:t>
      </w:r>
      <w:r>
        <w:rPr>
          <w:highlight w:val="none"/>
        </w:rPr>
      </w:r>
      <w:r/>
    </w:p>
    <w:p>
      <w:pPr>
        <w:ind w:firstLine="480"/>
        <w:spacing w:line="5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月度绩效工资 = （基础考核得分 + 工作量考核得分 + 行为奖惩得分）% × 绩效工资基数 + 专项补贴</w:t>
      </w:r>
      <w:r>
        <w:rPr>
          <w:highlight w:val="none"/>
        </w:rPr>
      </w:r>
      <w:r/>
    </w:p>
    <w:p>
      <w:pPr>
        <w:ind w:firstLine="480"/>
        <w:spacing w:line="5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注：扣罚与奖励款项在当月绩效工资中直接进行加减。</w:t>
      </w:r>
      <w:r>
        <w:rPr>
          <w:highlight w:val="none"/>
        </w:rPr>
      </w:r>
      <w:r/>
    </w:p>
    <w:p>
      <w:pPr>
        <w:ind w:firstLine="480"/>
        <w:spacing w:line="5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cstheme="minorEastAsia"/>
          <w:sz w:val="24"/>
          <w:szCs w:val="24"/>
          <w:highlight w:val="none"/>
          <w:lang w:val="en-US" w:eastAsia="zh-CN"/>
        </w:rPr>
        <w:t xml:space="preserve">四</w:t>
      </w:r>
      <w:r>
        <w:rPr>
          <w:rFonts w:hint="eastAsia" w:asciiTheme="minorEastAsia" w:hAnsiTheme="minorEastAsia" w:eastAsiaTheme="minorEastAsia" w:cstheme="minorEastAsia"/>
          <w:sz w:val="24"/>
          <w:szCs w:val="24"/>
          <w:highlight w:val="none"/>
          <w:lang w:val="en-US" w:eastAsia="zh-CN"/>
        </w:rPr>
        <w:t xml:space="preserve">、考核结果应用</w:t>
      </w:r>
      <w:r>
        <w:rPr>
          <w:highlight w:val="none"/>
        </w:rPr>
      </w:r>
      <w:r/>
    </w:p>
    <w:p>
      <w:pPr>
        <w:ind w:firstLine="480"/>
        <w:spacing w:line="5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（一）月度考核：作为月度绩效工资发放的直接依据。</w:t>
      </w:r>
      <w:r>
        <w:rPr>
          <w:highlight w:val="none"/>
        </w:rPr>
      </w:r>
      <w:r/>
    </w:p>
    <w:p>
      <w:pPr>
        <w:ind w:firstLine="480"/>
        <w:spacing w:line="5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（二）年度总评：作为年度评优评先、岗位晋级、薪酬调整、培训发展的重要参考。</w:t>
      </w:r>
      <w:r>
        <w:rPr>
          <w:highlight w:val="none"/>
        </w:rPr>
      </w:r>
      <w:r/>
    </w:p>
    <w:p>
      <w:pPr>
        <w:ind w:firstLine="480"/>
        <w:spacing w:line="5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（三）改进反馈：主管每月需就考核结果与员工进行沟通，肯定成绩，指出不足，制定改进计划。</w:t>
      </w:r>
      <w:r>
        <w:rPr>
          <w:highlight w:val="none"/>
        </w:rPr>
      </w:r>
      <w:r/>
    </w:p>
    <w:p>
      <w:pPr>
        <w:ind w:left="0" w:right="0" w:firstLine="0"/>
        <w:spacing w:before="240" w:after="240"/>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ind w:left="420" w:right="0" w:firstLine="420"/>
        <w:jc w:val="both"/>
        <w:spacing w:before="210" w:after="120" w:line="520" w:lineRule="atLeast"/>
        <w:rPr>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highlight w:val="none"/>
        </w:rPr>
        <w:t xml:space="preserve"> </w:t>
      </w:r>
      <w:r>
        <w:rPr>
          <w:highlight w:val="none"/>
        </w:rPr>
      </w:r>
      <w:r/>
    </w:p>
    <w:p>
      <w:pPr>
        <w:ind w:left="420" w:right="0" w:firstLine="420"/>
        <w:jc w:val="both"/>
        <w:spacing w:before="210" w:after="120" w:line="520" w:lineRule="atLeast"/>
        <w:rPr>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highlight w:val="none"/>
        </w:rPr>
        <w:t xml:space="preserve"> </w:t>
      </w:r>
      <w:r>
        <w:rPr>
          <w:highlight w:val="none"/>
        </w:rPr>
      </w:r>
      <w:r/>
    </w:p>
    <w:p>
      <w:pPr>
        <w:ind w:left="420" w:right="0" w:firstLine="420"/>
        <w:jc w:val="both"/>
        <w:spacing w:before="210" w:after="120" w:line="520" w:lineRule="atLeast"/>
        <w:rPr>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highlight w:val="none"/>
        </w:rPr>
        <w:t xml:space="preserve"> </w:t>
      </w:r>
      <w:r>
        <w:rPr>
          <w:highlight w:val="none"/>
        </w:rPr>
      </w:r>
      <w:r/>
    </w:p>
    <w:p>
      <w:pPr>
        <w:ind w:left="420" w:right="0" w:firstLine="420"/>
        <w:jc w:val="both"/>
        <w:spacing w:before="210" w:after="120" w:line="520" w:lineRule="atLeast"/>
        <w:rPr>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highlight w:val="none"/>
        </w:rPr>
        <w:t xml:space="preserve"> </w:t>
      </w:r>
      <w:r>
        <w:rPr>
          <w:highlight w:val="none"/>
        </w:rPr>
      </w:r>
      <w:r/>
    </w:p>
    <w:p>
      <w:pPr>
        <w:ind w:left="420" w:right="0" w:firstLine="420"/>
        <w:jc w:val="both"/>
        <w:spacing w:before="210" w:after="120" w:line="520" w:lineRule="atLeast"/>
        <w:rPr>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highlight w:val="none"/>
        </w:rPr>
        <w:t xml:space="preserve"> </w:t>
      </w:r>
      <w:r>
        <w:rPr>
          <w:highlight w:val="none"/>
        </w:rPr>
      </w:r>
      <w:r/>
    </w:p>
    <w:p>
      <w:pPr>
        <w:ind w:left="420" w:right="0" w:firstLine="420"/>
        <w:jc w:val="both"/>
        <w:spacing w:before="210" w:after="120" w:line="520" w:lineRule="atLeast"/>
        <w:rPr>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highlight w:val="none"/>
        </w:rPr>
        <w:t xml:space="preserve"> </w:t>
      </w:r>
      <w:r>
        <w:rPr>
          <w:highlight w:val="none"/>
        </w:rPr>
      </w:r>
      <w:r/>
    </w:p>
    <w:p>
      <w:pPr>
        <w:ind w:left="0" w:right="0" w:firstLine="0"/>
        <w:jc w:val="cente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52"/>
          <w:highlight w:val="none"/>
        </w:rPr>
        <w:t xml:space="preserve">第六章 评审办法</w:t>
      </w:r>
      <w:r>
        <w:rPr>
          <w:highlight w:val="none"/>
        </w:rPr>
      </w:r>
      <w:r/>
    </w:p>
    <w:p>
      <w:pPr>
        <w:ind w:left="0" w:right="0" w:firstLine="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highlight w:val="none"/>
        </w:rPr>
        <w:t xml:space="preserve"> </w:t>
      </w:r>
      <w:r>
        <w:rPr>
          <w:highlight w:val="none"/>
        </w:rPr>
      </w:r>
      <w:r/>
    </w:p>
    <w:p>
      <w:pPr>
        <w:ind w:left="0" w:right="0" w:firstLine="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highlight w:val="none"/>
        </w:rPr>
        <w:t xml:space="preserve"> </w:t>
      </w:r>
      <w:r>
        <w:rPr>
          <w:highlight w:val="none"/>
        </w:rPr>
      </w:r>
      <w:r/>
    </w:p>
    <w:p>
      <w:pPr>
        <w:ind w:left="0" w:right="0" w:firstLine="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highlight w:val="none"/>
        </w:rPr>
        <w:t xml:space="preserve"> </w:t>
      </w:r>
      <w:r>
        <w:rPr>
          <w:highlight w:val="none"/>
        </w:rPr>
      </w:r>
      <w:r/>
    </w:p>
    <w:p>
      <w:pPr>
        <w:ind w:left="0" w:right="0" w:firstLine="482"/>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rPr>
          <w:highlight w:val="none"/>
        </w:rPr>
      </w:r>
      <w:r/>
    </w:p>
    <w:p>
      <w:pPr>
        <w:ind w:left="0" w:right="0" w:firstLine="482"/>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一、评审方法</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1、评价和比较采用综合评分法，即指投标（响应）文件满足采购文件全部实质性要求，且按照评审因素的量化指标评审得分最高的供应商为排名第一的中标（成交）候选人的评审方法。</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2、评审小组各成员独立对每个进入打分程序的有效供应商的投标（响应）文件技术和资质部分以打分的形式进行评审和评价。</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对评委的评分（除价格分外）进行统计汇总，直接算术平均，计算出每个供应商的得分，加上价格得分即为每个供应商的综合得分。评审结果按评审后得分由高到低顺序排列，得分相同的，按磋商报价由低到高顺序排列。得分且磋商报价相同的并列。投标（响应）文件满足采购文件全部实质性要求，且按照前述综合评审得分由高到低的排序选择前三名供应商作为中标（成交）候选人。如选取中标（成交）候选人时出现评审得分相同，且磋商报价也相同的并列情况的，则由</w:t>
      </w:r>
      <w:r>
        <w:rPr>
          <w:rFonts w:ascii="宋体" w:hAnsi="宋体" w:eastAsia="宋体" w:cs="宋体"/>
          <w:color w:val="000000"/>
          <w:sz w:val="24"/>
          <w:highlight w:val="none"/>
          <w:u w:val="none"/>
        </w:rPr>
        <w:t xml:space="preserve">采购人</w:t>
      </w:r>
      <w:r>
        <w:rPr>
          <w:rFonts w:ascii="宋体" w:hAnsi="宋体" w:eastAsia="宋体" w:cs="宋体"/>
          <w:color w:val="000000"/>
          <w:sz w:val="24"/>
          <w:highlight w:val="none"/>
        </w:rPr>
        <w:t xml:space="preserve">组织以抽签方式确定优先选取顺序。</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4、评审小组根据采购人的授权，按照中标（成交）候选人的顺序在中标（成交）候选人中直接确定中标（成交）供应商。</w:t>
      </w:r>
      <w:r>
        <w:rPr>
          <w:highlight w:val="none"/>
        </w:rPr>
      </w:r>
      <w:r/>
    </w:p>
    <w:p>
      <w:pPr>
        <w:ind w:left="0" w:right="0" w:firstLine="422"/>
        <w:jc w:val="both"/>
        <w:spacing w:before="0" w:after="0" w:line="418" w:lineRule="atLeast"/>
        <w:tabs>
          <w:tab w:val="left" w:pos="287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w:t>
      </w:r>
      <w:r>
        <w:rPr>
          <w:rFonts w:ascii="宋体" w:hAnsi="宋体" w:eastAsia="宋体" w:cs="宋体"/>
          <w:b/>
          <w:color w:val="000000"/>
          <w:sz w:val="24"/>
          <w:highlight w:val="none"/>
        </w:rPr>
        <w:t xml:space="preserve">评审价格调整的情形及评审价格调整办法：</w:t>
      </w:r>
      <w:r>
        <w:rPr>
          <w:highlight w:val="none"/>
        </w:rPr>
      </w:r>
      <w:r/>
    </w:p>
    <w:p>
      <w:pPr>
        <w:ind w:left="0" w:right="0" w:firstLine="0"/>
        <w:jc w:val="both"/>
        <w:spacing w:before="240" w:after="240"/>
        <w:shd w:val="clear" w:color="ffffff" w:fill="ffffff"/>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f1115"/>
          <w:sz w:val="24"/>
          <w:highlight w:val="none"/>
        </w:rPr>
        <w:t xml:space="preserve">       本项目为</w:t>
      </w:r>
      <w:r>
        <w:rPr>
          <w:rFonts w:ascii="Arial" w:hAnsi="Arial" w:eastAsia="Arial" w:cs="Arial"/>
          <w:b/>
          <w:color w:val="0f1115"/>
          <w:sz w:val="24"/>
          <w:highlight w:val="none"/>
        </w:rPr>
        <w:t xml:space="preserve">专门面向中小企业采购</w:t>
      </w:r>
      <w:r>
        <w:rPr>
          <w:rFonts w:ascii="Arial" w:hAnsi="Arial" w:eastAsia="Arial" w:cs="Arial"/>
          <w:color w:val="0f1115"/>
          <w:sz w:val="24"/>
          <w:highlight w:val="none"/>
        </w:rPr>
        <w:t xml:space="preserve">的项目（根据《政府采购促进中小企业发展管理办法》（财库〔2020〕46号）规定，本项目专门面向中小企业采购，供应商须为中小企（含监狱企业、残疾人福利性单位），并提供《中小企业声明函》或相关证明文件）。</w:t>
      </w:r>
      <w:r>
        <w:rPr>
          <w:highlight w:val="none"/>
        </w:rPr>
      </w:r>
      <w:r/>
    </w:p>
    <w:p>
      <w:pPr>
        <w:ind w:left="0" w:right="0" w:firstLine="0"/>
        <w:jc w:val="both"/>
        <w:spacing w:before="240" w:after="240"/>
        <w:shd w:val="clear" w:color="ffffff" w:fill="ffffff"/>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f1115"/>
          <w:sz w:val="24"/>
          <w:highlight w:val="none"/>
        </w:rPr>
        <w:t xml:space="preserve">根据《政府采购促进中小企业发展管理办法》（财库〔2020〕46号）及财政部相关解读，</w:t>
      </w:r>
      <w:r>
        <w:rPr>
          <w:rFonts w:ascii="Arial" w:hAnsi="Arial" w:eastAsia="Arial" w:cs="Arial"/>
          <w:b/>
          <w:color w:val="0f1115"/>
          <w:sz w:val="24"/>
          <w:highlight w:val="none"/>
        </w:rPr>
        <w:t xml:space="preserve">专门面向中小企业采购的项目，不再执行价格评审优惠的扶持政策</w:t>
      </w:r>
      <w:r>
        <w:rPr>
          <w:highlight w:val="none"/>
        </w:rPr>
      </w:r>
      <w:r/>
    </w:p>
    <w:p>
      <w:pPr>
        <w:ind w:left="0" w:right="0" w:firstLine="420"/>
        <w:jc w:val="both"/>
        <w:spacing w:before="0" w:after="0" w:line="400" w:lineRule="atLeast"/>
        <w:tabs>
          <w:tab w:val="left" w:pos="525" w:leader="none"/>
          <w:tab w:val="left" w:pos="287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6、政府采购评审中出现下列情形之一的，评审委员会应当启动异常低价投标（响应）审查程序：</w:t>
      </w:r>
      <w:r>
        <w:rPr>
          <w:highlight w:val="none"/>
        </w:rPr>
      </w:r>
      <w:r/>
    </w:p>
    <w:p>
      <w:pPr>
        <w:ind w:left="0" w:right="0" w:firstLine="420"/>
        <w:jc w:val="both"/>
        <w:spacing w:before="0" w:after="0" w:line="400" w:lineRule="atLeast"/>
        <w:tabs>
          <w:tab w:val="left" w:pos="525" w:leader="none"/>
          <w:tab w:val="left" w:pos="287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6.1.投标（响应）报价低于全部通过符合性审查供应商投标（响应）报价平均值50%的，即投标（响应）报价&lt;全部通过符合性审查供应商投标（响应）报价平均值×50%；</w:t>
      </w:r>
      <w:r>
        <w:rPr>
          <w:highlight w:val="none"/>
        </w:rPr>
      </w:r>
      <w:r/>
    </w:p>
    <w:p>
      <w:pPr>
        <w:ind w:left="0" w:right="0" w:firstLine="420"/>
        <w:jc w:val="both"/>
        <w:spacing w:before="0" w:after="0" w:line="400" w:lineRule="atLeast"/>
        <w:tabs>
          <w:tab w:val="left" w:pos="525" w:leader="none"/>
          <w:tab w:val="left" w:pos="287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6.2.投标（响应）报价低于通过符合性审查的次低报价供应商投标（响应）报价50%的，即投标（响应）报价&lt;通过符合性审查的次低报价供应商投标（响应）报价×50%；</w:t>
      </w:r>
      <w:r>
        <w:rPr>
          <w:highlight w:val="none"/>
        </w:rPr>
      </w:r>
      <w:r/>
    </w:p>
    <w:p>
      <w:pPr>
        <w:ind w:left="0" w:right="0" w:firstLine="420"/>
        <w:jc w:val="both"/>
        <w:spacing w:before="0" w:after="0" w:line="400" w:lineRule="atLeast"/>
        <w:tabs>
          <w:tab w:val="left" w:pos="525" w:leader="none"/>
          <w:tab w:val="left" w:pos="287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6.3.投标（响应）报价低于采购项目最高限价45%的，即投标（响应）报价&lt;采购项目最高限价×45%；</w:t>
      </w:r>
      <w:r>
        <w:rPr>
          <w:highlight w:val="none"/>
        </w:rPr>
      </w:r>
      <w:r/>
    </w:p>
    <w:p>
      <w:pPr>
        <w:ind w:left="0" w:right="0" w:firstLine="480"/>
        <w:jc w:val="both"/>
        <w:spacing w:before="0" w:after="0" w:line="400" w:lineRule="atLeast"/>
        <w:tabs>
          <w:tab w:val="left" w:pos="525" w:leader="none"/>
          <w:tab w:val="left" w:pos="287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6.4.评审委员会基于专业判断，认为供应商报价过低，有可能影响产品质量或者不能诚信履约的其他情形。</w:t>
      </w:r>
      <w:r>
        <w:rPr>
          <w:highlight w:val="none"/>
        </w:rPr>
      </w:r>
      <w:r/>
    </w:p>
    <w:p>
      <w:pPr>
        <w:ind w:left="0" w:right="0" w:firstLine="420"/>
        <w:jc w:val="both"/>
        <w:spacing w:before="0" w:after="0" w:line="400" w:lineRule="atLeast"/>
        <w:tabs>
          <w:tab w:val="left" w:pos="525" w:leader="none"/>
          <w:tab w:val="left" w:pos="287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采购人可以结合具体项目实际情况，提高上述第1项至第3项中启动异常低价投标（响应）审查的数值标准，但是最高不得超过65%。</w:t>
      </w:r>
      <w:r>
        <w:rPr>
          <w:highlight w:val="none"/>
        </w:rPr>
      </w:r>
      <w:r/>
    </w:p>
    <w:p>
      <w:pPr>
        <w:ind w:left="0" w:right="0" w:firstLine="420"/>
        <w:jc w:val="both"/>
        <w:spacing w:before="0" w:after="0" w:line="400" w:lineRule="atLeast"/>
        <w:tabs>
          <w:tab w:val="left" w:pos="525" w:leader="none"/>
          <w:tab w:val="left" w:pos="287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相关法律法规对供应商报价有规定的，从其规定。</w:t>
      </w:r>
      <w:r>
        <w:rPr>
          <w:highlight w:val="none"/>
        </w:rPr>
      </w:r>
      <w:r/>
    </w:p>
    <w:p>
      <w:pPr>
        <w:ind w:left="0" w:right="0" w:firstLine="420"/>
        <w:jc w:val="both"/>
        <w:spacing w:before="0" w:after="0"/>
        <w:tabs>
          <w:tab w:val="left" w:pos="525" w:leader="none"/>
          <w:tab w:val="left" w:pos="287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评审委员会启动异常低价投标（响应）审查后，属于前述第7.1项至第7.4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highlight w:val="none"/>
        </w:rPr>
      </w:r>
      <w:r/>
    </w:p>
    <w:p>
      <w:pPr>
        <w:ind w:left="0" w:right="0" w:firstLine="420"/>
        <w:jc w:val="both"/>
        <w:spacing w:before="0" w:after="0"/>
        <w:tabs>
          <w:tab w:val="left" w:pos="525" w:leader="none"/>
          <w:tab w:val="left" w:pos="287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highlight w:val="none"/>
        </w:rPr>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二、评分标准</w:t>
      </w:r>
      <w:r>
        <w:rPr>
          <w:highlight w:val="none"/>
        </w:rPr>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（一）价格基准分：</w:t>
      </w:r>
      <w:r>
        <w:rPr>
          <w:rFonts w:ascii="宋体" w:hAnsi="宋体" w:eastAsia="宋体" w:cs="宋体"/>
          <w:b/>
          <w:color w:val="000000"/>
          <w:sz w:val="24"/>
          <w:highlight w:val="none"/>
          <w:u w:val="single"/>
        </w:rPr>
        <w:t xml:space="preserve">10</w:t>
      </w:r>
      <w:r>
        <w:rPr>
          <w:rFonts w:ascii="宋体" w:hAnsi="宋体" w:eastAsia="宋体" w:cs="宋体"/>
          <w:b/>
          <w:color w:val="000000"/>
          <w:sz w:val="24"/>
          <w:highlight w:val="none"/>
        </w:rPr>
        <w:t xml:space="preserve">分</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第一步：磋商报价低于或等于财政预算（最高限价）</w:t>
      </w:r>
      <w:r>
        <w:rPr>
          <w:rFonts w:ascii="宋体" w:hAnsi="宋体" w:eastAsia="宋体" w:cs="宋体"/>
          <w:color w:val="000000"/>
          <w:sz w:val="24"/>
          <w:highlight w:val="none"/>
          <w:u w:val="none"/>
        </w:rPr>
        <w:t xml:space="preserve">的</w:t>
      </w:r>
      <w:r>
        <w:rPr>
          <w:rFonts w:ascii="宋体" w:hAnsi="宋体" w:eastAsia="宋体" w:cs="宋体"/>
          <w:color w:val="000000"/>
          <w:sz w:val="24"/>
          <w:highlight w:val="none"/>
        </w:rPr>
        <w:t xml:space="preserve">，为有效磋商报价。</w:t>
      </w:r>
      <w:r>
        <w:rPr>
          <w:rFonts w:ascii="宋体" w:hAnsi="宋体" w:eastAsia="宋体" w:cs="宋体"/>
          <w:color w:val="000000"/>
          <w:sz w:val="24"/>
          <w:highlight w:val="none"/>
          <w:u w:val="none"/>
        </w:rPr>
        <w:t xml:space="preserve">超出财政预算（最高限价）的磋商报价文件为未实质性</w:t>
      </w:r>
      <w:r>
        <w:rPr>
          <w:rFonts w:ascii="宋体" w:hAnsi="宋体" w:eastAsia="宋体" w:cs="宋体"/>
          <w:color w:val="000000"/>
          <w:sz w:val="24"/>
          <w:highlight w:val="none"/>
        </w:rPr>
        <w:t xml:space="preserve">投标（响应）文件，不参与评审。</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第二步：满足采购文件要求，且磋商价格最低的磋商报价为评标基准价，其价格分为满分，即</w:t>
      </w:r>
      <w:r>
        <w:rPr>
          <w:rFonts w:ascii="宋体" w:hAnsi="宋体" w:eastAsia="宋体" w:cs="宋体"/>
          <w:color w:val="000000"/>
          <w:sz w:val="24"/>
          <w:highlight w:val="none"/>
          <w:u w:val="single"/>
        </w:rPr>
        <w:t xml:space="preserve">10</w:t>
      </w:r>
      <w:r>
        <w:rPr>
          <w:rFonts w:ascii="宋体" w:hAnsi="宋体" w:eastAsia="宋体" w:cs="宋体"/>
          <w:color w:val="000000"/>
          <w:sz w:val="24"/>
          <w:highlight w:val="none"/>
        </w:rPr>
        <w:t xml:space="preserve">分。其他报价得分统一按照下列公式计算（计算结果四舍五入，保留两位小数）：</w:t>
      </w:r>
      <w:r>
        <w:rPr>
          <w:highlight w:val="none"/>
        </w:rPr>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磋商报价得分＝（评标基准价/有效磋商报价）×10%×100。</w:t>
      </w:r>
      <w:r>
        <w:rPr>
          <w:highlight w:val="none"/>
        </w:rPr>
      </w:r>
      <w:r/>
    </w:p>
    <w:p>
      <w:pPr>
        <w:numPr>
          <w:ilvl w:val="0"/>
          <w:numId w:val="0"/>
        </w:numPr>
        <w:ind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w:t xml:space="preserve">（</w:t>
      </w:r>
      <w:r>
        <w:rPr>
          <w:rFonts w:hint="eastAsia" w:ascii="宋体" w:hAnsi="宋体" w:eastAsia="宋体" w:cs="宋体"/>
          <w:b/>
          <w:color w:val="000000"/>
          <w:sz w:val="24"/>
          <w:highlight w:val="none"/>
          <w:lang w:val="en-US" w:eastAsia="zh-CN"/>
        </w:rPr>
        <w:t xml:space="preserve">二</w:t>
      </w:r>
      <w:r>
        <w:rPr>
          <w:rFonts w:hint="eastAsia" w:ascii="宋体" w:hAnsi="宋体" w:eastAsia="宋体" w:cs="宋体"/>
          <w:b/>
          <w:color w:val="000000"/>
          <w:sz w:val="24"/>
          <w:highlight w:val="none"/>
          <w:lang w:eastAsia="zh-CN"/>
        </w:rPr>
        <w:t xml:space="preserve">）</w:t>
      </w:r>
      <w:r>
        <w:rPr>
          <w:rFonts w:ascii="宋体" w:hAnsi="宋体" w:eastAsia="宋体" w:cs="宋体"/>
          <w:b/>
          <w:color w:val="000000"/>
          <w:sz w:val="24"/>
          <w:highlight w:val="none"/>
        </w:rPr>
        <w:t xml:space="preserve">技术部分：</w:t>
      </w:r>
      <w:r>
        <w:rPr>
          <w:rFonts w:hint="eastAsia" w:ascii="宋体" w:hAnsi="宋体" w:eastAsia="宋体" w:cs="宋体"/>
          <w:b/>
          <w:color w:val="000000"/>
          <w:sz w:val="24"/>
          <w:highlight w:val="none"/>
          <w:u w:val="single"/>
          <w:lang w:val="en-US" w:eastAsia="zh-CN"/>
        </w:rPr>
        <w:t xml:space="preserve">68</w:t>
      </w:r>
      <w:r>
        <w:rPr>
          <w:rFonts w:ascii="宋体" w:hAnsi="宋体" w:eastAsia="宋体" w:cs="宋体"/>
          <w:b/>
          <w:color w:val="000000"/>
          <w:sz w:val="24"/>
          <w:highlight w:val="none"/>
        </w:rPr>
        <w:t xml:space="preserve">分</w:t>
      </w:r>
      <w:r>
        <w:rPr>
          <w:highlight w:val="none"/>
        </w:rPr>
      </w:r>
      <w:r/>
    </w:p>
    <w:tbl>
      <w:tblPr>
        <w:tblStyle w:val="814"/>
        <w:tblW w:w="9354"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9"/>
        <w:gridCol w:w="1667"/>
        <w:gridCol w:w="6030"/>
        <w:gridCol w:w="778"/>
      </w:tblGrid>
      <w:tr>
        <w:trPr>
          <w:jc w:val="center"/>
          <w:trHeight w:val="0"/>
          <w:tblHead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9" w:type="dxa"/>
            <w:vAlign w:val="center"/>
            <w:textDirection w:val="lrTb"/>
            <w:noWrap w:val="false"/>
          </w:tcPr>
          <w:p>
            <w:pPr>
              <w:ind w:left="0" w:right="0" w:firstLine="0"/>
              <w:jc w:val="center"/>
              <w:spacing w:before="0" w:after="0" w:line="240" w:lineRule="auto"/>
              <w:rPr>
                <w:rFonts w:ascii="宋体" w:eastAsia="宋体"/>
                <w:b/>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序号</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67" w:type="dxa"/>
            <w:vAlign w:val="center"/>
            <w:textDirection w:val="lrTb"/>
            <w:noWrap w:val="false"/>
          </w:tcPr>
          <w:p>
            <w:pPr>
              <w:ind w:left="0" w:right="0" w:firstLine="0"/>
              <w:jc w:val="center"/>
              <w:spacing w:before="0" w:after="0" w:line="240" w:lineRule="auto"/>
              <w:rPr>
                <w:rFonts w:ascii="宋体" w:eastAsia="宋体"/>
                <w:b/>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评分项名称</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30" w:type="dxa"/>
            <w:vAlign w:val="center"/>
            <w:textDirection w:val="lrTb"/>
            <w:noWrap w:val="false"/>
          </w:tcPr>
          <w:p>
            <w:pPr>
              <w:ind w:left="0" w:right="0" w:firstLine="0"/>
              <w:jc w:val="center"/>
              <w:spacing w:before="0" w:after="0" w:line="240" w:lineRule="auto"/>
              <w:rPr>
                <w:rFonts w:ascii="宋体" w:eastAsia="宋体"/>
                <w:b/>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评分标准</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8" w:type="dxa"/>
            <w:vAlign w:val="center"/>
            <w:textDirection w:val="lrTb"/>
            <w:noWrap w:val="false"/>
          </w:tcPr>
          <w:p>
            <w:pPr>
              <w:ind w:left="0" w:right="0" w:firstLine="0"/>
              <w:jc w:val="center"/>
              <w:spacing w:before="0" w:after="0" w:line="240" w:lineRule="auto"/>
              <w:rPr>
                <w:rFonts w:ascii="宋体" w:eastAsia="宋体"/>
                <w:b/>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分值</w:t>
            </w:r>
            <w:r>
              <w:rPr>
                <w:highlight w:val="none"/>
              </w:rPr>
            </w:r>
            <w:r/>
          </w:p>
        </w:tc>
      </w:tr>
      <w:tr>
        <w:trPr>
          <w:jc w:val="center"/>
          <w:trHeight w:val="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9" w:type="dxa"/>
            <w:vAlign w:val="center"/>
            <w:textDirection w:val="lrTb"/>
            <w:noWrap w:val="false"/>
          </w:tcPr>
          <w:p>
            <w:pPr>
              <w:ind w:left="0" w:right="0" w:firstLine="0"/>
              <w:jc w:val="center"/>
              <w:spacing w:before="0" w:after="0" w:line="240" w:lineRule="auto"/>
              <w:rPr>
                <w:rFonts w:ascii="宋体" w:eastAsia="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7" w:type="dxa"/>
            <w:vAlign w:val="center"/>
            <w:textDirection w:val="lrTb"/>
            <w:noWrap w:val="false"/>
          </w:tcPr>
          <w:p>
            <w:pPr>
              <w:ind w:left="0" w:right="0" w:firstLine="0"/>
              <w:jc w:val="center"/>
              <w:spacing w:before="0" w:after="0" w:line="240" w:lineRule="auto"/>
              <w:rPr>
                <w:rFonts w:hint="default" w:ascii="宋体" w:eastAsia="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项目</w:t>
            </w:r>
            <w:r>
              <w:rPr>
                <w:rFonts w:hint="eastAsia" w:ascii="宋体" w:hAnsi="宋体" w:eastAsia="宋体" w:cs="宋体"/>
                <w:b/>
                <w:bCs/>
                <w:color w:val="auto"/>
                <w:sz w:val="24"/>
                <w:szCs w:val="24"/>
                <w:highlight w:val="none"/>
                <w:lang w:val="en-US" w:eastAsia="zh-CN"/>
              </w:rPr>
              <w:t xml:space="preserve">需求理解</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30" w:type="dxa"/>
            <w:vAlign w:val="center"/>
            <w:textDirection w:val="lrTb"/>
            <w:noWrap w:val="false"/>
          </w:tcPr>
          <w:p>
            <w:pPr>
              <w:pStyle w:val="819"/>
              <w:ind w:left="0" w:firstLine="0"/>
              <w:spacing w:after="0" w:line="240" w:lineRule="auto"/>
              <w:rPr>
                <w:rFonts w:ascii="宋体" w:eastAsia="宋体"/>
                <w:sz w:val="24"/>
                <w:highlight w:val="none"/>
              </w:rPr>
            </w:pPr>
            <w:r>
              <w:rPr>
                <w:rFonts w:hint="eastAsia" w:ascii="宋体" w:hAnsi="宋体" w:eastAsia="宋体" w:cs="宋体"/>
                <w:b w:val="0"/>
                <w:bCs/>
                <w:color w:val="000000"/>
                <w:sz w:val="24"/>
                <w:szCs w:val="24"/>
                <w:highlight w:val="none"/>
              </w:rPr>
              <w:t xml:space="preserve">评委根</w:t>
            </w:r>
            <w:r>
              <w:rPr>
                <w:rFonts w:hint="eastAsia" w:ascii="宋体" w:hAnsi="宋体" w:eastAsia="宋体" w:cs="宋体"/>
                <w:bCs/>
                <w:color w:val="000000"/>
                <w:sz w:val="24"/>
                <w:szCs w:val="24"/>
                <w:highlight w:val="none"/>
              </w:rPr>
              <w:t xml:space="preserve">据投标单位针对本项目提供的方案能够充分理解项目需求背景，对需求进行深入分析，运营方案思路清晰，对</w:t>
            </w:r>
            <w:r>
              <w:rPr>
                <w:rFonts w:hint="eastAsia" w:ascii="宋体" w:hAnsi="宋体" w:eastAsia="宋体" w:cs="宋体"/>
                <w:bCs/>
                <w:color w:val="000000"/>
                <w:sz w:val="24"/>
                <w:szCs w:val="24"/>
                <w:highlight w:val="none"/>
                <w:lang w:eastAsia="zh-CN"/>
              </w:rPr>
              <w:t xml:space="preserve">苏州市12356心理热线</w:t>
            </w:r>
            <w:r>
              <w:rPr>
                <w:rFonts w:hint="eastAsia" w:ascii="宋体" w:hAnsi="宋体" w:eastAsia="宋体" w:cs="宋体"/>
                <w:bCs/>
                <w:color w:val="000000"/>
                <w:sz w:val="24"/>
                <w:szCs w:val="24"/>
                <w:highlight w:val="none"/>
                <w:lang w:val="en-US" w:eastAsia="zh-CN"/>
              </w:rPr>
              <w:t xml:space="preserve">服务</w:t>
            </w:r>
            <w:r>
              <w:rPr>
                <w:rFonts w:hint="eastAsia" w:ascii="宋体" w:hAnsi="宋体" w:eastAsia="宋体" w:cs="宋体"/>
                <w:bCs/>
                <w:color w:val="000000"/>
                <w:sz w:val="24"/>
                <w:szCs w:val="24"/>
                <w:highlight w:val="none"/>
              </w:rPr>
              <w:t xml:space="preserve">有充足认识等进行综合比较打分。能够充分理解项目需求背景，对需求进行深入分析，运营方案思路清晰，对</w:t>
            </w:r>
            <w:r>
              <w:rPr>
                <w:rFonts w:hint="eastAsia" w:ascii="宋体" w:hAnsi="宋体" w:eastAsia="宋体" w:cs="宋体"/>
                <w:bCs/>
                <w:color w:val="000000"/>
                <w:sz w:val="24"/>
                <w:szCs w:val="24"/>
                <w:highlight w:val="none"/>
                <w:lang w:eastAsia="zh-CN"/>
              </w:rPr>
              <w:t xml:space="preserve">苏州市12356心理热线</w:t>
            </w:r>
            <w:r>
              <w:rPr>
                <w:rFonts w:hint="eastAsia" w:ascii="宋体" w:hAnsi="宋体" w:eastAsia="宋体" w:cs="宋体"/>
                <w:bCs/>
                <w:color w:val="000000"/>
                <w:sz w:val="24"/>
                <w:szCs w:val="24"/>
                <w:highlight w:val="none"/>
              </w:rPr>
              <w:t xml:space="preserve">整体服务有充足认识的得10分；比较能够理解项目需求背景，对需求分析较为深入，运营方案思路较为清晰，对</w:t>
            </w:r>
            <w:r>
              <w:rPr>
                <w:rFonts w:hint="eastAsia" w:ascii="宋体" w:hAnsi="宋体" w:eastAsia="宋体" w:cs="宋体"/>
                <w:bCs/>
                <w:color w:val="000000"/>
                <w:sz w:val="24"/>
                <w:szCs w:val="24"/>
                <w:highlight w:val="none"/>
                <w:lang w:eastAsia="zh-CN"/>
              </w:rPr>
              <w:t xml:space="preserve">苏州市12356心理热线</w:t>
            </w:r>
            <w:r>
              <w:rPr>
                <w:rFonts w:hint="eastAsia" w:ascii="宋体" w:hAnsi="宋体" w:eastAsia="宋体" w:cs="宋体"/>
                <w:bCs/>
                <w:color w:val="000000"/>
                <w:sz w:val="24"/>
                <w:szCs w:val="24"/>
                <w:highlight w:val="none"/>
              </w:rPr>
              <w:t xml:space="preserve">整体服务认识较</w:t>
            </w:r>
            <w:r>
              <w:rPr>
                <w:rFonts w:hint="eastAsia" w:ascii="宋体" w:hAnsi="宋体" w:eastAsia="宋体" w:cs="宋体"/>
                <w:b w:val="0"/>
                <w:bCs/>
                <w:color w:val="000000"/>
                <w:sz w:val="24"/>
                <w:szCs w:val="24"/>
                <w:highlight w:val="none"/>
              </w:rPr>
              <w:t xml:space="preserve">为充足的得6分；方案一般的得2分；方案差或未提供相应内容的不得分。</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8" w:type="dxa"/>
            <w:vAlign w:val="center"/>
            <w:textDirection w:val="lrTb"/>
            <w:noWrap w:val="false"/>
          </w:tcPr>
          <w:p>
            <w:pPr>
              <w:ind w:left="0" w:right="0" w:firstLine="240"/>
              <w:jc w:val="center"/>
              <w:spacing w:before="0" w:after="0" w:line="240" w:lineRule="auto"/>
              <w:rPr>
                <w:rFonts w:hint="default" w:ascii="宋体" w:eastAsia="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10</w:t>
            </w:r>
            <w:r>
              <w:rPr>
                <w:highlight w:val="none"/>
              </w:rPr>
            </w:r>
            <w:r/>
          </w:p>
        </w:tc>
      </w:tr>
      <w:tr>
        <w:trPr>
          <w:jc w:val="center"/>
          <w:trHeight w:val="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9" w:type="dxa"/>
            <w:vAlign w:val="center"/>
            <w:textDirection w:val="lrTb"/>
            <w:noWrap w:val="false"/>
          </w:tcPr>
          <w:p>
            <w:pPr>
              <w:ind w:left="0" w:right="0" w:firstLine="0"/>
              <w:jc w:val="center"/>
              <w:spacing w:before="0" w:after="0" w:line="240" w:lineRule="auto"/>
              <w:rPr>
                <w:rFonts w:ascii="宋体" w:eastAsia="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7" w:type="dxa"/>
            <w:vAlign w:val="center"/>
            <w:textDirection w:val="lrTb"/>
            <w:noWrap w:val="false"/>
          </w:tcPr>
          <w:p>
            <w:pPr>
              <w:ind w:left="0" w:right="0" w:firstLine="0"/>
              <w:jc w:val="center"/>
              <w:spacing w:before="0" w:after="0" w:line="240" w:lineRule="auto"/>
              <w:rPr>
                <w:rFonts w:ascii="宋体" w:eastAsia="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运营管理制度</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30" w:type="dxa"/>
            <w:vAlign w:val="center"/>
            <w:textDirection w:val="lrTb"/>
            <w:noWrap w:val="false"/>
          </w:tcPr>
          <w:p>
            <w:pPr>
              <w:ind w:right="0"/>
              <w:jc w:val="both"/>
              <w:keepLines w:val="0"/>
              <w:keepNext w:val="0"/>
              <w:pageBreakBefore w:val="0"/>
              <w:spacing w:before="0" w:after="0"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投标单位针对本项目提供全套运营管理制度。</w:t>
            </w:r>
            <w:r>
              <w:rPr>
                <w:rFonts w:hint="eastAsia" w:ascii="宋体" w:hAnsi="宋体" w:eastAsia="宋体" w:cs="宋体"/>
                <w:color w:val="auto"/>
                <w:sz w:val="24"/>
                <w:szCs w:val="24"/>
                <w:highlight w:val="none"/>
              </w:rPr>
              <w:t xml:space="preserve">包括</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组织结构及岗位职责、考勤</w:t>
            </w:r>
            <w:r>
              <w:rPr>
                <w:rFonts w:hint="eastAsia" w:ascii="宋体" w:hAnsi="宋体" w:eastAsia="宋体" w:cs="宋体"/>
                <w:color w:val="auto"/>
                <w:sz w:val="24"/>
                <w:szCs w:val="24"/>
                <w:highlight w:val="none"/>
                <w:lang w:val="en-US" w:eastAsia="zh-CN"/>
              </w:rPr>
              <w:t xml:space="preserve">管理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绩效</w:t>
            </w:r>
            <w:r>
              <w:rPr>
                <w:rFonts w:hint="eastAsia" w:ascii="宋体" w:hAnsi="宋体" w:eastAsia="宋体" w:cs="宋体"/>
                <w:color w:val="auto"/>
                <w:sz w:val="24"/>
                <w:szCs w:val="24"/>
                <w:highlight w:val="none"/>
              </w:rPr>
              <w:t xml:space="preserve">考核、现场管理、保密管理、员工状态管理、交接班管理、心理疏导、知识库管理、</w:t>
            </w:r>
            <w:r>
              <w:rPr>
                <w:rFonts w:hint="eastAsia" w:ascii="宋体" w:hAnsi="宋体" w:eastAsia="宋体" w:cs="宋体"/>
                <w:color w:val="auto"/>
                <w:sz w:val="24"/>
                <w:szCs w:val="24"/>
                <w:highlight w:val="none"/>
                <w:lang w:val="en-US" w:eastAsia="zh-CN"/>
              </w:rPr>
              <w:t xml:space="preserve">客户投诉处理等</w:t>
            </w:r>
            <w:r>
              <w:rPr>
                <w:rFonts w:hint="eastAsia" w:ascii="宋体" w:hAnsi="宋体" w:eastAsia="宋体" w:cs="宋体"/>
                <w:color w:val="auto"/>
                <w:sz w:val="24"/>
                <w:szCs w:val="24"/>
                <w:highlight w:val="none"/>
              </w:rPr>
              <w:t xml:space="preserve">。</w:t>
            </w:r>
            <w:r>
              <w:rPr>
                <w:highlight w:val="none"/>
              </w:rPr>
            </w:r>
            <w:r/>
          </w:p>
          <w:p>
            <w:pPr>
              <w:ind w:left="0" w:right="0" w:firstLine="0"/>
              <w:jc w:val="left"/>
              <w:spacing w:before="0" w:after="0" w:line="240" w:lineRule="auto"/>
              <w:rPr>
                <w:rFonts w:ascii="宋体" w:eastAsia="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上述十项，每一项</w:t>
            </w:r>
            <w:r>
              <w:rPr>
                <w:rFonts w:hint="eastAsia" w:ascii="宋体" w:hAnsi="宋体" w:eastAsia="宋体" w:cs="宋体"/>
                <w:color w:val="auto"/>
                <w:sz w:val="24"/>
                <w:szCs w:val="24"/>
                <w:highlight w:val="none"/>
                <w:lang w:eastAsia="zh-CN"/>
              </w:rPr>
              <w:t xml:space="preserve">内容详实、科学合理</w:t>
            </w:r>
            <w:r>
              <w:rPr>
                <w:rFonts w:hint="eastAsia" w:ascii="宋体" w:hAnsi="宋体" w:eastAsia="宋体" w:cs="宋体"/>
                <w:color w:val="auto"/>
                <w:sz w:val="24"/>
                <w:szCs w:val="24"/>
                <w:highlight w:val="none"/>
                <w:lang w:val="en-US" w:eastAsia="zh-CN"/>
              </w:rPr>
              <w:t xml:space="preserve">及与项目管理需求契合度高的得10分；</w:t>
            </w:r>
            <w:r>
              <w:rPr>
                <w:rFonts w:hint="eastAsia" w:ascii="宋体" w:hAnsi="宋体" w:eastAsia="宋体" w:cs="宋体"/>
                <w:color w:val="auto"/>
                <w:sz w:val="24"/>
                <w:szCs w:val="24"/>
                <w:highlight w:val="none"/>
                <w:lang w:eastAsia="zh-CN"/>
              </w:rPr>
              <w:t xml:space="preserve">内容、合理性</w:t>
            </w:r>
            <w:r>
              <w:rPr>
                <w:rFonts w:hint="eastAsia" w:ascii="宋体" w:hAnsi="宋体" w:eastAsia="宋体" w:cs="宋体"/>
                <w:color w:val="auto"/>
                <w:sz w:val="24"/>
                <w:szCs w:val="24"/>
                <w:highlight w:val="none"/>
                <w:lang w:val="en-US" w:eastAsia="zh-CN"/>
              </w:rPr>
              <w:t xml:space="preserve">及与项目管理需求契合度</w:t>
            </w:r>
            <w:r>
              <w:rPr>
                <w:rFonts w:hint="eastAsia" w:ascii="宋体" w:hAnsi="宋体" w:eastAsia="宋体" w:cs="宋体"/>
                <w:color w:val="auto"/>
                <w:sz w:val="24"/>
                <w:szCs w:val="24"/>
                <w:highlight w:val="none"/>
                <w:lang w:eastAsia="zh-CN"/>
              </w:rPr>
              <w:t xml:space="preserve">一般的</w:t>
            </w:r>
            <w:r>
              <w:rPr>
                <w:rFonts w:hint="eastAsia" w:ascii="宋体" w:hAnsi="宋体" w:eastAsia="宋体" w:cs="宋体"/>
                <w:color w:val="auto"/>
                <w:sz w:val="24"/>
                <w:szCs w:val="24"/>
                <w:highlight w:val="none"/>
                <w:lang w:val="en-US" w:eastAsia="zh-CN"/>
              </w:rPr>
              <w:t xml:space="preserve">得6分；</w:t>
            </w:r>
            <w:r>
              <w:rPr>
                <w:rFonts w:hint="eastAsia" w:ascii="宋体" w:hAnsi="宋体" w:eastAsia="宋体" w:cs="宋体"/>
                <w:color w:val="auto"/>
                <w:sz w:val="24"/>
                <w:szCs w:val="24"/>
                <w:highlight w:val="none"/>
                <w:lang w:eastAsia="zh-CN"/>
              </w:rPr>
              <w:t xml:space="preserve">内容、合理性</w:t>
            </w:r>
            <w:r>
              <w:rPr>
                <w:rFonts w:hint="eastAsia" w:ascii="宋体" w:hAnsi="宋体" w:eastAsia="宋体" w:cs="宋体"/>
                <w:color w:val="auto"/>
                <w:sz w:val="24"/>
                <w:szCs w:val="24"/>
                <w:highlight w:val="none"/>
                <w:lang w:val="en-US" w:eastAsia="zh-CN"/>
              </w:rPr>
              <w:t xml:space="preserve">及与项目管理需求契合度</w:t>
            </w:r>
            <w:r>
              <w:rPr>
                <w:rFonts w:hint="eastAsia" w:ascii="宋体" w:hAnsi="宋体" w:eastAsia="宋体" w:cs="宋体"/>
                <w:color w:val="auto"/>
                <w:sz w:val="24"/>
                <w:szCs w:val="24"/>
                <w:highlight w:val="none"/>
                <w:lang w:eastAsia="zh-CN"/>
              </w:rPr>
              <w:t xml:space="preserve">较差</w:t>
            </w:r>
            <w:r>
              <w:rPr>
                <w:rFonts w:hint="eastAsia" w:ascii="宋体" w:hAnsi="宋体" w:eastAsia="宋体" w:cs="宋体"/>
                <w:color w:val="auto"/>
                <w:sz w:val="24"/>
                <w:szCs w:val="24"/>
                <w:highlight w:val="none"/>
                <w:lang w:val="en-US" w:eastAsia="zh-CN"/>
              </w:rPr>
              <w:t xml:space="preserve">得2分；未提供不得分。</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8" w:type="dxa"/>
            <w:vAlign w:val="center"/>
            <w:textDirection w:val="lrTb"/>
            <w:noWrap w:val="false"/>
          </w:tcPr>
          <w:p>
            <w:pPr>
              <w:ind w:left="0" w:right="0" w:firstLine="0"/>
              <w:jc w:val="center"/>
              <w:spacing w:before="0" w:after="0" w:line="240" w:lineRule="auto"/>
              <w:rPr>
                <w:rFonts w:hint="default" w:ascii="宋体" w:eastAsia="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10</w:t>
            </w:r>
            <w:r>
              <w:rPr>
                <w:highlight w:val="none"/>
              </w:rPr>
            </w:r>
            <w:r/>
          </w:p>
        </w:tc>
      </w:tr>
      <w:tr>
        <w:trPr>
          <w:jc w:val="cente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9" w:type="dxa"/>
            <w:vAlign w:val="center"/>
            <w:textDirection w:val="lrTb"/>
            <w:noWrap w:val="false"/>
          </w:tcPr>
          <w:p>
            <w:pPr>
              <w:ind w:left="0" w:right="0" w:firstLine="0"/>
              <w:jc w:val="center"/>
              <w:spacing w:before="0" w:after="0" w:line="240" w:lineRule="auto"/>
              <w:rPr>
                <w:rFonts w:ascii="宋体" w:eastAsia="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7" w:type="dxa"/>
            <w:vAlign w:val="center"/>
            <w:textDirection w:val="lrTb"/>
            <w:noWrap w:val="false"/>
          </w:tcPr>
          <w:p>
            <w:pPr>
              <w:ind w:left="0" w:right="0" w:firstLine="0"/>
              <w:jc w:val="center"/>
              <w:spacing w:before="0" w:after="0" w:line="240" w:lineRule="auto"/>
              <w:rPr>
                <w:rFonts w:ascii="宋体" w:eastAsia="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培训</w:t>
            </w:r>
            <w:r>
              <w:rPr>
                <w:rFonts w:hint="eastAsia" w:ascii="宋体" w:hAnsi="宋体" w:eastAsia="宋体" w:cs="宋体"/>
                <w:b/>
                <w:bCs/>
                <w:color w:val="auto"/>
                <w:sz w:val="24"/>
                <w:szCs w:val="24"/>
                <w:highlight w:val="none"/>
                <w:lang w:val="en-US" w:eastAsia="zh-CN"/>
              </w:rPr>
              <w:t xml:space="preserve">能力</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30" w:type="dxa"/>
            <w:vAlign w:val="center"/>
            <w:textDirection w:val="lrTb"/>
            <w:noWrap w:val="false"/>
          </w:tcPr>
          <w:p>
            <w:pPr>
              <w:ind w:right="0"/>
              <w:jc w:val="both"/>
              <w:keepLines w:val="0"/>
              <w:keepNext w:val="0"/>
              <w:pageBreakBefore w:val="0"/>
              <w:spacing w:before="0" w:after="0"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投标单位针对本项目提供完善的培训实施方案。</w:t>
            </w:r>
            <w:r>
              <w:rPr>
                <w:rFonts w:hint="eastAsia" w:ascii="宋体" w:hAnsi="宋体" w:eastAsia="宋体" w:cs="宋体"/>
                <w:color w:val="auto"/>
                <w:sz w:val="24"/>
                <w:szCs w:val="24"/>
                <w:highlight w:val="none"/>
              </w:rPr>
              <w:t xml:space="preserve">包括</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业务培训</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系统培训、实操培训等</w:t>
            </w:r>
            <w:r>
              <w:rPr>
                <w:rFonts w:hint="eastAsia" w:ascii="宋体" w:hAnsi="宋体" w:eastAsia="宋体" w:cs="宋体"/>
                <w:color w:val="auto"/>
                <w:sz w:val="24"/>
                <w:szCs w:val="24"/>
                <w:highlight w:val="none"/>
              </w:rPr>
              <w:t xml:space="preserve">。</w:t>
            </w:r>
            <w:r>
              <w:rPr>
                <w:highlight w:val="none"/>
              </w:rPr>
            </w:r>
            <w:r/>
          </w:p>
          <w:p>
            <w:pPr>
              <w:ind w:right="0"/>
              <w:jc w:val="both"/>
              <w:keepLines w:val="0"/>
              <w:keepNext w:val="0"/>
              <w:pageBreakBefore w:val="0"/>
              <w:spacing w:before="0" w:after="0" w:line="240" w:lineRule="auto"/>
              <w:widowControl w:val="off"/>
              <w:rPr>
                <w:rFonts w:ascii="宋体" w:eastAsia="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上述三项，每一项培训实施方案完整、清晰、合理的得10分；培训实施方案较为清晰、基本完善、可实施性较好</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lang w:val="en-US" w:eastAsia="zh-CN"/>
              </w:rPr>
              <w:t xml:space="preserve">得6分；培训实施方案较为简单、可实施性较差得2分；未提供不得分。</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8" w:type="dxa"/>
            <w:vAlign w:val="center"/>
            <w:textDirection w:val="lrTb"/>
            <w:noWrap w:val="false"/>
          </w:tcPr>
          <w:p>
            <w:pPr>
              <w:ind w:left="0" w:right="0" w:firstLine="0"/>
              <w:jc w:val="center"/>
              <w:spacing w:before="0" w:after="0" w:line="240" w:lineRule="auto"/>
              <w:rPr>
                <w:rFonts w:hint="default" w:ascii="宋体" w:eastAsia="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10</w:t>
            </w:r>
            <w:r>
              <w:rPr>
                <w:highlight w:val="none"/>
              </w:rPr>
            </w:r>
            <w:r/>
          </w:p>
        </w:tc>
      </w:tr>
      <w:tr>
        <w:trPr>
          <w:jc w:val="center"/>
          <w:trHeight w:val="20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9" w:type="dxa"/>
            <w:vAlign w:val="center"/>
            <w:textDirection w:val="lrTb"/>
            <w:noWrap w:val="false"/>
          </w:tcPr>
          <w:p>
            <w:pPr>
              <w:ind w:left="0" w:right="0" w:firstLine="0"/>
              <w:jc w:val="center"/>
              <w:spacing w:before="0" w:after="0" w:line="240" w:lineRule="auto"/>
              <w:rPr>
                <w:rFonts w:ascii="宋体" w:eastAsia="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7" w:type="dxa"/>
            <w:vAlign w:val="center"/>
            <w:textDirection w:val="lrTb"/>
            <w:noWrap w:val="false"/>
          </w:tcPr>
          <w:p>
            <w:pPr>
              <w:ind w:left="0" w:right="0" w:firstLine="0"/>
              <w:jc w:val="center"/>
              <w:spacing w:before="0" w:after="0" w:line="240" w:lineRule="auto"/>
              <w:rPr>
                <w:rFonts w:ascii="宋体" w:eastAsia="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000000"/>
                <w:sz w:val="24"/>
                <w:szCs w:val="24"/>
                <w:highlight w:val="none"/>
              </w:rPr>
              <w:t xml:space="preserve">应急预案比较</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30" w:type="dxa"/>
            <w:vAlign w:val="center"/>
            <w:textDirection w:val="lrTb"/>
            <w:noWrap w:val="false"/>
          </w:tcPr>
          <w:p>
            <w:pPr>
              <w:pStyle w:val="819"/>
              <w:ind w:left="0" w:firstLine="0"/>
              <w:spacing w:after="0" w:line="240" w:lineRule="auto"/>
              <w:rPr>
                <w:rFonts w:ascii="宋体" w:eastAsia="宋体"/>
                <w:sz w:val="24"/>
                <w:highlight w:val="none"/>
              </w:rPr>
            </w:pPr>
            <w:r>
              <w:rPr>
                <w:rFonts w:hint="eastAsia" w:ascii="宋体" w:hAnsi="宋体" w:eastAsia="宋体" w:cs="宋体"/>
                <w:bCs/>
                <w:color w:val="000000"/>
                <w:sz w:val="24"/>
                <w:szCs w:val="24"/>
                <w:highlight w:val="none"/>
              </w:rPr>
              <w:t xml:space="preserve">评委根据投标单位针对本项目提供的应急预案（包括但不限于大规模话务涌入情况、重要敏感情况信息报送、节假日应急预案等方面）进行综合比较打分。方案科学合理，全面完善，可行性高的得</w:t>
            </w:r>
            <w:r>
              <w:rPr>
                <w:rFonts w:hint="eastAsia" w:ascii="宋体" w:hAnsi="宋体" w:eastAsia="宋体" w:cs="宋体"/>
                <w:bCs/>
                <w:color w:val="000000"/>
                <w:sz w:val="24"/>
                <w:szCs w:val="24"/>
                <w:highlight w:val="none"/>
                <w:lang w:val="en-US" w:eastAsia="zh-CN"/>
              </w:rPr>
              <w:t xml:space="preserve">10</w:t>
            </w:r>
            <w:r>
              <w:rPr>
                <w:rFonts w:hint="eastAsia" w:ascii="宋体" w:hAnsi="宋体" w:eastAsia="宋体" w:cs="宋体"/>
                <w:bCs/>
                <w:color w:val="000000"/>
                <w:sz w:val="24"/>
                <w:szCs w:val="24"/>
                <w:highlight w:val="none"/>
              </w:rPr>
              <w:t xml:space="preserve">分；方案较为科学合理，较为全面完善，可行性较高的得</w:t>
            </w: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分；</w:t>
            </w:r>
            <w:r>
              <w:rPr>
                <w:rFonts w:hint="eastAsia" w:ascii="宋体" w:hAnsi="宋体" w:eastAsia="宋体" w:cs="宋体"/>
                <w:color w:val="000000"/>
                <w:sz w:val="24"/>
                <w:szCs w:val="24"/>
                <w:highlight w:val="none"/>
                <w:lang w:bidi="ar"/>
              </w:rPr>
              <w:t xml:space="preserve">方案一般的得</w:t>
            </w:r>
            <w:r>
              <w:rPr>
                <w:rFonts w:hint="eastAsia" w:ascii="宋体" w:hAnsi="宋体" w:eastAsia="宋体" w:cs="宋体"/>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bidi="ar"/>
              </w:rPr>
              <w:t xml:space="preserve">分；</w:t>
            </w:r>
            <w:r>
              <w:rPr>
                <w:rFonts w:hint="eastAsia" w:ascii="宋体" w:hAnsi="宋体" w:eastAsia="宋体" w:cs="宋体"/>
                <w:bCs/>
                <w:color w:val="000000"/>
                <w:sz w:val="24"/>
                <w:szCs w:val="24"/>
                <w:highlight w:val="none"/>
              </w:rPr>
              <w:t xml:space="preserve">方案差或未提供相应内容的不得分。</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8" w:type="dxa"/>
            <w:vAlign w:val="center"/>
            <w:textDirection w:val="lrTb"/>
            <w:noWrap w:val="false"/>
          </w:tcPr>
          <w:p>
            <w:pPr>
              <w:ind w:left="0" w:right="0" w:firstLine="0"/>
              <w:jc w:val="center"/>
              <w:spacing w:before="0" w:after="0" w:line="240" w:lineRule="auto"/>
              <w:rPr>
                <w:rFonts w:hint="default" w:ascii="宋体" w:eastAsia="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10</w:t>
            </w:r>
            <w:r>
              <w:rPr>
                <w:highlight w:val="none"/>
              </w:rPr>
            </w:r>
            <w:r/>
          </w:p>
        </w:tc>
      </w:tr>
      <w:tr>
        <w:trPr>
          <w:jc w:val="center"/>
          <w:trHeight w:val="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9" w:type="dxa"/>
            <w:vAlign w:val="center"/>
            <w:textDirection w:val="lrTb"/>
            <w:noWrap w:val="false"/>
          </w:tcPr>
          <w:p>
            <w:pPr>
              <w:ind w:left="0" w:right="0" w:firstLine="0"/>
              <w:jc w:val="center"/>
              <w:spacing w:before="0" w:after="0" w:line="240" w:lineRule="auto"/>
              <w:rPr>
                <w:rFonts w:ascii="宋体" w:eastAsia="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7" w:type="dxa"/>
            <w:vAlign w:val="center"/>
            <w:textDirection w:val="lrTb"/>
            <w:noWrap w:val="false"/>
          </w:tcPr>
          <w:p>
            <w:pPr>
              <w:ind w:left="0" w:right="0" w:firstLine="0"/>
              <w:jc w:val="center"/>
              <w:spacing w:before="0" w:after="0" w:line="240" w:lineRule="auto"/>
              <w:rPr>
                <w:rFonts w:ascii="宋体" w:eastAsia="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000000"/>
                <w:sz w:val="24"/>
                <w:szCs w:val="24"/>
                <w:highlight w:val="none"/>
              </w:rPr>
              <w:t xml:space="preserve">人员方案比较</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30" w:type="dxa"/>
            <w:vAlign w:val="center"/>
            <w:textDirection w:val="lrTb"/>
            <w:noWrap w:val="false"/>
          </w:tcPr>
          <w:p>
            <w:pPr>
              <w:pStyle w:val="819"/>
              <w:ind w:left="0" w:firstLine="0"/>
              <w:spacing w:after="0" w:line="240" w:lineRule="auto"/>
              <w:rPr>
                <w:rFonts w:ascii="宋体" w:eastAsia="宋体"/>
                <w:sz w:val="24"/>
                <w:highlight w:val="none"/>
              </w:rPr>
            </w:pPr>
            <w:r>
              <w:rPr>
                <w:rFonts w:hint="eastAsia" w:ascii="宋体" w:hAnsi="宋体" w:eastAsia="宋体" w:cs="宋体"/>
                <w:b w:val="0"/>
                <w:bCs/>
                <w:color w:val="000000"/>
                <w:sz w:val="24"/>
                <w:szCs w:val="24"/>
                <w:highlight w:val="none"/>
              </w:rPr>
              <w:t xml:space="preserve">评委根据</w:t>
            </w:r>
            <w:r>
              <w:rPr>
                <w:rFonts w:hint="eastAsia" w:ascii="宋体" w:hAnsi="宋体" w:eastAsia="宋体" w:cs="宋体"/>
                <w:bCs/>
                <w:color w:val="000000"/>
                <w:sz w:val="24"/>
                <w:szCs w:val="24"/>
                <w:highlight w:val="none"/>
              </w:rPr>
              <w:t xml:space="preserve">投标单位针对本项目投入的人员方案（包括但不限于人员招聘、团队组建、运行衔接等方面）进行综合比较打分。方案详细完整，人员招聘组建和衔接方案符合要求，可操作性强的得10分；方案较为详细完整，人员招聘组建和衔接方案较为符合要求，可操作性较强的得6分；方案一般的得2分；方案差或未提供相应内容</w:t>
            </w:r>
            <w:r>
              <w:rPr>
                <w:rFonts w:hint="eastAsia" w:ascii="宋体" w:hAnsi="宋体" w:eastAsia="宋体" w:cs="宋体"/>
                <w:b w:val="0"/>
                <w:bCs/>
                <w:color w:val="000000"/>
                <w:sz w:val="24"/>
                <w:szCs w:val="24"/>
                <w:highlight w:val="none"/>
              </w:rPr>
              <w:t xml:space="preserve">的不得分。</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8" w:type="dxa"/>
            <w:vAlign w:val="center"/>
            <w:textDirection w:val="lrTb"/>
            <w:noWrap w:val="false"/>
          </w:tcPr>
          <w:p>
            <w:pPr>
              <w:ind w:left="0" w:right="0" w:firstLine="0"/>
              <w:jc w:val="center"/>
              <w:spacing w:before="0" w:after="0" w:line="240" w:lineRule="auto"/>
              <w:rPr>
                <w:rFonts w:hint="default" w:ascii="宋体" w:eastAsia="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10</w:t>
            </w:r>
            <w:r>
              <w:rPr>
                <w:highlight w:val="none"/>
              </w:rPr>
            </w:r>
            <w:r/>
          </w:p>
        </w:tc>
      </w:tr>
      <w:tr>
        <w:trPr>
          <w:jc w:val="center"/>
          <w:trHeight w:val="1767"/>
        </w:trPr>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879" w:type="dxa"/>
            <w:vAlign w:val="center"/>
            <w:textDirection w:val="lrTb"/>
            <w:noWrap w:val="false"/>
          </w:tcPr>
          <w:p>
            <w:pPr>
              <w:ind w:left="0" w:right="0" w:firstLine="0"/>
              <w:jc w:val="center"/>
              <w:spacing w:before="0" w:after="0" w:line="240" w:lineRule="auto"/>
              <w:rPr>
                <w:rFonts w:ascii="宋体" w:eastAsia="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w:t>
            </w:r>
            <w:r>
              <w:rPr>
                <w:highlight w:val="none"/>
              </w:rPr>
            </w:r>
            <w:r/>
          </w:p>
        </w:tc>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1667" w:type="dxa"/>
            <w:vAlign w:val="center"/>
            <w:textDirection w:val="lrTb"/>
            <w:noWrap w:val="false"/>
          </w:tcPr>
          <w:p>
            <w:pPr>
              <w:ind w:left="0" w:right="0" w:firstLine="0"/>
              <w:jc w:val="center"/>
              <w:spacing w:before="0" w:after="0" w:line="240" w:lineRule="auto"/>
              <w:rPr>
                <w:rFonts w:ascii="宋体" w:eastAsia="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服务质量保障计划</w:t>
            </w:r>
            <w:r>
              <w:rPr>
                <w:highlight w:val="none"/>
              </w:rPr>
            </w:r>
            <w:r/>
          </w:p>
        </w:tc>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6030" w:type="dxa"/>
            <w:vAlign w:val="center"/>
            <w:textDirection w:val="lrTb"/>
            <w:noWrap w:val="false"/>
          </w:tcPr>
          <w:p>
            <w:pPr>
              <w:ind w:right="0"/>
              <w:jc w:val="both"/>
              <w:keepLines w:val="0"/>
              <w:keepNext w:val="0"/>
              <w:pageBreakBefore w:val="0"/>
              <w:spacing w:before="0" w:after="0" w:line="240" w:lineRule="auto"/>
              <w:widowControl w:val="off"/>
              <w:rPr>
                <w:rFonts w:ascii="宋体" w:eastAsia="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服务保障。投标单位分析提出项目服务质量保障计划，提出针对性的质量保障及检查措施。内容详实、科学合理及与项目管理需求契合度高的得10分；内容、合理性及与项目管理需求契合度一般的得6分；内容、合理性及与项目管理需求契合度较差得2分；未提供不得分。</w:t>
            </w:r>
            <w:r>
              <w:rPr>
                <w:highlight w:val="none"/>
              </w:rPr>
            </w:r>
            <w:r/>
          </w:p>
        </w:tc>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778" w:type="dxa"/>
            <w:vAlign w:val="center"/>
            <w:textDirection w:val="lrTb"/>
            <w:noWrap w:val="false"/>
          </w:tcPr>
          <w:p>
            <w:pPr>
              <w:ind w:left="0" w:right="0" w:firstLine="0"/>
              <w:jc w:val="center"/>
              <w:spacing w:before="0" w:after="0" w:line="240" w:lineRule="auto"/>
              <w:rPr>
                <w:rFonts w:ascii="宋体" w:eastAsia="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10</w:t>
            </w:r>
            <w:r>
              <w:rPr>
                <w:highlight w:val="none"/>
              </w:rPr>
            </w:r>
            <w:r/>
          </w:p>
        </w:tc>
      </w:tr>
      <w:tr>
        <w:trPr>
          <w:jc w:val="center"/>
          <w:trHeight w:val="202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7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7</w:t>
            </w:r>
            <w:r>
              <w:rPr>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67" w:type="dxa"/>
            <w:vAlign w:val="center"/>
            <w:textDirection w:val="lrTb"/>
            <w:noWrap w:val="false"/>
          </w:tcPr>
          <w:p>
            <w:pPr>
              <w:ind w:left="0" w:right="0" w:firstLine="0"/>
              <w:jc w:val="center"/>
              <w:spacing w:before="0" w:after="0" w:line="240" w:lineRule="auto"/>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进退场交接措施方案</w:t>
            </w:r>
            <w:r>
              <w:rPr>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030" w:type="dxa"/>
            <w:vAlign w:val="center"/>
            <w:textDirection w:val="lrTb"/>
            <w:noWrap w:val="false"/>
          </w:tcPr>
          <w:p>
            <w:pPr>
              <w:ind w:right="0"/>
              <w:jc w:val="both"/>
              <w:keepLines w:val="0"/>
              <w:keepNext w:val="0"/>
              <w:pageBreakBefore w:val="0"/>
              <w:spacing w:before="0" w:after="0"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提供完善的进退场交接措施方案，包括与上一轮服务商衔接、项目到期与新服务商过渡、人员待遇衔接方案等。</w:t>
            </w:r>
            <w:r>
              <w:rPr>
                <w:highlight w:val="none"/>
              </w:rPr>
            </w:r>
            <w:r/>
          </w:p>
          <w:p>
            <w:pPr>
              <w:ind w:right="0"/>
              <w:jc w:val="both"/>
              <w:keepLines w:val="0"/>
              <w:keepNext w:val="0"/>
              <w:pageBreakBefore w:val="0"/>
              <w:spacing w:before="0" w:after="0" w:line="240" w:lineRule="auto"/>
              <w:widowControl w:val="off"/>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内容详实、科学合理及与项目管理需求契合度高的得8分；内容、合理性及与项目管理需求契合度一般的得5分；内容、合理性及与项目管理需求契合度较差得1分；未提供不得分。</w:t>
            </w:r>
            <w:r>
              <w:rPr>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8" w:type="dxa"/>
            <w:vAlign w:val="center"/>
            <w:textDirection w:val="lrTb"/>
            <w:noWrap w:val="false"/>
          </w:tcPr>
          <w:p>
            <w:pPr>
              <w:ind w:left="0" w:right="0" w:firstLine="0"/>
              <w:jc w:val="center"/>
              <w:spacing w:before="0" w:after="0" w:line="24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8</w:t>
            </w:r>
            <w:r>
              <w:rPr>
                <w:highlight w:val="none"/>
              </w:rPr>
            </w:r>
            <w:r/>
          </w:p>
        </w:tc>
      </w:tr>
    </w:tbl>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（三）商务部分：</w:t>
      </w:r>
      <w:r>
        <w:rPr>
          <w:rFonts w:hint="eastAsia" w:ascii="宋体" w:hAnsi="宋体" w:eastAsia="宋体" w:cs="宋体"/>
          <w:b/>
          <w:color w:val="000000"/>
          <w:sz w:val="24"/>
          <w:highlight w:val="none"/>
          <w:u w:val="single"/>
          <w:lang w:val="en-US" w:eastAsia="zh-CN"/>
        </w:rPr>
        <w:t xml:space="preserve">22</w:t>
      </w:r>
      <w:r>
        <w:rPr>
          <w:rFonts w:ascii="宋体" w:hAnsi="宋体" w:eastAsia="宋体" w:cs="宋体"/>
          <w:b/>
          <w:color w:val="000000"/>
          <w:sz w:val="24"/>
          <w:highlight w:val="none"/>
        </w:rPr>
        <w:t xml:space="preserve">分</w:t>
      </w:r>
      <w:r>
        <w:rPr>
          <w:highlight w:val="none"/>
        </w:rPr>
      </w:r>
      <w:r/>
    </w:p>
    <w:tbl>
      <w:tblPr>
        <w:tblStyle w:val="814"/>
        <w:tblW w:w="9354"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0"/>
        <w:gridCol w:w="1635"/>
        <w:gridCol w:w="6030"/>
        <w:gridCol w:w="799"/>
      </w:tblGrid>
      <w:tr>
        <w:trPr>
          <w:jc w:val="center"/>
          <w:trHeight w:val="0"/>
          <w:tblHead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0" w:type="dxa"/>
            <w:vAlign w:val="center"/>
            <w:textDirection w:val="lrTb"/>
            <w:noWrap w:val="false"/>
          </w:tcPr>
          <w:p>
            <w:pPr>
              <w:ind w:left="0" w:right="0" w:firstLine="0"/>
              <w:jc w:val="center"/>
              <w:spacing w:before="0" w:after="0" w:line="240" w:lineRule="auto"/>
              <w:rPr>
                <w:rFonts w:ascii="宋体" w:eastAsia="宋体"/>
                <w:b/>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序号</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35" w:type="dxa"/>
            <w:vAlign w:val="center"/>
            <w:textDirection w:val="lrTb"/>
            <w:noWrap w:val="false"/>
          </w:tcPr>
          <w:p>
            <w:pPr>
              <w:ind w:left="0" w:right="0" w:firstLine="0"/>
              <w:jc w:val="center"/>
              <w:spacing w:before="0" w:after="0" w:line="240" w:lineRule="auto"/>
              <w:rPr>
                <w:rFonts w:ascii="宋体" w:eastAsia="宋体"/>
                <w:b/>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评分项名称</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30" w:type="dxa"/>
            <w:vAlign w:val="center"/>
            <w:textDirection w:val="lrTb"/>
            <w:noWrap w:val="false"/>
          </w:tcPr>
          <w:p>
            <w:pPr>
              <w:ind w:left="0" w:right="0" w:firstLine="0"/>
              <w:jc w:val="center"/>
              <w:spacing w:before="0" w:after="0" w:line="240" w:lineRule="auto"/>
              <w:rPr>
                <w:rFonts w:ascii="宋体" w:eastAsia="宋体"/>
                <w:b/>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评分标准</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0" w:right="0" w:firstLine="0"/>
              <w:jc w:val="center"/>
              <w:spacing w:before="0" w:after="0" w:line="240" w:lineRule="auto"/>
              <w:rPr>
                <w:rFonts w:ascii="宋体" w:eastAsia="宋体"/>
                <w:b/>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分值</w:t>
            </w:r>
            <w:r>
              <w:rPr>
                <w:highlight w:val="none"/>
              </w:rPr>
            </w:r>
            <w:r/>
          </w:p>
        </w:tc>
      </w:tr>
      <w:tr>
        <w:trPr>
          <w:jc w:val="center"/>
          <w:trHeight w:val="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0" w:type="dxa"/>
            <w:vAlign w:val="center"/>
            <w:textDirection w:val="lrTb"/>
            <w:noWrap w:val="false"/>
          </w:tcPr>
          <w:p>
            <w:pPr>
              <w:ind w:left="0" w:right="0" w:firstLine="0"/>
              <w:jc w:val="center"/>
              <w:spacing w:before="0" w:after="0" w:line="240" w:lineRule="auto"/>
              <w:rPr>
                <w:rFonts w:ascii="宋体" w:eastAsia="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5" w:type="dxa"/>
            <w:vAlign w:val="center"/>
            <w:textDirection w:val="lrTb"/>
            <w:noWrap w:val="false"/>
          </w:tcPr>
          <w:p>
            <w:pPr>
              <w:ind w:left="0" w:right="0" w:firstLine="0"/>
              <w:jc w:val="center"/>
              <w:spacing w:before="0" w:after="0" w:line="240" w:lineRule="auto"/>
              <w:rPr>
                <w:rFonts w:ascii="宋体" w:eastAsia="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综合实力1</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30" w:type="dxa"/>
            <w:vAlign w:val="center"/>
            <w:textDirection w:val="lrTb"/>
            <w:noWrap w:val="false"/>
          </w:tcPr>
          <w:p>
            <w:pPr>
              <w:ind w:left="0" w:right="0" w:firstLine="0"/>
              <w:jc w:val="center"/>
              <w:spacing w:before="0" w:after="0" w:line="240" w:lineRule="auto"/>
              <w:rPr>
                <w:rFonts w:ascii="宋体" w:eastAsia="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响应单位自2023年1月1日至今承担过类似项目的，有一份得3分，最高得12分。响应文件中提供相关完整合同扫描件</w:t>
            </w:r>
            <w:r>
              <w:rPr>
                <w:rFonts w:hint="eastAsia" w:ascii="宋体" w:hAnsi="宋体" w:eastAsia="宋体" w:cs="宋体"/>
                <w:color w:val="000000"/>
                <w:sz w:val="24"/>
                <w:highlight w:val="none"/>
                <w:lang w:val="en-US" w:eastAsia="zh-CN"/>
              </w:rPr>
              <w:t xml:space="preserve">和任意一期发票复印件并加盖公章</w:t>
            </w:r>
            <w:r>
              <w:rPr>
                <w:rFonts w:ascii="宋体" w:hAnsi="宋体" w:eastAsia="宋体" w:cs="宋体"/>
                <w:color w:val="000000"/>
                <w:sz w:val="24"/>
                <w:highlight w:val="none"/>
              </w:rPr>
              <w:t xml:space="preserve">，未提供或提供不全的不得分。</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0" w:right="0" w:firstLine="0"/>
              <w:jc w:val="left"/>
              <w:spacing w:before="0" w:after="0" w:line="240" w:lineRule="auto"/>
              <w:rPr>
                <w:rFonts w:ascii="宋体" w:eastAsia="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12</w:t>
            </w:r>
            <w:r>
              <w:rPr>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90" w:type="dxa"/>
            <w:vAlign w:val="center"/>
            <w:textDirection w:val="lrTb"/>
            <w:noWrap w:val="false"/>
          </w:tcPr>
          <w:p>
            <w:pPr>
              <w:ind w:left="0" w:right="0" w:firstLine="0"/>
              <w:jc w:val="center"/>
              <w:spacing w:before="0" w:after="0" w:line="24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2</w:t>
            </w:r>
            <w:r>
              <w:rPr>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35" w:type="dxa"/>
            <w:vAlign w:val="center"/>
            <w:textDirection w:val="lrTb"/>
            <w:noWrap w:val="false"/>
          </w:tcPr>
          <w:p>
            <w:pPr>
              <w:ind w:left="0" w:right="0" w:firstLine="0"/>
              <w:jc w:val="center"/>
              <w:spacing w:before="0" w:after="0" w:line="240" w:lineRule="auto"/>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b w:val="0"/>
                <w:bCs w:val="0"/>
                <w:color w:val="auto"/>
                <w:sz w:val="24"/>
                <w:szCs w:val="24"/>
                <w:highlight w:val="none"/>
              </w:rPr>
              <w:t xml:space="preserve">管理体系认证</w:t>
            </w:r>
            <w:r>
              <w:rPr>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030" w:type="dxa"/>
            <w:vAlign w:val="center"/>
            <w:textDirection w:val="lrTb"/>
            <w:noWrap w:val="false"/>
          </w:tcPr>
          <w:p>
            <w:pPr>
              <w:ind w:firstLine="480"/>
              <w:jc w:val="center"/>
              <w:keepLines w:val="0"/>
              <w:keepNext w:val="0"/>
              <w:pageBreakBefore w:val="0"/>
              <w:spacing w:after="0" w:line="240" w:lineRule="auto"/>
              <w:widowControl/>
              <w:rPr>
                <w:rFonts w:hint="eastAsia" w:ascii="宋体" w:eastAsia="宋体" w:hAnsiTheme="minorEastAsia" w:cstheme="minorEastAsia"/>
                <w:color w:val="000000"/>
                <w:sz w:val="24"/>
                <w:szCs w:val="24"/>
                <w:highlight w:val="none"/>
              </w:rPr>
            </w:pPr>
            <w:r>
              <w:rPr>
                <w:rFonts w:hint="eastAsia" w:ascii="宋体" w:eastAsia="宋体" w:hAnsiTheme="minorEastAsia" w:cstheme="minorEastAsia"/>
                <w:b w:val="0"/>
                <w:bCs w:val="0"/>
                <w:color w:val="auto"/>
                <w:sz w:val="24"/>
                <w:szCs w:val="24"/>
                <w:highlight w:val="none"/>
              </w:rPr>
              <w:t xml:space="preserve">响应单位具有有效的质量管理体系认证证书、环境管理体系认证证书、职业健康安全管理体系认证证书的，每有一项得2分，最高为6分。响应文件中提供证书</w:t>
            </w:r>
            <w:r>
              <w:rPr>
                <w:rFonts w:hint="eastAsia" w:ascii="宋体" w:eastAsia="宋体" w:hAnsiTheme="minorEastAsia" w:cstheme="minorEastAsia"/>
                <w:b w:val="0"/>
                <w:bCs w:val="0"/>
                <w:color w:val="auto"/>
                <w:sz w:val="24"/>
                <w:szCs w:val="24"/>
                <w:highlight w:val="none"/>
                <w:lang w:eastAsia="zh-CN"/>
              </w:rPr>
              <w:t xml:space="preserve">扫描件</w:t>
            </w:r>
            <w:r>
              <w:rPr>
                <w:rFonts w:hint="eastAsia" w:ascii="宋体" w:eastAsia="宋体" w:hAnsiTheme="minorEastAsia" w:cstheme="minorEastAsia"/>
                <w:b w:val="0"/>
                <w:bCs w:val="0"/>
                <w:color w:val="auto"/>
                <w:sz w:val="24"/>
                <w:szCs w:val="24"/>
                <w:highlight w:val="none"/>
              </w:rPr>
              <w:t xml:space="preserve">及证书在全国认证认可信息公共服务平台（http://cx.cnca.cn/）查询为有效的网页截图加盖响应单位公章，否则不得分。</w:t>
            </w:r>
            <w:r>
              <w:rPr>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9" w:type="dxa"/>
            <w:vAlign w:val="center"/>
            <w:textDirection w:val="lrTb"/>
            <w:noWrap w:val="false"/>
          </w:tcPr>
          <w:p>
            <w:pPr>
              <w:ind w:left="0" w:right="0" w:firstLine="0"/>
              <w:jc w:val="left"/>
              <w:spacing w:before="0" w:after="0" w:line="240" w:lineRule="auto"/>
              <w:rPr>
                <w:rFonts w:hint="default"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6</w:t>
            </w:r>
            <w:r>
              <w:rPr>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90" w:type="dxa"/>
            <w:vAlign w:val="center"/>
            <w:textDirection w:val="lrTb"/>
            <w:noWrap w:val="false"/>
          </w:tcPr>
          <w:p>
            <w:pPr>
              <w:ind w:left="0" w:right="0" w:firstLine="0"/>
              <w:jc w:val="center"/>
              <w:spacing w:before="0" w:after="0" w:line="240" w:lineRule="auto"/>
              <w:rPr>
                <w:rFonts w:hint="default"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3</w:t>
            </w:r>
            <w:r>
              <w:rPr>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35" w:type="dxa"/>
            <w:vAlign w:val="center"/>
            <w:textDirection w:val="lrTb"/>
            <w:noWrap w:val="false"/>
          </w:tcPr>
          <w:p>
            <w:pPr>
              <w:ind w:left="0" w:right="0" w:firstLine="0"/>
              <w:jc w:val="center"/>
              <w:spacing w:before="0" w:after="0" w:line="240" w:lineRule="auto"/>
              <w:rPr>
                <w:rFonts w:hint="eastAsia" w:ascii="宋体" w:hAnsi="宋体" w:eastAsia="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b w:val="0"/>
                <w:bCs w:val="0"/>
                <w:color w:val="auto"/>
                <w:sz w:val="24"/>
                <w:szCs w:val="21"/>
                <w:highlight w:val="none"/>
              </w:rPr>
              <w:t xml:space="preserve">人力资源管理师</w:t>
            </w:r>
            <w:r>
              <w:rPr>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030" w:type="dxa"/>
            <w:vAlign w:val="center"/>
            <w:textDirection w:val="lrTb"/>
            <w:noWrap w:val="false"/>
          </w:tcPr>
          <w:p>
            <w:pPr>
              <w:ind w:left="0" w:right="0" w:firstLine="0"/>
              <w:jc w:val="center"/>
              <w:spacing w:before="0" w:after="0" w:line="240" w:lineRule="auto"/>
              <w:rPr>
                <w:rFonts w:hint="eastAsia" w:ascii="宋体" w:eastAsia="宋体" w:hAnsiTheme="minorEastAsia" w:cstheme="minorEastAsia"/>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eastAsia="宋体" w:hAnsiTheme="minorEastAsia" w:cstheme="minorEastAsia"/>
                <w:b w:val="0"/>
                <w:bCs w:val="0"/>
                <w:color w:val="auto"/>
                <w:sz w:val="24"/>
                <w:szCs w:val="24"/>
                <w:highlight w:val="none"/>
              </w:rPr>
              <w:t xml:space="preserve">针对本项目配置的人员具有四级及以上人力资源管理师证书的，每有一人得</w:t>
            </w:r>
            <w:r>
              <w:rPr>
                <w:rFonts w:hint="eastAsia" w:ascii="宋体" w:eastAsia="宋体" w:hAnsiTheme="minorEastAsia" w:cstheme="minorEastAsia"/>
                <w:b w:val="0"/>
                <w:bCs w:val="0"/>
                <w:color w:val="auto"/>
                <w:sz w:val="24"/>
                <w:szCs w:val="24"/>
                <w:highlight w:val="none"/>
                <w:lang w:val="en-US" w:eastAsia="zh-CN"/>
              </w:rPr>
              <w:t xml:space="preserve">2</w:t>
            </w:r>
            <w:r>
              <w:rPr>
                <w:rFonts w:hint="eastAsia" w:ascii="宋体" w:eastAsia="宋体" w:hAnsiTheme="minorEastAsia" w:cstheme="minorEastAsia"/>
                <w:b w:val="0"/>
                <w:bCs w:val="0"/>
                <w:color w:val="auto"/>
                <w:sz w:val="24"/>
                <w:szCs w:val="24"/>
                <w:highlight w:val="none"/>
              </w:rPr>
              <w:t xml:space="preserve">分，最高为</w:t>
            </w:r>
            <w:r>
              <w:rPr>
                <w:rFonts w:hint="eastAsia" w:ascii="宋体" w:eastAsia="宋体" w:hAnsiTheme="minorEastAsia" w:cstheme="minorEastAsia"/>
                <w:b w:val="0"/>
                <w:bCs w:val="0"/>
                <w:color w:val="auto"/>
                <w:sz w:val="24"/>
                <w:szCs w:val="24"/>
                <w:highlight w:val="none"/>
                <w:lang w:val="en-US" w:eastAsia="zh-CN"/>
              </w:rPr>
              <w:t xml:space="preserve">4</w:t>
            </w:r>
            <w:r>
              <w:rPr>
                <w:rFonts w:hint="eastAsia" w:ascii="宋体" w:eastAsia="宋体" w:hAnsiTheme="minorEastAsia" w:cstheme="minorEastAsia"/>
                <w:b w:val="0"/>
                <w:bCs w:val="0"/>
                <w:color w:val="auto"/>
                <w:sz w:val="24"/>
                <w:szCs w:val="24"/>
                <w:highlight w:val="none"/>
              </w:rPr>
              <w:t xml:space="preserve">分。响应文件中提供相关证书复印件及人员在响应单位最近一期的社保缴纳证明加盖响应单位公章，否则不得分。</w:t>
            </w:r>
            <w:r>
              <w:rPr>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9" w:type="dxa"/>
            <w:vAlign w:val="center"/>
            <w:textDirection w:val="lrTb"/>
            <w:noWrap w:val="false"/>
          </w:tcPr>
          <w:p>
            <w:pPr>
              <w:ind w:left="0" w:right="0" w:firstLine="0"/>
              <w:jc w:val="left"/>
              <w:spacing w:before="0" w:after="0" w:line="240" w:lineRule="auto"/>
              <w:rPr>
                <w:rFonts w:hint="default"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4</w:t>
            </w:r>
            <w:r>
              <w:rPr>
                <w:highlight w:val="none"/>
              </w:rPr>
            </w:r>
            <w:r/>
          </w:p>
        </w:tc>
      </w:tr>
    </w:tbl>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说明：</w:t>
      </w:r>
      <w:r>
        <w:rPr>
          <w:highlight w:val="none"/>
        </w:rPr>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针对评分标准中评分的每一条，供应商在投标（响应）文件中均应提供相关资料的清晰扫描件并作出相应说明供评委评判，未提供或提供不完整的视为不具备该项得分的条件。</w:t>
      </w:r>
      <w:r>
        <w:rPr>
          <w:highlight w:val="none"/>
        </w:rPr>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highlight w:val="none"/>
        </w:rPr>
        <w:br w:type="page" w:clear="all"/>
      </w:r>
      <w:r>
        <w:rPr>
          <w:highlight w:val="none"/>
        </w:rPr>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三、政府采购政策：</w:t>
      </w:r>
      <w:r>
        <w:rPr>
          <w:highlight w:val="none"/>
        </w:rPr>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（一）中、小企业</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1、本项目属于专门面向中小企业的项目。</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2、本项目采购标的对应的中小企业划分标准所属行业为</w:t>
      </w:r>
      <w:r>
        <w:rPr>
          <w:rFonts w:ascii="宋体" w:hAnsi="宋体" w:eastAsia="宋体" w:cs="宋体"/>
          <w:color w:val="000000"/>
          <w:sz w:val="24"/>
          <w:highlight w:val="none"/>
          <w:u w:val="single"/>
        </w:rPr>
        <w:t xml:space="preserve">其他未列明行业</w:t>
      </w:r>
      <w:r>
        <w:rPr>
          <w:rFonts w:ascii="宋体" w:hAnsi="宋体" w:eastAsia="宋体" w:cs="宋体"/>
          <w:color w:val="000000"/>
          <w:sz w:val="24"/>
          <w:highlight w:val="none"/>
        </w:rPr>
        <w:t xml:space="preserve">，承接服务的供应商应为中小微企业、监狱企业、残疾人福利性单位。中小微企业划型标准根据《中小企业划型标准规定》（工信部联企业【2011】300号）。</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3、依据《政府采购促进中小企业发展管理办法》规定享受扶持政策获得政府采购合同的，小微企业不得将合同分包给大中型企业，中型企业不得将合同分包给大型企业。</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4、中小企业参加政府采购活动，应当出具《政府采购促进中小企业发展管理办法》附件规定《中小企业声明函》，否则不得享受相关中小企业扶持政策。</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5、本项目中，供应商提供的服务由中小企业承接，即提供服务的人员为中小企业依照《中华人民共和国劳动合同法》订立劳动合同的从业人员，才可享受规定的中小企业扶持政策。</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6、若供应商提供的《中小企业声明函》为虚假声明则视同提供虚假材料，按政府采购相关规定处理并报请政府监管部门给予行政处罚。</w:t>
      </w:r>
      <w:r>
        <w:rPr>
          <w:highlight w:val="none"/>
        </w:rPr>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（二）残疾人福利性单位</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根据《关于贯彻执行绿色采购、促进残疾人就业和支持监狱企业发展有关政策的通知（苏财购〔2019〕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中小企业扶持政策。</w:t>
      </w:r>
      <w:r>
        <w:rPr>
          <w:highlight w:val="none"/>
        </w:rPr>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（三）监狱企业</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中小企业扶持政策。</w:t>
      </w:r>
      <w:r>
        <w:rPr>
          <w:highlight w:val="none"/>
        </w:rPr>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highlight w:val="none"/>
        </w:rPr>
        <w:br w:type="page" w:clear="all"/>
      </w:r>
      <w:r>
        <w:rPr>
          <w:highlight w:val="none"/>
        </w:rPr>
      </w:r>
      <w:r/>
    </w:p>
    <w:p>
      <w:pPr>
        <w:ind w:left="420" w:right="0" w:firstLine="420"/>
        <w:jc w:val="both"/>
        <w:spacing w:before="210" w:after="120" w:line="520" w:lineRule="atLeast"/>
        <w:rPr>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highlight w:val="none"/>
        </w:rPr>
        <w:t xml:space="preserve"> </w:t>
      </w:r>
      <w:r>
        <w:rPr>
          <w:highlight w:val="none"/>
        </w:rPr>
      </w:r>
      <w:r/>
    </w:p>
    <w:p>
      <w:pPr>
        <w:ind w:left="420" w:right="0" w:firstLine="420"/>
        <w:jc w:val="both"/>
        <w:spacing w:before="210" w:after="120" w:line="520" w:lineRule="atLeast"/>
        <w:rPr>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highlight w:val="none"/>
        </w:rPr>
        <w:t xml:space="preserve"> </w:t>
      </w:r>
      <w:r>
        <w:rPr>
          <w:highlight w:val="none"/>
        </w:rPr>
      </w:r>
      <w:r/>
    </w:p>
    <w:p>
      <w:pPr>
        <w:ind w:left="420" w:right="0" w:firstLine="420"/>
        <w:jc w:val="both"/>
        <w:spacing w:before="210" w:after="120" w:line="520" w:lineRule="atLeast"/>
        <w:rPr>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highlight w:val="none"/>
        </w:rPr>
        <w:t xml:space="preserve"> </w:t>
      </w:r>
      <w:r>
        <w:rPr>
          <w:highlight w:val="none"/>
        </w:rPr>
      </w:r>
      <w:r/>
    </w:p>
    <w:p>
      <w:pPr>
        <w:ind w:left="420" w:right="0" w:firstLine="420"/>
        <w:jc w:val="both"/>
        <w:spacing w:before="210" w:after="120" w:line="520" w:lineRule="atLeast"/>
        <w:rPr>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highlight w:val="none"/>
        </w:rPr>
        <w:t xml:space="preserve"> </w:t>
      </w:r>
      <w:r>
        <w:rPr>
          <w:highlight w:val="none"/>
        </w:rPr>
      </w:r>
      <w:r/>
    </w:p>
    <w:p>
      <w:pPr>
        <w:ind w:left="420" w:right="0" w:firstLine="420"/>
        <w:jc w:val="both"/>
        <w:spacing w:before="210" w:after="120" w:line="520" w:lineRule="atLeast"/>
        <w:rPr>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highlight w:val="none"/>
        </w:rPr>
        <w:t xml:space="preserve"> </w:t>
      </w:r>
      <w:r>
        <w:rPr>
          <w:highlight w:val="none"/>
        </w:rPr>
      </w:r>
      <w:r/>
    </w:p>
    <w:p>
      <w:pPr>
        <w:ind w:left="420" w:right="0" w:firstLine="420"/>
        <w:jc w:val="both"/>
        <w:spacing w:before="210" w:after="120" w:line="520" w:lineRule="atLeast"/>
        <w:rPr>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highlight w:val="none"/>
        </w:rPr>
        <w:t xml:space="preserve"> </w:t>
      </w:r>
      <w:r>
        <w:rPr>
          <w:highlight w:val="none"/>
        </w:rPr>
      </w:r>
      <w:r/>
    </w:p>
    <w:p>
      <w:pPr>
        <w:ind w:left="0" w:right="0" w:firstLine="0"/>
        <w:jc w:val="cente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52"/>
          <w:highlight w:val="none"/>
        </w:rPr>
        <w:t xml:space="preserve">第七章 附件</w:t>
      </w:r>
      <w:r>
        <w:rPr>
          <w:highlight w:val="none"/>
        </w:rPr>
      </w: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附件1：政府采购合同信用融资政策告知函</w:t>
      </w:r>
      <w:r>
        <w:rPr>
          <w:highlight w:val="none"/>
        </w:rPr>
      </w: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附件2：中小企业相关要求</w:t>
      </w:r>
      <w:r>
        <w:rPr>
          <w:highlight w:val="none"/>
        </w:rPr>
      </w: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附件3：中小企业划型标准规定（工信部联企业〔2011〕300号）</w:t>
      </w:r>
      <w:r>
        <w:rPr>
          <w:highlight w:val="none"/>
        </w:rPr>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highlight w:val="none"/>
        </w:rPr>
        <w:br w:type="page" w:clear="all"/>
      </w:r>
      <w:r>
        <w:rPr>
          <w:highlight w:val="none"/>
        </w:rPr>
      </w:r>
      <w:r/>
    </w:p>
    <w:p>
      <w:pPr>
        <w:ind w:left="0" w:right="0" w:firstLine="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附件1：</w:t>
      </w:r>
      <w:r>
        <w:rPr>
          <w:highlight w:val="none"/>
        </w:rPr>
      </w:r>
      <w:r/>
    </w:p>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t xml:space="preserve">政府采购合同信用融资政策告知函</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各政府采购供应商：</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欢迎贵公司参加苏州市政府采购活动！</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政府采购合同信用融资是江苏省、苏州市为支持中小企业发展，缓解中小企业融资难题推出的一项融资服务举措。若贵公司经评审最终成为本次政府采购项目的合格成交（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rPr>
          <w:highlight w:val="none"/>
        </w:rPr>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highlight w:val="none"/>
        </w:rPr>
        <w:br w:type="page" w:clear="all"/>
      </w:r>
      <w:r>
        <w:rPr>
          <w:highlight w:val="none"/>
        </w:rPr>
      </w:r>
      <w:r/>
    </w:p>
    <w:p>
      <w:pPr>
        <w:ind w:left="0" w:right="0" w:firstLine="0"/>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附件2：</w:t>
      </w:r>
      <w:r>
        <w:rPr>
          <w:highlight w:val="none"/>
        </w:rPr>
      </w:r>
      <w:r/>
    </w:p>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rPr>
          <w:highlight w:val="none"/>
        </w:rPr>
      </w:r>
      <w:r/>
    </w:p>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中小企业相关要求</w:t>
      </w:r>
      <w:r>
        <w:rPr>
          <w:highlight w:val="none"/>
        </w:rPr>
      </w:r>
      <w:r/>
    </w:p>
    <w:p>
      <w:pPr>
        <w:ind w:left="420" w:right="0" w:firstLine="420"/>
        <w:jc w:val="both"/>
        <w:spacing w:before="210" w:after="120" w:line="520" w:lineRule="atLeast"/>
        <w:rPr>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highlight w:val="none"/>
        </w:rPr>
        <w:t xml:space="preserve"> </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1、在服务采购项目中，服务由中小企业承接，即提供服务的人员为中小企业依照《中华人民共和国劳动合同法》订立劳动合同的从业人员。</w:t>
      </w:r>
      <w:r>
        <w:rPr>
          <w:rFonts w:ascii="宋体" w:hAnsi="宋体" w:eastAsia="宋体" w:cs="宋体"/>
          <w:b/>
          <w:color w:val="000000"/>
          <w:sz w:val="24"/>
          <w:highlight w:val="none"/>
        </w:rPr>
        <w:t xml:space="preserve">服务类项目中供应商若使用退休人员，将不享受相应扶持政策。</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2、《中小企业声明函》中所填的行业应与本采购标的对应的中小企业划分标准所属行业一致，不一致的不可享受相应政策优惠。</w:t>
      </w:r>
      <w:r>
        <w:rPr>
          <w:rFonts w:ascii="宋体" w:hAnsi="宋体" w:eastAsia="宋体" w:cs="宋体"/>
          <w:b/>
          <w:color w:val="000000"/>
          <w:sz w:val="24"/>
          <w:highlight w:val="none"/>
        </w:rPr>
        <w:t xml:space="preserve">本采购标的对应的中小企业划分标准所属行业，以采购文件中具体规定为准。</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w:t>
      </w:r>
      <w:r>
        <w:rPr>
          <w:rFonts w:ascii="宋体" w:hAnsi="宋体" w:eastAsia="宋体" w:cs="宋体"/>
          <w:b/>
          <w:color w:val="000000"/>
          <w:sz w:val="24"/>
          <w:highlight w:val="none"/>
        </w:rPr>
        <w:t xml:space="preserve">如未对（中型企业、小型企业、微型企业）进行勾选，视同非中小微企业，不可享受相应扶持政策</w:t>
      </w:r>
      <w:r>
        <w:rPr>
          <w:rFonts w:ascii="宋体" w:hAnsi="宋体" w:eastAsia="宋体" w:cs="宋体"/>
          <w:color w:val="000000"/>
          <w:sz w:val="24"/>
          <w:highlight w:val="none"/>
        </w:rPr>
        <w:t xml:space="preserve">。</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4、中标（成交）单位为中小企业的，《中小企业声明函》将随中标（成交）结果同时公告。</w:t>
      </w:r>
      <w:r>
        <w:rPr>
          <w:highlight w:val="none"/>
        </w:rPr>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highlight w:val="none"/>
        </w:rPr>
        <w:br w:type="page" w:clear="all"/>
      </w:r>
      <w:r>
        <w:rPr>
          <w:highlight w:val="none"/>
        </w:rPr>
      </w:r>
      <w:r/>
    </w:p>
    <w:p>
      <w:pPr>
        <w:ind w:left="0" w:right="0" w:firstLine="0"/>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附件3：</w:t>
      </w:r>
      <w:r>
        <w:rPr>
          <w:highlight w:val="none"/>
        </w:rPr>
      </w:r>
      <w:r/>
    </w:p>
    <w:p>
      <w:pPr>
        <w:ind w:left="0" w:right="0" w:firstLine="0"/>
        <w:jc w:val="center"/>
        <w:spacing w:before="210" w:after="12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中小企业划型标准规定（工信部联企业〔2011〕300号）</w:t>
      </w:r>
      <w:r>
        <w:rPr>
          <w:highlight w:val="none"/>
        </w:rPr>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（一）农、林、牧、渔业。</w:t>
      </w:r>
      <w:r>
        <w:rPr>
          <w:rFonts w:ascii="宋体" w:hAnsi="宋体" w:eastAsia="宋体" w:cs="宋体"/>
          <w:color w:val="000000"/>
          <w:sz w:val="24"/>
          <w:highlight w:val="none"/>
        </w:rPr>
        <w:t xml:space="preserve">营业收入20000万元以下的为中小微型企业。其中，营业收入500万元及以上的为中型企业，营业收入50万元及以上的为小型企业，营业收入50万元以下的为微型企业。</w:t>
      </w:r>
      <w:r>
        <w:rPr>
          <w:highlight w:val="none"/>
        </w:rPr>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（二）工业。</w:t>
      </w:r>
      <w:r>
        <w:rPr>
          <w:rFonts w:ascii="宋体" w:hAnsi="宋体" w:eastAsia="宋体" w:cs="宋体"/>
          <w:color w:val="000000"/>
          <w:sz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highlight w:val="none"/>
        </w:rPr>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（三）建筑业。</w:t>
      </w:r>
      <w:r>
        <w:rPr>
          <w:rFonts w:ascii="宋体" w:hAnsi="宋体" w:eastAsia="宋体" w:cs="宋体"/>
          <w:color w:val="000000"/>
          <w:sz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highlight w:val="none"/>
        </w:rPr>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（四）批发业。</w:t>
      </w:r>
      <w:r>
        <w:rPr>
          <w:rFonts w:ascii="宋体" w:hAnsi="宋体" w:eastAsia="宋体" w:cs="宋体"/>
          <w:color w:val="000000"/>
          <w:sz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highlight w:val="none"/>
        </w:rPr>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（五）零售业。</w:t>
      </w:r>
      <w:r>
        <w:rPr>
          <w:rFonts w:ascii="宋体" w:hAnsi="宋体" w:eastAsia="宋体" w:cs="宋体"/>
          <w:color w:val="000000"/>
          <w:sz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highlight w:val="none"/>
        </w:rPr>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（六）交通运输业。</w:t>
      </w:r>
      <w:r>
        <w:rPr>
          <w:rFonts w:ascii="宋体" w:hAnsi="宋体" w:eastAsia="宋体" w:cs="宋体"/>
          <w:color w:val="000000"/>
          <w:sz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highlight w:val="none"/>
        </w:rPr>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（七）仓储业。</w:t>
      </w:r>
      <w:r>
        <w:rPr>
          <w:rFonts w:ascii="宋体" w:hAnsi="宋体" w:eastAsia="宋体" w:cs="宋体"/>
          <w:color w:val="000000"/>
          <w:sz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highlight w:val="none"/>
        </w:rPr>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（八）邮政业。</w:t>
      </w:r>
      <w:r>
        <w:rPr>
          <w:rFonts w:ascii="宋体" w:hAnsi="宋体" w:eastAsia="宋体" w:cs="宋体"/>
          <w:color w:val="000000"/>
          <w:sz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highlight w:val="none"/>
        </w:rPr>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（九）住宿业。</w:t>
      </w:r>
      <w:r>
        <w:rPr>
          <w:rFonts w:ascii="宋体" w:hAnsi="宋体" w:eastAsia="宋体" w:cs="宋体"/>
          <w:color w:val="000000"/>
          <w:sz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highlight w:val="none"/>
        </w:rPr>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（十）餐饮业。</w:t>
      </w:r>
      <w:r>
        <w:rPr>
          <w:rFonts w:ascii="宋体" w:hAnsi="宋体" w:eastAsia="宋体" w:cs="宋体"/>
          <w:color w:val="000000"/>
          <w:sz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highlight w:val="none"/>
        </w:rPr>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（十一）信息传输业。</w:t>
      </w:r>
      <w:r>
        <w:rPr>
          <w:rFonts w:ascii="宋体" w:hAnsi="宋体" w:eastAsia="宋体" w:cs="宋体"/>
          <w:color w:val="000000"/>
          <w:sz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highlight w:val="none"/>
        </w:rPr>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（十二）软件和信息技术服务业。</w:t>
      </w:r>
      <w:r>
        <w:rPr>
          <w:rFonts w:ascii="宋体" w:hAnsi="宋体" w:eastAsia="宋体" w:cs="宋体"/>
          <w:color w:val="000000"/>
          <w:sz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highlight w:val="none"/>
        </w:rPr>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（十三）房地产开发经营。</w:t>
      </w:r>
      <w:r>
        <w:rPr>
          <w:rFonts w:ascii="宋体" w:hAnsi="宋体" w:eastAsia="宋体" w:cs="宋体"/>
          <w:color w:val="000000"/>
          <w:sz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highlight w:val="none"/>
        </w:rPr>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（十四）物业管理。</w:t>
      </w:r>
      <w:r>
        <w:rPr>
          <w:rFonts w:ascii="宋体" w:hAnsi="宋体" w:eastAsia="宋体" w:cs="宋体"/>
          <w:color w:val="000000"/>
          <w:sz w:val="24"/>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highlight w:val="none"/>
        </w:rPr>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（十五）租赁和商务服务业。</w:t>
      </w:r>
      <w:r>
        <w:rPr>
          <w:rFonts w:ascii="宋体" w:hAnsi="宋体" w:eastAsia="宋体" w:cs="宋体"/>
          <w:color w:val="000000"/>
          <w:sz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highlight w:val="none"/>
        </w:rPr>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（十六）其他未列明行业。</w:t>
      </w:r>
      <w:r>
        <w:rPr>
          <w:rFonts w:ascii="宋体" w:hAnsi="宋体" w:eastAsia="宋体" w:cs="宋体"/>
          <w:color w:val="000000"/>
          <w:sz w:val="24"/>
          <w:highlight w:val="none"/>
        </w:rPr>
        <w:t xml:space="preserve">从业人员300人以下的为中小微型企业。其中，从业人员100人及以上的为中型企业；从业人员10人及以上的为小型企业；从业人员10人以下的为微型企业。</w:t>
      </w:r>
      <w:r>
        <w:rPr>
          <w:highlight w:val="none"/>
        </w:rPr>
      </w:r>
      <w:r/>
    </w:p>
    <w:p>
      <w:pPr>
        <w:ind w:left="0" w:right="0" w:firstLine="482"/>
        <w:jc w:val="right"/>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（全文完）</w:t>
      </w:r>
      <w:r>
        <w:rPr>
          <w:highlight w:val="none"/>
        </w:rPr>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6"/>
          <w:highlight w:val="none"/>
        </w:rPr>
        <w:t xml:space="preserve"> </w:t>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Segoe UI">
    <w:panose1 w:val="020B0502040204020203"/>
  </w:font>
  <w:font w:name="楷体">
    <w:panose1 w:val="02010609060101010101"/>
  </w:font>
  <w:font w:name="Calibri">
    <w:panose1 w:val="020F0502020204030204"/>
  </w:font>
  <w:font w:name="Cambria">
    <w:panose1 w:val="02040503050406030204"/>
  </w:font>
  <w:font w:name="方正仿宋简体">
    <w:panose1 w:val="020B0503020202020204"/>
  </w:font>
  <w:font w:name="创艺简仿宋">
    <w:panose1 w:val="020B0503020202020204"/>
  </w:font>
  <w:font w:name="Arial">
    <w:panose1 w:val="020B0604020202020204"/>
  </w:font>
  <w:font w:name="SimSun">
    <w:panose1 w:val="02010600030101010101"/>
  </w:font>
  <w:font w:name="宋体">
    <w:panose1 w:val="02010600030101010101"/>
  </w:font>
  <w:font w:name="方正小标宋_GBK">
    <w:panose1 w:val="020B0503020202020204"/>
  </w:font>
  <w:font w:name="Times New Roman">
    <w:panose1 w:val="020206030504050203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34">
    <w:name w:val="Heading 1 Char"/>
    <w:basedOn w:val="811"/>
    <w:link w:val="809"/>
    <w:uiPriority w:val="9"/>
    <w:rPr>
      <w:rFonts w:ascii="Arial" w:hAnsi="Arial" w:eastAsia="Arial" w:cs="Arial"/>
      <w:sz w:val="40"/>
      <w:szCs w:val="40"/>
    </w:rPr>
  </w:style>
  <w:style w:type="character" w:styleId="635">
    <w:name w:val="Heading 2 Char"/>
    <w:basedOn w:val="811"/>
    <w:link w:val="810"/>
    <w:uiPriority w:val="9"/>
    <w:rPr>
      <w:rFonts w:ascii="Arial" w:hAnsi="Arial" w:eastAsia="Arial" w:cs="Arial"/>
      <w:sz w:val="34"/>
    </w:rPr>
  </w:style>
  <w:style w:type="paragraph" w:styleId="636">
    <w:name w:val="Heading 3"/>
    <w:basedOn w:val="808"/>
    <w:next w:val="808"/>
    <w:link w:val="637"/>
    <w:uiPriority w:val="9"/>
    <w:unhideWhenUsed/>
    <w:qFormat/>
    <w:pPr>
      <w:keepLines/>
      <w:keepNext/>
      <w:spacing w:before="320" w:after="200"/>
      <w:outlineLvl w:val="2"/>
    </w:pPr>
    <w:rPr>
      <w:rFonts w:ascii="Arial" w:hAnsi="Arial" w:eastAsia="Arial" w:cs="Arial"/>
      <w:sz w:val="30"/>
      <w:szCs w:val="30"/>
    </w:rPr>
  </w:style>
  <w:style w:type="character" w:styleId="637">
    <w:name w:val="Heading 3 Char"/>
    <w:basedOn w:val="811"/>
    <w:link w:val="636"/>
    <w:uiPriority w:val="9"/>
    <w:rPr>
      <w:rFonts w:ascii="Arial" w:hAnsi="Arial" w:eastAsia="Arial" w:cs="Arial"/>
      <w:sz w:val="30"/>
      <w:szCs w:val="30"/>
    </w:rPr>
  </w:style>
  <w:style w:type="paragraph" w:styleId="638">
    <w:name w:val="Heading 4"/>
    <w:basedOn w:val="808"/>
    <w:next w:val="808"/>
    <w:link w:val="639"/>
    <w:uiPriority w:val="9"/>
    <w:unhideWhenUsed/>
    <w:qFormat/>
    <w:pPr>
      <w:keepLines/>
      <w:keepNext/>
      <w:spacing w:before="320" w:after="200"/>
      <w:outlineLvl w:val="3"/>
    </w:pPr>
    <w:rPr>
      <w:rFonts w:ascii="Arial" w:hAnsi="Arial" w:eastAsia="Arial" w:cs="Arial"/>
      <w:b/>
      <w:bCs/>
      <w:sz w:val="26"/>
      <w:szCs w:val="26"/>
    </w:rPr>
  </w:style>
  <w:style w:type="character" w:styleId="639">
    <w:name w:val="Heading 4 Char"/>
    <w:basedOn w:val="811"/>
    <w:link w:val="638"/>
    <w:uiPriority w:val="9"/>
    <w:rPr>
      <w:rFonts w:ascii="Arial" w:hAnsi="Arial" w:eastAsia="Arial" w:cs="Arial"/>
      <w:b/>
      <w:bCs/>
      <w:sz w:val="26"/>
      <w:szCs w:val="26"/>
    </w:rPr>
  </w:style>
  <w:style w:type="paragraph" w:styleId="640">
    <w:name w:val="Heading 5"/>
    <w:basedOn w:val="808"/>
    <w:next w:val="808"/>
    <w:link w:val="641"/>
    <w:uiPriority w:val="9"/>
    <w:unhideWhenUsed/>
    <w:qFormat/>
    <w:pPr>
      <w:keepLines/>
      <w:keepNext/>
      <w:spacing w:before="320" w:after="200"/>
      <w:outlineLvl w:val="4"/>
    </w:pPr>
    <w:rPr>
      <w:rFonts w:ascii="Arial" w:hAnsi="Arial" w:eastAsia="Arial" w:cs="Arial"/>
      <w:b/>
      <w:bCs/>
      <w:sz w:val="24"/>
      <w:szCs w:val="24"/>
    </w:rPr>
  </w:style>
  <w:style w:type="character" w:styleId="641">
    <w:name w:val="Heading 5 Char"/>
    <w:basedOn w:val="811"/>
    <w:link w:val="640"/>
    <w:uiPriority w:val="9"/>
    <w:rPr>
      <w:rFonts w:ascii="Arial" w:hAnsi="Arial" w:eastAsia="Arial" w:cs="Arial"/>
      <w:b/>
      <w:bCs/>
      <w:sz w:val="24"/>
      <w:szCs w:val="24"/>
    </w:rPr>
  </w:style>
  <w:style w:type="paragraph" w:styleId="642">
    <w:name w:val="Heading 6"/>
    <w:basedOn w:val="808"/>
    <w:next w:val="808"/>
    <w:link w:val="643"/>
    <w:uiPriority w:val="9"/>
    <w:unhideWhenUsed/>
    <w:qFormat/>
    <w:pPr>
      <w:keepLines/>
      <w:keepNext/>
      <w:spacing w:before="320" w:after="200"/>
      <w:outlineLvl w:val="5"/>
    </w:pPr>
    <w:rPr>
      <w:rFonts w:ascii="Arial" w:hAnsi="Arial" w:eastAsia="Arial" w:cs="Arial"/>
      <w:b/>
      <w:bCs/>
      <w:sz w:val="22"/>
      <w:szCs w:val="22"/>
    </w:rPr>
  </w:style>
  <w:style w:type="character" w:styleId="643">
    <w:name w:val="Heading 6 Char"/>
    <w:basedOn w:val="811"/>
    <w:link w:val="642"/>
    <w:uiPriority w:val="9"/>
    <w:rPr>
      <w:rFonts w:ascii="Arial" w:hAnsi="Arial" w:eastAsia="Arial" w:cs="Arial"/>
      <w:b/>
      <w:bCs/>
      <w:sz w:val="22"/>
      <w:szCs w:val="22"/>
    </w:rPr>
  </w:style>
  <w:style w:type="paragraph" w:styleId="644">
    <w:name w:val="Heading 7"/>
    <w:basedOn w:val="808"/>
    <w:next w:val="808"/>
    <w:link w:val="645"/>
    <w:uiPriority w:val="9"/>
    <w:unhideWhenUsed/>
    <w:qFormat/>
    <w:pPr>
      <w:keepLines/>
      <w:keepNext/>
      <w:spacing w:before="320" w:after="200"/>
      <w:outlineLvl w:val="6"/>
    </w:pPr>
    <w:rPr>
      <w:rFonts w:ascii="Arial" w:hAnsi="Arial" w:eastAsia="Arial" w:cs="Arial"/>
      <w:b/>
      <w:bCs/>
      <w:i/>
      <w:iCs/>
      <w:sz w:val="22"/>
      <w:szCs w:val="22"/>
    </w:rPr>
  </w:style>
  <w:style w:type="character" w:styleId="645">
    <w:name w:val="Heading 7 Char"/>
    <w:basedOn w:val="811"/>
    <w:link w:val="644"/>
    <w:uiPriority w:val="9"/>
    <w:rPr>
      <w:rFonts w:ascii="Arial" w:hAnsi="Arial" w:eastAsia="Arial" w:cs="Arial"/>
      <w:b/>
      <w:bCs/>
      <w:i/>
      <w:iCs/>
      <w:sz w:val="22"/>
      <w:szCs w:val="22"/>
    </w:rPr>
  </w:style>
  <w:style w:type="paragraph" w:styleId="646">
    <w:name w:val="Heading 8"/>
    <w:basedOn w:val="808"/>
    <w:next w:val="808"/>
    <w:link w:val="647"/>
    <w:uiPriority w:val="9"/>
    <w:unhideWhenUsed/>
    <w:qFormat/>
    <w:pPr>
      <w:keepLines/>
      <w:keepNext/>
      <w:spacing w:before="320" w:after="200"/>
      <w:outlineLvl w:val="7"/>
    </w:pPr>
    <w:rPr>
      <w:rFonts w:ascii="Arial" w:hAnsi="Arial" w:eastAsia="Arial" w:cs="Arial"/>
      <w:i/>
      <w:iCs/>
      <w:sz w:val="22"/>
      <w:szCs w:val="22"/>
    </w:rPr>
  </w:style>
  <w:style w:type="character" w:styleId="647">
    <w:name w:val="Heading 8 Char"/>
    <w:basedOn w:val="811"/>
    <w:link w:val="646"/>
    <w:uiPriority w:val="9"/>
    <w:rPr>
      <w:rFonts w:ascii="Arial" w:hAnsi="Arial" w:eastAsia="Arial" w:cs="Arial"/>
      <w:i/>
      <w:iCs/>
      <w:sz w:val="22"/>
      <w:szCs w:val="22"/>
    </w:rPr>
  </w:style>
  <w:style w:type="paragraph" w:styleId="648">
    <w:name w:val="Heading 9"/>
    <w:basedOn w:val="808"/>
    <w:next w:val="808"/>
    <w:link w:val="649"/>
    <w:uiPriority w:val="9"/>
    <w:unhideWhenUsed/>
    <w:qFormat/>
    <w:pPr>
      <w:keepLines/>
      <w:keepNext/>
      <w:spacing w:before="320" w:after="200"/>
      <w:outlineLvl w:val="8"/>
    </w:pPr>
    <w:rPr>
      <w:rFonts w:ascii="Arial" w:hAnsi="Arial" w:eastAsia="Arial" w:cs="Arial"/>
      <w:i/>
      <w:iCs/>
      <w:sz w:val="21"/>
      <w:szCs w:val="21"/>
    </w:rPr>
  </w:style>
  <w:style w:type="character" w:styleId="649">
    <w:name w:val="Heading 9 Char"/>
    <w:basedOn w:val="811"/>
    <w:link w:val="648"/>
    <w:uiPriority w:val="9"/>
    <w:rPr>
      <w:rFonts w:ascii="Arial" w:hAnsi="Arial" w:eastAsia="Arial" w:cs="Arial"/>
      <w:i/>
      <w:iCs/>
      <w:sz w:val="21"/>
      <w:szCs w:val="21"/>
    </w:rPr>
  </w:style>
  <w:style w:type="paragraph" w:styleId="650">
    <w:name w:val="List Paragraph"/>
    <w:basedOn w:val="808"/>
    <w:uiPriority w:val="34"/>
    <w:qFormat/>
    <w:pPr>
      <w:contextualSpacing/>
      <w:ind w:left="720"/>
    </w:pPr>
  </w:style>
  <w:style w:type="paragraph" w:styleId="651">
    <w:name w:val="No Spacing"/>
    <w:uiPriority w:val="1"/>
    <w:qFormat/>
    <w:pPr>
      <w:spacing w:before="0" w:after="0" w:line="240" w:lineRule="auto"/>
    </w:pPr>
  </w:style>
  <w:style w:type="paragraph" w:styleId="652">
    <w:name w:val="Title"/>
    <w:basedOn w:val="808"/>
    <w:next w:val="808"/>
    <w:link w:val="653"/>
    <w:uiPriority w:val="10"/>
    <w:qFormat/>
    <w:pPr>
      <w:contextualSpacing/>
      <w:spacing w:before="300" w:after="200"/>
    </w:pPr>
    <w:rPr>
      <w:sz w:val="48"/>
      <w:szCs w:val="48"/>
    </w:rPr>
  </w:style>
  <w:style w:type="character" w:styleId="653">
    <w:name w:val="Title Char"/>
    <w:basedOn w:val="811"/>
    <w:link w:val="652"/>
    <w:uiPriority w:val="10"/>
    <w:rPr>
      <w:sz w:val="48"/>
      <w:szCs w:val="48"/>
    </w:rPr>
  </w:style>
  <w:style w:type="paragraph" w:styleId="654">
    <w:name w:val="Subtitle"/>
    <w:basedOn w:val="808"/>
    <w:next w:val="808"/>
    <w:link w:val="655"/>
    <w:uiPriority w:val="11"/>
    <w:qFormat/>
    <w:pPr>
      <w:spacing w:before="200" w:after="200"/>
    </w:pPr>
    <w:rPr>
      <w:sz w:val="24"/>
      <w:szCs w:val="24"/>
    </w:rPr>
  </w:style>
  <w:style w:type="character" w:styleId="655">
    <w:name w:val="Subtitle Char"/>
    <w:basedOn w:val="811"/>
    <w:link w:val="654"/>
    <w:uiPriority w:val="11"/>
    <w:rPr>
      <w:sz w:val="24"/>
      <w:szCs w:val="24"/>
    </w:rPr>
  </w:style>
  <w:style w:type="paragraph" w:styleId="656">
    <w:name w:val="Quote"/>
    <w:basedOn w:val="808"/>
    <w:next w:val="808"/>
    <w:link w:val="657"/>
    <w:uiPriority w:val="29"/>
    <w:qFormat/>
    <w:pPr>
      <w:ind w:left="720" w:right="720"/>
    </w:pPr>
    <w:rPr>
      <w:i/>
    </w:rPr>
  </w:style>
  <w:style w:type="character" w:styleId="657">
    <w:name w:val="Quote Char"/>
    <w:link w:val="656"/>
    <w:uiPriority w:val="29"/>
    <w:rPr>
      <w:i/>
    </w:rPr>
  </w:style>
  <w:style w:type="paragraph" w:styleId="658">
    <w:name w:val="Intense Quote"/>
    <w:basedOn w:val="808"/>
    <w:next w:val="808"/>
    <w:link w:val="65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59">
    <w:name w:val="Intense Quote Char"/>
    <w:link w:val="658"/>
    <w:uiPriority w:val="30"/>
    <w:rPr>
      <w:i/>
    </w:rPr>
  </w:style>
  <w:style w:type="paragraph" w:styleId="660">
    <w:name w:val="Header"/>
    <w:basedOn w:val="808"/>
    <w:link w:val="661"/>
    <w:uiPriority w:val="99"/>
    <w:unhideWhenUsed/>
    <w:pPr>
      <w:spacing w:after="0" w:line="240" w:lineRule="auto"/>
      <w:tabs>
        <w:tab w:val="center" w:pos="7143" w:leader="none"/>
        <w:tab w:val="right" w:pos="14287" w:leader="none"/>
      </w:tabs>
    </w:pPr>
  </w:style>
  <w:style w:type="character" w:styleId="661">
    <w:name w:val="Header Char"/>
    <w:basedOn w:val="811"/>
    <w:link w:val="660"/>
    <w:uiPriority w:val="99"/>
  </w:style>
  <w:style w:type="paragraph" w:styleId="662">
    <w:name w:val="Footer"/>
    <w:basedOn w:val="808"/>
    <w:link w:val="665"/>
    <w:uiPriority w:val="99"/>
    <w:unhideWhenUsed/>
    <w:pPr>
      <w:spacing w:after="0" w:line="240" w:lineRule="auto"/>
      <w:tabs>
        <w:tab w:val="center" w:pos="7143" w:leader="none"/>
        <w:tab w:val="right" w:pos="14287" w:leader="none"/>
      </w:tabs>
    </w:pPr>
  </w:style>
  <w:style w:type="character" w:styleId="663">
    <w:name w:val="Footer Char"/>
    <w:basedOn w:val="811"/>
    <w:link w:val="662"/>
    <w:uiPriority w:val="99"/>
  </w:style>
  <w:style w:type="paragraph" w:styleId="664">
    <w:name w:val="Caption"/>
    <w:basedOn w:val="808"/>
    <w:next w:val="808"/>
    <w:uiPriority w:val="35"/>
    <w:semiHidden/>
    <w:unhideWhenUsed/>
    <w:qFormat/>
    <w:pPr>
      <w:spacing w:line="276" w:lineRule="auto"/>
    </w:pPr>
    <w:rPr>
      <w:b/>
      <w:bCs/>
      <w:color w:val="4f81bd" w:themeColor="accent1"/>
      <w:sz w:val="18"/>
      <w:szCs w:val="18"/>
    </w:rPr>
  </w:style>
  <w:style w:type="character" w:styleId="665">
    <w:name w:val="Caption Char"/>
    <w:basedOn w:val="664"/>
    <w:link w:val="662"/>
    <w:uiPriority w:val="99"/>
  </w:style>
  <w:style w:type="table" w:styleId="666">
    <w:name w:val="Table Grid Light"/>
    <w:basedOn w:val="81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67">
    <w:name w:val="Plain Table 1"/>
    <w:basedOn w:val="81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68">
    <w:name w:val="Plain Table 2"/>
    <w:basedOn w:val="81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69">
    <w:name w:val="Plain Table 3"/>
    <w:basedOn w:val="8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0">
    <w:name w:val="Plain Table 4"/>
    <w:basedOn w:val="8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1">
    <w:name w:val="Plain Table 5"/>
    <w:basedOn w:val="8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2">
    <w:name w:val="Grid Table 1 Light"/>
    <w:basedOn w:val="81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3">
    <w:name w:val="Grid Table 1 Light - Accent 1"/>
    <w:basedOn w:val="81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74">
    <w:name w:val="Grid Table 1 Light - Accent 2"/>
    <w:basedOn w:val="81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75">
    <w:name w:val="Grid Table 1 Light - Accent 3"/>
    <w:basedOn w:val="81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76">
    <w:name w:val="Grid Table 1 Light - Accent 4"/>
    <w:basedOn w:val="81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77">
    <w:name w:val="Grid Table 1 Light - Accent 5"/>
    <w:basedOn w:val="81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78">
    <w:name w:val="Grid Table 1 Light - Accent 6"/>
    <w:basedOn w:val="81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79">
    <w:name w:val="Grid Table 2"/>
    <w:basedOn w:val="81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0">
    <w:name w:val="Grid Table 2 - Accent 1"/>
    <w:basedOn w:val="81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1">
    <w:name w:val="Grid Table 2 - Accent 2"/>
    <w:basedOn w:val="81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2">
    <w:name w:val="Grid Table 2 - Accent 3"/>
    <w:basedOn w:val="81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83">
    <w:name w:val="Grid Table 2 - Accent 4"/>
    <w:basedOn w:val="81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84">
    <w:name w:val="Grid Table 2 - Accent 5"/>
    <w:basedOn w:val="81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85">
    <w:name w:val="Grid Table 2 - Accent 6"/>
    <w:basedOn w:val="81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6">
    <w:name w:val="Grid Table 3"/>
    <w:basedOn w:val="81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7">
    <w:name w:val="Grid Table 3 - Accent 1"/>
    <w:basedOn w:val="81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8">
    <w:name w:val="Grid Table 3 - Accent 2"/>
    <w:basedOn w:val="81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9">
    <w:name w:val="Grid Table 3 - Accent 3"/>
    <w:basedOn w:val="81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0">
    <w:name w:val="Grid Table 3 - Accent 4"/>
    <w:basedOn w:val="81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1">
    <w:name w:val="Grid Table 3 - Accent 5"/>
    <w:basedOn w:val="81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2">
    <w:name w:val="Grid Table 3 - Accent 6"/>
    <w:basedOn w:val="81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3">
    <w:name w:val="Grid Table 4"/>
    <w:basedOn w:val="81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4">
    <w:name w:val="Grid Table 4 - Accent 1"/>
    <w:basedOn w:val="81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695">
    <w:name w:val="Grid Table 4 - Accent 2"/>
    <w:basedOn w:val="81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696">
    <w:name w:val="Grid Table 4 - Accent 3"/>
    <w:basedOn w:val="81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697">
    <w:name w:val="Grid Table 4 - Accent 4"/>
    <w:basedOn w:val="81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698">
    <w:name w:val="Grid Table 4 - Accent 5"/>
    <w:basedOn w:val="81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699">
    <w:name w:val="Grid Table 4 - Accent 6"/>
    <w:basedOn w:val="81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0">
    <w:name w:val="Grid Table 5 Dark"/>
    <w:basedOn w:val="8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1">
    <w:name w:val="Grid Table 5 Dark- Accent 1"/>
    <w:basedOn w:val="8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02">
    <w:name w:val="Grid Table 5 Dark - Accent 2"/>
    <w:basedOn w:val="8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03">
    <w:name w:val="Grid Table 5 Dark - Accent 3"/>
    <w:basedOn w:val="8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04">
    <w:name w:val="Grid Table 5 Dark- Accent 4"/>
    <w:basedOn w:val="8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05">
    <w:name w:val="Grid Table 5 Dark - Accent 5"/>
    <w:basedOn w:val="8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06">
    <w:name w:val="Grid Table 5 Dark - Accent 6"/>
    <w:basedOn w:val="8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07">
    <w:name w:val="Grid Table 6 Colorful"/>
    <w:basedOn w:val="81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8">
    <w:name w:val="Grid Table 6 Colorful - Accent 1"/>
    <w:basedOn w:val="81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09">
    <w:name w:val="Grid Table 6 Colorful - Accent 2"/>
    <w:basedOn w:val="81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10">
    <w:name w:val="Grid Table 6 Colorful - Accent 3"/>
    <w:basedOn w:val="81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11">
    <w:name w:val="Grid Table 6 Colorful - Accent 4"/>
    <w:basedOn w:val="81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12">
    <w:name w:val="Grid Table 6 Colorful - Accent 5"/>
    <w:basedOn w:val="81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13">
    <w:name w:val="Grid Table 6 Colorful - Accent 6"/>
    <w:basedOn w:val="81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14">
    <w:name w:val="Grid Table 7 Colorful"/>
    <w:basedOn w:val="81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5">
    <w:name w:val="Grid Table 7 Colorful - Accent 1"/>
    <w:basedOn w:val="81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16">
    <w:name w:val="Grid Table 7 Colorful - Accent 2"/>
    <w:basedOn w:val="81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17">
    <w:name w:val="Grid Table 7 Colorful - Accent 3"/>
    <w:basedOn w:val="81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18">
    <w:name w:val="Grid Table 7 Colorful - Accent 4"/>
    <w:basedOn w:val="81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19">
    <w:name w:val="Grid Table 7 Colorful - Accent 5"/>
    <w:basedOn w:val="81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0">
    <w:name w:val="Grid Table 7 Colorful - Accent 6"/>
    <w:basedOn w:val="81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1">
    <w:name w:val="List Table 1 Light"/>
    <w:basedOn w:val="81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2">
    <w:name w:val="List Table 1 Light - Accent 1"/>
    <w:basedOn w:val="812"/>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23">
    <w:name w:val="List Table 1 Light - Accent 2"/>
    <w:basedOn w:val="812"/>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24">
    <w:name w:val="List Table 1 Light - Accent 3"/>
    <w:basedOn w:val="812"/>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25">
    <w:name w:val="List Table 1 Light - Accent 4"/>
    <w:basedOn w:val="812"/>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26">
    <w:name w:val="List Table 1 Light - Accent 5"/>
    <w:basedOn w:val="812"/>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27">
    <w:name w:val="List Table 1 Light - Accent 6"/>
    <w:basedOn w:val="812"/>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28">
    <w:name w:val="List Table 2"/>
    <w:basedOn w:val="81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9">
    <w:name w:val="List Table 2 - Accent 1"/>
    <w:basedOn w:val="81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0">
    <w:name w:val="List Table 2 - Accent 2"/>
    <w:basedOn w:val="81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1">
    <w:name w:val="List Table 2 - Accent 3"/>
    <w:basedOn w:val="81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2">
    <w:name w:val="List Table 2 - Accent 4"/>
    <w:basedOn w:val="81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33">
    <w:name w:val="List Table 2 - Accent 5"/>
    <w:basedOn w:val="81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34">
    <w:name w:val="List Table 2 - Accent 6"/>
    <w:basedOn w:val="81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35">
    <w:name w:val="List Table 3"/>
    <w:basedOn w:val="81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6">
    <w:name w:val="List Table 3 - Accent 1"/>
    <w:basedOn w:val="81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37">
    <w:name w:val="List Table 3 - Accent 2"/>
    <w:basedOn w:val="81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738">
    <w:name w:val="List Table 3 - Accent 3"/>
    <w:basedOn w:val="81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739">
    <w:name w:val="List Table 3 - Accent 4"/>
    <w:basedOn w:val="81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740">
    <w:name w:val="List Table 3 - Accent 5"/>
    <w:basedOn w:val="81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741">
    <w:name w:val="List Table 3 - Accent 6"/>
    <w:basedOn w:val="81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742">
    <w:name w:val="List Table 4"/>
    <w:basedOn w:val="81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3">
    <w:name w:val="List Table 4 - Accent 1"/>
    <w:basedOn w:val="81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44">
    <w:name w:val="List Table 4 - Accent 2"/>
    <w:basedOn w:val="81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745">
    <w:name w:val="List Table 4 - Accent 3"/>
    <w:basedOn w:val="81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746">
    <w:name w:val="List Table 4 - Accent 4"/>
    <w:basedOn w:val="81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747">
    <w:name w:val="List Table 4 - Accent 5"/>
    <w:basedOn w:val="81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748">
    <w:name w:val="List Table 4 - Accent 6"/>
    <w:basedOn w:val="81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749">
    <w:name w:val="List Table 5 Dark"/>
    <w:basedOn w:val="81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0">
    <w:name w:val="List Table 5 Dark - Accent 1"/>
    <w:basedOn w:val="81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1">
    <w:name w:val="List Table 5 Dark - Accent 2"/>
    <w:basedOn w:val="81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2">
    <w:name w:val="List Table 5 Dark - Accent 3"/>
    <w:basedOn w:val="81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3">
    <w:name w:val="List Table 5 Dark - Accent 4"/>
    <w:basedOn w:val="81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4">
    <w:name w:val="List Table 5 Dark - Accent 5"/>
    <w:basedOn w:val="81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5">
    <w:name w:val="List Table 5 Dark - Accent 6"/>
    <w:basedOn w:val="81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6">
    <w:name w:val="List Table 6 Colorful"/>
    <w:basedOn w:val="81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7">
    <w:name w:val="List Table 6 Colorful - Accent 1"/>
    <w:basedOn w:val="81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758">
    <w:name w:val="List Table 6 Colorful - Accent 2"/>
    <w:basedOn w:val="81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759">
    <w:name w:val="List Table 6 Colorful - Accent 3"/>
    <w:basedOn w:val="81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760">
    <w:name w:val="List Table 6 Colorful - Accent 4"/>
    <w:basedOn w:val="81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761">
    <w:name w:val="List Table 6 Colorful - Accent 5"/>
    <w:basedOn w:val="81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762">
    <w:name w:val="List Table 6 Colorful - Accent 6"/>
    <w:basedOn w:val="81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763">
    <w:name w:val="List Table 7 Colorful"/>
    <w:basedOn w:val="81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64">
    <w:name w:val="List Table 7 Colorful - Accent 1"/>
    <w:basedOn w:val="81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765">
    <w:name w:val="List Table 7 Colorful - Accent 2"/>
    <w:basedOn w:val="81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766">
    <w:name w:val="List Table 7 Colorful - Accent 3"/>
    <w:basedOn w:val="81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767">
    <w:name w:val="List Table 7 Colorful - Accent 4"/>
    <w:basedOn w:val="81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768">
    <w:name w:val="List Table 7 Colorful - Accent 5"/>
    <w:basedOn w:val="81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769">
    <w:name w:val="List Table 7 Colorful - Accent 6"/>
    <w:basedOn w:val="81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770">
    <w:name w:val="Lined - Accent"/>
    <w:basedOn w:val="8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1">
    <w:name w:val="Lined - Accent 1"/>
    <w:basedOn w:val="8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772">
    <w:name w:val="Lined - Accent 2"/>
    <w:basedOn w:val="8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773">
    <w:name w:val="Lined - Accent 3"/>
    <w:basedOn w:val="8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774">
    <w:name w:val="Lined - Accent 4"/>
    <w:basedOn w:val="8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775">
    <w:name w:val="Lined - Accent 5"/>
    <w:basedOn w:val="8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776">
    <w:name w:val="Lined - Accent 6"/>
    <w:basedOn w:val="8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777">
    <w:name w:val="Bordered &amp; Lined - Accent"/>
    <w:basedOn w:val="81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8">
    <w:name w:val="Bordered &amp; Lined - Accent 1"/>
    <w:basedOn w:val="81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779">
    <w:name w:val="Bordered &amp; Lined - Accent 2"/>
    <w:basedOn w:val="81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780">
    <w:name w:val="Bordered &amp; Lined - Accent 3"/>
    <w:basedOn w:val="81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781">
    <w:name w:val="Bordered &amp; Lined - Accent 4"/>
    <w:basedOn w:val="81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782">
    <w:name w:val="Bordered &amp; Lined - Accent 5"/>
    <w:basedOn w:val="81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783">
    <w:name w:val="Bordered &amp; Lined - Accent 6"/>
    <w:basedOn w:val="81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784">
    <w:name w:val="Bordered"/>
    <w:basedOn w:val="81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85">
    <w:name w:val="Bordered - Accent 1"/>
    <w:basedOn w:val="81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86">
    <w:name w:val="Bordered - Accent 2"/>
    <w:basedOn w:val="81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87">
    <w:name w:val="Bordered - Accent 3"/>
    <w:basedOn w:val="81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88">
    <w:name w:val="Bordered - Accent 4"/>
    <w:basedOn w:val="81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89">
    <w:name w:val="Bordered - Accent 5"/>
    <w:basedOn w:val="81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0">
    <w:name w:val="Bordered - Accent 6"/>
    <w:basedOn w:val="81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791">
    <w:name w:val="footnote text"/>
    <w:basedOn w:val="808"/>
    <w:link w:val="792"/>
    <w:uiPriority w:val="99"/>
    <w:semiHidden/>
    <w:unhideWhenUsed/>
    <w:pPr>
      <w:spacing w:after="40" w:line="240" w:lineRule="auto"/>
    </w:pPr>
    <w:rPr>
      <w:sz w:val="18"/>
    </w:rPr>
  </w:style>
  <w:style w:type="character" w:styleId="792">
    <w:name w:val="Footnote Text Char"/>
    <w:link w:val="791"/>
    <w:uiPriority w:val="99"/>
    <w:rPr>
      <w:sz w:val="18"/>
    </w:rPr>
  </w:style>
  <w:style w:type="character" w:styleId="793">
    <w:name w:val="footnote reference"/>
    <w:basedOn w:val="811"/>
    <w:uiPriority w:val="99"/>
    <w:unhideWhenUsed/>
    <w:rPr>
      <w:vertAlign w:val="superscript"/>
    </w:rPr>
  </w:style>
  <w:style w:type="paragraph" w:styleId="794">
    <w:name w:val="endnote text"/>
    <w:basedOn w:val="808"/>
    <w:link w:val="795"/>
    <w:uiPriority w:val="99"/>
    <w:semiHidden/>
    <w:unhideWhenUsed/>
    <w:pPr>
      <w:spacing w:after="0" w:line="240" w:lineRule="auto"/>
    </w:pPr>
    <w:rPr>
      <w:sz w:val="20"/>
    </w:rPr>
  </w:style>
  <w:style w:type="character" w:styleId="795">
    <w:name w:val="Endnote Text Char"/>
    <w:link w:val="794"/>
    <w:uiPriority w:val="99"/>
    <w:rPr>
      <w:sz w:val="20"/>
    </w:rPr>
  </w:style>
  <w:style w:type="character" w:styleId="796">
    <w:name w:val="endnote reference"/>
    <w:basedOn w:val="811"/>
    <w:uiPriority w:val="99"/>
    <w:semiHidden/>
    <w:unhideWhenUsed/>
    <w:rPr>
      <w:vertAlign w:val="superscript"/>
    </w:rPr>
  </w:style>
  <w:style w:type="paragraph" w:styleId="797">
    <w:name w:val="toc 1"/>
    <w:basedOn w:val="808"/>
    <w:next w:val="808"/>
    <w:uiPriority w:val="39"/>
    <w:unhideWhenUsed/>
    <w:pPr>
      <w:ind w:left="0" w:right="0" w:firstLine="0"/>
      <w:spacing w:after="57"/>
    </w:pPr>
  </w:style>
  <w:style w:type="paragraph" w:styleId="798">
    <w:name w:val="toc 2"/>
    <w:basedOn w:val="808"/>
    <w:next w:val="808"/>
    <w:uiPriority w:val="39"/>
    <w:unhideWhenUsed/>
    <w:pPr>
      <w:ind w:left="283" w:right="0" w:firstLine="0"/>
      <w:spacing w:after="57"/>
    </w:pPr>
  </w:style>
  <w:style w:type="paragraph" w:styleId="799">
    <w:name w:val="toc 3"/>
    <w:basedOn w:val="808"/>
    <w:next w:val="808"/>
    <w:uiPriority w:val="39"/>
    <w:unhideWhenUsed/>
    <w:pPr>
      <w:ind w:left="567" w:right="0" w:firstLine="0"/>
      <w:spacing w:after="57"/>
    </w:pPr>
  </w:style>
  <w:style w:type="paragraph" w:styleId="800">
    <w:name w:val="toc 4"/>
    <w:basedOn w:val="808"/>
    <w:next w:val="808"/>
    <w:uiPriority w:val="39"/>
    <w:unhideWhenUsed/>
    <w:pPr>
      <w:ind w:left="850" w:right="0" w:firstLine="0"/>
      <w:spacing w:after="57"/>
    </w:pPr>
  </w:style>
  <w:style w:type="paragraph" w:styleId="801">
    <w:name w:val="toc 5"/>
    <w:basedOn w:val="808"/>
    <w:next w:val="808"/>
    <w:uiPriority w:val="39"/>
    <w:unhideWhenUsed/>
    <w:pPr>
      <w:ind w:left="1134" w:right="0" w:firstLine="0"/>
      <w:spacing w:after="57"/>
    </w:pPr>
  </w:style>
  <w:style w:type="paragraph" w:styleId="802">
    <w:name w:val="toc 6"/>
    <w:basedOn w:val="808"/>
    <w:next w:val="808"/>
    <w:uiPriority w:val="39"/>
    <w:unhideWhenUsed/>
    <w:pPr>
      <w:ind w:left="1417" w:right="0" w:firstLine="0"/>
      <w:spacing w:after="57"/>
    </w:pPr>
  </w:style>
  <w:style w:type="paragraph" w:styleId="803">
    <w:name w:val="toc 7"/>
    <w:basedOn w:val="808"/>
    <w:next w:val="808"/>
    <w:uiPriority w:val="39"/>
    <w:unhideWhenUsed/>
    <w:pPr>
      <w:ind w:left="1701" w:right="0" w:firstLine="0"/>
      <w:spacing w:after="57"/>
    </w:pPr>
  </w:style>
  <w:style w:type="paragraph" w:styleId="804">
    <w:name w:val="toc 8"/>
    <w:basedOn w:val="808"/>
    <w:next w:val="808"/>
    <w:uiPriority w:val="39"/>
    <w:unhideWhenUsed/>
    <w:pPr>
      <w:ind w:left="1984" w:right="0" w:firstLine="0"/>
      <w:spacing w:after="57"/>
    </w:pPr>
  </w:style>
  <w:style w:type="paragraph" w:styleId="805">
    <w:name w:val="toc 9"/>
    <w:basedOn w:val="808"/>
    <w:next w:val="808"/>
    <w:uiPriority w:val="39"/>
    <w:unhideWhenUsed/>
    <w:pPr>
      <w:ind w:left="2268" w:right="0" w:firstLine="0"/>
      <w:spacing w:after="57"/>
    </w:pPr>
  </w:style>
  <w:style w:type="paragraph" w:styleId="806">
    <w:name w:val="TOC Heading"/>
    <w:uiPriority w:val="39"/>
    <w:unhideWhenUsed/>
  </w:style>
  <w:style w:type="paragraph" w:styleId="807">
    <w:name w:val="table of figures"/>
    <w:basedOn w:val="808"/>
    <w:next w:val="808"/>
    <w:uiPriority w:val="99"/>
    <w:unhideWhenUsed/>
    <w:pPr>
      <w:spacing w:after="0" w:afterAutospacing="0"/>
    </w:pPr>
  </w:style>
  <w:style w:type="paragraph" w:styleId="808" w:default="1">
    <w:name w:val="Normal"/>
    <w:uiPriority w:val="0"/>
    <w:qFormat/>
    <w:rPr>
      <w:rFonts w:asciiTheme="minorHAnsi" w:hAnsiTheme="minorHAnsi" w:eastAsiaTheme="minorEastAsia" w:cstheme="minorBidi"/>
      <w:sz w:val="21"/>
      <w:szCs w:val="22"/>
    </w:rPr>
  </w:style>
  <w:style w:type="paragraph" w:styleId="809">
    <w:name w:val="Heading 1"/>
    <w:uiPriority w:val="9"/>
    <w:qFormat/>
    <w:pPr>
      <w:keepLines/>
      <w:keepNext/>
      <w:spacing w:before="480" w:after="200"/>
      <w:outlineLvl w:val="0"/>
    </w:pPr>
    <w:rPr>
      <w:rFonts w:ascii="Arial" w:hAnsi="Arial" w:eastAsia="Arial" w:cs="Arial"/>
      <w:sz w:val="40"/>
      <w:szCs w:val="40"/>
    </w:rPr>
  </w:style>
  <w:style w:type="paragraph" w:styleId="810">
    <w:name w:val="Heading 2"/>
    <w:uiPriority w:val="9"/>
    <w:unhideWhenUsed/>
    <w:qFormat/>
    <w:pPr>
      <w:keepLines/>
      <w:keepNext/>
      <w:spacing w:before="360" w:after="200"/>
      <w:outlineLvl w:val="1"/>
    </w:pPr>
    <w:rPr>
      <w:rFonts w:ascii="Arial" w:hAnsi="Arial" w:eastAsia="Arial" w:cs="Arial"/>
      <w:sz w:val="34"/>
      <w:szCs w:val="22"/>
    </w:rPr>
  </w:style>
  <w:style w:type="character" w:styleId="811" w:default="1">
    <w:name w:val="Default Paragraph Font"/>
    <w:uiPriority w:val="0"/>
    <w:semiHidden/>
  </w:style>
  <w:style w:type="table" w:styleId="812" w:default="1">
    <w:name w:val="Normal Table"/>
    <w:uiPriority w:val="0"/>
    <w:semiHidden/>
    <w:tblPr>
      <w:tblCellMar>
        <w:left w:w="108" w:type="dxa"/>
        <w:top w:w="0" w:type="dxa"/>
        <w:right w:w="108" w:type="dxa"/>
        <w:bottom w:w="0" w:type="dxa"/>
      </w:tblCellMar>
    </w:tblPr>
  </w:style>
  <w:style w:type="paragraph" w:styleId="813">
    <w:name w:val="Body Text Indent"/>
    <w:basedOn w:val="808"/>
    <w:uiPriority w:val="0"/>
    <w:qFormat/>
    <w:pPr>
      <w:ind w:left="570"/>
      <w:spacing w:line="520" w:lineRule="exact"/>
    </w:pPr>
    <w:rPr>
      <w:rFonts w:ascii="方正仿宋简体" w:hAnsi="创艺简仿宋" w:eastAsia="方正仿宋简体"/>
      <w:sz w:val="24"/>
    </w:rPr>
  </w:style>
  <w:style w:type="table" w:styleId="81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5">
    <w:name w:val="Hyperlink"/>
    <w:uiPriority w:val="99"/>
    <w:unhideWhenUsed/>
    <w:qFormat/>
    <w:rPr>
      <w:color w:val="0026e5" w:themeColor="hyperlink"/>
      <w:u w:val="single"/>
      <w14:textFill>
        <w14:solidFill>
          <w14:schemeClr w14:val="hlink"/>
        </w14:solidFill>
      </w14:textFill>
    </w:rPr>
  </w:style>
  <w:style w:type="paragraph" w:styleId="816" w:customStyle="1">
    <w:name w:val="段"/>
    <w:next w:val="808"/>
    <w:uiPriority w:val="0"/>
    <w:qFormat/>
    <w:pPr>
      <w:ind w:firstLine="200"/>
      <w:jc w:val="both"/>
    </w:pPr>
    <w:rPr>
      <w:rFonts w:ascii="宋体" w:hAnsi="Times New Roman" w:eastAsia="Times New Roman" w:cs="Times New Roman"/>
      <w:sz w:val="21"/>
      <w:lang w:val="en-US" w:eastAsia="zh-CN" w:bidi="ar-SA"/>
    </w:rPr>
  </w:style>
  <w:style w:type="paragraph" w:styleId="817" w:customStyle="1">
    <w:name w:val="正文文本缩进12"/>
    <w:basedOn w:val="808"/>
    <w:next w:val="818"/>
    <w:uiPriority w:val="99"/>
    <w:qFormat/>
    <w:pPr>
      <w:ind w:firstLine="560"/>
      <w:jc w:val="left"/>
      <w:spacing w:line="300" w:lineRule="auto"/>
    </w:pPr>
    <w:rPr>
      <w:sz w:val="28"/>
    </w:rPr>
  </w:style>
  <w:style w:type="paragraph" w:styleId="818" w:customStyle="1">
    <w:name w:val="寄信人地址12"/>
    <w:basedOn w:val="808"/>
    <w:uiPriority w:val="0"/>
    <w:qFormat/>
    <w:rPr>
      <w:rFonts w:ascii="Arial" w:hAnsi="Arial"/>
    </w:rPr>
  </w:style>
  <w:style w:type="paragraph" w:styleId="819" w:customStyle="1">
    <w:name w:val="正文文本缩进111"/>
    <w:basedOn w:val="808"/>
    <w:next w:val="820"/>
    <w:uiPriority w:val="0"/>
    <w:qFormat/>
    <w:pPr>
      <w:ind w:left="570"/>
      <w:spacing w:line="520" w:lineRule="exact"/>
    </w:pPr>
    <w:rPr>
      <w:rFonts w:ascii="方正仿宋简体" w:hAnsi="创艺简仿宋" w:eastAsia="方正仿宋简体"/>
      <w:sz w:val="24"/>
    </w:rPr>
  </w:style>
  <w:style w:type="paragraph" w:styleId="820" w:customStyle="1">
    <w:name w:val="寄信人地址1"/>
    <w:basedOn w:val="808"/>
    <w:uiPriority w:val="99"/>
    <w:unhideWhenUsed/>
    <w:qFormat/>
    <w:rPr>
      <w:rFonts w:ascii="Cambria" w:hAnsi="Cambria"/>
    </w:rPr>
  </w:style>
  <w:style w:type="paragraph" w:styleId="821" w:customStyle="1">
    <w:name w:val="首行缩进"/>
    <w:basedOn w:val="808"/>
    <w:uiPriority w:val="0"/>
    <w:qFormat/>
    <w:pPr>
      <w:ind w:firstLine="480"/>
    </w:pPr>
    <w:rPr>
      <w:rFonts w:ascii="Times New Roman" w:hAnsi="Times New Roman" w:cs="Times New Roman"/>
      <w:lang w:val="zh-CN"/>
    </w:rPr>
  </w:style>
  <w:style w:type="numbering" w:styleId="82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王二小</dc:creator>
  <cp:lastModifiedBy>王雯婧 </cp:lastModifiedBy>
  <cp:revision>6</cp:revision>
  <dcterms:created xsi:type="dcterms:W3CDTF">2026-04-17T03:02:00Z</dcterms:created>
  <dcterms:modified xsi:type="dcterms:W3CDTF">2026-06-04T06:23:02Z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09DD8E7ACAA04CDCABE0732A83A784E1_13</vt:lpwstr>
  </property>
  <property fmtid="{D5CDD505-2E9C-101B-9397-08002B2CF9AE}" pid="4" name="KSOTemplateDocerSaveRecord">
    <vt:lpwstr>eyJoZGlkIjoiMDE1YmNlZGZkY2I4ZDU4NDMyMTkyMjI5YjIxYjc3YjQiLCJ1c2VySWQiOiI1ODIyNTUzOTkifQ==</vt:lpwstr>
  </property>
</Properties>
</file>