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南京市儿童医院康复业务管理系统</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lang w:val="en-US" w:eastAsia="zh-CN"/>
        </w:rPr>
      </w:r>
      <w:r/>
    </w:p>
    <w:p>
      <w:pPr>
        <w:pStyle w:val="867"/>
        <w:ind w:firstLine="1606"/>
        <w:jc w:val="left"/>
        <w:spacing w:before="120" w:after="120" w:line="360" w:lineRule="auto"/>
        <w:rPr>
          <w:color w:val="000000"/>
        </w:rPr>
      </w:pPr>
      <w:r>
        <w:rPr>
          <w:rFonts w:hint="eastAsia" w:ascii="Arial" w:hAnsi="Arial" w:eastAsia="宋体" w:cs="Times New Roman"/>
          <w:b/>
          <w:bCs/>
          <w:sz w:val="32"/>
          <w:szCs w:val="24"/>
          <w:lang w:eastAsia="zh-CN"/>
        </w:rPr>
        <w:t xml:space="preserve">项目编号</w:t>
      </w:r>
      <w:r>
        <w:rPr>
          <w:rFonts w:hint="eastAsia" w:ascii="Arial" w:hAnsi="Arial" w:eastAsia="宋体" w:cs="Times New Roman"/>
          <w:b/>
          <w:bCs/>
          <w:color w:val="000000"/>
          <w:sz w:val="32"/>
          <w:szCs w:val="24"/>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0130</w:t>
      </w:r>
      <w:r>
        <w:rPr>
          <w:color w:val="000000"/>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947"/>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6</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523127445"/>
      <w:r/>
      <w:bookmarkStart w:id="1" w:name="_Toc120614210"/>
      <w:r/>
      <w:bookmarkStart w:id="2" w:name="_Toc16938516"/>
      <w:r/>
      <w:bookmarkStart w:id="3" w:name="_Toc20823272"/>
      <w:r/>
      <w:bookmarkStart w:id="4" w:name="_Toc513029200"/>
      <w:r/>
      <w:bookmarkStart w:id="5" w:name="_Toc479757206"/>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t xml:space="preserve">第一章  磋商邀请</w:t>
      </w:r>
      <w:r>
        <w:rPr>
          <w:rFonts w:hint="eastAsia" w:ascii="Arial Unicode MS" w:hAnsi="Arial Unicode MS" w:eastAsia="Arial Unicode MS" w:cs="Arial Unicode MS"/>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南京市儿童医院委托，南京市公共资源交易中心（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）就南京市儿童医院康复业务管理系统进行</w:t>
      </w:r>
      <w:r>
        <w:rPr>
          <w:rFonts w:hint="eastAsia" w:ascii="宋体" w:hAnsi="宋体" w:eastAsia="宋体" w:cs="Times New Roman"/>
          <w:color w:val="000000"/>
          <w:sz w:val="24"/>
          <w:szCs w:val="24"/>
          <w:lang w:val="en-US" w:eastAsia="zh-CN"/>
        </w:rPr>
        <w:t xml:space="preserve">竞</w:t>
      </w:r>
      <w:r>
        <w:rPr>
          <w:rFonts w:hint="eastAsia" w:ascii="宋体" w:hAnsi="宋体" w:eastAsia="宋体" w:cs="Times New Roman"/>
          <w:sz w:val="24"/>
          <w:szCs w:val="24"/>
          <w:lang w:val="en-US" w:eastAsia="zh-CN"/>
        </w:rPr>
        <w:t xml:space="preserve">争性磋商采购，欢迎符合条件的供应商参加磋商。</w:t>
      </w:r>
      <w:r>
        <w:rPr>
          <w:rFonts w:hint="eastAsia" w:ascii="宋体" w:hAnsi="宋体" w:eastAsia="宋体" w:cs="Times New Roman"/>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rPr>
      </w:pPr>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-JZCG-C2026-0130</w:t>
      </w:r>
      <w:r>
        <w:rPr>
          <w:rFonts w:ascii="宋体" w:hAnsi="宋体"/>
          <w:color w:val="000000"/>
          <w:sz w:val="24"/>
          <w:szCs w:val="24"/>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南京市儿童医院康复业务管理系统</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60万元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szCs w:val="24"/>
          <w:highlight w:val="none"/>
          <w:lang w:val="en-US" w:eastAsia="zh-CN"/>
        </w:rPr>
        <w:t xml:space="preserve">60万元</w:t>
      </w:r>
      <w:r>
        <w:rPr>
          <w:rFonts w:hint="eastAsia" w:ascii="宋体" w:hAnsi="宋体" w:eastAsia="宋体" w:cs="宋体"/>
          <w:color w:val="000000"/>
          <w:sz w:val="24"/>
          <w:szCs w:val="24"/>
          <w:highlight w:val="yellow"/>
        </w:rPr>
      </w:r>
      <w:r/>
    </w:p>
    <w:p>
      <w:pPr>
        <w:pStyle w:val="867"/>
        <w:ind w:firstLine="480"/>
        <w:rPr>
          <w:rFonts w:ascii="宋体" w:hAnsi="宋体"/>
          <w:color w:val="000000"/>
          <w:sz w:val="24"/>
          <w:szCs w:val="24"/>
        </w:rPr>
      </w:pPr>
      <w:r>
        <w:rPr>
          <w:rFonts w:hint="eastAsia" w:ascii="宋体" w:hAnsi="宋体"/>
          <w:sz w:val="24"/>
          <w:szCs w:val="24"/>
        </w:rPr>
        <w:t xml:space="preserve">5.采购需求（简介）</w:t>
      </w:r>
      <w:r>
        <w:rPr>
          <w:rFonts w:hint="eastAsia" w:ascii="宋体" w:hAnsi="宋体"/>
          <w:color w:val="000000"/>
          <w:sz w:val="24"/>
          <w:szCs w:val="24"/>
        </w:rPr>
        <w:t xml:space="preserve">：</w:t>
      </w:r>
      <w:r>
        <w:rPr>
          <w:rFonts w:hint="eastAsia" w:ascii="宋体" w:hAnsi="宋体"/>
          <w:color w:val="000000"/>
          <w:sz w:val="24"/>
          <w:szCs w:val="24"/>
        </w:rPr>
        <w:t xml:space="preserve">为了加快南京市儿童医院康复信息化建设的进度，满足康复治疗临床发展需求、医院电子病历评级等要求，实现康复治疗业务无纸化办公、康复治疗与临床一体化管理，建设康复业务管理系统。</w:t>
      </w:r>
      <w:r>
        <w:rPr>
          <w:rFonts w:hint="eastAsia" w:ascii="宋体" w:hAnsi="宋体" w:cs="宋体"/>
          <w:color w:val="000000"/>
          <w:sz w:val="24"/>
          <w:szCs w:val="24"/>
        </w:rPr>
        <w:t xml:space="preserve">（详细内容见本磋商文件第四章） </w:t>
      </w:r>
      <w:r>
        <w:rPr>
          <w:rFonts w:ascii="宋体" w:hAnsi="宋体"/>
          <w:color w:val="000000"/>
          <w:sz w:val="24"/>
          <w:szCs w:val="24"/>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color w:val="000000"/>
          <w:sz w:val="24"/>
          <w:szCs w:val="24"/>
        </w:rPr>
        <w:t xml:space="preserve">6.合同履行期限：455天（系统开发及验收时间为合同签订后60天内</w:t>
      </w:r>
      <w:r>
        <w:rPr>
          <w:rFonts w:hint="eastAsia" w:ascii="宋体" w:hAnsi="宋体" w:cs="宋体"/>
          <w:color w:val="000000"/>
          <w:sz w:val="24"/>
          <w:szCs w:val="24"/>
        </w:rPr>
        <w:t xml:space="preserve">）</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s="Times New Roman"/>
          <w:color w:val="000000"/>
          <w:sz w:val="24"/>
          <w:szCs w:val="24"/>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年6</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29</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14</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w:t>
      </w:r>
      <w:r>
        <w:rPr>
          <w:rFonts w:hint="eastAsia" w:ascii="宋体" w:hAnsi="宋体" w:eastAsia="宋体" w:cs="宋体"/>
          <w:sz w:val="24"/>
          <w:szCs w:val="24"/>
          <w:highlight w:val="none"/>
          <w:lang w:val="en-US" w:eastAsia="zh-CN"/>
        </w:rPr>
        <w:t xml:space="preserve">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7"/>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采购人《质疑函》收件人：陈老师，收件地址：</w:t>
      </w:r>
      <w:r>
        <w:rPr>
          <w:rFonts w:hint="eastAsia" w:ascii="宋体" w:hAnsi="宋体" w:eastAsia="宋体" w:cs="Times New Roman"/>
          <w:color w:val="000000"/>
          <w:sz w:val="24"/>
          <w:szCs w:val="24"/>
          <w:u w:val="none"/>
          <w:lang w:val="en-US" w:eastAsia="zh-CN"/>
        </w:rPr>
        <w:t xml:space="preserve">南京市建邺区江东南路8号，</w:t>
      </w:r>
      <w:r>
        <w:rPr>
          <w:rFonts w:hint="eastAsia" w:ascii="宋体" w:hAnsi="宋体" w:eastAsia="宋体" w:cs="Times New Roman"/>
          <w:b w:val="0"/>
          <w:bCs w:val="0"/>
          <w:color w:val="000000"/>
          <w:sz w:val="24"/>
          <w:lang w:val="en-US" w:eastAsia="zh-CN"/>
        </w:rPr>
        <w:t xml:space="preserve">联系电话：</w:t>
      </w:r>
      <w:r>
        <w:rPr>
          <w:rFonts w:hint="eastAsia" w:ascii="宋体" w:hAnsi="宋体"/>
          <w:sz w:val="24"/>
          <w:szCs w:val="24"/>
          <w:highlight w:val="none"/>
        </w:rPr>
        <w:t xml:space="preserve">025-52862966</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南京市儿童医院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南京市鼓楼区广州路72号（广州路院区）；南京市建邺区江东南路8号（河西院区）</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sz w:val="24"/>
          <w:szCs w:val="24"/>
          <w:highlight w:val="none"/>
        </w:rPr>
        <w:t xml:space="preserve">025-52862966</w:t>
      </w:r>
      <w:r>
        <w:rPr>
          <w:rFonts w:hint="eastAsia" w:ascii="宋体" w:hAnsi="宋体" w:eastAsia="宋体" w:cs="Times New Roman"/>
          <w:color w:val="000000"/>
          <w:sz w:val="24"/>
          <w:szCs w:val="24"/>
          <w:u w:val="none"/>
          <w:lang w:val="en-US" w:eastAsia="zh-CN"/>
        </w:rPr>
        <w:t xml:space="preserve">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7"/>
        <w:ind w:right="0" w:firstLine="0"/>
        <w:jc w:val="center"/>
        <w:rPr>
          <w:rFonts w:hint="eastAsia" w:ascii="Arial Unicode MS" w:hAnsi="Arial Unicode MS" w:eastAsia="Arial Unicode MS" w:cs="Arial Unicode MS"/>
          <w:color w:val="000000"/>
          <w:sz w:val="36"/>
          <w:szCs w:val="36"/>
          <w:lang w:val="en-US" w:eastAsia="zh-CN"/>
        </w:rPr>
        <w:outlineLvl w:val="9"/>
      </w:pPr>
      <w:r>
        <w:rPr>
          <w:rFonts w:hint="eastAsia" w:ascii="Arial Unicode MS" w:hAnsi="Arial Unicode MS" w:eastAsia="Arial Unicode MS" w:cs="Arial Unicode MS"/>
          <w:color w:val="000000"/>
          <w:sz w:val="36"/>
          <w:szCs w:val="36"/>
          <w:lang w:val="en-US" w:eastAsia="zh-CN"/>
        </w:rPr>
        <w:br w:type="page" w:clear="all"/>
      </w:r>
      <w:r>
        <w:rPr>
          <w:rFonts w:hint="eastAsia" w:ascii="Arial Unicode MS" w:hAnsi="Arial Unicode MS" w:eastAsia="Arial Unicode MS" w:cs="Arial Unicode MS"/>
          <w:color w:val="000000"/>
          <w:sz w:val="36"/>
          <w:szCs w:val="36"/>
          <w:lang w:val="en-US" w:eastAsia="zh-CN"/>
        </w:rPr>
        <w:t xml:space="preserve">第二章  供应商须知</w:t>
      </w:r>
      <w:r>
        <w:rPr>
          <w:rFonts w:hint="eastAsia" w:ascii="Arial Unicode MS" w:hAnsi="Arial Unicode MS" w:eastAsia="Arial Unicode MS" w:cs="Arial Unicode MS"/>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513029203"/>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cs="Times New Roman"/>
          <w:color w:val="000000"/>
          <w:sz w:val="24"/>
          <w:szCs w:val="21"/>
          <w:lang w:val="en-US" w:eastAsia="zh-CN"/>
        </w:rPr>
        <w:t xml:space="preserve">报</w:t>
      </w:r>
      <w:r>
        <w:rPr>
          <w:rFonts w:hint="eastAsia" w:ascii="宋体" w:hAnsi="宋体" w:eastAsia="宋体" w:cs="Times New Roman"/>
          <w:color w:val="000000"/>
          <w:sz w:val="24"/>
          <w:szCs w:val="22"/>
          <w:lang w:val="en-US" w:eastAsia="zh-CN"/>
        </w:rPr>
        <w:t xml:space="preserve">价</w:t>
      </w:r>
      <w:r>
        <w:rPr>
          <w:rFonts w:hint="eastAsia" w:ascii="宋体" w:hAnsi="宋体" w:eastAsia="宋体" w:cs="Times New Roman"/>
          <w:color w:val="000000"/>
          <w:sz w:val="24"/>
          <w:szCs w:val="22"/>
          <w:lang w:val="zh-CN"/>
        </w:rPr>
        <w:t xml:space="preserve">平均值50%的，即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br w:type="page" w:clear="all"/>
      </w:r>
      <w:r>
        <w:rPr>
          <w:rFonts w:hint="eastAsia" w:ascii="Arial Unicode MS" w:hAnsi="Arial Unicode MS" w:eastAsia="Arial Unicode MS" w:cs="Arial Unicode MS"/>
          <w:color w:val="000000"/>
          <w:sz w:val="36"/>
          <w:szCs w:val="36"/>
          <w:lang w:val="en-US" w:eastAsia="zh-CN"/>
        </w:rPr>
        <w:t xml:space="preserve">第三章  合同文本</w:t>
      </w:r>
      <w:r>
        <w:rPr>
          <w:rFonts w:hint="eastAsia" w:ascii="Arial Unicode MS" w:hAnsi="Arial Unicode MS" w:eastAsia="Arial Unicode MS" w:cs="Arial Unicode MS"/>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7"/>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lang w:eastAsia="zh-CN"/>
        </w:rPr>
        <w:t xml:space="preserve">南京市</w:t>
      </w:r>
      <w:r>
        <w:rPr>
          <w:rFonts w:hint="eastAsia" w:ascii="Arial Unicode MS" w:hAnsi="Arial Unicode MS" w:eastAsia="Arial Unicode MS" w:cs="Arial Unicode MS"/>
          <w:b w:val="0"/>
          <w:bCs/>
          <w:color w:val="000000"/>
          <w:sz w:val="32"/>
          <w:szCs w:val="32"/>
        </w:rPr>
        <w:t xml:space="preserve">政府采购合同（服务）</w:t>
      </w:r>
      <w:r>
        <w:rPr>
          <w:rFonts w:hint="eastAsia" w:ascii="Arial Unicode MS" w:hAnsi="Arial Unicode MS" w:eastAsia="Arial Unicode MS" w:cs="Arial Unicode MS"/>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lang w:val="en-US" w:eastAsia="zh-CN" w:bidi="ar-SA"/>
        </w:rPr>
        <w:t xml:space="preserve"> 合同签订且服务团队人员到位后，甲方支付合同总价款的10%作为预付款。</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8.1.2 系统开发完成并初验合格，乙方出具相关上线报告并经甲方确认后，甲方支付合同总价款的80%。</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8.1.3系统终验合格，乙方出具终验报告并经甲方确认后，甲方支付合同总价款的10%。</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bidi="ar-SA"/>
        </w:rPr>
        <w:t xml:space="preserve">8.1.4 满足合同约定支付条件的，</w:t>
      </w:r>
      <w:r>
        <w:rPr>
          <w:rFonts w:hint="eastAsia" w:ascii="宋体" w:hAnsi="宋体" w:eastAsia="宋体" w:cs="Courier New"/>
          <w:sz w:val="24"/>
          <w:szCs w:val="24"/>
          <w:lang w:val="en-US" w:eastAsia="zh-CN"/>
        </w:rPr>
        <w:t xml:space="preserve">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67"/>
        <w:rPr>
          <w:rFonts w:ascii="宋体" w:hAnsi="宋体" w:cs="Courier New"/>
          <w:color w:val="000000"/>
          <w:sz w:val="24"/>
          <w:szCs w:val="24"/>
        </w:rPr>
      </w:pPr>
      <w:r>
        <w:rPr>
          <w:rFonts w:ascii="宋体" w:hAnsi="宋体" w:cs="Courier New"/>
          <w:color w:val="000000"/>
          <w:sz w:val="24"/>
          <w:szCs w:val="24"/>
          <w:u w:val="single"/>
        </w:rPr>
        <w:t xml:space="preserve">百分之五</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ascii="宋体" w:hAnsi="宋体" w:cs="Courier New"/>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color w:val="000000"/>
          <w:sz w:val="24"/>
          <w:szCs w:val="24"/>
          <w:u w:val="single"/>
        </w:rPr>
        <w:t xml:space="preserve">百分之五</w:t>
      </w:r>
      <w:r>
        <w:rPr>
          <w:rFonts w:ascii="宋体" w:hAnsi="宋体" w:cs="宋体"/>
          <w:sz w:val="24"/>
          <w:szCs w:val="24"/>
        </w:rPr>
        <w:t xml:space="preserve">。</w:t>
      </w:r>
      <w:r>
        <w:rPr>
          <w:rFonts w:hint="eastAsia" w:ascii="宋体" w:hAnsi="宋体" w:cs="Courier New"/>
          <w:color w:val="000000"/>
          <w:sz w:val="24"/>
          <w:szCs w:val="24"/>
        </w:rPr>
      </w:r>
      <w:r/>
    </w:p>
    <w:p>
      <w:pPr>
        <w:pStyle w:val="867"/>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ascii="宋体" w:hAnsi="宋体" w:cs="Courier New"/>
          <w:sz w:val="24"/>
          <w:szCs w:val="24"/>
          <w:u w:val="single"/>
        </w:rPr>
        <w:t xml:space="preserve">万分之五</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bookmarkEnd w:id="0"/>
      <w:r/>
      <w:bookmarkEnd w:id="1"/>
      <w:r/>
      <w:bookmarkEnd w:id="2"/>
      <w:r/>
      <w:bookmarkEnd w:id="3"/>
      <w:r/>
      <w:bookmarkEnd w:id="4"/>
      <w:r/>
      <w:bookmarkEnd w:id="5"/>
      <w:r/>
      <w:bookmarkStart w:id="13" w:name="_Toc20823346"/>
      <w:r/>
      <w:bookmarkStart w:id="14" w:name="_Hlt16619350"/>
      <w:r/>
      <w:bookmarkStart w:id="15" w:name="_Toc16938590"/>
      <w:r/>
      <w:bookmarkStart w:id="16" w:name="_Toc120614244"/>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Arial Unicode MS" w:hAnsi="Arial Unicode MS" w:eastAsia="Arial Unicode MS" w:cs="Arial Unicode MS"/>
          <w:color w:val="000000"/>
          <w:sz w:val="36"/>
          <w:szCs w:val="36"/>
          <w:lang w:val="en-US" w:eastAsia="zh-CN" w:bidi="ar-SA"/>
        </w:rPr>
        <w:t xml:space="preserve">第四章  采购需求</w:t>
      </w:r>
      <w:r>
        <w:rPr>
          <w:rFonts w:hint="eastAsia" w:ascii="Arial Unicode MS" w:hAnsi="Arial Unicode MS" w:eastAsia="Arial Unicode MS" w:cs="Arial Unicode MS"/>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2025年国家卫健委发布《智慧医疗分级评价</w:t>
      </w:r>
      <w:r>
        <w:rPr>
          <w:rFonts w:hint="eastAsia" w:ascii="宋体" w:hAnsi="宋体"/>
          <w:color w:val="000000"/>
          <w:sz w:val="24"/>
          <w:szCs w:val="24"/>
        </w:rPr>
        <w:t xml:space="preserve">方法及标准（2025版）》（替代原电子病历分级标准），明确要求二级以上医院需达到电子病历应用水平四级及以上、互联互通标准化成熟度四级甲等及以上，并新增AI辅助决策、国产化替代（OFD格式应用）、数据安全等强制性指标。为落实《智慧医疗分级评价方法及标准（2025版）》，推动南京市儿童医院从“基础信息化”向“智能决策”转型，本项目旨在改善现状痛点，提升医疗质量。包括解决数据孤岛，打破数据碎片化，提升标准化；提高闭环执行率提高医疗安全和改善效率短板；加强环节质控，提高质控低效化。加强医疗安全，解决安全薄弱化现状。</w:t>
      </w:r>
      <w:r>
        <w:rPr>
          <w:rFonts w:hint="eastAsia" w:ascii="宋体" w:hAnsi="宋体"/>
          <w:color w:val="000000"/>
          <w:sz w:val="24"/>
          <w:szCs w:val="24"/>
        </w:rPr>
      </w:r>
      <w:r/>
    </w:p>
    <w:p>
      <w:pPr>
        <w:pStyle w:val="867"/>
        <w:ind w:firstLine="480"/>
        <w:spacing w:line="264" w:lineRule="auto"/>
        <w:rPr>
          <w:rFonts w:ascii="宋体" w:hAnsi="宋体"/>
          <w:color w:val="000000"/>
          <w:sz w:val="24"/>
          <w:szCs w:val="24"/>
        </w:rPr>
      </w:pPr>
      <w:r>
        <w:rPr>
          <w:rFonts w:hint="eastAsia" w:ascii="宋体" w:hAnsi="宋体"/>
          <w:color w:val="000000"/>
          <w:sz w:val="24"/>
          <w:szCs w:val="24"/>
        </w:rPr>
        <w:t xml:space="preserve">为了加快南京市儿童医院康复信息化建设的进度，满足康复治疗临床发展需求、医院电子病历评级等要求，实现康复治疗业务无纸化办公、康复治疗与临床一体化管理，拟建设康复业务管理系统。旨在为康复治疗业务建立起一套完整的、基于ICF标准规范的一体化闭环康复治疗流程管理体系，对康复治疗流程进行全过程监控跟踪，提高管理效率、管理能力及康复治疗安全，提升康复治疗效率从而增加经济效益，提升患者满意度和服务水平，快速提升康复科室的综合建设水平。</w:t>
      </w:r>
      <w:r>
        <w:rPr>
          <w:rFonts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6"/>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9"/>
        <w:gridCol w:w="756"/>
        <w:gridCol w:w="718"/>
        <w:gridCol w:w="1055"/>
        <w:gridCol w:w="1067"/>
        <w:gridCol w:w="1327"/>
        <w:gridCol w:w="1180"/>
        <w:gridCol w:w="1050"/>
      </w:tblGrid>
      <w:tr>
        <w:trPr>
          <w:trHeight w:val="470"/>
        </w:trPr>
        <w:tc>
          <w:tcPr>
            <w:tcW w:w="5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35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7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71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05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132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11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属性</w:t>
            </w:r>
            <w:r>
              <w:rPr>
                <w:rFonts w:hint="eastAsia" w:ascii="宋体" w:hAnsi="宋体" w:eastAsia="宋体" w:cs="Times New Roman"/>
                <w:color w:val="000000"/>
                <w:sz w:val="24"/>
                <w:szCs w:val="24"/>
                <w:lang w:val="en-US" w:eastAsia="zh-CN"/>
              </w:rPr>
            </w:r>
            <w:r/>
          </w:p>
        </w:tc>
        <w:tc>
          <w:tcPr>
            <w:tcW w:w="10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备注</w:t>
            </w:r>
            <w:r>
              <w:rPr>
                <w:rFonts w:hint="eastAsia" w:ascii="宋体" w:hAnsi="宋体" w:eastAsia="宋体" w:cs="Times New Roman"/>
                <w:color w:val="000000"/>
                <w:sz w:val="24"/>
                <w:szCs w:val="24"/>
                <w:lang w:val="en-US" w:eastAsia="zh-CN"/>
              </w:rPr>
            </w:r>
            <w:r/>
          </w:p>
        </w:tc>
      </w:tr>
      <w:tr>
        <w:trPr>
          <w:trHeight w:val="597"/>
        </w:trPr>
        <w:tc>
          <w:tcPr>
            <w:tcW w:w="5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359"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康复业务管理系统</w:t>
            </w:r>
            <w:r>
              <w:rPr>
                <w:rFonts w:hint="eastAsia" w:ascii="宋体" w:hAnsi="宋体" w:eastAsia="宋体" w:cs="Times New Roman"/>
                <w:bCs/>
                <w:color w:val="000000"/>
                <w:sz w:val="24"/>
                <w:szCs w:val="24"/>
              </w:rPr>
            </w:r>
            <w:r/>
          </w:p>
        </w:tc>
        <w:tc>
          <w:tcPr>
            <w:tcW w:w="7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71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w:t>
            </w:r>
            <w:r>
              <w:rPr>
                <w:rFonts w:hint="eastAsia" w:ascii="宋体" w:hAnsi="宋体" w:eastAsia="宋体" w:cs="Times New Roman"/>
                <w:bCs/>
                <w:color w:val="000000"/>
                <w:sz w:val="24"/>
                <w:szCs w:val="24"/>
                <w:lang w:val="en-US" w:eastAsia="zh-CN"/>
              </w:rPr>
            </w:r>
            <w:r/>
          </w:p>
        </w:tc>
        <w:tc>
          <w:tcPr>
            <w:tcW w:w="105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rPr>
            </w:r>
            <w:r/>
          </w:p>
        </w:tc>
        <w:tc>
          <w:tcPr>
            <w:tcW w:w="106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32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rPr>
            </w:r>
            <w:r/>
          </w:p>
        </w:tc>
        <w:tc>
          <w:tcPr>
            <w:tcW w:w="118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Times New Roman"/>
                <w:bCs/>
                <w:color w:val="000000"/>
                <w:sz w:val="24"/>
                <w:szCs w:val="24"/>
                <w:lang w:eastAsia="zh-CN"/>
              </w:rPr>
            </w:r>
            <w:r/>
          </w:p>
        </w:tc>
        <w:tc>
          <w:tcPr>
            <w:tcW w:w="1050" w:type="dxa"/>
            <w:vAlign w:val="center"/>
            <w:textDirection w:val="lrTb"/>
            <w:noWrap w:val="false"/>
          </w:tcPr>
          <w:p>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40"/>
        <w:tblW w:w="10488"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504"/>
      </w:tblGrid>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模块分类</w:t>
            </w:r>
            <w:r>
              <w:rPr>
                <w:rFonts w:hint="eastAsia" w:ascii="宋体" w:hAnsi="宋体" w:eastAsia="宋体" w:cs="Times New Roman"/>
                <w:b/>
                <w:bCs w:val="0"/>
                <w:color w:val="000000"/>
                <w:sz w:val="24"/>
                <w:szCs w:val="24"/>
                <w:highlight w:val="none"/>
              </w:rPr>
            </w:r>
            <w:r/>
          </w:p>
        </w:tc>
        <w:tc>
          <w:tcPr>
            <w:tcW w:w="127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序号</w:t>
            </w:r>
            <w:r>
              <w:rPr>
                <w:rFonts w:hint="eastAsia" w:ascii="宋体" w:hAnsi="宋体" w:eastAsia="宋体" w:cs="Times New Roman"/>
                <w:b/>
                <w:bCs w:val="0"/>
                <w:color w:val="000000"/>
                <w:sz w:val="24"/>
                <w:szCs w:val="24"/>
                <w:highlight w:val="none"/>
              </w:rPr>
            </w:r>
            <w:r/>
          </w:p>
        </w:tc>
        <w:tc>
          <w:tcPr>
            <w:tcW w:w="8504"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rPr>
              <w:t xml:space="preserve">技术参数</w:t>
            </w:r>
            <w:r>
              <w:rPr>
                <w:rFonts w:hint="eastAsia" w:ascii="宋体" w:hAnsi="宋体" w:eastAsia="宋体" w:cs="Times New Roman"/>
                <w:b/>
                <w:bCs w:val="0"/>
                <w:color w:val="000000"/>
                <w:sz w:val="24"/>
                <w:szCs w:val="24"/>
                <w:highlight w:val="none"/>
                <w:lang w:val="en-US" w:eastAsia="zh-CN"/>
              </w:rPr>
              <w:t xml:space="preserve">不低于以下要求</w:t>
            </w:r>
            <w:r>
              <w:rPr>
                <w:rFonts w:ascii="宋体" w:hAnsi="宋体" w:eastAsia="宋体" w:cs="Times New Roman"/>
                <w:b/>
                <w:bCs w:val="0"/>
                <w:color w:val="000000"/>
                <w:sz w:val="24"/>
                <w:szCs w:val="24"/>
                <w:highlight w:val="none"/>
                <w:lang w:val="en-US" w:eastAsia="zh-CN"/>
              </w:rPr>
            </w:r>
            <w:r/>
          </w:p>
        </w:tc>
      </w:tr>
      <w:tr>
        <w:trPr>
          <w:trHeight w:val="90"/>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系统建设总要求</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ascii="宋体" w:hAnsi="宋体" w:cs="宋体"/>
                <w:highlight w:val="none"/>
              </w:rPr>
              <w:t xml:space="preserve">★</w:t>
            </w:r>
            <w:r>
              <w:rPr>
                <w:rFonts w:hint="eastAsia" w:ascii="宋体" w:hAnsi="宋体"/>
                <w:bCs/>
                <w:sz w:val="24"/>
                <w:szCs w:val="24"/>
                <w:highlight w:val="none"/>
              </w:rPr>
              <w:t xml:space="preserve">1.1满足电子病历六级评级标准，承担合规条款对应的实施与保障义务；提供康复核心业务接口，包含电子病历过级所需业务接口与数据接口，支持第三方系统对接与数据共享；采用B/S架构，支持跨平台浏览器访问，兼容国产操作系统与国产主流数据库；基于医院统一集成平台（ESB/API 网关）开发，提供 HL7 FHIR 或 Web Service 标准接口，实现与HIS、EMR、LIS、PACS、CA等核心系统深度集成，确保患者信息、临床医嘱、检查检验结果实时同步调阅；</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▲1.2康复医嘱与治疗操作之间存在多重对应关系，要求提供根据医院规则将医生开具的康复医嘱匹配为治疗项目及治疗操作的功能，明确阐述针对于康复治疗场景的信息化解决方案。</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康复患者管理模块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2.1支持按不同的分类将患者进行区分，并以卡片形式或列表形式进行罗列；支持以不同的关注点对患者信息进行展示，如治疗日程、出入院时间等；支持以患者为中心展示康复治疗项目安排情况；</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2.2支持以患者角度进行相关的治疗提醒，如患者出入院、周转、医嘱缺失及变更等；支持根据关键字、姓名、病历号、科室等模糊搜索患者信息；</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2.3支持患者查房：在患者查房前期，实现新建查房记录、安排查房顺序、打印查房安排表、维护查房信息、调阅患者基本信息及治疗信息；在患者查房后期管理，实现查房记录留档等功能； 支持查看全部历史康复患者康复档案；</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2.4支持患者负责人调整，负责人包括主要负责人、每个治疗组负责人和首诊治疗师、管床治疗师等。</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康复医嘱管理模块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3.1支持快速查看医嘱变更及快速匹配康复医嘱与治疗项目；具备医嘱提醒功能：医嘱缺失和变更提醒、医嘱与项目比对提醒、患者出入院医嘱提醒； </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3.2</w:t>
            </w:r>
            <w:r>
              <w:rPr>
                <w:rFonts w:ascii="宋体" w:hAnsi="宋体"/>
                <w:bCs/>
                <w:sz w:val="24"/>
                <w:szCs w:val="24"/>
                <w:highlight w:val="none"/>
              </w:rPr>
              <w:t xml:space="preserve">支持对接HIS医嘱后直接在患者主页完成对治疗医嘱的快捷安排，可以自动区分治疗长嘱与治疗临嘱，支持治疗项目关联治疗操作技术</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3.3支持查询单个患者的长嘱、临嘱，支持汇总所有患者的医嘱使用情况； 支持展示医嘱历史使用详情，使用详情包括被执行人和对应日程。 </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康复评定管理模块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4.1支持常用评定量表电子化录入，</w:t>
            </w:r>
            <w:r>
              <w:rPr>
                <w:rFonts w:ascii="宋体" w:hAnsi="宋体"/>
                <w:bCs/>
                <w:sz w:val="24"/>
                <w:szCs w:val="24"/>
                <w:highlight w:val="none"/>
              </w:rPr>
              <w:t xml:space="preserve">提供不少于</w:t>
            </w:r>
            <w:r>
              <w:rPr>
                <w:rFonts w:hint="eastAsia" w:ascii="宋体" w:hAnsi="宋体"/>
                <w:bCs/>
                <w:sz w:val="24"/>
                <w:szCs w:val="24"/>
                <w:highlight w:val="none"/>
              </w:rPr>
              <w:t xml:space="preserve">3</w:t>
            </w:r>
            <w:r>
              <w:rPr>
                <w:rFonts w:ascii="宋体" w:hAnsi="宋体"/>
                <w:bCs/>
                <w:sz w:val="24"/>
                <w:szCs w:val="24"/>
                <w:highlight w:val="none"/>
              </w:rPr>
              <w:t xml:space="preserve">00张康复常用评估量表，量表支持根据病种（脊髓损伤/脑外伤/脑卒中...）、康复亚专业（PT/OT/ST/...）等分类展示</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▲4.2 ADL智能化评估：系统可测算出ADL每一个条目难度值，评估后可计算出患者能力值，患者能力值与条目难度值根据康复治疗原则相互匹配，可实现阶梯式康复方案的制订；</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4.3评定过程中支持根据权限范围进行项目的增加、编辑和删除功能；支持量表评估界面显示进度栏，避免遗漏评估项目功能；支持评估过程中上传相关图片、视频等多媒体附件；</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4.4量表自动记录评估人信息、评估时间，同时支持更改评估日期；量表自动生成评估结果，如涉及评分的量表则自动生成总分；</w:t>
            </w:r>
            <w:r>
              <w:rPr>
                <w:rFonts w:ascii="宋体" w:hAnsi="宋体"/>
                <w:bCs/>
                <w:sz w:val="24"/>
                <w:szCs w:val="24"/>
                <w:highlight w:val="none"/>
              </w:rPr>
              <w:t xml:space="preserve">支持自动汇总评估总分和评估结果，评估结果文本支持“简要文本”、“普通文本”、“详细文本”切换</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4.5支持对评估过的内容进行修改、重置评估以及引用上次评估内容；保存历史所有评估记录，支持按患者、评估人、评估时间、病种等多角度查询评估记录；</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4.6</w:t>
            </w:r>
            <w:r>
              <w:rPr>
                <w:rFonts w:ascii="宋体" w:hAnsi="宋体"/>
                <w:bCs/>
                <w:sz w:val="24"/>
                <w:szCs w:val="24"/>
                <w:highlight w:val="none"/>
              </w:rPr>
              <w:t xml:space="preserve">支持开启多阶段康复评估，同一疗程多阶段评定结果支持进行对比分析，并可将对比分析结果进行导出、打印（在同一张表进行展示）</w:t>
            </w:r>
            <w:r>
              <w:rPr>
                <w:rFonts w:hint="eastAsia" w:ascii="宋体" w:hAnsi="宋体"/>
                <w:bCs/>
                <w:sz w:val="24"/>
                <w:szCs w:val="24"/>
                <w:highlight w:val="none"/>
              </w:rPr>
              <w:t xml:space="preserve">；支持对接CA签名功能进行评定报告的审核归档。</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治疗排班管理模块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▲5.1治疗排班模式支持：①分别根据治疗师、患者、治疗设备等多角度进行治疗安排，支持三方时间进行自动冲突检测</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②根据治疗室、治疗项目、项目频次、项目时间等多维度进行排班</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③患者排程自动关联时间点、治疗室、治疗师等信息</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④系统统筹安排，实现手工作业与器械操作合理组合，区分手工与非手工操作，并有相关标注显示</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⑤对接HIS有备注的医嘱同步到治疗说明</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⑥支持自定义添加个人快捷语模板用于治疗说明、治疗记录等内容</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⑦</w:t>
            </w:r>
            <w:r>
              <w:rPr>
                <w:rFonts w:ascii="宋体" w:hAnsi="宋体"/>
                <w:bCs/>
                <w:sz w:val="24"/>
                <w:szCs w:val="24"/>
                <w:highlight w:val="none"/>
              </w:rPr>
              <w:t xml:space="preserve">根据提前规定的不做治疗日期，支持智能跳过并自动生成后续连续日程，无需每日重复安排</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5.2可以在添加日程界面按照30分钟为一个最小时间片段按时间先后顺序展示，在空闲的时间片段可编辑患者的日程信息；预先根据需求设置治疗项目的时间，精准管理治疗时长，排程时自动占用时间段；</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5.3可以进入鹰眼模式查看日程，鹰眼模式下通过选中内容自动添加过滤条件；支持简化排程模式，可实现：患者排程只区分上下午、患者排程具体到时间点；</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5.4根据排程结果生成每日工作任务列表，提供待办任务提示，可按多种方式进行展示治疗，支持：时间顺序、患者顺序、治疗项目顺序；支持筛选出有治疗长嘱但是未安排日程的清单；</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5.5支持治疗师长等管理账号统一给所有治疗师以及实习生排程；治疗安排结果支持打印清单功能，治疗通知单显示患者信息、治疗师、治疗室、治疗项目、治疗时间安排等信息。</w:t>
            </w:r>
            <w:r>
              <w:rPr>
                <w:rFonts w:hint="eastAsia" w:ascii="宋体" w:hAnsi="宋体" w:eastAsia="宋体" w:cs="Times New Roman"/>
                <w:bCs/>
                <w:sz w:val="24"/>
                <w:szCs w:val="24"/>
                <w:highlight w:val="none"/>
                <w:lang w:val="en-US" w:eastAsia="zh-CN" w:bidi="ar-SA"/>
              </w:rPr>
            </w:r>
            <w:r/>
          </w:p>
        </w:tc>
      </w:tr>
      <w:tr>
        <w:trPr>
          <w:trHeight w:val="893"/>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治疗交接管理模块</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6.1节假日值班或请假，治疗师可以将当天的治疗项目交接给其他治疗师；交接病人时，支持将该患者后续所有治疗项目永久移交；</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6.2支持多种移交模式选择，包括按目标人、目标组或治疗师与治疗组分离模式；支持移交时双击选择同类项，方便同类项目快速移交；支持时间范围内撤销移交记录。</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治疗执行管理模块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7.1治疗执行支持多种情况，包括：若无特殊情况，同步治疗说明作为治疗记录，同时执行时可修改维护治疗记录、支持轮组和同组以及值班等多种治疗执行场景、支持对治疗日程拆分，实现多人平分同一项治疗；</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7.2支持对治疗项目进行批量执行、执行结果按不同颜色进行区分，便于快速识别；针对执行过的任务可进行执行状态的修改、执行前可根据实际情况调整治疗项目、治疗时间、执行人等情况；</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7.3支持轮组和同组以及值班等多种情况治疗执行方式的不同；支持对治疗日程拆分，实现多人平分同一项治疗；支持自动生成多模板的患者签字单，可供打印实现治疗师患者双向确认；</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7.4可以实现治疗结束的备注信息，后续治疗的去向选择(结束治疗、转到本科室、转到其它科室)；针对已做或未做治疗的情况进行备注，均可自动生成相关治疗记录，进行调阅分析；</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7.5</w:t>
            </w:r>
            <w:r>
              <w:rPr>
                <w:rFonts w:ascii="宋体" w:hAnsi="宋体"/>
                <w:bCs/>
                <w:sz w:val="24"/>
                <w:szCs w:val="24"/>
                <w:highlight w:val="none"/>
              </w:rPr>
              <w:t xml:space="preserve">支持通过移动端（手机或PDA等终端）快速完成康复治疗项目的实时确认</w:t>
            </w:r>
            <w:r>
              <w:rPr>
                <w:rFonts w:hint="eastAsia" w:ascii="宋体" w:hAnsi="宋体"/>
                <w:bCs/>
                <w:sz w:val="24"/>
                <w:szCs w:val="24"/>
                <w:highlight w:val="none"/>
              </w:rPr>
              <w:t xml:space="preserve">；支持切换数据源，实现：①支持同治疗组执行本组的治疗任务、②支持实习生执行分配的治疗任务。</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治疗费用管理模块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8.1康复系统支持与HIS进行收费对接，完成住院患者治疗计费、退费等功能；</w:t>
            </w:r>
            <w:r>
              <w:rPr>
                <w:rFonts w:ascii="宋体" w:hAnsi="宋体"/>
                <w:bCs/>
                <w:sz w:val="24"/>
                <w:szCs w:val="24"/>
                <w:highlight w:val="none"/>
              </w:rPr>
              <w:t xml:space="preserve">根据实时确认的结果，支持在系统中执行费用</w:t>
            </w:r>
            <w:r>
              <w:rPr>
                <w:rFonts w:hint="eastAsia" w:ascii="宋体" w:hAnsi="宋体"/>
                <w:bCs/>
                <w:sz w:val="24"/>
                <w:szCs w:val="24"/>
                <w:highlight w:val="none"/>
              </w:rPr>
              <w:t xml:space="preserve">，支持实时查看全院治疗执行情况及收费情况功能；</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8.2提供今日收费对账单功能，显示具体医嘱及费用信息；支持查询未做治疗清单、退费加费清单供用户查看并做出相应调整；</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8.3支持根据科室、治疗师、患者角度进行费用追踪查询；支持根据筛选日期进行收费项目的推送数据查询；</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▲8.4支持实时费用监控功能：支持核对收费信息推送的成功列表及失败列表，并附加失败原因用于溯源；</w:t>
            </w:r>
            <w:r>
              <w:rPr>
                <w:rFonts w:hint="eastAsia" w:ascii="宋体" w:hAnsi="宋体"/>
                <w:bCs/>
                <w:sz w:val="24"/>
                <w:szCs w:val="24"/>
                <w:highlight w:val="none"/>
              </w:rPr>
            </w:r>
            <w:r/>
          </w:p>
          <w:p>
            <w:pPr>
              <w:pStyle w:val="867"/>
              <w:jc w:val="left"/>
              <w:spacing w:line="264" w:lineRule="auto"/>
              <w:rPr>
                <w:rFonts w:ascii="宋体" w:hAnsi="宋体"/>
                <w:bCs/>
                <w:sz w:val="24"/>
                <w:szCs w:val="24"/>
                <w:highlight w:val="none"/>
              </w:rPr>
            </w:pPr>
            <w:r>
              <w:rPr>
                <w:rFonts w:hint="eastAsia" w:ascii="宋体" w:hAnsi="宋体"/>
                <w:bCs/>
                <w:sz w:val="24"/>
                <w:szCs w:val="24"/>
                <w:highlight w:val="none"/>
              </w:rPr>
              <w:t xml:space="preserve">8.5特殊模式支持：支持提前核算&amp;使用执行计划、支持紧急出院等特殊情况特殊处理模式；</w:t>
            </w:r>
            <w:r>
              <w:rPr>
                <w:rFonts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8.6支持对医嘱进行退费操作，退费操作弹出对话框展示“退费次数”和“退费备注”。</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9</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康复电子文书模块</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▲9.1支持自动生成结构化治疗记录，并转为符合医保规范的康复电子文书；</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9.2康复电子文书格式可自由选择，康复电子文书供导出、打印；支持按专业、治疗组分类生成康复记录文书，可打印；治疗记录按不同小组、不同康复阶段进行区分并保存；</w:t>
            </w:r>
            <w:r>
              <w:rPr>
                <w:rFonts w:hint="eastAsia" w:ascii="宋体" w:hAnsi="宋体"/>
                <w:bCs/>
                <w:sz w:val="24"/>
                <w:szCs w:val="24"/>
                <w:highlight w:val="none"/>
              </w:rPr>
            </w:r>
            <w:r/>
          </w:p>
          <w:p>
            <w:pPr>
              <w:pStyle w:val="867"/>
              <w:jc w:val="left"/>
              <w:spacing w:line="264" w:lineRule="auto"/>
              <w:rPr>
                <w:rFonts w:ascii="宋体" w:hAnsi="宋体"/>
                <w:bCs/>
                <w:sz w:val="24"/>
                <w:szCs w:val="24"/>
                <w:highlight w:val="none"/>
              </w:rPr>
            </w:pPr>
            <w:r>
              <w:rPr>
                <w:rFonts w:hint="eastAsia" w:ascii="宋体" w:hAnsi="宋体"/>
                <w:bCs/>
                <w:sz w:val="24"/>
                <w:szCs w:val="24"/>
                <w:highlight w:val="none"/>
              </w:rPr>
              <w:t xml:space="preserve">9.3支持治疗记录文书的审核签名归档功能，支持对接CA；</w:t>
            </w:r>
            <w:r>
              <w:rPr>
                <w:rFonts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9.4支持维护自定义快捷语治疗记录数据库（个人快捷语库）。</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10</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门诊治疗管理模块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10.1有门诊治疗管理专业子系统，统一管理康复科门诊治疗患者；支持与HIS进行数据对接，实时同步门诊康复治疗医嘱与康复评定医嘱；</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10.2支持治疗师给门诊患者预约治疗时间；支持查看预约时间及预约治疗量安排；支持门诊治疗随到随治的患者直接使用临嘱且可溯源操作记录；</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10.3支持将医嘱自动匹配为治疗项目以及自动导入一对一匹配的门诊临嘱；10.4治疗安排打印清单功能，治疗通知单显示患者信息、治疗师、治疗室、治疗项目、治疗时间安排等信息。</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他科治疗管理模块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11.1有其他科室会诊管理专业子系统，统一管理全院需要康复治疗的患者；与HIS进行数据对接，实时同步患者康复治疗医嘱与康复评定医嘱；</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11.2支持快速导入患者并进行患者的分配；支持患者直接使用医嘱；支持患者医嘱批量处理；</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11.3支持对患者治疗进行日程安排；支持根据患者出院医嘱及时提醒康复科。</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康复设备管理模块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12.1有设备管理专业子系统，统一管理康复科全部治疗设备；</w:t>
            </w:r>
            <w:r>
              <w:rPr>
                <w:rFonts w:hint="eastAsia" w:ascii="宋体" w:hAnsi="宋体"/>
                <w:bCs/>
                <w:sz w:val="24"/>
                <w:szCs w:val="24"/>
                <w:highlight w:val="none"/>
              </w:rPr>
            </w:r>
            <w:r/>
          </w:p>
          <w:p>
            <w:pPr>
              <w:pStyle w:val="867"/>
              <w:jc w:val="left"/>
              <w:spacing w:line="264" w:lineRule="auto"/>
              <w:rPr>
                <w:rFonts w:ascii="宋体" w:hAnsi="宋体"/>
                <w:bCs/>
                <w:sz w:val="24"/>
                <w:szCs w:val="24"/>
                <w:highlight w:val="none"/>
              </w:rPr>
            </w:pPr>
            <w:r>
              <w:rPr>
                <w:rFonts w:hint="eastAsia" w:ascii="宋体" w:hAnsi="宋体"/>
                <w:bCs/>
                <w:sz w:val="24"/>
                <w:szCs w:val="24"/>
                <w:highlight w:val="none"/>
              </w:rPr>
              <w:t xml:space="preserve">12.2支持对治疗设备类型和型号进行维护；支持单个或批量维护设备状态；支持按设备角度安排治疗并打印设备对应的治疗清单；支持统计单个设备具体使用时间、次数、产生费用等信息；</w:t>
            </w:r>
            <w:r>
              <w:rPr>
                <w:rFonts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12.3支持按不同数据范围查看设备使用统计图；支持统计全部设备使用率和闲置率；支持查看设备经济效益统计表；支持打印所有设备的维护记录；</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12.4设备使用统计，支持①按不同数据范围查看设备使用统计图；②查看本病区、本组设备类型使用情况；③按个人、同组或筛选责任人查看设备使用情况；④按生产厂家使用统计图；⑤单个设备具体使用时间、次数、产生费用等信息；⑥查询全部设备使用频率和闲置频率。</w:t>
            </w:r>
            <w:r>
              <w:rPr>
                <w:rFonts w:hint="eastAsia" w:ascii="宋体" w:hAnsi="宋体" w:eastAsia="宋体" w:cs="Times New Roman"/>
                <w:bCs/>
                <w:sz w:val="24"/>
                <w:szCs w:val="24"/>
                <w:highlight w:val="none"/>
                <w:lang w:val="en-US" w:eastAsia="zh-CN" w:bidi="ar-SA"/>
              </w:rPr>
            </w:r>
            <w:r/>
          </w:p>
        </w:tc>
      </w:tr>
      <w:tr>
        <w:trPr>
          <w:trHeight w:val="90"/>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13</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绩效管理模块</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13.1支持自动统计治疗师工作量报表，同时区分手工与非手工；支持按周、按月统计个人工作量数据并支持查看具体治疗内容；</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13.2支持拆分当天日程，便于拆分工作量；支持按执行人或治疗组进行每日工作统计和每月工作统计；</w:t>
            </w:r>
            <w:r>
              <w:rPr>
                <w:rFonts w:hint="eastAsia" w:ascii="宋体" w:hAnsi="宋体"/>
                <w:bCs/>
                <w:sz w:val="24"/>
                <w:szCs w:val="24"/>
                <w:highlight w:val="none"/>
              </w:rPr>
            </w:r>
            <w:r/>
          </w:p>
          <w:p>
            <w:pPr>
              <w:pStyle w:val="867"/>
              <w:jc w:val="left"/>
              <w:spacing w:line="264" w:lineRule="auto"/>
              <w:rPr>
                <w:rFonts w:hint="eastAsia"/>
                <w:highlight w:val="none"/>
              </w:rPr>
            </w:pPr>
            <w:r>
              <w:rPr>
                <w:rFonts w:hint="eastAsia" w:ascii="宋体" w:hAnsi="宋体"/>
                <w:bCs/>
                <w:sz w:val="24"/>
                <w:szCs w:val="24"/>
                <w:highlight w:val="none"/>
              </w:rPr>
              <w:t xml:space="preserve">▲13.3支持设定绩效规则：①治疗项目按手法与非手法进行区分，便于不同绩效值设定；②设定治疗项目的工作量时长；③关联绩效指标；④拆分日程功能，治疗师可根据实际治疗情况分别核算日程统计工作量；</w:t>
            </w:r>
            <w:r>
              <w:rPr>
                <w:rFonts w:hint="eastAsia"/>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13.4绩效管理：科室可自定义具体治疗项目的绩效权重系数或工作量系数，支持筛选时间范围统计治疗师工作量。</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14</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康复数据报表模块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14.1支持治疗相关数据按患者、治疗师、时间等不同角度自动统计分析并生成报表；支持按周、按月统计个人工作量数据并支持查看具体治疗内容；治疗数据统计展示形式支持表格数据、柱状图、饼状图、趋势图4种形式切换；</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14.2支持患者整个治疗周期管理记录，包括:患者信息、治疗概况、量表评估、治疗用例、康复问题、治疗记录、电子资料、治疗周期和阶段记录； </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14.3支持自定义报表服务，可根据医院管理需求定制统计维度与展示形式，满足科室运营分析数据提取需求。</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医保风控管理模块</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15.1支持根据医保规定新增康复医保医嘱信息功能，并实现康复医保信息实时与治疗绑定；支持设置康复医保限额信息如：限额、医保日期、限额次数、是否自费等功能；安排治疗时，根据本地医保规则自动检测、前置提醒；</w:t>
            </w:r>
            <w:r>
              <w:rPr>
                <w:rFonts w:hint="eastAsia" w:ascii="宋体" w:hAnsi="宋体"/>
                <w:bCs/>
                <w:sz w:val="24"/>
                <w:szCs w:val="24"/>
                <w:highlight w:val="none"/>
              </w:rPr>
            </w:r>
            <w:r/>
          </w:p>
          <w:p>
            <w:pPr>
              <w:pStyle w:val="867"/>
              <w:jc w:val="left"/>
              <w:spacing w:line="264" w:lineRule="auto"/>
              <w:rPr>
                <w:rFonts w:hint="eastAsia"/>
                <w:highlight w:val="none"/>
              </w:rPr>
            </w:pPr>
            <w:r>
              <w:rPr>
                <w:rFonts w:hint="eastAsia" w:ascii="宋体" w:hAnsi="宋体"/>
                <w:bCs/>
                <w:sz w:val="24"/>
                <w:szCs w:val="24"/>
                <w:highlight w:val="none"/>
              </w:rPr>
              <w:t xml:space="preserve">▲15.2精细化医保规则设置和执行，支持：①维护医保规则里单个项目的每日限额次数；②排程超出每日限额次数时进行相关提醒；③维护医保规则中单个项目固定的限额及总支付次数；④维护医保规则中的互斥项目；⑤互斥项目在排程时进行相关提醒；⑥医保审批管理，添加需纳入医保审批提醒的患者信息；⑦根据患者信息维护开始日期及对应的审核代码、审核机构信息；⑧添加该患者需纳入审批提醒的项目名称、到期日期等信息；⑨医保审批相关提醒查看，并支持按到期时间进行不同颜色状态显示；</w:t>
            </w:r>
            <w:r>
              <w:rPr>
                <w:rFonts w:hint="eastAsia"/>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15.3支持根据医保要求生成康复治疗记录单，相关要素包括:治疗项目、治疗部位、次数、剂量、开始时间、结束时间、治疗时间、特殊反应、治疗师签名等内容。</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康复质控管理模块</w:t>
            </w:r>
            <w:r>
              <w:rPr>
                <w:rFonts w:hint="eastAsia" w:ascii="宋体" w:hAnsi="宋体" w:eastAsia="宋体" w:cs="Times New Roman"/>
                <w:bCs/>
                <w:sz w:val="24"/>
                <w:szCs w:val="24"/>
                <w:highlight w:val="none"/>
                <w:lang w:val="en-US" w:eastAsia="zh-CN" w:bidi="ar-SA"/>
              </w:rPr>
            </w:r>
            <w:r/>
          </w:p>
        </w:tc>
        <w:tc>
          <w:tcPr>
            <w:tcW w:w="8504" w:type="dxa"/>
            <w:vAlign w:val="center"/>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16.1支持按时间范围：统计预约量及治疗量；统计各治疗项目费用占比；统计治疗项目柱状图；统计治疗项目日程数、组数及费用信息；查询治疗明细；筛选评估工作量统计；</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16.2量表质控支持：支持评估记录查询；支持单量表评估分析及多记录对比分析；支持按未处理、正常、未评估、字段不完成、未配置量表等数据类型进行筛选；支持按患者来源查询执行项目使用统计、收费项目统计、患者治疗统计等相关数据； </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16.3支持文书内容全局管理；支持实现康复医学质控数据收集、统计和分析。包含康复医学科床位占比、康复医学科医师床配比、康复医学科护士床配比、康复医学科治疗师床配比、脑卒中患者早期康复介入率、脊髓损伤患者早期康复介入率、髋、膝关节置换术后患者早期康复介入率、日常生活活动能力(ADL)改善率、脊髓损伤患者ADL改善率、脑卒中患者ADL改善率；</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16.4支持康复评定率数据统计，包含脑卒中患者运动功能评定率、脑卒中患者言语功能评定率、脑卒中患者吞咽功能评定率、脊髓损伤患者神经功能评定率、髋、膝关节置换术后患者功能评定率。</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17</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教学管理模块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▲17.1支持批量导入实习生及进修生信息、自定义设置学生信息(包含轮转次数、总计周数、开始和结束时间等)；</w:t>
            </w:r>
            <w:r>
              <w:rPr>
                <w:rFonts w:hint="eastAsia" w:ascii="宋体" w:hAnsi="宋体"/>
                <w:bCs/>
                <w:sz w:val="24"/>
                <w:szCs w:val="24"/>
                <w:highlight w:val="none"/>
              </w:rPr>
            </w:r>
            <w:r/>
          </w:p>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17.2支持带教老师给实习生排班，支持设置实习生权限，带教老师与实习生可共同查看治疗任务；支持按不同亚专业小组浏览带教安排、打印学生轮值表、打印带教老师统计表；</w:t>
            </w:r>
            <w:r>
              <w:rPr>
                <w:rFonts w:hint="eastAsia" w:ascii="宋体" w:hAnsi="宋体"/>
                <w:bCs/>
                <w:sz w:val="24"/>
                <w:szCs w:val="24"/>
                <w:highlight w:val="none"/>
              </w:rPr>
            </w:r>
            <w:r/>
          </w:p>
          <w:p>
            <w:pPr>
              <w:pStyle w:val="867"/>
              <w:jc w:val="left"/>
              <w:spacing w:line="264" w:lineRule="auto"/>
              <w:rPr>
                <w:rFonts w:ascii="宋体" w:hAnsi="宋体"/>
                <w:bCs/>
                <w:sz w:val="24"/>
                <w:szCs w:val="24"/>
                <w:highlight w:val="none"/>
              </w:rPr>
            </w:pPr>
            <w:r>
              <w:rPr>
                <w:rFonts w:hint="eastAsia" w:ascii="宋体" w:hAnsi="宋体"/>
                <w:bCs/>
                <w:sz w:val="24"/>
                <w:szCs w:val="24"/>
                <w:highlight w:val="none"/>
              </w:rPr>
              <w:t xml:space="preserve">17.3支持自动统计实习生工作量；支持在线考核实习生及进修生、自动统计成绩单功能、生成详细的实习报告功能；支持记录实习生或进修生考勤统计，包含请假天数统计、考勤异常统计、值班统计、违纪统计等信息；</w:t>
            </w:r>
            <w:r>
              <w:rPr>
                <w:rFonts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17.4教学绩效管理：能统计到实习生的绩效，按照科室规则，乘以相关系数，归属至带教老师的工作绩效，生成相关报表，作为工作绩效的依据。</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18</w:t>
            </w:r>
            <w:r>
              <w:rPr>
                <w:rFonts w:hint="eastAsia" w:ascii="宋体" w:hAnsi="宋体" w:eastAsia="宋体" w:cs="Times New Roman"/>
                <w:bCs/>
                <w:color w:val="000000"/>
                <w:sz w:val="24"/>
                <w:szCs w:val="24"/>
                <w:highlight w:val="none"/>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科研支撑模块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18.1生成结构化康复治疗数据，便于后续科研数据提取。支持康复治疗数据挂钩标准化治疗技术库，便于后续科研数据提取；支持康复治疗数据挂钩康复设备，便于后续科研数据提取；</w:t>
            </w:r>
            <w:r>
              <w:rPr>
                <w:rFonts w:hint="eastAsia"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18.2投标产品导出的治疗数据确实能帮助客户医院发表相关学术论文的真实案例：有研究者利用投标产品作为研究工具发表专业学术论文，至少提供3篇专业论文。（国内核心期刊或SCI论文）</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w:t>
            </w:r>
            <w:r>
              <w:rPr>
                <w:rFonts w:ascii="宋体" w:hAnsi="宋体" w:eastAsia="宋体" w:cs="Times New Roman"/>
                <w:bCs/>
                <w:color w:val="000000"/>
                <w:sz w:val="24"/>
                <w:szCs w:val="24"/>
                <w:highlight w:val="none"/>
                <w:lang w:val="en-US" w:eastAsia="zh-CN"/>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患者随访管理</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bCs/>
                <w:sz w:val="24"/>
                <w:szCs w:val="24"/>
                <w:highlight w:val="none"/>
              </w:rPr>
            </w:pPr>
            <w:r>
              <w:rPr>
                <w:rFonts w:hint="eastAsia" w:ascii="宋体" w:hAnsi="宋体"/>
                <w:bCs/>
                <w:sz w:val="24"/>
                <w:szCs w:val="24"/>
                <w:highlight w:val="none"/>
              </w:rPr>
              <w:t xml:space="preserve">19.1支持历史患者根据时间点进行筛选，满足患者的出院小结维护、治疗周期费用汇总报告、出院指导制定治疗方案及患者满意度问卷填写和回访时间安排等随访管理；</w:t>
            </w:r>
            <w:r>
              <w:rPr>
                <w:rFonts w:hint="eastAsia" w:ascii="宋体" w:hAnsi="宋体"/>
                <w:bCs/>
                <w:sz w:val="24"/>
                <w:szCs w:val="24"/>
                <w:highlight w:val="none"/>
              </w:rPr>
            </w:r>
            <w:r/>
          </w:p>
          <w:p>
            <w:pPr>
              <w:pStyle w:val="867"/>
              <w:jc w:val="left"/>
              <w:spacing w:line="264" w:lineRule="auto"/>
              <w:rPr>
                <w:rFonts w:ascii="宋体" w:hAnsi="宋体"/>
                <w:bCs/>
                <w:sz w:val="24"/>
                <w:szCs w:val="24"/>
                <w:highlight w:val="none"/>
              </w:rPr>
            </w:pPr>
            <w:r>
              <w:rPr>
                <w:rFonts w:hint="eastAsia" w:ascii="宋体" w:hAnsi="宋体"/>
                <w:bCs/>
                <w:sz w:val="24"/>
                <w:szCs w:val="24"/>
                <w:highlight w:val="none"/>
              </w:rPr>
              <w:t xml:space="preserve">19.2支持制定患者的随访计划，可提醒随访内容和注意事项，支持历史患者随访记录进行打印或导出Excel表格进行二次编辑；</w:t>
            </w:r>
            <w:r>
              <w:rPr>
                <w:rFonts w:ascii="宋体" w:hAnsi="宋体"/>
                <w:bCs/>
                <w:sz w:val="24"/>
                <w:szCs w:val="24"/>
                <w:highlight w:val="none"/>
              </w:rPr>
            </w:r>
            <w:r/>
          </w:p>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19.3支持科室将自定义的患者出院指导方案纳入管理；支持对出院患者快速创建家庭训练方案，可自定义设置模板内容。</w:t>
            </w:r>
            <w:r>
              <w:rPr>
                <w:rFonts w:hint="eastAsia" w:ascii="宋体" w:hAnsi="宋体" w:eastAsia="宋体" w:cs="Times New Roman"/>
                <w:bCs/>
                <w:sz w:val="24"/>
                <w:szCs w:val="24"/>
                <w:highlight w:val="none"/>
                <w:lang w:val="en-US" w:eastAsia="zh-CN" w:bidi="ar-SA"/>
              </w:rPr>
            </w:r>
            <w:r/>
          </w:p>
        </w:tc>
      </w:tr>
      <w:tr>
        <w:trPr/>
        <w:tc>
          <w:tcPr>
            <w:tcW w:w="70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w:t>
            </w:r>
            <w:r>
              <w:rPr>
                <w:rFonts w:ascii="宋体" w:hAnsi="宋体" w:eastAsia="宋体" w:cs="Times New Roman"/>
                <w:bCs/>
                <w:color w:val="000000"/>
                <w:sz w:val="24"/>
                <w:szCs w:val="24"/>
                <w:highlight w:val="none"/>
                <w:lang w:val="en-US" w:eastAsia="zh-CN"/>
              </w:rPr>
            </w:r>
            <w:r/>
          </w:p>
        </w:tc>
        <w:tc>
          <w:tcPr>
            <w:tcW w:w="1276" w:type="dxa"/>
            <w:vAlign w:val="center"/>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移动终端支持模块</w:t>
            </w:r>
            <w:r>
              <w:rPr>
                <w:rFonts w:hint="eastAsia" w:ascii="宋体" w:hAnsi="宋体" w:eastAsia="宋体" w:cs="Times New Roman"/>
                <w:bCs/>
                <w:sz w:val="24"/>
                <w:szCs w:val="24"/>
                <w:highlight w:val="none"/>
                <w:lang w:val="en-US" w:eastAsia="zh-CN" w:bidi="ar-SA"/>
              </w:rPr>
            </w:r>
            <w:r/>
          </w:p>
        </w:tc>
        <w:tc>
          <w:tcPr>
            <w:tcW w:w="8504" w:type="dxa"/>
            <w:vAlign w:val="top"/>
            <w:textDirection w:val="lrTb"/>
            <w:noWrap w:val="false"/>
          </w:tcPr>
          <w:p>
            <w:pPr>
              <w:pStyle w:val="867"/>
              <w:jc w:val="left"/>
              <w:spacing w:line="264" w:lineRule="auto"/>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20.1支持通过数字大屏显示患者治疗安排；支持医生、治疗师、护士通过手机端等访问；支持PDA等移动设备的数据对接；支持平板端量表评估。</w:t>
            </w:r>
            <w:r>
              <w:rPr>
                <w:rFonts w:hint="eastAsia" w:ascii="宋体" w:hAnsi="宋体" w:eastAsia="宋体" w:cs="Times New Roman"/>
                <w:bCs/>
                <w:sz w:val="24"/>
                <w:szCs w:val="24"/>
                <w:highlight w:val="none"/>
                <w:lang w:val="en-US" w:eastAsia="zh-CN" w:bidi="ar-SA"/>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w:t>
      </w:r>
      <w:r>
        <w:rPr>
          <w:rFonts w:hint="eastAsia" w:ascii="宋体" w:hAnsi="宋体" w:cs="宋体"/>
          <w:sz w:val="24"/>
          <w:szCs w:val="24"/>
          <w:lang w:eastAsia="zh-CN"/>
        </w:rPr>
        <w:t xml:space="preserve">以及相关接口费用</w:t>
      </w:r>
      <w:r>
        <w:rPr>
          <w:rFonts w:hint="eastAsia" w:ascii="宋体" w:hAnsi="宋体" w:eastAsia="宋体" w:cs="宋体"/>
          <w:sz w:val="24"/>
          <w:szCs w:val="24"/>
        </w:rPr>
        <w:t xml:space="preserve">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以信息化建设为牵引，探索建立健全智慧医院标准、管理规范和质量控制方式方法，发挥大数据、云计算、人工智能等技术在医疗管理工作中的优势，发掘数据价值并赋能业务工作开展，提高医务人员工作效率，保障医疗质量与安全，通过项目建设，全方位、全流程为广大医务人员和患者提供优质服务，让就医流程更优化，服务更便捷，管理更高效。通过系统和持续的信息化投入，对标业内高水平智慧医院范例，推动项目建设取得实效。</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本项目结合</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信息化现状新建康复业务管理系统，以实现与数据集成平台的对接，夯实数据底座。通过推动康复信息集成和数据治理，基于集成康复医疗信息和知识挖掘形成体系化的数据管理与利用，旨在为康复治疗提供智慧化支撑能力，实现中级医疗决策支持，为广大患者提供便捷、高效的就医体验，提升医院数字化、智能化应用水平。</w:t>
      </w:r>
      <w:r>
        <w:rPr>
          <w:rFonts w:hint="eastAsia" w:ascii="宋体" w:hAnsi="宋体"/>
          <w:color w:val="000000"/>
          <w:sz w:val="24"/>
          <w:szCs w:val="24"/>
        </w:rPr>
      </w:r>
      <w:r/>
    </w:p>
    <w:p>
      <w:pPr>
        <w:pStyle w:val="867"/>
        <w:ind w:firstLine="480"/>
        <w:spacing w:line="264" w:lineRule="auto"/>
        <w:rPr>
          <w:rFonts w:ascii="宋体" w:hAnsi="宋体"/>
          <w:color w:val="000000"/>
          <w:sz w:val="24"/>
          <w:szCs w:val="24"/>
        </w:rPr>
      </w:pPr>
      <w:r>
        <w:rPr>
          <w:rFonts w:hint="eastAsia" w:ascii="宋体" w:hAnsi="宋体"/>
          <w:color w:val="000000"/>
          <w:sz w:val="24"/>
          <w:szCs w:val="24"/>
        </w:rPr>
        <w:t xml:space="preserve">康复业务管理系统支持从评估-计划-执行的治疗过程数字化管理，提供结构化病历与评估、康复数据统计分析等功能。</w:t>
      </w:r>
      <w:r>
        <w:rPr>
          <w:rFonts w:ascii="宋体" w:hAnsi="宋体"/>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实效性原则：即快速反应。根据系统的硬件配置、应用需求、地理环境等因素，采取电话、远程诊断和现场服务的方式及时解决各种突发的技术问题。</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前瞻性原则：对问题做出预见性分析，并为用户系统将来的发展和扩充提供建议。</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顾问性原则：提供用户咨询服务；对用户在使用系统中遇到的问题，提供改进的原则和手段。</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完整性原则：对所提供的所有设备进行服务支持，并对用户与系统相关的其他设备提供必要的服务。</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规范性原则：服务过程可监督、可管理、可追溯，从而保证服务的质量。</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服务策略：</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服务标准化：基于ISO9001质量控制体系的技术服务标准，形成标准化的作业流程，标准化的追溯制度，标准化的文档与服务用语，标准化的资格认证等。</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服务多样化：倡导基于用户满意度为100%的个性化关怀；满足用户标准化服务以外的特殊使用需要。提供专业的培训培训服务，培训对象包括系统管理员、操作员，系统管理人员培训内容为系统中涉及的相关技术内容；操作员为系统的操作培训。根据医院的情况制定相关培训方案，课程设置等，包括培训资料、讲义等。所有的培训费用计入总报价。</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服务主动化：定期回访制度，针对客户问题比对历史案例，提出预先解决方案，并保证服务在短时间内到位。</w:t>
      </w:r>
      <w:r>
        <w:rPr>
          <w:rFonts w:hint="eastAsia" w:ascii="宋体" w:hAnsi="宋体"/>
          <w:color w:val="000000"/>
          <w:sz w:val="24"/>
          <w:szCs w:val="24"/>
        </w:rPr>
      </w:r>
      <w:r/>
    </w:p>
    <w:p>
      <w:pPr>
        <w:pStyle w:val="867"/>
        <w:ind w:firstLine="480"/>
        <w:spacing w:line="264" w:lineRule="auto"/>
        <w:rPr>
          <w:rFonts w:ascii="宋体" w:hAnsi="宋体"/>
          <w:color w:val="000000"/>
          <w:sz w:val="24"/>
          <w:szCs w:val="24"/>
        </w:rPr>
      </w:pPr>
      <w:r>
        <w:rPr>
          <w:rFonts w:hint="eastAsia" w:ascii="宋体" w:hAnsi="宋体"/>
          <w:color w:val="000000"/>
          <w:sz w:val="24"/>
          <w:szCs w:val="24"/>
        </w:rPr>
        <w:t xml:space="preserve">服务电子化：针对具备上网条件的用户，提供远程登录、WEB互动、在线支持等电子化服务内容，逐步建立完善的电子化服务渠道。</w:t>
      </w:r>
      <w:r>
        <w:rPr>
          <w:rFonts w:ascii="宋体" w:hAnsi="宋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（4）运维服务要求</w:t>
      </w:r>
      <w:r>
        <w:rPr>
          <w:rFonts w:hint="eastAsia" w:ascii="宋体" w:hAnsi="宋体" w:cs="宋体"/>
          <w:bCs/>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供应商应具备与本项目匹配的服务能力，以响应采购人的技术服务要求。</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运维</w:t>
      </w:r>
      <w:r>
        <w:rPr>
          <w:rFonts w:hint="eastAsia" w:ascii="宋体" w:hAnsi="宋体"/>
          <w:color w:val="000000"/>
          <w:sz w:val="24"/>
          <w:szCs w:val="24"/>
        </w:rPr>
        <w:t xml:space="preserve">期</w:t>
      </w:r>
      <w:r>
        <w:rPr>
          <w:rFonts w:hint="eastAsia" w:ascii="宋体" w:hAnsi="宋体"/>
          <w:color w:val="000000"/>
          <w:sz w:val="24"/>
          <w:szCs w:val="24"/>
        </w:rPr>
        <w:t xml:space="preserve">为自最终验收合格之日起一年。信息系统建设期间及维保期内的所有售后服务，包括软件维护所产生的费用均由供应商承担。</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运维</w:t>
      </w:r>
      <w:r>
        <w:rPr>
          <w:rFonts w:hint="eastAsia" w:ascii="宋体" w:hAnsi="宋体"/>
          <w:color w:val="000000"/>
          <w:sz w:val="24"/>
          <w:szCs w:val="24"/>
        </w:rPr>
        <w:t xml:space="preserve">期</w:t>
      </w:r>
      <w:r>
        <w:rPr>
          <w:rFonts w:hint="eastAsia" w:ascii="宋体" w:hAnsi="宋体"/>
          <w:color w:val="000000"/>
          <w:sz w:val="24"/>
          <w:szCs w:val="24"/>
        </w:rPr>
        <w:t xml:space="preserve">内提供24小时电话或电子邮件服务，接到采购人报修通知1小时内做出明确响应和安排，6小时内做出故障诊断报告。如需现场服务的，具有解决故障能力的工程师应在接到报修通知次日到达现场。</w:t>
      </w:r>
      <w:r>
        <w:rPr>
          <w:rFonts w:hint="eastAsia" w:ascii="宋体" w:hAnsi="宋体"/>
          <w:color w:val="000000"/>
          <w:sz w:val="24"/>
          <w:szCs w:val="24"/>
        </w:rPr>
      </w:r>
      <w:r/>
    </w:p>
    <w:p>
      <w:pPr>
        <w:pStyle w:val="867"/>
        <w:ind w:firstLine="480"/>
        <w:spacing w:line="264" w:lineRule="auto"/>
        <w:rPr>
          <w:rFonts w:ascii="宋体" w:hAnsi="宋体"/>
          <w:color w:val="000000"/>
          <w:sz w:val="24"/>
          <w:szCs w:val="24"/>
        </w:rPr>
      </w:pPr>
      <w:r>
        <w:rPr>
          <w:rFonts w:hint="eastAsia" w:ascii="宋体" w:hAnsi="宋体"/>
          <w:color w:val="000000"/>
          <w:sz w:val="24"/>
          <w:szCs w:val="24"/>
          <w:lang w:val="en-US" w:eastAsia="zh-CN"/>
        </w:rPr>
        <w:t xml:space="preserve">运维</w:t>
      </w:r>
      <w:r>
        <w:rPr>
          <w:rFonts w:hint="eastAsia" w:ascii="宋体" w:hAnsi="宋体"/>
          <w:color w:val="000000"/>
          <w:sz w:val="24"/>
          <w:szCs w:val="24"/>
        </w:rPr>
        <w:t xml:space="preserve">期满后，若需要供应商继续提供</w:t>
      </w:r>
      <w:r>
        <w:rPr>
          <w:rFonts w:hint="eastAsia" w:ascii="宋体" w:hAnsi="宋体"/>
          <w:color w:val="000000"/>
          <w:sz w:val="24"/>
          <w:szCs w:val="24"/>
          <w:lang w:val="en-US" w:eastAsia="zh-CN"/>
        </w:rPr>
        <w:t xml:space="preserve">运维</w:t>
      </w:r>
      <w:r>
        <w:rPr>
          <w:rFonts w:hint="eastAsia" w:ascii="宋体" w:hAnsi="宋体"/>
          <w:color w:val="000000"/>
          <w:sz w:val="24"/>
          <w:szCs w:val="24"/>
        </w:rPr>
        <w:t xml:space="preserve">服务，所产生的费用经双方协商确定，年度维保费用不高于系统开发报价10%。</w:t>
      </w:r>
      <w:r>
        <w:rPr>
          <w:rFonts w:ascii="宋体" w:hAnsi="宋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①本项目实施人员不少于4人，其中项目负责人1人。</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②项目组所有人员必须为供应商正式工作人员，不得兼任其他项目工作，未经采购人同意，人员不得更换。 </w:t>
      </w:r>
      <w:r>
        <w:rPr>
          <w:rFonts w:hint="eastAsia" w:ascii="宋体" w:hAnsi="宋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867"/>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867"/>
        <w:ind w:firstLine="480"/>
        <w:jc w:val="left"/>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7"/>
        <w:ind w:firstLine="480"/>
        <w:jc w:val="left"/>
        <w:spacing w:line="264" w:lineRule="auto"/>
        <w:rPr>
          <w:rFonts w:hint="eastAsia" w:ascii="宋体" w:hAnsi="宋体" w:eastAsia="宋体" w:cs="Times New Roman"/>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供应商在提供定制软件开发服务时，需满足以下对接要求：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与</w:t>
      </w:r>
      <w:r>
        <w:rPr>
          <w:rFonts w:ascii="宋体" w:hAnsi="宋体"/>
          <w:color w:val="000000"/>
          <w:sz w:val="24"/>
          <w:szCs w:val="24"/>
        </w:rPr>
        <w:t xml:space="preserve">现有的HIS系统</w:t>
      </w:r>
      <w:r>
        <w:rPr>
          <w:rFonts w:hint="eastAsia" w:ascii="宋体" w:hAnsi="宋体"/>
          <w:color w:val="000000"/>
          <w:sz w:val="24"/>
          <w:szCs w:val="24"/>
        </w:rPr>
        <w:t xml:space="preserve">接口对接</w:t>
      </w:r>
      <w:r>
        <w:rPr>
          <w:rFonts w:hint="eastAsia" w:ascii="宋体" w:hAnsi="宋体" w:eastAsia="宋体" w:cs="Times New Roman"/>
          <w:color w:val="000000"/>
          <w:sz w:val="24"/>
          <w:szCs w:val="24"/>
        </w:rPr>
        <w:t xml:space="preserve">；对接工作联系人：杨先生，联系电话：13512507021。</w:t>
      </w:r>
      <w:r>
        <w:rPr>
          <w:rFonts w:hint="eastAsia" w:ascii="宋体" w:hAnsi="宋体" w:eastAsia="宋体" w:cs="Times New Roman"/>
          <w:color w:val="000000"/>
          <w:sz w:val="24"/>
          <w:szCs w:val="24"/>
        </w:rPr>
      </w:r>
      <w:r/>
    </w:p>
    <w:p>
      <w:pPr>
        <w:pStyle w:val="867"/>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（11）网络安全和数据安全要求，外包网络安全管理要求</w:t>
      </w:r>
      <w:r>
        <w:rPr>
          <w:rFonts w:hint="eastAsia" w:ascii="宋体" w:hAnsi="宋体"/>
          <w:color w:val="000000"/>
          <w:sz w:val="24"/>
          <w:szCs w:val="24"/>
        </w:rPr>
      </w:r>
      <w:r/>
    </w:p>
    <w:p>
      <w:pPr>
        <w:pStyle w:val="867"/>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rPr>
          <w:rFonts w:hint="eastAsia" w:ascii="宋体" w:hAnsi="宋体" w:cs="宋体"/>
          <w:bCs/>
          <w:color w:val="000000"/>
          <w:sz w:val="24"/>
          <w:szCs w:val="24"/>
        </w:rPr>
      </w:r>
      <w:r/>
    </w:p>
    <w:p>
      <w:pPr>
        <w:pStyle w:val="867"/>
        <w:ind w:firstLine="480"/>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jc w:val="left"/>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rPr>
        <w:t xml:space="preserve">：合同签订后30天内完成系统开发，</w:t>
      </w:r>
      <w:r>
        <w:rPr>
          <w:rFonts w:hint="eastAsia" w:ascii="宋体" w:hAnsi="宋体" w:eastAsia="宋体" w:cs="宋体"/>
          <w:color w:val="000000"/>
          <w:sz w:val="24"/>
          <w:szCs w:val="24"/>
        </w:rPr>
        <w:t xml:space="preserve">60</w:t>
      </w:r>
      <w:r>
        <w:rPr>
          <w:rFonts w:ascii="宋体" w:hAnsi="宋体" w:eastAsia="宋体" w:cs="宋体"/>
          <w:color w:val="000000"/>
          <w:sz w:val="24"/>
          <w:szCs w:val="24"/>
        </w:rPr>
        <w:t xml:space="preserve">天内完成项目整体交付及验收工作。</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38"/>
        <w:numPr>
          <w:ilvl w:val="0"/>
          <w:numId w:val="0"/>
        </w:numPr>
        <w:jc w:val="both"/>
        <w:spacing w:after="0" w:line="264" w:lineRule="auto"/>
        <w:widowControl w:val="off"/>
        <w:rPr>
          <w:rFonts w:hint="eastAsia"/>
          <w:lang w:val="en-US" w:eastAsia="zh-CN"/>
        </w:rPr>
      </w:pPr>
      <w:r>
        <w:rPr>
          <w:rFonts w:hint="eastAsia"/>
          <w:lang w:val="en-US" w:eastAsia="zh-CN"/>
        </w:rPr>
      </w:r>
      <w:r/>
    </w:p>
    <w:p>
      <w:pPr>
        <w:pStyle w:val="867"/>
        <w:spacing w:line="264" w:lineRule="auto"/>
        <w:rPr>
          <w:rFonts w:hint="eastAsia"/>
          <w:lang w:val="en-US" w:eastAsia="zh-CN"/>
        </w:rPr>
      </w:pPr>
      <w:r>
        <w:rPr>
          <w:rFonts w:hint="eastAsia"/>
          <w:lang w:val="en-US" w:eastAsia="zh-CN"/>
        </w:rPr>
      </w:r>
      <w:r/>
    </w:p>
    <w:p>
      <w:pPr>
        <w:pStyle w:val="947"/>
        <w:spacing w:line="264" w:lineRule="auto"/>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t xml:space="preserve">第五章  评审方法与评审标准</w:t>
      </w:r>
      <w:r>
        <w:rPr>
          <w:rFonts w:hint="eastAsia" w:ascii="Arial Unicode MS" w:hAnsi="Arial Unicode MS" w:eastAsia="Arial Unicode MS" w:cs="Arial Unicode MS"/>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r>
        <w:rPr>
          <w:rFonts w:hint="eastAsia" w:ascii="黑体" w:hAnsi="黑体" w:eastAsia="黑体" w:cs="黑体"/>
          <w:b w:val="0"/>
          <w:bCs w:val="0"/>
          <w:color w:val="000000"/>
          <w:sz w:val="24"/>
          <w:szCs w:val="24"/>
          <w:highlight w:val="none"/>
          <w:lang w:eastAsia="zh-CN"/>
        </w:rP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Times New Roman" w:hAnsi="Times New Roman" w:eastAsia="宋体" w:cs="Times New Roman"/>
                <w:lang w:val="en-US" w:eastAsia="zh-CN"/>
              </w:rPr>
              <w:t xml:space="preserve">产</w:t>
            </w:r>
            <w:r>
              <w:rPr>
                <w:rFonts w:hint="eastAsia" w:ascii="Times New Roman" w:hAnsi="Times New Roman" w:eastAsia="宋体" w:cs="Times New Roman"/>
                <w:color w:val="000000"/>
                <w:lang w:val="en-US" w:eastAsia="zh-CN"/>
              </w:rPr>
              <w:t xml:space="preserve">品技术参数</w:t>
            </w:r>
            <w:r>
              <w:rPr>
                <w:rFonts w:hint="eastAsia" w:ascii="宋体" w:hAnsi="宋体" w:eastAsia="宋体" w:cs="宋体"/>
                <w:spacing w:val="-2"/>
                <w:lang w:eastAsia="zh-CN"/>
              </w:rPr>
            </w:r>
            <w:r/>
          </w:p>
        </w:tc>
        <w:tc>
          <w:tcPr>
            <w:tcW w:w="6330" w:type="dxa"/>
            <w:vAlign w:val="center"/>
            <w:textDirection w:val="lrTb"/>
            <w:noWrap w:val="false"/>
          </w:tcPr>
          <w:p>
            <w:pPr>
              <w:pStyle w:val="867"/>
              <w:jc w:val="left"/>
              <w:keepLines w:val="0"/>
              <w:keepNext w:val="0"/>
              <w:pageBreakBefore w:val="0"/>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打▲指标为重要指标，</w:t>
            </w:r>
            <w:r>
              <w:rPr>
                <w:rFonts w:hint="eastAsia" w:ascii="宋体" w:hAnsi="宋体" w:cs="宋体"/>
                <w:szCs w:val="21"/>
              </w:rPr>
              <w:t xml:space="preserve">有1项负偏离扣1分，其余指标有1项负偏离扣0.5分。</w:t>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41</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技术</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eastAsia="宋体"/>
                <w:color w:val="000000"/>
                <w:sz w:val="21"/>
                <w:szCs w:val="21"/>
              </w:rPr>
              <w:t xml:space="preserve">建设目标</w:t>
            </w:r>
            <w:r>
              <w:rPr>
                <w:rFonts w:hint="eastAsia" w:eastAsia="宋体"/>
                <w:color w:val="000000"/>
                <w:sz w:val="21"/>
                <w:szCs w:val="21"/>
                <w:lang w:eastAsia="zh-CN"/>
              </w:rPr>
              <w:t xml:space="preserve">；</w:t>
            </w:r>
            <w:r>
              <w:rPr>
                <w:rFonts w:hint="eastAsia" w:eastAsia="宋体"/>
                <w:color w:val="000000"/>
                <w:sz w:val="21"/>
                <w:szCs w:val="21"/>
                <w:lang w:val="en-US" w:eastAsia="zh-CN"/>
              </w:rPr>
              <w:t xml:space="preserve">2.</w:t>
            </w:r>
            <w:r>
              <w:rPr>
                <w:rFonts w:hint="eastAsia" w:eastAsia="宋体"/>
                <w:color w:val="000000"/>
                <w:sz w:val="21"/>
                <w:szCs w:val="21"/>
              </w:rPr>
              <w:t xml:space="preserve">建设内容</w:t>
            </w:r>
            <w:r>
              <w:rPr>
                <w:rFonts w:hint="eastAsia" w:eastAsia="宋体"/>
                <w:color w:val="000000"/>
                <w:sz w:val="21"/>
                <w:szCs w:val="21"/>
                <w:lang w:eastAsia="zh-CN"/>
              </w:rPr>
              <w:t xml:space="preserve">；</w:t>
            </w:r>
            <w:r>
              <w:rPr>
                <w:rFonts w:hint="eastAsia" w:eastAsia="宋体"/>
                <w:color w:val="000000"/>
                <w:sz w:val="21"/>
                <w:szCs w:val="21"/>
                <w:lang w:val="en-US" w:eastAsia="zh-CN"/>
              </w:rPr>
              <w:t xml:space="preserve">3.</w:t>
            </w:r>
            <w:r>
              <w:rPr>
                <w:rFonts w:hint="eastAsia" w:eastAsia="宋体"/>
                <w:color w:val="000000"/>
                <w:sz w:val="21"/>
                <w:szCs w:val="21"/>
              </w:rPr>
              <w:t xml:space="preserve">需求分析</w:t>
            </w:r>
            <w:r>
              <w:rPr>
                <w:rFonts w:hint="eastAsia" w:eastAsia="宋体"/>
                <w:color w:val="000000"/>
                <w:sz w:val="21"/>
                <w:szCs w:val="21"/>
                <w:lang w:eastAsia="zh-CN"/>
              </w:rPr>
              <w:t xml:space="preserve">；</w:t>
            </w:r>
            <w:r>
              <w:rPr>
                <w:rFonts w:hint="eastAsia" w:eastAsia="宋体"/>
                <w:color w:val="000000"/>
                <w:sz w:val="21"/>
                <w:szCs w:val="21"/>
                <w:lang w:val="en-US" w:eastAsia="zh-CN"/>
              </w:rPr>
              <w:t xml:space="preserve">4.</w:t>
            </w:r>
            <w:r>
              <w:rPr>
                <w:rFonts w:hint="eastAsia" w:eastAsia="宋体"/>
                <w:color w:val="000000"/>
                <w:sz w:val="21"/>
                <w:szCs w:val="21"/>
              </w:rPr>
              <w:t xml:space="preserve">重点难点</w:t>
            </w:r>
            <w:r>
              <w:rPr>
                <w:rFonts w:hint="eastAsia" w:eastAsia="宋体"/>
                <w:color w:val="000000"/>
                <w:sz w:val="21"/>
                <w:szCs w:val="21"/>
                <w:lang w:eastAsia="zh-CN"/>
              </w:rPr>
              <w:t xml:space="preserve">；</w:t>
            </w:r>
            <w:r>
              <w:rPr>
                <w:rFonts w:hint="eastAsia" w:eastAsia="宋体"/>
                <w:color w:val="000000"/>
                <w:sz w:val="21"/>
                <w:szCs w:val="21"/>
                <w:lang w:val="en-US" w:eastAsia="zh-CN"/>
              </w:rPr>
              <w:t xml:space="preserve">5.</w:t>
            </w:r>
            <w:r>
              <w:rPr>
                <w:rFonts w:hint="eastAsia" w:eastAsia="宋体"/>
                <w:color w:val="000000"/>
                <w:sz w:val="21"/>
                <w:szCs w:val="21"/>
              </w:rPr>
              <w:t xml:space="preserve">效益分析</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ascii="宋体" w:hAnsi="宋体" w:eastAsia="宋体" w:cs="宋体"/>
                <w:sz w:val="21"/>
                <w:szCs w:val="21"/>
                <w:highlight w:val="yellow"/>
                <w:lang w:val="en-US" w:eastAsia="zh-CN" w:bidi="ar-SA"/>
              </w:rPr>
            </w:pPr>
            <w:r>
              <w:rPr>
                <w:rFonts w:hint="eastAsia" w:ascii="宋体" w:hAnsi="宋体" w:cs="宋体"/>
                <w:color w:val="000000"/>
                <w:sz w:val="21"/>
                <w:szCs w:val="21"/>
                <w:highlight w:val="none"/>
                <w:lang w:val="en-US" w:eastAsia="zh-CN" w:bidi="ar-SA"/>
              </w:rPr>
              <w:t xml:space="preserve">5</w:t>
            </w:r>
            <w:r>
              <w:rPr>
                <w:rFonts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7"/>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评委根据供应商提供的演示视频（总演示时间不超</w:t>
            </w:r>
            <w:r>
              <w:rPr>
                <w:rFonts w:hint="eastAsia" w:ascii="宋体" w:hAnsi="宋体" w:eastAsia="宋体" w:cs="宋体"/>
                <w:color w:val="000000"/>
                <w:sz w:val="21"/>
                <w:szCs w:val="21"/>
                <w:lang w:val="en-US" w:eastAsia="zh-CN"/>
              </w:rPr>
              <w:t xml:space="preserve">过10分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1.康复评估功能：</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①提供不少于</w:t>
            </w:r>
            <w:r>
              <w:rPr>
                <w:rFonts w:hint="eastAsia" w:eastAsia="宋体"/>
                <w:color w:val="000000"/>
                <w:sz w:val="21"/>
                <w:szCs w:val="21"/>
                <w:lang w:val="en-US" w:eastAsia="zh-CN"/>
              </w:rPr>
              <w:t xml:space="preserve">3</w:t>
            </w:r>
            <w:r>
              <w:rPr>
                <w:rFonts w:hint="eastAsia" w:eastAsia="宋体"/>
                <w:color w:val="000000"/>
                <w:sz w:val="21"/>
                <w:szCs w:val="21"/>
              </w:rPr>
              <w:t xml:space="preserve">00张康复常用评估量表，量表支持根据病种（脊髓损伤/脑外伤/脑卒中...）、康复亚专业（PT/OT/ST/...）等分类展示；</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②量表评估界面显示评估进度栏（演示中进度条可随评估进度动态变化），避免遗漏评估项目；</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③支持自动汇总评估总分和评估结果，评估结果文本支持“简要文本”、“普通文本”、“详细文本”切换；</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④支持开启多阶段康复评估，同一疗程多阶段评定结果支持进行对比分析，并可将对比分析结果进行导出、打印（在同一张表进行展示）；</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⑤系统可测算出评估量表每一个条目难度值，评估后可计算出患者能力值，患者能力值与条目难度值根据康复治疗原则相互匹配，可实现个性化康复治疗方案的制订。</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2.治疗日程安排： </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①支持对接HIS医嘱后直接在患者主页完成对治疗医嘱的快捷安排，可以自动区分治疗长嘱与治疗临嘱，支持治疗项目关联治疗操作技术（演示中需展示区分手工/器械操作，有相关标注予以区分）；</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②支持分别根据治疗师、患者、治疗设备等多角度进行治疗安排，同时会将三方时间进行自动冲突检测（演示中必须有检测出冲突的界面，系统对此有相关提示）；</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③根据提前规定的不做治疗日期，支持智能跳过并自动生成后续连续日程，无需每日重复安排；</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④给患者安排治疗时系统自动关联时间点、治疗室、治疗组、治疗师等信息；</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⑤根据安排结果生成每日工作任务列表，提供待办任务提示，可按多种方式展示（演示出展示治疗任务的多种方式）；</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⑥节假日值班或请假，治疗师可以将当天的治疗项目一键移交给其他治疗师。</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3.康复治疗执行：</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①支持通过移动端（手机或PDA等终端）快速完成康复治疗项目的实时确认（要求演示出移动端系统的真实操作过程）；</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②根据实时确认的结果，支持在系统中执行费用（演示出按照已做治疗计费、未做治疗不计费等不同规则确认的结果）；</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③支持根据治疗项目确认后，实时自动生成结构化治疗记录（演示时，要求实现确认治疗后，该治疗自动生成治疗记录，且能记录治疗确认时间）；</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④支持提供快捷语功能，辅助用户不断完善康复治疗记录内容（演示出输入关键字后检索出相关快捷语的界面）；</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⑤康复电子文书格式可自由选择，支持按照科室需求生成对应康复治疗记录单（例如支持“简要治疗记录”、“综合治疗记录”、“PT/OT/ST亚专科治疗文书记录”等格式），同时支持导出并打印（演示时分别展示相应页面）；</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⑥支持根据实际执行情况进行治疗师工作量统计，并区分手法治疗与设备监管等统计结果（演示出统计工作量的界面，要求区分手工、非手工等治疗项目）。</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4.精细化管理子系统：</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①具有门诊治疗管理模块，支持对门诊患者进行评估、治疗安排、治疗执行等操作；</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②具有他科会诊治疗管理模块，支持对全院其他科室会诊患者进行评估、治疗安排、治疗执行等操作；</w:t>
            </w:r>
            <w:r>
              <w:rPr>
                <w:rFonts w:eastAsia="宋体"/>
                <w:color w:val="000000"/>
                <w:sz w:val="21"/>
                <w:szCs w:val="21"/>
              </w:rPr>
            </w:r>
            <w:r/>
          </w:p>
          <w:p>
            <w:pPr>
              <w:pStyle w:val="867"/>
              <w:ind w:firstLine="0"/>
              <w:spacing w:line="276" w:lineRule="auto"/>
              <w:rPr>
                <w:rFonts w:eastAsia="宋体"/>
                <w:color w:val="000000"/>
                <w:sz w:val="21"/>
                <w:szCs w:val="21"/>
              </w:rPr>
            </w:pPr>
            <w:r>
              <w:rPr>
                <w:rFonts w:hint="eastAsia" w:eastAsia="宋体"/>
                <w:color w:val="000000"/>
                <w:sz w:val="21"/>
                <w:szCs w:val="21"/>
              </w:rPr>
              <w:t xml:space="preserve">③具有康复设备管理模块，支持查看全科康复设备的使用情况、设备状态，支持以设备为中心进行治疗安排。</w:t>
            </w:r>
            <w:r>
              <w:rPr>
                <w:rFonts w:eastAsia="宋体"/>
                <w:color w:val="000000"/>
                <w:sz w:val="21"/>
                <w:szCs w:val="21"/>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以上每项采用</w:t>
            </w:r>
            <w:r>
              <w:rPr>
                <w:rFonts w:hint="eastAsia" w:ascii="宋体" w:hAnsi="宋体" w:eastAsia="宋体" w:cs="宋体"/>
                <w:color w:val="000000"/>
                <w:sz w:val="21"/>
                <w:szCs w:val="21"/>
                <w:lang w:val="en-US" w:eastAsia="zh-CN"/>
              </w:rPr>
              <w:t xml:space="preserve">类似</w:t>
            </w:r>
            <w:r>
              <w:rPr>
                <w:rFonts w:ascii="宋体" w:hAnsi="宋体" w:eastAsia="宋体" w:cs="宋体"/>
                <w:color w:val="000000"/>
                <w:sz w:val="21"/>
                <w:szCs w:val="21"/>
                <w:lang w:val="en-US" w:eastAsia="zh-CN"/>
              </w:rPr>
              <w:t xml:space="preserve">真实系统演示，建设内容理解程度完整、覆盖程度方面准确、界面友好的，得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分；建设内容理解程度完整性、覆盖程度方面准确性、界面友好均</w:t>
            </w:r>
            <w:r>
              <w:rPr>
                <w:rFonts w:hint="eastAsia" w:ascii="宋体" w:hAnsi="宋体" w:eastAsia="宋体" w:cs="宋体"/>
                <w:color w:val="000000"/>
                <w:sz w:val="21"/>
                <w:szCs w:val="21"/>
                <w:lang w:val="en-US" w:eastAsia="zh-CN"/>
              </w:rPr>
              <w:t xml:space="preserve">基本满足要求</w:t>
            </w:r>
            <w:r>
              <w:rPr>
                <w:rFonts w:ascii="宋体" w:hAnsi="宋体" w:eastAsia="宋体" w:cs="宋体"/>
                <w:color w:val="000000"/>
                <w:sz w:val="21"/>
                <w:szCs w:val="21"/>
                <w:lang w:val="en-US" w:eastAsia="zh-CN"/>
              </w:rPr>
              <w:t xml:space="preserve">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非类似</w:t>
            </w:r>
            <w:r>
              <w:rPr>
                <w:rFonts w:ascii="宋体" w:hAnsi="宋体" w:eastAsia="宋体" w:cs="宋体"/>
                <w:color w:val="000000"/>
                <w:sz w:val="21"/>
                <w:szCs w:val="21"/>
                <w:lang w:val="en-US" w:eastAsia="zh-CN"/>
              </w:rPr>
              <w:t xml:space="preserve">真实系统</w:t>
            </w:r>
            <w:r>
              <w:rPr>
                <w:rFonts w:hint="eastAsia" w:ascii="宋体" w:hAnsi="宋体" w:eastAsia="宋体" w:cs="宋体"/>
                <w:color w:val="000000"/>
                <w:sz w:val="21"/>
                <w:szCs w:val="21"/>
                <w:lang w:val="en-US" w:eastAsia="zh-CN"/>
              </w:rPr>
              <w:t xml:space="preserve">（如</w:t>
            </w:r>
            <w:r>
              <w:rPr>
                <w:rFonts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、PPT</w:t>
            </w:r>
            <w:r>
              <w:rPr>
                <w:rFonts w:ascii="宋体" w:hAnsi="宋体" w:eastAsia="宋体" w:cs="宋体"/>
                <w:color w:val="000000"/>
                <w:sz w:val="21"/>
                <w:szCs w:val="21"/>
                <w:lang w:val="en-US" w:eastAsia="zh-CN"/>
              </w:rPr>
              <w:t xml:space="preserve">等方式</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演示，</w:t>
            </w:r>
            <w:r>
              <w:rPr>
                <w:rFonts w:hint="eastAsia" w:ascii="宋体" w:hAnsi="宋体" w:eastAsia="宋体" w:cs="宋体"/>
                <w:color w:val="000000"/>
                <w:sz w:val="21"/>
                <w:szCs w:val="21"/>
                <w:lang w:val="en-US" w:eastAsia="zh-CN"/>
              </w:rPr>
              <w:t xml:space="preserve">减半得分。</w:t>
            </w:r>
            <w:r>
              <w:rPr>
                <w:rFonts w:hint="eastAsia"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本项最多20分，采用非真实系统（如：D</w:t>
            </w:r>
            <w:r>
              <w:rPr>
                <w:rFonts w:ascii="宋体" w:hAnsi="宋体" w:eastAsia="宋体" w:cs="宋体"/>
                <w:color w:val="000000"/>
                <w:sz w:val="21"/>
                <w:szCs w:val="21"/>
                <w:lang w:val="en-US" w:eastAsia="zh-CN" w:bidi="ar-SA"/>
              </w:rPr>
              <w:t xml:space="preserve">EMO、PPT等方式）演示最多10分，建设内容理解程度不完整、覆盖程度方面不准确、界面不友好或未提供演示本项不得分。</w:t>
            </w:r>
            <w:r>
              <w:rPr>
                <w:rFonts w:ascii="宋体" w:hAnsi="宋体" w:eastAsia="宋体" w:cs="宋体"/>
                <w:color w:val="000000"/>
                <w:sz w:val="21"/>
                <w:szCs w:val="21"/>
                <w:lang w:val="en-US" w:eastAsia="zh-CN" w:bidi="ar-SA"/>
              </w:rPr>
            </w:r>
            <w:r/>
          </w:p>
          <w:p>
            <w:pPr>
              <w:pStyle w:val="867"/>
              <w:rPr>
                <w:rFonts w:ascii="Times New Roman" w:hAnsi="Times New Roman" w:eastAsia="宋体" w:cs="Times New Roman"/>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20</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主观分</w:t>
            </w:r>
            <w:r>
              <w:rPr>
                <w:rFonts w:ascii="宋体" w:hAnsi="宋体" w:eastAsia="宋体" w:cs="宋体"/>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根据本项目采购需求中“实施要求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szCs w:val="21"/>
              </w:rPr>
              <w:t xml:space="preserve">系统部署及接口方案</w:t>
            </w:r>
            <w:r>
              <w:rPr>
                <w:rFonts w:hint="eastAsia"/>
                <w:szCs w:val="21"/>
                <w:lang w:eastAsia="zh-CN"/>
              </w:rPr>
              <w:t xml:space="preserve">；</w:t>
            </w:r>
            <w:r>
              <w:rPr>
                <w:rFonts w:hint="eastAsia"/>
                <w:szCs w:val="21"/>
                <w:lang w:val="en-US" w:eastAsia="zh-CN"/>
              </w:rPr>
              <w:t xml:space="preserve">2.</w:t>
            </w:r>
            <w:r>
              <w:rPr>
                <w:rFonts w:hint="eastAsia"/>
                <w:szCs w:val="21"/>
              </w:rPr>
              <w:t xml:space="preserve">实施进度计划</w:t>
            </w:r>
            <w:r>
              <w:rPr>
                <w:rFonts w:hint="eastAsia"/>
                <w:szCs w:val="21"/>
                <w:lang w:eastAsia="zh-CN"/>
              </w:rPr>
              <w:t xml:space="preserve">；</w:t>
            </w:r>
            <w:r>
              <w:rPr>
                <w:rFonts w:hint="eastAsia"/>
                <w:szCs w:val="21"/>
                <w:lang w:val="en-US" w:eastAsia="zh-CN"/>
              </w:rPr>
              <w:t xml:space="preserve">3.</w:t>
            </w:r>
            <w:r>
              <w:rPr>
                <w:rFonts w:hint="eastAsia"/>
                <w:szCs w:val="21"/>
              </w:rPr>
              <w:t xml:space="preserve">试运行测试</w:t>
            </w:r>
            <w:r>
              <w:rPr>
                <w:rFonts w:hint="eastAsia"/>
                <w:szCs w:val="21"/>
                <w:lang w:eastAsia="zh-CN"/>
              </w:rPr>
              <w:t xml:space="preserve">；</w:t>
            </w:r>
            <w:r>
              <w:rPr>
                <w:rFonts w:hint="eastAsia"/>
                <w:szCs w:val="21"/>
                <w:lang w:val="en-US" w:eastAsia="zh-CN"/>
              </w:rPr>
              <w:t xml:space="preserve">4.</w:t>
            </w:r>
            <w:r>
              <w:rPr>
                <w:rFonts w:hint="eastAsia"/>
                <w:szCs w:val="21"/>
              </w:rPr>
              <w:t xml:space="preserve">系统培训</w:t>
            </w:r>
            <w:r>
              <w:rPr>
                <w:rFonts w:hint="eastAsia"/>
                <w:szCs w:val="21"/>
                <w:lang w:eastAsia="zh-CN"/>
              </w:rPr>
              <w:t xml:space="preserve">；</w:t>
            </w:r>
            <w:r>
              <w:rPr>
                <w:rFonts w:hint="eastAsia"/>
                <w:szCs w:val="21"/>
                <w:lang w:val="en-US" w:eastAsia="zh-CN"/>
              </w:rPr>
              <w:t xml:space="preserve">5.</w:t>
            </w:r>
            <w:r>
              <w:rPr>
                <w:rFonts w:hint="eastAsia"/>
                <w:szCs w:val="21"/>
              </w:rPr>
              <w:t xml:space="preserve">验收方案</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eastAsia="宋体" w:cs="宋体"/>
                <w:color w:val="000000"/>
                <w:spacing w:val="1"/>
                <w:sz w:val="21"/>
                <w:szCs w:val="21"/>
                <w:lang w:val="zh-CN"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lang w:val="en-US" w:eastAsia="zh-CN" w:bidi="ar-SA"/>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运维服务</w:t>
            </w:r>
            <w:r>
              <w:rPr>
                <w:rFonts w:hint="eastAsia" w:ascii="宋体" w:hAnsi="宋体" w:cs="宋体"/>
                <w:color w:val="000000"/>
                <w:spacing w:val="-2"/>
              </w:rPr>
              <w:t xml:space="preserve">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运维服务</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rFonts w:ascii="宋体" w:hAnsi="宋体" w:cs="宋体"/>
              </w:rPr>
              <w:t xml:space="preserve">服务范围</w:t>
            </w:r>
            <w:r>
              <w:rPr>
                <w:rFonts w:hint="eastAsia" w:ascii="宋体" w:hAnsi="宋体" w:cs="宋体"/>
                <w:lang w:eastAsia="zh-CN"/>
              </w:rPr>
              <w:t xml:space="preserve">；</w:t>
            </w:r>
            <w:r>
              <w:rPr>
                <w:rFonts w:hint="eastAsia" w:ascii="宋体" w:hAnsi="宋体" w:cs="宋体"/>
                <w:lang w:val="en-US" w:eastAsia="zh-CN"/>
              </w:rPr>
              <w:t xml:space="preserve">2.</w:t>
            </w:r>
            <w:r>
              <w:rPr>
                <w:rFonts w:ascii="宋体" w:hAnsi="宋体" w:cs="宋体"/>
              </w:rPr>
              <w:t xml:space="preserve">应急维保服务响应时间</w:t>
            </w:r>
            <w:r>
              <w:rPr>
                <w:rFonts w:hint="eastAsia" w:ascii="宋体" w:hAnsi="宋体" w:cs="宋体"/>
                <w:lang w:eastAsia="zh-CN"/>
              </w:rPr>
              <w:t xml:space="preserve">；</w:t>
            </w:r>
            <w:r>
              <w:rPr>
                <w:rFonts w:hint="eastAsia" w:ascii="宋体" w:hAnsi="宋体" w:cs="宋体"/>
                <w:lang w:val="en-US" w:eastAsia="zh-CN"/>
              </w:rPr>
              <w:t xml:space="preserve">3.</w:t>
            </w:r>
            <w:r>
              <w:rPr>
                <w:rFonts w:ascii="宋体" w:hAnsi="宋体" w:cs="宋体"/>
              </w:rPr>
              <w:t xml:space="preserve">服务</w:t>
            </w:r>
            <w:r>
              <w:rPr>
                <w:rFonts w:hint="eastAsia" w:ascii="宋体" w:hAnsi="宋体" w:cs="宋体"/>
                <w:lang w:val="en-US" w:eastAsia="zh-CN"/>
              </w:rPr>
              <w:t xml:space="preserve">措施</w:t>
            </w:r>
            <w:r>
              <w:rPr>
                <w:rFonts w:hint="eastAsia" w:ascii="宋体" w:hAnsi="宋体" w:cs="宋体"/>
                <w:lang w:eastAsia="zh-CN"/>
              </w:rPr>
              <w:t xml:space="preserve">；</w:t>
            </w:r>
            <w:r>
              <w:rPr>
                <w:rFonts w:hint="eastAsia" w:ascii="宋体" w:hAnsi="宋体" w:cs="宋体"/>
                <w:lang w:val="en-US" w:eastAsia="zh-CN"/>
              </w:rPr>
              <w:t xml:space="preserve">4.</w:t>
            </w:r>
            <w:r>
              <w:rPr>
                <w:rFonts w:ascii="宋体" w:hAnsi="宋体" w:cs="宋体"/>
              </w:rPr>
              <w:t xml:space="preserve">服务团队</w:t>
            </w:r>
            <w:r>
              <w:rPr>
                <w:rFonts w:hint="eastAsia" w:ascii="宋体" w:hAnsi="宋体" w:cs="宋体"/>
              </w:rPr>
              <w:t xml:space="preserve">与联系方式</w:t>
            </w:r>
            <w:r>
              <w:rPr>
                <w:rFonts w:hint="eastAsia" w:ascii="宋体" w:hAnsi="宋体" w:cs="宋体"/>
                <w:lang w:eastAsia="zh-CN"/>
              </w:rPr>
              <w:t xml:space="preserve">；</w:t>
            </w:r>
            <w:r>
              <w:rPr>
                <w:rFonts w:hint="eastAsia" w:ascii="宋体" w:hAnsi="宋体" w:cs="宋体"/>
                <w:lang w:val="en-US" w:eastAsia="zh-CN"/>
              </w:rPr>
              <w:t xml:space="preserve">5.</w:t>
            </w:r>
            <w:r>
              <w:rPr>
                <w:rFonts w:ascii="宋体" w:hAnsi="宋体" w:cs="宋体"/>
              </w:rPr>
              <w:t xml:space="preserve">紧急故障处理预案。</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7"/>
              <w:spacing w:line="264" w:lineRule="auto"/>
              <w:rPr>
                <w:rFonts w:ascii="Times New Roman" w:hAnsi="Times New Roman" w:eastAsia="方正仿宋_GBK" w:cs="Times New Roman"/>
                <w:color w:val="000000"/>
                <w:sz w:val="21"/>
                <w:szCs w:val="21"/>
                <w:lang w:val="en-US" w:eastAsia="zh-CN"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日（含）以来类似项目业绩，每提供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，最多</w:t>
            </w:r>
            <w:r>
              <w:rPr>
                <w:rFonts w:hint="eastAsia" w:ascii="宋体" w:hAnsi="宋体" w:cs="宋体"/>
                <w:color w:val="000000"/>
              </w:rPr>
              <w:t xml:space="preserve">得</w:t>
            </w:r>
            <w:r>
              <w:rPr>
                <w:rFonts w:hint="eastAsia" w:ascii="宋体" w:hAnsi="宋体" w:cs="宋体"/>
                <w:color w:val="000000"/>
              </w:rPr>
              <w:t xml:space="preserve">9分</w:t>
            </w:r>
            <w:r>
              <w:rPr>
                <w:rFonts w:ascii="宋体" w:hAnsi="宋体" w:cs="宋体"/>
                <w:color w:val="000000"/>
              </w:rPr>
              <w:t xml:space="preserve">。（</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spacing w:line="264" w:lineRule="auto"/>
              <w:rPr>
                <w:rFonts w:ascii="Times New Roman" w:hAnsi="Times New Roman" w:eastAsia="宋体" w:cs="Times New Roman"/>
                <w:color w:val="000000"/>
                <w:sz w:val="21"/>
                <w:szCs w:val="21"/>
                <w:lang w:val="en-US" w:eastAsia="zh-CN" w:bidi="ar-SA"/>
              </w:rPr>
            </w:pPr>
            <w:r>
              <w:rPr>
                <w:rFonts w:hint="eastAsia" w:ascii="宋体" w:hAnsi="宋体" w:cs="宋体"/>
                <w:color w:val="000000"/>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具有本项目相关的软件著作权证书，包括</w:t>
            </w:r>
            <w:r>
              <w:rPr>
                <w:rFonts w:ascii="宋体" w:hAnsi="宋体" w:eastAsia="宋体" w:cs="宋体"/>
                <w:color w:val="000000"/>
                <w:sz w:val="21"/>
                <w:szCs w:val="21"/>
                <w:lang w:val="en-US" w:eastAsia="zh-CN"/>
              </w:rPr>
              <w:t xml:space="preserve">“</w:t>
            </w:r>
            <w:r>
              <w:rPr>
                <w:szCs w:val="21"/>
              </w:rPr>
              <w:t xml:space="preserve">查房管理系统、带教自动编排系统、数字大屏系统软件、门诊治疗系统、</w:t>
            </w:r>
            <w:r>
              <w:rPr>
                <w:rFonts w:hint="eastAsia"/>
                <w:szCs w:val="21"/>
              </w:rPr>
              <w:t xml:space="preserve">他科</w:t>
            </w:r>
            <w:r>
              <w:rPr>
                <w:szCs w:val="21"/>
              </w:rPr>
              <w:t xml:space="preserve">治疗系统</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，每提供1个证书得1分，最多得5分。 </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947"/>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Arial Unicode MS" w:hAnsi="Arial Unicode MS" w:eastAsia="Arial Unicode MS" w:cs="Arial Unicode MS"/>
          <w:color w:val="000000"/>
          <w:sz w:val="36"/>
          <w:szCs w:val="36"/>
          <w:lang w:val="en-US" w:eastAsia="zh-CN"/>
        </w:rPr>
        <w:outlineLvl w:val="0"/>
      </w:pPr>
      <w:r>
        <w:rPr>
          <w:rFonts w:hint="eastAsia" w:ascii="黑体" w:hAnsi="Times New Roman" w:eastAsia="黑体"/>
          <w:bCs/>
          <w:sz w:val="44"/>
          <w:szCs w:val="28"/>
        </w:rPr>
        <w:br w:type="page" w:clear="all"/>
      </w:r>
      <w:r>
        <w:rPr>
          <w:rFonts w:hint="eastAsia" w:ascii="Arial Unicode MS" w:hAnsi="Arial Unicode MS" w:eastAsia="Arial Unicode MS" w:cs="Arial Unicode MS"/>
          <w:color w:val="000000"/>
          <w:sz w:val="36"/>
          <w:szCs w:val="36"/>
          <w:lang w:val="en-US" w:eastAsia="zh-CN"/>
        </w:rPr>
        <w:t xml:space="preserve">第六章  </w:t>
      </w:r>
      <w:bookmarkEnd w:id="19"/>
      <w:r/>
      <w:bookmarkEnd w:id="20"/>
      <w:r/>
      <w:bookmarkEnd w:id="21"/>
      <w:r>
        <w:rPr>
          <w:rFonts w:hint="eastAsia" w:ascii="Arial Unicode MS" w:hAnsi="Arial Unicode MS" w:eastAsia="Arial Unicode MS" w:cs="Arial Unicode MS"/>
          <w:color w:val="000000"/>
          <w:sz w:val="36"/>
          <w:szCs w:val="36"/>
          <w:lang w:val="en-US" w:eastAsia="zh-CN"/>
        </w:rPr>
        <w:t xml:space="preserve">响应文件格式 </w:t>
      </w:r>
      <w:r>
        <w:rPr>
          <w:rFonts w:hint="eastAsia" w:ascii="Arial Unicode MS" w:hAnsi="Arial Unicode MS" w:eastAsia="Arial Unicode MS" w:cs="Arial Unicode MS"/>
          <w:color w:val="000000"/>
          <w:sz w:val="36"/>
          <w:szCs w:val="36"/>
          <w:lang w:val="en-US" w:eastAsia="zh-CN"/>
        </w:rPr>
      </w:r>
      <w:r/>
    </w:p>
    <w:p>
      <w:pPr>
        <w:pStyle w:val="867"/>
        <w:jc w:val="center"/>
        <w:rPr>
          <w:rFonts w:hint="eastAsia" w:ascii="宋体" w:hAnsi="宋体"/>
          <w:b/>
          <w:sz w:val="72"/>
          <w:szCs w:val="21"/>
        </w:rPr>
      </w:pPr>
      <w:r/>
      <w:bookmarkStart w:id="23" w:name="_Hlt26671244"/>
      <w:r/>
      <w:bookmarkEnd w:id="23"/>
      <w:r/>
      <w:bookmarkStart w:id="24" w:name="_Toc49090576"/>
      <w:r/>
      <w:bookmarkStart w:id="25" w:name="_Toc120614282"/>
      <w:r/>
      <w:bookmarkStart w:id="26" w:name="_Toc26554094"/>
      <w:r/>
      <w:bookmarkStart w:id="27" w:name="_Hlt26955039"/>
      <w:r/>
      <w:bookmarkEnd w:id="27"/>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本项目无需提供</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9"/>
        <w:rPr>
          <w:rFonts w:hint="eastAsia"/>
          <w:lang w:val="en-US" w:eastAsia="zh-CN"/>
        </w:rPr>
      </w:pPr>
      <w:r>
        <w:rPr>
          <w:rFonts w:hint="eastAsia"/>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rPr>
          <w:rFonts w:hint="eastAsia" w:ascii="Arial Unicode MS" w:hAnsi="Arial Unicode MS" w:eastAsia="Arial Unicode MS" w:cs="Arial Unicode MS"/>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947"/>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zh-CN" w:eastAsia="zh-CN"/>
        </w:rPr>
        <w:outlineLvl w:val="2"/>
      </w:pPr>
      <w:r>
        <w:rPr>
          <w:rFonts w:hint="eastAsia" w:ascii="Arial Unicode MS" w:hAnsi="Arial Unicode MS" w:eastAsia="Arial Unicode MS" w:cs="Arial Unicode MS"/>
          <w:color w:val="000000"/>
          <w:sz w:val="32"/>
          <w:szCs w:val="32"/>
          <w:lang w:val="zh-CN" w:eastAsia="zh-CN"/>
        </w:rPr>
        <w:t xml:space="preserve">法人授权书</w:t>
      </w:r>
      <w:r>
        <w:rPr>
          <w:rFonts w:hint="eastAsia" w:ascii="Arial Unicode MS" w:hAnsi="Arial Unicode MS" w:eastAsia="Arial Unicode MS" w:cs="Arial Unicode MS"/>
          <w:color w:val="000000"/>
          <w:sz w:val="32"/>
          <w:szCs w:val="32"/>
          <w:lang w:val="zh-CN"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格式3__银行出具的资信证明"/>
      <w:r/>
      <w:bookmarkEnd w:id="29"/>
      <w:r/>
      <w:bookmarkStart w:id="30" w:name="_Hlt26955070"/>
      <w:r/>
      <w:bookmarkEnd w:id="30"/>
      <w:r/>
      <w:bookmarkStart w:id="31" w:name="_Hlt26671380"/>
      <w:r/>
      <w:bookmarkEnd w:id="31"/>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lang w:val="en-US" w:eastAsia="zh-CN"/>
        </w:rPr>
        <w:t xml:space="preserve">磋商响应函</w:t>
      </w:r>
      <w:r>
        <w:rPr>
          <w:rFonts w:hint="eastAsia" w:ascii="Arial Unicode MS" w:hAnsi="Arial Unicode MS" w:eastAsia="Arial Unicode MS" w:cs="Arial Unicode MS"/>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ascii="宋体" w:hAnsi="宋体" w:eastAsia="宋体" w:cs="Times New Roman"/>
          <w:sz w:val="24"/>
          <w:szCs w:val="21"/>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地  址：</w:t>
      </w:r>
      <w:r>
        <w:rPr>
          <w:rFonts w:hint="eastAsia" w:ascii="宋体" w:hAnsi="宋体" w:eastAsia="宋体" w:cs="Times New Roman"/>
          <w:sz w:val="24"/>
          <w:szCs w:val="21"/>
        </w:rPr>
      </w:r>
      <w:r/>
    </w:p>
    <w:p>
      <w:pPr>
        <w:pStyle w:val="96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磋商报价表</w:t>
      </w:r>
      <w:r>
        <w:rPr>
          <w:rFonts w:hint="eastAsia" w:ascii="Arial Unicode MS" w:hAnsi="Arial Unicode MS" w:eastAsia="Arial Unicode MS" w:cs="Arial Unicode MS"/>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8"/>
        <w:ind w:firstLine="0"/>
        <w:rPr>
          <w:rFonts w:hint="eastAsia"/>
        </w:rPr>
      </w:pPr>
      <w:r>
        <w:rPr>
          <w:rFonts w:hint="eastAsia"/>
        </w:rPr>
      </w:r>
      <w:r/>
    </w:p>
    <w:p>
      <w:pPr>
        <w:pStyle w:val="947"/>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47"/>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47"/>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分项报价表</w:t>
      </w:r>
      <w:r>
        <w:rPr>
          <w:rFonts w:hint="eastAsia" w:ascii="Arial Unicode MS" w:hAnsi="Arial Unicode MS" w:eastAsia="Arial Unicode MS" w:cs="Arial Unicode MS"/>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lang w:val="en-US" w:eastAsia="zh-CN"/>
        </w:rPr>
        <w:outlineLvl w:val="2"/>
      </w:pPr>
      <w:r>
        <w:rPr>
          <w:rFonts w:hint="eastAsia" w:ascii="Arial Unicode MS" w:hAnsi="Arial Unicode MS" w:eastAsia="Arial Unicode MS" w:cs="Arial Unicode MS"/>
          <w:b w:val="0"/>
          <w:bCs w:val="0"/>
          <w:color w:val="000000"/>
          <w:sz w:val="32"/>
          <w:szCs w:val="32"/>
          <w:lang w:val="en-US" w:eastAsia="zh-CN"/>
        </w:rPr>
        <w:t xml:space="preserve">技术要求响应及偏离表</w:t>
      </w:r>
      <w:r>
        <w:rPr>
          <w:rFonts w:hint="eastAsia" w:ascii="Arial Unicode MS" w:hAnsi="Arial Unicode MS" w:eastAsia="Arial Unicode MS" w:cs="Arial Unicode MS"/>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center"/>
        <w:rPr>
          <w:rFonts w:hint="eastAsia" w:ascii="黑体" w:hAnsi="Arial" w:eastAsia="黑体"/>
          <w:b/>
          <w:bCs/>
          <w:color w:val="0000ff"/>
          <w:sz w:val="36"/>
          <w:szCs w:val="36"/>
        </w:rPr>
      </w:pPr>
      <w:r>
        <w:rPr>
          <w:rFonts w:hint="eastAsia" w:ascii="黑体" w:hAnsi="Arial" w:eastAsia="黑体"/>
          <w:b/>
          <w:color w:val="0000ff"/>
          <w:sz w:val="36"/>
          <w:szCs w:val="21"/>
        </w:rPr>
      </w:r>
      <w:r>
        <w:rPr>
          <w:rFonts w:hint="eastAsia" w:ascii="黑体" w:hAnsi="Arial" w:eastAsia="黑体"/>
          <w:b/>
          <w:color w:val="0000ff"/>
          <w:sz w:val="36"/>
          <w:szCs w:val="21"/>
        </w:rPr>
      </w:r>
      <w:r/>
    </w:p>
    <w:p>
      <w:pPr>
        <w:jc w:val="center"/>
        <w:rPr>
          <w:rFonts w:hint="eastAsia" w:ascii="黑体" w:hAnsi="Arial" w:eastAsia="黑体"/>
          <w:b/>
          <w:bCs/>
          <w:color w:val="0000ff"/>
          <w:sz w:val="36"/>
          <w:szCs w:val="36"/>
        </w:rPr>
      </w:pPr>
      <w:r>
        <w:rPr>
          <w:rFonts w:hint="eastAsia" w:ascii="黑体" w:hAnsi="Arial" w:eastAsia="黑体"/>
          <w:b/>
          <w:bCs/>
          <w:color w:val="0000ff"/>
          <w:sz w:val="36"/>
          <w:szCs w:val="36"/>
        </w:rPr>
      </w:r>
      <w:r>
        <w:rPr>
          <w:rFonts w:hint="eastAsia" w:ascii="黑体" w:hAnsi="Arial" w:eastAsia="黑体"/>
          <w:b/>
          <w:bCs/>
          <w:color w:val="0000ff"/>
          <w:sz w:val="36"/>
          <w:szCs w:val="36"/>
        </w:rPr>
      </w:r>
      <w:r/>
    </w:p>
    <w:p>
      <w:pPr>
        <w:pStyle w:val="867"/>
        <w:jc w:val="center"/>
        <w:rPr>
          <w:rFonts w:hint="eastAsia" w:ascii="黑体" w:hAnsi="Arial" w:eastAsia="黑体"/>
          <w:b/>
          <w:bCs/>
          <w:color w:val="0000ff"/>
          <w:sz w:val="36"/>
          <w:szCs w:val="36"/>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lang w:val="en-US" w:eastAsia="zh-CN"/>
        </w:rPr>
        <w:outlineLvl w:val="2"/>
      </w:pPr>
      <w:r>
        <w:rPr>
          <w:rFonts w:hint="eastAsia" w:ascii="Arial Unicode MS" w:hAnsi="Arial Unicode MS" w:eastAsia="Arial Unicode MS" w:cs="Arial Unicode MS"/>
          <w:b w:val="0"/>
          <w:bCs w:val="0"/>
          <w:color w:val="000000"/>
          <w:sz w:val="32"/>
          <w:szCs w:val="32"/>
          <w:lang w:val="en-US" w:eastAsia="zh-CN"/>
        </w:rPr>
        <w:t xml:space="preserve">商务要求响应及偏离表</w:t>
      </w:r>
      <w:r>
        <w:rPr>
          <w:rFonts w:hint="eastAsia" w:ascii="Arial Unicode MS" w:hAnsi="Arial Unicode MS" w:eastAsia="Arial Unicode MS" w:cs="Arial Unicode MS"/>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3" w:name="_Hlt26580838"/>
            <w:r/>
            <w:bookmarkEnd w:id="33"/>
            <w:r/>
            <w:bookmarkStart w:id="34" w:name="_Hlt26671372"/>
            <w:r/>
            <w:bookmarkEnd w:id="34"/>
            <w:r/>
            <w:bookmarkStart w:id="35" w:name="_Hlt24879081"/>
            <w:r/>
            <w:bookmarkEnd w:id="35"/>
            <w:r/>
            <w:bookmarkStart w:id="36" w:name="_Hlt26955064"/>
            <w:r/>
            <w:bookmarkEnd w:id="36"/>
            <w:r/>
            <w:bookmarkStart w:id="37" w:name="_Hlt26955056"/>
            <w:r/>
            <w:bookmarkEnd w:id="37"/>
            <w:r/>
            <w:bookmarkStart w:id="38" w:name="_Hlt26782999"/>
            <w:r/>
            <w:bookmarkEnd w:id="38"/>
            <w:r/>
            <w:bookmarkStart w:id="39" w:name="_Hlt26671343"/>
            <w:r/>
            <w:bookmarkEnd w:id="39"/>
            <w:r/>
            <w:bookmarkStart w:id="40" w:name="_Hlt26609391"/>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38"/>
      </w:pPr>
      <w:r/>
      <w:r/>
    </w:p>
    <w:p>
      <w:pPr>
        <w:pStyle w:val="867"/>
      </w:pPr>
      <w:r/>
      <w:r/>
    </w:p>
    <w:p>
      <w:pPr>
        <w:pStyle w:val="938"/>
      </w:pPr>
      <w:r/>
      <w:r/>
    </w:p>
    <w:p>
      <w:pPr>
        <w:pStyle w:val="867"/>
      </w:pPr>
      <w:r/>
      <w:r/>
    </w:p>
    <w:p>
      <w:pPr>
        <w:pStyle w:val="947"/>
      </w:p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中小企业声明函（服务）</w:t>
      </w:r>
      <w:r>
        <w:rPr>
          <w:rFonts w:hint="eastAsia" w:ascii="Arial Unicode MS" w:hAnsi="Arial Unicode MS" w:eastAsia="Arial Unicode MS" w:cs="Arial Unicode MS"/>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val="0"/>
          <w:bCs w:val="0"/>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残疾人福利性单位声明函</w:t>
      </w:r>
      <w:r>
        <w:rPr>
          <w:rFonts w:hint="eastAsia" w:ascii="Arial Unicode MS" w:hAnsi="Arial Unicode MS" w:eastAsia="Arial Unicode MS" w:cs="Arial Unicode MS"/>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2"/>
        <w:ind w:firstLine="420"/>
        <w:jc w:val="center"/>
        <w:spacing w:before="24" w:beforeAutospacing="0" w:after="24" w:afterAutospacing="0" w:line="360" w:lineRule="auto"/>
        <w:shd w:val="clear" w:color="auto" w:fill="ffffff"/>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rPr>
          <w:rFonts w:hint="eastAsia" w:ascii="Arial Unicode MS" w:hAnsi="Arial Unicode MS" w:eastAsia="Arial Unicode MS" w:cs="Arial Unicode MS"/>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67"/>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标题 21"/>
    <w:basedOn w:val="867"/>
    <w:next w:val="867"/>
    <w:link w:val="867"/>
    <w:qFormat/>
    <w:pPr>
      <w:jc w:val="center"/>
      <w:keepLines/>
      <w:keepNext/>
      <w:spacing w:before="260" w:after="260" w:line="416" w:lineRule="auto"/>
      <w:outlineLvl w:val="1"/>
    </w:pPr>
    <w:rPr>
      <w:rFonts w:ascii="Arial" w:hAnsi="Arial" w:eastAsia="幼圆"/>
      <w:b/>
      <w:bCs/>
      <w:sz w:val="44"/>
      <w:szCs w:val="44"/>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索引 41"/>
    <w:basedOn w:val="867"/>
    <w:next w:val="867"/>
    <w:link w:val="867"/>
    <w:semiHidden/>
    <w:qFormat/>
    <w:pPr>
      <w:ind w:left="1260"/>
    </w:pPr>
    <w:rPr>
      <w:rFonts w:ascii="Calibri" w:hAnsi="Calibri" w:eastAsia="Calibri" w:cs="宋体"/>
      <w:sz w:val="20"/>
      <w:lang w:val="zh-CN"/>
    </w:rPr>
  </w:style>
  <w:style w:type="paragraph" w:styleId="948">
    <w:name w:val="正文文本缩进1"/>
    <w:basedOn w:val="867"/>
    <w:next w:val="949"/>
    <w:link w:val="867"/>
    <w:unhideWhenUsed/>
    <w:qFormat/>
    <w:pPr>
      <w:ind w:left="420"/>
      <w:spacing w:after="120"/>
    </w:pPr>
  </w:style>
  <w:style w:type="paragraph" w:styleId="949">
    <w:name w:val="正文文本首行缩进 2"/>
    <w:basedOn w:val="948"/>
    <w:next w:val="949"/>
    <w:link w:val="867"/>
    <w:qFormat/>
    <w:pPr>
      <w:ind w:left="0" w:firstLine="420"/>
      <w:spacing w:after="0" w:line="360" w:lineRule="auto"/>
    </w:pPr>
    <w:rPr>
      <w:rFonts w:ascii="宋体" w:hAnsi="宋体"/>
      <w:sz w:val="20"/>
      <w:szCs w:val="20"/>
      <w:lang w:val="en-US" w:eastAsia="en-US"/>
    </w:rPr>
  </w:style>
  <w:style w:type="character" w:styleId="950">
    <w:name w:val="font5 Char"/>
    <w:next w:val="950"/>
    <w:link w:val="867"/>
    <w:rPr>
      <w:rFonts w:ascii="宋体" w:hAnsi="宋体" w:eastAsia="宋体"/>
      <w:sz w:val="28"/>
      <w:szCs w:val="28"/>
      <w:lang w:val="en-US" w:eastAsia="zh-CN" w:bidi="ar-SA"/>
    </w:rPr>
  </w:style>
  <w:style w:type="character" w:styleId="951">
    <w:name w:val="二级目录 Char"/>
    <w:next w:val="951"/>
    <w:link w:val="952"/>
    <w:qFormat/>
    <w:rPr>
      <w:b/>
      <w:sz w:val="30"/>
      <w:szCs w:val="28"/>
    </w:rPr>
  </w:style>
  <w:style w:type="paragraph" w:styleId="952">
    <w:name w:val="二级目录"/>
    <w:next w:val="867"/>
    <w:link w:val="95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3">
    <w:name w:val="列出段落 Char"/>
    <w:next w:val="953"/>
    <w:link w:val="954"/>
    <w:qFormat/>
    <w:rPr>
      <w:rFonts w:ascii="Calibri" w:hAnsi="Calibri"/>
      <w:sz w:val="24"/>
      <w:szCs w:val="24"/>
      <w:lang w:eastAsia="en-US" w:bidi="en-US"/>
    </w:rPr>
  </w:style>
  <w:style w:type="paragraph" w:styleId="954">
    <w:name w:val="列出段落1"/>
    <w:basedOn w:val="867"/>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7"/>
    <w:next w:val="899"/>
    <w:link w:val="867"/>
    <w:qFormat/>
    <w:pPr>
      <w:spacing w:after="120"/>
    </w:pPr>
    <w:rPr>
      <w:rFonts w:ascii="宋体" w:hAnsi="Arial" w:eastAsia="宋体" w:cs="Times New Roman"/>
      <w:bCs/>
      <w:iCs/>
      <w:szCs w:val="24"/>
    </w:rPr>
  </w:style>
  <w:style w:type="paragraph" w:styleId="956">
    <w:name w:val="xl27"/>
    <w:basedOn w:val="867"/>
    <w:next w:val="956"/>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7"/>
    <w:next w:val="957"/>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7"/>
    <w:next w:val="958"/>
    <w:link w:val="867"/>
    <w:pPr>
      <w:ind w:firstLine="200"/>
      <w:tabs>
        <w:tab w:val="left" w:pos="360" w:leader="none"/>
      </w:tabs>
    </w:pPr>
    <w:rPr>
      <w:rFonts w:ascii="Times New Roman" w:hAnsi="Times New Roman" w:eastAsia="宋体" w:cs="Times New Roman"/>
      <w:sz w:val="28"/>
      <w:szCs w:val="30"/>
    </w:rPr>
  </w:style>
  <w:style w:type="paragraph" w:styleId="959">
    <w:name w:val=" Char"/>
    <w:basedOn w:val="893"/>
    <w:next w:val="959"/>
    <w:link w:val="867"/>
    <w:rPr>
      <w:rFonts w:ascii="Tahoma" w:hAnsi="Tahoma"/>
      <w:sz w:val="24"/>
      <w:szCs w:val="24"/>
    </w:rPr>
  </w:style>
  <w:style w:type="paragraph" w:styleId="960">
    <w:name w:val="普通正文"/>
    <w:basedOn w:val="867"/>
    <w:next w:val="960"/>
    <w:link w:val="867"/>
    <w:qFormat/>
    <w:pPr>
      <w:ind w:firstLine="480"/>
      <w:jc w:val="left"/>
      <w:spacing w:before="120" w:after="120" w:line="360" w:lineRule="auto"/>
    </w:pPr>
    <w:rPr>
      <w:rFonts w:ascii="Arial" w:hAnsi="Arial" w:eastAsia="宋体" w:cs="Times New Roman"/>
      <w:sz w:val="24"/>
      <w:szCs w:val="24"/>
    </w:rPr>
  </w:style>
  <w:style w:type="paragraph" w:styleId="961">
    <w:name w:val="table_lines"/>
    <w:basedOn w:val="867"/>
    <w:next w:val="961"/>
    <w:link w:val="867"/>
    <w:qFormat/>
    <w:pPr>
      <w:jc w:val="left"/>
      <w:widowControl/>
    </w:pPr>
    <w:rPr>
      <w:rFonts w:ascii="Times New Roman" w:hAnsi="Times New Roman" w:eastAsia="宋体" w:cs="Times New Roman"/>
      <w:sz w:val="20"/>
      <w:szCs w:val="20"/>
      <w:lang w:val="de-DE" w:eastAsia="de-DE"/>
    </w:rPr>
  </w:style>
  <w:style w:type="paragraph" w:styleId="962">
    <w:name w:val="附录1"/>
    <w:next w:val="962"/>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3">
    <w:name w:val="font7"/>
    <w:basedOn w:val="867"/>
    <w:next w:val="963"/>
    <w:link w:val="867"/>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3"/>
    <w:next w:val="964"/>
    <w:link w:val="867"/>
    <w:pPr>
      <w:spacing w:line="360" w:lineRule="auto"/>
    </w:pPr>
    <w:rPr>
      <w:rFonts w:ascii="Tahoma" w:hAnsi="Tahoma"/>
      <w:sz w:val="24"/>
      <w:szCs w:val="24"/>
    </w:rPr>
  </w:style>
  <w:style w:type="paragraph" w:styleId="965">
    <w:name w:val="List Paragraph"/>
    <w:basedOn w:val="867"/>
    <w:next w:val="965"/>
    <w:link w:val="867"/>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7">
    <w:name w:val="普通 (Web)"/>
    <w:basedOn w:val="867"/>
    <w:next w:val="967"/>
    <w:link w:val="867"/>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7"/>
    <w:next w:val="968"/>
    <w:link w:val="867"/>
    <w:qFormat/>
    <w:pPr>
      <w:spacing w:line="360" w:lineRule="auto"/>
    </w:pPr>
    <w:rPr>
      <w:rFonts w:ascii="Times New Roman" w:hAnsi="Times New Roman" w:eastAsia="宋体" w:cs="Times New Roman"/>
      <w:sz w:val="24"/>
      <w:szCs w:val="20"/>
    </w:rPr>
  </w:style>
  <w:style w:type="paragraph" w:styleId="969">
    <w:name w:val="样式1"/>
    <w:basedOn w:val="867"/>
    <w:next w:val="969"/>
    <w:link w:val="867"/>
    <w:pPr>
      <w:numPr>
        <w:ilvl w:val="0"/>
        <w:numId w:val="3"/>
      </w:numPr>
      <w:tabs>
        <w:tab w:val="left" w:pos="709" w:leader="none"/>
      </w:tabs>
    </w:pPr>
    <w:rPr>
      <w:rFonts w:ascii="宋体" w:hAnsi="宋体" w:eastAsia="宋体" w:cs="Times New Roman"/>
      <w:szCs w:val="21"/>
    </w:rPr>
  </w:style>
  <w:style w:type="paragraph" w:styleId="970">
    <w:name w:val="font6"/>
    <w:basedOn w:val="867"/>
    <w:next w:val="970"/>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7"/>
    <w:next w:val="971"/>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4">
    <w:name w:val="xl24"/>
    <w:basedOn w:val="867"/>
    <w:next w:val="974"/>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7"/>
    <w:next w:val="975"/>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28"/>
    <w:basedOn w:val="867"/>
    <w:next w:val="977"/>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30"/>
    <w:basedOn w:val="867"/>
    <w:next w:val="979"/>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3"/>
    <w:next w:val="980"/>
    <w:link w:val="867"/>
    <w:pPr>
      <w:spacing w:line="360" w:lineRule="auto"/>
    </w:pPr>
    <w:rPr>
      <w:rFonts w:ascii="Tahoma" w:hAnsi="Tahoma"/>
      <w:sz w:val="24"/>
      <w:szCs w:val="24"/>
    </w:rPr>
  </w:style>
  <w:style w:type="paragraph" w:styleId="981">
    <w:name w:val="table_1stline"/>
    <w:basedOn w:val="867"/>
    <w:next w:val="981"/>
    <w:link w:val="867"/>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7"/>
    <w:next w:val="982"/>
    <w:link w:val="867"/>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_Style 112"/>
    <w:next w:val="984"/>
    <w:link w:val="867"/>
    <w:uiPriority w:val="99"/>
    <w:semiHidden/>
    <w:rPr>
      <w:rFonts w:ascii="Times New Roman" w:hAnsi="Times New Roman" w:eastAsia="宋体" w:cs="Times New Roman"/>
      <w:sz w:val="21"/>
      <w:szCs w:val="21"/>
      <w:lang w:val="en-US" w:eastAsia="zh-CN" w:bidi="ar-SA"/>
    </w:rPr>
  </w:style>
  <w:style w:type="paragraph" w:styleId="985">
    <w:name w:val="No Spacing"/>
    <w:next w:val="985"/>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6">
    <w:name w:val="Table Normal"/>
    <w:next w:val="986"/>
    <w:link w:val="867"/>
    <w:qFormat/>
    <w:tblPr/>
  </w:style>
  <w:style w:type="paragraph" w:styleId="987">
    <w:name w:val="正文文本 211"/>
    <w:basedOn w:val="867"/>
    <w:next w:val="987"/>
    <w:link w:val="867"/>
    <w:uiPriority w:val="99"/>
    <w:qFormat/>
    <w:pPr>
      <w:jc w:val="center"/>
    </w:pPr>
    <w:rPr>
      <w:b/>
      <w:bCs/>
      <w:sz w:val="20"/>
      <w:szCs w:val="20"/>
    </w:rPr>
  </w:style>
  <w:style w:type="paragraph" w:styleId="988">
    <w:name w:val="正文文本1"/>
    <w:basedOn w:val="867"/>
    <w:next w:val="867"/>
    <w:link w:val="867"/>
    <w:semiHidden/>
    <w:qFormat/>
    <w:rPr>
      <w:rFonts w:ascii="Arial" w:hAnsi="Arial" w:eastAsia="Arial" w:cs="Arial"/>
      <w:sz w:val="21"/>
      <w:szCs w:val="21"/>
      <w:lang w:val="en-US" w:eastAsia="en-US" w:bidi="ar-SA"/>
    </w:rPr>
  </w:style>
  <w:style w:type="paragraph" w:styleId="989">
    <w:name w:val="正文文本12"/>
    <w:basedOn w:val="867"/>
    <w:next w:val="989"/>
    <w:link w:val="867"/>
    <w:uiPriority w:val="1"/>
    <w:qFormat/>
    <w:pPr>
      <w:ind w:left="120"/>
    </w:pPr>
    <w:rPr>
      <w:rFonts w:ascii="宋体" w:hAnsi="宋体" w:eastAsia="宋体" w:cs="宋体"/>
      <w:sz w:val="21"/>
      <w:szCs w:val="21"/>
      <w:lang w:val="zh-CN" w:eastAsia="zh-CN" w:bidi="zh-CN"/>
    </w:rPr>
  </w:style>
  <w:style w:type="paragraph" w:styleId="990">
    <w:name w:val="纯文本1"/>
    <w:basedOn w:val="867"/>
    <w:next w:val="990"/>
    <w:link w:val="867"/>
    <w:qFormat/>
    <w:rPr>
      <w:rFonts w:ascii="宋体" w:hAnsi="Courier New" w:cs="Courier New"/>
    </w:rPr>
  </w:style>
  <w:style w:type="table" w:styleId="991">
    <w:name w:val="网格型1"/>
    <w:basedOn w:val="992"/>
    <w:next w:val="991"/>
    <w:link w:val="867"/>
    <w:qFormat/>
    <w:pPr>
      <w:jc w:val="both"/>
      <w:widowControl w:val="off"/>
    </w:pPr>
    <w:tblPr/>
  </w:style>
  <w:style w:type="table" w:styleId="992">
    <w:name w:val="普通表格1"/>
    <w:next w:val="992"/>
    <w:link w:val="867"/>
    <w:uiPriority w:val="99"/>
    <w:unhideWhenUsed/>
    <w:qFormat/>
    <w:tblPr/>
  </w:style>
  <w:style w:type="character" w:styleId="993">
    <w:name w:val="15"/>
    <w:basedOn w:val="877"/>
    <w:next w:val="993"/>
    <w:link w:val="867"/>
    <w:rPr>
      <w:rFonts w:ascii="Times New Roman" w:hAnsi="Times New Roman" w:cs="Times New Roman"/>
    </w:rPr>
  </w:style>
  <w:style w:type="paragraph" w:styleId="994">
    <w:name w:val="正文首行缩进 211"/>
    <w:basedOn w:val="995"/>
    <w:next w:val="867"/>
    <w:link w:val="867"/>
    <w:qFormat/>
    <w:pPr>
      <w:ind w:left="0" w:firstLine="420"/>
      <w:spacing w:after="0" w:line="360" w:lineRule="auto"/>
    </w:pPr>
    <w:rPr>
      <w:rFonts w:ascii="宋体" w:hAnsi="宋体" w:eastAsia="宋体" w:cs="Times New Roman"/>
      <w:szCs w:val="20"/>
    </w:rPr>
  </w:style>
  <w:style w:type="paragraph" w:styleId="995">
    <w:name w:val="正文文本缩进11"/>
    <w:basedOn w:val="867"/>
    <w:next w:val="996"/>
    <w:link w:val="867"/>
    <w:unhideWhenUsed/>
    <w:qFormat/>
    <w:pPr>
      <w:ind w:left="420"/>
      <w:spacing w:after="120"/>
    </w:pPr>
  </w:style>
  <w:style w:type="paragraph" w:styleId="996">
    <w:name w:val="寄信人地址1"/>
    <w:basedOn w:val="867"/>
    <w:next w:val="996"/>
    <w:link w:val="867"/>
    <w:qFormat/>
    <w:rPr>
      <w:rFonts w:ascii="Arial" w:hAnsi="Arial" w:eastAsia="宋体" w:cs="宋体"/>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2023-03-27T07:28:00Z</dcterms:created>
  <dcterms:modified xsi:type="dcterms:W3CDTF">2026-06-16T05:46:13Z</dcterms:modified>
</cp:coreProperties>
</file>