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EABDD">
      <w:pPr>
        <w:tabs>
          <w:tab w:val="left" w:pos="630"/>
        </w:tabs>
        <w:spacing w:line="360" w:lineRule="auto"/>
        <w:rPr>
          <w:rFonts w:ascii="Arial" w:hAnsi="Arial" w:cs="Arial"/>
          <w:b/>
          <w:bCs/>
          <w:color w:val="auto"/>
          <w:sz w:val="44"/>
          <w:szCs w:val="44"/>
          <w:highlight w:val="none"/>
        </w:rPr>
      </w:pPr>
    </w:p>
    <w:p w14:paraId="0A53FC74">
      <w:pPr>
        <w:tabs>
          <w:tab w:val="left" w:pos="630"/>
        </w:tabs>
        <w:spacing w:line="360" w:lineRule="auto"/>
        <w:jc w:val="center"/>
        <w:rPr>
          <w:rFonts w:ascii="Arial" w:hAnsi="Arial" w:cs="Arial"/>
          <w:b/>
          <w:bCs/>
          <w:color w:val="auto"/>
          <w:sz w:val="44"/>
          <w:szCs w:val="44"/>
          <w:highlight w:val="none"/>
        </w:rPr>
      </w:pPr>
      <w:r>
        <w:rPr>
          <w:rFonts w:hint="eastAsia" w:ascii="Arial" w:hAnsi="Arial" w:cs="Arial"/>
          <w:b/>
          <w:bCs/>
          <w:color w:val="auto"/>
          <w:sz w:val="56"/>
          <w:szCs w:val="56"/>
          <w:highlight w:val="none"/>
        </w:rPr>
        <w:t>江苏第二师范学院石湫校区学生宿舍卫生间渗水维修项目</w:t>
      </w:r>
    </w:p>
    <w:p w14:paraId="5308A656">
      <w:pPr>
        <w:spacing w:line="360" w:lineRule="auto"/>
        <w:rPr>
          <w:rFonts w:ascii="Arial" w:hAnsi="Arial" w:cs="Arial"/>
          <w:b/>
          <w:bCs/>
          <w:color w:val="auto"/>
          <w:sz w:val="44"/>
          <w:szCs w:val="44"/>
          <w:highlight w:val="none"/>
        </w:rPr>
      </w:pPr>
    </w:p>
    <w:p w14:paraId="0DE213ED">
      <w:pPr>
        <w:spacing w:line="360" w:lineRule="auto"/>
        <w:rPr>
          <w:rFonts w:ascii="Arial" w:hAnsi="Arial" w:cs="Arial"/>
          <w:color w:val="auto"/>
          <w:sz w:val="36"/>
          <w:szCs w:val="36"/>
          <w:highlight w:val="none"/>
        </w:rPr>
      </w:pPr>
    </w:p>
    <w:p w14:paraId="3523270B">
      <w:pPr>
        <w:spacing w:line="360" w:lineRule="auto"/>
        <w:rPr>
          <w:rFonts w:ascii="Arial" w:hAnsi="Arial" w:cs="Arial"/>
          <w:color w:val="auto"/>
          <w:sz w:val="36"/>
          <w:szCs w:val="36"/>
          <w:highlight w:val="none"/>
        </w:rPr>
      </w:pPr>
    </w:p>
    <w:p w14:paraId="209D9076">
      <w:pPr>
        <w:spacing w:line="360" w:lineRule="auto"/>
        <w:rPr>
          <w:rFonts w:ascii="Arial" w:hAnsi="Arial" w:cs="Arial"/>
          <w:color w:val="auto"/>
          <w:sz w:val="44"/>
          <w:szCs w:val="44"/>
          <w:highlight w:val="none"/>
        </w:rPr>
      </w:pPr>
    </w:p>
    <w:p w14:paraId="57BBD2F0">
      <w:pPr>
        <w:tabs>
          <w:tab w:val="left" w:pos="390"/>
          <w:tab w:val="center" w:pos="4404"/>
        </w:tabs>
        <w:spacing w:line="360" w:lineRule="auto"/>
        <w:jc w:val="center"/>
        <w:rPr>
          <w:rFonts w:ascii="Arial" w:hAnsi="Arial" w:cs="Arial"/>
          <w:b/>
          <w:bCs/>
          <w:color w:val="auto"/>
          <w:sz w:val="44"/>
          <w:szCs w:val="44"/>
          <w:highlight w:val="none"/>
        </w:rPr>
      </w:pPr>
      <w:r>
        <w:rPr>
          <w:rFonts w:ascii="Arial" w:hAnsi="宋体" w:cs="Arial"/>
          <w:b/>
          <w:bCs/>
          <w:color w:val="auto"/>
          <w:sz w:val="44"/>
          <w:szCs w:val="44"/>
          <w:highlight w:val="none"/>
        </w:rPr>
        <w:t>竞争性磋商文件</w:t>
      </w:r>
    </w:p>
    <w:p w14:paraId="5B981362">
      <w:pPr>
        <w:spacing w:line="360" w:lineRule="auto"/>
        <w:jc w:val="center"/>
        <w:rPr>
          <w:rFonts w:ascii="Arial" w:hAnsi="Arial" w:cs="Arial"/>
          <w:b/>
          <w:bCs/>
          <w:color w:val="auto"/>
          <w:sz w:val="36"/>
          <w:szCs w:val="36"/>
          <w:highlight w:val="none"/>
        </w:rPr>
      </w:pPr>
      <w:r>
        <w:rPr>
          <w:rFonts w:ascii="Arial" w:hAnsi="宋体" w:cs="Arial"/>
          <w:b/>
          <w:bCs/>
          <w:color w:val="auto"/>
          <w:sz w:val="36"/>
          <w:szCs w:val="36"/>
          <w:highlight w:val="none"/>
        </w:rPr>
        <w:t>项目编号：</w:t>
      </w:r>
      <w:r>
        <w:rPr>
          <w:rFonts w:hint="eastAsia" w:ascii="Arial" w:hAnsi="宋体" w:cs="Arial"/>
          <w:b/>
          <w:bCs/>
          <w:color w:val="auto"/>
          <w:sz w:val="36"/>
          <w:szCs w:val="36"/>
          <w:highlight w:val="none"/>
        </w:rPr>
        <w:t>JSZC-320000-JCEC-C2026-0196</w:t>
      </w:r>
    </w:p>
    <w:p w14:paraId="742C7A67">
      <w:pPr>
        <w:spacing w:line="360" w:lineRule="auto"/>
        <w:jc w:val="center"/>
        <w:rPr>
          <w:rFonts w:ascii="Arial" w:hAnsi="Arial" w:cs="Arial"/>
          <w:color w:val="auto"/>
          <w:sz w:val="48"/>
          <w:szCs w:val="48"/>
          <w:highlight w:val="none"/>
        </w:rPr>
      </w:pPr>
    </w:p>
    <w:p w14:paraId="6960BF85">
      <w:pPr>
        <w:spacing w:line="360" w:lineRule="auto"/>
        <w:jc w:val="center"/>
        <w:rPr>
          <w:rFonts w:ascii="Arial" w:hAnsi="Arial" w:cs="Arial"/>
          <w:color w:val="auto"/>
          <w:sz w:val="48"/>
          <w:szCs w:val="48"/>
          <w:highlight w:val="none"/>
        </w:rPr>
      </w:pPr>
    </w:p>
    <w:p w14:paraId="3FA04621">
      <w:pPr>
        <w:spacing w:line="360" w:lineRule="auto"/>
        <w:jc w:val="center"/>
        <w:rPr>
          <w:rFonts w:ascii="Arial" w:hAnsi="Arial" w:cs="Arial"/>
          <w:color w:val="auto"/>
          <w:sz w:val="48"/>
          <w:szCs w:val="48"/>
          <w:highlight w:val="none"/>
        </w:rPr>
      </w:pPr>
    </w:p>
    <w:p w14:paraId="02AF40A6">
      <w:pPr>
        <w:spacing w:line="360" w:lineRule="auto"/>
        <w:jc w:val="center"/>
        <w:rPr>
          <w:rFonts w:ascii="Arial" w:hAnsi="Arial" w:cs="Arial"/>
          <w:color w:val="auto"/>
          <w:sz w:val="48"/>
          <w:szCs w:val="48"/>
          <w:highlight w:val="none"/>
        </w:rPr>
      </w:pPr>
    </w:p>
    <w:p w14:paraId="184FDFEC">
      <w:pPr>
        <w:pStyle w:val="250"/>
        <w:ind w:firstLine="960"/>
        <w:rPr>
          <w:rFonts w:ascii="Arial" w:hAnsi="Arial" w:cs="Arial"/>
          <w:color w:val="auto"/>
          <w:sz w:val="48"/>
          <w:szCs w:val="48"/>
          <w:highlight w:val="none"/>
        </w:rPr>
      </w:pPr>
    </w:p>
    <w:p w14:paraId="4B4E1C61">
      <w:pPr>
        <w:pStyle w:val="250"/>
        <w:ind w:firstLine="960"/>
        <w:rPr>
          <w:rFonts w:ascii="Arial" w:hAnsi="Arial" w:cs="Arial"/>
          <w:color w:val="auto"/>
          <w:sz w:val="48"/>
          <w:szCs w:val="48"/>
          <w:highlight w:val="none"/>
        </w:rPr>
      </w:pPr>
    </w:p>
    <w:p w14:paraId="0EA39633">
      <w:pPr>
        <w:pStyle w:val="250"/>
        <w:ind w:firstLine="960"/>
        <w:rPr>
          <w:rFonts w:ascii="Arial" w:hAnsi="Arial" w:cs="Arial"/>
          <w:color w:val="auto"/>
          <w:sz w:val="48"/>
          <w:szCs w:val="48"/>
          <w:highlight w:val="none"/>
        </w:rPr>
      </w:pPr>
    </w:p>
    <w:p w14:paraId="34C5D7A7">
      <w:pPr>
        <w:spacing w:line="360" w:lineRule="auto"/>
        <w:jc w:val="center"/>
        <w:rPr>
          <w:rFonts w:hint="eastAsia" w:ascii="Arial" w:hAnsi="宋体" w:cs="Arial"/>
          <w:b/>
          <w:color w:val="auto"/>
          <w:sz w:val="32"/>
          <w:szCs w:val="32"/>
          <w:highlight w:val="none"/>
        </w:rPr>
      </w:pPr>
      <w:r>
        <w:rPr>
          <w:rFonts w:hint="eastAsia" w:ascii="Arial" w:hAnsi="宋体" w:cs="Arial"/>
          <w:b/>
          <w:color w:val="auto"/>
          <w:sz w:val="32"/>
          <w:szCs w:val="32"/>
          <w:highlight w:val="none"/>
        </w:rPr>
        <w:t>采购人：江苏第二师范学院</w:t>
      </w:r>
    </w:p>
    <w:p w14:paraId="24EEF331">
      <w:pPr>
        <w:spacing w:line="360" w:lineRule="auto"/>
        <w:jc w:val="center"/>
        <w:rPr>
          <w:rFonts w:hint="eastAsia" w:ascii="Arial" w:hAnsi="宋体" w:cs="Arial"/>
          <w:b/>
          <w:color w:val="auto"/>
          <w:sz w:val="32"/>
          <w:szCs w:val="32"/>
          <w:highlight w:val="none"/>
        </w:rPr>
      </w:pPr>
      <w:r>
        <w:rPr>
          <w:rFonts w:hint="eastAsia" w:ascii="Arial" w:hAnsi="宋体" w:cs="Arial"/>
          <w:b/>
          <w:color w:val="auto"/>
          <w:sz w:val="32"/>
          <w:szCs w:val="32"/>
          <w:highlight w:val="none"/>
        </w:rPr>
        <w:t>采购代理机构：</w:t>
      </w:r>
      <w:r>
        <w:rPr>
          <w:rFonts w:ascii="Arial" w:hAnsi="宋体" w:cs="Arial"/>
          <w:b/>
          <w:color w:val="auto"/>
          <w:sz w:val="32"/>
          <w:szCs w:val="32"/>
          <w:highlight w:val="none"/>
        </w:rPr>
        <w:t>江苏省设备成套股份有限公司</w:t>
      </w:r>
    </w:p>
    <w:p w14:paraId="7DF46A40">
      <w:pPr>
        <w:spacing w:line="360" w:lineRule="auto"/>
        <w:jc w:val="center"/>
        <w:rPr>
          <w:rFonts w:hint="eastAsia" w:ascii="Arial" w:hAnsi="宋体" w:cs="Arial"/>
          <w:b/>
          <w:color w:val="auto"/>
          <w:sz w:val="32"/>
          <w:szCs w:val="32"/>
          <w:highlight w:val="none"/>
        </w:rPr>
      </w:pPr>
      <w:r>
        <w:rPr>
          <w:rFonts w:hint="eastAsia" w:ascii="Arial" w:hAnsi="宋体" w:cs="Arial"/>
          <w:b/>
          <w:color w:val="auto"/>
          <w:sz w:val="32"/>
          <w:szCs w:val="32"/>
          <w:highlight w:val="none"/>
        </w:rPr>
        <w:t>2026年6月</w:t>
      </w:r>
    </w:p>
    <w:p w14:paraId="249D1615">
      <w:pPr>
        <w:spacing w:line="360" w:lineRule="auto"/>
        <w:jc w:val="center"/>
        <w:rPr>
          <w:rFonts w:hint="eastAsia" w:ascii="Arial" w:hAnsi="宋体" w:cs="Arial"/>
          <w:b/>
          <w:color w:val="auto"/>
          <w:sz w:val="32"/>
          <w:szCs w:val="32"/>
          <w:highlight w:val="none"/>
          <w:lang w:val="zh-CN"/>
        </w:rPr>
        <w:sectPr>
          <w:headerReference r:id="rId4" w:type="first"/>
          <w:headerReference r:id="rId3" w:type="default"/>
          <w:footerReference r:id="rId5" w:type="default"/>
          <w:pgSz w:w="11906" w:h="16838"/>
          <w:pgMar w:top="1440" w:right="1800" w:bottom="1440" w:left="1800" w:header="851" w:footer="680" w:gutter="0"/>
          <w:cols w:space="1701" w:num="1"/>
          <w:titlePg/>
          <w:docGrid w:linePitch="360" w:charSpace="0"/>
        </w:sectPr>
      </w:pPr>
      <w:bookmarkStart w:id="0" w:name="_Toc29585"/>
    </w:p>
    <w:p w14:paraId="3964EEC8">
      <w:pPr>
        <w:pStyle w:val="210"/>
        <w:numPr>
          <w:ilvl w:val="0"/>
          <w:numId w:val="0"/>
        </w:numPr>
        <w:spacing w:after="480" w:line="360" w:lineRule="auto"/>
        <w:ind w:right="-733"/>
        <w:jc w:val="center"/>
        <w:rPr>
          <w:rFonts w:ascii="Arial" w:hAnsi="Arial" w:cs="Arial"/>
          <w:color w:val="auto"/>
          <w:sz w:val="36"/>
          <w:highlight w:val="none"/>
          <w:lang w:val="zh-CN"/>
        </w:rPr>
      </w:pPr>
      <w:r>
        <w:rPr>
          <w:rFonts w:ascii="Arial" w:hAnsi="宋体" w:cs="Arial"/>
          <w:color w:val="auto"/>
          <w:sz w:val="36"/>
          <w:highlight w:val="none"/>
          <w:lang w:val="zh-CN"/>
        </w:rPr>
        <w:t>目录</w:t>
      </w:r>
      <w:bookmarkEnd w:id="0"/>
    </w:p>
    <w:p w14:paraId="7BE01585">
      <w:pPr>
        <w:pStyle w:val="236"/>
        <w:tabs>
          <w:tab w:val="right" w:leader="dot" w:pos="8306"/>
        </w:tabs>
        <w:rPr>
          <w:color w:val="auto"/>
          <w:highlight w:val="none"/>
        </w:rPr>
      </w:pPr>
      <w:r>
        <w:rPr>
          <w:rFonts w:ascii="Arial" w:hAnsi="Arial" w:cs="Arial"/>
          <w:b w:val="0"/>
          <w:color w:val="auto"/>
          <w:sz w:val="24"/>
          <w:szCs w:val="24"/>
          <w:highlight w:val="none"/>
        </w:rPr>
        <w:fldChar w:fldCharType="begin"/>
      </w:r>
      <w:r>
        <w:rPr>
          <w:rFonts w:ascii="Arial" w:hAnsi="Arial" w:cs="Arial"/>
          <w:b w:val="0"/>
          <w:color w:val="auto"/>
          <w:sz w:val="24"/>
          <w:szCs w:val="24"/>
          <w:highlight w:val="none"/>
        </w:rPr>
        <w:instrText xml:space="preserve"> TOC \o "1-3" \h \z \u </w:instrText>
      </w:r>
      <w:r>
        <w:rPr>
          <w:rFonts w:ascii="Arial" w:hAnsi="Arial" w:cs="Arial"/>
          <w:b w:val="0"/>
          <w:color w:val="auto"/>
          <w:sz w:val="24"/>
          <w:szCs w:val="24"/>
          <w:highlight w:val="none"/>
        </w:rPr>
        <w:fldChar w:fldCharType="separate"/>
      </w:r>
      <w:r>
        <w:rPr>
          <w:color w:val="auto"/>
          <w:highlight w:val="none"/>
        </w:rPr>
        <w:fldChar w:fldCharType="begin"/>
      </w:r>
      <w:r>
        <w:rPr>
          <w:color w:val="auto"/>
          <w:highlight w:val="none"/>
        </w:rPr>
        <w:instrText xml:space="preserve"> HYPERLINK \l "_Toc29568" </w:instrText>
      </w:r>
      <w:r>
        <w:rPr>
          <w:color w:val="auto"/>
          <w:highlight w:val="none"/>
        </w:rPr>
        <w:fldChar w:fldCharType="separate"/>
      </w:r>
      <w:r>
        <w:rPr>
          <w:rFonts w:ascii="Arial" w:cs="Arial"/>
          <w:color w:val="auto"/>
          <w:highlight w:val="none"/>
          <w:lang w:val="zh-CN"/>
        </w:rPr>
        <w:t>第一章</w:t>
      </w:r>
      <w:r>
        <w:rPr>
          <w:rFonts w:ascii="Arial" w:hAnsi="Arial" w:cs="Arial"/>
          <w:color w:val="auto"/>
          <w:highlight w:val="none"/>
          <w:lang w:val="zh-CN"/>
        </w:rPr>
        <w:t xml:space="preserve"> </w:t>
      </w:r>
      <w:r>
        <w:rPr>
          <w:rFonts w:ascii="Arial" w:cs="Arial"/>
          <w:color w:val="auto"/>
          <w:highlight w:val="none"/>
          <w:lang w:val="zh-CN"/>
        </w:rPr>
        <w:t>竞争性磋商公告</w:t>
      </w:r>
      <w:r>
        <w:rPr>
          <w:color w:val="auto"/>
          <w:highlight w:val="none"/>
        </w:rPr>
        <w:tab/>
      </w:r>
      <w:r>
        <w:rPr>
          <w:color w:val="auto"/>
          <w:highlight w:val="none"/>
        </w:rPr>
        <w:fldChar w:fldCharType="begin"/>
      </w:r>
      <w:r>
        <w:rPr>
          <w:color w:val="auto"/>
          <w:highlight w:val="none"/>
        </w:rPr>
        <w:instrText xml:space="preserve"> PAGEREF _Toc29568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5EA68746">
      <w:pPr>
        <w:pStyle w:val="236"/>
        <w:tabs>
          <w:tab w:val="right" w:leader="dot" w:pos="8306"/>
        </w:tabs>
        <w:rPr>
          <w:color w:val="auto"/>
          <w:highlight w:val="none"/>
        </w:rPr>
      </w:pPr>
      <w:r>
        <w:rPr>
          <w:color w:val="auto"/>
          <w:highlight w:val="none"/>
        </w:rPr>
        <w:fldChar w:fldCharType="begin"/>
      </w:r>
      <w:r>
        <w:rPr>
          <w:color w:val="auto"/>
          <w:highlight w:val="none"/>
        </w:rPr>
        <w:instrText xml:space="preserve"> HYPERLINK \l "_Toc11878" </w:instrText>
      </w:r>
      <w:r>
        <w:rPr>
          <w:color w:val="auto"/>
          <w:highlight w:val="none"/>
        </w:rPr>
        <w:fldChar w:fldCharType="separate"/>
      </w:r>
      <w:r>
        <w:rPr>
          <w:rFonts w:ascii="Arial" w:hAnsi="Arial" w:cs="Arial"/>
          <w:color w:val="auto"/>
          <w:highlight w:val="none"/>
          <w:lang w:val="zh-CN"/>
        </w:rPr>
        <w:t>第二章 竞争性磋商须知</w:t>
      </w:r>
      <w:r>
        <w:rPr>
          <w:color w:val="auto"/>
          <w:highlight w:val="none"/>
        </w:rPr>
        <w:tab/>
      </w:r>
      <w:r>
        <w:rPr>
          <w:color w:val="auto"/>
          <w:highlight w:val="none"/>
        </w:rPr>
        <w:fldChar w:fldCharType="begin"/>
      </w:r>
      <w:r>
        <w:rPr>
          <w:color w:val="auto"/>
          <w:highlight w:val="none"/>
        </w:rPr>
        <w:instrText xml:space="preserve"> PAGEREF _Toc11878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35A0814A">
      <w:pPr>
        <w:pStyle w:val="236"/>
        <w:tabs>
          <w:tab w:val="right" w:leader="dot" w:pos="8306"/>
        </w:tabs>
        <w:rPr>
          <w:color w:val="auto"/>
          <w:highlight w:val="none"/>
        </w:rPr>
      </w:pPr>
      <w:r>
        <w:rPr>
          <w:color w:val="auto"/>
          <w:highlight w:val="none"/>
        </w:rPr>
        <w:fldChar w:fldCharType="begin"/>
      </w:r>
      <w:r>
        <w:rPr>
          <w:color w:val="auto"/>
          <w:highlight w:val="none"/>
        </w:rPr>
        <w:instrText xml:space="preserve"> HYPERLINK \l "_Toc25515" </w:instrText>
      </w:r>
      <w:r>
        <w:rPr>
          <w:color w:val="auto"/>
          <w:highlight w:val="none"/>
        </w:rPr>
        <w:fldChar w:fldCharType="separate"/>
      </w:r>
      <w:r>
        <w:rPr>
          <w:rFonts w:ascii="Arial" w:hAnsi="Arial" w:cs="Arial"/>
          <w:color w:val="auto"/>
          <w:highlight w:val="none"/>
          <w:lang w:val="zh-CN"/>
        </w:rPr>
        <w:t>第三章 评标标准</w:t>
      </w:r>
      <w:r>
        <w:rPr>
          <w:color w:val="auto"/>
          <w:highlight w:val="none"/>
        </w:rPr>
        <w:tab/>
      </w:r>
      <w:r>
        <w:rPr>
          <w:color w:val="auto"/>
          <w:highlight w:val="none"/>
        </w:rPr>
        <w:fldChar w:fldCharType="begin"/>
      </w:r>
      <w:r>
        <w:rPr>
          <w:color w:val="auto"/>
          <w:highlight w:val="none"/>
        </w:rPr>
        <w:instrText xml:space="preserve"> PAGEREF _Toc25515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698CCD32">
      <w:pPr>
        <w:pStyle w:val="236"/>
        <w:tabs>
          <w:tab w:val="right" w:leader="dot" w:pos="8306"/>
        </w:tabs>
        <w:rPr>
          <w:color w:val="auto"/>
          <w:highlight w:val="none"/>
        </w:rPr>
      </w:pPr>
      <w:r>
        <w:rPr>
          <w:color w:val="auto"/>
          <w:highlight w:val="none"/>
        </w:rPr>
        <w:fldChar w:fldCharType="begin"/>
      </w:r>
      <w:r>
        <w:rPr>
          <w:color w:val="auto"/>
          <w:highlight w:val="none"/>
        </w:rPr>
        <w:instrText xml:space="preserve"> HYPERLINK \l "_Toc15293" </w:instrText>
      </w:r>
      <w:r>
        <w:rPr>
          <w:color w:val="auto"/>
          <w:highlight w:val="none"/>
        </w:rPr>
        <w:fldChar w:fldCharType="separate"/>
      </w:r>
      <w:r>
        <w:rPr>
          <w:rFonts w:hint="eastAsia"/>
          <w:color w:val="auto"/>
          <w:highlight w:val="none"/>
          <w:lang w:val="zh-CN"/>
        </w:rPr>
        <w:t xml:space="preserve">第四章 </w:t>
      </w:r>
      <w:r>
        <w:rPr>
          <w:color w:val="auto"/>
          <w:highlight w:val="none"/>
          <w:lang w:val="zh-CN"/>
        </w:rPr>
        <w:t>采购需求</w:t>
      </w:r>
      <w:r>
        <w:rPr>
          <w:color w:val="auto"/>
          <w:highlight w:val="none"/>
        </w:rPr>
        <w:tab/>
      </w:r>
      <w:r>
        <w:rPr>
          <w:color w:val="auto"/>
          <w:highlight w:val="none"/>
        </w:rPr>
        <w:fldChar w:fldCharType="begin"/>
      </w:r>
      <w:r>
        <w:rPr>
          <w:color w:val="auto"/>
          <w:highlight w:val="none"/>
        </w:rPr>
        <w:instrText xml:space="preserve"> PAGEREF _Toc15293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59A8E4C8">
      <w:pPr>
        <w:pStyle w:val="236"/>
        <w:tabs>
          <w:tab w:val="right" w:leader="dot" w:pos="8306"/>
        </w:tabs>
        <w:rPr>
          <w:color w:val="auto"/>
          <w:highlight w:val="none"/>
        </w:rPr>
      </w:pPr>
      <w:r>
        <w:rPr>
          <w:color w:val="auto"/>
          <w:highlight w:val="none"/>
        </w:rPr>
        <w:fldChar w:fldCharType="begin"/>
      </w:r>
      <w:r>
        <w:rPr>
          <w:color w:val="auto"/>
          <w:highlight w:val="none"/>
        </w:rPr>
        <w:instrText xml:space="preserve"> HYPERLINK \l "_Toc19167" </w:instrText>
      </w:r>
      <w:r>
        <w:rPr>
          <w:color w:val="auto"/>
          <w:highlight w:val="none"/>
        </w:rPr>
        <w:fldChar w:fldCharType="separate"/>
      </w:r>
      <w:r>
        <w:rPr>
          <w:rFonts w:ascii="Arial" w:hAnsi="Arial" w:cs="Arial"/>
          <w:color w:val="auto"/>
          <w:highlight w:val="none"/>
          <w:lang w:val="zh-CN"/>
        </w:rPr>
        <w:t>第五章 合同主要条款</w:t>
      </w:r>
      <w:r>
        <w:rPr>
          <w:color w:val="auto"/>
          <w:highlight w:val="none"/>
        </w:rPr>
        <w:tab/>
      </w:r>
      <w:r>
        <w:rPr>
          <w:color w:val="auto"/>
          <w:highlight w:val="none"/>
        </w:rPr>
        <w:fldChar w:fldCharType="begin"/>
      </w:r>
      <w:r>
        <w:rPr>
          <w:color w:val="auto"/>
          <w:highlight w:val="none"/>
        </w:rPr>
        <w:instrText xml:space="preserve"> PAGEREF _Toc19167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3F5DC2E5">
      <w:pPr>
        <w:pStyle w:val="236"/>
        <w:tabs>
          <w:tab w:val="right" w:leader="dot" w:pos="8306"/>
        </w:tabs>
        <w:rPr>
          <w:color w:val="auto"/>
          <w:highlight w:val="none"/>
        </w:rPr>
      </w:pPr>
      <w:r>
        <w:rPr>
          <w:color w:val="auto"/>
          <w:highlight w:val="none"/>
        </w:rPr>
        <w:fldChar w:fldCharType="begin"/>
      </w:r>
      <w:r>
        <w:rPr>
          <w:color w:val="auto"/>
          <w:highlight w:val="none"/>
        </w:rPr>
        <w:instrText xml:space="preserve"> HYPERLINK \l "_Toc7982" </w:instrText>
      </w:r>
      <w:r>
        <w:rPr>
          <w:color w:val="auto"/>
          <w:highlight w:val="none"/>
        </w:rPr>
        <w:fldChar w:fldCharType="separate"/>
      </w:r>
      <w:r>
        <w:rPr>
          <w:rFonts w:ascii="Arial" w:hAnsi="Arial" w:cs="Arial"/>
          <w:color w:val="auto"/>
          <w:highlight w:val="none"/>
          <w:lang w:val="zh-CN"/>
        </w:rPr>
        <w:t>第六章</w:t>
      </w:r>
      <w:r>
        <w:rPr>
          <w:rFonts w:hint="eastAsia" w:ascii="Arial" w:hAnsi="Arial" w:cs="Arial"/>
          <w:color w:val="auto"/>
          <w:highlight w:val="none"/>
          <w:lang w:val="zh-CN"/>
        </w:rPr>
        <w:t xml:space="preserve"> </w:t>
      </w:r>
      <w:r>
        <w:rPr>
          <w:rFonts w:hint="eastAsia" w:ascii="Arial" w:hAnsi="宋体" w:cs="Arial"/>
          <w:color w:val="auto"/>
          <w:szCs w:val="21"/>
          <w:highlight w:val="none"/>
        </w:rPr>
        <w:t>磋商响应文件格式及附件</w:t>
      </w:r>
      <w:r>
        <w:rPr>
          <w:color w:val="auto"/>
          <w:highlight w:val="none"/>
        </w:rPr>
        <w:tab/>
      </w:r>
      <w:r>
        <w:rPr>
          <w:color w:val="auto"/>
          <w:highlight w:val="none"/>
        </w:rPr>
        <w:fldChar w:fldCharType="begin"/>
      </w:r>
      <w:r>
        <w:rPr>
          <w:color w:val="auto"/>
          <w:highlight w:val="none"/>
        </w:rPr>
        <w:instrText xml:space="preserve"> PAGEREF _Toc7982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14:paraId="0B0A96CC">
      <w:pPr>
        <w:pStyle w:val="236"/>
        <w:tabs>
          <w:tab w:val="right" w:leader="dot" w:pos="8306"/>
        </w:tabs>
        <w:rPr>
          <w:color w:val="auto"/>
          <w:highlight w:val="none"/>
        </w:rPr>
      </w:pPr>
    </w:p>
    <w:p w14:paraId="3047CE27">
      <w:pPr>
        <w:spacing w:line="480" w:lineRule="auto"/>
        <w:jc w:val="center"/>
        <w:rPr>
          <w:rFonts w:ascii="Arial" w:hAnsi="Arial" w:cs="Arial"/>
          <w:b/>
          <w:bCs/>
          <w:color w:val="auto"/>
          <w:sz w:val="72"/>
          <w:szCs w:val="30"/>
          <w:highlight w:val="none"/>
          <w:lang w:val="zh-CN"/>
        </w:rPr>
      </w:pPr>
      <w:r>
        <w:rPr>
          <w:rFonts w:ascii="Arial" w:hAnsi="Arial" w:cs="Arial"/>
          <w:color w:val="auto"/>
          <w:szCs w:val="24"/>
          <w:highlight w:val="none"/>
          <w:lang w:val="zh-CN"/>
        </w:rPr>
        <w:fldChar w:fldCharType="end"/>
      </w:r>
    </w:p>
    <w:p w14:paraId="4DBC70EE">
      <w:pPr>
        <w:spacing w:line="360" w:lineRule="auto"/>
        <w:jc w:val="center"/>
        <w:rPr>
          <w:rFonts w:ascii="Arial" w:hAnsi="Arial" w:cs="Arial"/>
          <w:b/>
          <w:bCs/>
          <w:color w:val="auto"/>
          <w:sz w:val="24"/>
          <w:szCs w:val="24"/>
          <w:highlight w:val="none"/>
          <w:lang w:val="zh-CN"/>
        </w:rPr>
        <w:sectPr>
          <w:footerReference r:id="rId6" w:type="default"/>
          <w:pgSz w:w="11906" w:h="16838"/>
          <w:pgMar w:top="1440" w:right="1800" w:bottom="1440" w:left="1800" w:header="851" w:footer="680" w:gutter="0"/>
          <w:pgNumType w:start="1"/>
          <w:cols w:space="1701" w:num="1"/>
          <w:docGrid w:linePitch="360" w:charSpace="0"/>
        </w:sectPr>
      </w:pPr>
    </w:p>
    <w:p w14:paraId="51452E3B">
      <w:pPr>
        <w:pStyle w:val="52"/>
        <w:rPr>
          <w:rFonts w:ascii="Arial" w:hAnsi="Arial" w:cs="Arial"/>
          <w:color w:val="auto"/>
          <w:highlight w:val="none"/>
        </w:rPr>
      </w:pPr>
      <w:r>
        <w:rPr>
          <w:rFonts w:ascii="Arial" w:cs="Arial"/>
          <w:color w:val="auto"/>
          <w:highlight w:val="none"/>
          <w:lang w:val="zh-CN"/>
        </w:rPr>
        <w:br w:type="page" w:clear="all"/>
      </w:r>
      <w:bookmarkStart w:id="1" w:name="_Toc29568"/>
      <w:r>
        <w:rPr>
          <w:rFonts w:ascii="Arial" w:cs="Arial"/>
          <w:color w:val="auto"/>
          <w:highlight w:val="none"/>
          <w:lang w:val="zh-CN"/>
        </w:rPr>
        <w:t>第一章</w:t>
      </w:r>
      <w:r>
        <w:rPr>
          <w:rFonts w:ascii="Arial" w:hAnsi="Arial" w:cs="Arial"/>
          <w:color w:val="auto"/>
          <w:highlight w:val="none"/>
          <w:lang w:val="zh-CN"/>
        </w:rPr>
        <w:t xml:space="preserve"> </w:t>
      </w:r>
      <w:r>
        <w:rPr>
          <w:rFonts w:ascii="Arial" w:cs="Arial"/>
          <w:color w:val="auto"/>
          <w:highlight w:val="none"/>
          <w:lang w:val="zh-CN"/>
        </w:rPr>
        <w:t>竞争性磋商公告</w:t>
      </w:r>
      <w:bookmarkEnd w:id="1"/>
    </w:p>
    <w:p w14:paraId="660B6A1E">
      <w:pPr>
        <w:spacing w:line="360" w:lineRule="auto"/>
        <w:jc w:val="center"/>
        <w:rPr>
          <w:rFonts w:ascii="Arial" w:hAnsi="Arial" w:cs="Arial"/>
          <w:color w:val="auto"/>
          <w:sz w:val="24"/>
          <w:szCs w:val="24"/>
          <w:highlight w:val="none"/>
          <w:lang w:val="zh-CN"/>
        </w:rPr>
      </w:pPr>
    </w:p>
    <w:p w14:paraId="5EF2F530">
      <w:pPr>
        <w:pBdr>
          <w:top w:val="single" w:color="000000" w:sz="4" w:space="1"/>
          <w:left w:val="single" w:color="000000" w:sz="4" w:space="4"/>
          <w:bottom w:val="single" w:color="000000" w:sz="4" w:space="1"/>
          <w:right w:val="single" w:color="000000" w:sz="4" w:space="4"/>
        </w:pBdr>
        <w:tabs>
          <w:tab w:val="left" w:pos="390"/>
          <w:tab w:val="center" w:pos="4404"/>
        </w:tabs>
        <w:spacing w:line="360" w:lineRule="auto"/>
        <w:ind w:firstLine="454"/>
        <w:jc w:val="left"/>
        <w:rPr>
          <w:rFonts w:hint="eastAsia" w:ascii="宋体" w:hAnsi="宋体" w:cs="宋体"/>
          <w:b/>
          <w:bCs/>
          <w:color w:val="auto"/>
          <w:spacing w:val="8"/>
          <w:szCs w:val="21"/>
          <w:highlight w:val="none"/>
        </w:rPr>
      </w:pPr>
      <w:bookmarkStart w:id="2" w:name="_Toc1270"/>
      <w:bookmarkStart w:id="3" w:name="_Toc19084"/>
      <w:r>
        <w:rPr>
          <w:rFonts w:hint="eastAsia" w:ascii="宋体" w:hAnsi="宋体" w:cs="宋体"/>
          <w:b/>
          <w:bCs/>
          <w:color w:val="auto"/>
          <w:spacing w:val="8"/>
          <w:szCs w:val="21"/>
          <w:highlight w:val="none"/>
        </w:rPr>
        <w:t>项目概况</w:t>
      </w:r>
    </w:p>
    <w:p w14:paraId="29B508AF">
      <w:pPr>
        <w:pBdr>
          <w:top w:val="single" w:color="000000" w:sz="4" w:space="1"/>
          <w:left w:val="single" w:color="000000" w:sz="4" w:space="4"/>
          <w:bottom w:val="single" w:color="000000" w:sz="4" w:space="1"/>
          <w:right w:val="single" w:color="000000" w:sz="4" w:space="4"/>
        </w:pBdr>
        <w:tabs>
          <w:tab w:val="left" w:pos="390"/>
          <w:tab w:val="center" w:pos="4404"/>
        </w:tabs>
        <w:spacing w:line="360" w:lineRule="auto"/>
        <w:ind w:firstLine="422"/>
        <w:jc w:val="left"/>
        <w:rPr>
          <w:rFonts w:hint="eastAsia" w:ascii="宋体" w:hAnsi="宋体" w:cs="宋体"/>
          <w:b/>
          <w:bCs/>
          <w:color w:val="auto"/>
          <w:spacing w:val="8"/>
          <w:szCs w:val="21"/>
          <w:highlight w:val="none"/>
          <w:u w:val="single"/>
        </w:rPr>
      </w:pPr>
      <w:bookmarkStart w:id="4" w:name="OLE_LINK4"/>
      <w:r>
        <w:rPr>
          <w:rFonts w:hint="eastAsia" w:ascii="宋体" w:hAnsi="宋体" w:cs="宋体"/>
          <w:b/>
          <w:bCs/>
          <w:color w:val="auto"/>
          <w:szCs w:val="21"/>
          <w:highlight w:val="none"/>
          <w:u w:val="single"/>
        </w:rPr>
        <w:t>江苏第二师范学院石湫校区学生宿舍卫生间渗水维修项目</w:t>
      </w:r>
      <w:bookmarkEnd w:id="4"/>
      <w:r>
        <w:rPr>
          <w:rFonts w:hint="eastAsia" w:ascii="宋体" w:hAnsi="宋体" w:cs="宋体"/>
          <w:color w:val="auto"/>
          <w:spacing w:val="8"/>
          <w:szCs w:val="21"/>
          <w:highlight w:val="none"/>
        </w:rPr>
        <w:t>的潜在供应商应在</w:t>
      </w:r>
      <w:r>
        <w:rPr>
          <w:rFonts w:hint="eastAsia" w:ascii="宋体" w:hAnsi="宋体" w:cs="宋体"/>
          <w:b/>
          <w:bCs/>
          <w:color w:val="auto"/>
          <w:szCs w:val="21"/>
          <w:highlight w:val="none"/>
          <w:u w:val="single"/>
        </w:rPr>
        <w:t>江苏政府采购网</w:t>
      </w:r>
      <w:r>
        <w:rPr>
          <w:rFonts w:ascii="宋体" w:hAnsi="宋体" w:cs="宋体"/>
          <w:b/>
          <w:bCs/>
          <w:color w:val="auto"/>
          <w:szCs w:val="21"/>
          <w:highlight w:val="none"/>
          <w:u w:val="single"/>
        </w:rPr>
        <w:t>苏采云系统注册登记成功后系统内免费下载</w:t>
      </w:r>
      <w:r>
        <w:rPr>
          <w:rFonts w:hint="eastAsia" w:ascii="宋体" w:hAnsi="宋体" w:cs="宋体"/>
          <w:color w:val="auto"/>
          <w:spacing w:val="8"/>
          <w:szCs w:val="21"/>
          <w:highlight w:val="none"/>
        </w:rPr>
        <w:t>获取招标文件</w:t>
      </w:r>
      <w:r>
        <w:rPr>
          <w:rFonts w:hint="eastAsia" w:ascii="宋体" w:hAnsi="宋体" w:cs="宋体"/>
          <w:color w:val="auto"/>
          <w:szCs w:val="21"/>
          <w:highlight w:val="none"/>
        </w:rPr>
        <w:t>，并于</w:t>
      </w:r>
      <w:r>
        <w:rPr>
          <w:rFonts w:hint="eastAsia" w:ascii="宋体" w:hAnsi="宋体" w:cs="宋体"/>
          <w:b/>
          <w:bCs/>
          <w:iCs/>
          <w:color w:val="auto"/>
          <w:spacing w:val="8"/>
          <w:szCs w:val="21"/>
          <w:highlight w:val="none"/>
        </w:rPr>
        <w:t>2026</w:t>
      </w:r>
      <w:r>
        <w:rPr>
          <w:rFonts w:hint="eastAsia" w:ascii="宋体" w:hAnsi="宋体" w:cs="宋体"/>
          <w:b/>
          <w:bCs/>
          <w:color w:val="auto"/>
          <w:spacing w:val="8"/>
          <w:szCs w:val="21"/>
          <w:highlight w:val="none"/>
        </w:rPr>
        <w:t>年6月</w:t>
      </w:r>
      <w:r>
        <w:rPr>
          <w:rFonts w:hint="eastAsia" w:ascii="宋体" w:hAnsi="宋体" w:cs="宋体"/>
          <w:b/>
          <w:bCs/>
          <w:color w:val="auto"/>
          <w:spacing w:val="8"/>
          <w:szCs w:val="21"/>
          <w:highlight w:val="none"/>
          <w:lang w:val="en-US" w:eastAsia="zh-CN"/>
        </w:rPr>
        <w:t>29</w:t>
      </w:r>
      <w:r>
        <w:rPr>
          <w:rFonts w:hint="eastAsia" w:ascii="宋体" w:hAnsi="宋体" w:cs="宋体"/>
          <w:b/>
          <w:bCs/>
          <w:color w:val="auto"/>
          <w:spacing w:val="8"/>
          <w:szCs w:val="21"/>
          <w:highlight w:val="none"/>
        </w:rPr>
        <w:t>日</w:t>
      </w:r>
      <w:r>
        <w:rPr>
          <w:rFonts w:hint="eastAsia" w:ascii="宋体" w:hAnsi="宋体" w:cs="宋体"/>
          <w:b/>
          <w:bCs/>
          <w:color w:val="auto"/>
          <w:szCs w:val="21"/>
          <w:highlight w:val="none"/>
        </w:rPr>
        <w:t>09点30分</w:t>
      </w:r>
      <w:r>
        <w:rPr>
          <w:rFonts w:hint="eastAsia" w:ascii="宋体" w:hAnsi="宋体" w:cs="宋体"/>
          <w:color w:val="auto"/>
          <w:szCs w:val="21"/>
          <w:highlight w:val="none"/>
        </w:rPr>
        <w:t>（北京时间）前递交投标文件。</w:t>
      </w:r>
    </w:p>
    <w:p w14:paraId="211AD7AD">
      <w:pPr>
        <w:tabs>
          <w:tab w:val="left" w:pos="390"/>
          <w:tab w:val="center" w:pos="4404"/>
        </w:tabs>
        <w:spacing w:line="360" w:lineRule="auto"/>
        <w:ind w:firstLine="420"/>
        <w:jc w:val="left"/>
        <w:rPr>
          <w:rFonts w:hint="eastAsia" w:ascii="宋体" w:hAnsi="宋体" w:cs="宋体"/>
          <w:color w:val="auto"/>
          <w:szCs w:val="21"/>
          <w:highlight w:val="none"/>
        </w:rPr>
      </w:pPr>
    </w:p>
    <w:p w14:paraId="1DD0C0DF">
      <w:pPr>
        <w:widowControl/>
        <w:shd w:val="clear" w:color="auto" w:fill="FFFFFF"/>
        <w:spacing w:line="360" w:lineRule="auto"/>
        <w:outlineLvl w:val="1"/>
        <w:rPr>
          <w:rFonts w:ascii="Arial" w:hAnsi="Arial" w:cs="Arial"/>
          <w:b/>
          <w:color w:val="auto"/>
          <w:spacing w:val="8"/>
          <w:sz w:val="24"/>
          <w:highlight w:val="none"/>
        </w:rPr>
      </w:pPr>
      <w:bookmarkStart w:id="5" w:name="_Toc10912"/>
      <w:r>
        <w:rPr>
          <w:rFonts w:ascii="Arial" w:hAnsi="Arial" w:cs="Arial"/>
          <w:b/>
          <w:color w:val="auto"/>
          <w:spacing w:val="8"/>
          <w:sz w:val="24"/>
          <w:highlight w:val="none"/>
        </w:rPr>
        <w:t>一、项目基本情况</w:t>
      </w:r>
      <w:bookmarkEnd w:id="2"/>
      <w:bookmarkEnd w:id="3"/>
      <w:bookmarkEnd w:id="5"/>
    </w:p>
    <w:p w14:paraId="6C83E740">
      <w:pPr>
        <w:widowControl/>
        <w:shd w:val="clear" w:color="auto" w:fill="FFFFFF"/>
        <w:spacing w:line="360" w:lineRule="auto"/>
        <w:ind w:firstLine="370"/>
        <w:rPr>
          <w:rFonts w:ascii="Arial" w:hAnsi="Arial" w:cs="Arial"/>
          <w:color w:val="auto"/>
          <w:spacing w:val="8"/>
          <w:szCs w:val="21"/>
          <w:highlight w:val="none"/>
        </w:rPr>
      </w:pPr>
      <w:r>
        <w:rPr>
          <w:rFonts w:ascii="Arial" w:hAnsi="Arial" w:cs="Arial"/>
          <w:color w:val="auto"/>
          <w:spacing w:val="8"/>
          <w:szCs w:val="21"/>
          <w:highlight w:val="none"/>
        </w:rPr>
        <w:t>1.1项目编号：</w:t>
      </w:r>
      <w:r>
        <w:rPr>
          <w:rFonts w:hint="eastAsia" w:ascii="宋体" w:hAnsi="宋体" w:cs="宋体"/>
          <w:bCs/>
          <w:color w:val="auto"/>
          <w:szCs w:val="21"/>
          <w:highlight w:val="none"/>
        </w:rPr>
        <w:t>JSZC-320000-JCEC-C2026-0196</w:t>
      </w:r>
    </w:p>
    <w:p w14:paraId="1B4B83F4">
      <w:pPr>
        <w:widowControl/>
        <w:shd w:val="clear" w:color="auto" w:fill="FFFFFF"/>
        <w:spacing w:line="360" w:lineRule="auto"/>
        <w:ind w:firstLine="370"/>
        <w:rPr>
          <w:rFonts w:ascii="Arial" w:hAnsi="Arial" w:cs="Arial"/>
          <w:color w:val="auto"/>
          <w:spacing w:val="8"/>
          <w:szCs w:val="21"/>
          <w:highlight w:val="none"/>
        </w:rPr>
      </w:pPr>
      <w:r>
        <w:rPr>
          <w:rFonts w:ascii="Arial" w:hAnsi="Arial" w:cs="Arial"/>
          <w:color w:val="auto"/>
          <w:spacing w:val="8"/>
          <w:szCs w:val="21"/>
          <w:highlight w:val="none"/>
        </w:rPr>
        <w:t>1.2项目名称：</w:t>
      </w:r>
      <w:r>
        <w:rPr>
          <w:rFonts w:hint="eastAsia" w:ascii="Arial" w:hAnsi="Arial" w:cs="Arial"/>
          <w:color w:val="auto"/>
          <w:spacing w:val="8"/>
          <w:szCs w:val="21"/>
          <w:highlight w:val="none"/>
        </w:rPr>
        <w:t>江苏第二师范学院石湫校区学生宿舍卫生间渗水维修项目</w:t>
      </w:r>
    </w:p>
    <w:p w14:paraId="3B11EB4D">
      <w:pPr>
        <w:widowControl/>
        <w:shd w:val="clear" w:color="auto" w:fill="FFFFFF"/>
        <w:spacing w:line="360" w:lineRule="auto"/>
        <w:ind w:firstLine="370"/>
        <w:rPr>
          <w:rFonts w:ascii="Arial" w:hAnsi="Arial" w:cs="Arial"/>
          <w:color w:val="auto"/>
          <w:spacing w:val="8"/>
          <w:szCs w:val="21"/>
          <w:highlight w:val="none"/>
        </w:rPr>
      </w:pPr>
      <w:r>
        <w:rPr>
          <w:rFonts w:hint="eastAsia" w:ascii="Arial" w:hAnsi="Arial" w:cs="Arial"/>
          <w:color w:val="auto"/>
          <w:spacing w:val="8"/>
          <w:szCs w:val="21"/>
          <w:highlight w:val="none"/>
        </w:rPr>
        <w:t>1.3采购方式：竞争性磋商</w:t>
      </w:r>
    </w:p>
    <w:p w14:paraId="397CC3A3">
      <w:pPr>
        <w:widowControl/>
        <w:shd w:val="clear" w:color="auto" w:fill="FFFFFF"/>
        <w:spacing w:line="360" w:lineRule="auto"/>
        <w:ind w:firstLine="370"/>
        <w:rPr>
          <w:rFonts w:ascii="Arial" w:hAnsi="Arial" w:cs="Arial"/>
          <w:color w:val="auto"/>
          <w:spacing w:val="8"/>
          <w:szCs w:val="21"/>
          <w:highlight w:val="none"/>
        </w:rPr>
      </w:pPr>
      <w:r>
        <w:rPr>
          <w:rFonts w:ascii="Arial" w:hAnsi="Arial" w:cs="Arial"/>
          <w:color w:val="auto"/>
          <w:spacing w:val="8"/>
          <w:szCs w:val="21"/>
          <w:highlight w:val="none"/>
        </w:rPr>
        <w:t>1.</w:t>
      </w:r>
      <w:r>
        <w:rPr>
          <w:rFonts w:hint="eastAsia" w:ascii="Arial" w:hAnsi="Arial" w:cs="Arial"/>
          <w:color w:val="auto"/>
          <w:spacing w:val="8"/>
          <w:szCs w:val="21"/>
          <w:highlight w:val="none"/>
        </w:rPr>
        <w:t>4</w:t>
      </w:r>
      <w:r>
        <w:rPr>
          <w:rFonts w:ascii="Arial" w:hAnsi="Arial" w:cs="Arial"/>
          <w:color w:val="auto"/>
          <w:spacing w:val="8"/>
          <w:szCs w:val="21"/>
          <w:highlight w:val="none"/>
        </w:rPr>
        <w:t>预算金额：</w:t>
      </w:r>
      <w:r>
        <w:rPr>
          <w:rFonts w:hint="eastAsia" w:ascii="Arial" w:hAnsi="Arial" w:cs="Arial"/>
          <w:color w:val="auto"/>
          <w:spacing w:val="8"/>
          <w:szCs w:val="21"/>
          <w:highlight w:val="none"/>
        </w:rPr>
        <w:t>135万元</w:t>
      </w:r>
    </w:p>
    <w:p w14:paraId="026A15D1">
      <w:pPr>
        <w:widowControl/>
        <w:shd w:val="clear" w:color="auto" w:fill="FFFFFF"/>
        <w:spacing w:line="360" w:lineRule="auto"/>
        <w:ind w:firstLine="370"/>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1.</w:t>
      </w:r>
      <w:r>
        <w:rPr>
          <w:rFonts w:hint="eastAsia" w:ascii="Arial" w:hAnsi="Arial" w:cs="Arial"/>
          <w:color w:val="auto"/>
          <w:spacing w:val="8"/>
          <w:szCs w:val="21"/>
          <w:highlight w:val="none"/>
        </w:rPr>
        <w:t>5</w:t>
      </w:r>
      <w:bookmarkStart w:id="6" w:name="OLE_LINK2"/>
      <w:r>
        <w:rPr>
          <w:rFonts w:hint="eastAsia" w:ascii="Arial" w:hAnsi="Arial" w:cs="Arial"/>
          <w:color w:val="auto"/>
          <w:spacing w:val="8"/>
          <w:szCs w:val="21"/>
          <w:highlight w:val="none"/>
        </w:rPr>
        <w:t>最高限价</w:t>
      </w:r>
      <w:bookmarkEnd w:id="6"/>
      <w:r>
        <w:rPr>
          <w:rFonts w:hint="eastAsia" w:ascii="Arial" w:hAnsi="Arial" w:cs="Arial"/>
          <w:color w:val="auto"/>
          <w:spacing w:val="8"/>
          <w:szCs w:val="21"/>
          <w:highlight w:val="none"/>
        </w:rPr>
        <w:t>：</w:t>
      </w:r>
      <w:r>
        <w:rPr>
          <w:rFonts w:hint="eastAsia" w:ascii="Arial" w:hAnsi="Arial" w:cs="Arial"/>
          <w:color w:val="auto"/>
          <w:spacing w:val="8"/>
          <w:szCs w:val="21"/>
          <w:highlight w:val="none"/>
          <w:u w:val="single"/>
        </w:rPr>
        <w:t>维修房间</w:t>
      </w:r>
      <w:r>
        <w:rPr>
          <w:rFonts w:hint="eastAsia" w:ascii="Arial" w:hAnsi="Arial" w:cs="Arial"/>
          <w:color w:val="auto"/>
          <w:spacing w:val="8"/>
          <w:szCs w:val="21"/>
          <w:highlight w:val="none"/>
          <w:u w:val="single"/>
          <w:lang w:val="en-US" w:eastAsia="zh-CN"/>
        </w:rPr>
        <w:t>单价：</w:t>
      </w:r>
      <w:r>
        <w:rPr>
          <w:rFonts w:hint="eastAsia" w:ascii="Arial" w:hAnsi="Arial" w:cs="Arial"/>
          <w:color w:val="auto"/>
          <w:spacing w:val="8"/>
          <w:szCs w:val="21"/>
          <w:highlight w:val="none"/>
          <w:u w:val="single"/>
          <w:lang w:eastAsia="zh-CN"/>
        </w:rPr>
        <w:t>3495.91</w:t>
      </w:r>
      <w:r>
        <w:rPr>
          <w:rFonts w:ascii="Arial" w:hAnsi="Arial" w:cs="Arial"/>
          <w:color w:val="auto"/>
          <w:spacing w:val="8"/>
          <w:szCs w:val="21"/>
          <w:highlight w:val="none"/>
          <w:u w:val="single"/>
        </w:rPr>
        <w:t>元/间</w:t>
      </w:r>
      <w:r>
        <w:rPr>
          <w:rFonts w:hint="eastAsia" w:ascii="Arial" w:hAnsi="Arial" w:cs="Arial"/>
          <w:color w:val="auto"/>
          <w:spacing w:val="8"/>
          <w:szCs w:val="21"/>
          <w:highlight w:val="none"/>
          <w:u w:val="single"/>
          <w:lang w:eastAsia="zh-CN"/>
        </w:rPr>
        <w:t>；更换墙砖</w:t>
      </w:r>
      <w:r>
        <w:rPr>
          <w:rFonts w:hint="eastAsia" w:ascii="Arial" w:hAnsi="Arial" w:cs="Arial"/>
          <w:color w:val="auto"/>
          <w:spacing w:val="8"/>
          <w:szCs w:val="21"/>
          <w:highlight w:val="none"/>
          <w:u w:val="single"/>
          <w:lang w:val="en-US" w:eastAsia="zh-CN"/>
        </w:rPr>
        <w:t>单价：</w:t>
      </w:r>
      <w:r>
        <w:rPr>
          <w:rFonts w:hint="eastAsia" w:ascii="Arial" w:hAnsi="Arial" w:cs="Arial"/>
          <w:color w:val="auto"/>
          <w:spacing w:val="8"/>
          <w:szCs w:val="21"/>
          <w:highlight w:val="none"/>
          <w:u w:val="single"/>
          <w:lang w:eastAsia="zh-CN"/>
        </w:rPr>
        <w:t>199.16元</w:t>
      </w:r>
      <w:r>
        <w:rPr>
          <w:rFonts w:hint="eastAsia" w:ascii="Arial" w:hAnsi="Arial" w:cs="Arial"/>
          <w:color w:val="auto"/>
          <w:spacing w:val="8"/>
          <w:szCs w:val="21"/>
          <w:highlight w:val="none"/>
          <w:u w:val="single"/>
          <w:lang w:val="en-US" w:eastAsia="zh-CN"/>
        </w:rPr>
        <w:t>/平方米。</w:t>
      </w:r>
    </w:p>
    <w:p w14:paraId="4127AA22">
      <w:pPr>
        <w:widowControl/>
        <w:shd w:val="clear" w:color="auto" w:fill="FFFFFF"/>
        <w:spacing w:line="360" w:lineRule="auto"/>
        <w:ind w:firstLine="370"/>
        <w:rPr>
          <w:rFonts w:ascii="Arial" w:hAnsi="Arial" w:cs="Arial"/>
          <w:color w:val="auto"/>
          <w:spacing w:val="8"/>
          <w:szCs w:val="21"/>
          <w:highlight w:val="none"/>
        </w:rPr>
      </w:pPr>
      <w:r>
        <w:rPr>
          <w:rFonts w:ascii="Arial" w:hAnsi="Arial" w:cs="Arial"/>
          <w:color w:val="auto"/>
          <w:spacing w:val="8"/>
          <w:szCs w:val="21"/>
          <w:highlight w:val="none"/>
        </w:rPr>
        <w:t>1.</w:t>
      </w:r>
      <w:r>
        <w:rPr>
          <w:rFonts w:hint="eastAsia" w:ascii="Arial" w:hAnsi="Arial" w:cs="Arial"/>
          <w:color w:val="auto"/>
          <w:spacing w:val="8"/>
          <w:szCs w:val="21"/>
          <w:highlight w:val="none"/>
        </w:rPr>
        <w:t>6</w:t>
      </w:r>
      <w:r>
        <w:rPr>
          <w:rFonts w:ascii="Arial" w:hAnsi="Arial" w:cs="Arial"/>
          <w:color w:val="auto"/>
          <w:spacing w:val="8"/>
          <w:szCs w:val="21"/>
          <w:highlight w:val="none"/>
        </w:rPr>
        <w:t>采购需求：</w:t>
      </w:r>
      <w:r>
        <w:rPr>
          <w:rFonts w:hint="eastAsia" w:ascii="Arial" w:hAnsi="Arial" w:cs="Arial"/>
          <w:color w:val="auto"/>
          <w:spacing w:val="8"/>
          <w:szCs w:val="21"/>
          <w:highlight w:val="none"/>
        </w:rPr>
        <w:t>维修范围：本次招标维修房间数约360间，房间号详附件（暂定），具体维修楼栋和房间号以采购人现场确认结果为准。维修方案详见图纸。</w:t>
      </w:r>
    </w:p>
    <w:p w14:paraId="6386FBE5">
      <w:pPr>
        <w:widowControl/>
        <w:shd w:val="clear" w:color="auto" w:fill="FFFFFF"/>
        <w:spacing w:line="360" w:lineRule="auto"/>
        <w:ind w:firstLine="370"/>
        <w:rPr>
          <w:rFonts w:ascii="Arial" w:hAnsi="Arial" w:cs="Arial"/>
          <w:color w:val="auto"/>
          <w:spacing w:val="8"/>
          <w:szCs w:val="21"/>
          <w:highlight w:val="none"/>
        </w:rPr>
      </w:pPr>
      <w:r>
        <w:rPr>
          <w:rFonts w:ascii="Arial" w:hAnsi="Arial" w:cs="Arial"/>
          <w:color w:val="auto"/>
          <w:spacing w:val="8"/>
          <w:szCs w:val="21"/>
          <w:highlight w:val="none"/>
        </w:rPr>
        <w:t>1</w:t>
      </w:r>
      <w:r>
        <w:rPr>
          <w:rFonts w:hint="eastAsia" w:ascii="Arial" w:hAnsi="Arial" w:cs="Arial"/>
          <w:color w:val="auto"/>
          <w:spacing w:val="8"/>
          <w:szCs w:val="21"/>
          <w:highlight w:val="none"/>
        </w:rPr>
        <w:t>.7</w:t>
      </w:r>
      <w:r>
        <w:rPr>
          <w:rFonts w:ascii="Arial" w:hAnsi="Arial" w:cs="Arial"/>
          <w:color w:val="auto"/>
          <w:spacing w:val="8"/>
          <w:szCs w:val="21"/>
          <w:highlight w:val="none"/>
        </w:rPr>
        <w:t>工期</w:t>
      </w:r>
      <w:r>
        <w:rPr>
          <w:rFonts w:hint="eastAsia" w:ascii="Arial" w:hAnsi="Arial" w:cs="Arial"/>
          <w:color w:val="auto"/>
          <w:spacing w:val="8"/>
          <w:szCs w:val="21"/>
          <w:highlight w:val="none"/>
        </w:rPr>
        <w:t>：</w:t>
      </w:r>
      <w:r>
        <w:rPr>
          <w:rFonts w:ascii="Arial" w:hAnsi="Arial" w:cs="Arial"/>
          <w:color w:val="auto"/>
          <w:spacing w:val="8"/>
          <w:szCs w:val="21"/>
          <w:highlight w:val="none"/>
        </w:rPr>
        <w:t>工程开工自2026年07月01日，至2026年08月25日竣工。</w:t>
      </w:r>
    </w:p>
    <w:p w14:paraId="4C7A6292">
      <w:pPr>
        <w:widowControl/>
        <w:shd w:val="clear" w:color="auto" w:fill="FFFFFF"/>
        <w:spacing w:line="360" w:lineRule="auto"/>
        <w:ind w:firstLine="370"/>
        <w:rPr>
          <w:rFonts w:ascii="Arial" w:hAnsi="Arial" w:cs="Arial"/>
          <w:color w:val="auto"/>
          <w:spacing w:val="8"/>
          <w:szCs w:val="21"/>
          <w:highlight w:val="none"/>
        </w:rPr>
      </w:pPr>
      <w:r>
        <w:rPr>
          <w:rFonts w:hint="eastAsia" w:ascii="Arial" w:hAnsi="Arial" w:cs="Arial"/>
          <w:color w:val="auto"/>
          <w:spacing w:val="8"/>
          <w:szCs w:val="21"/>
          <w:highlight w:val="none"/>
        </w:rPr>
        <w:t>1.8行业划分：建筑业</w:t>
      </w:r>
    </w:p>
    <w:p w14:paraId="0E2467D7">
      <w:pPr>
        <w:widowControl/>
        <w:shd w:val="clear" w:color="auto" w:fill="FFFFFF"/>
        <w:spacing w:line="360" w:lineRule="auto"/>
        <w:ind w:firstLine="370"/>
        <w:rPr>
          <w:rFonts w:ascii="Arial" w:hAnsi="Arial" w:cs="Arial"/>
          <w:color w:val="auto"/>
          <w:spacing w:val="8"/>
          <w:szCs w:val="21"/>
          <w:highlight w:val="none"/>
        </w:rPr>
      </w:pPr>
      <w:r>
        <w:rPr>
          <w:rFonts w:hint="eastAsia" w:ascii="Arial" w:hAnsi="Arial" w:cs="Arial"/>
          <w:color w:val="auto"/>
          <w:spacing w:val="8"/>
          <w:szCs w:val="21"/>
          <w:highlight w:val="none"/>
        </w:rPr>
        <w:t>1.9本项目非专门面向中小企业（或监狱企业或残疾人福利性单位）采购</w:t>
      </w:r>
    </w:p>
    <w:p w14:paraId="25B04CB1">
      <w:pPr>
        <w:widowControl/>
        <w:shd w:val="clear" w:color="auto" w:fill="FFFFFF"/>
        <w:spacing w:line="360" w:lineRule="auto"/>
        <w:ind w:firstLine="370"/>
        <w:rPr>
          <w:rFonts w:hint="eastAsia" w:ascii="宋体" w:hAnsi="宋体" w:cs="宋体"/>
          <w:bCs/>
          <w:color w:val="auto"/>
          <w:szCs w:val="21"/>
          <w:highlight w:val="none"/>
        </w:rPr>
      </w:pPr>
      <w:r>
        <w:rPr>
          <w:rFonts w:hint="eastAsia" w:ascii="Arial" w:hAnsi="Arial" w:cs="Arial"/>
          <w:color w:val="auto"/>
          <w:spacing w:val="8"/>
          <w:szCs w:val="21"/>
          <w:highlight w:val="none"/>
        </w:rPr>
        <w:t>1.10本项目不接受联合体投标</w:t>
      </w:r>
    </w:p>
    <w:p w14:paraId="777AF4DE">
      <w:pPr>
        <w:widowControl/>
        <w:shd w:val="clear" w:color="auto" w:fill="FFFFFF"/>
        <w:spacing w:line="360" w:lineRule="auto"/>
        <w:ind w:firstLine="370"/>
        <w:rPr>
          <w:rFonts w:ascii="Arial" w:hAnsi="Arial" w:cs="Arial"/>
          <w:color w:val="auto"/>
          <w:spacing w:val="8"/>
          <w:szCs w:val="21"/>
          <w:highlight w:val="none"/>
        </w:rPr>
      </w:pPr>
    </w:p>
    <w:p w14:paraId="4310EF4B">
      <w:pPr>
        <w:widowControl/>
        <w:shd w:val="clear" w:color="auto" w:fill="FFFFFF"/>
        <w:spacing w:line="360" w:lineRule="auto"/>
        <w:outlineLvl w:val="1"/>
        <w:rPr>
          <w:rFonts w:ascii="Arial" w:hAnsi="Arial" w:cs="Arial"/>
          <w:b/>
          <w:color w:val="auto"/>
          <w:spacing w:val="8"/>
          <w:sz w:val="24"/>
          <w:highlight w:val="none"/>
        </w:rPr>
      </w:pPr>
      <w:bookmarkStart w:id="7" w:name="_Toc26468"/>
      <w:bookmarkStart w:id="8" w:name="_Toc1756"/>
      <w:bookmarkStart w:id="9" w:name="_Toc15331"/>
      <w:r>
        <w:rPr>
          <w:rFonts w:ascii="Arial" w:hAnsi="Arial" w:cs="Arial"/>
          <w:b/>
          <w:color w:val="auto"/>
          <w:spacing w:val="8"/>
          <w:sz w:val="24"/>
          <w:highlight w:val="none"/>
        </w:rPr>
        <w:t>二、申请人的资格要求：</w:t>
      </w:r>
      <w:bookmarkEnd w:id="7"/>
      <w:bookmarkEnd w:id="8"/>
      <w:bookmarkEnd w:id="9"/>
    </w:p>
    <w:p w14:paraId="7BB8F9D1">
      <w:pPr>
        <w:spacing w:line="360" w:lineRule="auto"/>
        <w:ind w:firstLine="454"/>
        <w:rPr>
          <w:rFonts w:ascii="Arial" w:hAnsi="Arial" w:cs="Arial"/>
          <w:b/>
          <w:color w:val="auto"/>
          <w:szCs w:val="21"/>
          <w:highlight w:val="none"/>
          <w:lang w:val="zh-CN"/>
        </w:rPr>
      </w:pPr>
      <w:r>
        <w:rPr>
          <w:rFonts w:ascii="Arial" w:hAnsi="Arial" w:cs="Arial"/>
          <w:b/>
          <w:color w:val="auto"/>
          <w:spacing w:val="8"/>
          <w:szCs w:val="21"/>
          <w:highlight w:val="none"/>
        </w:rPr>
        <w:t>2.1</w:t>
      </w:r>
      <w:r>
        <w:rPr>
          <w:rFonts w:hint="eastAsia" w:ascii="Arial" w:hAnsi="Arial" w:cs="Arial"/>
          <w:b/>
          <w:color w:val="auto"/>
          <w:spacing w:val="8"/>
          <w:szCs w:val="21"/>
          <w:highlight w:val="none"/>
        </w:rPr>
        <w:t>满足</w:t>
      </w:r>
      <w:r>
        <w:rPr>
          <w:rFonts w:ascii="Arial" w:hAnsi="Arial" w:cs="Arial"/>
          <w:b/>
          <w:color w:val="auto"/>
          <w:spacing w:val="8"/>
          <w:szCs w:val="21"/>
          <w:highlight w:val="none"/>
        </w:rPr>
        <w:t>《中华人民共和国政府采购法》第二十二条规定；</w:t>
      </w:r>
    </w:p>
    <w:p w14:paraId="62E9F86F">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（1）具有独立承担民事责任的能力（提供法人或者其他组织的营业执照；供应商为自然人的，提供其身份证）；</w:t>
      </w:r>
    </w:p>
    <w:p w14:paraId="44EC97AF">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具有良好的商业信誉和健全的财务会计制度（提供2024或2025年度经审计的财务审计报告，或近六个月任意一个月的财务报表（至少包括资产负债表、利润表和现金流量表），或近六个月以来银行出具的资信证明）；</w:t>
      </w:r>
    </w:p>
    <w:p w14:paraId="4383FAD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（3）具有履行合同所必需的设备和专业技术能力（供应商根据履行采购项目合同需要，提供履行合同所必需的设备和专业技术能力的证明材料）；</w:t>
      </w:r>
    </w:p>
    <w:p w14:paraId="393B54B6">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342DA9F4">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（5）参加采购活动前三年内，在经营活动中没有重大违法记录（提供承诺书）；</w:t>
      </w:r>
    </w:p>
    <w:p w14:paraId="4C2E801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（6）法律、行政法规规定的其他条件：无。</w:t>
      </w:r>
    </w:p>
    <w:p w14:paraId="2EF44194">
      <w:pPr>
        <w:spacing w:line="360" w:lineRule="auto"/>
        <w:ind w:firstLine="454"/>
        <w:rPr>
          <w:rFonts w:ascii="Arial" w:hAnsi="Arial" w:cs="Arial"/>
          <w:i/>
          <w:color w:val="auto"/>
          <w:spacing w:val="8"/>
          <w:szCs w:val="21"/>
          <w:highlight w:val="none"/>
          <w:u w:val="single"/>
        </w:rPr>
      </w:pPr>
      <w:r>
        <w:rPr>
          <w:rFonts w:ascii="Arial" w:hAnsi="Arial" w:cs="Arial"/>
          <w:b/>
          <w:color w:val="auto"/>
          <w:spacing w:val="8"/>
          <w:szCs w:val="21"/>
          <w:highlight w:val="none"/>
        </w:rPr>
        <w:t>2.2 落实政府采购政策需满足的资格要求：</w:t>
      </w:r>
      <w:r>
        <w:rPr>
          <w:rFonts w:hint="eastAsia" w:ascii="Arial" w:hAnsi="Arial" w:cs="Arial"/>
          <w:b/>
          <w:color w:val="auto"/>
          <w:spacing w:val="8"/>
          <w:szCs w:val="21"/>
          <w:highlight w:val="none"/>
        </w:rPr>
        <w:t>无。</w:t>
      </w:r>
    </w:p>
    <w:p w14:paraId="6B849B16">
      <w:pPr>
        <w:spacing w:line="360" w:lineRule="auto"/>
        <w:ind w:firstLine="458"/>
        <w:rPr>
          <w:rFonts w:ascii="Arial" w:hAnsi="Arial" w:cs="Arial"/>
          <w:b/>
          <w:color w:val="auto"/>
          <w:szCs w:val="21"/>
          <w:highlight w:val="none"/>
        </w:rPr>
      </w:pPr>
      <w:r>
        <w:rPr>
          <w:rFonts w:ascii="Arial" w:hAnsi="Arial" w:cs="Arial"/>
          <w:b/>
          <w:color w:val="auto"/>
          <w:spacing w:val="8"/>
          <w:szCs w:val="21"/>
          <w:highlight w:val="none"/>
        </w:rPr>
        <w:t xml:space="preserve">2.3 </w:t>
      </w:r>
      <w:r>
        <w:rPr>
          <w:rFonts w:ascii="Arial" w:hAnsi="Arial" w:cs="Arial"/>
          <w:b/>
          <w:color w:val="auto"/>
          <w:szCs w:val="21"/>
          <w:highlight w:val="none"/>
        </w:rPr>
        <w:t>采购人根据采购项目的特殊要求规定的特定条件，并提供符合特殊要求的证明材料或者情况说明：</w:t>
      </w:r>
    </w:p>
    <w:p w14:paraId="593E9067">
      <w:pPr>
        <w:spacing w:line="360" w:lineRule="auto"/>
        <w:ind w:firstLine="426"/>
        <w:rPr>
          <w:rFonts w:ascii="Arial" w:hAnsi="Arial" w:cs="Arial"/>
          <w:b/>
          <w:color w:val="auto"/>
          <w:szCs w:val="21"/>
          <w:highlight w:val="none"/>
        </w:rPr>
      </w:pPr>
      <w:r>
        <w:rPr>
          <w:rFonts w:hint="eastAsia" w:ascii="Arial" w:hAnsi="Arial" w:cs="Arial"/>
          <w:b/>
          <w:color w:val="auto"/>
          <w:szCs w:val="21"/>
          <w:highlight w:val="none"/>
        </w:rPr>
        <w:t>（1）</w:t>
      </w:r>
      <w:r>
        <w:rPr>
          <w:rFonts w:ascii="Arial" w:hAnsi="Arial" w:cs="Arial"/>
          <w:b/>
          <w:color w:val="auto"/>
          <w:szCs w:val="21"/>
          <w:highlight w:val="none"/>
        </w:rPr>
        <w:t>企业资质：</w:t>
      </w:r>
      <w:r>
        <w:rPr>
          <w:rFonts w:hint="eastAsia" w:ascii="Arial" w:hAnsi="Arial" w:cs="Arial"/>
          <w:b/>
          <w:color w:val="auto"/>
          <w:szCs w:val="21"/>
          <w:highlight w:val="none"/>
        </w:rPr>
        <w:t>供应商具有</w:t>
      </w:r>
      <w:r>
        <w:rPr>
          <w:rFonts w:ascii="Arial" w:hAnsi="Arial" w:cs="Arial"/>
          <w:b/>
          <w:color w:val="auto"/>
          <w:szCs w:val="21"/>
          <w:highlight w:val="none"/>
        </w:rPr>
        <w:t>建筑工程施工总承包三级及以上资质，且具备有效的安全生产许可证（提供有效的证书复印件）。</w:t>
      </w:r>
    </w:p>
    <w:p w14:paraId="5036B188">
      <w:pPr>
        <w:spacing w:line="360" w:lineRule="auto"/>
        <w:ind w:firstLine="426"/>
        <w:rPr>
          <w:rFonts w:ascii="Arial" w:hAnsi="Arial" w:cs="Arial"/>
          <w:b/>
          <w:color w:val="auto"/>
          <w:szCs w:val="21"/>
          <w:highlight w:val="none"/>
        </w:rPr>
      </w:pPr>
      <w:r>
        <w:rPr>
          <w:rFonts w:hint="eastAsia" w:ascii="Arial" w:hAnsi="Arial" w:cs="Arial"/>
          <w:b/>
          <w:color w:val="auto"/>
          <w:szCs w:val="21"/>
          <w:highlight w:val="none"/>
        </w:rPr>
        <w:t>（2）</w:t>
      </w:r>
      <w:r>
        <w:rPr>
          <w:rFonts w:ascii="Arial" w:hAnsi="Arial" w:cs="Arial"/>
          <w:b/>
          <w:color w:val="auto"/>
          <w:szCs w:val="21"/>
          <w:highlight w:val="none"/>
        </w:rPr>
        <w:t>项目经理注册建造师资质类别和等级：</w:t>
      </w:r>
      <w:r>
        <w:rPr>
          <w:rFonts w:hint="eastAsia" w:ascii="Arial" w:hAnsi="Arial" w:cs="Arial"/>
          <w:b/>
          <w:color w:val="auto"/>
          <w:szCs w:val="21"/>
          <w:highlight w:val="none"/>
        </w:rPr>
        <w:t>项目经理具有</w:t>
      </w:r>
      <w:r>
        <w:rPr>
          <w:rFonts w:ascii="Arial" w:hAnsi="Arial" w:cs="Arial"/>
          <w:b/>
          <w:color w:val="auto"/>
          <w:szCs w:val="21"/>
          <w:highlight w:val="none"/>
        </w:rPr>
        <w:t>注册建造师（建筑工程专业）二级(含)以上（提供有效期内的建造师资质证书、安全生产考核合格证（B类）及近6个月</w:t>
      </w:r>
      <w:r>
        <w:rPr>
          <w:rFonts w:hint="eastAsia" w:ascii="Arial" w:hAnsi="Arial" w:cs="Arial"/>
          <w:b/>
          <w:color w:val="auto"/>
          <w:szCs w:val="21"/>
          <w:highlight w:val="none"/>
        </w:rPr>
        <w:t>任意一个月</w:t>
      </w:r>
      <w:r>
        <w:rPr>
          <w:rFonts w:ascii="Arial" w:hAnsi="Arial" w:cs="Arial"/>
          <w:b/>
          <w:color w:val="auto"/>
          <w:szCs w:val="21"/>
          <w:highlight w:val="none"/>
        </w:rPr>
        <w:t>社保缴纳证明</w:t>
      </w:r>
      <w:r>
        <w:rPr>
          <w:rFonts w:hint="eastAsia" w:ascii="Arial" w:hAnsi="Arial" w:cs="Arial"/>
          <w:b/>
          <w:color w:val="auto"/>
          <w:szCs w:val="21"/>
          <w:highlight w:val="none"/>
        </w:rPr>
        <w:t>，</w:t>
      </w:r>
      <w:r>
        <w:rPr>
          <w:rFonts w:ascii="Arial" w:hAnsi="Arial" w:cs="Arial"/>
          <w:b/>
          <w:color w:val="auto"/>
          <w:szCs w:val="21"/>
          <w:highlight w:val="none"/>
        </w:rPr>
        <w:t>注：近6个月社保缴纳证明指2025年12月至2026年5月</w:t>
      </w:r>
      <w:r>
        <w:rPr>
          <w:rFonts w:hint="eastAsia" w:ascii="Arial" w:hAnsi="Arial" w:cs="Arial"/>
          <w:b/>
          <w:color w:val="auto"/>
          <w:szCs w:val="21"/>
          <w:highlight w:val="none"/>
        </w:rPr>
        <w:t>供应商</w:t>
      </w:r>
      <w:r>
        <w:rPr>
          <w:rFonts w:ascii="Arial" w:hAnsi="Arial" w:cs="Arial"/>
          <w:b/>
          <w:color w:val="auto"/>
          <w:szCs w:val="21"/>
          <w:highlight w:val="none"/>
        </w:rPr>
        <w:t>为项目经理缴纳的由劳动和社会保障部门出具的养老保险缴纳单据证明（需明确缴费月份、个人姓名、缴费单位），需加盖社保机构公章或社保中心参保缴费证明电子专业章，同时加盖投标人公章（如投标人为事业编制性质的单位，可提供由机关事业单位社会保险基金部门盖章的相关证明））</w:t>
      </w:r>
      <w:r>
        <w:rPr>
          <w:rFonts w:hint="eastAsia" w:ascii="Arial" w:hAnsi="Arial" w:cs="Arial"/>
          <w:b/>
          <w:color w:val="auto"/>
          <w:szCs w:val="21"/>
          <w:highlight w:val="none"/>
        </w:rPr>
        <w:t>；</w:t>
      </w:r>
    </w:p>
    <w:p w14:paraId="5334A045">
      <w:pPr>
        <w:spacing w:line="360" w:lineRule="auto"/>
        <w:ind w:firstLine="456"/>
        <w:rPr>
          <w:rFonts w:ascii="Arial" w:hAnsi="Arial" w:cs="Arial"/>
          <w:color w:val="auto"/>
          <w:spacing w:val="8"/>
          <w:szCs w:val="21"/>
          <w:highlight w:val="none"/>
        </w:rPr>
      </w:pPr>
      <w:r>
        <w:rPr>
          <w:rFonts w:hint="eastAsia" w:ascii="Arial" w:hAnsi="Arial" w:cs="Arial"/>
          <w:color w:val="auto"/>
          <w:spacing w:val="8"/>
          <w:szCs w:val="21"/>
          <w:highlight w:val="none"/>
        </w:rPr>
        <w:t>2.4 拒绝下述供应商参加本次招标活动：</w:t>
      </w:r>
    </w:p>
    <w:p w14:paraId="24F54B96">
      <w:pPr>
        <w:spacing w:line="360" w:lineRule="auto"/>
        <w:ind w:firstLine="456"/>
        <w:rPr>
          <w:rFonts w:ascii="Arial" w:hAnsi="Arial" w:cs="Arial"/>
          <w:color w:val="auto"/>
          <w:spacing w:val="8"/>
          <w:szCs w:val="21"/>
          <w:highlight w:val="none"/>
        </w:rPr>
      </w:pPr>
      <w:r>
        <w:rPr>
          <w:rFonts w:hint="eastAsia" w:ascii="Arial" w:hAnsi="Arial" w:cs="Arial"/>
          <w:color w:val="auto"/>
          <w:spacing w:val="8"/>
          <w:szCs w:val="21"/>
          <w:highlight w:val="none"/>
        </w:rPr>
        <w:t>（1）单位负责人为同一人或者存在直接控股、管理关系的不同供应商，不得参加同一合同项下的政府采购活动。</w:t>
      </w:r>
    </w:p>
    <w:p w14:paraId="71618F22">
      <w:pPr>
        <w:spacing w:line="360" w:lineRule="auto"/>
        <w:ind w:firstLine="456"/>
        <w:rPr>
          <w:rFonts w:ascii="Arial" w:hAnsi="Arial" w:cs="Arial"/>
          <w:color w:val="auto"/>
          <w:spacing w:val="8"/>
          <w:szCs w:val="21"/>
          <w:highlight w:val="none"/>
        </w:rPr>
      </w:pPr>
      <w:r>
        <w:rPr>
          <w:rFonts w:hint="eastAsia" w:ascii="Arial" w:hAnsi="Arial" w:cs="Arial"/>
          <w:color w:val="auto"/>
          <w:spacing w:val="8"/>
          <w:szCs w:val="21"/>
          <w:highlight w:val="none"/>
        </w:rPr>
        <w:t>（2）为采购项目提供整体设计、规范编制或者项目管理、监理、检测等服务的供应商，不得参加本项目的采购活动。</w:t>
      </w:r>
    </w:p>
    <w:p w14:paraId="46BCFCCB">
      <w:pPr>
        <w:spacing w:line="360" w:lineRule="auto"/>
        <w:ind w:firstLine="456"/>
        <w:rPr>
          <w:rFonts w:ascii="Arial" w:hAnsi="Arial" w:cs="Arial"/>
          <w:bCs/>
          <w:color w:val="auto"/>
          <w:szCs w:val="21"/>
          <w:highlight w:val="none"/>
        </w:rPr>
      </w:pPr>
      <w:r>
        <w:rPr>
          <w:rFonts w:hint="eastAsia" w:ascii="Arial" w:hAnsi="Arial" w:cs="Arial"/>
          <w:color w:val="auto"/>
          <w:spacing w:val="8"/>
          <w:szCs w:val="21"/>
          <w:highlight w:val="none"/>
        </w:rPr>
        <w:t>（3）供应商被“信用中国”网站（www.creditchina.gov.cn）、“中国政府采购网”(www.ccgp.gov.cn)列入失信被执行人、重大税收违法失信主体名单、政府采购严重违法失信行为记录名单</w:t>
      </w:r>
      <w:r>
        <w:rPr>
          <w:rFonts w:ascii="Arial" w:hAnsi="Arial" w:cs="Arial"/>
          <w:bCs/>
          <w:color w:val="auto"/>
          <w:szCs w:val="21"/>
          <w:highlight w:val="none"/>
        </w:rPr>
        <w:t>。</w:t>
      </w:r>
    </w:p>
    <w:p w14:paraId="5B3AD1E2">
      <w:pPr>
        <w:widowControl/>
        <w:shd w:val="clear" w:color="auto" w:fill="FFFFFF"/>
        <w:spacing w:line="360" w:lineRule="auto"/>
        <w:ind w:firstLine="422"/>
        <w:rPr>
          <w:rFonts w:ascii="Arial" w:hAnsi="Arial" w:cs="Arial"/>
          <w:b/>
          <w:color w:val="auto"/>
          <w:szCs w:val="21"/>
          <w:highlight w:val="none"/>
        </w:rPr>
      </w:pPr>
    </w:p>
    <w:p w14:paraId="7A92B8A5">
      <w:pPr>
        <w:widowControl/>
        <w:shd w:val="clear" w:color="auto" w:fill="FFFFFF"/>
        <w:spacing w:line="360" w:lineRule="auto"/>
        <w:outlineLvl w:val="1"/>
        <w:rPr>
          <w:rFonts w:ascii="Arial" w:hAnsi="Arial" w:cs="Arial"/>
          <w:b/>
          <w:color w:val="auto"/>
          <w:spacing w:val="8"/>
          <w:sz w:val="24"/>
          <w:highlight w:val="none"/>
        </w:rPr>
      </w:pPr>
      <w:bookmarkStart w:id="10" w:name="_Toc7651"/>
      <w:bookmarkStart w:id="11" w:name="_Toc24617"/>
      <w:bookmarkStart w:id="12" w:name="_Toc5823"/>
      <w:r>
        <w:rPr>
          <w:rFonts w:ascii="Arial" w:hAnsi="Arial" w:cs="Arial"/>
          <w:b/>
          <w:color w:val="auto"/>
          <w:spacing w:val="8"/>
          <w:sz w:val="24"/>
          <w:highlight w:val="none"/>
        </w:rPr>
        <w:t>三、获取采购文件</w:t>
      </w:r>
      <w:bookmarkEnd w:id="10"/>
      <w:bookmarkEnd w:id="11"/>
      <w:bookmarkEnd w:id="12"/>
    </w:p>
    <w:p w14:paraId="69C28135">
      <w:pPr>
        <w:spacing w:line="360" w:lineRule="auto"/>
        <w:ind w:firstLine="420"/>
        <w:rPr>
          <w:rFonts w:ascii="Arial" w:hAnsi="Arial" w:cs="Arial"/>
          <w:color w:val="auto"/>
          <w:szCs w:val="21"/>
          <w:highlight w:val="none"/>
        </w:rPr>
      </w:pPr>
      <w:r>
        <w:rPr>
          <w:rFonts w:hint="eastAsia" w:ascii="Arial" w:hAnsi="Arial" w:cs="Arial"/>
          <w:color w:val="auto"/>
          <w:szCs w:val="21"/>
          <w:highlight w:val="none"/>
        </w:rPr>
        <w:t>3.1时间：自磋商文件公告发布之日起5个工作日</w:t>
      </w:r>
    </w:p>
    <w:p w14:paraId="65E3C46A">
      <w:pPr>
        <w:spacing w:line="360" w:lineRule="auto"/>
        <w:ind w:firstLine="420"/>
        <w:rPr>
          <w:rFonts w:ascii="Arial" w:hAnsi="Arial" w:cs="Arial"/>
          <w:color w:val="auto"/>
          <w:szCs w:val="21"/>
          <w:highlight w:val="none"/>
        </w:rPr>
      </w:pPr>
      <w:r>
        <w:rPr>
          <w:rFonts w:hint="eastAsia" w:ascii="Arial" w:hAnsi="Arial" w:cs="Arial"/>
          <w:color w:val="auto"/>
          <w:szCs w:val="21"/>
          <w:highlight w:val="none"/>
        </w:rPr>
        <w:t>3.2地点：江苏政府采购网。</w:t>
      </w:r>
    </w:p>
    <w:p w14:paraId="6DF30181">
      <w:pPr>
        <w:spacing w:line="360" w:lineRule="auto"/>
        <w:ind w:firstLine="420"/>
        <w:rPr>
          <w:rFonts w:ascii="Arial" w:hAnsi="Arial" w:cs="Arial"/>
          <w:color w:val="auto"/>
          <w:szCs w:val="21"/>
          <w:highlight w:val="none"/>
        </w:rPr>
      </w:pPr>
      <w:r>
        <w:rPr>
          <w:rFonts w:hint="eastAsia" w:ascii="Arial" w:hAnsi="Arial" w:cs="Arial"/>
          <w:color w:val="auto"/>
          <w:szCs w:val="21"/>
          <w:highlight w:val="none"/>
        </w:rPr>
        <w:t>3.3获取方式：</w:t>
      </w:r>
      <w:r>
        <w:rPr>
          <w:rFonts w:ascii="Arial" w:hAnsi="Arial" w:cs="Arial"/>
          <w:color w:val="auto"/>
          <w:szCs w:val="21"/>
          <w:highlight w:val="none"/>
        </w:rPr>
        <w:t>采用网上注册登记方式</w:t>
      </w:r>
      <w:r>
        <w:rPr>
          <w:rFonts w:hint="eastAsia" w:ascii="Arial" w:hAnsi="Arial" w:cs="Arial"/>
          <w:color w:val="auto"/>
          <w:szCs w:val="21"/>
          <w:highlight w:val="none"/>
        </w:rPr>
        <w:t>。</w:t>
      </w:r>
    </w:p>
    <w:p w14:paraId="1E8D9A64">
      <w:pPr>
        <w:spacing w:line="360" w:lineRule="auto"/>
        <w:ind w:firstLine="420"/>
        <w:rPr>
          <w:rFonts w:ascii="Arial" w:hAnsi="Arial" w:cs="Arial"/>
          <w:color w:val="auto"/>
          <w:szCs w:val="21"/>
          <w:highlight w:val="none"/>
        </w:rPr>
      </w:pPr>
      <w:r>
        <w:rPr>
          <w:rFonts w:hint="eastAsia" w:ascii="Arial" w:hAnsi="Arial" w:cs="Arial"/>
          <w:color w:val="auto"/>
          <w:szCs w:val="21"/>
          <w:highlight w:val="none"/>
        </w:rPr>
        <w:t>3.4售价：0.00元。</w:t>
      </w:r>
    </w:p>
    <w:p w14:paraId="3968B0CA">
      <w:pPr>
        <w:spacing w:line="360" w:lineRule="auto"/>
        <w:ind w:firstLine="420"/>
        <w:rPr>
          <w:rFonts w:ascii="Arial" w:hAnsi="Arial" w:cs="Arial"/>
          <w:color w:val="auto"/>
          <w:szCs w:val="21"/>
          <w:highlight w:val="none"/>
        </w:rPr>
      </w:pPr>
    </w:p>
    <w:p w14:paraId="005313A6">
      <w:pPr>
        <w:widowControl/>
        <w:shd w:val="clear" w:color="auto" w:fill="FFFFFF"/>
        <w:spacing w:line="360" w:lineRule="auto"/>
        <w:outlineLvl w:val="1"/>
        <w:rPr>
          <w:rFonts w:ascii="Arial" w:hAnsi="Arial" w:cs="Arial"/>
          <w:b/>
          <w:color w:val="auto"/>
          <w:spacing w:val="8"/>
          <w:sz w:val="24"/>
          <w:highlight w:val="none"/>
        </w:rPr>
      </w:pPr>
      <w:bookmarkStart w:id="13" w:name="_Toc18810"/>
      <w:bookmarkStart w:id="14" w:name="_Toc1456"/>
      <w:bookmarkStart w:id="15" w:name="_Toc21817"/>
      <w:r>
        <w:rPr>
          <w:rFonts w:ascii="Arial" w:hAnsi="Arial" w:cs="Arial"/>
          <w:b/>
          <w:color w:val="auto"/>
          <w:spacing w:val="8"/>
          <w:sz w:val="24"/>
          <w:highlight w:val="none"/>
        </w:rPr>
        <w:t>四、响应文件提交</w:t>
      </w:r>
      <w:bookmarkEnd w:id="13"/>
      <w:bookmarkEnd w:id="14"/>
      <w:bookmarkEnd w:id="15"/>
    </w:p>
    <w:p w14:paraId="0E2567C1">
      <w:pPr>
        <w:spacing w:line="360" w:lineRule="auto"/>
        <w:ind w:firstLine="420"/>
        <w:rPr>
          <w:rFonts w:ascii="Arial" w:hAnsi="Arial"/>
          <w:color w:val="auto"/>
          <w:szCs w:val="21"/>
          <w:highlight w:val="none"/>
        </w:rPr>
      </w:pPr>
      <w:r>
        <w:rPr>
          <w:rFonts w:ascii="Arial" w:hAnsi="Arial"/>
          <w:color w:val="auto"/>
          <w:szCs w:val="21"/>
          <w:highlight w:val="none"/>
        </w:rPr>
        <w:t>4.1 截止时间</w:t>
      </w:r>
      <w:r>
        <w:rPr>
          <w:rFonts w:ascii="Arial" w:hAnsi="Arial"/>
          <w:b/>
          <w:bCs/>
          <w:color w:val="auto"/>
          <w:szCs w:val="21"/>
          <w:highlight w:val="none"/>
        </w:rPr>
        <w:t>：</w:t>
      </w:r>
      <w:r>
        <w:rPr>
          <w:rFonts w:hint="eastAsia" w:ascii="Arial" w:hAnsi="Arial"/>
          <w:b/>
          <w:bCs/>
          <w:color w:val="auto"/>
          <w:szCs w:val="21"/>
          <w:highlight w:val="none"/>
        </w:rPr>
        <w:t>2026年6月</w:t>
      </w:r>
      <w:r>
        <w:rPr>
          <w:rFonts w:hint="eastAsia" w:ascii="Arial" w:hAnsi="Arial"/>
          <w:b/>
          <w:bCs/>
          <w:color w:val="auto"/>
          <w:szCs w:val="21"/>
          <w:highlight w:val="none"/>
          <w:lang w:val="en-US" w:eastAsia="zh-CN"/>
        </w:rPr>
        <w:t>29</w:t>
      </w:r>
      <w:r>
        <w:rPr>
          <w:rFonts w:hint="eastAsia" w:ascii="Arial" w:hAnsi="Arial"/>
          <w:b/>
          <w:bCs/>
          <w:color w:val="auto"/>
          <w:szCs w:val="21"/>
          <w:highlight w:val="none"/>
        </w:rPr>
        <w:t>日09点30分（北京时间）</w:t>
      </w:r>
    </w:p>
    <w:p w14:paraId="4C09FD2E">
      <w:pPr>
        <w:spacing w:line="360" w:lineRule="auto"/>
        <w:ind w:firstLine="420"/>
        <w:rPr>
          <w:rFonts w:ascii="Arial" w:hAnsi="Arial" w:cs="Arial"/>
          <w:color w:val="auto"/>
          <w:spacing w:val="8"/>
          <w:szCs w:val="21"/>
          <w:highlight w:val="none"/>
        </w:rPr>
      </w:pPr>
      <w:r>
        <w:rPr>
          <w:rFonts w:ascii="Arial" w:hAnsi="Arial"/>
          <w:color w:val="auto"/>
          <w:szCs w:val="21"/>
          <w:highlight w:val="none"/>
        </w:rPr>
        <w:t xml:space="preserve">4.2 </w:t>
      </w:r>
      <w:r>
        <w:rPr>
          <w:rFonts w:hint="eastAsia" w:ascii="Arial" w:hAnsi="Arial"/>
          <w:color w:val="auto"/>
          <w:spacing w:val="8"/>
          <w:szCs w:val="21"/>
          <w:highlight w:val="none"/>
        </w:rPr>
        <w:t>提交响应文件</w:t>
      </w:r>
      <w:r>
        <w:rPr>
          <w:rFonts w:ascii="Arial" w:hAnsi="Arial"/>
          <w:color w:val="auto"/>
          <w:spacing w:val="8"/>
          <w:szCs w:val="21"/>
          <w:highlight w:val="none"/>
        </w:rPr>
        <w:t>地点：</w:t>
      </w:r>
      <w:r>
        <w:rPr>
          <w:rFonts w:hint="eastAsia" w:ascii="Arial" w:hAnsi="Arial"/>
          <w:color w:val="auto"/>
          <w:spacing w:val="8"/>
          <w:szCs w:val="21"/>
          <w:highlight w:val="none"/>
        </w:rPr>
        <w:t>江苏省政府采购管理交易系统（苏采云）（以下简称“苏采云”）（网址： http://jszfcg.jsczt.cn/）</w:t>
      </w:r>
      <w:r>
        <w:rPr>
          <w:rFonts w:ascii="Arial" w:hAnsi="宋体" w:cs="Arial"/>
          <w:color w:val="auto"/>
          <w:szCs w:val="21"/>
          <w:highlight w:val="none"/>
        </w:rPr>
        <w:t>。</w:t>
      </w:r>
    </w:p>
    <w:p w14:paraId="36429A0C">
      <w:pPr>
        <w:spacing w:line="360" w:lineRule="auto"/>
        <w:ind w:firstLine="452"/>
        <w:rPr>
          <w:rFonts w:ascii="Arial" w:hAnsi="Arial" w:cs="Arial"/>
          <w:color w:val="auto"/>
          <w:spacing w:val="8"/>
          <w:szCs w:val="21"/>
          <w:highlight w:val="none"/>
        </w:rPr>
      </w:pPr>
    </w:p>
    <w:p w14:paraId="341C7D3A">
      <w:pPr>
        <w:widowControl/>
        <w:shd w:val="clear" w:color="auto" w:fill="FFFFFF"/>
        <w:spacing w:line="360" w:lineRule="auto"/>
        <w:outlineLvl w:val="1"/>
        <w:rPr>
          <w:rFonts w:ascii="Arial" w:hAnsi="Arial" w:cs="Arial"/>
          <w:b/>
          <w:color w:val="auto"/>
          <w:spacing w:val="8"/>
          <w:sz w:val="24"/>
          <w:highlight w:val="none"/>
        </w:rPr>
      </w:pPr>
      <w:bookmarkStart w:id="16" w:name="_Toc21891"/>
      <w:bookmarkStart w:id="17" w:name="_Toc22814"/>
      <w:bookmarkStart w:id="18" w:name="_Toc22940"/>
      <w:r>
        <w:rPr>
          <w:rFonts w:ascii="Arial" w:hAnsi="Arial" w:cs="Arial"/>
          <w:b/>
          <w:color w:val="auto"/>
          <w:spacing w:val="8"/>
          <w:sz w:val="24"/>
          <w:highlight w:val="none"/>
        </w:rPr>
        <w:t>五、开启</w:t>
      </w:r>
      <w:bookmarkEnd w:id="16"/>
      <w:bookmarkEnd w:id="17"/>
      <w:bookmarkEnd w:id="18"/>
    </w:p>
    <w:p w14:paraId="43FCDCC2">
      <w:pPr>
        <w:spacing w:line="360" w:lineRule="auto"/>
        <w:ind w:firstLine="420"/>
        <w:rPr>
          <w:rFonts w:ascii="Arial" w:hAnsi="Arial" w:cs="Arial"/>
          <w:color w:val="auto"/>
          <w:spacing w:val="8"/>
          <w:szCs w:val="21"/>
          <w:highlight w:val="none"/>
        </w:rPr>
      </w:pPr>
      <w:r>
        <w:rPr>
          <w:rFonts w:ascii="Arial" w:hAnsi="Arial" w:cs="Arial"/>
          <w:color w:val="auto"/>
          <w:szCs w:val="21"/>
          <w:highlight w:val="none"/>
        </w:rPr>
        <w:t>5.1 时间：</w:t>
      </w:r>
      <w:r>
        <w:rPr>
          <w:rFonts w:hint="eastAsia" w:ascii="Arial" w:hAnsi="Arial"/>
          <w:b/>
          <w:bCs/>
          <w:color w:val="auto"/>
          <w:szCs w:val="21"/>
          <w:highlight w:val="none"/>
        </w:rPr>
        <w:t>2026年6月</w:t>
      </w:r>
      <w:r>
        <w:rPr>
          <w:rFonts w:hint="eastAsia" w:ascii="Arial" w:hAnsi="Arial"/>
          <w:b/>
          <w:bCs/>
          <w:color w:val="auto"/>
          <w:szCs w:val="21"/>
          <w:highlight w:val="none"/>
          <w:lang w:val="en-US" w:eastAsia="zh-CN"/>
        </w:rPr>
        <w:t>29</w:t>
      </w:r>
      <w:r>
        <w:rPr>
          <w:rFonts w:hint="eastAsia" w:ascii="Arial" w:hAnsi="Arial"/>
          <w:b/>
          <w:bCs/>
          <w:color w:val="auto"/>
          <w:szCs w:val="21"/>
          <w:highlight w:val="none"/>
        </w:rPr>
        <w:t>日09点30分（北京时间）</w:t>
      </w:r>
    </w:p>
    <w:p w14:paraId="56ADCB47">
      <w:pPr>
        <w:spacing w:line="360" w:lineRule="auto"/>
        <w:ind w:firstLine="420"/>
        <w:rPr>
          <w:rFonts w:ascii="Arial" w:hAnsi="Arial" w:cs="Arial"/>
          <w:color w:val="auto"/>
          <w:spacing w:val="8"/>
          <w:szCs w:val="21"/>
          <w:highlight w:val="none"/>
        </w:rPr>
      </w:pPr>
      <w:r>
        <w:rPr>
          <w:rFonts w:ascii="Arial" w:hAnsi="Arial" w:cs="Arial"/>
          <w:color w:val="auto"/>
          <w:szCs w:val="21"/>
          <w:highlight w:val="none"/>
        </w:rPr>
        <w:t>5.2 地点：</w:t>
      </w:r>
      <w:r>
        <w:rPr>
          <w:rFonts w:hint="eastAsia" w:ascii="宋体" w:hAnsi="宋体" w:cs="宋体"/>
          <w:color w:val="auto"/>
          <w:szCs w:val="21"/>
          <w:highlight w:val="none"/>
        </w:rPr>
        <w:t>南京市鼓楼区清江南路18号鼓楼创新广场D栋11楼</w:t>
      </w:r>
    </w:p>
    <w:p w14:paraId="645C4399">
      <w:pPr>
        <w:spacing w:line="360" w:lineRule="auto"/>
        <w:ind w:firstLine="452"/>
        <w:rPr>
          <w:rFonts w:ascii="Arial" w:hAnsi="Arial" w:cs="Arial"/>
          <w:color w:val="auto"/>
          <w:spacing w:val="8"/>
          <w:szCs w:val="21"/>
          <w:highlight w:val="none"/>
        </w:rPr>
      </w:pPr>
    </w:p>
    <w:p w14:paraId="429A387F">
      <w:pPr>
        <w:widowControl/>
        <w:shd w:val="clear" w:color="auto" w:fill="FFFFFF"/>
        <w:spacing w:line="360" w:lineRule="auto"/>
        <w:outlineLvl w:val="1"/>
        <w:rPr>
          <w:rFonts w:ascii="Arial" w:hAnsi="Arial" w:cs="Arial"/>
          <w:b/>
          <w:color w:val="auto"/>
          <w:spacing w:val="8"/>
          <w:sz w:val="24"/>
          <w:highlight w:val="none"/>
        </w:rPr>
      </w:pPr>
      <w:bookmarkStart w:id="19" w:name="_Toc7529"/>
      <w:bookmarkStart w:id="20" w:name="_Toc23729"/>
      <w:bookmarkStart w:id="21" w:name="_Toc26308"/>
      <w:r>
        <w:rPr>
          <w:rFonts w:ascii="Arial" w:hAnsi="Arial" w:cs="Arial"/>
          <w:b/>
          <w:color w:val="auto"/>
          <w:spacing w:val="8"/>
          <w:sz w:val="24"/>
          <w:highlight w:val="none"/>
        </w:rPr>
        <w:t>六、公告期限</w:t>
      </w:r>
      <w:bookmarkEnd w:id="19"/>
      <w:bookmarkEnd w:id="20"/>
      <w:bookmarkEnd w:id="21"/>
    </w:p>
    <w:p w14:paraId="317639E7">
      <w:pPr>
        <w:widowControl/>
        <w:shd w:val="clear" w:color="auto" w:fill="FFFFFF"/>
        <w:spacing w:line="360" w:lineRule="auto"/>
        <w:ind w:firstLine="370"/>
        <w:rPr>
          <w:rFonts w:ascii="Arial" w:hAnsi="Arial" w:cs="Arial"/>
          <w:color w:val="auto"/>
          <w:spacing w:val="8"/>
          <w:szCs w:val="21"/>
          <w:highlight w:val="none"/>
        </w:rPr>
      </w:pPr>
      <w:r>
        <w:rPr>
          <w:rFonts w:ascii="Arial" w:hAnsi="Arial" w:cs="Arial"/>
          <w:color w:val="auto"/>
          <w:spacing w:val="8"/>
          <w:szCs w:val="21"/>
          <w:highlight w:val="none"/>
        </w:rPr>
        <w:t>自本公告发布之日起3个工作日。</w:t>
      </w:r>
    </w:p>
    <w:p w14:paraId="1F981DA0">
      <w:pPr>
        <w:widowControl/>
        <w:shd w:val="clear" w:color="auto" w:fill="FFFFFF"/>
        <w:spacing w:line="360" w:lineRule="auto"/>
        <w:ind w:firstLine="370"/>
        <w:rPr>
          <w:rFonts w:ascii="Arial" w:hAnsi="Arial" w:cs="Arial"/>
          <w:color w:val="auto"/>
          <w:spacing w:val="8"/>
          <w:szCs w:val="21"/>
          <w:highlight w:val="none"/>
        </w:rPr>
      </w:pPr>
    </w:p>
    <w:p w14:paraId="29B53A46">
      <w:pPr>
        <w:widowControl/>
        <w:shd w:val="clear" w:color="auto" w:fill="FFFFFF"/>
        <w:tabs>
          <w:tab w:val="left" w:pos="426"/>
        </w:tabs>
        <w:spacing w:line="360" w:lineRule="auto"/>
        <w:outlineLvl w:val="1"/>
        <w:rPr>
          <w:rFonts w:ascii="Arial" w:hAnsi="Arial" w:cs="Arial"/>
          <w:b/>
          <w:color w:val="auto"/>
          <w:spacing w:val="8"/>
          <w:sz w:val="24"/>
          <w:highlight w:val="none"/>
        </w:rPr>
      </w:pPr>
      <w:bookmarkStart w:id="22" w:name="_Toc29605"/>
      <w:bookmarkStart w:id="23" w:name="_Toc11013"/>
      <w:bookmarkStart w:id="24" w:name="_Toc14225"/>
      <w:r>
        <w:rPr>
          <w:rFonts w:ascii="Arial" w:hAnsi="Arial" w:cs="Arial"/>
          <w:b/>
          <w:color w:val="auto"/>
          <w:spacing w:val="8"/>
          <w:sz w:val="24"/>
          <w:highlight w:val="none"/>
        </w:rPr>
        <w:t>七、其他补充事宜</w:t>
      </w:r>
      <w:bookmarkEnd w:id="22"/>
      <w:bookmarkEnd w:id="23"/>
      <w:bookmarkEnd w:id="24"/>
    </w:p>
    <w:p w14:paraId="28895D48">
      <w:pPr>
        <w:spacing w:line="360" w:lineRule="auto"/>
        <w:ind w:firstLine="420"/>
        <w:rPr>
          <w:rFonts w:ascii="Arial" w:hAnsi="Arial" w:cs="Arial"/>
          <w:color w:val="auto"/>
          <w:highlight w:val="none"/>
        </w:rPr>
      </w:pPr>
      <w:r>
        <w:rPr>
          <w:rFonts w:ascii="Arial" w:hAnsi="Arial" w:cs="Arial"/>
          <w:color w:val="auto"/>
          <w:highlight w:val="none"/>
        </w:rPr>
        <w:t>7.1</w:t>
      </w:r>
      <w:r>
        <w:rPr>
          <w:rFonts w:hint="eastAsia" w:ascii="Arial" w:hAnsi="Arial" w:cs="Arial"/>
          <w:bCs/>
          <w:color w:val="auto"/>
          <w:szCs w:val="21"/>
          <w:highlight w:val="none"/>
        </w:rPr>
        <w:t>本项目在江苏政府采购网、中国政府采购网发布公告。</w:t>
      </w:r>
    </w:p>
    <w:p w14:paraId="38CC626E">
      <w:pPr>
        <w:spacing w:line="360" w:lineRule="auto"/>
        <w:ind w:firstLine="420"/>
        <w:rPr>
          <w:rFonts w:ascii="Arial" w:hAnsi="Arial" w:cs="Arial"/>
          <w:color w:val="auto"/>
          <w:highlight w:val="none"/>
        </w:rPr>
      </w:pPr>
      <w:r>
        <w:rPr>
          <w:rFonts w:hint="eastAsia" w:ascii="Arial" w:hAnsi="Arial" w:cs="Arial"/>
          <w:color w:val="auto"/>
          <w:highlight w:val="none"/>
        </w:rPr>
        <w:t>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13E8F68C">
      <w:pPr>
        <w:spacing w:line="360" w:lineRule="auto"/>
        <w:ind w:firstLine="420"/>
        <w:rPr>
          <w:rFonts w:ascii="Arial" w:hAnsi="Arial" w:cs="Arial"/>
          <w:color w:val="auto"/>
          <w:highlight w:val="none"/>
        </w:rPr>
      </w:pPr>
      <w:r>
        <w:rPr>
          <w:rFonts w:hint="eastAsia" w:ascii="Arial" w:hAnsi="Arial" w:cs="Arial"/>
          <w:color w:val="auto"/>
          <w:highlight w:val="none"/>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p>
    <w:p w14:paraId="6B471181">
      <w:pPr>
        <w:spacing w:line="360" w:lineRule="auto"/>
        <w:ind w:firstLine="420"/>
        <w:rPr>
          <w:rFonts w:ascii="Arial" w:hAnsi="Arial" w:cs="Arial"/>
          <w:color w:val="auto"/>
          <w:highlight w:val="none"/>
        </w:rPr>
      </w:pPr>
      <w:r>
        <w:rPr>
          <w:rFonts w:hint="eastAsia" w:ascii="Arial" w:hAnsi="Arial" w:cs="Arial"/>
          <w:color w:val="auto"/>
          <w:highlight w:val="none"/>
        </w:rPr>
        <w:t>“苏采云”江苏省客服热线025-83633744、025-83633743</w:t>
      </w:r>
      <w:r>
        <w:rPr>
          <w:rFonts w:ascii="Arial" w:hAnsi="Arial" w:cs="Arial"/>
          <w:color w:val="auto"/>
          <w:highlight w:val="none"/>
        </w:rPr>
        <w:t>。</w:t>
      </w:r>
    </w:p>
    <w:p w14:paraId="5A2CBC5F">
      <w:pPr>
        <w:spacing w:line="360" w:lineRule="auto"/>
        <w:ind w:firstLine="420"/>
        <w:rPr>
          <w:rFonts w:hint="eastAsia" w:ascii="Arial" w:hAnsi="Arial" w:cs="Arial"/>
          <w:color w:val="auto"/>
          <w:highlight w:val="none"/>
        </w:rPr>
      </w:pPr>
      <w:r>
        <w:rPr>
          <w:rFonts w:ascii="Arial" w:hAnsi="Arial" w:cs="Arial"/>
          <w:color w:val="auto"/>
          <w:highlight w:val="none"/>
        </w:rPr>
        <w:t>7</w:t>
      </w:r>
      <w:r>
        <w:rPr>
          <w:rFonts w:hint="eastAsia" w:ascii="Arial" w:hAnsi="Arial" w:cs="Arial"/>
          <w:color w:val="auto"/>
          <w:highlight w:val="none"/>
        </w:rPr>
        <w:t>.3勘察现场或答疑：本次项目各供应商自愿按规定时间至现场勘查现有情况，一旦成交，成交供应商不得以不完全了解施工现场为由，而提出额外的赔偿、补偿、增加费用和延长工期等要求，对此采购人将不予采纳。供应商代表携带营业执照复印件（加盖单位公章）、法定代表人授权委托书（加盖单位公章）参加集中考察或答疑。</w:t>
      </w:r>
    </w:p>
    <w:p w14:paraId="1FDD44EE">
      <w:pPr>
        <w:spacing w:line="360" w:lineRule="auto"/>
        <w:ind w:firstLine="420"/>
        <w:rPr>
          <w:rFonts w:ascii="Arial" w:hAnsi="Arial" w:cs="Arial"/>
          <w:color w:val="auto"/>
          <w:highlight w:val="none"/>
        </w:rPr>
      </w:pPr>
      <w:r>
        <w:rPr>
          <w:rFonts w:hint="eastAsia" w:ascii="Arial" w:hAnsi="Arial" w:cs="Arial"/>
          <w:color w:val="auto"/>
          <w:highlight w:val="none"/>
        </w:rPr>
        <w:t>供应商在现场勘察2026年6月25日08:00前将供应商全称、现场勘察人员姓名、联系电话、公司名称、授权委托书发送至邮箱wxyjssnu@163.com以供进校报备使用。现场勘察签到开始时间：2026年6月25日09点30分，签到截止时间：2026年6月25日09点40分，地点：南京市溧水区石湫街道新河西路6号北大门集合，联系人：王老师，联系电话：025-56226331，每家供应商只允许派1名代表参加集中答疑。现场由工作人员带领沿指定线路踏勘。因为不可抗力无法踏勘现场或者取消踏勘，采购人不负任何责任</w:t>
      </w:r>
      <w:bookmarkStart w:id="106" w:name="_GoBack"/>
      <w:bookmarkEnd w:id="106"/>
      <w:r>
        <w:rPr>
          <w:rFonts w:ascii="Arial" w:hAnsi="Arial" w:cs="Arial"/>
          <w:color w:val="auto"/>
          <w:highlight w:val="none"/>
        </w:rPr>
        <w:t>。</w:t>
      </w:r>
    </w:p>
    <w:p w14:paraId="06AA2725">
      <w:pPr>
        <w:widowControl/>
        <w:spacing w:line="360" w:lineRule="auto"/>
        <w:ind w:firstLine="363"/>
        <w:jc w:val="left"/>
        <w:rPr>
          <w:rFonts w:hint="eastAsia" w:ascii="宋体" w:hAnsi="宋体" w:cs="宋体"/>
          <w:color w:val="auto"/>
          <w:szCs w:val="21"/>
          <w:highlight w:val="none"/>
        </w:rPr>
      </w:pPr>
      <w:r>
        <w:rPr>
          <w:rFonts w:ascii="Arial" w:hAnsi="Arial"/>
          <w:color w:val="auto"/>
          <w:highlight w:val="none"/>
        </w:rPr>
        <w:t>7.</w:t>
      </w:r>
      <w:r>
        <w:rPr>
          <w:rFonts w:hint="eastAsia" w:ascii="Arial" w:hAnsi="Arial"/>
          <w:color w:val="auto"/>
          <w:highlight w:val="none"/>
        </w:rPr>
        <w:t>4</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有关本次采购的事项若存在变动或修改</w:t>
      </w:r>
      <w:r>
        <w:rPr>
          <w:rFonts w:hint="eastAsia" w:ascii="宋体" w:hAnsi="宋体" w:cs="宋体"/>
          <w:color w:val="auto"/>
          <w:szCs w:val="21"/>
          <w:highlight w:val="none"/>
        </w:rPr>
        <w:t>，</w:t>
      </w:r>
      <w:r>
        <w:rPr>
          <w:rFonts w:hint="eastAsia" w:ascii="宋体" w:hAnsi="宋体" w:cs="宋体"/>
          <w:color w:val="auto"/>
          <w:szCs w:val="21"/>
          <w:highlight w:val="none"/>
          <w:lang w:val="zh-CN"/>
        </w:rPr>
        <w:t>请及时关注</w:t>
      </w:r>
      <w:r>
        <w:rPr>
          <w:rFonts w:hint="eastAsia" w:ascii="宋体" w:hAnsi="宋体" w:cs="宋体"/>
          <w:color w:val="auto"/>
          <w:szCs w:val="21"/>
          <w:highlight w:val="none"/>
        </w:rPr>
        <w:t>“</w:t>
      </w:r>
      <w:r>
        <w:rPr>
          <w:rFonts w:hint="eastAsia" w:ascii="宋体" w:hAnsi="宋体" w:cs="宋体"/>
          <w:color w:val="auto"/>
          <w:szCs w:val="21"/>
          <w:highlight w:val="none"/>
          <w:lang w:val="zh-CN"/>
        </w:rPr>
        <w:t>江苏政府采购网</w:t>
      </w:r>
      <w:r>
        <w:rPr>
          <w:rFonts w:hint="eastAsia" w:ascii="宋体" w:hAnsi="宋体" w:cs="宋体"/>
          <w:color w:val="auto"/>
          <w:szCs w:val="21"/>
          <w:highlight w:val="none"/>
        </w:rPr>
        <w:t>”（www.ccgp-jiangsu.gov.cn）</w:t>
      </w:r>
      <w:r>
        <w:rPr>
          <w:rFonts w:hint="eastAsia" w:ascii="宋体" w:hAnsi="宋体" w:cs="宋体"/>
          <w:color w:val="auto"/>
          <w:szCs w:val="21"/>
          <w:highlight w:val="none"/>
          <w:lang w:val="zh-CN"/>
        </w:rPr>
        <w:t>更正公告。</w:t>
      </w:r>
    </w:p>
    <w:p w14:paraId="48AC7143">
      <w:pPr>
        <w:spacing w:line="360" w:lineRule="auto"/>
        <w:ind w:firstLine="420"/>
        <w:rPr>
          <w:rFonts w:ascii="Arial" w:hAnsi="Arial" w:cs="Arial"/>
          <w:color w:val="auto"/>
          <w:highlight w:val="none"/>
        </w:rPr>
      </w:pPr>
    </w:p>
    <w:p w14:paraId="1A81E15F">
      <w:pPr>
        <w:pStyle w:val="266"/>
        <w:rPr>
          <w:color w:val="auto"/>
          <w:highlight w:val="none"/>
        </w:rPr>
      </w:pPr>
    </w:p>
    <w:p w14:paraId="03AFBEAD">
      <w:pPr>
        <w:widowControl/>
        <w:shd w:val="clear" w:color="auto" w:fill="FFFFFF"/>
        <w:tabs>
          <w:tab w:val="left" w:pos="426"/>
        </w:tabs>
        <w:spacing w:line="360" w:lineRule="auto"/>
        <w:outlineLvl w:val="1"/>
        <w:rPr>
          <w:rFonts w:ascii="Arial" w:hAnsi="Arial" w:cs="Arial"/>
          <w:b/>
          <w:color w:val="auto"/>
          <w:spacing w:val="8"/>
          <w:sz w:val="24"/>
          <w:highlight w:val="none"/>
        </w:rPr>
      </w:pPr>
      <w:bookmarkStart w:id="25" w:name="_Toc7011"/>
      <w:bookmarkStart w:id="26" w:name="_Toc18338"/>
      <w:bookmarkStart w:id="27" w:name="_Toc12788"/>
      <w:r>
        <w:rPr>
          <w:rFonts w:ascii="Arial" w:hAnsi="Arial" w:cs="Arial"/>
          <w:b/>
          <w:color w:val="auto"/>
          <w:spacing w:val="8"/>
          <w:sz w:val="24"/>
          <w:highlight w:val="none"/>
        </w:rPr>
        <w:t>八、对本次采购提出询问，请按以下方式联系。</w:t>
      </w:r>
      <w:bookmarkEnd w:id="25"/>
      <w:bookmarkEnd w:id="26"/>
      <w:bookmarkEnd w:id="27"/>
    </w:p>
    <w:p w14:paraId="08329911">
      <w:pPr>
        <w:widowControl/>
        <w:shd w:val="clear" w:color="auto" w:fill="FFFFFF"/>
        <w:spacing w:line="360" w:lineRule="auto"/>
        <w:jc w:val="left"/>
        <w:rPr>
          <w:rFonts w:ascii="Arial" w:hAnsi="Arial" w:cs="Arial"/>
          <w:color w:val="auto"/>
          <w:spacing w:val="8"/>
          <w:szCs w:val="21"/>
          <w:highlight w:val="none"/>
        </w:rPr>
      </w:pPr>
      <w:r>
        <w:rPr>
          <w:rFonts w:ascii="Arial" w:hAnsi="Arial" w:cs="Arial"/>
          <w:color w:val="auto"/>
          <w:spacing w:val="8"/>
          <w:szCs w:val="21"/>
          <w:highlight w:val="none"/>
        </w:rPr>
        <w:t>　  8.1采购人信息</w:t>
      </w:r>
    </w:p>
    <w:p w14:paraId="20A25F8E">
      <w:pPr>
        <w:widowControl/>
        <w:shd w:val="clear" w:color="auto" w:fill="FFFFFF"/>
        <w:spacing w:line="360" w:lineRule="auto"/>
        <w:ind w:firstLine="452"/>
        <w:jc w:val="left"/>
        <w:rPr>
          <w:rFonts w:ascii="Arial" w:hAnsi="Arial" w:cs="Arial"/>
          <w:color w:val="auto"/>
          <w:spacing w:val="8"/>
          <w:szCs w:val="21"/>
          <w:highlight w:val="none"/>
        </w:rPr>
      </w:pPr>
      <w:r>
        <w:rPr>
          <w:rFonts w:hint="eastAsia" w:ascii="Arial" w:hAnsi="Arial" w:cs="Arial"/>
          <w:color w:val="auto"/>
          <w:spacing w:val="8"/>
          <w:szCs w:val="21"/>
          <w:highlight w:val="none"/>
        </w:rPr>
        <w:t>名称：江苏第二师范学院</w:t>
      </w:r>
    </w:p>
    <w:p w14:paraId="10387C91">
      <w:pPr>
        <w:widowControl/>
        <w:shd w:val="clear" w:color="auto" w:fill="FFFFFF"/>
        <w:spacing w:line="360" w:lineRule="auto"/>
        <w:ind w:firstLine="452"/>
        <w:jc w:val="left"/>
        <w:rPr>
          <w:rFonts w:ascii="Arial" w:hAnsi="Arial" w:cs="Arial"/>
          <w:color w:val="auto"/>
          <w:spacing w:val="8"/>
          <w:szCs w:val="21"/>
          <w:highlight w:val="none"/>
        </w:rPr>
      </w:pPr>
      <w:r>
        <w:rPr>
          <w:rFonts w:hint="eastAsia" w:ascii="Arial" w:hAnsi="Arial" w:cs="Arial"/>
          <w:color w:val="auto"/>
          <w:spacing w:val="8"/>
          <w:szCs w:val="21"/>
          <w:highlight w:val="none"/>
        </w:rPr>
        <w:t>地址：南京市溧水区石湫街道新河西路6号</w:t>
      </w:r>
    </w:p>
    <w:p w14:paraId="59449525">
      <w:pPr>
        <w:widowControl/>
        <w:shd w:val="clear" w:color="auto" w:fill="FFFFFF"/>
        <w:spacing w:line="360" w:lineRule="auto"/>
        <w:ind w:firstLine="452"/>
        <w:jc w:val="left"/>
        <w:rPr>
          <w:rFonts w:ascii="Arial" w:hAnsi="Arial" w:cs="Arial"/>
          <w:color w:val="auto"/>
          <w:spacing w:val="8"/>
          <w:szCs w:val="21"/>
          <w:highlight w:val="none"/>
        </w:rPr>
      </w:pPr>
      <w:r>
        <w:rPr>
          <w:rFonts w:hint="eastAsia" w:ascii="Arial" w:hAnsi="Arial" w:cs="Arial"/>
          <w:color w:val="auto"/>
          <w:spacing w:val="8"/>
          <w:szCs w:val="21"/>
          <w:highlight w:val="none"/>
        </w:rPr>
        <w:t>联系方式：王老师 025-56226328</w:t>
      </w:r>
    </w:p>
    <w:p w14:paraId="371AA168">
      <w:pPr>
        <w:widowControl/>
        <w:shd w:val="clear" w:color="auto" w:fill="FFFFFF"/>
        <w:spacing w:line="360" w:lineRule="auto"/>
        <w:ind w:firstLine="452"/>
        <w:jc w:val="left"/>
        <w:rPr>
          <w:rFonts w:ascii="Arial" w:hAnsi="Arial" w:cs="Arial"/>
          <w:color w:val="auto"/>
          <w:spacing w:val="8"/>
          <w:szCs w:val="21"/>
          <w:highlight w:val="none"/>
        </w:rPr>
      </w:pPr>
      <w:r>
        <w:rPr>
          <w:rFonts w:ascii="Arial" w:hAnsi="Arial" w:cs="Arial"/>
          <w:color w:val="auto"/>
          <w:spacing w:val="8"/>
          <w:szCs w:val="21"/>
          <w:highlight w:val="none"/>
        </w:rPr>
        <w:t>8.2采购代理机构信息</w:t>
      </w:r>
    </w:p>
    <w:p w14:paraId="13AEDB04">
      <w:pPr>
        <w:widowControl/>
        <w:shd w:val="clear" w:color="auto" w:fill="FFFFFF"/>
        <w:spacing w:line="360" w:lineRule="auto"/>
        <w:ind w:firstLine="426"/>
        <w:rPr>
          <w:rFonts w:ascii="Arial" w:hAnsi="Arial" w:cs="Arial"/>
          <w:color w:val="auto"/>
          <w:spacing w:val="8"/>
          <w:szCs w:val="21"/>
          <w:highlight w:val="none"/>
        </w:rPr>
      </w:pPr>
      <w:r>
        <w:rPr>
          <w:rFonts w:hint="eastAsia" w:ascii="Arial" w:hAnsi="Arial" w:cs="Arial"/>
          <w:color w:val="auto"/>
          <w:spacing w:val="8"/>
          <w:szCs w:val="21"/>
          <w:highlight w:val="none"/>
        </w:rPr>
        <w:t>名称：江苏省设备成套股份有限公司</w:t>
      </w:r>
    </w:p>
    <w:p w14:paraId="5690D964">
      <w:pPr>
        <w:widowControl/>
        <w:shd w:val="clear" w:color="auto" w:fill="FFFFFF"/>
        <w:spacing w:line="360" w:lineRule="auto"/>
        <w:ind w:firstLine="426"/>
        <w:rPr>
          <w:rFonts w:hint="default" w:ascii="Arial" w:hAnsi="Arial" w:eastAsia="宋体" w:cs="Arial"/>
          <w:color w:val="auto"/>
          <w:spacing w:val="8"/>
          <w:szCs w:val="21"/>
          <w:highlight w:val="none"/>
          <w:lang w:val="en-US" w:eastAsia="zh-CN"/>
        </w:rPr>
      </w:pPr>
      <w:r>
        <w:rPr>
          <w:rFonts w:hint="eastAsia" w:ascii="Arial" w:hAnsi="Arial" w:cs="Arial"/>
          <w:color w:val="auto"/>
          <w:spacing w:val="8"/>
          <w:szCs w:val="21"/>
          <w:highlight w:val="none"/>
        </w:rPr>
        <w:t>联 系 人：阮真真</w:t>
      </w:r>
      <w:r>
        <w:rPr>
          <w:rFonts w:hint="eastAsia" w:ascii="Arial" w:hAnsi="Arial" w:cs="Arial"/>
          <w:color w:val="auto"/>
          <w:spacing w:val="8"/>
          <w:szCs w:val="21"/>
          <w:highlight w:val="none"/>
          <w:lang w:val="en-US" w:eastAsia="zh-CN"/>
        </w:rPr>
        <w:t xml:space="preserve"> 左卢成</w:t>
      </w:r>
    </w:p>
    <w:p w14:paraId="59DB8468">
      <w:pPr>
        <w:widowControl/>
        <w:shd w:val="clear" w:color="auto" w:fill="FFFFFF"/>
        <w:spacing w:line="360" w:lineRule="auto"/>
        <w:ind w:firstLine="426"/>
        <w:rPr>
          <w:rFonts w:hint="default" w:ascii="Arial" w:hAnsi="Arial" w:eastAsia="宋体" w:cs="Arial"/>
          <w:color w:val="auto"/>
          <w:spacing w:val="8"/>
          <w:szCs w:val="21"/>
          <w:highlight w:val="none"/>
          <w:lang w:val="en-US" w:eastAsia="zh-CN"/>
        </w:rPr>
      </w:pPr>
      <w:r>
        <w:rPr>
          <w:rFonts w:hint="eastAsia" w:ascii="Arial" w:hAnsi="Arial" w:cs="Arial"/>
          <w:color w:val="auto"/>
          <w:spacing w:val="8"/>
          <w:szCs w:val="21"/>
          <w:highlight w:val="none"/>
        </w:rPr>
        <w:t>电    话：025-83316480</w:t>
      </w:r>
      <w:r>
        <w:rPr>
          <w:rFonts w:hint="eastAsia" w:ascii="Arial" w:hAnsi="Arial" w:cs="Arial"/>
          <w:color w:val="auto"/>
          <w:spacing w:val="8"/>
          <w:szCs w:val="21"/>
          <w:highlight w:val="none"/>
          <w:lang w:val="en-US" w:eastAsia="zh-CN"/>
        </w:rPr>
        <w:t xml:space="preserve"> 83314167</w:t>
      </w:r>
    </w:p>
    <w:p w14:paraId="5573730E">
      <w:pPr>
        <w:widowControl/>
        <w:shd w:val="clear" w:color="auto" w:fill="FFFFFF"/>
        <w:spacing w:line="360" w:lineRule="auto"/>
        <w:ind w:firstLine="426"/>
        <w:rPr>
          <w:rFonts w:ascii="Arial" w:hAnsi="Arial" w:cs="Arial"/>
          <w:color w:val="auto"/>
          <w:spacing w:val="8"/>
          <w:szCs w:val="21"/>
          <w:highlight w:val="none"/>
        </w:rPr>
      </w:pPr>
      <w:r>
        <w:rPr>
          <w:rFonts w:hint="eastAsia" w:ascii="Arial" w:hAnsi="Arial" w:cs="Arial"/>
          <w:color w:val="auto"/>
          <w:spacing w:val="8"/>
          <w:szCs w:val="21"/>
          <w:highlight w:val="none"/>
        </w:rPr>
        <w:t>电子邮箱：ruanzz@jcec.cn</w:t>
      </w:r>
    </w:p>
    <w:p w14:paraId="4911C1CB">
      <w:pPr>
        <w:widowControl/>
        <w:shd w:val="clear" w:color="auto" w:fill="FFFFFF"/>
        <w:spacing w:line="360" w:lineRule="auto"/>
        <w:ind w:firstLine="426"/>
        <w:rPr>
          <w:rFonts w:ascii="Arial" w:hAnsi="Arial" w:cs="Arial"/>
          <w:color w:val="auto"/>
          <w:spacing w:val="8"/>
          <w:szCs w:val="21"/>
          <w:highlight w:val="none"/>
        </w:rPr>
      </w:pPr>
      <w:r>
        <w:rPr>
          <w:rFonts w:hint="eastAsia" w:ascii="Arial" w:hAnsi="Arial" w:cs="Arial"/>
          <w:color w:val="auto"/>
          <w:spacing w:val="8"/>
          <w:szCs w:val="21"/>
          <w:highlight w:val="none"/>
        </w:rPr>
        <w:t>地址：江苏省南京市鼓楼区清江南路18号鼓楼创新广场D栋10楼1001室</w:t>
      </w:r>
      <w:r>
        <w:rPr>
          <w:rFonts w:ascii="Arial" w:hAnsi="Arial" w:cs="Arial"/>
          <w:color w:val="auto"/>
          <w:spacing w:val="8"/>
          <w:szCs w:val="21"/>
          <w:highlight w:val="none"/>
        </w:rPr>
        <w:t xml:space="preserve"> </w:t>
      </w:r>
    </w:p>
    <w:p w14:paraId="49445D31">
      <w:pPr>
        <w:widowControl/>
        <w:shd w:val="clear" w:color="auto" w:fill="FFFFFF"/>
        <w:spacing w:line="360" w:lineRule="auto"/>
        <w:ind w:firstLine="452"/>
        <w:jc w:val="left"/>
        <w:rPr>
          <w:rFonts w:ascii="Arial" w:hAnsi="Arial" w:cs="Arial"/>
          <w:color w:val="auto"/>
          <w:spacing w:val="8"/>
          <w:szCs w:val="21"/>
          <w:highlight w:val="none"/>
        </w:rPr>
      </w:pPr>
      <w:r>
        <w:rPr>
          <w:rFonts w:ascii="Arial" w:hAnsi="Arial" w:cs="Arial"/>
          <w:color w:val="auto"/>
          <w:spacing w:val="8"/>
          <w:szCs w:val="21"/>
          <w:highlight w:val="none"/>
        </w:rPr>
        <w:t>8.3项目联系方式</w:t>
      </w:r>
    </w:p>
    <w:p w14:paraId="1CE0DE11">
      <w:pPr>
        <w:spacing w:line="360" w:lineRule="auto"/>
        <w:ind w:firstLine="452"/>
        <w:rPr>
          <w:rFonts w:hint="eastAsia" w:ascii="Arial" w:hAnsi="Arial" w:eastAsia="宋体" w:cs="Arial"/>
          <w:color w:val="auto"/>
          <w:spacing w:val="8"/>
          <w:szCs w:val="21"/>
          <w:highlight w:val="none"/>
          <w:lang w:val="en-US" w:eastAsia="zh-CN"/>
        </w:rPr>
      </w:pPr>
      <w:r>
        <w:rPr>
          <w:rFonts w:hint="eastAsia" w:ascii="Arial" w:hAnsi="Arial" w:cs="Arial"/>
          <w:color w:val="auto"/>
          <w:spacing w:val="8"/>
          <w:szCs w:val="21"/>
          <w:highlight w:val="none"/>
        </w:rPr>
        <w:t>项目联系人：阮真真</w:t>
      </w:r>
      <w:r>
        <w:rPr>
          <w:rFonts w:hint="eastAsia" w:ascii="Arial" w:hAnsi="Arial" w:cs="Arial"/>
          <w:color w:val="auto"/>
          <w:spacing w:val="8"/>
          <w:szCs w:val="21"/>
          <w:highlight w:val="none"/>
          <w:lang w:val="en-US" w:eastAsia="zh-CN"/>
        </w:rPr>
        <w:t xml:space="preserve"> 左卢成</w:t>
      </w:r>
    </w:p>
    <w:p w14:paraId="516AEA85">
      <w:pPr>
        <w:spacing w:line="360" w:lineRule="auto"/>
        <w:ind w:firstLine="452"/>
        <w:rPr>
          <w:rFonts w:ascii="Arial" w:hAnsi="Arial" w:cs="Arial"/>
          <w:color w:val="auto"/>
          <w:spacing w:val="8"/>
          <w:szCs w:val="21"/>
          <w:highlight w:val="none"/>
        </w:rPr>
      </w:pPr>
      <w:r>
        <w:rPr>
          <w:rFonts w:hint="eastAsia" w:ascii="Arial" w:hAnsi="Arial" w:cs="Arial"/>
          <w:color w:val="auto"/>
          <w:spacing w:val="8"/>
          <w:szCs w:val="21"/>
          <w:highlight w:val="none"/>
        </w:rPr>
        <w:t>电    话：025-83316480</w:t>
      </w:r>
      <w:r>
        <w:rPr>
          <w:rFonts w:hint="eastAsia" w:ascii="Arial" w:hAnsi="Arial" w:cs="Arial"/>
          <w:color w:val="auto"/>
          <w:spacing w:val="8"/>
          <w:szCs w:val="21"/>
          <w:highlight w:val="none"/>
          <w:lang w:val="en-US" w:eastAsia="zh-CN"/>
        </w:rPr>
        <w:t xml:space="preserve"> 83314167</w:t>
      </w:r>
    </w:p>
    <w:p w14:paraId="0DB3C9EF">
      <w:pPr>
        <w:pStyle w:val="266"/>
        <w:ind w:firstLine="452"/>
        <w:rPr>
          <w:rFonts w:hint="eastAsia" w:ascii="宋体" w:hAnsi="宋体" w:cs="宋体"/>
          <w:color w:val="auto"/>
          <w:spacing w:val="8"/>
          <w:highlight w:val="none"/>
        </w:rPr>
      </w:pPr>
    </w:p>
    <w:p w14:paraId="45569297">
      <w:pPr>
        <w:pStyle w:val="52"/>
        <w:rPr>
          <w:rFonts w:ascii="Arial" w:hAnsi="Arial" w:cs="Arial"/>
          <w:color w:val="auto"/>
          <w:highlight w:val="none"/>
          <w:lang w:val="zh-CN"/>
        </w:rPr>
      </w:pPr>
      <w:r>
        <w:rPr>
          <w:rFonts w:ascii="Arial" w:hAnsi="Arial" w:cs="Arial"/>
          <w:color w:val="auto"/>
          <w:highlight w:val="none"/>
          <w:lang w:val="zh-CN"/>
        </w:rPr>
        <w:br w:type="page" w:clear="all"/>
      </w:r>
      <w:bookmarkStart w:id="28" w:name="_Toc11878"/>
      <w:r>
        <w:rPr>
          <w:rFonts w:ascii="Arial" w:hAnsi="Arial" w:cs="Arial"/>
          <w:color w:val="auto"/>
          <w:highlight w:val="none"/>
          <w:lang w:val="zh-CN"/>
        </w:rPr>
        <w:t>第二章</w:t>
      </w:r>
      <w:r>
        <w:rPr>
          <w:rFonts w:hint="eastAsia" w:ascii="Arial" w:hAnsi="Arial" w:cs="Arial"/>
          <w:color w:val="auto"/>
          <w:highlight w:val="none"/>
          <w:lang w:val="zh-CN"/>
        </w:rPr>
        <w:t xml:space="preserve"> </w:t>
      </w:r>
      <w:r>
        <w:rPr>
          <w:rFonts w:ascii="Arial" w:hAnsi="Arial" w:cs="Arial"/>
          <w:color w:val="auto"/>
          <w:highlight w:val="none"/>
          <w:lang w:val="zh-CN"/>
        </w:rPr>
        <w:t>竞争性磋商须知</w:t>
      </w:r>
      <w:bookmarkEnd w:id="28"/>
    </w:p>
    <w:p w14:paraId="2542909C">
      <w:pPr>
        <w:spacing w:line="360" w:lineRule="auto"/>
        <w:ind w:firstLine="422"/>
        <w:rPr>
          <w:rFonts w:ascii="Arial" w:hAnsi="Arial"/>
          <w:b/>
          <w:bCs/>
          <w:color w:val="auto"/>
          <w:szCs w:val="21"/>
          <w:highlight w:val="none"/>
          <w:lang w:val="zh-CN"/>
        </w:rPr>
      </w:pPr>
      <w:r>
        <w:rPr>
          <w:rFonts w:ascii="Arial" w:hAnsi="Arial"/>
          <w:b/>
          <w:bCs/>
          <w:color w:val="auto"/>
          <w:szCs w:val="21"/>
          <w:highlight w:val="none"/>
          <w:lang w:val="zh-CN"/>
        </w:rPr>
        <w:t>一、总    则</w:t>
      </w:r>
    </w:p>
    <w:p w14:paraId="05B27DC7">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1、适用法律</w:t>
      </w:r>
    </w:p>
    <w:p w14:paraId="2B8FEB40">
      <w:pPr>
        <w:spacing w:line="360" w:lineRule="auto"/>
        <w:ind w:firstLine="420"/>
        <w:rPr>
          <w:rFonts w:ascii="Arial" w:hAnsi="Arial"/>
          <w:color w:val="auto"/>
          <w:szCs w:val="21"/>
          <w:highlight w:val="none"/>
          <w:lang w:val="zh-CN"/>
        </w:rPr>
      </w:pPr>
      <w:r>
        <w:rPr>
          <w:rFonts w:hint="eastAsia" w:ascii="Arial" w:hAnsi="Arial"/>
          <w:color w:val="auto"/>
          <w:szCs w:val="21"/>
          <w:highlight w:val="none"/>
        </w:rPr>
        <w:t>本项目</w:t>
      </w:r>
      <w:r>
        <w:rPr>
          <w:rFonts w:hint="eastAsia" w:ascii="宋体" w:hAnsi="宋体" w:cs="宋体"/>
          <w:color w:val="auto"/>
          <w:szCs w:val="21"/>
          <w:highlight w:val="none"/>
        </w:rPr>
        <w:t>适用</w:t>
      </w:r>
      <w:r>
        <w:rPr>
          <w:rFonts w:ascii="Arial" w:hAnsi="Arial"/>
          <w:color w:val="auto"/>
          <w:szCs w:val="21"/>
          <w:highlight w:val="none"/>
          <w:lang w:val="zh-CN"/>
        </w:rPr>
        <w:t>《中华人民共和国政府采购法》《中华人民共和国政府采购法实施条例》《</w:t>
      </w:r>
      <w:r>
        <w:rPr>
          <w:rFonts w:ascii="Arial" w:hAnsi="Arial"/>
          <w:color w:val="auto"/>
          <w:szCs w:val="21"/>
          <w:highlight w:val="none"/>
        </w:rPr>
        <w:t>政府采购竞争性磋商采购方式管理暂行办法</w:t>
      </w:r>
      <w:r>
        <w:rPr>
          <w:rFonts w:ascii="Arial" w:hAnsi="Arial"/>
          <w:color w:val="auto"/>
          <w:szCs w:val="21"/>
          <w:highlight w:val="none"/>
          <w:lang w:val="zh-CN"/>
        </w:rPr>
        <w:t>》</w:t>
      </w:r>
      <w:r>
        <w:rPr>
          <w:rFonts w:ascii="Arial" w:hAnsi="Arial"/>
          <w:color w:val="auto"/>
          <w:szCs w:val="21"/>
          <w:highlight w:val="none"/>
        </w:rPr>
        <w:t>等</w:t>
      </w:r>
      <w:r>
        <w:rPr>
          <w:rFonts w:ascii="Arial" w:hAnsi="Arial"/>
          <w:color w:val="auto"/>
          <w:szCs w:val="21"/>
          <w:highlight w:val="none"/>
          <w:lang w:val="zh-CN"/>
        </w:rPr>
        <w:t>有关法律、法规</w:t>
      </w:r>
      <w:r>
        <w:rPr>
          <w:rFonts w:hint="eastAsia" w:ascii="Arial" w:hAnsi="Arial"/>
          <w:color w:val="auto"/>
          <w:szCs w:val="21"/>
          <w:highlight w:val="none"/>
          <w:lang w:val="zh-CN"/>
        </w:rPr>
        <w:t>、</w:t>
      </w:r>
      <w:r>
        <w:rPr>
          <w:rFonts w:ascii="Arial" w:hAnsi="Arial"/>
          <w:color w:val="auto"/>
          <w:szCs w:val="21"/>
          <w:highlight w:val="none"/>
          <w:lang w:val="zh-CN"/>
        </w:rPr>
        <w:t>规章和规定等。</w:t>
      </w:r>
    </w:p>
    <w:p w14:paraId="4B40B351">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2、定义</w:t>
      </w:r>
    </w:p>
    <w:p w14:paraId="0C2C05B1">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2.1</w:t>
      </w:r>
      <w:r>
        <w:rPr>
          <w:rFonts w:hint="eastAsia" w:ascii="宋体" w:hAnsi="宋体"/>
          <w:color w:val="auto"/>
          <w:szCs w:val="21"/>
          <w:highlight w:val="none"/>
        </w:rPr>
        <w:t>“采购人”</w:t>
      </w:r>
      <w:r>
        <w:rPr>
          <w:rFonts w:ascii="Arial" w:hAnsi="Arial"/>
          <w:color w:val="auto"/>
          <w:szCs w:val="21"/>
          <w:highlight w:val="none"/>
        </w:rPr>
        <w:t>是指依法进行政府采购的国家机关、事业单位、团体组织。</w:t>
      </w:r>
    </w:p>
    <w:p w14:paraId="0FE313EC">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2.2</w:t>
      </w:r>
      <w:r>
        <w:rPr>
          <w:rFonts w:hint="eastAsia" w:ascii="宋体" w:hAnsi="宋体"/>
          <w:color w:val="auto"/>
          <w:szCs w:val="21"/>
          <w:highlight w:val="none"/>
        </w:rPr>
        <w:t>“供应商”</w:t>
      </w:r>
      <w:r>
        <w:rPr>
          <w:rFonts w:ascii="Arial" w:hAnsi="Arial"/>
          <w:color w:val="auto"/>
          <w:szCs w:val="21"/>
          <w:highlight w:val="none"/>
        </w:rPr>
        <w:t>是指参加竞争性磋商，并符合采购文件规定资格条件的法人、其他组织或者自然人。</w:t>
      </w:r>
    </w:p>
    <w:p w14:paraId="157FF631">
      <w:pPr>
        <w:widowControl/>
        <w:shd w:val="clear" w:color="auto" w:fill="FFFFFF"/>
        <w:spacing w:line="360" w:lineRule="auto"/>
        <w:ind w:firstLine="420"/>
        <w:rPr>
          <w:rFonts w:ascii="Arial" w:hAnsi="Arial"/>
          <w:color w:val="auto"/>
          <w:szCs w:val="21"/>
          <w:highlight w:val="none"/>
        </w:rPr>
      </w:pPr>
      <w:r>
        <w:rPr>
          <w:rFonts w:hint="eastAsia" w:ascii="Arial" w:hAnsi="Arial"/>
          <w:color w:val="auto"/>
          <w:szCs w:val="21"/>
          <w:highlight w:val="none"/>
        </w:rPr>
        <w:t>2.3 “</w:t>
      </w:r>
      <w:r>
        <w:rPr>
          <w:rFonts w:ascii="Arial" w:hAnsi="Arial"/>
          <w:color w:val="auto"/>
          <w:szCs w:val="21"/>
          <w:highlight w:val="none"/>
        </w:rPr>
        <w:t>采购代理机构</w:t>
      </w:r>
      <w:r>
        <w:rPr>
          <w:rFonts w:hint="eastAsia" w:ascii="Arial" w:hAnsi="Arial"/>
          <w:color w:val="auto"/>
          <w:szCs w:val="21"/>
          <w:highlight w:val="none"/>
        </w:rPr>
        <w:t>”</w:t>
      </w:r>
      <w:r>
        <w:rPr>
          <w:rFonts w:ascii="Arial" w:hAnsi="Arial"/>
          <w:color w:val="auto"/>
          <w:szCs w:val="21"/>
          <w:highlight w:val="none"/>
        </w:rPr>
        <w:t>是指集中采购机构和集中采购机构以外的采购代理机构，集中采购机构以外的采购代理机构，是从事采购代理业务的社会中介机构。</w:t>
      </w:r>
    </w:p>
    <w:p w14:paraId="691464C7">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2.3</w:t>
      </w:r>
      <w:r>
        <w:rPr>
          <w:rFonts w:hint="eastAsia" w:ascii="Arial" w:hAnsi="Arial" w:cs="Arial"/>
          <w:color w:val="auto"/>
          <w:szCs w:val="21"/>
          <w:highlight w:val="none"/>
        </w:rPr>
        <w:t>“</w:t>
      </w:r>
      <w:r>
        <w:rPr>
          <w:rFonts w:ascii="Arial" w:hAnsi="宋体" w:cs="Arial"/>
          <w:color w:val="auto"/>
          <w:szCs w:val="21"/>
          <w:highlight w:val="none"/>
        </w:rPr>
        <w:t>货物和服务</w:t>
      </w:r>
      <w:r>
        <w:rPr>
          <w:rFonts w:hint="eastAsia" w:ascii="Arial" w:hAnsi="宋体" w:cs="Arial"/>
          <w:color w:val="auto"/>
          <w:szCs w:val="21"/>
          <w:highlight w:val="none"/>
        </w:rPr>
        <w:t>工程</w:t>
      </w:r>
      <w:r>
        <w:rPr>
          <w:rFonts w:hint="eastAsia" w:ascii="Arial" w:hAnsi="Arial" w:cs="Arial"/>
          <w:color w:val="auto"/>
          <w:szCs w:val="21"/>
          <w:highlight w:val="none"/>
        </w:rPr>
        <w:t>”</w:t>
      </w:r>
      <w:r>
        <w:rPr>
          <w:rFonts w:ascii="Arial" w:hAnsi="Arial" w:cs="Arial"/>
          <w:color w:val="auto"/>
          <w:szCs w:val="21"/>
          <w:highlight w:val="none"/>
        </w:rPr>
        <w:t>指本采购文件中所述产品及相关服务。</w:t>
      </w:r>
    </w:p>
    <w:p w14:paraId="4E6B2239">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2.4</w:t>
      </w:r>
      <w:r>
        <w:rPr>
          <w:rFonts w:hint="eastAsia" w:ascii="Arial" w:hAnsi="Arial"/>
          <w:color w:val="auto"/>
          <w:szCs w:val="21"/>
          <w:highlight w:val="none"/>
        </w:rPr>
        <w:t>“</w:t>
      </w:r>
      <w:r>
        <w:rPr>
          <w:rFonts w:ascii="Arial" w:hAnsi="宋体"/>
          <w:color w:val="auto"/>
          <w:szCs w:val="21"/>
          <w:highlight w:val="none"/>
        </w:rPr>
        <w:t>用户或使用单位</w:t>
      </w:r>
      <w:r>
        <w:rPr>
          <w:rFonts w:hint="eastAsia" w:ascii="Arial" w:hAnsi="Arial"/>
          <w:color w:val="auto"/>
          <w:szCs w:val="21"/>
          <w:highlight w:val="none"/>
        </w:rPr>
        <w:t>”</w:t>
      </w:r>
      <w:r>
        <w:rPr>
          <w:rFonts w:ascii="Arial" w:hAnsi="Arial"/>
          <w:color w:val="auto"/>
          <w:szCs w:val="21"/>
          <w:highlight w:val="none"/>
        </w:rPr>
        <w:t>是指使用服务的单位。</w:t>
      </w:r>
    </w:p>
    <w:p w14:paraId="7F0CCF2D">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3、政策功能</w:t>
      </w:r>
    </w:p>
    <w:p w14:paraId="2974F5D3">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olor w:val="auto"/>
          <w:szCs w:val="21"/>
          <w:highlight w:val="none"/>
        </w:rPr>
        <w:t>第六章</w:t>
      </w:r>
      <w:r>
        <w:rPr>
          <w:rFonts w:ascii="Arial" w:hAnsi="Arial"/>
          <w:color w:val="auto"/>
          <w:szCs w:val="21"/>
          <w:highlight w:val="none"/>
        </w:rPr>
        <w:t>），否则不得享受相关中小企业扶持政策。（</w:t>
      </w:r>
      <w:r>
        <w:rPr>
          <w:rFonts w:hint="eastAsia" w:ascii="Arial" w:hAnsi="Arial"/>
          <w:color w:val="auto"/>
          <w:szCs w:val="21"/>
          <w:highlight w:val="none"/>
        </w:rPr>
        <w:t>“</w:t>
      </w:r>
      <w:r>
        <w:rPr>
          <w:rFonts w:ascii="Arial" w:hAnsi="Arial"/>
          <w:color w:val="auto"/>
          <w:szCs w:val="21"/>
          <w:highlight w:val="none"/>
        </w:rPr>
        <w:t>中小企业划型标准</w:t>
      </w:r>
      <w:r>
        <w:rPr>
          <w:rFonts w:hint="eastAsia" w:ascii="Arial" w:hAnsi="Arial"/>
          <w:color w:val="auto"/>
          <w:szCs w:val="21"/>
          <w:highlight w:val="none"/>
        </w:rPr>
        <w:t>”</w:t>
      </w:r>
      <w:r>
        <w:rPr>
          <w:rFonts w:ascii="Arial" w:hAnsi="Arial"/>
          <w:color w:val="auto"/>
          <w:szCs w:val="21"/>
          <w:highlight w:val="none"/>
        </w:rPr>
        <w:t>详见《关于印发中小企业划型标准规定的通知》工信部联企业〔2011〕300号及《国家统计局关于印发&lt;统计上大中小微型企业划分办法（2017）&gt;的通知》国统字〔2017〕213号）</w:t>
      </w:r>
    </w:p>
    <w:p w14:paraId="07075887">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3FDBE159">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7160F6E9">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color w:val="auto"/>
          <w:szCs w:val="21"/>
          <w:highlight w:val="none"/>
        </w:rPr>
        <w:t>磋商文件</w:t>
      </w:r>
      <w:r>
        <w:rPr>
          <w:rFonts w:ascii="Arial" w:hAnsi="Arial"/>
          <w:color w:val="auto"/>
          <w:szCs w:val="21"/>
          <w:highlight w:val="none"/>
        </w:rPr>
        <w:t>第三章。参加政府采购活动的节能产品、环境标志产品供应商应当提供国家确定的认证机构出具的、处于有效期之内的节能产品、环境标志产品认证证书。</w:t>
      </w:r>
    </w:p>
    <w:p w14:paraId="2FED31D8">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3.5强制采购信息安全产品。参加政府采购活动的信息安全产品供应商应当选择经国家认证的信息安全产品投标，并提供由国家信息安全认证中心按国家标准认证颁发的有效认证证书。</w:t>
      </w:r>
    </w:p>
    <w:p w14:paraId="399E0635">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3.6进口产品政策</w:t>
      </w:r>
    </w:p>
    <w:p w14:paraId="7E60F7D1">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（1）除招标公告载明接受进口产品参加外，不允许进口产品参加。进口产品认定依照《财政部关于政府采购进口产品管理有关问题的通知》（财办库〔2008〕248号）的规定。</w:t>
      </w:r>
    </w:p>
    <w:p w14:paraId="69100196">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（2）允许进口产品参加的，满足需求的国内产品可以参加。</w:t>
      </w:r>
    </w:p>
    <w:p w14:paraId="2619D0A7">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（3）允许进口产品参加的，优先采购向我国企业转让技术、与我国企业签订消化吸收再创新方案的供应商的进口产品。</w:t>
      </w:r>
    </w:p>
    <w:p w14:paraId="2EE20F05">
      <w:pPr>
        <w:widowControl/>
        <w:shd w:val="clear" w:color="auto" w:fill="FFFFFF"/>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3.7未按要求提供相关材料的，不享受相关政策。</w:t>
      </w:r>
    </w:p>
    <w:p w14:paraId="3166F055">
      <w:pPr>
        <w:numPr>
          <w:ilvl w:val="0"/>
          <w:numId w:val="6"/>
        </w:numPr>
        <w:spacing w:line="360" w:lineRule="auto"/>
        <w:ind w:firstLine="422"/>
        <w:rPr>
          <w:rFonts w:ascii="Arial" w:hAnsi="Arial"/>
          <w:b/>
          <w:color w:val="auto"/>
          <w:szCs w:val="21"/>
          <w:highlight w:val="none"/>
        </w:rPr>
      </w:pPr>
      <w:r>
        <w:rPr>
          <w:rFonts w:hint="eastAsia" w:ascii="Arial" w:hAnsi="Arial"/>
          <w:b/>
          <w:color w:val="auto"/>
          <w:szCs w:val="21"/>
          <w:highlight w:val="none"/>
        </w:rPr>
        <w:t>磋商文件</w:t>
      </w:r>
    </w:p>
    <w:p w14:paraId="551ECB96">
      <w:pPr>
        <w:numPr>
          <w:ilvl w:val="0"/>
          <w:numId w:val="7"/>
        </w:numPr>
        <w:spacing w:line="360" w:lineRule="auto"/>
        <w:ind w:firstLine="422"/>
        <w:rPr>
          <w:rFonts w:ascii="Arial" w:hAnsi="Arial"/>
          <w:b/>
          <w:bCs/>
          <w:color w:val="auto"/>
          <w:szCs w:val="21"/>
          <w:highlight w:val="none"/>
          <w:lang w:val="zh-CN"/>
        </w:rPr>
      </w:pPr>
      <w:r>
        <w:rPr>
          <w:rFonts w:ascii="Arial" w:hAnsi="Arial"/>
          <w:b/>
          <w:bCs/>
          <w:color w:val="auto"/>
          <w:szCs w:val="21"/>
          <w:highlight w:val="none"/>
          <w:lang w:val="zh-CN"/>
        </w:rPr>
        <w:t>磋商文件</w:t>
      </w:r>
      <w:r>
        <w:rPr>
          <w:rFonts w:hint="eastAsia" w:ascii="Arial" w:hAnsi="Arial"/>
          <w:b/>
          <w:bCs/>
          <w:color w:val="auto"/>
          <w:szCs w:val="21"/>
          <w:highlight w:val="none"/>
        </w:rPr>
        <w:t>构成</w:t>
      </w:r>
    </w:p>
    <w:p w14:paraId="19752A1D">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4.1</w:t>
      </w:r>
      <w:r>
        <w:rPr>
          <w:rFonts w:hint="eastAsia" w:ascii="Arial" w:hAnsi="宋体"/>
          <w:color w:val="auto"/>
          <w:szCs w:val="21"/>
          <w:highlight w:val="none"/>
        </w:rPr>
        <w:t>磋商</w:t>
      </w:r>
      <w:r>
        <w:rPr>
          <w:rFonts w:ascii="Arial" w:hAnsi="宋体"/>
          <w:color w:val="auto"/>
          <w:szCs w:val="21"/>
          <w:highlight w:val="none"/>
        </w:rPr>
        <w:t>文件包括以下主要内容：</w:t>
      </w:r>
    </w:p>
    <w:p w14:paraId="3EDD4E3C">
      <w:pPr>
        <w:widowControl/>
        <w:shd w:val="clear" w:color="auto" w:fill="FFFFFF"/>
        <w:spacing w:line="360" w:lineRule="auto"/>
        <w:ind w:firstLine="779"/>
        <w:rPr>
          <w:rFonts w:hint="eastAsia" w:ascii="Arial" w:hAnsi="宋体"/>
          <w:color w:val="auto"/>
          <w:szCs w:val="21"/>
          <w:highlight w:val="none"/>
        </w:rPr>
      </w:pPr>
      <w:r>
        <w:rPr>
          <w:rFonts w:hint="eastAsia" w:ascii="Arial" w:hAnsi="宋体"/>
          <w:color w:val="auto"/>
          <w:szCs w:val="21"/>
          <w:highlight w:val="none"/>
        </w:rPr>
        <w:t>第一章  竞争性磋商</w:t>
      </w:r>
      <w:r>
        <w:rPr>
          <w:rFonts w:ascii="Arial" w:hAnsi="宋体"/>
          <w:color w:val="auto"/>
          <w:szCs w:val="21"/>
          <w:highlight w:val="none"/>
        </w:rPr>
        <w:t>公告</w:t>
      </w:r>
    </w:p>
    <w:p w14:paraId="4B0F3A60">
      <w:pPr>
        <w:widowControl/>
        <w:shd w:val="clear" w:color="auto" w:fill="FFFFFF"/>
        <w:spacing w:line="360" w:lineRule="auto"/>
        <w:ind w:firstLine="779"/>
        <w:rPr>
          <w:rFonts w:hint="eastAsia" w:ascii="Arial" w:hAnsi="宋体"/>
          <w:color w:val="auto"/>
          <w:szCs w:val="21"/>
          <w:highlight w:val="none"/>
        </w:rPr>
      </w:pPr>
      <w:r>
        <w:rPr>
          <w:color w:val="auto"/>
          <w:highlight w:val="none"/>
        </w:rPr>
        <w:fldChar w:fldCharType="begin"/>
      </w:r>
      <w:r>
        <w:rPr>
          <w:color w:val="auto"/>
          <w:highlight w:val="none"/>
        </w:rPr>
        <w:instrText xml:space="preserve"> HYPERLINK \l "_Toc534273793" </w:instrText>
      </w:r>
      <w:r>
        <w:rPr>
          <w:color w:val="auto"/>
          <w:highlight w:val="none"/>
        </w:rPr>
        <w:fldChar w:fldCharType="separate"/>
      </w:r>
      <w:r>
        <w:rPr>
          <w:rFonts w:hint="eastAsia" w:ascii="Arial" w:hAnsi="宋体"/>
          <w:color w:val="auto"/>
          <w:szCs w:val="21"/>
          <w:highlight w:val="none"/>
          <w:lang w:val="zh-CN"/>
        </w:rPr>
        <w:t>第二章  竞争性磋商须知</w:t>
      </w:r>
      <w:r>
        <w:rPr>
          <w:rFonts w:hint="eastAsia" w:ascii="Arial" w:hAnsi="宋体"/>
          <w:color w:val="auto"/>
          <w:szCs w:val="21"/>
          <w:highlight w:val="none"/>
          <w:lang w:val="zh-CN"/>
        </w:rPr>
        <w:fldChar w:fldCharType="end"/>
      </w:r>
    </w:p>
    <w:p w14:paraId="223F41E7">
      <w:pPr>
        <w:widowControl/>
        <w:shd w:val="clear" w:color="auto" w:fill="FFFFFF"/>
        <w:spacing w:line="360" w:lineRule="auto"/>
        <w:ind w:firstLine="779"/>
        <w:rPr>
          <w:rFonts w:hint="eastAsia" w:ascii="Arial" w:hAnsi="宋体"/>
          <w:color w:val="auto"/>
          <w:szCs w:val="21"/>
          <w:highlight w:val="none"/>
        </w:rPr>
      </w:pPr>
      <w:r>
        <w:rPr>
          <w:color w:val="auto"/>
          <w:highlight w:val="none"/>
        </w:rPr>
        <w:fldChar w:fldCharType="begin"/>
      </w:r>
      <w:r>
        <w:rPr>
          <w:color w:val="auto"/>
          <w:highlight w:val="none"/>
        </w:rPr>
        <w:instrText xml:space="preserve"> HYPERLINK \l "_Toc534273794" </w:instrText>
      </w:r>
      <w:r>
        <w:rPr>
          <w:color w:val="auto"/>
          <w:highlight w:val="none"/>
        </w:rPr>
        <w:fldChar w:fldCharType="separate"/>
      </w:r>
      <w:r>
        <w:rPr>
          <w:rFonts w:hint="eastAsia" w:ascii="Arial" w:hAnsi="宋体"/>
          <w:color w:val="auto"/>
          <w:szCs w:val="21"/>
          <w:highlight w:val="none"/>
          <w:lang w:val="zh-CN"/>
        </w:rPr>
        <w:t>第三章  评标标准</w:t>
      </w:r>
      <w:r>
        <w:rPr>
          <w:rFonts w:hint="eastAsia" w:ascii="Arial" w:hAnsi="宋体"/>
          <w:color w:val="auto"/>
          <w:szCs w:val="21"/>
          <w:highlight w:val="none"/>
          <w:lang w:val="zh-CN"/>
        </w:rPr>
        <w:fldChar w:fldCharType="end"/>
      </w:r>
    </w:p>
    <w:p w14:paraId="6FD00A44">
      <w:pPr>
        <w:widowControl/>
        <w:shd w:val="clear" w:color="auto" w:fill="FFFFFF"/>
        <w:spacing w:line="360" w:lineRule="auto"/>
        <w:ind w:firstLine="779"/>
        <w:rPr>
          <w:rFonts w:hint="eastAsia" w:ascii="Arial" w:hAnsi="宋体"/>
          <w:color w:val="auto"/>
          <w:szCs w:val="21"/>
          <w:highlight w:val="none"/>
        </w:rPr>
      </w:pPr>
      <w:r>
        <w:rPr>
          <w:color w:val="auto"/>
          <w:highlight w:val="none"/>
        </w:rPr>
        <w:fldChar w:fldCharType="begin"/>
      </w:r>
      <w:r>
        <w:rPr>
          <w:color w:val="auto"/>
          <w:highlight w:val="none"/>
        </w:rPr>
        <w:instrText xml:space="preserve"> HYPERLINK \l "_Toc534273795" </w:instrText>
      </w:r>
      <w:r>
        <w:rPr>
          <w:color w:val="auto"/>
          <w:highlight w:val="none"/>
        </w:rPr>
        <w:fldChar w:fldCharType="separate"/>
      </w:r>
      <w:r>
        <w:rPr>
          <w:rFonts w:hint="eastAsia" w:ascii="Arial" w:hAnsi="宋体"/>
          <w:color w:val="auto"/>
          <w:szCs w:val="21"/>
          <w:highlight w:val="none"/>
          <w:lang w:val="zh-CN"/>
        </w:rPr>
        <w:t>第四章  采购需求</w:t>
      </w:r>
      <w:r>
        <w:rPr>
          <w:rFonts w:hint="eastAsia" w:ascii="Arial" w:hAnsi="宋体"/>
          <w:color w:val="auto"/>
          <w:szCs w:val="21"/>
          <w:highlight w:val="none"/>
          <w:lang w:val="zh-CN"/>
        </w:rPr>
        <w:fldChar w:fldCharType="end"/>
      </w:r>
    </w:p>
    <w:p w14:paraId="1B26BA42">
      <w:pPr>
        <w:widowControl/>
        <w:shd w:val="clear" w:color="auto" w:fill="FFFFFF"/>
        <w:spacing w:line="360" w:lineRule="auto"/>
        <w:ind w:firstLine="779"/>
        <w:rPr>
          <w:rFonts w:hint="eastAsia" w:ascii="Arial" w:hAnsi="宋体"/>
          <w:color w:val="auto"/>
          <w:szCs w:val="21"/>
          <w:highlight w:val="none"/>
        </w:rPr>
      </w:pPr>
      <w:r>
        <w:rPr>
          <w:color w:val="auto"/>
          <w:highlight w:val="none"/>
        </w:rPr>
        <w:fldChar w:fldCharType="begin"/>
      </w:r>
      <w:r>
        <w:rPr>
          <w:color w:val="auto"/>
          <w:highlight w:val="none"/>
        </w:rPr>
        <w:instrText xml:space="preserve"> HYPERLINK \l "_Toc534273796" </w:instrText>
      </w:r>
      <w:r>
        <w:rPr>
          <w:color w:val="auto"/>
          <w:highlight w:val="none"/>
        </w:rPr>
        <w:fldChar w:fldCharType="separate"/>
      </w:r>
      <w:r>
        <w:rPr>
          <w:rFonts w:hint="eastAsia" w:ascii="Arial" w:hAnsi="宋体"/>
          <w:color w:val="auto"/>
          <w:szCs w:val="21"/>
          <w:highlight w:val="none"/>
          <w:lang w:val="zh-CN"/>
        </w:rPr>
        <w:t>第五章  合同主要条款</w:t>
      </w:r>
      <w:r>
        <w:rPr>
          <w:rFonts w:hint="eastAsia" w:ascii="Arial" w:hAnsi="宋体"/>
          <w:color w:val="auto"/>
          <w:szCs w:val="21"/>
          <w:highlight w:val="none"/>
          <w:lang w:val="zh-CN"/>
        </w:rPr>
        <w:fldChar w:fldCharType="end"/>
      </w:r>
    </w:p>
    <w:p w14:paraId="37C42AA7">
      <w:pPr>
        <w:widowControl/>
        <w:shd w:val="clear" w:color="auto" w:fill="FFFFFF"/>
        <w:spacing w:line="360" w:lineRule="auto"/>
        <w:ind w:firstLine="779"/>
        <w:rPr>
          <w:rFonts w:hint="eastAsia" w:ascii="Arial" w:hAnsi="宋体"/>
          <w:color w:val="auto"/>
          <w:szCs w:val="21"/>
          <w:highlight w:val="none"/>
        </w:rPr>
      </w:pPr>
      <w:r>
        <w:rPr>
          <w:color w:val="auto"/>
          <w:highlight w:val="none"/>
        </w:rPr>
        <w:fldChar w:fldCharType="begin"/>
      </w:r>
      <w:r>
        <w:rPr>
          <w:color w:val="auto"/>
          <w:highlight w:val="none"/>
        </w:rPr>
        <w:instrText xml:space="preserve"> HYPERLINK \l "_Toc534273797" </w:instrText>
      </w:r>
      <w:r>
        <w:rPr>
          <w:color w:val="auto"/>
          <w:highlight w:val="none"/>
        </w:rPr>
        <w:fldChar w:fldCharType="separate"/>
      </w:r>
      <w:r>
        <w:rPr>
          <w:rFonts w:hint="eastAsia" w:ascii="Arial" w:hAnsi="宋体"/>
          <w:color w:val="auto"/>
          <w:szCs w:val="21"/>
          <w:highlight w:val="none"/>
          <w:lang w:val="zh-CN"/>
        </w:rPr>
        <w:t xml:space="preserve">第六章  </w:t>
      </w:r>
      <w:r>
        <w:rPr>
          <w:rFonts w:hint="eastAsia" w:ascii="Arial" w:hAnsi="宋体"/>
          <w:color w:val="auto"/>
          <w:szCs w:val="21"/>
          <w:highlight w:val="none"/>
        </w:rPr>
        <w:t>磋商响应文件格式及附件</w:t>
      </w:r>
      <w:r>
        <w:rPr>
          <w:rFonts w:hint="eastAsia" w:ascii="Arial" w:hAnsi="宋体"/>
          <w:color w:val="auto"/>
          <w:szCs w:val="21"/>
          <w:highlight w:val="none"/>
        </w:rPr>
        <w:fldChar w:fldCharType="end"/>
      </w:r>
    </w:p>
    <w:p w14:paraId="7BA516BD">
      <w:pPr>
        <w:numPr>
          <w:ilvl w:val="0"/>
          <w:numId w:val="7"/>
        </w:numPr>
        <w:spacing w:line="360" w:lineRule="auto"/>
        <w:ind w:firstLine="422"/>
        <w:rPr>
          <w:rFonts w:ascii="Arial" w:hAnsi="Arial"/>
          <w:b/>
          <w:bCs/>
          <w:color w:val="auto"/>
          <w:szCs w:val="21"/>
          <w:highlight w:val="none"/>
        </w:rPr>
      </w:pPr>
      <w:r>
        <w:rPr>
          <w:rFonts w:hint="eastAsia" w:ascii="Arial" w:hAnsi="Arial"/>
          <w:b/>
          <w:bCs/>
          <w:color w:val="auto"/>
          <w:szCs w:val="21"/>
          <w:highlight w:val="none"/>
        </w:rPr>
        <w:t>磋商文件的澄清或者修改</w:t>
      </w:r>
    </w:p>
    <w:p w14:paraId="07665B35">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5.1</w:t>
      </w:r>
      <w:r>
        <w:rPr>
          <w:rFonts w:hint="eastAsia" w:ascii="Arial" w:hAnsi="宋体"/>
          <w:color w:val="auto"/>
          <w:szCs w:val="21"/>
          <w:highlight w:val="none"/>
        </w:rPr>
        <w:t>采购人</w:t>
      </w:r>
      <w:r>
        <w:rPr>
          <w:rFonts w:ascii="Arial" w:hAnsi="宋体"/>
          <w:color w:val="auto"/>
          <w:szCs w:val="21"/>
          <w:highlight w:val="none"/>
        </w:rPr>
        <w:t>或者</w:t>
      </w:r>
      <w:r>
        <w:rPr>
          <w:rFonts w:hint="eastAsia" w:ascii="Arial" w:hAnsi="宋体"/>
          <w:color w:val="auto"/>
          <w:szCs w:val="21"/>
          <w:highlight w:val="none"/>
        </w:rPr>
        <w:t>采购代理机构</w:t>
      </w:r>
      <w:r>
        <w:rPr>
          <w:rFonts w:ascii="Arial" w:hAnsi="宋体"/>
          <w:color w:val="auto"/>
          <w:szCs w:val="21"/>
          <w:highlight w:val="none"/>
        </w:rPr>
        <w:t>可以对已发出的</w:t>
      </w:r>
      <w:r>
        <w:rPr>
          <w:rFonts w:hint="eastAsia" w:ascii="Arial" w:hAnsi="宋体"/>
          <w:color w:val="auto"/>
          <w:szCs w:val="21"/>
          <w:highlight w:val="none"/>
        </w:rPr>
        <w:t>磋商</w:t>
      </w:r>
      <w:r>
        <w:rPr>
          <w:rFonts w:ascii="Arial" w:hAnsi="宋体"/>
          <w:color w:val="auto"/>
          <w:szCs w:val="21"/>
          <w:highlight w:val="none"/>
        </w:rPr>
        <w:t>文件进行必要的澄清或者修改，但不得改变采购标的和资格条件。澄清或者修改应当在原</w:t>
      </w:r>
      <w:r>
        <w:rPr>
          <w:rFonts w:hint="eastAsia" w:ascii="Arial" w:hAnsi="宋体"/>
          <w:color w:val="auto"/>
          <w:szCs w:val="21"/>
          <w:highlight w:val="none"/>
        </w:rPr>
        <w:t>竞争性磋商</w:t>
      </w:r>
      <w:r>
        <w:rPr>
          <w:rFonts w:ascii="Arial" w:hAnsi="宋体"/>
          <w:color w:val="auto"/>
          <w:szCs w:val="21"/>
          <w:highlight w:val="none"/>
        </w:rPr>
        <w:t>公告发布媒体上发布澄清公告</w:t>
      </w:r>
      <w:r>
        <w:rPr>
          <w:rFonts w:hint="eastAsia" w:ascii="Arial" w:hAnsi="宋体"/>
          <w:color w:val="auto"/>
          <w:szCs w:val="21"/>
          <w:highlight w:val="none"/>
        </w:rPr>
        <w:t>。</w:t>
      </w:r>
      <w:r>
        <w:rPr>
          <w:rFonts w:ascii="Arial" w:hAnsi="宋体"/>
          <w:color w:val="auto"/>
          <w:szCs w:val="21"/>
          <w:highlight w:val="none"/>
        </w:rPr>
        <w:t>澄清或者修改的内容为</w:t>
      </w:r>
      <w:r>
        <w:rPr>
          <w:rFonts w:hint="eastAsia" w:ascii="Arial" w:hAnsi="宋体"/>
          <w:color w:val="auto"/>
          <w:szCs w:val="21"/>
          <w:highlight w:val="none"/>
        </w:rPr>
        <w:t>磋商</w:t>
      </w:r>
      <w:r>
        <w:rPr>
          <w:rFonts w:ascii="Arial" w:hAnsi="宋体"/>
          <w:color w:val="auto"/>
          <w:szCs w:val="21"/>
          <w:highlight w:val="none"/>
        </w:rPr>
        <w:t>文件的组成部分。</w:t>
      </w:r>
    </w:p>
    <w:p w14:paraId="7CC5AE2E">
      <w:pPr>
        <w:widowControl/>
        <w:shd w:val="clear" w:color="auto" w:fill="FFFFFF"/>
        <w:spacing w:line="360" w:lineRule="auto"/>
        <w:ind w:firstLine="420"/>
        <w:rPr>
          <w:rFonts w:hint="eastAsia" w:ascii="Arial" w:hAnsi="宋体"/>
          <w:color w:val="auto"/>
          <w:szCs w:val="21"/>
          <w:highlight w:val="none"/>
        </w:rPr>
      </w:pPr>
      <w:r>
        <w:rPr>
          <w:rFonts w:ascii="Arial" w:hAnsi="宋体"/>
          <w:color w:val="auto"/>
          <w:szCs w:val="21"/>
          <w:highlight w:val="none"/>
        </w:rPr>
        <w:t>澄清或者修改的内容可能影响</w:t>
      </w:r>
      <w:r>
        <w:rPr>
          <w:rFonts w:hint="eastAsia" w:ascii="Arial" w:hAnsi="宋体"/>
          <w:color w:val="auto"/>
          <w:szCs w:val="21"/>
          <w:highlight w:val="none"/>
        </w:rPr>
        <w:t>响应</w:t>
      </w:r>
      <w:r>
        <w:rPr>
          <w:rFonts w:ascii="Arial" w:hAnsi="宋体"/>
          <w:color w:val="auto"/>
          <w:szCs w:val="21"/>
          <w:highlight w:val="none"/>
        </w:rPr>
        <w:t>文件编制的，</w:t>
      </w:r>
      <w:r>
        <w:rPr>
          <w:rFonts w:hint="eastAsia" w:ascii="Arial" w:hAnsi="宋体"/>
          <w:color w:val="auto"/>
          <w:szCs w:val="21"/>
          <w:highlight w:val="none"/>
        </w:rPr>
        <w:t>采购人</w:t>
      </w:r>
      <w:r>
        <w:rPr>
          <w:rFonts w:ascii="Arial" w:hAnsi="宋体"/>
          <w:color w:val="auto"/>
          <w:szCs w:val="21"/>
          <w:highlight w:val="none"/>
        </w:rPr>
        <w:t>或者</w:t>
      </w:r>
      <w:r>
        <w:rPr>
          <w:rFonts w:hint="eastAsia" w:ascii="Arial" w:hAnsi="宋体"/>
          <w:color w:val="auto"/>
          <w:szCs w:val="21"/>
          <w:highlight w:val="none"/>
        </w:rPr>
        <w:t>采购代理机构</w:t>
      </w:r>
      <w:r>
        <w:rPr>
          <w:rFonts w:ascii="Arial" w:hAnsi="宋体"/>
          <w:color w:val="auto"/>
          <w:szCs w:val="21"/>
          <w:highlight w:val="none"/>
        </w:rPr>
        <w:t>应当在</w:t>
      </w:r>
      <w:r>
        <w:rPr>
          <w:rFonts w:hint="eastAsia" w:ascii="Arial" w:hAnsi="宋体"/>
          <w:color w:val="auto"/>
          <w:szCs w:val="21"/>
          <w:highlight w:val="none"/>
        </w:rPr>
        <w:t>提交首次响应文件</w:t>
      </w:r>
      <w:r>
        <w:rPr>
          <w:rFonts w:ascii="Arial" w:hAnsi="宋体"/>
          <w:color w:val="auto"/>
          <w:szCs w:val="21"/>
          <w:highlight w:val="none"/>
        </w:rPr>
        <w:t>截止时间至少</w:t>
      </w:r>
      <w:r>
        <w:rPr>
          <w:rFonts w:ascii="Arial" w:hAnsi="Arial"/>
          <w:color w:val="auto"/>
          <w:szCs w:val="21"/>
          <w:highlight w:val="none"/>
        </w:rPr>
        <w:t>5</w:t>
      </w:r>
      <w:r>
        <w:rPr>
          <w:rFonts w:ascii="Arial" w:hAnsi="宋体"/>
          <w:color w:val="auto"/>
          <w:szCs w:val="21"/>
          <w:highlight w:val="none"/>
        </w:rPr>
        <w:t>日前，以书面形式通知所有获取</w:t>
      </w:r>
      <w:r>
        <w:rPr>
          <w:rFonts w:hint="eastAsia" w:ascii="Arial" w:hAnsi="宋体"/>
          <w:color w:val="auto"/>
          <w:szCs w:val="21"/>
          <w:highlight w:val="none"/>
        </w:rPr>
        <w:t>磋商</w:t>
      </w:r>
      <w:r>
        <w:rPr>
          <w:rFonts w:ascii="Arial" w:hAnsi="宋体"/>
          <w:color w:val="auto"/>
          <w:szCs w:val="21"/>
          <w:highlight w:val="none"/>
        </w:rPr>
        <w:t>文件的潜在</w:t>
      </w:r>
      <w:r>
        <w:rPr>
          <w:rFonts w:hint="eastAsia" w:ascii="Arial" w:hAnsi="宋体"/>
          <w:color w:val="auto"/>
          <w:szCs w:val="21"/>
          <w:highlight w:val="none"/>
        </w:rPr>
        <w:t>供应商</w:t>
      </w:r>
      <w:r>
        <w:rPr>
          <w:rFonts w:ascii="Arial" w:hAnsi="宋体"/>
          <w:color w:val="auto"/>
          <w:szCs w:val="21"/>
          <w:highlight w:val="none"/>
        </w:rPr>
        <w:t>；不足</w:t>
      </w:r>
      <w:r>
        <w:rPr>
          <w:rFonts w:hint="eastAsia" w:ascii="Arial" w:hAnsi="Arial"/>
          <w:color w:val="auto"/>
          <w:szCs w:val="21"/>
          <w:highlight w:val="none"/>
        </w:rPr>
        <w:t>5</w:t>
      </w:r>
      <w:r>
        <w:rPr>
          <w:rFonts w:ascii="Arial" w:hAnsi="宋体"/>
          <w:color w:val="auto"/>
          <w:szCs w:val="21"/>
          <w:highlight w:val="none"/>
        </w:rPr>
        <w:t>日的，</w:t>
      </w:r>
      <w:r>
        <w:rPr>
          <w:rFonts w:hint="eastAsia" w:ascii="Arial" w:hAnsi="宋体"/>
          <w:color w:val="auto"/>
          <w:szCs w:val="21"/>
          <w:highlight w:val="none"/>
        </w:rPr>
        <w:t>采购人</w:t>
      </w:r>
      <w:r>
        <w:rPr>
          <w:rFonts w:ascii="Arial" w:hAnsi="宋体"/>
          <w:color w:val="auto"/>
          <w:szCs w:val="21"/>
          <w:highlight w:val="none"/>
        </w:rPr>
        <w:t>或者</w:t>
      </w:r>
      <w:r>
        <w:rPr>
          <w:rFonts w:hint="eastAsia" w:ascii="Arial" w:hAnsi="宋体"/>
          <w:color w:val="auto"/>
          <w:szCs w:val="21"/>
          <w:highlight w:val="none"/>
        </w:rPr>
        <w:t>采购代理机构</w:t>
      </w:r>
      <w:r>
        <w:rPr>
          <w:rFonts w:ascii="Arial" w:hAnsi="宋体"/>
          <w:color w:val="auto"/>
          <w:szCs w:val="21"/>
          <w:highlight w:val="none"/>
        </w:rPr>
        <w:t>应当顺延</w:t>
      </w:r>
      <w:r>
        <w:rPr>
          <w:rFonts w:hint="eastAsia" w:ascii="Arial" w:hAnsi="宋体"/>
          <w:color w:val="auto"/>
          <w:szCs w:val="21"/>
          <w:highlight w:val="none"/>
        </w:rPr>
        <w:t>首次</w:t>
      </w:r>
      <w:r>
        <w:rPr>
          <w:rFonts w:ascii="Arial" w:hAnsi="宋体"/>
          <w:color w:val="auto"/>
          <w:szCs w:val="21"/>
          <w:highlight w:val="none"/>
        </w:rPr>
        <w:t>提交</w:t>
      </w:r>
      <w:r>
        <w:rPr>
          <w:rFonts w:hint="eastAsia" w:ascii="Arial" w:hAnsi="宋体"/>
          <w:color w:val="auto"/>
          <w:szCs w:val="21"/>
          <w:highlight w:val="none"/>
        </w:rPr>
        <w:t>响应</w:t>
      </w:r>
      <w:r>
        <w:rPr>
          <w:rFonts w:ascii="Arial" w:hAnsi="宋体"/>
          <w:color w:val="auto"/>
          <w:szCs w:val="21"/>
          <w:highlight w:val="none"/>
        </w:rPr>
        <w:t>文件的截止时间。</w:t>
      </w:r>
    </w:p>
    <w:p w14:paraId="46B8282D">
      <w:pPr>
        <w:spacing w:line="360" w:lineRule="auto"/>
        <w:ind w:firstLine="422"/>
        <w:rPr>
          <w:rFonts w:ascii="Arial" w:hAnsi="Arial"/>
          <w:b/>
          <w:color w:val="auto"/>
          <w:szCs w:val="21"/>
          <w:highlight w:val="none"/>
        </w:rPr>
      </w:pPr>
      <w:r>
        <w:rPr>
          <w:rFonts w:hint="eastAsia" w:ascii="Arial" w:hAnsi="Arial"/>
          <w:b/>
          <w:color w:val="auto"/>
          <w:szCs w:val="21"/>
          <w:highlight w:val="none"/>
        </w:rPr>
        <w:t>三</w:t>
      </w:r>
      <w:r>
        <w:rPr>
          <w:rFonts w:ascii="Arial" w:hAnsi="Arial"/>
          <w:b/>
          <w:color w:val="auto"/>
          <w:szCs w:val="21"/>
          <w:highlight w:val="none"/>
          <w:lang w:val="zh-CN"/>
        </w:rPr>
        <w:t>、磋商响应文件编制</w:t>
      </w:r>
    </w:p>
    <w:p w14:paraId="21EA1DCB">
      <w:pPr>
        <w:spacing w:line="360" w:lineRule="auto"/>
        <w:ind w:firstLine="422"/>
        <w:rPr>
          <w:rFonts w:ascii="Arial" w:hAnsi="Arial"/>
          <w:b/>
          <w:bCs/>
          <w:color w:val="auto"/>
          <w:szCs w:val="21"/>
          <w:highlight w:val="none"/>
        </w:rPr>
      </w:pPr>
      <w:r>
        <w:rPr>
          <w:rFonts w:hint="eastAsia" w:ascii="Arial" w:hAnsi="Arial"/>
          <w:b/>
          <w:bCs/>
          <w:color w:val="auto"/>
          <w:szCs w:val="21"/>
          <w:highlight w:val="none"/>
        </w:rPr>
        <w:t>6</w:t>
      </w:r>
      <w:r>
        <w:rPr>
          <w:rFonts w:ascii="Arial" w:hAnsi="Arial"/>
          <w:b/>
          <w:bCs/>
          <w:color w:val="auto"/>
          <w:szCs w:val="21"/>
          <w:highlight w:val="none"/>
          <w:lang w:val="zh-CN"/>
        </w:rPr>
        <w:t>、磋商响应文件的语言、计量单位、货币和编制</w:t>
      </w:r>
    </w:p>
    <w:p w14:paraId="2D85A740">
      <w:pPr>
        <w:spacing w:line="360" w:lineRule="auto"/>
        <w:ind w:firstLine="420"/>
        <w:rPr>
          <w:rFonts w:ascii="Arial" w:hAnsi="Arial"/>
          <w:color w:val="auto"/>
          <w:szCs w:val="21"/>
          <w:highlight w:val="none"/>
        </w:rPr>
      </w:pPr>
      <w:r>
        <w:rPr>
          <w:rFonts w:hint="eastAsia" w:ascii="Arial" w:hAnsi="Arial"/>
          <w:color w:val="auto"/>
          <w:szCs w:val="21"/>
          <w:highlight w:val="none"/>
        </w:rPr>
        <w:t>6</w:t>
      </w:r>
      <w:r>
        <w:rPr>
          <w:rFonts w:ascii="Arial" w:hAnsi="Arial"/>
          <w:color w:val="auto"/>
          <w:szCs w:val="21"/>
          <w:highlight w:val="none"/>
          <w:lang w:val="zh-CN"/>
        </w:rPr>
        <w:t>.1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7B6E060F">
      <w:pPr>
        <w:spacing w:line="360" w:lineRule="auto"/>
        <w:ind w:firstLine="420"/>
        <w:rPr>
          <w:rFonts w:ascii="Arial" w:hAnsi="Arial"/>
          <w:color w:val="auto"/>
          <w:szCs w:val="21"/>
          <w:highlight w:val="none"/>
        </w:rPr>
      </w:pPr>
      <w:r>
        <w:rPr>
          <w:rFonts w:hint="eastAsia" w:ascii="Arial" w:hAnsi="Arial"/>
          <w:color w:val="auto"/>
          <w:szCs w:val="21"/>
          <w:highlight w:val="none"/>
        </w:rPr>
        <w:t>6</w:t>
      </w:r>
      <w:r>
        <w:rPr>
          <w:rFonts w:ascii="Arial" w:hAnsi="Arial"/>
          <w:color w:val="auto"/>
          <w:szCs w:val="21"/>
          <w:highlight w:val="none"/>
          <w:lang w:val="zh-CN"/>
        </w:rPr>
        <w:t>.2 供应商所使用的计量单位应为国家法定计量单位。</w:t>
      </w:r>
    </w:p>
    <w:p w14:paraId="46EB560D">
      <w:pPr>
        <w:spacing w:line="360" w:lineRule="auto"/>
        <w:ind w:firstLine="420"/>
        <w:rPr>
          <w:rFonts w:ascii="Arial" w:hAnsi="Arial"/>
          <w:color w:val="auto"/>
          <w:szCs w:val="21"/>
          <w:highlight w:val="none"/>
        </w:rPr>
      </w:pPr>
      <w:r>
        <w:rPr>
          <w:rFonts w:hint="eastAsia" w:ascii="Arial" w:hAnsi="Arial"/>
          <w:color w:val="auto"/>
          <w:szCs w:val="21"/>
          <w:highlight w:val="none"/>
        </w:rPr>
        <w:t>6</w:t>
      </w:r>
      <w:r>
        <w:rPr>
          <w:rFonts w:ascii="Arial" w:hAnsi="Arial"/>
          <w:color w:val="auto"/>
          <w:szCs w:val="21"/>
          <w:highlight w:val="none"/>
          <w:lang w:val="zh-CN"/>
        </w:rPr>
        <w:t>.3 供应商应用人民币报价。报价产品如果是进口产品的，应提供人民币与外币之间的汇率。</w:t>
      </w:r>
    </w:p>
    <w:p w14:paraId="4D50FA14">
      <w:pPr>
        <w:spacing w:line="360" w:lineRule="auto"/>
        <w:ind w:firstLine="420"/>
        <w:rPr>
          <w:rFonts w:ascii="Arial" w:hAnsi="Arial"/>
          <w:color w:val="auto"/>
          <w:szCs w:val="21"/>
          <w:highlight w:val="none"/>
        </w:rPr>
      </w:pPr>
      <w:r>
        <w:rPr>
          <w:rFonts w:hint="eastAsia" w:ascii="Arial" w:hAnsi="Arial"/>
          <w:color w:val="auto"/>
          <w:szCs w:val="21"/>
          <w:highlight w:val="none"/>
        </w:rPr>
        <w:t>6</w:t>
      </w:r>
      <w:r>
        <w:rPr>
          <w:rFonts w:ascii="Arial" w:hAnsi="Arial"/>
          <w:color w:val="auto"/>
          <w:szCs w:val="21"/>
          <w:highlight w:val="none"/>
          <w:lang w:val="zh-CN"/>
        </w:rPr>
        <w:t>.</w:t>
      </w:r>
      <w:r>
        <w:rPr>
          <w:rFonts w:hint="eastAsia" w:ascii="Arial" w:hAnsi="Arial"/>
          <w:color w:val="auto"/>
          <w:szCs w:val="21"/>
          <w:highlight w:val="none"/>
          <w:lang w:val="zh-CN"/>
        </w:rPr>
        <w:t>4</w:t>
      </w:r>
      <w:r>
        <w:rPr>
          <w:rFonts w:ascii="Arial" w:hAnsi="Arial"/>
          <w:color w:val="auto"/>
          <w:szCs w:val="21"/>
          <w:highlight w:val="none"/>
          <w:lang w:val="zh-CN"/>
        </w:rPr>
        <w:t xml:space="preserve"> </w:t>
      </w:r>
      <w:r>
        <w:rPr>
          <w:rFonts w:hint="eastAsia" w:ascii="Arial" w:hAnsi="Arial"/>
          <w:color w:val="auto"/>
          <w:szCs w:val="21"/>
          <w:highlight w:val="none"/>
          <w:lang w:val="zh-CN"/>
        </w:rPr>
        <w:t>磋商响应文件应按照竞争性磋商文件的规定编写并制作目录</w:t>
      </w:r>
      <w:r>
        <w:rPr>
          <w:rFonts w:ascii="Arial" w:hAnsi="Arial"/>
          <w:color w:val="auto"/>
          <w:szCs w:val="21"/>
          <w:highlight w:val="none"/>
          <w:lang w:val="zh-CN"/>
        </w:rPr>
        <w:t>。</w:t>
      </w:r>
    </w:p>
    <w:p w14:paraId="3696A470">
      <w:pPr>
        <w:spacing w:line="360" w:lineRule="auto"/>
        <w:ind w:firstLine="420"/>
        <w:rPr>
          <w:rFonts w:ascii="Arial" w:hAnsi="Arial"/>
          <w:color w:val="auto"/>
          <w:szCs w:val="21"/>
          <w:highlight w:val="none"/>
        </w:rPr>
      </w:pPr>
      <w:r>
        <w:rPr>
          <w:rFonts w:hint="eastAsia" w:ascii="Arial" w:hAnsi="Arial"/>
          <w:color w:val="auto"/>
          <w:szCs w:val="21"/>
          <w:highlight w:val="none"/>
        </w:rPr>
        <w:t>6.</w:t>
      </w:r>
      <w:r>
        <w:rPr>
          <w:rFonts w:hint="eastAsia" w:ascii="Arial" w:hAnsi="Arial"/>
          <w:color w:val="auto"/>
          <w:szCs w:val="21"/>
          <w:highlight w:val="none"/>
          <w:lang w:val="zh-CN"/>
        </w:rPr>
        <w:t>5</w:t>
      </w:r>
      <w:r>
        <w:rPr>
          <w:rFonts w:ascii="Arial" w:hAnsi="Arial"/>
          <w:color w:val="auto"/>
          <w:szCs w:val="21"/>
          <w:highlight w:val="none"/>
          <w:lang w:val="zh-CN"/>
        </w:rPr>
        <w:t xml:space="preserve"> 供应商应在磋商响应文件中写清相应的项目编号、项目名称、供应商全称、地址、电话、传真等。</w:t>
      </w:r>
    </w:p>
    <w:p w14:paraId="4C2F27FD">
      <w:pPr>
        <w:spacing w:line="360" w:lineRule="auto"/>
        <w:ind w:firstLine="422"/>
        <w:rPr>
          <w:rFonts w:ascii="Arial" w:hAnsi="Arial"/>
          <w:b/>
          <w:bCs/>
          <w:color w:val="auto"/>
          <w:szCs w:val="21"/>
          <w:highlight w:val="none"/>
        </w:rPr>
      </w:pPr>
      <w:r>
        <w:rPr>
          <w:rFonts w:hint="eastAsia" w:ascii="Arial" w:hAnsi="Arial"/>
          <w:b/>
          <w:bCs/>
          <w:color w:val="auto"/>
          <w:szCs w:val="21"/>
          <w:highlight w:val="none"/>
        </w:rPr>
        <w:t>7</w:t>
      </w:r>
      <w:r>
        <w:rPr>
          <w:rFonts w:ascii="Arial" w:hAnsi="Arial"/>
          <w:b/>
          <w:bCs/>
          <w:color w:val="auto"/>
          <w:szCs w:val="21"/>
          <w:highlight w:val="none"/>
          <w:lang w:val="zh-CN"/>
        </w:rPr>
        <w:t>、磋商响应文件的组成</w:t>
      </w:r>
    </w:p>
    <w:p w14:paraId="481E03CE">
      <w:pPr>
        <w:spacing w:line="360" w:lineRule="auto"/>
        <w:ind w:firstLine="420"/>
        <w:rPr>
          <w:rFonts w:ascii="Arial" w:hAnsi="Arial"/>
          <w:color w:val="auto"/>
          <w:szCs w:val="21"/>
          <w:highlight w:val="none"/>
        </w:rPr>
      </w:pPr>
      <w:r>
        <w:rPr>
          <w:rFonts w:hint="eastAsia" w:ascii="Arial" w:hAnsi="Arial"/>
          <w:color w:val="auto"/>
          <w:szCs w:val="21"/>
          <w:highlight w:val="none"/>
        </w:rPr>
        <w:t>7</w:t>
      </w:r>
      <w:r>
        <w:rPr>
          <w:rFonts w:ascii="Arial" w:hAnsi="Arial"/>
          <w:color w:val="auto"/>
          <w:szCs w:val="21"/>
          <w:highlight w:val="none"/>
          <w:lang w:val="zh-CN"/>
        </w:rPr>
        <w:t>.1 供应商应当根据磋商文件要求编制磋商响应文件，并根据自己的商务能力、技术水平对磋商文件提出的要求和条件逐条标明是否响应。</w:t>
      </w:r>
    </w:p>
    <w:p w14:paraId="4284C915">
      <w:pPr>
        <w:widowControl/>
        <w:shd w:val="clear" w:color="auto" w:fill="FFFFFF"/>
        <w:spacing w:line="360" w:lineRule="auto"/>
        <w:ind w:firstLine="420"/>
        <w:jc w:val="left"/>
        <w:rPr>
          <w:rFonts w:ascii="Arial" w:hAnsi="Arial"/>
          <w:color w:val="auto"/>
          <w:szCs w:val="21"/>
          <w:highlight w:val="none"/>
        </w:rPr>
      </w:pPr>
      <w:r>
        <w:rPr>
          <w:rFonts w:hint="eastAsia" w:ascii="Arial" w:hAnsi="Arial"/>
          <w:color w:val="auto"/>
          <w:szCs w:val="21"/>
          <w:highlight w:val="none"/>
        </w:rPr>
        <w:t>7</w:t>
      </w:r>
      <w:r>
        <w:rPr>
          <w:rFonts w:ascii="Arial" w:hAnsi="Arial"/>
          <w:color w:val="auto"/>
          <w:szCs w:val="21"/>
          <w:highlight w:val="none"/>
          <w:lang w:val="zh-CN"/>
        </w:rPr>
        <w:t>.2 磋商响应文件由商务、技术、价格，以及其他部分</w:t>
      </w:r>
      <w:r>
        <w:rPr>
          <w:rFonts w:hint="eastAsia" w:ascii="Arial" w:hAnsi="Arial"/>
          <w:color w:val="auto"/>
          <w:szCs w:val="21"/>
          <w:highlight w:val="none"/>
        </w:rPr>
        <w:t>内容</w:t>
      </w:r>
      <w:r>
        <w:rPr>
          <w:rFonts w:ascii="Arial" w:hAnsi="Arial"/>
          <w:color w:val="auto"/>
          <w:szCs w:val="21"/>
          <w:highlight w:val="none"/>
          <w:lang w:val="zh-CN"/>
        </w:rPr>
        <w:t>组成。</w:t>
      </w:r>
      <w:r>
        <w:rPr>
          <w:rFonts w:hint="eastAsia" w:ascii="Arial" w:hAnsi="Arial"/>
          <w:color w:val="auto"/>
          <w:szCs w:val="21"/>
          <w:highlight w:val="none"/>
        </w:rPr>
        <w:t>磋商响应</w:t>
      </w:r>
      <w:r>
        <w:rPr>
          <w:rFonts w:hint="eastAsia" w:ascii="Arial" w:hAnsi="宋体"/>
          <w:color w:val="auto"/>
          <w:szCs w:val="21"/>
          <w:highlight w:val="none"/>
        </w:rPr>
        <w:t>文件</w:t>
      </w:r>
      <w:r>
        <w:rPr>
          <w:rFonts w:ascii="Arial" w:hAnsi="宋体"/>
          <w:color w:val="auto"/>
          <w:szCs w:val="21"/>
          <w:highlight w:val="none"/>
        </w:rPr>
        <w:t>目录及有关格式按</w:t>
      </w:r>
      <w:r>
        <w:rPr>
          <w:rFonts w:hint="eastAsia" w:ascii="Arial" w:hAnsi="宋体"/>
          <w:color w:val="auto"/>
          <w:szCs w:val="21"/>
          <w:highlight w:val="none"/>
        </w:rPr>
        <w:t>磋商文件“第六章 磋商响应文件格式及</w:t>
      </w:r>
      <w:r>
        <w:rPr>
          <w:rFonts w:ascii="Arial" w:hAnsi="宋体"/>
          <w:color w:val="auto"/>
          <w:szCs w:val="21"/>
          <w:highlight w:val="none"/>
        </w:rPr>
        <w:t>附件</w:t>
      </w:r>
      <w:r>
        <w:rPr>
          <w:rFonts w:hint="eastAsia" w:ascii="Arial" w:hAnsi="宋体"/>
          <w:color w:val="auto"/>
          <w:szCs w:val="21"/>
          <w:highlight w:val="none"/>
        </w:rPr>
        <w:t>”的</w:t>
      </w:r>
      <w:r>
        <w:rPr>
          <w:rFonts w:ascii="Arial" w:hAnsi="宋体"/>
          <w:color w:val="auto"/>
          <w:szCs w:val="21"/>
          <w:highlight w:val="none"/>
        </w:rPr>
        <w:t>要求</w:t>
      </w:r>
      <w:r>
        <w:rPr>
          <w:rFonts w:hint="eastAsia" w:ascii="Arial" w:hAnsi="宋体"/>
          <w:color w:val="auto"/>
          <w:szCs w:val="21"/>
          <w:highlight w:val="none"/>
        </w:rPr>
        <w:t>编制。</w:t>
      </w:r>
    </w:p>
    <w:p w14:paraId="7B22FCE6">
      <w:pPr>
        <w:spacing w:line="360" w:lineRule="auto"/>
        <w:ind w:firstLine="420"/>
        <w:rPr>
          <w:rFonts w:ascii="Arial" w:hAnsi="Arial"/>
          <w:color w:val="auto"/>
          <w:szCs w:val="21"/>
          <w:highlight w:val="none"/>
        </w:rPr>
      </w:pPr>
      <w:r>
        <w:rPr>
          <w:rFonts w:hint="eastAsia" w:ascii="Arial" w:hAnsi="Arial"/>
          <w:color w:val="auto"/>
          <w:szCs w:val="21"/>
          <w:highlight w:val="none"/>
        </w:rPr>
        <w:t>7</w:t>
      </w:r>
      <w:r>
        <w:rPr>
          <w:rFonts w:ascii="Arial" w:hAnsi="Arial"/>
          <w:color w:val="auto"/>
          <w:szCs w:val="21"/>
          <w:highlight w:val="none"/>
        </w:rPr>
        <w:t>.3 本次采购的最小单位是</w:t>
      </w:r>
      <w:r>
        <w:rPr>
          <w:rFonts w:hint="eastAsia" w:ascii="Arial" w:hAnsi="Arial"/>
          <w:color w:val="auto"/>
          <w:szCs w:val="21"/>
          <w:highlight w:val="none"/>
        </w:rPr>
        <w:t>标段</w:t>
      </w:r>
      <w:r>
        <w:rPr>
          <w:rFonts w:ascii="Arial" w:hAnsi="Arial"/>
          <w:color w:val="auto"/>
          <w:szCs w:val="21"/>
          <w:highlight w:val="none"/>
        </w:rPr>
        <w:t>。采购项目的技术要求中未分</w:t>
      </w:r>
      <w:r>
        <w:rPr>
          <w:rFonts w:hint="eastAsia" w:ascii="Arial" w:hAnsi="Arial"/>
          <w:color w:val="auto"/>
          <w:szCs w:val="21"/>
          <w:highlight w:val="none"/>
        </w:rPr>
        <w:t>标段</w:t>
      </w:r>
      <w:r>
        <w:rPr>
          <w:rFonts w:ascii="Arial" w:hAnsi="Arial"/>
          <w:color w:val="auto"/>
          <w:szCs w:val="21"/>
          <w:highlight w:val="none"/>
        </w:rPr>
        <w:t>的，供应商对要求提供的服务不得部分</w:t>
      </w:r>
      <w:r>
        <w:rPr>
          <w:rFonts w:hint="eastAsia" w:ascii="Arial" w:hAnsi="Arial"/>
          <w:color w:val="auto"/>
          <w:szCs w:val="21"/>
          <w:highlight w:val="none"/>
        </w:rPr>
        <w:t>响应</w:t>
      </w:r>
      <w:r>
        <w:rPr>
          <w:rFonts w:ascii="Arial" w:hAnsi="Arial"/>
          <w:color w:val="auto"/>
          <w:szCs w:val="21"/>
          <w:highlight w:val="none"/>
        </w:rPr>
        <w:t>；采购项目的技术要求中已经分</w:t>
      </w:r>
      <w:r>
        <w:rPr>
          <w:rFonts w:hint="eastAsia" w:ascii="Arial" w:hAnsi="Arial"/>
          <w:color w:val="auto"/>
          <w:szCs w:val="21"/>
          <w:highlight w:val="none"/>
        </w:rPr>
        <w:t>标段</w:t>
      </w:r>
      <w:r>
        <w:rPr>
          <w:rFonts w:ascii="Arial" w:hAnsi="Arial"/>
          <w:color w:val="auto"/>
          <w:szCs w:val="21"/>
          <w:highlight w:val="none"/>
        </w:rPr>
        <w:t>的，可以以</w:t>
      </w:r>
      <w:r>
        <w:rPr>
          <w:rFonts w:hint="eastAsia" w:ascii="Arial" w:hAnsi="Arial"/>
          <w:color w:val="auto"/>
          <w:szCs w:val="21"/>
          <w:highlight w:val="none"/>
        </w:rPr>
        <w:t>标段</w:t>
      </w:r>
      <w:r>
        <w:rPr>
          <w:rFonts w:ascii="Arial" w:hAnsi="Arial"/>
          <w:color w:val="auto"/>
          <w:szCs w:val="21"/>
          <w:highlight w:val="none"/>
        </w:rPr>
        <w:t>为单位</w:t>
      </w:r>
      <w:r>
        <w:rPr>
          <w:rFonts w:hint="eastAsia" w:ascii="Arial" w:hAnsi="Arial"/>
          <w:color w:val="auto"/>
          <w:szCs w:val="21"/>
          <w:highlight w:val="none"/>
        </w:rPr>
        <w:t>响应</w:t>
      </w:r>
      <w:r>
        <w:rPr>
          <w:rFonts w:ascii="Arial" w:hAnsi="Arial"/>
          <w:color w:val="auto"/>
          <w:szCs w:val="21"/>
          <w:highlight w:val="none"/>
        </w:rPr>
        <w:t>。</w:t>
      </w:r>
    </w:p>
    <w:p w14:paraId="084CEE55">
      <w:pPr>
        <w:spacing w:line="360" w:lineRule="auto"/>
        <w:ind w:firstLine="420"/>
        <w:rPr>
          <w:rFonts w:ascii="Arial" w:hAnsi="Arial"/>
          <w:bCs/>
          <w:color w:val="auto"/>
          <w:szCs w:val="21"/>
          <w:highlight w:val="none"/>
        </w:rPr>
      </w:pPr>
      <w:r>
        <w:rPr>
          <w:rFonts w:hint="eastAsia" w:ascii="Arial" w:hAnsi="Arial"/>
          <w:bCs/>
          <w:color w:val="auto"/>
          <w:szCs w:val="21"/>
          <w:highlight w:val="none"/>
        </w:rPr>
        <w:t>7</w:t>
      </w:r>
      <w:r>
        <w:rPr>
          <w:rFonts w:ascii="Arial" w:hAnsi="Arial"/>
          <w:bCs/>
          <w:color w:val="auto"/>
          <w:szCs w:val="21"/>
          <w:highlight w:val="none"/>
          <w:lang w:val="zh-CN"/>
        </w:rPr>
        <w:t xml:space="preserve">.4 </w:t>
      </w:r>
      <w:r>
        <w:rPr>
          <w:rFonts w:ascii="Arial" w:hAnsi="Arial"/>
          <w:b/>
          <w:bCs/>
          <w:color w:val="auto"/>
          <w:szCs w:val="21"/>
          <w:highlight w:val="none"/>
          <w:lang w:val="zh-CN"/>
        </w:rPr>
        <w:t>磋商响应文件的商务</w:t>
      </w:r>
      <w:r>
        <w:rPr>
          <w:rFonts w:hint="eastAsia" w:ascii="Arial" w:hAnsi="Arial"/>
          <w:b/>
          <w:bCs/>
          <w:color w:val="auto"/>
          <w:szCs w:val="21"/>
          <w:highlight w:val="none"/>
        </w:rPr>
        <w:t>内容</w:t>
      </w:r>
      <w:r>
        <w:rPr>
          <w:rFonts w:ascii="Arial" w:hAnsi="Arial"/>
          <w:b/>
          <w:bCs/>
          <w:color w:val="auto"/>
          <w:szCs w:val="21"/>
          <w:highlight w:val="none"/>
          <w:lang w:val="zh-CN"/>
        </w:rPr>
        <w:t>。</w:t>
      </w:r>
      <w:r>
        <w:rPr>
          <w:rFonts w:ascii="Arial" w:hAnsi="Arial"/>
          <w:color w:val="auto"/>
          <w:szCs w:val="21"/>
          <w:highlight w:val="none"/>
          <w:lang w:val="zh-CN"/>
        </w:rPr>
        <w:t>商务部分</w:t>
      </w:r>
      <w:r>
        <w:rPr>
          <w:rFonts w:hint="eastAsia" w:ascii="Arial" w:hAnsi="Arial"/>
          <w:color w:val="auto"/>
          <w:szCs w:val="21"/>
          <w:highlight w:val="none"/>
        </w:rPr>
        <w:t>内容</w:t>
      </w:r>
      <w:r>
        <w:rPr>
          <w:rFonts w:ascii="Arial" w:hAnsi="Arial"/>
          <w:color w:val="auto"/>
          <w:szCs w:val="21"/>
          <w:highlight w:val="none"/>
          <w:lang w:val="zh-CN"/>
        </w:rPr>
        <w:t>是证明供应商有资格参加磋商和成交后有能力履行合同的文件，</w:t>
      </w:r>
      <w:r>
        <w:rPr>
          <w:rFonts w:ascii="Arial" w:hAnsi="Arial"/>
          <w:color w:val="auto"/>
          <w:szCs w:val="21"/>
          <w:highlight w:val="none"/>
        </w:rPr>
        <w:t>这些文件应能满足竞争性磋商采购的要求</w:t>
      </w:r>
      <w:r>
        <w:rPr>
          <w:rFonts w:ascii="Arial" w:hAnsi="Arial"/>
          <w:color w:val="auto"/>
          <w:szCs w:val="21"/>
          <w:highlight w:val="none"/>
          <w:lang w:val="zh-CN"/>
        </w:rPr>
        <w:t>，包括但不限于下列文件</w:t>
      </w:r>
      <w:r>
        <w:rPr>
          <w:rFonts w:ascii="Arial" w:hAnsi="Arial"/>
          <w:color w:val="auto"/>
          <w:szCs w:val="21"/>
          <w:highlight w:val="none"/>
        </w:rPr>
        <w:t>（</w:t>
      </w:r>
      <w:r>
        <w:rPr>
          <w:rFonts w:ascii="Arial" w:hAnsi="Arial"/>
          <w:b/>
          <w:color w:val="auto"/>
          <w:szCs w:val="21"/>
          <w:highlight w:val="none"/>
        </w:rPr>
        <w:t>（1）-（</w:t>
      </w:r>
      <w:r>
        <w:rPr>
          <w:rFonts w:hint="eastAsia" w:ascii="Arial" w:hAnsi="Arial"/>
          <w:b/>
          <w:color w:val="auto"/>
          <w:szCs w:val="21"/>
          <w:highlight w:val="none"/>
        </w:rPr>
        <w:t>4</w:t>
      </w:r>
      <w:r>
        <w:rPr>
          <w:rFonts w:ascii="Arial" w:hAnsi="Arial"/>
          <w:b/>
          <w:color w:val="auto"/>
          <w:szCs w:val="21"/>
          <w:highlight w:val="none"/>
        </w:rPr>
        <w:t>）所述材料</w:t>
      </w:r>
      <w:r>
        <w:rPr>
          <w:rFonts w:hint="eastAsia" w:ascii="Arial" w:hAnsi="Arial"/>
          <w:b/>
          <w:color w:val="auto"/>
          <w:szCs w:val="21"/>
          <w:highlight w:val="none"/>
        </w:rPr>
        <w:t>，</w:t>
      </w:r>
      <w:r>
        <w:rPr>
          <w:rFonts w:ascii="Arial" w:hAnsi="Arial"/>
          <w:b/>
          <w:color w:val="auto"/>
          <w:szCs w:val="21"/>
          <w:highlight w:val="none"/>
        </w:rPr>
        <w:t>如提供不全或不满足磋商文件的实质性要求，</w:t>
      </w:r>
      <w:r>
        <w:rPr>
          <w:rFonts w:hint="eastAsia" w:ascii="Arial" w:hAnsi="Arial"/>
          <w:b/>
          <w:color w:val="auto"/>
          <w:szCs w:val="21"/>
          <w:highlight w:val="none"/>
        </w:rPr>
        <w:t>磋商小组</w:t>
      </w:r>
      <w:r>
        <w:rPr>
          <w:rFonts w:ascii="Arial" w:hAnsi="Arial"/>
          <w:b/>
          <w:color w:val="auto"/>
          <w:szCs w:val="21"/>
          <w:highlight w:val="none"/>
        </w:rPr>
        <w:t>有权</w:t>
      </w:r>
      <w:r>
        <w:rPr>
          <w:rFonts w:hint="eastAsia" w:ascii="Arial" w:hAnsi="Arial"/>
          <w:b/>
          <w:color w:val="auto"/>
          <w:szCs w:val="21"/>
          <w:highlight w:val="none"/>
        </w:rPr>
        <w:t>按无效响应处理</w:t>
      </w:r>
      <w:r>
        <w:rPr>
          <w:rFonts w:ascii="Arial" w:hAnsi="Arial"/>
          <w:color w:val="auto"/>
          <w:szCs w:val="21"/>
          <w:highlight w:val="none"/>
        </w:rPr>
        <w:t>）</w:t>
      </w:r>
      <w:r>
        <w:rPr>
          <w:rFonts w:ascii="Arial" w:hAnsi="Arial"/>
          <w:color w:val="auto"/>
          <w:szCs w:val="21"/>
          <w:highlight w:val="none"/>
          <w:lang w:val="zh-CN"/>
        </w:rPr>
        <w:t>：</w:t>
      </w:r>
    </w:p>
    <w:p w14:paraId="0A5FE037">
      <w:pPr>
        <w:spacing w:line="360" w:lineRule="auto"/>
        <w:ind w:firstLine="420"/>
        <w:jc w:val="left"/>
        <w:rPr>
          <w:rFonts w:ascii="Arial" w:hAnsi="Arial"/>
          <w:color w:val="auto"/>
          <w:szCs w:val="21"/>
          <w:highlight w:val="none"/>
          <w:lang w:val="zh-CN"/>
        </w:rPr>
      </w:pPr>
      <w:r>
        <w:rPr>
          <w:rFonts w:ascii="Arial" w:hAnsi="Arial"/>
          <w:color w:val="auto"/>
          <w:szCs w:val="21"/>
          <w:highlight w:val="none"/>
          <w:lang w:val="zh-CN"/>
        </w:rPr>
        <w:t>（1）竞争性磋商申请及声明</w:t>
      </w:r>
      <w:r>
        <w:rPr>
          <w:rFonts w:ascii="Arial" w:hAnsi="Arial"/>
          <w:bCs/>
          <w:color w:val="auto"/>
          <w:szCs w:val="21"/>
          <w:highlight w:val="none"/>
        </w:rPr>
        <w:t>（</w:t>
      </w:r>
      <w:r>
        <w:rPr>
          <w:rFonts w:ascii="Arial" w:hAnsi="Arial"/>
          <w:b/>
          <w:bCs/>
          <w:color w:val="auto"/>
          <w:szCs w:val="21"/>
          <w:highlight w:val="none"/>
        </w:rPr>
        <w:t>格式见</w:t>
      </w:r>
      <w:r>
        <w:rPr>
          <w:rFonts w:hint="eastAsia" w:ascii="Arial" w:hAnsi="Arial"/>
          <w:b/>
          <w:bCs/>
          <w:color w:val="auto"/>
          <w:szCs w:val="21"/>
          <w:highlight w:val="none"/>
        </w:rPr>
        <w:t>第六章</w:t>
      </w:r>
      <w:r>
        <w:rPr>
          <w:rFonts w:ascii="Arial" w:hAnsi="Arial"/>
          <w:bCs/>
          <w:color w:val="auto"/>
          <w:szCs w:val="21"/>
          <w:highlight w:val="none"/>
        </w:rPr>
        <w:t>）</w:t>
      </w:r>
      <w:r>
        <w:rPr>
          <w:rFonts w:ascii="Arial" w:hAnsi="Arial"/>
          <w:color w:val="auto"/>
          <w:szCs w:val="21"/>
          <w:highlight w:val="none"/>
          <w:lang w:val="zh-CN"/>
        </w:rPr>
        <w:t>；</w:t>
      </w:r>
    </w:p>
    <w:p w14:paraId="1B294D56">
      <w:pPr>
        <w:widowControl/>
        <w:spacing w:line="360" w:lineRule="auto"/>
        <w:ind w:firstLine="420"/>
        <w:jc w:val="left"/>
        <w:rPr>
          <w:rFonts w:ascii="Arial" w:hAnsi="Arial"/>
          <w:color w:val="auto"/>
          <w:szCs w:val="21"/>
          <w:highlight w:val="none"/>
          <w:lang w:val="zh-CN"/>
        </w:rPr>
      </w:pPr>
      <w:r>
        <w:rPr>
          <w:rFonts w:ascii="Arial" w:hAnsi="Arial"/>
          <w:color w:val="auto"/>
          <w:szCs w:val="21"/>
          <w:highlight w:val="none"/>
          <w:lang w:val="zh-CN"/>
        </w:rPr>
        <w:t>（2）</w:t>
      </w:r>
      <w:r>
        <w:rPr>
          <w:rFonts w:hint="eastAsia" w:ascii="Arial" w:hAnsi="Arial" w:cs="Arial"/>
          <w:color w:val="auto"/>
          <w:szCs w:val="21"/>
          <w:highlight w:val="none"/>
          <w:lang w:val="zh-CN"/>
        </w:rPr>
        <w:t>法人授权书</w:t>
      </w:r>
      <w:r>
        <w:rPr>
          <w:rFonts w:ascii="Arial" w:hAnsi="Arial" w:cs="Arial"/>
          <w:bCs/>
          <w:color w:val="auto"/>
          <w:szCs w:val="21"/>
          <w:highlight w:val="none"/>
        </w:rPr>
        <w:t>（</w:t>
      </w:r>
      <w:r>
        <w:rPr>
          <w:rFonts w:ascii="Arial" w:hAnsi="Arial" w:cs="Arial"/>
          <w:b/>
          <w:bCs/>
          <w:color w:val="auto"/>
          <w:szCs w:val="21"/>
          <w:highlight w:val="none"/>
        </w:rPr>
        <w:t>格式见</w:t>
      </w:r>
      <w:r>
        <w:rPr>
          <w:rFonts w:hint="eastAsia" w:ascii="Arial" w:hAnsi="Arial" w:cs="Arial"/>
          <w:b/>
          <w:bCs/>
          <w:color w:val="auto"/>
          <w:szCs w:val="21"/>
          <w:highlight w:val="none"/>
        </w:rPr>
        <w:t>第六章</w:t>
      </w:r>
      <w:r>
        <w:rPr>
          <w:rFonts w:ascii="Arial" w:hAnsi="Arial" w:cs="Arial"/>
          <w:bCs/>
          <w:color w:val="auto"/>
          <w:szCs w:val="21"/>
          <w:highlight w:val="none"/>
        </w:rPr>
        <w:t>）</w:t>
      </w:r>
      <w:r>
        <w:rPr>
          <w:rFonts w:ascii="Arial" w:hAnsi="Arial"/>
          <w:color w:val="auto"/>
          <w:szCs w:val="21"/>
          <w:highlight w:val="none"/>
          <w:lang w:val="zh-CN"/>
        </w:rPr>
        <w:t>；</w:t>
      </w:r>
    </w:p>
    <w:p w14:paraId="1A88AE4B">
      <w:pPr>
        <w:widowControl/>
        <w:spacing w:line="360" w:lineRule="auto"/>
        <w:ind w:firstLine="420"/>
        <w:jc w:val="left"/>
        <w:rPr>
          <w:rFonts w:ascii="Arial" w:hAnsi="Arial"/>
          <w:color w:val="auto"/>
          <w:szCs w:val="21"/>
          <w:highlight w:val="none"/>
          <w:lang w:val="zh-CN"/>
        </w:rPr>
      </w:pPr>
      <w:r>
        <w:rPr>
          <w:rFonts w:hint="eastAsia" w:ascii="Arial" w:hAnsi="Arial"/>
          <w:color w:val="auto"/>
          <w:szCs w:val="21"/>
          <w:highlight w:val="none"/>
          <w:lang w:val="zh-CN"/>
        </w:rPr>
        <w:t>（3）申请人资格资信证明文件：</w:t>
      </w:r>
    </w:p>
    <w:p w14:paraId="089322C1">
      <w:pPr>
        <w:widowControl/>
        <w:spacing w:line="360" w:lineRule="auto"/>
        <w:ind w:firstLine="840"/>
        <w:jc w:val="left"/>
        <w:rPr>
          <w:rFonts w:ascii="Arial" w:hAnsi="Arial"/>
          <w:color w:val="auto"/>
          <w:szCs w:val="21"/>
          <w:highlight w:val="none"/>
          <w:lang w:val="zh-CN"/>
        </w:rPr>
      </w:pPr>
      <w:r>
        <w:rPr>
          <w:rFonts w:hint="eastAsia" w:ascii="Arial" w:hAnsi="Arial"/>
          <w:color w:val="auto"/>
          <w:szCs w:val="21"/>
          <w:highlight w:val="none"/>
          <w:lang w:val="zh-CN"/>
        </w:rPr>
        <w:t>1</w:t>
      </w:r>
      <w:r>
        <w:rPr>
          <w:rFonts w:ascii="Arial" w:hAnsi="Arial"/>
          <w:color w:val="auto"/>
          <w:szCs w:val="21"/>
          <w:highlight w:val="none"/>
          <w:lang w:val="zh-CN"/>
        </w:rPr>
        <w:t>）</w:t>
      </w:r>
      <w:r>
        <w:rPr>
          <w:rFonts w:ascii="Arial" w:hAnsi="Arial"/>
          <w:color w:val="auto"/>
          <w:szCs w:val="21"/>
          <w:highlight w:val="none"/>
        </w:rPr>
        <w:t xml:space="preserve">第一章竞争性磋商公告中 </w:t>
      </w:r>
      <w:r>
        <w:rPr>
          <w:rFonts w:hint="eastAsia" w:ascii="Arial" w:hAnsi="Arial"/>
          <w:color w:val="auto"/>
          <w:szCs w:val="21"/>
          <w:highlight w:val="none"/>
        </w:rPr>
        <w:t>2</w:t>
      </w:r>
      <w:r>
        <w:rPr>
          <w:rFonts w:ascii="Arial" w:hAnsi="Arial"/>
          <w:color w:val="auto"/>
          <w:szCs w:val="21"/>
          <w:highlight w:val="none"/>
        </w:rPr>
        <w:t>.1《中华人民共和国政府采购法》规定的资格条件证明文件；</w:t>
      </w:r>
    </w:p>
    <w:p w14:paraId="0FA8FFBD">
      <w:pPr>
        <w:widowControl/>
        <w:spacing w:line="360" w:lineRule="auto"/>
        <w:ind w:firstLine="840"/>
        <w:jc w:val="left"/>
        <w:rPr>
          <w:rFonts w:ascii="Arial" w:hAnsi="Arial"/>
          <w:color w:val="auto"/>
          <w:szCs w:val="21"/>
          <w:highlight w:val="none"/>
        </w:rPr>
      </w:pPr>
      <w:r>
        <w:rPr>
          <w:rFonts w:hint="eastAsia" w:ascii="Arial" w:hAnsi="Arial"/>
          <w:color w:val="auto"/>
          <w:szCs w:val="21"/>
          <w:highlight w:val="none"/>
        </w:rPr>
        <w:t>2）</w:t>
      </w:r>
      <w:r>
        <w:rPr>
          <w:rFonts w:ascii="Arial" w:hAnsi="Arial"/>
          <w:color w:val="auto"/>
          <w:szCs w:val="21"/>
          <w:highlight w:val="none"/>
        </w:rPr>
        <w:t xml:space="preserve">第一章竞争性磋商公告中 </w:t>
      </w:r>
      <w:r>
        <w:rPr>
          <w:rFonts w:hint="eastAsia" w:ascii="Arial" w:hAnsi="Arial"/>
          <w:color w:val="auto"/>
          <w:szCs w:val="21"/>
          <w:highlight w:val="none"/>
        </w:rPr>
        <w:t>2</w:t>
      </w:r>
      <w:r>
        <w:rPr>
          <w:rFonts w:ascii="Arial" w:hAnsi="Arial"/>
          <w:color w:val="auto"/>
          <w:szCs w:val="21"/>
          <w:highlight w:val="none"/>
        </w:rPr>
        <w:t>.</w:t>
      </w:r>
      <w:r>
        <w:rPr>
          <w:rFonts w:hint="eastAsia" w:ascii="Arial" w:hAnsi="Arial"/>
          <w:color w:val="auto"/>
          <w:szCs w:val="21"/>
          <w:highlight w:val="none"/>
        </w:rPr>
        <w:t xml:space="preserve">2 </w:t>
      </w:r>
      <w:r>
        <w:rPr>
          <w:rFonts w:ascii="Arial" w:hAnsi="Arial"/>
          <w:color w:val="auto"/>
          <w:spacing w:val="8"/>
          <w:szCs w:val="21"/>
          <w:highlight w:val="none"/>
        </w:rPr>
        <w:t>落实政府采购政策需满足的资格要求</w:t>
      </w:r>
      <w:r>
        <w:rPr>
          <w:rFonts w:hint="eastAsia" w:ascii="Arial" w:hAnsi="Arial"/>
          <w:color w:val="auto"/>
          <w:spacing w:val="8"/>
          <w:szCs w:val="21"/>
          <w:highlight w:val="none"/>
        </w:rPr>
        <w:t>；</w:t>
      </w:r>
    </w:p>
    <w:p w14:paraId="61679CEC">
      <w:pPr>
        <w:widowControl/>
        <w:spacing w:line="360" w:lineRule="auto"/>
        <w:ind w:firstLine="659"/>
        <w:jc w:val="left"/>
        <w:rPr>
          <w:rFonts w:ascii="Arial" w:hAnsi="Arial"/>
          <w:color w:val="auto"/>
          <w:szCs w:val="21"/>
          <w:highlight w:val="none"/>
        </w:rPr>
      </w:pPr>
      <w:r>
        <w:rPr>
          <w:rFonts w:hint="eastAsia" w:ascii="Arial" w:hAnsi="Arial"/>
          <w:color w:val="auto"/>
          <w:szCs w:val="21"/>
          <w:highlight w:val="none"/>
        </w:rPr>
        <w:t>3） 第一章竞争性磋商公告中 2.3 采购人根据采购项目的特殊要求规定的特定条件证明文件；</w:t>
      </w:r>
    </w:p>
    <w:p w14:paraId="5EFBEA77">
      <w:pPr>
        <w:widowControl/>
        <w:spacing w:line="360" w:lineRule="auto"/>
        <w:ind w:firstLine="420"/>
        <w:jc w:val="left"/>
        <w:rPr>
          <w:rFonts w:ascii="Arial" w:hAnsi="Arial"/>
          <w:color w:val="auto"/>
          <w:szCs w:val="21"/>
          <w:highlight w:val="none"/>
        </w:rPr>
      </w:pPr>
      <w:r>
        <w:rPr>
          <w:rFonts w:ascii="Arial" w:hAnsi="Arial"/>
          <w:color w:val="auto"/>
          <w:szCs w:val="21"/>
          <w:highlight w:val="none"/>
        </w:rPr>
        <w:t>（</w:t>
      </w:r>
      <w:r>
        <w:rPr>
          <w:rFonts w:hint="eastAsia" w:ascii="Arial" w:hAnsi="Arial"/>
          <w:color w:val="auto"/>
          <w:szCs w:val="21"/>
          <w:highlight w:val="none"/>
        </w:rPr>
        <w:t>4</w:t>
      </w:r>
      <w:r>
        <w:rPr>
          <w:rFonts w:ascii="Arial" w:hAnsi="Arial"/>
          <w:color w:val="auto"/>
          <w:szCs w:val="21"/>
          <w:highlight w:val="none"/>
        </w:rPr>
        <w:t>）报价</w:t>
      </w:r>
      <w:r>
        <w:rPr>
          <w:rFonts w:hint="eastAsia" w:ascii="Arial" w:hAnsi="Arial"/>
          <w:color w:val="auto"/>
          <w:szCs w:val="21"/>
          <w:highlight w:val="none"/>
        </w:rPr>
        <w:t>一览</w:t>
      </w:r>
      <w:r>
        <w:rPr>
          <w:rFonts w:ascii="Arial" w:hAnsi="Arial"/>
          <w:color w:val="auto"/>
          <w:szCs w:val="21"/>
          <w:highlight w:val="none"/>
        </w:rPr>
        <w:t>表</w:t>
      </w:r>
      <w:r>
        <w:rPr>
          <w:rFonts w:hint="eastAsia" w:ascii="Arial" w:hAnsi="Arial"/>
          <w:color w:val="auto"/>
          <w:szCs w:val="21"/>
          <w:highlight w:val="none"/>
        </w:rPr>
        <w:t>及附表</w:t>
      </w:r>
      <w:r>
        <w:rPr>
          <w:rFonts w:ascii="Arial" w:hAnsi="Arial"/>
          <w:bCs/>
          <w:color w:val="auto"/>
          <w:szCs w:val="21"/>
          <w:highlight w:val="none"/>
        </w:rPr>
        <w:t>（</w:t>
      </w:r>
      <w:r>
        <w:rPr>
          <w:rFonts w:ascii="Arial" w:hAnsi="Arial"/>
          <w:b/>
          <w:bCs/>
          <w:color w:val="auto"/>
          <w:szCs w:val="21"/>
          <w:highlight w:val="none"/>
        </w:rPr>
        <w:t>格式见</w:t>
      </w:r>
      <w:r>
        <w:rPr>
          <w:rFonts w:hint="eastAsia" w:ascii="Arial" w:hAnsi="Arial"/>
          <w:b/>
          <w:bCs/>
          <w:color w:val="auto"/>
          <w:szCs w:val="21"/>
          <w:highlight w:val="none"/>
        </w:rPr>
        <w:t>第六章</w:t>
      </w:r>
      <w:r>
        <w:rPr>
          <w:rFonts w:ascii="Arial" w:hAnsi="Arial"/>
          <w:bCs/>
          <w:color w:val="auto"/>
          <w:szCs w:val="21"/>
          <w:highlight w:val="none"/>
        </w:rPr>
        <w:t>）</w:t>
      </w:r>
      <w:r>
        <w:rPr>
          <w:rFonts w:ascii="Arial" w:hAnsi="Arial"/>
          <w:color w:val="auto"/>
          <w:szCs w:val="21"/>
          <w:highlight w:val="none"/>
        </w:rPr>
        <w:t>；</w:t>
      </w:r>
    </w:p>
    <w:p w14:paraId="015EC42E">
      <w:pPr>
        <w:spacing w:line="360" w:lineRule="auto"/>
        <w:ind w:firstLine="420"/>
        <w:jc w:val="left"/>
        <w:rPr>
          <w:rFonts w:ascii="Arial" w:hAnsi="Arial"/>
          <w:color w:val="auto"/>
          <w:szCs w:val="21"/>
          <w:highlight w:val="none"/>
        </w:rPr>
      </w:pPr>
      <w:r>
        <w:rPr>
          <w:rFonts w:ascii="Arial" w:hAnsi="Arial"/>
          <w:color w:val="auto"/>
          <w:szCs w:val="21"/>
          <w:highlight w:val="none"/>
        </w:rPr>
        <w:t>（</w:t>
      </w:r>
      <w:r>
        <w:rPr>
          <w:rFonts w:hint="eastAsia" w:ascii="Arial" w:hAnsi="Arial"/>
          <w:color w:val="auto"/>
          <w:szCs w:val="21"/>
          <w:highlight w:val="none"/>
        </w:rPr>
        <w:t>5</w:t>
      </w:r>
      <w:r>
        <w:rPr>
          <w:rFonts w:ascii="Arial" w:hAnsi="Arial"/>
          <w:color w:val="auto"/>
          <w:szCs w:val="21"/>
          <w:highlight w:val="none"/>
        </w:rPr>
        <w:t>）</w:t>
      </w:r>
      <w:r>
        <w:rPr>
          <w:rFonts w:ascii="Arial" w:hAnsi="Arial"/>
          <w:color w:val="auto"/>
          <w:szCs w:val="21"/>
          <w:highlight w:val="none"/>
          <w:lang w:val="zh-CN"/>
        </w:rPr>
        <w:t>《</w:t>
      </w:r>
      <w:r>
        <w:rPr>
          <w:rFonts w:hint="eastAsia" w:ascii="Arial" w:hAnsi="Arial"/>
          <w:color w:val="auto"/>
          <w:szCs w:val="21"/>
          <w:highlight w:val="none"/>
        </w:rPr>
        <w:t>商务</w:t>
      </w:r>
      <w:r>
        <w:rPr>
          <w:rFonts w:ascii="Arial" w:hAnsi="Arial"/>
          <w:color w:val="auto"/>
          <w:szCs w:val="21"/>
          <w:highlight w:val="none"/>
          <w:lang w:val="zh-CN"/>
        </w:rPr>
        <w:t>条款偏离表》；</w:t>
      </w:r>
    </w:p>
    <w:p w14:paraId="2B98D03C">
      <w:pPr>
        <w:spacing w:line="360" w:lineRule="auto"/>
        <w:ind w:firstLine="420"/>
        <w:jc w:val="left"/>
        <w:rPr>
          <w:rFonts w:ascii="Arial" w:hAnsi="Arial"/>
          <w:color w:val="auto"/>
          <w:szCs w:val="21"/>
          <w:highlight w:val="none"/>
          <w:lang w:val="zh-CN"/>
        </w:rPr>
      </w:pPr>
      <w:r>
        <w:rPr>
          <w:rFonts w:ascii="Arial" w:hAnsi="Arial"/>
          <w:color w:val="auto"/>
          <w:szCs w:val="21"/>
          <w:highlight w:val="none"/>
          <w:lang w:val="zh-CN"/>
        </w:rPr>
        <w:t>（</w:t>
      </w:r>
      <w:r>
        <w:rPr>
          <w:rFonts w:hint="eastAsia" w:ascii="Arial" w:hAnsi="Arial"/>
          <w:color w:val="auto"/>
          <w:szCs w:val="21"/>
          <w:highlight w:val="none"/>
        </w:rPr>
        <w:t>6</w:t>
      </w:r>
      <w:r>
        <w:rPr>
          <w:rFonts w:ascii="Arial" w:hAnsi="Arial"/>
          <w:color w:val="auto"/>
          <w:szCs w:val="21"/>
          <w:highlight w:val="none"/>
          <w:lang w:val="zh-CN"/>
        </w:rPr>
        <w:t>）供应商认为需要提供的其他资格证明文件和商务资料。</w:t>
      </w:r>
    </w:p>
    <w:p w14:paraId="20795821">
      <w:pPr>
        <w:spacing w:line="360" w:lineRule="auto"/>
        <w:ind w:firstLine="420"/>
        <w:rPr>
          <w:rFonts w:ascii="Arial" w:hAnsi="Arial"/>
          <w:bCs/>
          <w:color w:val="auto"/>
          <w:szCs w:val="21"/>
          <w:highlight w:val="none"/>
        </w:rPr>
      </w:pPr>
      <w:r>
        <w:rPr>
          <w:rFonts w:hint="eastAsia" w:ascii="Arial" w:hAnsi="Arial"/>
          <w:bCs/>
          <w:color w:val="auto"/>
          <w:szCs w:val="21"/>
          <w:highlight w:val="none"/>
        </w:rPr>
        <w:t>7</w:t>
      </w:r>
      <w:r>
        <w:rPr>
          <w:rFonts w:ascii="Arial" w:hAnsi="Arial"/>
          <w:bCs/>
          <w:color w:val="auto"/>
          <w:szCs w:val="21"/>
          <w:highlight w:val="none"/>
          <w:lang w:val="zh-CN"/>
        </w:rPr>
        <w:t xml:space="preserve">.5 </w:t>
      </w:r>
      <w:r>
        <w:rPr>
          <w:rFonts w:ascii="Arial" w:hAnsi="Arial"/>
          <w:b/>
          <w:bCs/>
          <w:color w:val="auto"/>
          <w:szCs w:val="21"/>
          <w:highlight w:val="none"/>
          <w:lang w:val="zh-CN"/>
        </w:rPr>
        <w:t>磋商响应文件的技术</w:t>
      </w:r>
      <w:r>
        <w:rPr>
          <w:rFonts w:hint="eastAsia" w:ascii="Arial" w:hAnsi="Arial"/>
          <w:b/>
          <w:bCs/>
          <w:color w:val="auto"/>
          <w:szCs w:val="21"/>
          <w:highlight w:val="none"/>
        </w:rPr>
        <w:t>内容</w:t>
      </w:r>
      <w:r>
        <w:rPr>
          <w:rFonts w:ascii="Arial" w:hAnsi="Arial"/>
          <w:b/>
          <w:bCs/>
          <w:color w:val="auto"/>
          <w:szCs w:val="21"/>
          <w:highlight w:val="none"/>
          <w:lang w:val="zh-CN"/>
        </w:rPr>
        <w:t>。</w:t>
      </w:r>
      <w:r>
        <w:rPr>
          <w:rFonts w:ascii="Arial" w:hAnsi="Arial"/>
          <w:color w:val="auto"/>
          <w:szCs w:val="21"/>
          <w:highlight w:val="none"/>
          <w:lang w:val="zh-CN"/>
        </w:rPr>
        <w:t>技术</w:t>
      </w:r>
      <w:r>
        <w:rPr>
          <w:rFonts w:hint="eastAsia" w:ascii="Arial" w:hAnsi="Arial"/>
          <w:color w:val="auto"/>
          <w:szCs w:val="21"/>
          <w:highlight w:val="none"/>
        </w:rPr>
        <w:t>内容</w:t>
      </w:r>
      <w:r>
        <w:rPr>
          <w:rFonts w:ascii="Arial" w:hAnsi="Arial"/>
          <w:color w:val="auto"/>
          <w:szCs w:val="21"/>
          <w:highlight w:val="none"/>
          <w:lang w:val="zh-CN"/>
        </w:rPr>
        <w:t>是证明</w:t>
      </w:r>
      <w:r>
        <w:rPr>
          <w:rFonts w:ascii="Arial" w:hAnsi="Arial"/>
          <w:color w:val="auto"/>
          <w:szCs w:val="21"/>
          <w:highlight w:val="none"/>
        </w:rPr>
        <w:t>供应商提供的服务是合格的、并符合磋商文件要求的证明文件，以及</w:t>
      </w:r>
      <w:r>
        <w:rPr>
          <w:rFonts w:ascii="Arial" w:hAnsi="Arial"/>
          <w:color w:val="auto"/>
          <w:szCs w:val="21"/>
          <w:highlight w:val="none"/>
          <w:lang w:val="zh-CN"/>
        </w:rPr>
        <w:t>对服务的详细说明，这些文件可以是文字资料、图纸</w:t>
      </w:r>
      <w:r>
        <w:rPr>
          <w:rFonts w:hint="eastAsia" w:ascii="Arial" w:hAnsi="Arial"/>
          <w:color w:val="auto"/>
          <w:szCs w:val="21"/>
          <w:highlight w:val="none"/>
          <w:lang w:val="zh-CN"/>
        </w:rPr>
        <w:t>、</w:t>
      </w:r>
      <w:r>
        <w:rPr>
          <w:rFonts w:ascii="Arial" w:hAnsi="Arial"/>
          <w:color w:val="auto"/>
          <w:szCs w:val="21"/>
          <w:highlight w:val="none"/>
          <w:lang w:val="zh-CN"/>
        </w:rPr>
        <w:t>数据</w:t>
      </w:r>
      <w:r>
        <w:rPr>
          <w:rFonts w:hint="eastAsia" w:ascii="Arial" w:hAnsi="宋体"/>
          <w:color w:val="auto"/>
          <w:szCs w:val="21"/>
          <w:highlight w:val="none"/>
        </w:rPr>
        <w:t>或其他证明文件</w:t>
      </w:r>
      <w:r>
        <w:rPr>
          <w:rFonts w:ascii="Arial" w:hAnsi="Arial"/>
          <w:color w:val="auto"/>
          <w:szCs w:val="21"/>
          <w:highlight w:val="none"/>
          <w:lang w:val="zh-CN"/>
        </w:rPr>
        <w:t>等。提供的服务如与磋商文件要求有不符之处，应说明其差别之所在。包括但不限于下列文件。</w:t>
      </w:r>
    </w:p>
    <w:p w14:paraId="6A36B028">
      <w:pPr>
        <w:widowControl/>
        <w:spacing w:line="360" w:lineRule="auto"/>
        <w:ind w:firstLine="420"/>
        <w:jc w:val="left"/>
        <w:rPr>
          <w:rFonts w:ascii="Arial" w:hAnsi="Arial"/>
          <w:color w:val="auto"/>
          <w:szCs w:val="21"/>
          <w:highlight w:val="none"/>
          <w:lang w:val="zh-CN"/>
        </w:rPr>
      </w:pPr>
      <w:r>
        <w:rPr>
          <w:rFonts w:ascii="Arial" w:hAnsi="Arial"/>
          <w:color w:val="auto"/>
          <w:szCs w:val="21"/>
          <w:highlight w:val="none"/>
          <w:lang w:val="zh-CN"/>
        </w:rPr>
        <w:t xml:space="preserve">（1）项目技术方案或服务说明； </w:t>
      </w:r>
    </w:p>
    <w:p w14:paraId="4F10DFA3">
      <w:pPr>
        <w:spacing w:line="360" w:lineRule="auto"/>
        <w:ind w:firstLine="420"/>
        <w:rPr>
          <w:rFonts w:ascii="Arial" w:hAnsi="Arial"/>
          <w:color w:val="auto"/>
          <w:szCs w:val="21"/>
          <w:highlight w:val="none"/>
          <w:lang w:val="zh-CN"/>
        </w:rPr>
      </w:pPr>
      <w:r>
        <w:rPr>
          <w:rFonts w:ascii="Arial" w:hAnsi="Arial"/>
          <w:color w:val="auto"/>
          <w:szCs w:val="21"/>
          <w:highlight w:val="none"/>
          <w:lang w:val="zh-CN"/>
        </w:rPr>
        <w:t>（2）《采购需求条款偏离表》；</w:t>
      </w:r>
    </w:p>
    <w:p w14:paraId="55603DFD">
      <w:pPr>
        <w:widowControl/>
        <w:spacing w:line="360" w:lineRule="auto"/>
        <w:ind w:firstLine="420"/>
        <w:jc w:val="left"/>
        <w:rPr>
          <w:rFonts w:ascii="Arial" w:hAnsi="Arial"/>
          <w:color w:val="auto"/>
          <w:szCs w:val="21"/>
          <w:highlight w:val="none"/>
        </w:rPr>
      </w:pPr>
      <w:r>
        <w:rPr>
          <w:rFonts w:ascii="Arial" w:hAnsi="Arial"/>
          <w:color w:val="auto"/>
          <w:szCs w:val="21"/>
          <w:highlight w:val="none"/>
        </w:rPr>
        <w:t>（3）供应商认为需要</w:t>
      </w:r>
      <w:r>
        <w:rPr>
          <w:rFonts w:ascii="Arial" w:hAnsi="Arial"/>
          <w:color w:val="auto"/>
          <w:szCs w:val="21"/>
          <w:highlight w:val="none"/>
          <w:lang w:val="zh-CN"/>
        </w:rPr>
        <w:t>提供的其他技术资料。</w:t>
      </w:r>
    </w:p>
    <w:p w14:paraId="68370194">
      <w:pPr>
        <w:spacing w:line="360" w:lineRule="auto"/>
        <w:ind w:firstLine="420"/>
        <w:rPr>
          <w:rFonts w:ascii="Arial" w:hAnsi="Arial"/>
          <w:color w:val="auto"/>
          <w:szCs w:val="21"/>
          <w:highlight w:val="none"/>
        </w:rPr>
      </w:pPr>
      <w:r>
        <w:rPr>
          <w:rFonts w:hint="eastAsia" w:ascii="Arial" w:hAnsi="Arial"/>
          <w:color w:val="auto"/>
          <w:szCs w:val="21"/>
          <w:highlight w:val="none"/>
        </w:rPr>
        <w:t>7</w:t>
      </w:r>
      <w:r>
        <w:rPr>
          <w:rFonts w:ascii="Arial" w:hAnsi="Arial"/>
          <w:color w:val="auto"/>
          <w:szCs w:val="21"/>
          <w:highlight w:val="none"/>
          <w:lang w:val="zh-CN"/>
        </w:rPr>
        <w:t xml:space="preserve">.6 </w:t>
      </w:r>
      <w:r>
        <w:rPr>
          <w:rFonts w:ascii="Arial" w:hAnsi="Arial"/>
          <w:b/>
          <w:color w:val="auto"/>
          <w:szCs w:val="21"/>
          <w:highlight w:val="none"/>
          <w:lang w:val="zh-CN"/>
        </w:rPr>
        <w:t>磋商响应文件的价格</w:t>
      </w:r>
      <w:r>
        <w:rPr>
          <w:rFonts w:hint="eastAsia" w:ascii="Arial" w:hAnsi="Arial"/>
          <w:b/>
          <w:color w:val="auto"/>
          <w:szCs w:val="21"/>
          <w:highlight w:val="none"/>
        </w:rPr>
        <w:t>内容</w:t>
      </w:r>
    </w:p>
    <w:p w14:paraId="21446F79">
      <w:pPr>
        <w:numPr>
          <w:ilvl w:val="0"/>
          <w:numId w:val="8"/>
        </w:numPr>
        <w:spacing w:line="360" w:lineRule="auto"/>
        <w:ind w:firstLine="420"/>
        <w:rPr>
          <w:rFonts w:ascii="Arial" w:hAnsi="Arial"/>
          <w:color w:val="auto"/>
          <w:szCs w:val="21"/>
          <w:highlight w:val="none"/>
          <w:lang w:val="zh-CN"/>
        </w:rPr>
      </w:pPr>
      <w:r>
        <w:rPr>
          <w:rFonts w:ascii="Arial" w:hAnsi="Arial"/>
          <w:color w:val="auto"/>
          <w:szCs w:val="21"/>
          <w:highlight w:val="none"/>
          <w:lang w:val="zh-CN"/>
        </w:rPr>
        <w:t>价格部分</w:t>
      </w:r>
      <w:r>
        <w:rPr>
          <w:rFonts w:hint="eastAsia" w:ascii="Arial" w:hAnsi="Arial"/>
          <w:color w:val="auto"/>
          <w:szCs w:val="21"/>
          <w:highlight w:val="none"/>
        </w:rPr>
        <w:t>内容</w:t>
      </w:r>
      <w:r>
        <w:rPr>
          <w:rFonts w:ascii="Arial" w:hAnsi="Arial"/>
          <w:color w:val="auto"/>
          <w:szCs w:val="21"/>
          <w:highlight w:val="none"/>
          <w:lang w:val="zh-CN"/>
        </w:rPr>
        <w:t>是对</w:t>
      </w:r>
      <w:r>
        <w:rPr>
          <w:rFonts w:hint="eastAsia" w:ascii="Arial" w:hAnsi="Arial"/>
          <w:color w:val="auto"/>
          <w:szCs w:val="21"/>
          <w:highlight w:val="none"/>
        </w:rPr>
        <w:t>标的</w:t>
      </w:r>
      <w:r>
        <w:rPr>
          <w:rFonts w:ascii="Arial" w:hAnsi="Arial"/>
          <w:color w:val="auto"/>
          <w:szCs w:val="21"/>
          <w:highlight w:val="none"/>
          <w:lang w:val="zh-CN"/>
        </w:rPr>
        <w:t>价格构成的说明，磋商文件如没有特别说明的话，仅接受一个价格。</w:t>
      </w:r>
    </w:p>
    <w:p w14:paraId="59752D3A">
      <w:pPr>
        <w:spacing w:line="360" w:lineRule="auto"/>
        <w:ind w:firstLine="420"/>
        <w:rPr>
          <w:rFonts w:ascii="Arial" w:hAnsi="Arial"/>
          <w:color w:val="auto"/>
          <w:szCs w:val="21"/>
          <w:highlight w:val="none"/>
          <w:lang w:val="zh-CN"/>
        </w:rPr>
      </w:pPr>
      <w:r>
        <w:rPr>
          <w:rFonts w:ascii="Arial" w:hAnsi="Arial"/>
          <w:color w:val="auto"/>
          <w:szCs w:val="21"/>
          <w:highlight w:val="none"/>
          <w:lang w:val="zh-CN"/>
        </w:rPr>
        <w:t>（2）</w:t>
      </w:r>
      <w:r>
        <w:rPr>
          <w:rFonts w:ascii="Arial" w:hAnsi="宋体"/>
          <w:color w:val="auto"/>
          <w:szCs w:val="21"/>
          <w:highlight w:val="none"/>
        </w:rPr>
        <w:t>报价应</w:t>
      </w:r>
      <w:r>
        <w:rPr>
          <w:rFonts w:hint="eastAsia" w:ascii="Arial" w:hAnsi="宋体"/>
          <w:color w:val="auto"/>
          <w:szCs w:val="21"/>
          <w:highlight w:val="none"/>
        </w:rPr>
        <w:t>包含为履行本项目合同项下所有义务的全部</w:t>
      </w:r>
      <w:r>
        <w:rPr>
          <w:rFonts w:ascii="Arial" w:hAnsi="宋体"/>
          <w:color w:val="auto"/>
          <w:szCs w:val="21"/>
          <w:highlight w:val="none"/>
        </w:rPr>
        <w:t>费用</w:t>
      </w:r>
      <w:r>
        <w:rPr>
          <w:rFonts w:hint="eastAsia" w:ascii="Arial" w:hAnsi="宋体"/>
          <w:color w:val="auto"/>
          <w:szCs w:val="21"/>
          <w:highlight w:val="none"/>
        </w:rPr>
        <w:t>（包括但不限于</w:t>
      </w:r>
      <w:r>
        <w:rPr>
          <w:rFonts w:hint="eastAsia" w:ascii="宋体" w:hAnsi="宋体"/>
          <w:color w:val="auto"/>
          <w:szCs w:val="21"/>
          <w:highlight w:val="none"/>
        </w:rPr>
        <w:t>技术资料</w:t>
      </w:r>
      <w:r>
        <w:rPr>
          <w:rFonts w:ascii="宋体" w:hAnsi="宋体"/>
          <w:color w:val="auto"/>
          <w:szCs w:val="21"/>
          <w:highlight w:val="none"/>
        </w:rPr>
        <w:t>、</w:t>
      </w:r>
      <w:r>
        <w:rPr>
          <w:rFonts w:hint="eastAsia" w:ascii="宋体" w:hAnsi="宋体"/>
          <w:color w:val="auto"/>
          <w:szCs w:val="21"/>
          <w:highlight w:val="none"/>
        </w:rPr>
        <w:t>设计成果、</w:t>
      </w:r>
      <w:r>
        <w:rPr>
          <w:rFonts w:ascii="宋体" w:hAnsi="宋体"/>
          <w:color w:val="auto"/>
          <w:szCs w:val="21"/>
          <w:highlight w:val="none"/>
        </w:rPr>
        <w:t>人员培训</w:t>
      </w:r>
      <w:r>
        <w:rPr>
          <w:rFonts w:hint="eastAsia" w:ascii="宋体" w:hAnsi="宋体"/>
          <w:color w:val="auto"/>
          <w:szCs w:val="21"/>
          <w:highlight w:val="none"/>
        </w:rPr>
        <w:t>等</w:t>
      </w:r>
      <w:r>
        <w:rPr>
          <w:rFonts w:ascii="宋体" w:hAnsi="宋体"/>
          <w:color w:val="auto"/>
          <w:szCs w:val="21"/>
          <w:highlight w:val="none"/>
        </w:rPr>
        <w:t>发生的所有含税费用、支付给员工的工资和国家强制缴纳的各种社会保障资金</w:t>
      </w:r>
      <w:r>
        <w:rPr>
          <w:rFonts w:hint="eastAsia" w:ascii="Arial" w:hAnsi="宋体"/>
          <w:color w:val="auto"/>
          <w:szCs w:val="21"/>
          <w:highlight w:val="none"/>
        </w:rPr>
        <w:t>）</w:t>
      </w:r>
      <w:r>
        <w:rPr>
          <w:rFonts w:ascii="Arial" w:hAnsi="宋体"/>
          <w:color w:val="auto"/>
          <w:szCs w:val="21"/>
          <w:highlight w:val="none"/>
          <w:lang w:val="zh-CN"/>
        </w:rPr>
        <w:t>，</w:t>
      </w:r>
      <w:r>
        <w:rPr>
          <w:rFonts w:ascii="Arial" w:hAnsi="宋体"/>
          <w:bCs/>
          <w:color w:val="auto"/>
          <w:szCs w:val="21"/>
          <w:highlight w:val="none"/>
        </w:rPr>
        <w:t>以</w:t>
      </w:r>
      <w:r>
        <w:rPr>
          <w:rFonts w:ascii="Arial" w:hAnsi="宋体"/>
          <w:color w:val="auto"/>
          <w:szCs w:val="21"/>
          <w:highlight w:val="none"/>
        </w:rPr>
        <w:t>及</w:t>
      </w:r>
      <w:r>
        <w:rPr>
          <w:rFonts w:hint="eastAsia" w:ascii="Arial" w:hAnsi="宋体"/>
          <w:color w:val="auto"/>
          <w:szCs w:val="21"/>
          <w:highlight w:val="none"/>
        </w:rPr>
        <w:t>供应商</w:t>
      </w:r>
      <w:r>
        <w:rPr>
          <w:rFonts w:ascii="Arial" w:hAnsi="宋体"/>
          <w:color w:val="auto"/>
          <w:szCs w:val="21"/>
          <w:highlight w:val="none"/>
        </w:rPr>
        <w:t>认为需要的其他费用等</w:t>
      </w:r>
      <w:r>
        <w:rPr>
          <w:rFonts w:ascii="Arial" w:hAnsi="宋体"/>
          <w:b/>
          <w:color w:val="auto"/>
          <w:szCs w:val="21"/>
          <w:highlight w:val="none"/>
        </w:rPr>
        <w:t>。</w:t>
      </w:r>
    </w:p>
    <w:p w14:paraId="7F54F3B7">
      <w:pPr>
        <w:spacing w:line="360" w:lineRule="auto"/>
        <w:ind w:firstLine="420"/>
        <w:rPr>
          <w:rFonts w:ascii="Arial" w:hAnsi="Arial"/>
          <w:color w:val="auto"/>
          <w:szCs w:val="21"/>
          <w:highlight w:val="none"/>
          <w:lang w:val="zh-CN"/>
        </w:rPr>
      </w:pPr>
      <w:r>
        <w:rPr>
          <w:rFonts w:ascii="Arial" w:hAnsi="Arial"/>
          <w:color w:val="auto"/>
          <w:szCs w:val="21"/>
          <w:highlight w:val="none"/>
          <w:lang w:val="zh-CN"/>
        </w:rPr>
        <w:t>（3）</w:t>
      </w:r>
      <w:r>
        <w:rPr>
          <w:rFonts w:hint="eastAsia" w:ascii="宋体" w:hAnsi="宋体"/>
          <w:color w:val="auto"/>
          <w:szCs w:val="21"/>
          <w:highlight w:val="none"/>
          <w:lang w:val="zh-CN"/>
        </w:rPr>
        <w:t>供应商应在《报价一览表》《分项报价</w:t>
      </w:r>
      <w:r>
        <w:rPr>
          <w:rFonts w:hint="eastAsia" w:ascii="宋体" w:hAnsi="宋体"/>
          <w:color w:val="auto"/>
          <w:szCs w:val="21"/>
          <w:highlight w:val="none"/>
        </w:rPr>
        <w:t>表</w:t>
      </w:r>
      <w:r>
        <w:rPr>
          <w:rFonts w:hint="eastAsia" w:ascii="宋体" w:hAnsi="宋体"/>
          <w:color w:val="auto"/>
          <w:szCs w:val="21"/>
          <w:highlight w:val="none"/>
          <w:lang w:val="zh-CN"/>
        </w:rPr>
        <w:t>》等标明</w:t>
      </w:r>
      <w:r>
        <w:rPr>
          <w:rFonts w:hint="eastAsia" w:ascii="宋体" w:hAnsi="宋体"/>
          <w:color w:val="auto"/>
          <w:szCs w:val="21"/>
          <w:highlight w:val="none"/>
        </w:rPr>
        <w:t>标的</w:t>
      </w:r>
      <w:r>
        <w:rPr>
          <w:rFonts w:hint="eastAsia" w:ascii="宋体" w:hAnsi="宋体"/>
          <w:color w:val="auto"/>
          <w:szCs w:val="21"/>
          <w:highlight w:val="none"/>
          <w:lang w:val="zh-CN"/>
        </w:rPr>
        <w:t>的单价、总价以及分项报价</w:t>
      </w:r>
      <w:r>
        <w:rPr>
          <w:rFonts w:hint="eastAsia" w:ascii="宋体" w:hAnsi="宋体"/>
          <w:color w:val="auto"/>
          <w:szCs w:val="21"/>
          <w:highlight w:val="none"/>
        </w:rPr>
        <w:t>等</w:t>
      </w:r>
      <w:r>
        <w:rPr>
          <w:rFonts w:hint="eastAsia" w:ascii="宋体" w:hAnsi="宋体"/>
          <w:color w:val="auto"/>
          <w:szCs w:val="21"/>
          <w:highlight w:val="none"/>
          <w:lang w:val="zh-CN"/>
        </w:rPr>
        <w:t>。</w:t>
      </w:r>
    </w:p>
    <w:p w14:paraId="7916B807">
      <w:pPr>
        <w:widowControl/>
        <w:shd w:val="clear" w:color="auto" w:fill="FFFFFF"/>
        <w:spacing w:line="360" w:lineRule="auto"/>
        <w:ind w:firstLine="422"/>
        <w:rPr>
          <w:rFonts w:ascii="Arial" w:hAnsi="Arial"/>
          <w:b/>
          <w:color w:val="auto"/>
          <w:szCs w:val="21"/>
          <w:highlight w:val="none"/>
        </w:rPr>
      </w:pPr>
      <w:r>
        <w:rPr>
          <w:rFonts w:ascii="Arial" w:hAnsi="Arial"/>
          <w:b/>
          <w:color w:val="auto"/>
          <w:szCs w:val="21"/>
          <w:highlight w:val="none"/>
        </w:rPr>
        <w:t>（</w:t>
      </w:r>
      <w:r>
        <w:rPr>
          <w:rFonts w:hint="eastAsia" w:ascii="Arial" w:hAnsi="Arial"/>
          <w:b/>
          <w:color w:val="auto"/>
          <w:szCs w:val="21"/>
          <w:highlight w:val="none"/>
        </w:rPr>
        <w:t>4</w:t>
      </w:r>
      <w:r>
        <w:rPr>
          <w:rFonts w:ascii="Arial" w:hAnsi="Arial"/>
          <w:b/>
          <w:color w:val="auto"/>
          <w:szCs w:val="21"/>
          <w:highlight w:val="none"/>
        </w:rPr>
        <w:t>）响应文件所报的投标价格不得超过磋商文件规定的预算价、限价，超过磋商文件规定的，响应文件按无效处理。</w:t>
      </w:r>
    </w:p>
    <w:p w14:paraId="779ECAD1">
      <w:pPr>
        <w:spacing w:line="360" w:lineRule="auto"/>
        <w:ind w:firstLine="420"/>
        <w:rPr>
          <w:rFonts w:ascii="Arial" w:hAnsi="Arial"/>
          <w:color w:val="auto"/>
          <w:szCs w:val="21"/>
          <w:highlight w:val="none"/>
          <w:lang w:val="zh-CN"/>
        </w:rPr>
      </w:pPr>
      <w:r>
        <w:rPr>
          <w:rFonts w:ascii="Arial" w:hAnsi="Arial"/>
          <w:color w:val="auto"/>
          <w:szCs w:val="21"/>
          <w:highlight w:val="none"/>
          <w:lang w:val="zh-CN"/>
        </w:rPr>
        <w:t>（</w:t>
      </w:r>
      <w:r>
        <w:rPr>
          <w:rFonts w:hint="eastAsia" w:ascii="Arial" w:hAnsi="Arial"/>
          <w:color w:val="auto"/>
          <w:szCs w:val="21"/>
          <w:highlight w:val="none"/>
        </w:rPr>
        <w:t>5</w:t>
      </w:r>
      <w:r>
        <w:rPr>
          <w:rFonts w:ascii="Arial" w:hAnsi="Arial"/>
          <w:color w:val="auto"/>
          <w:szCs w:val="21"/>
          <w:highlight w:val="none"/>
          <w:lang w:val="zh-CN"/>
        </w:rPr>
        <w:t>）经磋商后，如果成交价低于供应商</w:t>
      </w:r>
      <w:r>
        <w:rPr>
          <w:rFonts w:hint="eastAsia" w:ascii="Arial" w:hAnsi="Arial"/>
          <w:color w:val="auto"/>
          <w:szCs w:val="21"/>
          <w:highlight w:val="none"/>
        </w:rPr>
        <w:t>首次</w:t>
      </w:r>
      <w:r>
        <w:rPr>
          <w:rFonts w:ascii="Arial" w:hAnsi="Arial"/>
          <w:color w:val="auto"/>
          <w:szCs w:val="21"/>
          <w:highlight w:val="none"/>
          <w:lang w:val="zh-CN"/>
        </w:rPr>
        <w:t>响应报价的话，除特别注明外，分项报价同比例调整。</w:t>
      </w:r>
    </w:p>
    <w:p w14:paraId="21D7B1E2">
      <w:pPr>
        <w:spacing w:line="360" w:lineRule="auto"/>
        <w:ind w:firstLine="420"/>
        <w:rPr>
          <w:rFonts w:ascii="Arial" w:hAnsi="Arial"/>
          <w:b/>
          <w:bCs/>
          <w:color w:val="auto"/>
          <w:szCs w:val="21"/>
          <w:highlight w:val="none"/>
        </w:rPr>
      </w:pPr>
      <w:r>
        <w:rPr>
          <w:rFonts w:hint="eastAsia" w:ascii="Arial" w:hAnsi="Arial"/>
          <w:b/>
          <w:bCs/>
          <w:color w:val="auto"/>
          <w:szCs w:val="21"/>
          <w:highlight w:val="none"/>
        </w:rPr>
        <w:t>（6）评标委员会启动异常低价投标审查的情形和具体要求</w:t>
      </w:r>
    </w:p>
    <w:p w14:paraId="6ACFEB9D">
      <w:pPr>
        <w:widowControl/>
        <w:shd w:val="clear" w:color="auto" w:fill="FFFFFF"/>
        <w:spacing w:line="360" w:lineRule="auto"/>
        <w:ind w:firstLine="422"/>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评标过程中出现下列情形之一的，评标委员会应当启动异常低价投标审查程序： </w:t>
      </w:r>
    </w:p>
    <w:p w14:paraId="458ECEEF">
      <w:pPr>
        <w:widowControl/>
        <w:spacing w:line="360" w:lineRule="auto"/>
        <w:ind w:firstLine="420"/>
        <w:rPr>
          <w:rFonts w:hint="eastAsia" w:ascii="宋体" w:hAnsi="宋体" w:cs="宋体"/>
          <w:b/>
          <w:bCs/>
          <w:color w:val="auto"/>
          <w:szCs w:val="21"/>
          <w:highlight w:val="none"/>
        </w:rPr>
      </w:pPr>
      <w:r>
        <w:rPr>
          <w:rFonts w:hint="eastAsia" w:ascii="宋体" w:hAnsi="宋体" w:cs="宋体"/>
          <w:b/>
          <w:bCs/>
          <w:color w:val="auto"/>
          <w:szCs w:val="21"/>
          <w:highlight w:val="none"/>
        </w:rPr>
        <w:t>（1）投标报价低于全部通过符合性审查投标人投标报价平均值50%的，即投标报价&lt;全部通过符合性审查投标人投标报价平均值×50%；</w:t>
      </w:r>
    </w:p>
    <w:p w14:paraId="12A58C0E">
      <w:pPr>
        <w:widowControl/>
        <w:spacing w:line="360" w:lineRule="auto"/>
        <w:ind w:firstLine="420"/>
        <w:rPr>
          <w:rFonts w:hint="eastAsia" w:ascii="宋体" w:hAnsi="宋体" w:cs="宋体"/>
          <w:b/>
          <w:bCs/>
          <w:color w:val="auto"/>
          <w:szCs w:val="21"/>
          <w:highlight w:val="none"/>
        </w:rPr>
      </w:pPr>
      <w:r>
        <w:rPr>
          <w:rFonts w:hint="eastAsia" w:ascii="宋体" w:hAnsi="宋体" w:cs="宋体"/>
          <w:b/>
          <w:bCs/>
          <w:color w:val="auto"/>
          <w:szCs w:val="21"/>
          <w:highlight w:val="none"/>
        </w:rPr>
        <w:t>（2）投标报价低于通过符合性审查的次低报价投标人投标报价50%的，即投标报价&lt;通过符合性审查的次低报价投标人投标报价×50%；</w:t>
      </w:r>
    </w:p>
    <w:p w14:paraId="73FAB7C5">
      <w:pPr>
        <w:widowControl/>
        <w:spacing w:line="360" w:lineRule="auto"/>
        <w:ind w:firstLine="420"/>
        <w:rPr>
          <w:rFonts w:hint="eastAsia" w:ascii="宋体" w:hAnsi="宋体" w:cs="宋体"/>
          <w:b/>
          <w:bCs/>
          <w:color w:val="auto"/>
          <w:szCs w:val="21"/>
          <w:highlight w:val="none"/>
        </w:rPr>
      </w:pPr>
      <w:r>
        <w:rPr>
          <w:rFonts w:hint="eastAsia" w:ascii="宋体" w:hAnsi="宋体" w:cs="宋体"/>
          <w:b/>
          <w:bCs/>
          <w:color w:val="auto"/>
          <w:szCs w:val="21"/>
          <w:highlight w:val="none"/>
        </w:rPr>
        <w:t>（3）投标报价低于本项目最高限价45%的，即投标报价&lt;本项目最高限价×45%；</w:t>
      </w:r>
    </w:p>
    <w:p w14:paraId="7468F3BA">
      <w:pPr>
        <w:widowControl/>
        <w:spacing w:line="360" w:lineRule="auto"/>
        <w:ind w:firstLine="420"/>
        <w:rPr>
          <w:rFonts w:hint="eastAsia" w:ascii="宋体" w:hAnsi="宋体" w:cs="宋体"/>
          <w:b/>
          <w:bCs/>
          <w:color w:val="auto"/>
          <w:szCs w:val="21"/>
          <w:highlight w:val="none"/>
        </w:rPr>
      </w:pPr>
      <w:r>
        <w:rPr>
          <w:rFonts w:hint="eastAsia" w:ascii="宋体" w:hAnsi="宋体" w:cs="宋体"/>
          <w:b/>
          <w:bCs/>
          <w:color w:val="auto"/>
          <w:szCs w:val="21"/>
          <w:highlight w:val="none"/>
        </w:rPr>
        <w:t>（4）评标委员会基于专业判断，认为投标人报价过低，有可能影响产品质量或者不能诚信履约的其他情形。</w:t>
      </w:r>
    </w:p>
    <w:p w14:paraId="795B2DD0">
      <w:pPr>
        <w:widowControl/>
        <w:spacing w:line="360" w:lineRule="auto"/>
        <w:ind w:firstLine="420"/>
        <w:rPr>
          <w:rFonts w:hint="eastAsia" w:ascii="宋体" w:hAnsi="宋体" w:cs="宋体"/>
          <w:b/>
          <w:bCs/>
          <w:color w:val="auto"/>
          <w:szCs w:val="21"/>
          <w:highlight w:val="none"/>
        </w:rPr>
      </w:pPr>
      <w:r>
        <w:rPr>
          <w:rFonts w:hint="eastAsia" w:ascii="宋体" w:hAnsi="宋体" w:cs="宋体"/>
          <w:b/>
          <w:bCs/>
          <w:color w:val="auto"/>
          <w:szCs w:val="21"/>
          <w:highlight w:val="none"/>
        </w:rPr>
        <w:t>评标委员会启动异常低价投标审查后，属于（6）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6）条第（3）项情形的，供应商已随投标文件一并提交相关书面说明及必要的证明材料的，在评标现场可不再重复提交。</w:t>
      </w:r>
    </w:p>
    <w:p w14:paraId="39F97F85">
      <w:pPr>
        <w:widowControl/>
        <w:spacing w:line="360" w:lineRule="auto"/>
        <w:ind w:firstLine="420"/>
        <w:rPr>
          <w:rFonts w:hint="eastAsia" w:ascii="宋体" w:hAnsi="宋体" w:cs="宋体"/>
          <w:b/>
          <w:bCs/>
          <w:color w:val="auto"/>
          <w:szCs w:val="21"/>
          <w:highlight w:val="none"/>
        </w:rPr>
      </w:pPr>
      <w:r>
        <w:rPr>
          <w:rFonts w:hint="eastAsia" w:ascii="宋体" w:hAnsi="宋体" w:cs="宋体"/>
          <w:b/>
          <w:bCs/>
          <w:color w:val="auto"/>
          <w:szCs w:val="21"/>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339DEE01">
      <w:pPr>
        <w:widowControl/>
        <w:spacing w:line="360" w:lineRule="auto"/>
        <w:ind w:firstLine="420"/>
        <w:rPr>
          <w:rFonts w:ascii="Arial" w:hAnsi="Arial"/>
          <w:b/>
          <w:bCs/>
          <w:color w:val="auto"/>
          <w:szCs w:val="21"/>
          <w:highlight w:val="none"/>
          <w:lang w:val="zh-CN"/>
        </w:rPr>
      </w:pPr>
      <w:r>
        <w:rPr>
          <w:rFonts w:hint="eastAsia" w:ascii="宋体" w:hAnsi="宋体" w:cs="宋体"/>
          <w:b/>
          <w:bCs/>
          <w:color w:val="auto"/>
          <w:szCs w:val="21"/>
          <w:highlight w:val="none"/>
        </w:rPr>
        <w:t>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auto"/>
          <w:szCs w:val="21"/>
          <w:highlight w:val="none"/>
        </w:rPr>
        <w:t>。</w:t>
      </w:r>
    </w:p>
    <w:p w14:paraId="4CC06A4A">
      <w:pPr>
        <w:spacing w:line="360" w:lineRule="auto"/>
        <w:ind w:firstLine="420"/>
        <w:rPr>
          <w:rFonts w:ascii="Arial" w:hAnsi="Arial"/>
          <w:color w:val="auto"/>
          <w:szCs w:val="21"/>
          <w:highlight w:val="none"/>
          <w:lang w:val="zh-CN"/>
        </w:rPr>
      </w:pPr>
      <w:r>
        <w:rPr>
          <w:rFonts w:hint="eastAsia" w:ascii="Arial" w:hAnsi="Arial"/>
          <w:color w:val="auto"/>
          <w:szCs w:val="21"/>
          <w:highlight w:val="none"/>
        </w:rPr>
        <w:t>7</w:t>
      </w:r>
      <w:r>
        <w:rPr>
          <w:rFonts w:ascii="Arial" w:hAnsi="Arial"/>
          <w:color w:val="auto"/>
          <w:szCs w:val="21"/>
          <w:highlight w:val="none"/>
          <w:lang w:val="zh-CN"/>
        </w:rPr>
        <w:t>.7 磋商响应文件的其他部分。其他部分由供应商根据编制磋商响应文件需要提供的其他相关文件组成。</w:t>
      </w:r>
    </w:p>
    <w:p w14:paraId="0CBA6F21">
      <w:pPr>
        <w:spacing w:line="360" w:lineRule="auto"/>
        <w:ind w:firstLine="420"/>
        <w:rPr>
          <w:rFonts w:ascii="Arial" w:hAnsi="Arial"/>
          <w:color w:val="auto"/>
          <w:szCs w:val="21"/>
          <w:highlight w:val="none"/>
        </w:rPr>
      </w:pPr>
      <w:r>
        <w:rPr>
          <w:rFonts w:hint="eastAsia" w:ascii="Arial" w:hAnsi="Arial"/>
          <w:color w:val="auto"/>
          <w:szCs w:val="21"/>
          <w:highlight w:val="none"/>
        </w:rPr>
        <w:t xml:space="preserve">7.8 </w:t>
      </w:r>
      <w:r>
        <w:rPr>
          <w:rFonts w:hint="eastAsia" w:ascii="Arial" w:hAnsi="Arial"/>
          <w:color w:val="auto"/>
          <w:szCs w:val="21"/>
          <w:highlight w:val="none"/>
          <w:lang w:val="zh-CN"/>
        </w:rPr>
        <w:t>如标书制作工具中格式和内容与“江苏政府采购网、中国政府采购网”发布的磋商文件不一致，以</w:t>
      </w:r>
      <w:r>
        <w:rPr>
          <w:rFonts w:hint="eastAsia" w:ascii="Arial" w:hAnsi="Arial"/>
          <w:color w:val="auto"/>
          <w:szCs w:val="21"/>
          <w:highlight w:val="none"/>
        </w:rPr>
        <w:t>上述网站</w:t>
      </w:r>
      <w:r>
        <w:rPr>
          <w:rFonts w:hint="eastAsia" w:ascii="Arial" w:hAnsi="Arial"/>
          <w:color w:val="auto"/>
          <w:szCs w:val="21"/>
          <w:highlight w:val="none"/>
          <w:lang w:val="zh-CN"/>
        </w:rPr>
        <w:t>发布的磋商文件为准。</w:t>
      </w:r>
    </w:p>
    <w:p w14:paraId="6745FB16">
      <w:pPr>
        <w:spacing w:line="360" w:lineRule="auto"/>
        <w:ind w:firstLine="422"/>
        <w:rPr>
          <w:rFonts w:ascii="Arial" w:hAnsi="Arial"/>
          <w:b/>
          <w:bCs/>
          <w:color w:val="auto"/>
          <w:szCs w:val="21"/>
          <w:highlight w:val="none"/>
        </w:rPr>
      </w:pPr>
      <w:r>
        <w:rPr>
          <w:rFonts w:hint="eastAsia" w:ascii="Arial" w:hAnsi="Arial"/>
          <w:b/>
          <w:bCs/>
          <w:color w:val="auto"/>
          <w:szCs w:val="21"/>
          <w:highlight w:val="none"/>
        </w:rPr>
        <w:t>8</w:t>
      </w:r>
      <w:r>
        <w:rPr>
          <w:rFonts w:ascii="Arial" w:hAnsi="Arial"/>
          <w:b/>
          <w:bCs/>
          <w:color w:val="auto"/>
          <w:szCs w:val="21"/>
          <w:highlight w:val="none"/>
          <w:lang w:val="zh-CN"/>
        </w:rPr>
        <w:t>、磋商保证金</w:t>
      </w:r>
    </w:p>
    <w:p w14:paraId="02BE5A61">
      <w:pPr>
        <w:spacing w:line="360" w:lineRule="auto"/>
        <w:ind w:firstLine="420"/>
        <w:rPr>
          <w:rFonts w:hint="eastAsia" w:ascii="宋体" w:hAnsi="宋体"/>
          <w:color w:val="auto"/>
          <w:szCs w:val="21"/>
          <w:highlight w:val="none"/>
          <w:lang w:val="zh-CN"/>
        </w:rPr>
      </w:pPr>
      <w:r>
        <w:rPr>
          <w:rFonts w:hint="eastAsia" w:ascii="宋体" w:hAnsi="宋体"/>
          <w:color w:val="auto"/>
          <w:szCs w:val="21"/>
          <w:highlight w:val="none"/>
          <w:lang w:val="zh-CN"/>
        </w:rPr>
        <w:t>本项目无需缴纳</w:t>
      </w:r>
      <w:r>
        <w:rPr>
          <w:rFonts w:hint="eastAsia" w:ascii="宋体" w:hAnsi="宋体"/>
          <w:color w:val="auto"/>
          <w:szCs w:val="21"/>
          <w:highlight w:val="none"/>
        </w:rPr>
        <w:t>磋商保证金</w:t>
      </w:r>
      <w:r>
        <w:rPr>
          <w:rFonts w:hint="eastAsia" w:ascii="宋体" w:hAnsi="宋体"/>
          <w:color w:val="auto"/>
          <w:szCs w:val="21"/>
          <w:highlight w:val="none"/>
          <w:lang w:val="zh-CN"/>
        </w:rPr>
        <w:t>。</w:t>
      </w:r>
    </w:p>
    <w:p w14:paraId="5B9DF77B">
      <w:pPr>
        <w:spacing w:line="360" w:lineRule="auto"/>
        <w:ind w:firstLine="422"/>
        <w:rPr>
          <w:rFonts w:ascii="Arial" w:hAnsi="Arial"/>
          <w:b/>
          <w:color w:val="auto"/>
          <w:szCs w:val="21"/>
          <w:highlight w:val="none"/>
        </w:rPr>
      </w:pPr>
      <w:r>
        <w:rPr>
          <w:rFonts w:ascii="Arial" w:hAnsi="Arial"/>
          <w:b/>
          <w:color w:val="auto"/>
          <w:szCs w:val="21"/>
          <w:highlight w:val="none"/>
        </w:rPr>
        <w:t>四</w:t>
      </w:r>
      <w:r>
        <w:rPr>
          <w:rFonts w:ascii="Arial" w:hAnsi="Arial"/>
          <w:b/>
          <w:color w:val="auto"/>
          <w:szCs w:val="21"/>
          <w:highlight w:val="none"/>
          <w:lang w:val="zh-CN"/>
        </w:rPr>
        <w:t>、磋商响应文件的递交</w:t>
      </w:r>
      <w:r>
        <w:rPr>
          <w:rFonts w:hint="eastAsia" w:ascii="Arial" w:hAnsi="Arial"/>
          <w:b/>
          <w:color w:val="auto"/>
          <w:szCs w:val="21"/>
          <w:highlight w:val="none"/>
          <w:lang w:val="zh-CN"/>
        </w:rPr>
        <w:t>与解密</w:t>
      </w:r>
    </w:p>
    <w:p w14:paraId="562C0506">
      <w:pPr>
        <w:spacing w:line="360" w:lineRule="auto"/>
        <w:ind w:firstLine="420"/>
        <w:rPr>
          <w:rFonts w:ascii="Arial" w:hAnsi="Arial"/>
          <w:color w:val="auto"/>
          <w:szCs w:val="21"/>
          <w:highlight w:val="none"/>
        </w:rPr>
      </w:pPr>
      <w:r>
        <w:rPr>
          <w:rFonts w:hint="eastAsia" w:ascii="Arial" w:hAnsi="Arial"/>
          <w:color w:val="auto"/>
          <w:szCs w:val="21"/>
          <w:highlight w:val="none"/>
        </w:rPr>
        <w:t>9</w:t>
      </w:r>
      <w:r>
        <w:rPr>
          <w:rFonts w:ascii="Arial" w:hAnsi="Arial"/>
          <w:color w:val="auto"/>
          <w:szCs w:val="21"/>
          <w:highlight w:val="none"/>
          <w:lang w:val="zh-CN"/>
        </w:rPr>
        <w:t>、</w:t>
      </w:r>
      <w:r>
        <w:rPr>
          <w:rFonts w:hint="eastAsia" w:ascii="Arial" w:hAnsi="Arial"/>
          <w:color w:val="auto"/>
          <w:szCs w:val="21"/>
          <w:highlight w:val="none"/>
          <w:lang w:val="zh-CN"/>
        </w:rPr>
        <w:t>响应文件递交与解密</w:t>
      </w:r>
    </w:p>
    <w:p w14:paraId="71C991C4">
      <w:pPr>
        <w:spacing w:line="360" w:lineRule="auto"/>
        <w:ind w:firstLine="420"/>
        <w:rPr>
          <w:rFonts w:ascii="Arial" w:hAnsi="Arial"/>
          <w:color w:val="auto"/>
          <w:szCs w:val="21"/>
          <w:highlight w:val="none"/>
        </w:rPr>
      </w:pPr>
      <w:r>
        <w:rPr>
          <w:rFonts w:hint="eastAsia" w:ascii="Arial" w:hAnsi="Arial"/>
          <w:color w:val="auto"/>
          <w:szCs w:val="21"/>
          <w:highlight w:val="none"/>
        </w:rPr>
        <w:t>9.1供应商应当按照《操作手册》的规定递交电子响应文件，在磋商响应截止时间前制作并上传电子响应文件。招标代理机构拒绝接收提交响应文件截止时间后上传的任何电子响应文件。</w:t>
      </w:r>
    </w:p>
    <w:p w14:paraId="5CE9FD32">
      <w:pPr>
        <w:spacing w:line="360" w:lineRule="auto"/>
        <w:ind w:firstLine="420"/>
        <w:rPr>
          <w:rFonts w:ascii="Arial" w:hAnsi="Arial"/>
          <w:color w:val="auto"/>
          <w:szCs w:val="21"/>
          <w:highlight w:val="none"/>
        </w:rPr>
      </w:pPr>
      <w:r>
        <w:rPr>
          <w:rFonts w:hint="eastAsia" w:ascii="Arial" w:hAnsi="Arial"/>
          <w:color w:val="auto"/>
          <w:szCs w:val="21"/>
          <w:highlight w:val="none"/>
        </w:rPr>
        <w:t>9.2 供应商应当按照《操作手册》规定，在“苏采云”系统规定的时间内对响应文件进行解密。</w:t>
      </w:r>
    </w:p>
    <w:p w14:paraId="17A33DB6">
      <w:pPr>
        <w:spacing w:line="360" w:lineRule="auto"/>
        <w:ind w:firstLine="420"/>
        <w:rPr>
          <w:rFonts w:ascii="Arial" w:hAnsi="Arial"/>
          <w:color w:val="auto"/>
          <w:szCs w:val="21"/>
          <w:highlight w:val="none"/>
        </w:rPr>
      </w:pPr>
      <w:r>
        <w:rPr>
          <w:rFonts w:hint="eastAsia" w:ascii="Arial" w:hAnsi="Arial"/>
          <w:color w:val="auto"/>
          <w:szCs w:val="21"/>
          <w:highlight w:val="none"/>
        </w:rPr>
        <w:t>9.3 供应商应充分考虑到网络环境、网络带宽等风险因素，如因供应商自身原因造成电子响应文件未在“苏采云”系统规定的时间内成功解密的，按照本磋商文件规定做无效响应处理。</w:t>
      </w:r>
    </w:p>
    <w:p w14:paraId="6C831AB9">
      <w:pPr>
        <w:spacing w:line="360" w:lineRule="auto"/>
        <w:ind w:firstLine="420"/>
        <w:rPr>
          <w:rFonts w:ascii="Arial" w:hAnsi="Arial"/>
          <w:color w:val="auto"/>
          <w:szCs w:val="21"/>
          <w:highlight w:val="none"/>
        </w:rPr>
      </w:pPr>
      <w:r>
        <w:rPr>
          <w:rFonts w:hint="eastAsia" w:ascii="Arial" w:hAnsi="Arial"/>
          <w:color w:val="auto"/>
          <w:szCs w:val="21"/>
          <w:highlight w:val="none"/>
        </w:rPr>
        <w:t>10</w:t>
      </w:r>
      <w:r>
        <w:rPr>
          <w:rFonts w:ascii="Arial" w:hAnsi="Arial"/>
          <w:color w:val="auto"/>
          <w:szCs w:val="21"/>
          <w:highlight w:val="none"/>
          <w:lang w:val="zh-CN"/>
        </w:rPr>
        <w:t>、</w:t>
      </w:r>
      <w:r>
        <w:rPr>
          <w:rFonts w:ascii="Arial" w:hAnsi="Arial"/>
          <w:b/>
          <w:bCs/>
          <w:color w:val="auto"/>
          <w:szCs w:val="21"/>
          <w:highlight w:val="none"/>
        </w:rPr>
        <w:t>联合体</w:t>
      </w:r>
    </w:p>
    <w:p w14:paraId="7CA52077">
      <w:pPr>
        <w:widowControl/>
        <w:shd w:val="clear" w:color="auto" w:fill="FFFFFF"/>
        <w:spacing w:line="360" w:lineRule="auto"/>
        <w:ind w:firstLine="420"/>
        <w:rPr>
          <w:rFonts w:ascii="Arial" w:hAnsi="Arial"/>
          <w:bCs/>
          <w:color w:val="auto"/>
          <w:szCs w:val="21"/>
          <w:highlight w:val="none"/>
        </w:rPr>
      </w:pPr>
      <w:r>
        <w:rPr>
          <w:rFonts w:hint="eastAsia" w:ascii="Arial" w:hAnsi="Arial"/>
          <w:bCs/>
          <w:color w:val="auto"/>
          <w:szCs w:val="21"/>
          <w:highlight w:val="none"/>
        </w:rPr>
        <w:t>10</w:t>
      </w:r>
      <w:r>
        <w:rPr>
          <w:rFonts w:ascii="Arial" w:hAnsi="Arial"/>
          <w:bCs/>
          <w:color w:val="auto"/>
          <w:szCs w:val="21"/>
          <w:highlight w:val="none"/>
        </w:rPr>
        <w:t>.1 两个以上的自然人、法人或者其他组织可以组成一个联合体，以一个</w:t>
      </w:r>
      <w:r>
        <w:rPr>
          <w:rFonts w:hint="eastAsia" w:ascii="Arial" w:hAnsi="Arial"/>
          <w:bCs/>
          <w:color w:val="auto"/>
          <w:szCs w:val="21"/>
          <w:highlight w:val="none"/>
        </w:rPr>
        <w:t>供应商</w:t>
      </w:r>
      <w:r>
        <w:rPr>
          <w:rFonts w:ascii="Arial" w:hAnsi="Arial"/>
          <w:bCs/>
          <w:color w:val="auto"/>
          <w:szCs w:val="21"/>
          <w:highlight w:val="none"/>
        </w:rPr>
        <w:t>的身份共同参加政府采购。</w:t>
      </w:r>
    </w:p>
    <w:p w14:paraId="65DB7FC5">
      <w:pPr>
        <w:widowControl/>
        <w:shd w:val="clear" w:color="auto" w:fill="FFFFFF"/>
        <w:spacing w:line="360" w:lineRule="auto"/>
        <w:ind w:firstLine="420"/>
        <w:rPr>
          <w:rFonts w:ascii="Arial" w:hAnsi="Arial"/>
          <w:bCs/>
          <w:color w:val="auto"/>
          <w:szCs w:val="21"/>
          <w:highlight w:val="none"/>
        </w:rPr>
      </w:pPr>
      <w:r>
        <w:rPr>
          <w:rFonts w:hint="eastAsia" w:ascii="Arial" w:hAnsi="Arial"/>
          <w:bCs/>
          <w:color w:val="auto"/>
          <w:szCs w:val="21"/>
          <w:highlight w:val="none"/>
        </w:rPr>
        <w:t>10</w:t>
      </w:r>
      <w:r>
        <w:rPr>
          <w:rFonts w:ascii="Arial" w:hAnsi="Arial"/>
          <w:bCs/>
          <w:color w:val="auto"/>
          <w:szCs w:val="21"/>
          <w:highlight w:val="none"/>
        </w:rPr>
        <w:t>.2 联合体中有同类资质的</w:t>
      </w:r>
      <w:r>
        <w:rPr>
          <w:rFonts w:hint="eastAsia" w:ascii="Arial" w:hAnsi="Arial"/>
          <w:bCs/>
          <w:color w:val="auto"/>
          <w:szCs w:val="21"/>
          <w:highlight w:val="none"/>
        </w:rPr>
        <w:t>供应商</w:t>
      </w:r>
      <w:r>
        <w:rPr>
          <w:rFonts w:ascii="Arial" w:hAnsi="Arial"/>
          <w:bCs/>
          <w:color w:val="auto"/>
          <w:szCs w:val="21"/>
          <w:highlight w:val="none"/>
        </w:rPr>
        <w:t>按照联合体分工承担相同工作的，按照资质等级较低的</w:t>
      </w:r>
      <w:r>
        <w:rPr>
          <w:rFonts w:hint="eastAsia" w:ascii="Arial" w:hAnsi="Arial"/>
          <w:bCs/>
          <w:color w:val="auto"/>
          <w:szCs w:val="21"/>
          <w:highlight w:val="none"/>
        </w:rPr>
        <w:t>供应商</w:t>
      </w:r>
      <w:r>
        <w:rPr>
          <w:rFonts w:ascii="Arial" w:hAnsi="Arial"/>
          <w:bCs/>
          <w:color w:val="auto"/>
          <w:szCs w:val="21"/>
          <w:highlight w:val="none"/>
        </w:rPr>
        <w:t>确定资质等级。</w:t>
      </w:r>
    </w:p>
    <w:p w14:paraId="30C1A33A">
      <w:pPr>
        <w:widowControl/>
        <w:shd w:val="clear" w:color="auto" w:fill="FFFFFF"/>
        <w:spacing w:line="360" w:lineRule="auto"/>
        <w:ind w:firstLine="420"/>
        <w:rPr>
          <w:rFonts w:ascii="Arial" w:hAnsi="Arial"/>
          <w:bCs/>
          <w:color w:val="auto"/>
          <w:szCs w:val="21"/>
          <w:highlight w:val="none"/>
        </w:rPr>
      </w:pPr>
      <w:r>
        <w:rPr>
          <w:rFonts w:hint="eastAsia" w:ascii="Arial" w:hAnsi="Arial"/>
          <w:bCs/>
          <w:color w:val="auto"/>
          <w:szCs w:val="21"/>
          <w:highlight w:val="none"/>
        </w:rPr>
        <w:t>10</w:t>
      </w:r>
      <w:r>
        <w:rPr>
          <w:rFonts w:ascii="Arial" w:hAnsi="Arial"/>
          <w:bCs/>
          <w:color w:val="auto"/>
          <w:szCs w:val="21"/>
          <w:highlight w:val="none"/>
        </w:rPr>
        <w:t>.3 联合体各方之间应当签订联合体协议，明确约定联合体各方承担的工作和相应的责任，并将联合体协议连同</w:t>
      </w:r>
      <w:r>
        <w:rPr>
          <w:rFonts w:hint="eastAsia" w:ascii="Arial" w:hAnsi="Arial"/>
          <w:bCs/>
          <w:color w:val="auto"/>
          <w:szCs w:val="21"/>
          <w:highlight w:val="none"/>
        </w:rPr>
        <w:t>响应</w:t>
      </w:r>
      <w:r>
        <w:rPr>
          <w:rFonts w:ascii="Arial" w:hAnsi="Arial"/>
          <w:bCs/>
          <w:color w:val="auto"/>
          <w:szCs w:val="21"/>
          <w:highlight w:val="none"/>
        </w:rPr>
        <w:t>文件一同提交。</w:t>
      </w:r>
    </w:p>
    <w:p w14:paraId="0F9FA8D0">
      <w:pPr>
        <w:spacing w:line="360" w:lineRule="auto"/>
        <w:ind w:firstLine="420"/>
        <w:rPr>
          <w:rFonts w:ascii="Arial" w:hAnsi="Arial"/>
          <w:bCs/>
          <w:color w:val="auto"/>
          <w:szCs w:val="21"/>
          <w:highlight w:val="none"/>
        </w:rPr>
      </w:pPr>
      <w:r>
        <w:rPr>
          <w:rFonts w:hint="eastAsia" w:ascii="Arial" w:hAnsi="Arial"/>
          <w:bCs/>
          <w:color w:val="auto"/>
          <w:szCs w:val="21"/>
          <w:highlight w:val="none"/>
        </w:rPr>
        <w:t>10</w:t>
      </w:r>
      <w:r>
        <w:rPr>
          <w:rFonts w:ascii="Arial" w:hAnsi="Arial"/>
          <w:bCs/>
          <w:color w:val="auto"/>
          <w:szCs w:val="21"/>
          <w:highlight w:val="none"/>
        </w:rPr>
        <w:t>.4 以联合体形式参加政府采购活动的，联合体各方不得再单独参加或者与其他</w:t>
      </w:r>
      <w:r>
        <w:rPr>
          <w:rFonts w:hint="eastAsia" w:ascii="Arial" w:hAnsi="Arial"/>
          <w:bCs/>
          <w:color w:val="auto"/>
          <w:szCs w:val="21"/>
          <w:highlight w:val="none"/>
        </w:rPr>
        <w:t>供应商</w:t>
      </w:r>
      <w:r>
        <w:rPr>
          <w:rFonts w:ascii="Arial" w:hAnsi="Arial"/>
          <w:bCs/>
          <w:color w:val="auto"/>
          <w:szCs w:val="21"/>
          <w:highlight w:val="none"/>
        </w:rPr>
        <w:t>另外组成联合体参加同一合同项下的政府采购活动。</w:t>
      </w:r>
    </w:p>
    <w:p w14:paraId="7B1BE4A3">
      <w:pPr>
        <w:spacing w:line="360" w:lineRule="auto"/>
        <w:ind w:firstLine="422"/>
        <w:rPr>
          <w:rFonts w:ascii="Arial" w:hAnsi="Arial"/>
          <w:b/>
          <w:bCs/>
          <w:color w:val="auto"/>
          <w:szCs w:val="21"/>
          <w:highlight w:val="none"/>
        </w:rPr>
      </w:pPr>
      <w:r>
        <w:rPr>
          <w:rFonts w:hint="eastAsia" w:ascii="Arial" w:hAnsi="Arial"/>
          <w:b/>
          <w:bCs/>
          <w:color w:val="auto"/>
          <w:szCs w:val="21"/>
          <w:highlight w:val="none"/>
        </w:rPr>
        <w:t>五</w:t>
      </w:r>
      <w:r>
        <w:rPr>
          <w:rFonts w:ascii="Arial" w:hAnsi="Arial"/>
          <w:b/>
          <w:bCs/>
          <w:color w:val="auto"/>
          <w:szCs w:val="21"/>
          <w:highlight w:val="none"/>
          <w:lang w:val="zh-CN"/>
        </w:rPr>
        <w:t>、磋商</w:t>
      </w:r>
    </w:p>
    <w:p w14:paraId="781F4071">
      <w:pPr>
        <w:spacing w:line="360" w:lineRule="auto"/>
        <w:ind w:firstLine="422"/>
        <w:rPr>
          <w:rFonts w:ascii="Arial" w:hAnsi="Arial"/>
          <w:b/>
          <w:bCs/>
          <w:color w:val="auto"/>
          <w:szCs w:val="21"/>
          <w:highlight w:val="none"/>
        </w:rPr>
      </w:pPr>
      <w:r>
        <w:rPr>
          <w:rFonts w:hint="eastAsia" w:ascii="Arial" w:hAnsi="Arial"/>
          <w:b/>
          <w:bCs/>
          <w:color w:val="auto"/>
          <w:szCs w:val="21"/>
          <w:highlight w:val="none"/>
        </w:rPr>
        <w:t>11、磋商有效期</w:t>
      </w:r>
    </w:p>
    <w:p w14:paraId="61F8195F">
      <w:pPr>
        <w:spacing w:line="360" w:lineRule="auto"/>
        <w:ind w:firstLine="420"/>
        <w:rPr>
          <w:rFonts w:ascii="Arial" w:hAnsi="Arial"/>
          <w:color w:val="auto"/>
          <w:szCs w:val="21"/>
          <w:highlight w:val="none"/>
          <w:lang w:val="zh-CN"/>
        </w:rPr>
      </w:pPr>
      <w:r>
        <w:rPr>
          <w:rFonts w:ascii="Arial" w:hAnsi="Arial"/>
          <w:color w:val="auto"/>
          <w:szCs w:val="21"/>
          <w:highlight w:val="none"/>
          <w:lang w:val="zh-CN"/>
        </w:rPr>
        <w:t>磋商有效期为90天，从提交磋商响应文件的截止之日起算。磋商响应文件中承诺的磋商有效期应当不少于磋商文件中载明的磋商有效期。</w:t>
      </w:r>
    </w:p>
    <w:p w14:paraId="05F24821">
      <w:pPr>
        <w:spacing w:line="360" w:lineRule="auto"/>
        <w:ind w:firstLine="422"/>
        <w:rPr>
          <w:rFonts w:ascii="Arial" w:hAnsi="Arial"/>
          <w:b/>
          <w:bCs/>
          <w:color w:val="auto"/>
          <w:szCs w:val="21"/>
          <w:highlight w:val="none"/>
        </w:rPr>
      </w:pPr>
      <w:r>
        <w:rPr>
          <w:rFonts w:hint="eastAsia" w:ascii="Arial" w:hAnsi="Arial"/>
          <w:b/>
          <w:bCs/>
          <w:color w:val="auto"/>
          <w:szCs w:val="21"/>
          <w:highlight w:val="none"/>
        </w:rPr>
        <w:t>12</w:t>
      </w:r>
      <w:r>
        <w:rPr>
          <w:rFonts w:ascii="Arial" w:hAnsi="Arial"/>
          <w:b/>
          <w:bCs/>
          <w:color w:val="auto"/>
          <w:szCs w:val="21"/>
          <w:highlight w:val="none"/>
          <w:lang w:val="zh-CN"/>
        </w:rPr>
        <w:t>、磋商组织</w:t>
      </w:r>
    </w:p>
    <w:p w14:paraId="3AC5BBB5">
      <w:pPr>
        <w:spacing w:line="360" w:lineRule="auto"/>
        <w:ind w:firstLine="420"/>
        <w:rPr>
          <w:rFonts w:ascii="Arial" w:hAnsi="Arial"/>
          <w:color w:val="auto"/>
          <w:szCs w:val="21"/>
          <w:highlight w:val="none"/>
          <w:lang w:val="zh-CN"/>
        </w:rPr>
      </w:pPr>
      <w:r>
        <w:rPr>
          <w:rFonts w:ascii="Arial" w:hAnsi="Arial"/>
          <w:color w:val="auto"/>
          <w:szCs w:val="21"/>
          <w:highlight w:val="none"/>
          <w:lang w:val="zh-CN"/>
        </w:rPr>
        <w:t>递交磋商响应文件时间截止后，采购代理机构在规定的时间和地点组织磋商小组分别与供应商进行磋商。具体磋商事务由依法组建的磋商小组负责。</w:t>
      </w:r>
    </w:p>
    <w:p w14:paraId="4EBEDE8D">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rPr>
        <w:t>3</w:t>
      </w:r>
      <w:r>
        <w:rPr>
          <w:rFonts w:ascii="Arial" w:hAnsi="Arial"/>
          <w:b/>
          <w:color w:val="auto"/>
          <w:szCs w:val="21"/>
          <w:highlight w:val="none"/>
          <w:lang w:val="zh-CN"/>
        </w:rPr>
        <w:t>、磋商程序</w:t>
      </w:r>
    </w:p>
    <w:p w14:paraId="0B6CB239">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3</w:t>
      </w:r>
      <w:r>
        <w:rPr>
          <w:rFonts w:ascii="Arial" w:hAnsi="Arial"/>
          <w:color w:val="auto"/>
          <w:szCs w:val="21"/>
          <w:highlight w:val="none"/>
          <w:lang w:val="zh-CN"/>
        </w:rPr>
        <w:t>.1 磋商小组审阅供应商所递交的响应文件，凡不具备资格条件的供应商不得进入磋商程序。</w:t>
      </w:r>
    </w:p>
    <w:p w14:paraId="63FDF6DE">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3</w:t>
      </w:r>
      <w:r>
        <w:rPr>
          <w:rFonts w:ascii="Arial" w:hAnsi="Arial"/>
          <w:color w:val="auto"/>
          <w:szCs w:val="21"/>
          <w:highlight w:val="none"/>
          <w:lang w:val="zh-CN"/>
        </w:rPr>
        <w:t xml:space="preserve">.2 </w:t>
      </w:r>
      <w:r>
        <w:rPr>
          <w:rFonts w:hint="eastAsia" w:ascii="Arial" w:hAnsi="Arial"/>
          <w:color w:val="auto"/>
          <w:szCs w:val="21"/>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14:paraId="20F48B67">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3</w:t>
      </w:r>
      <w:r>
        <w:rPr>
          <w:rFonts w:ascii="Arial" w:hAnsi="Arial"/>
          <w:color w:val="auto"/>
          <w:szCs w:val="21"/>
          <w:highlight w:val="none"/>
          <w:lang w:val="zh-CN"/>
        </w:rPr>
        <w:t>.3 磋商过程中，磋商小组可以根据磋商文件和磋商情况实质性变动采购需求中的技术、服务要求以及合同草案条款，但不得变动磋商文件中的其他内容。实质性变动的内容，须经采购人代表确认。</w:t>
      </w:r>
    </w:p>
    <w:p w14:paraId="60949F58">
      <w:pPr>
        <w:spacing w:line="360" w:lineRule="auto"/>
        <w:ind w:firstLine="420"/>
        <w:rPr>
          <w:rFonts w:ascii="Arial" w:hAnsi="Arial"/>
          <w:color w:val="auto"/>
          <w:szCs w:val="21"/>
          <w:highlight w:val="none"/>
          <w:lang w:val="zh-CN"/>
        </w:rPr>
      </w:pPr>
      <w:r>
        <w:rPr>
          <w:rFonts w:ascii="Arial" w:hAnsi="Arial"/>
          <w:color w:val="auto"/>
          <w:szCs w:val="21"/>
          <w:highlight w:val="none"/>
          <w:lang w:val="zh-CN"/>
        </w:rPr>
        <w:t>对磋商文件作出的实质性变动是磋商文件的有效组成部分，磋商小组应当及时以书面形式同时通知所有参加磋商的供应商。</w:t>
      </w:r>
    </w:p>
    <w:p w14:paraId="40B1E443">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3</w:t>
      </w:r>
      <w:r>
        <w:rPr>
          <w:rFonts w:ascii="Arial" w:hAnsi="Arial"/>
          <w:color w:val="auto"/>
          <w:szCs w:val="21"/>
          <w:highlight w:val="none"/>
          <w:lang w:val="zh-CN"/>
        </w:rPr>
        <w:t>.4 如磋商文件有实质性变动的，</w:t>
      </w:r>
      <w:r>
        <w:rPr>
          <w:rFonts w:hint="eastAsia" w:ascii="Arial" w:hAnsi="Arial"/>
          <w:color w:val="auto"/>
          <w:szCs w:val="21"/>
          <w:highlight w:val="none"/>
          <w:lang w:val="zh-CN"/>
        </w:rPr>
        <w:t>供应商应当按照磋商文件的变动情况和磋商小组的要求在苏采云系统中重新提交响应文件，并加盖电子公章</w:t>
      </w:r>
      <w:r>
        <w:rPr>
          <w:rFonts w:ascii="Arial" w:hAnsi="Arial"/>
          <w:color w:val="auto"/>
          <w:szCs w:val="21"/>
          <w:highlight w:val="none"/>
          <w:lang w:val="zh-CN"/>
        </w:rPr>
        <w:t>。</w:t>
      </w:r>
    </w:p>
    <w:p w14:paraId="038EAA65">
      <w:pPr>
        <w:spacing w:line="360" w:lineRule="auto"/>
        <w:ind w:firstLine="420"/>
        <w:rPr>
          <w:rFonts w:ascii="Arial" w:hAnsi="Arial"/>
          <w:color w:val="auto"/>
          <w:szCs w:val="21"/>
          <w:highlight w:val="none"/>
        </w:rPr>
      </w:pPr>
      <w:r>
        <w:rPr>
          <w:rFonts w:hint="eastAsia" w:ascii="Arial" w:hAnsi="Arial"/>
          <w:color w:val="auto"/>
          <w:szCs w:val="21"/>
          <w:highlight w:val="none"/>
        </w:rPr>
        <w:t xml:space="preserve">13.5 </w:t>
      </w:r>
      <w:r>
        <w:rPr>
          <w:rFonts w:hint="eastAsia" w:ascii="Arial" w:hAnsi="Arial"/>
          <w:color w:val="auto"/>
          <w:szCs w:val="21"/>
          <w:highlight w:val="none"/>
          <w:lang w:val="zh-CN"/>
        </w:rPr>
        <w:t>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auto"/>
          <w:szCs w:val="21"/>
          <w:highlight w:val="none"/>
        </w:rPr>
        <w:t>提交最后报价的供应商不得少于3家</w:t>
      </w:r>
      <w:r>
        <w:rPr>
          <w:rFonts w:hint="eastAsia" w:ascii="Arial" w:hAnsi="Arial"/>
          <w:color w:val="auto"/>
          <w:szCs w:val="21"/>
          <w:highlight w:val="none"/>
          <w:lang w:val="zh-CN"/>
        </w:rPr>
        <w:t>。最后报价是供应商响应文件的有效组成部分，</w:t>
      </w:r>
      <w:r>
        <w:rPr>
          <w:rFonts w:hint="eastAsia" w:ascii="Arial" w:hAnsi="Arial"/>
          <w:b/>
          <w:bCs/>
          <w:color w:val="auto"/>
          <w:szCs w:val="21"/>
          <w:highlight w:val="none"/>
        </w:rPr>
        <w:t>除项目扩大了供货范围，增加了采购内容、提高了技术要求外，原则上不得高于上一轮报价</w:t>
      </w:r>
      <w:r>
        <w:rPr>
          <w:rFonts w:hint="eastAsia" w:ascii="Arial" w:hAnsi="Arial"/>
          <w:b/>
          <w:bCs/>
          <w:color w:val="auto"/>
          <w:szCs w:val="21"/>
          <w:highlight w:val="none"/>
          <w:lang w:val="zh-CN"/>
        </w:rPr>
        <w:t>。</w:t>
      </w:r>
      <w:r>
        <w:rPr>
          <w:rFonts w:hint="eastAsia" w:ascii="Arial" w:hAnsi="Arial"/>
          <w:color w:val="auto"/>
          <w:szCs w:val="21"/>
          <w:highlight w:val="none"/>
          <w:lang w:val="zh-CN"/>
        </w:rPr>
        <w:t>符合《政府采购竞争性磋商采购</w:t>
      </w:r>
      <w:r>
        <w:rPr>
          <w:rFonts w:hint="eastAsia" w:ascii="Arial" w:hAnsi="Arial"/>
          <w:color w:val="auto"/>
          <w:szCs w:val="21"/>
          <w:highlight w:val="none"/>
        </w:rPr>
        <w:t>方式管</w:t>
      </w:r>
      <w:r>
        <w:rPr>
          <w:rFonts w:hint="eastAsia" w:ascii="Arial" w:hAnsi="Arial"/>
          <w:color w:val="auto"/>
          <w:szCs w:val="21"/>
          <w:highlight w:val="none"/>
          <w:lang w:val="zh-CN"/>
        </w:rPr>
        <w:t>理暂行办法》第三条第四项及《财政部关于竞争性磋商采购方式管理暂行办法有关问题的补充通知》（财库〔2015〕124号）规定情形的，提交最后报价的供应商可以为2家。</w:t>
      </w:r>
    </w:p>
    <w:p w14:paraId="132BA62F">
      <w:pPr>
        <w:spacing w:line="360" w:lineRule="auto"/>
        <w:ind w:firstLine="420"/>
        <w:rPr>
          <w:rFonts w:ascii="Arial" w:hAnsi="Arial"/>
          <w:color w:val="auto"/>
          <w:szCs w:val="21"/>
          <w:highlight w:val="none"/>
        </w:rPr>
      </w:pPr>
      <w:r>
        <w:rPr>
          <w:rFonts w:hint="eastAsia" w:ascii="Arial" w:hAnsi="Arial"/>
          <w:color w:val="auto"/>
          <w:szCs w:val="21"/>
          <w:highlight w:val="none"/>
        </w:rPr>
        <w:t>13.6 供应商未在磋商小组规定的时间内在</w:t>
      </w:r>
      <w:r>
        <w:rPr>
          <w:rFonts w:hint="eastAsia" w:ascii="Arial" w:hAnsi="Arial"/>
          <w:color w:val="auto"/>
          <w:szCs w:val="21"/>
          <w:highlight w:val="none"/>
          <w:lang w:val="zh-CN"/>
        </w:rPr>
        <w:t>“苏采云”</w:t>
      </w:r>
      <w:r>
        <w:rPr>
          <w:rFonts w:hint="eastAsia" w:ascii="Arial" w:hAnsi="Arial"/>
          <w:color w:val="auto"/>
          <w:szCs w:val="21"/>
          <w:highlight w:val="none"/>
        </w:rPr>
        <w:t>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color w:val="auto"/>
          <w:szCs w:val="21"/>
          <w:highlight w:val="none"/>
          <w:lang w:val="zh-CN"/>
        </w:rPr>
        <w:t>“苏采云”</w:t>
      </w:r>
      <w:r>
        <w:rPr>
          <w:rFonts w:hint="eastAsia" w:ascii="Arial" w:hAnsi="Arial"/>
          <w:color w:val="auto"/>
          <w:szCs w:val="21"/>
          <w:highlight w:val="none"/>
        </w:rPr>
        <w:t>系统中提交加盖电子公章的《退出磋商函》。</w:t>
      </w:r>
    </w:p>
    <w:p w14:paraId="0C93031D">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rPr>
        <w:t>3</w:t>
      </w:r>
      <w:r>
        <w:rPr>
          <w:rFonts w:ascii="Arial" w:hAnsi="Arial"/>
          <w:b/>
          <w:color w:val="auto"/>
          <w:szCs w:val="21"/>
          <w:highlight w:val="none"/>
          <w:lang w:val="zh-CN"/>
        </w:rPr>
        <w:t>.</w:t>
      </w:r>
      <w:r>
        <w:rPr>
          <w:rFonts w:ascii="Arial" w:hAnsi="Arial"/>
          <w:b/>
          <w:color w:val="auto"/>
          <w:szCs w:val="21"/>
          <w:highlight w:val="none"/>
        </w:rPr>
        <w:t>7</w:t>
      </w:r>
      <w:r>
        <w:rPr>
          <w:rFonts w:ascii="Arial" w:hAnsi="Arial"/>
          <w:b/>
          <w:color w:val="auto"/>
          <w:szCs w:val="21"/>
          <w:highlight w:val="none"/>
          <w:lang w:val="zh-CN"/>
        </w:rPr>
        <w:t xml:space="preserve"> 出现下列情形之一的响应文件按照无效处理：</w:t>
      </w:r>
    </w:p>
    <w:p w14:paraId="7EEB1F30">
      <w:pPr>
        <w:spacing w:line="360" w:lineRule="auto"/>
        <w:ind w:firstLine="420"/>
        <w:rPr>
          <w:rFonts w:ascii="Arial" w:hAnsi="Arial"/>
          <w:color w:val="auto"/>
          <w:szCs w:val="21"/>
          <w:highlight w:val="none"/>
        </w:rPr>
      </w:pPr>
      <w:r>
        <w:rPr>
          <w:rFonts w:ascii="Arial" w:hAnsi="Arial"/>
          <w:color w:val="auto"/>
          <w:szCs w:val="21"/>
          <w:highlight w:val="none"/>
        </w:rPr>
        <w:t>（</w:t>
      </w:r>
      <w:r>
        <w:rPr>
          <w:rFonts w:hint="eastAsia" w:ascii="Arial" w:hAnsi="Arial"/>
          <w:color w:val="auto"/>
          <w:szCs w:val="21"/>
          <w:highlight w:val="none"/>
        </w:rPr>
        <w:t>1</w:t>
      </w:r>
      <w:r>
        <w:rPr>
          <w:rFonts w:ascii="Arial" w:hAnsi="Arial"/>
          <w:color w:val="auto"/>
          <w:szCs w:val="21"/>
          <w:highlight w:val="none"/>
        </w:rPr>
        <w:t>）</w:t>
      </w:r>
      <w:r>
        <w:rPr>
          <w:rFonts w:hint="eastAsia" w:ascii="Arial" w:hAnsi="Arial"/>
          <w:color w:val="auto"/>
          <w:szCs w:val="21"/>
          <w:highlight w:val="none"/>
        </w:rPr>
        <w:t>响应文件所报的投标价格超过磋商文件规定预算及最高限价的；</w:t>
      </w:r>
      <w:r>
        <w:rPr>
          <w:rFonts w:ascii="Arial" w:hAnsi="Arial"/>
          <w:color w:val="auto"/>
          <w:szCs w:val="21"/>
          <w:highlight w:val="none"/>
        </w:rPr>
        <w:t xml:space="preserve"> </w:t>
      </w:r>
    </w:p>
    <w:p w14:paraId="1D18625C">
      <w:pPr>
        <w:spacing w:line="360" w:lineRule="auto"/>
        <w:ind w:firstLine="420"/>
        <w:rPr>
          <w:rFonts w:ascii="Arial" w:hAnsi="Arial"/>
          <w:color w:val="auto"/>
          <w:szCs w:val="21"/>
          <w:highlight w:val="none"/>
        </w:rPr>
      </w:pPr>
      <w:r>
        <w:rPr>
          <w:rFonts w:ascii="Arial" w:hAnsi="Arial"/>
          <w:color w:val="auto"/>
          <w:szCs w:val="21"/>
          <w:highlight w:val="none"/>
        </w:rPr>
        <w:t>（</w:t>
      </w:r>
      <w:r>
        <w:rPr>
          <w:rFonts w:hint="eastAsia" w:ascii="Arial" w:hAnsi="Arial"/>
          <w:color w:val="auto"/>
          <w:szCs w:val="21"/>
          <w:highlight w:val="none"/>
        </w:rPr>
        <w:t>2</w:t>
      </w:r>
      <w:r>
        <w:rPr>
          <w:rFonts w:ascii="Arial" w:hAnsi="Arial"/>
          <w:color w:val="auto"/>
          <w:szCs w:val="21"/>
          <w:highlight w:val="none"/>
        </w:rPr>
        <w:t>）未实质性响应</w:t>
      </w:r>
      <w:r>
        <w:rPr>
          <w:rFonts w:hint="eastAsia" w:ascii="Arial" w:hAnsi="Arial"/>
          <w:color w:val="auto"/>
          <w:szCs w:val="21"/>
          <w:highlight w:val="none"/>
        </w:rPr>
        <w:t>磋商</w:t>
      </w:r>
      <w:r>
        <w:rPr>
          <w:rFonts w:ascii="Arial" w:hAnsi="Arial"/>
          <w:color w:val="auto"/>
          <w:szCs w:val="21"/>
          <w:highlight w:val="none"/>
        </w:rPr>
        <w:t>文件要求的；</w:t>
      </w:r>
      <w:r>
        <w:rPr>
          <w:rFonts w:hint="eastAsia" w:ascii="Arial" w:hAnsi="Arial"/>
          <w:b/>
          <w:color w:val="auto"/>
          <w:szCs w:val="21"/>
          <w:highlight w:val="none"/>
          <w:lang w:val="zh-CN"/>
        </w:rPr>
        <w:t>（</w:t>
      </w:r>
      <w:r>
        <w:rPr>
          <w:rFonts w:ascii="Arial" w:hAnsi="Arial"/>
          <w:b/>
          <w:bCs/>
          <w:color w:val="auto"/>
          <w:szCs w:val="21"/>
          <w:highlight w:val="none"/>
        </w:rPr>
        <w:t>实质性要求是指本磋商文件中用带星号（“</w:t>
      </w:r>
      <w:r>
        <w:rPr>
          <w:rFonts w:ascii="Arial" w:hAnsi="Arial"/>
          <w:b/>
          <w:bCs/>
          <w:color w:val="auto"/>
          <w:highlight w:val="none"/>
        </w:rPr>
        <w:t>*</w:t>
      </w:r>
      <w:r>
        <w:rPr>
          <w:rFonts w:ascii="Arial" w:hAnsi="Arial"/>
          <w:b/>
          <w:bCs/>
          <w:color w:val="auto"/>
          <w:szCs w:val="21"/>
          <w:highlight w:val="none"/>
        </w:rPr>
        <w:t>”）、“须（必须）”或“应（应当）”等其他文字说明的商务和技术要求。</w:t>
      </w:r>
      <w:r>
        <w:rPr>
          <w:rFonts w:hint="eastAsia" w:ascii="Arial" w:hAnsi="Arial"/>
          <w:b/>
          <w:color w:val="auto"/>
          <w:szCs w:val="21"/>
          <w:highlight w:val="none"/>
          <w:lang w:val="zh-CN"/>
        </w:rPr>
        <w:t>）</w:t>
      </w:r>
    </w:p>
    <w:p w14:paraId="4B8228E1">
      <w:pPr>
        <w:spacing w:line="360" w:lineRule="auto"/>
        <w:ind w:firstLine="420"/>
        <w:rPr>
          <w:rFonts w:ascii="Arial" w:hAnsi="Arial"/>
          <w:color w:val="auto"/>
          <w:szCs w:val="21"/>
          <w:highlight w:val="none"/>
          <w:lang w:val="zh-CN"/>
        </w:rPr>
      </w:pPr>
      <w:r>
        <w:rPr>
          <w:rFonts w:ascii="Arial" w:hAnsi="Arial"/>
          <w:color w:val="auto"/>
          <w:szCs w:val="21"/>
          <w:highlight w:val="none"/>
        </w:rPr>
        <w:t>（</w:t>
      </w:r>
      <w:r>
        <w:rPr>
          <w:rFonts w:hint="eastAsia" w:ascii="Arial" w:hAnsi="Arial"/>
          <w:color w:val="auto"/>
          <w:szCs w:val="21"/>
          <w:highlight w:val="none"/>
        </w:rPr>
        <w:t>3</w:t>
      </w:r>
      <w:r>
        <w:rPr>
          <w:rFonts w:ascii="Arial" w:hAnsi="Arial"/>
          <w:color w:val="auto"/>
          <w:szCs w:val="21"/>
          <w:highlight w:val="none"/>
        </w:rPr>
        <w:t>）</w:t>
      </w:r>
      <w:r>
        <w:rPr>
          <w:rFonts w:ascii="Arial" w:hAnsi="Arial"/>
          <w:color w:val="auto"/>
          <w:szCs w:val="21"/>
          <w:highlight w:val="none"/>
          <w:lang w:val="zh-CN"/>
        </w:rPr>
        <w:t>不符合法律、法规和磋商文件规定的其他实质性要求的</w:t>
      </w:r>
      <w:r>
        <w:rPr>
          <w:rFonts w:hint="eastAsia" w:ascii="Arial" w:hAnsi="Arial"/>
          <w:color w:val="auto"/>
          <w:szCs w:val="21"/>
          <w:highlight w:val="none"/>
          <w:lang w:val="zh-CN"/>
        </w:rPr>
        <w:t>；</w:t>
      </w:r>
    </w:p>
    <w:p w14:paraId="5B672830">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w:t>
      </w:r>
      <w:r>
        <w:rPr>
          <w:rFonts w:hint="eastAsia" w:ascii="Arial" w:hAnsi="Arial"/>
          <w:color w:val="auto"/>
          <w:szCs w:val="21"/>
          <w:highlight w:val="none"/>
        </w:rPr>
        <w:t>4</w:t>
      </w:r>
      <w:r>
        <w:rPr>
          <w:rFonts w:hint="eastAsia" w:ascii="Arial" w:hAnsi="Arial"/>
          <w:color w:val="auto"/>
          <w:szCs w:val="21"/>
          <w:highlight w:val="none"/>
          <w:lang w:val="zh-CN"/>
        </w:rPr>
        <w:t>）供应商在苏采云系统规定的时间内未成功解密电子响应文件；</w:t>
      </w:r>
    </w:p>
    <w:p w14:paraId="1F7D9B39">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w:t>
      </w:r>
      <w:r>
        <w:rPr>
          <w:rFonts w:hint="eastAsia" w:ascii="Arial" w:hAnsi="Arial"/>
          <w:color w:val="auto"/>
          <w:szCs w:val="21"/>
          <w:highlight w:val="none"/>
        </w:rPr>
        <w:t>5</w:t>
      </w:r>
      <w:r>
        <w:rPr>
          <w:rFonts w:hint="eastAsia" w:ascii="Arial" w:hAnsi="Arial"/>
          <w:color w:val="auto"/>
          <w:szCs w:val="21"/>
          <w:highlight w:val="none"/>
          <w:lang w:val="zh-CN"/>
        </w:rPr>
        <w:t>）供应商未按照磋商文件要求上传电子响应文件。</w:t>
      </w:r>
    </w:p>
    <w:p w14:paraId="30B88EC2">
      <w:pPr>
        <w:spacing w:line="360" w:lineRule="auto"/>
        <w:ind w:firstLine="420"/>
        <w:rPr>
          <w:rFonts w:ascii="Arial" w:hAnsi="Arial"/>
          <w:color w:val="auto"/>
          <w:szCs w:val="21"/>
          <w:highlight w:val="none"/>
        </w:rPr>
      </w:pPr>
      <w:r>
        <w:rPr>
          <w:rFonts w:hint="eastAsia" w:ascii="Arial" w:hAnsi="Arial"/>
          <w:color w:val="auto"/>
          <w:szCs w:val="21"/>
          <w:highlight w:val="none"/>
          <w:lang w:val="zh-CN"/>
        </w:rPr>
        <w:t>（</w:t>
      </w:r>
      <w:r>
        <w:rPr>
          <w:rFonts w:hint="eastAsia" w:ascii="Arial" w:hAnsi="Arial"/>
          <w:color w:val="auto"/>
          <w:szCs w:val="21"/>
          <w:highlight w:val="none"/>
        </w:rPr>
        <w:t>6</w:t>
      </w:r>
      <w:r>
        <w:rPr>
          <w:rFonts w:hint="eastAsia" w:ascii="Arial" w:hAnsi="Arial"/>
          <w:color w:val="auto"/>
          <w:szCs w:val="21"/>
          <w:highlight w:val="none"/>
          <w:lang w:val="zh-CN"/>
        </w:rPr>
        <w:t>）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p>
    <w:p w14:paraId="33497308">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rPr>
        <w:t>3</w:t>
      </w:r>
      <w:r>
        <w:rPr>
          <w:rFonts w:ascii="Arial" w:hAnsi="Arial"/>
          <w:b/>
          <w:color w:val="auto"/>
          <w:szCs w:val="21"/>
          <w:highlight w:val="none"/>
          <w:lang w:val="zh-CN"/>
        </w:rPr>
        <w:t>.8</w:t>
      </w:r>
      <w:r>
        <w:rPr>
          <w:rFonts w:ascii="Arial" w:hAnsi="Arial"/>
          <w:b/>
          <w:bCs/>
          <w:color w:val="auto"/>
          <w:szCs w:val="21"/>
          <w:highlight w:val="none"/>
          <w:lang w:val="zh-CN"/>
        </w:rPr>
        <w:t>出现下列情形之一的磋商终止：</w:t>
      </w:r>
    </w:p>
    <w:p w14:paraId="23CEC97B">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（1）因情况变化，不再符合规定的竞争性磋商采购方式适用情形的；</w:t>
      </w:r>
    </w:p>
    <w:p w14:paraId="4F1449C7">
      <w:pPr>
        <w:spacing w:line="360" w:lineRule="auto"/>
        <w:ind w:firstLine="420"/>
        <w:rPr>
          <w:rFonts w:ascii="Arial" w:hAnsi="Arial"/>
          <w:color w:val="auto"/>
          <w:szCs w:val="21"/>
          <w:highlight w:val="none"/>
          <w:lang w:val="zh-CN"/>
        </w:rPr>
      </w:pPr>
      <w:r>
        <w:rPr>
          <w:rFonts w:ascii="Arial" w:hAnsi="Arial"/>
          <w:color w:val="auto"/>
          <w:szCs w:val="21"/>
          <w:highlight w:val="none"/>
          <w:lang w:val="zh-CN"/>
        </w:rPr>
        <w:t>（2）出现影响采购公正的违法、违规行为的；</w:t>
      </w:r>
    </w:p>
    <w:p w14:paraId="585F25D1">
      <w:pPr>
        <w:spacing w:line="360" w:lineRule="auto"/>
        <w:ind w:firstLine="420"/>
        <w:rPr>
          <w:rFonts w:hint="eastAsia" w:ascii="宋体" w:hAnsi="宋体"/>
          <w:color w:val="auto"/>
          <w:szCs w:val="21"/>
          <w:highlight w:val="none"/>
          <w:lang w:val="zh-CN"/>
        </w:rPr>
      </w:pPr>
      <w:r>
        <w:rPr>
          <w:rFonts w:ascii="Arial" w:hAnsi="Arial"/>
          <w:color w:val="auto"/>
          <w:szCs w:val="21"/>
          <w:highlight w:val="none"/>
          <w:lang w:val="zh-CN"/>
        </w:rPr>
        <w:t>（3）</w:t>
      </w:r>
      <w:r>
        <w:rPr>
          <w:rFonts w:hint="eastAsia" w:ascii="宋体" w:hAnsi="宋体"/>
          <w:color w:val="auto"/>
          <w:szCs w:val="21"/>
          <w:highlight w:val="none"/>
          <w:lang w:val="zh-CN"/>
        </w:rPr>
        <w:t>除</w:t>
      </w:r>
      <w:r>
        <w:rPr>
          <w:rFonts w:hint="eastAsia" w:ascii="Arial" w:hAnsi="Arial"/>
          <w:color w:val="auto"/>
          <w:szCs w:val="21"/>
          <w:highlight w:val="none"/>
          <w:lang w:val="zh-CN"/>
        </w:rPr>
        <w:t>《政府采购竞争性磋商采购</w:t>
      </w:r>
      <w:r>
        <w:rPr>
          <w:rFonts w:hint="eastAsia" w:ascii="Arial" w:hAnsi="Arial"/>
          <w:color w:val="auto"/>
          <w:szCs w:val="21"/>
          <w:highlight w:val="none"/>
        </w:rPr>
        <w:t>方式管理</w:t>
      </w:r>
      <w:r>
        <w:rPr>
          <w:rFonts w:hint="eastAsia" w:ascii="Arial" w:hAnsi="Arial"/>
          <w:color w:val="auto"/>
          <w:szCs w:val="21"/>
          <w:highlight w:val="none"/>
          <w:lang w:val="zh-CN"/>
        </w:rPr>
        <w:t>暂行办法》第三条第四项及《财政部关于竞争性磋商采购方式管理暂行办法有关问题的补充通知》（财库〔2015〕124号）规定情形</w:t>
      </w:r>
      <w:r>
        <w:rPr>
          <w:rFonts w:hint="eastAsia" w:ascii="宋体" w:hAnsi="宋体"/>
          <w:color w:val="auto"/>
          <w:szCs w:val="21"/>
          <w:highlight w:val="none"/>
          <w:lang w:val="zh-CN"/>
        </w:rPr>
        <w:t>外，在采购过程中符合要求的供应商或者报价未超过采购预算的供应商不足3家的；</w:t>
      </w:r>
    </w:p>
    <w:p w14:paraId="553AAA8D">
      <w:pPr>
        <w:spacing w:line="360" w:lineRule="auto"/>
        <w:ind w:firstLine="420"/>
        <w:rPr>
          <w:rFonts w:ascii="Arial" w:hAnsi="Arial" w:cs="Arial"/>
          <w:color w:val="auto"/>
          <w:szCs w:val="21"/>
          <w:highlight w:val="none"/>
          <w:lang w:val="zh-CN"/>
        </w:rPr>
      </w:pPr>
      <w:r>
        <w:rPr>
          <w:rFonts w:hint="eastAsia" w:ascii="Arial" w:hAnsi="Arial" w:cs="Arial"/>
          <w:color w:val="auto"/>
          <w:szCs w:val="21"/>
          <w:highlight w:val="none"/>
        </w:rPr>
        <w:t>（4）</w:t>
      </w:r>
      <w:r>
        <w:rPr>
          <w:rFonts w:hint="eastAsia" w:ascii="Arial" w:hAnsi="Arial" w:cs="Arial"/>
          <w:color w:val="auto"/>
          <w:szCs w:val="21"/>
          <w:highlight w:val="none"/>
          <w:lang w:val="zh-CN"/>
        </w:rPr>
        <w:t>不符合法律、法规和磋商文件规定的其他实质性要求的；</w:t>
      </w:r>
    </w:p>
    <w:p w14:paraId="46ADC514">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rPr>
        <w:t>4</w:t>
      </w:r>
      <w:r>
        <w:rPr>
          <w:rFonts w:ascii="Arial" w:hAnsi="Arial"/>
          <w:b/>
          <w:color w:val="auto"/>
          <w:szCs w:val="21"/>
          <w:highlight w:val="none"/>
          <w:lang w:val="zh-CN"/>
        </w:rPr>
        <w:t>、</w:t>
      </w:r>
      <w:r>
        <w:rPr>
          <w:rFonts w:ascii="Arial" w:hAnsi="Arial"/>
          <w:b/>
          <w:bCs/>
          <w:color w:val="auto"/>
          <w:szCs w:val="21"/>
          <w:highlight w:val="none"/>
          <w:lang w:val="zh-CN"/>
        </w:rPr>
        <w:t>评分方法和标准</w:t>
      </w:r>
    </w:p>
    <w:p w14:paraId="136E72A6">
      <w:pPr>
        <w:widowControl/>
        <w:spacing w:line="360" w:lineRule="auto"/>
        <w:ind w:firstLine="420"/>
        <w:rPr>
          <w:rFonts w:ascii="Arial" w:hAnsi="Arial"/>
          <w:bCs/>
          <w:color w:val="auto"/>
          <w:szCs w:val="21"/>
          <w:highlight w:val="none"/>
          <w:lang w:val="zh-CN"/>
        </w:rPr>
      </w:pPr>
      <w:r>
        <w:rPr>
          <w:rFonts w:ascii="Arial" w:hAnsi="Arial"/>
          <w:bCs/>
          <w:color w:val="auto"/>
          <w:szCs w:val="21"/>
          <w:highlight w:val="none"/>
          <w:lang w:val="zh-CN"/>
        </w:rPr>
        <w:t>1</w:t>
      </w:r>
      <w:r>
        <w:rPr>
          <w:rFonts w:hint="eastAsia" w:ascii="Arial" w:hAnsi="Arial"/>
          <w:bCs/>
          <w:color w:val="auto"/>
          <w:szCs w:val="21"/>
          <w:highlight w:val="none"/>
        </w:rPr>
        <w:t>4</w:t>
      </w:r>
      <w:r>
        <w:rPr>
          <w:rFonts w:ascii="Arial" w:hAnsi="Arial"/>
          <w:bCs/>
          <w:color w:val="auto"/>
          <w:szCs w:val="21"/>
          <w:highlight w:val="none"/>
          <w:lang w:val="zh-CN"/>
        </w:rPr>
        <w:t xml:space="preserve">.1 </w:t>
      </w:r>
      <w:r>
        <w:rPr>
          <w:rFonts w:ascii="Arial" w:hAnsi="Arial"/>
          <w:color w:val="auto"/>
          <w:szCs w:val="21"/>
          <w:highlight w:val="none"/>
          <w:lang w:val="zh-CN"/>
        </w:rPr>
        <w:t>采用综合评分法。即</w:t>
      </w:r>
      <w:r>
        <w:rPr>
          <w:rFonts w:ascii="Arial" w:hAnsi="Arial"/>
          <w:color w:val="auto"/>
          <w:szCs w:val="21"/>
          <w:highlight w:val="none"/>
        </w:rPr>
        <w:t>在最大限度地满足磋商文件实质性要求前提下，按照磋商文件中规定的各项因素进行综合评审后，以评审总得分最高的供应商作为成交候选供应商或者成交供应商的评分方法。</w:t>
      </w:r>
    </w:p>
    <w:p w14:paraId="0F3110BE">
      <w:pPr>
        <w:spacing w:line="360" w:lineRule="auto"/>
        <w:ind w:firstLine="422"/>
        <w:rPr>
          <w:rFonts w:ascii="Arial" w:hAnsi="Arial"/>
          <w:b/>
          <w:bCs/>
          <w:color w:val="auto"/>
          <w:szCs w:val="21"/>
          <w:highlight w:val="none"/>
        </w:rPr>
      </w:pPr>
      <w:r>
        <w:rPr>
          <w:rFonts w:hint="eastAsia" w:ascii="Arial" w:hAnsi="Arial"/>
          <w:bCs/>
          <w:color w:val="auto"/>
          <w:szCs w:val="21"/>
          <w:highlight w:val="none"/>
        </w:rPr>
        <w:t>14</w:t>
      </w:r>
      <w:r>
        <w:rPr>
          <w:rFonts w:ascii="Arial" w:hAnsi="Arial"/>
          <w:bCs/>
          <w:color w:val="auto"/>
          <w:szCs w:val="21"/>
          <w:highlight w:val="none"/>
          <w:lang w:val="zh-CN"/>
        </w:rPr>
        <w:t xml:space="preserve">.2 </w:t>
      </w:r>
      <w:r>
        <w:rPr>
          <w:rFonts w:ascii="Arial" w:hAnsi="Arial"/>
          <w:color w:val="auto"/>
          <w:szCs w:val="21"/>
          <w:highlight w:val="none"/>
        </w:rPr>
        <w:t>综合评分的</w:t>
      </w:r>
      <w:r>
        <w:rPr>
          <w:rFonts w:ascii="Arial" w:hAnsi="Arial"/>
          <w:color w:val="auto"/>
          <w:szCs w:val="21"/>
          <w:highlight w:val="none"/>
          <w:lang w:val="zh-CN"/>
        </w:rPr>
        <w:t>主要因素是</w:t>
      </w:r>
      <w:r>
        <w:rPr>
          <w:rFonts w:ascii="Arial" w:hAnsi="Arial"/>
          <w:bCs/>
          <w:color w:val="auto"/>
          <w:szCs w:val="21"/>
          <w:highlight w:val="none"/>
          <w:lang w:val="zh-CN"/>
        </w:rPr>
        <w:t>：</w:t>
      </w:r>
      <w:r>
        <w:rPr>
          <w:rFonts w:ascii="Arial" w:hAnsi="Arial"/>
          <w:color w:val="auto"/>
          <w:szCs w:val="21"/>
          <w:highlight w:val="none"/>
        </w:rPr>
        <w:t>价格、</w:t>
      </w:r>
      <w:r>
        <w:rPr>
          <w:rFonts w:hint="eastAsia" w:ascii="Arial" w:hAnsi="Arial"/>
          <w:color w:val="auto"/>
          <w:szCs w:val="21"/>
          <w:highlight w:val="none"/>
        </w:rPr>
        <w:t>技术、商务</w:t>
      </w:r>
      <w:r>
        <w:rPr>
          <w:rFonts w:ascii="Arial" w:hAnsi="Arial"/>
          <w:color w:val="auto"/>
          <w:szCs w:val="21"/>
          <w:highlight w:val="none"/>
        </w:rPr>
        <w:t>等。</w:t>
      </w:r>
    </w:p>
    <w:p w14:paraId="685BF29B">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4</w:t>
      </w:r>
      <w:r>
        <w:rPr>
          <w:rFonts w:ascii="Arial" w:hAnsi="Arial"/>
          <w:color w:val="auto"/>
          <w:szCs w:val="21"/>
          <w:highlight w:val="none"/>
        </w:rPr>
        <w:t>.3 评分标准详见第三章。</w:t>
      </w:r>
    </w:p>
    <w:p w14:paraId="2A771D3F">
      <w:pPr>
        <w:widowControl/>
        <w:shd w:val="clear" w:color="auto" w:fill="FFFFFF"/>
        <w:spacing w:line="360" w:lineRule="auto"/>
        <w:ind w:firstLine="422"/>
        <w:rPr>
          <w:rFonts w:ascii="Arial" w:hAnsi="Arial"/>
          <w:b/>
          <w:color w:val="auto"/>
          <w:szCs w:val="21"/>
          <w:highlight w:val="none"/>
        </w:rPr>
      </w:pPr>
      <w:r>
        <w:rPr>
          <w:rFonts w:ascii="Arial" w:hAnsi="Arial"/>
          <w:b/>
          <w:color w:val="auto"/>
          <w:szCs w:val="21"/>
          <w:highlight w:val="none"/>
        </w:rPr>
        <w:t>1</w:t>
      </w:r>
      <w:r>
        <w:rPr>
          <w:rFonts w:hint="eastAsia" w:ascii="Arial" w:hAnsi="Arial"/>
          <w:b/>
          <w:color w:val="auto"/>
          <w:szCs w:val="21"/>
          <w:highlight w:val="none"/>
        </w:rPr>
        <w:t>5</w:t>
      </w:r>
      <w:r>
        <w:rPr>
          <w:rFonts w:ascii="Arial" w:hAnsi="Arial"/>
          <w:b/>
          <w:color w:val="auto"/>
          <w:szCs w:val="21"/>
          <w:highlight w:val="none"/>
        </w:rPr>
        <w:t>、确定成交供应商</w:t>
      </w:r>
    </w:p>
    <w:p w14:paraId="36A9B3CF">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5</w:t>
      </w:r>
      <w:r>
        <w:rPr>
          <w:rFonts w:ascii="Arial" w:hAnsi="Arial"/>
          <w:color w:val="auto"/>
          <w:szCs w:val="21"/>
          <w:highlight w:val="none"/>
        </w:rPr>
        <w:t>.1综合比较与评价后按照得分高低顺序对供应商进行排列。评审得分相同的，按照最后报价由低到高顺序排列。评审得分且最后报价相同的，按技术指标优劣顺序排列。评标委员会将综合排名第一的供应商确定为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color w:val="auto"/>
          <w:szCs w:val="21"/>
          <w:highlight w:val="none"/>
        </w:rPr>
        <w:t>成交供应商</w:t>
      </w:r>
      <w:r>
        <w:rPr>
          <w:rFonts w:ascii="Arial" w:hAnsi="Arial"/>
          <w:color w:val="auto"/>
          <w:szCs w:val="21"/>
          <w:highlight w:val="none"/>
        </w:rPr>
        <w:t>。</w:t>
      </w:r>
    </w:p>
    <w:p w14:paraId="2763CF56">
      <w:pPr>
        <w:widowControl/>
        <w:shd w:val="clear" w:color="auto" w:fill="FFFFFF"/>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5</w:t>
      </w:r>
      <w:r>
        <w:rPr>
          <w:rFonts w:ascii="Arial" w:hAnsi="Arial"/>
          <w:color w:val="auto"/>
          <w:szCs w:val="21"/>
          <w:highlight w:val="none"/>
        </w:rPr>
        <w:t>.</w:t>
      </w:r>
      <w:r>
        <w:rPr>
          <w:rFonts w:hint="eastAsia" w:ascii="Arial" w:hAnsi="Arial"/>
          <w:color w:val="auto"/>
          <w:szCs w:val="21"/>
          <w:highlight w:val="none"/>
        </w:rPr>
        <w:t>2</w:t>
      </w:r>
      <w:r>
        <w:rPr>
          <w:rFonts w:ascii="Arial" w:hAnsi="Arial"/>
          <w:color w:val="auto"/>
          <w:szCs w:val="21"/>
          <w:highlight w:val="none"/>
        </w:rPr>
        <w:t xml:space="preserve"> 磋商小组根据磋商过程和结果编写磋商（评审）报告。</w:t>
      </w:r>
    </w:p>
    <w:p w14:paraId="3B15E67E">
      <w:pPr>
        <w:widowControl/>
        <w:shd w:val="clear" w:color="auto" w:fill="FFFFFF"/>
        <w:spacing w:line="360" w:lineRule="auto"/>
        <w:ind w:firstLine="420"/>
        <w:rPr>
          <w:rFonts w:ascii="Arial" w:hAnsi="Arial"/>
          <w:color w:val="auto"/>
          <w:szCs w:val="21"/>
          <w:highlight w:val="none"/>
          <w:lang w:val="zh-CN"/>
        </w:rPr>
      </w:pPr>
      <w:r>
        <w:rPr>
          <w:rFonts w:hint="eastAsia" w:ascii="Arial" w:hAnsi="Arial"/>
          <w:color w:val="auto"/>
          <w:szCs w:val="21"/>
          <w:highlight w:val="none"/>
        </w:rPr>
        <w:t>15.3</w:t>
      </w:r>
      <w:r>
        <w:rPr>
          <w:rFonts w:ascii="Arial" w:hAnsi="Arial"/>
          <w:color w:val="auto"/>
          <w:szCs w:val="21"/>
          <w:highlight w:val="none"/>
        </w:rPr>
        <w:t>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 xml:space="preserve">代理机构将向成交供应商发出《成交通知书》。成交供应商可在成交结果公告届满之日起三十日内，登录“苏采云”系统下载。    </w:t>
      </w:r>
    </w:p>
    <w:p w14:paraId="523837DB">
      <w:pPr>
        <w:widowControl/>
        <w:shd w:val="clear" w:color="auto" w:fill="FFFFFF"/>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因系统存储空间有限，成交结果公告届满之日起三十日后，“苏采云”系统不再保证提供下载《成交通知书》服务,因未及时下载而造成的不利后果由成交供应商自行承担。</w:t>
      </w:r>
    </w:p>
    <w:p w14:paraId="51C39C5B">
      <w:pPr>
        <w:widowControl/>
        <w:shd w:val="clear" w:color="auto" w:fill="FFFFFF"/>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5</w:t>
      </w:r>
      <w:r>
        <w:rPr>
          <w:rFonts w:ascii="Arial" w:hAnsi="Arial"/>
          <w:color w:val="auto"/>
          <w:szCs w:val="21"/>
          <w:highlight w:val="none"/>
          <w:lang w:val="zh-CN"/>
        </w:rPr>
        <w:t>.</w:t>
      </w:r>
      <w:r>
        <w:rPr>
          <w:rFonts w:hint="eastAsia" w:ascii="Arial" w:hAnsi="Arial"/>
          <w:color w:val="auto"/>
          <w:szCs w:val="21"/>
          <w:highlight w:val="none"/>
        </w:rPr>
        <w:t>4</w:t>
      </w:r>
      <w:r>
        <w:rPr>
          <w:rFonts w:ascii="Arial" w:hAnsi="Arial"/>
          <w:color w:val="auto"/>
          <w:szCs w:val="21"/>
          <w:highlight w:val="none"/>
          <w:lang w:val="zh-CN"/>
        </w:rPr>
        <w:t xml:space="preserve"> 成交通知书对采购人和成交供应商具有同等法律效力。</w:t>
      </w:r>
    </w:p>
    <w:p w14:paraId="58523A0E">
      <w:pPr>
        <w:widowControl/>
        <w:shd w:val="clear" w:color="auto" w:fill="FFFFFF"/>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5</w:t>
      </w:r>
      <w:r>
        <w:rPr>
          <w:rFonts w:ascii="Arial" w:hAnsi="Arial"/>
          <w:color w:val="auto"/>
          <w:szCs w:val="21"/>
          <w:highlight w:val="none"/>
          <w:lang w:val="zh-CN"/>
        </w:rPr>
        <w:t>.</w:t>
      </w:r>
      <w:r>
        <w:rPr>
          <w:rFonts w:hint="eastAsia" w:ascii="Arial" w:hAnsi="Arial"/>
          <w:color w:val="auto"/>
          <w:szCs w:val="21"/>
          <w:highlight w:val="none"/>
        </w:rPr>
        <w:t>5</w:t>
      </w:r>
      <w:r>
        <w:rPr>
          <w:rFonts w:ascii="Arial" w:hAnsi="Arial"/>
          <w:color w:val="auto"/>
          <w:szCs w:val="21"/>
          <w:highlight w:val="none"/>
          <w:lang w:val="zh-CN"/>
        </w:rPr>
        <w:t xml:space="preserve"> </w:t>
      </w:r>
      <w:r>
        <w:rPr>
          <w:rFonts w:hint="eastAsia" w:ascii="Arial" w:hAnsi="Arial"/>
          <w:color w:val="auto"/>
          <w:szCs w:val="21"/>
          <w:highlight w:val="none"/>
          <w:lang w:val="zh-CN"/>
        </w:rPr>
        <w:t>采购人与成交供应商应当在成交通知书发出之日起30日内，按照磋商文件确定的合同文本以及采购标的、规格型号、采购金额、采购数量、技术和服务要求等事项签订政府采购合同。</w:t>
      </w:r>
    </w:p>
    <w:p w14:paraId="658A139C">
      <w:pPr>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5</w:t>
      </w:r>
      <w:r>
        <w:rPr>
          <w:rFonts w:ascii="Arial" w:hAnsi="Arial"/>
          <w:color w:val="auto"/>
          <w:szCs w:val="21"/>
          <w:highlight w:val="none"/>
        </w:rPr>
        <w:t>.</w:t>
      </w:r>
      <w:r>
        <w:rPr>
          <w:rFonts w:hint="eastAsia" w:ascii="Arial" w:hAnsi="Arial"/>
          <w:color w:val="auto"/>
          <w:szCs w:val="21"/>
          <w:highlight w:val="none"/>
        </w:rPr>
        <w:t>6</w:t>
      </w:r>
      <w:r>
        <w:rPr>
          <w:rFonts w:ascii="Arial" w:hAnsi="Arial"/>
          <w:color w:val="auto"/>
          <w:szCs w:val="21"/>
          <w:highlight w:val="none"/>
        </w:rPr>
        <w:t xml:space="preserve"> 所有响应文件不论成交与否，均不退回。</w:t>
      </w:r>
    </w:p>
    <w:p w14:paraId="7D1F306B">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rPr>
        <w:t>6</w:t>
      </w:r>
      <w:r>
        <w:rPr>
          <w:rFonts w:ascii="Arial" w:hAnsi="Arial"/>
          <w:b/>
          <w:color w:val="auto"/>
          <w:szCs w:val="21"/>
          <w:highlight w:val="none"/>
          <w:lang w:val="zh-CN"/>
        </w:rPr>
        <w:t>、</w:t>
      </w:r>
      <w:r>
        <w:rPr>
          <w:rFonts w:ascii="Arial" w:hAnsi="Arial"/>
          <w:b/>
          <w:bCs/>
          <w:color w:val="auto"/>
          <w:szCs w:val="21"/>
          <w:highlight w:val="none"/>
          <w:lang w:val="zh-CN"/>
        </w:rPr>
        <w:t>签订合同</w:t>
      </w:r>
    </w:p>
    <w:p w14:paraId="30917687">
      <w:pPr>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6</w:t>
      </w:r>
      <w:r>
        <w:rPr>
          <w:rFonts w:ascii="Arial" w:hAnsi="Arial"/>
          <w:color w:val="auto"/>
          <w:szCs w:val="21"/>
          <w:highlight w:val="none"/>
          <w:lang w:val="zh-CN"/>
        </w:rPr>
        <w:t>.</w:t>
      </w:r>
      <w:r>
        <w:rPr>
          <w:rFonts w:ascii="Arial" w:hAnsi="Arial"/>
          <w:color w:val="auto"/>
          <w:szCs w:val="21"/>
          <w:highlight w:val="none"/>
        </w:rPr>
        <w:t>1 成交供应商应当</w:t>
      </w:r>
      <w:r>
        <w:rPr>
          <w:rFonts w:ascii="Arial" w:hAnsi="Arial"/>
          <w:color w:val="auto"/>
          <w:szCs w:val="21"/>
          <w:highlight w:val="none"/>
          <w:lang w:val="zh-CN"/>
        </w:rPr>
        <w:t>自成交通知书发出之日起三十日内，</w:t>
      </w:r>
      <w:r>
        <w:rPr>
          <w:rFonts w:ascii="Arial" w:hAnsi="Arial"/>
          <w:color w:val="auto"/>
          <w:szCs w:val="21"/>
          <w:highlight w:val="none"/>
        </w:rPr>
        <w:t>与采购人签订合同，所签订的合同不得对磋商文件和响应文件作实质性修改。</w:t>
      </w:r>
    </w:p>
    <w:p w14:paraId="577CE40C">
      <w:pPr>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6</w:t>
      </w:r>
      <w:r>
        <w:rPr>
          <w:rFonts w:ascii="Arial" w:hAnsi="Arial"/>
          <w:color w:val="auto"/>
          <w:szCs w:val="21"/>
          <w:highlight w:val="none"/>
          <w:lang w:val="zh-CN"/>
        </w:rPr>
        <w:t xml:space="preserve">.2 </w:t>
      </w:r>
      <w:r>
        <w:rPr>
          <w:rFonts w:ascii="Arial" w:hAnsi="Arial"/>
          <w:color w:val="auto"/>
          <w:szCs w:val="21"/>
          <w:highlight w:val="none"/>
        </w:rPr>
        <w:t>采购人不得向成交供应商提出任何不合理的要求作为签订合同的条件，不得与成交供应商私下订立背离合同实质性内容的协议。</w:t>
      </w:r>
    </w:p>
    <w:p w14:paraId="6D457361">
      <w:pPr>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6</w:t>
      </w:r>
      <w:r>
        <w:rPr>
          <w:rFonts w:ascii="Arial" w:hAnsi="Arial"/>
          <w:color w:val="auto"/>
          <w:szCs w:val="21"/>
          <w:highlight w:val="none"/>
        </w:rPr>
        <w:t xml:space="preserve">.3 </w:t>
      </w:r>
      <w:r>
        <w:rPr>
          <w:rFonts w:ascii="Arial" w:hAnsi="Arial"/>
          <w:color w:val="auto"/>
          <w:szCs w:val="21"/>
          <w:highlight w:val="none"/>
          <w:lang w:val="zh-CN"/>
        </w:rPr>
        <w:t>成交供应商因不可抗力或者自身原因不能履行合同的，</w:t>
      </w:r>
      <w:r>
        <w:rPr>
          <w:rFonts w:ascii="Arial" w:hAnsi="Arial"/>
          <w:color w:val="auto"/>
          <w:szCs w:val="21"/>
          <w:highlight w:val="none"/>
          <w:shd w:val="clear" w:color="auto" w:fill="FFFFFF"/>
          <w:lang w:val="zh-CN"/>
        </w:rPr>
        <w:t>采购人可以按照</w:t>
      </w:r>
      <w:r>
        <w:rPr>
          <w:rFonts w:hint="eastAsia" w:ascii="Arial" w:hAnsi="Arial"/>
          <w:color w:val="auto"/>
          <w:szCs w:val="21"/>
          <w:highlight w:val="none"/>
          <w:lang w:val="zh-CN"/>
        </w:rPr>
        <w:t>《</w:t>
      </w:r>
      <w:r>
        <w:rPr>
          <w:rFonts w:hint="eastAsia" w:ascii="Arial" w:hAnsi="Arial"/>
          <w:color w:val="auto"/>
          <w:szCs w:val="21"/>
          <w:highlight w:val="none"/>
        </w:rPr>
        <w:t>政府采购竞争性磋商采购方式管理暂行办法</w:t>
      </w:r>
      <w:r>
        <w:rPr>
          <w:rFonts w:hint="eastAsia" w:ascii="Arial" w:hAnsi="Arial"/>
          <w:color w:val="auto"/>
          <w:szCs w:val="21"/>
          <w:highlight w:val="none"/>
          <w:lang w:val="zh-CN"/>
        </w:rPr>
        <w:t>》</w:t>
      </w:r>
      <w:r>
        <w:rPr>
          <w:rFonts w:ascii="Arial" w:hAnsi="Arial"/>
          <w:color w:val="auto"/>
          <w:szCs w:val="21"/>
          <w:highlight w:val="none"/>
          <w:shd w:val="clear" w:color="auto" w:fill="FFFFFF"/>
          <w:lang w:val="zh-CN"/>
        </w:rPr>
        <w:t>第</w:t>
      </w:r>
      <w:r>
        <w:rPr>
          <w:rFonts w:hint="eastAsia" w:ascii="Arial" w:hAnsi="Arial"/>
          <w:color w:val="auto"/>
          <w:szCs w:val="21"/>
          <w:highlight w:val="none"/>
          <w:shd w:val="clear" w:color="auto" w:fill="FFFFFF"/>
        </w:rPr>
        <w:t>三</w:t>
      </w:r>
      <w:r>
        <w:rPr>
          <w:rFonts w:ascii="Arial" w:hAnsi="Arial"/>
          <w:color w:val="auto"/>
          <w:szCs w:val="21"/>
          <w:highlight w:val="none"/>
          <w:shd w:val="clear" w:color="auto" w:fill="FFFFFF"/>
          <w:lang w:val="zh-CN"/>
        </w:rPr>
        <w:t>十</w:t>
      </w:r>
      <w:r>
        <w:rPr>
          <w:rFonts w:hint="eastAsia" w:ascii="Arial" w:hAnsi="Arial"/>
          <w:color w:val="auto"/>
          <w:szCs w:val="21"/>
          <w:highlight w:val="none"/>
          <w:shd w:val="clear" w:color="auto" w:fill="FFFFFF"/>
        </w:rPr>
        <w:t>三</w:t>
      </w:r>
      <w:r>
        <w:rPr>
          <w:rFonts w:ascii="Arial" w:hAnsi="Arial"/>
          <w:color w:val="auto"/>
          <w:szCs w:val="21"/>
          <w:highlight w:val="none"/>
          <w:shd w:val="clear" w:color="auto" w:fill="FFFFFF"/>
          <w:lang w:val="zh-CN"/>
        </w:rPr>
        <w:t>条规定的原则确定其他供应商作为成交供应商并签订政府采购合同，也可以重新开展采购活动。</w:t>
      </w:r>
      <w:r>
        <w:rPr>
          <w:rFonts w:hint="eastAsia" w:ascii="Arial" w:hAnsi="Arial"/>
          <w:b/>
          <w:bCs/>
          <w:color w:val="auto"/>
          <w:szCs w:val="21"/>
          <w:highlight w:val="none"/>
          <w:shd w:val="clear" w:color="auto" w:fill="FFFFFF"/>
        </w:rPr>
        <w:t>放弃或</w:t>
      </w:r>
      <w:r>
        <w:rPr>
          <w:rFonts w:ascii="Arial" w:hAnsi="Arial"/>
          <w:b/>
          <w:bCs/>
          <w:color w:val="auto"/>
          <w:szCs w:val="21"/>
          <w:highlight w:val="none"/>
          <w:shd w:val="clear" w:color="auto" w:fill="FFFFFF"/>
          <w:lang w:val="zh-CN"/>
        </w:rPr>
        <w:t>拒绝签订政府采购合同的成交供应商不得参加对该项目重新开展的采购活动</w:t>
      </w:r>
      <w:r>
        <w:rPr>
          <w:rFonts w:hint="eastAsia" w:ascii="Arial" w:hAnsi="Arial"/>
          <w:b/>
          <w:bCs/>
          <w:color w:val="auto"/>
          <w:szCs w:val="21"/>
          <w:highlight w:val="none"/>
          <w:shd w:val="clear" w:color="auto" w:fill="FFFFFF"/>
          <w:lang w:val="zh-CN"/>
        </w:rPr>
        <w:t>，</w:t>
      </w:r>
      <w:r>
        <w:rPr>
          <w:rFonts w:ascii="Arial" w:hAnsi="Arial"/>
          <w:b/>
          <w:bCs/>
          <w:color w:val="auto"/>
          <w:szCs w:val="21"/>
          <w:highlight w:val="none"/>
        </w:rPr>
        <w:t>磋商保证金不予退还</w:t>
      </w:r>
      <w:r>
        <w:rPr>
          <w:rFonts w:hint="eastAsia" w:ascii="Arial" w:hAnsi="Arial"/>
          <w:b/>
          <w:bCs/>
          <w:color w:val="auto"/>
          <w:szCs w:val="21"/>
          <w:highlight w:val="none"/>
        </w:rPr>
        <w:t>，不收取磋商保证金的项目，成交供应商</w:t>
      </w:r>
      <w:r>
        <w:rPr>
          <w:rFonts w:ascii="Arial" w:hAnsi="Arial"/>
          <w:b/>
          <w:bCs/>
          <w:color w:val="auto"/>
          <w:szCs w:val="21"/>
          <w:highlight w:val="none"/>
        </w:rPr>
        <w:t>应向</w:t>
      </w:r>
      <w:r>
        <w:rPr>
          <w:rFonts w:hint="eastAsia" w:ascii="Arial" w:hAnsi="Arial"/>
          <w:b/>
          <w:bCs/>
          <w:color w:val="auto"/>
          <w:szCs w:val="21"/>
          <w:highlight w:val="none"/>
        </w:rPr>
        <w:t>采购人</w:t>
      </w:r>
      <w:r>
        <w:rPr>
          <w:rFonts w:ascii="Arial" w:hAnsi="Arial"/>
          <w:b/>
          <w:bCs/>
          <w:color w:val="auto"/>
          <w:szCs w:val="21"/>
          <w:highlight w:val="none"/>
        </w:rPr>
        <w:t>支付</w:t>
      </w:r>
      <w:r>
        <w:rPr>
          <w:rFonts w:hint="eastAsia" w:ascii="Arial" w:hAnsi="Arial"/>
          <w:b/>
          <w:bCs/>
          <w:color w:val="auto"/>
          <w:szCs w:val="21"/>
          <w:highlight w:val="none"/>
        </w:rPr>
        <w:t>采购人</w:t>
      </w:r>
      <w:r>
        <w:rPr>
          <w:rFonts w:ascii="Arial" w:hAnsi="Arial"/>
          <w:b/>
          <w:bCs/>
          <w:color w:val="auto"/>
          <w:szCs w:val="21"/>
          <w:highlight w:val="none"/>
        </w:rPr>
        <w:t>为</w:t>
      </w:r>
      <w:r>
        <w:rPr>
          <w:rFonts w:hint="eastAsia" w:ascii="Arial" w:hAnsi="Arial"/>
          <w:b/>
          <w:bCs/>
          <w:color w:val="auto"/>
          <w:szCs w:val="21"/>
          <w:highlight w:val="none"/>
        </w:rPr>
        <w:t>磋商</w:t>
      </w:r>
      <w:r>
        <w:rPr>
          <w:rFonts w:ascii="Arial" w:hAnsi="Arial"/>
          <w:b/>
          <w:bCs/>
          <w:color w:val="auto"/>
          <w:szCs w:val="21"/>
          <w:highlight w:val="none"/>
        </w:rPr>
        <w:t>所发生的有关费用</w:t>
      </w:r>
      <w:r>
        <w:rPr>
          <w:rFonts w:hint="eastAsia" w:ascii="Arial" w:hAnsi="Arial"/>
          <w:b/>
          <w:bCs/>
          <w:color w:val="auto"/>
          <w:szCs w:val="21"/>
          <w:highlight w:val="none"/>
        </w:rPr>
        <w:t>。</w:t>
      </w:r>
      <w:r>
        <w:rPr>
          <w:rFonts w:ascii="Arial" w:hAnsi="Arial"/>
          <w:b/>
          <w:bCs/>
          <w:color w:val="auto"/>
          <w:szCs w:val="21"/>
          <w:highlight w:val="none"/>
        </w:rPr>
        <w:t>情节严重的提请财政部门将其列入不良行为名单，在一至三年内不得参加政府采购活动，并予以通报。</w:t>
      </w:r>
    </w:p>
    <w:p w14:paraId="1C6833F8">
      <w:pPr>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6</w:t>
      </w:r>
      <w:r>
        <w:rPr>
          <w:rFonts w:ascii="Arial" w:hAnsi="Arial"/>
          <w:color w:val="auto"/>
          <w:szCs w:val="21"/>
          <w:highlight w:val="none"/>
        </w:rPr>
        <w:t>.</w:t>
      </w:r>
      <w:r>
        <w:rPr>
          <w:rFonts w:hint="eastAsia" w:ascii="Arial" w:hAnsi="Arial"/>
          <w:color w:val="auto"/>
          <w:szCs w:val="21"/>
          <w:highlight w:val="none"/>
        </w:rPr>
        <w:t>4</w:t>
      </w:r>
      <w:r>
        <w:rPr>
          <w:rFonts w:ascii="Arial" w:hAnsi="Arial"/>
          <w:color w:val="auto"/>
          <w:szCs w:val="21"/>
          <w:highlight w:val="none"/>
        </w:rPr>
        <w:t xml:space="preserve"> </w:t>
      </w:r>
      <w:r>
        <w:rPr>
          <w:rFonts w:ascii="Arial" w:hAnsi="Arial"/>
          <w:color w:val="auto"/>
          <w:szCs w:val="21"/>
          <w:highlight w:val="none"/>
          <w:lang w:val="zh-CN"/>
        </w:rPr>
        <w:t>成交供应商</w:t>
      </w:r>
      <w:r>
        <w:rPr>
          <w:rFonts w:hint="eastAsia" w:ascii="Arial" w:hAnsi="Arial"/>
          <w:color w:val="auto"/>
          <w:szCs w:val="21"/>
          <w:highlight w:val="none"/>
        </w:rPr>
        <w:t>拒绝签订政府采购合同的</w:t>
      </w:r>
      <w:r>
        <w:rPr>
          <w:rFonts w:ascii="Arial" w:hAnsi="Arial"/>
          <w:color w:val="auto"/>
          <w:szCs w:val="21"/>
          <w:highlight w:val="none"/>
          <w:lang w:val="zh-CN"/>
        </w:rPr>
        <w:t>，</w:t>
      </w:r>
      <w:r>
        <w:rPr>
          <w:rFonts w:ascii="Arial" w:hAnsi="Arial"/>
          <w:color w:val="auto"/>
          <w:szCs w:val="21"/>
          <w:highlight w:val="none"/>
          <w:shd w:val="clear" w:color="auto" w:fill="FFFFFF"/>
          <w:lang w:val="zh-CN"/>
        </w:rPr>
        <w:t>采购人可以按照</w:t>
      </w:r>
      <w:r>
        <w:rPr>
          <w:rFonts w:hint="eastAsia" w:ascii="Arial" w:hAnsi="Arial"/>
          <w:color w:val="auto"/>
          <w:szCs w:val="21"/>
          <w:highlight w:val="none"/>
          <w:lang w:val="zh-CN"/>
        </w:rPr>
        <w:t>《</w:t>
      </w:r>
      <w:r>
        <w:rPr>
          <w:rFonts w:hint="eastAsia" w:ascii="Arial" w:hAnsi="Arial"/>
          <w:color w:val="auto"/>
          <w:szCs w:val="21"/>
          <w:highlight w:val="none"/>
        </w:rPr>
        <w:t>政府采购竞争性磋商采购方式管理暂行办法</w:t>
      </w:r>
      <w:r>
        <w:rPr>
          <w:rFonts w:hint="eastAsia" w:ascii="Arial" w:hAnsi="Arial"/>
          <w:color w:val="auto"/>
          <w:szCs w:val="21"/>
          <w:highlight w:val="none"/>
          <w:lang w:val="zh-CN"/>
        </w:rPr>
        <w:t>》</w:t>
      </w:r>
      <w:r>
        <w:rPr>
          <w:rFonts w:ascii="Arial" w:hAnsi="Arial"/>
          <w:color w:val="auto"/>
          <w:szCs w:val="21"/>
          <w:highlight w:val="none"/>
          <w:shd w:val="clear" w:color="auto" w:fill="FFFFFF"/>
          <w:lang w:val="zh-CN"/>
        </w:rPr>
        <w:t>第</w:t>
      </w:r>
      <w:r>
        <w:rPr>
          <w:rFonts w:hint="eastAsia" w:ascii="Arial" w:hAnsi="Arial"/>
          <w:color w:val="auto"/>
          <w:szCs w:val="21"/>
          <w:highlight w:val="none"/>
          <w:shd w:val="clear" w:color="auto" w:fill="FFFFFF"/>
        </w:rPr>
        <w:t>三</w:t>
      </w:r>
      <w:r>
        <w:rPr>
          <w:rFonts w:ascii="Arial" w:hAnsi="Arial"/>
          <w:color w:val="auto"/>
          <w:szCs w:val="21"/>
          <w:highlight w:val="none"/>
          <w:shd w:val="clear" w:color="auto" w:fill="FFFFFF"/>
          <w:lang w:val="zh-CN"/>
        </w:rPr>
        <w:t>十</w:t>
      </w:r>
      <w:r>
        <w:rPr>
          <w:rFonts w:hint="eastAsia" w:ascii="Arial" w:hAnsi="Arial"/>
          <w:color w:val="auto"/>
          <w:szCs w:val="21"/>
          <w:highlight w:val="none"/>
          <w:shd w:val="clear" w:color="auto" w:fill="FFFFFF"/>
        </w:rPr>
        <w:t>三</w:t>
      </w:r>
      <w:r>
        <w:rPr>
          <w:rFonts w:ascii="Arial" w:hAnsi="Arial"/>
          <w:color w:val="auto"/>
          <w:szCs w:val="21"/>
          <w:highlight w:val="none"/>
          <w:shd w:val="clear" w:color="auto" w:fill="FFFFFF"/>
          <w:lang w:val="zh-CN"/>
        </w:rPr>
        <w:t>条规定的原则确定其他供应商作为成交供应商并签订政府采购合同，也可以重新开展采购活动。</w:t>
      </w:r>
    </w:p>
    <w:p w14:paraId="649E81F1">
      <w:pPr>
        <w:spacing w:line="360" w:lineRule="auto"/>
        <w:ind w:firstLine="422"/>
        <w:rPr>
          <w:rFonts w:ascii="Arial" w:hAnsi="Arial"/>
          <w:b/>
          <w:color w:val="auto"/>
          <w:szCs w:val="21"/>
          <w:highlight w:val="none"/>
        </w:rPr>
      </w:pPr>
      <w:r>
        <w:rPr>
          <w:rFonts w:hint="eastAsia" w:ascii="Arial" w:hAnsi="Arial"/>
          <w:b/>
          <w:color w:val="auto"/>
          <w:szCs w:val="21"/>
          <w:highlight w:val="none"/>
        </w:rPr>
        <w:t>六</w:t>
      </w:r>
      <w:r>
        <w:rPr>
          <w:rFonts w:ascii="Arial" w:hAnsi="Arial"/>
          <w:b/>
          <w:color w:val="auto"/>
          <w:szCs w:val="21"/>
          <w:highlight w:val="none"/>
          <w:lang w:val="zh-CN"/>
        </w:rPr>
        <w:t>、质疑与投诉</w:t>
      </w:r>
    </w:p>
    <w:p w14:paraId="2FEBD404">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rPr>
        <w:t>7</w:t>
      </w:r>
      <w:r>
        <w:rPr>
          <w:rFonts w:ascii="Arial" w:hAnsi="Arial"/>
          <w:b/>
          <w:color w:val="auto"/>
          <w:szCs w:val="21"/>
          <w:highlight w:val="none"/>
          <w:lang w:val="zh-CN"/>
        </w:rPr>
        <w:t>、质疑</w:t>
      </w:r>
    </w:p>
    <w:p w14:paraId="053172A7">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7</w:t>
      </w:r>
      <w:r>
        <w:rPr>
          <w:rFonts w:ascii="Arial" w:hAnsi="Arial"/>
          <w:color w:val="auto"/>
          <w:szCs w:val="21"/>
          <w:highlight w:val="none"/>
          <w:lang w:val="zh-CN"/>
        </w:rPr>
        <w:t>.1 供应商认为磋商文件、磋商过程和中标、成交结果使自己的权益受到损害的，可以在知道或者应知其权益受到损害之日起七个工作日内，以书面形式向采购代理机构提出质疑。</w:t>
      </w:r>
    </w:p>
    <w:p w14:paraId="550811EF">
      <w:pPr>
        <w:spacing w:line="360" w:lineRule="auto"/>
        <w:ind w:firstLine="424"/>
        <w:jc w:val="left"/>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7</w:t>
      </w:r>
      <w:r>
        <w:rPr>
          <w:rFonts w:ascii="Arial" w:hAnsi="Arial"/>
          <w:color w:val="auto"/>
          <w:szCs w:val="21"/>
          <w:highlight w:val="none"/>
          <w:lang w:val="zh-CN"/>
        </w:rPr>
        <w:t>.2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31A4F08A">
      <w:pPr>
        <w:spacing w:line="360" w:lineRule="auto"/>
        <w:ind w:firstLine="424"/>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7</w:t>
      </w:r>
      <w:r>
        <w:rPr>
          <w:rFonts w:ascii="Arial" w:hAnsi="Arial"/>
          <w:color w:val="auto"/>
          <w:szCs w:val="21"/>
          <w:highlight w:val="none"/>
        </w:rPr>
        <w:t xml:space="preserve">.3 </w:t>
      </w:r>
      <w:r>
        <w:rPr>
          <w:rFonts w:ascii="Arial" w:hAnsi="Arial"/>
          <w:color w:val="auto"/>
          <w:szCs w:val="21"/>
          <w:highlight w:val="none"/>
          <w:lang w:val="zh-CN"/>
        </w:rPr>
        <w:t>提出质疑的供应商应当是参与所质疑项目采购活动的供应商。潜在供应商已依法获取其可质疑的采购文件的，可以对该文件提出质疑。</w:t>
      </w:r>
    </w:p>
    <w:p w14:paraId="1FACBB7F">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7</w:t>
      </w:r>
      <w:r>
        <w:rPr>
          <w:rFonts w:ascii="Arial" w:hAnsi="Arial"/>
          <w:color w:val="auto"/>
          <w:szCs w:val="21"/>
          <w:highlight w:val="none"/>
          <w:lang w:val="zh-CN"/>
        </w:rPr>
        <w:t>.4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40A1B70D">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7</w:t>
      </w:r>
      <w:r>
        <w:rPr>
          <w:rFonts w:ascii="Arial" w:hAnsi="Arial"/>
          <w:color w:val="auto"/>
          <w:szCs w:val="21"/>
          <w:highlight w:val="none"/>
          <w:lang w:val="zh-CN"/>
        </w:rPr>
        <w:t>.5 以联合体形式参加政府采购活动的，其投诉应当由组成联合体的所有供应商共同提出。</w:t>
      </w:r>
    </w:p>
    <w:p w14:paraId="16F8453E">
      <w:pPr>
        <w:spacing w:line="360" w:lineRule="auto"/>
        <w:ind w:firstLine="424"/>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7</w:t>
      </w:r>
      <w:r>
        <w:rPr>
          <w:rFonts w:ascii="Arial" w:hAnsi="Arial"/>
          <w:color w:val="auto"/>
          <w:szCs w:val="21"/>
          <w:highlight w:val="none"/>
        </w:rPr>
        <w:t xml:space="preserve">.6 </w:t>
      </w:r>
      <w:r>
        <w:rPr>
          <w:rFonts w:ascii="Arial" w:hAnsi="Arial"/>
          <w:color w:val="auto"/>
          <w:szCs w:val="21"/>
          <w:highlight w:val="none"/>
          <w:lang w:val="zh-CN"/>
        </w:rPr>
        <w:t>供应商质疑应当有明确的请求和必要的证明材料。供应商必须在法定质疑期内一次性提出针对同一采购程序环节的质疑。</w:t>
      </w:r>
    </w:p>
    <w:p w14:paraId="4D8514FE">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7</w:t>
      </w:r>
      <w:r>
        <w:rPr>
          <w:rFonts w:ascii="Arial" w:hAnsi="Arial"/>
          <w:color w:val="auto"/>
          <w:szCs w:val="21"/>
          <w:highlight w:val="none"/>
          <w:lang w:val="zh-CN"/>
        </w:rPr>
        <w:t>.7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05833A54">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7</w:t>
      </w:r>
      <w:r>
        <w:rPr>
          <w:rFonts w:ascii="Arial" w:hAnsi="Arial"/>
          <w:color w:val="auto"/>
          <w:szCs w:val="21"/>
          <w:highlight w:val="none"/>
          <w:lang w:val="zh-CN"/>
        </w:rPr>
        <w:t>.8 质疑函应当使用中文。相关当事人提供外文书证或者外国语视听资料的，应当附有中文译本，由翻译机构盖章或者翻译人员签名。</w:t>
      </w:r>
    </w:p>
    <w:p w14:paraId="16616B21">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7</w:t>
      </w:r>
      <w:r>
        <w:rPr>
          <w:rFonts w:ascii="Arial" w:hAnsi="Arial"/>
          <w:color w:val="auto"/>
          <w:szCs w:val="21"/>
          <w:highlight w:val="none"/>
          <w:lang w:val="zh-CN"/>
        </w:rPr>
        <w:t>.9 质疑函应当现场书面提交至采购代理机构联系人（详见竞争性磋商公告）处，提交时应出示有效身份证明。</w:t>
      </w:r>
    </w:p>
    <w:p w14:paraId="325796D3">
      <w:pPr>
        <w:spacing w:line="360" w:lineRule="auto"/>
        <w:ind w:firstLine="426"/>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rPr>
        <w:t>8</w:t>
      </w:r>
      <w:r>
        <w:rPr>
          <w:rFonts w:ascii="Arial" w:hAnsi="Arial"/>
          <w:b/>
          <w:color w:val="auto"/>
          <w:szCs w:val="21"/>
          <w:highlight w:val="none"/>
          <w:lang w:val="zh-CN"/>
        </w:rPr>
        <w:t>、投诉</w:t>
      </w:r>
    </w:p>
    <w:p w14:paraId="6541DB37">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.1 供应商对采购代理机构的答复不满意或者采购代理机构未在规定的时间内作出答复的，可以在答复期满后十五个工作日内向同级政府采购监督管理部门投诉。</w:t>
      </w:r>
    </w:p>
    <w:p w14:paraId="2A83C086">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.2 供应商投诉应当有明确的请求和必要的证明材料。供应商投诉的事项不得超出已质疑事项的范围。</w:t>
      </w:r>
    </w:p>
    <w:p w14:paraId="1B7D8B9B">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.3 投诉人对政府采购监督管理部门的投诉处理决定不服或者政府采购监督管理部门逾期未作处理的，可以依法申请行政复议或者向人民法院提起行政诉讼。</w:t>
      </w:r>
    </w:p>
    <w:p w14:paraId="3A617241">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.4 投诉人在全国范围12个月内三次以上投诉查无实据的，由财政部门列入不良行为记录名单。</w:t>
      </w:r>
    </w:p>
    <w:p w14:paraId="47690340">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.5 投诉人有下列行为之一的，属于虚假、恶意投诉，由财政部门列入不良行为记录名单，禁止其1至3年内参加政府采购活动：</w:t>
      </w:r>
    </w:p>
    <w:p w14:paraId="22AE8DB6">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（1）捏造事实；</w:t>
      </w:r>
    </w:p>
    <w:p w14:paraId="1D7F4255">
      <w:pPr>
        <w:spacing w:line="360" w:lineRule="auto"/>
        <w:ind w:firstLine="424"/>
        <w:rPr>
          <w:rFonts w:ascii="Arial" w:hAnsi="Arial"/>
          <w:color w:val="auto"/>
          <w:szCs w:val="21"/>
          <w:highlight w:val="none"/>
          <w:lang w:val="zh-CN"/>
        </w:rPr>
      </w:pPr>
      <w:r>
        <w:rPr>
          <w:rFonts w:ascii="Arial" w:hAnsi="Arial"/>
          <w:color w:val="auto"/>
          <w:szCs w:val="21"/>
          <w:highlight w:val="none"/>
          <w:lang w:val="zh-CN"/>
        </w:rPr>
        <w:t>（2）提供虚假材料；</w:t>
      </w:r>
    </w:p>
    <w:p w14:paraId="362067BC">
      <w:pPr>
        <w:spacing w:line="360" w:lineRule="auto"/>
        <w:ind w:firstLine="424"/>
        <w:rPr>
          <w:rFonts w:ascii="Arial" w:hAnsi="Arial"/>
          <w:color w:val="auto"/>
          <w:szCs w:val="21"/>
          <w:highlight w:val="none"/>
          <w:lang w:val="zh-CN"/>
        </w:rPr>
      </w:pPr>
      <w:r>
        <w:rPr>
          <w:rFonts w:ascii="Arial" w:hAnsi="Arial"/>
          <w:color w:val="auto"/>
          <w:szCs w:val="21"/>
          <w:highlight w:val="none"/>
          <w:lang w:val="zh-CN"/>
        </w:rPr>
        <w:t>（3）以非法手段取得证明材料。证据来源的合法性存在明显疑问，投诉人无法证明其取得方式合法的，视为以非法手段取得证明材料。</w:t>
      </w:r>
    </w:p>
    <w:p w14:paraId="14385B43">
      <w:pPr>
        <w:tabs>
          <w:tab w:val="left" w:pos="5355"/>
        </w:tabs>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七</w:t>
      </w:r>
      <w:r>
        <w:rPr>
          <w:rFonts w:hint="eastAsia" w:ascii="宋体" w:hAnsi="宋体"/>
          <w:b/>
          <w:color w:val="auto"/>
          <w:szCs w:val="21"/>
          <w:highlight w:val="none"/>
          <w:lang w:val="zh-CN"/>
        </w:rPr>
        <w:t>、</w:t>
      </w:r>
      <w:r>
        <w:rPr>
          <w:rFonts w:hint="eastAsia" w:ascii="宋体" w:hAnsi="宋体"/>
          <w:b/>
          <w:bCs/>
          <w:color w:val="auto"/>
          <w:szCs w:val="21"/>
          <w:highlight w:val="none"/>
          <w:lang w:val="zh-CN"/>
        </w:rPr>
        <w:t>诚实信用</w:t>
      </w:r>
    </w:p>
    <w:p w14:paraId="5111C326">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9</w:t>
      </w:r>
      <w:r>
        <w:rPr>
          <w:rFonts w:ascii="Arial" w:hAnsi="Arial"/>
          <w:color w:val="auto"/>
          <w:szCs w:val="21"/>
          <w:highlight w:val="none"/>
          <w:lang w:val="zh-CN"/>
        </w:rPr>
        <w:t xml:space="preserve">.1 </w:t>
      </w:r>
      <w:r>
        <w:rPr>
          <w:rFonts w:ascii="Arial" w:hAnsi="宋体"/>
          <w:color w:val="auto"/>
          <w:szCs w:val="21"/>
          <w:highlight w:val="none"/>
          <w:lang w:val="zh-CN"/>
        </w:rPr>
        <w:t>供应商之间不得相互串通报价，不得妨碍其他供应商的公平竞争，不得损害采购人和其他供应商的合法权益。</w:t>
      </w:r>
    </w:p>
    <w:p w14:paraId="31787048">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9</w:t>
      </w:r>
      <w:r>
        <w:rPr>
          <w:rFonts w:ascii="Arial" w:hAnsi="Arial"/>
          <w:color w:val="auto"/>
          <w:szCs w:val="21"/>
          <w:highlight w:val="none"/>
          <w:lang w:val="zh-CN"/>
        </w:rPr>
        <w:t xml:space="preserve">.2 </w:t>
      </w:r>
      <w:r>
        <w:rPr>
          <w:rFonts w:ascii="Arial" w:hAnsi="宋体"/>
          <w:color w:val="auto"/>
          <w:szCs w:val="21"/>
          <w:highlight w:val="none"/>
          <w:lang w:val="zh-CN"/>
        </w:rPr>
        <w:t>供应商不得以向采购代理机构工作人员、磋商</w:t>
      </w:r>
      <w:r>
        <w:rPr>
          <w:rFonts w:hint="eastAsia" w:ascii="Arial" w:hAnsi="宋体"/>
          <w:color w:val="auto"/>
          <w:szCs w:val="21"/>
          <w:highlight w:val="none"/>
        </w:rPr>
        <w:t>小组</w:t>
      </w:r>
      <w:r>
        <w:rPr>
          <w:rFonts w:ascii="Arial" w:hAnsi="宋体"/>
          <w:color w:val="auto"/>
          <w:szCs w:val="21"/>
          <w:highlight w:val="none"/>
          <w:lang w:val="zh-CN"/>
        </w:rPr>
        <w:t>成员行贿或者采取其他不正当手段谋取成交。经查实供应商有此行为的，</w:t>
      </w:r>
      <w:r>
        <w:rPr>
          <w:rFonts w:ascii="Arial" w:hAnsi="宋体"/>
          <w:color w:val="auto"/>
          <w:szCs w:val="21"/>
          <w:highlight w:val="none"/>
        </w:rPr>
        <w:t>将在本项目发布媒体上进行公告，政府采购管理部门将供应商列入不良行为记录名单，按照《政府采购法》有关规定处理。</w:t>
      </w:r>
    </w:p>
    <w:p w14:paraId="74784E13">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9</w:t>
      </w:r>
      <w:r>
        <w:rPr>
          <w:rFonts w:ascii="Arial" w:hAnsi="Arial"/>
          <w:color w:val="auto"/>
          <w:szCs w:val="21"/>
          <w:highlight w:val="none"/>
          <w:lang w:val="zh-CN"/>
        </w:rPr>
        <w:t xml:space="preserve">.3 </w:t>
      </w:r>
      <w:r>
        <w:rPr>
          <w:rFonts w:ascii="Arial" w:hAnsi="宋体"/>
          <w:color w:val="auto"/>
          <w:szCs w:val="21"/>
          <w:highlight w:val="none"/>
          <w:lang w:val="zh-CN"/>
        </w:rPr>
        <w:t>供应商不得虚假质疑和恶意质疑，并对质疑内容的真实性承担责任。</w:t>
      </w:r>
      <w:r>
        <w:rPr>
          <w:rFonts w:ascii="Arial" w:hAnsi="宋体"/>
          <w:color w:val="auto"/>
          <w:szCs w:val="21"/>
          <w:highlight w:val="none"/>
        </w:rPr>
        <w:t>供应商或者其他利害关系人通过捏造事实、伪造证明材料等方式提出异议或投诉，阻碍采购活动正常进行的，属于严重不良行为，采购</w:t>
      </w:r>
      <w:r>
        <w:rPr>
          <w:rFonts w:hint="eastAsia" w:ascii="Arial" w:hAnsi="宋体"/>
          <w:color w:val="auto"/>
          <w:szCs w:val="21"/>
          <w:highlight w:val="none"/>
        </w:rPr>
        <w:t>代理机构</w:t>
      </w:r>
      <w:r>
        <w:rPr>
          <w:rFonts w:ascii="Arial" w:hAnsi="宋体"/>
          <w:color w:val="auto"/>
          <w:szCs w:val="21"/>
          <w:highlight w:val="none"/>
        </w:rPr>
        <w:t>将提请财政部门将其列入不良行为记录名单，并依法予以处罚。</w:t>
      </w:r>
    </w:p>
    <w:p w14:paraId="46581986">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9</w:t>
      </w:r>
      <w:r>
        <w:rPr>
          <w:rFonts w:ascii="Arial" w:hAnsi="Arial"/>
          <w:color w:val="auto"/>
          <w:szCs w:val="21"/>
          <w:highlight w:val="none"/>
          <w:lang w:val="zh-CN"/>
        </w:rPr>
        <w:t xml:space="preserve">.4 </w:t>
      </w:r>
      <w:r>
        <w:rPr>
          <w:rFonts w:ascii="Arial" w:hAnsi="宋体"/>
          <w:color w:val="auto"/>
          <w:szCs w:val="21"/>
          <w:highlight w:val="none"/>
          <w:lang w:val="zh-CN"/>
        </w:rPr>
        <w:t>供应商不得虚假承诺，否则，按照提供虚假材料谋取成交处理。</w:t>
      </w:r>
    </w:p>
    <w:p w14:paraId="3CD815CD">
      <w:pPr>
        <w:spacing w:line="360" w:lineRule="auto"/>
        <w:ind w:firstLine="422"/>
        <w:rPr>
          <w:rFonts w:ascii="Arial" w:hAnsi="Arial"/>
          <w:b/>
          <w:color w:val="auto"/>
          <w:szCs w:val="21"/>
          <w:highlight w:val="none"/>
        </w:rPr>
      </w:pPr>
      <w:r>
        <w:rPr>
          <w:rFonts w:hint="eastAsia" w:ascii="Arial" w:hAnsi="Arial"/>
          <w:b/>
          <w:color w:val="auto"/>
          <w:szCs w:val="21"/>
          <w:highlight w:val="none"/>
        </w:rPr>
        <w:t>八</w:t>
      </w:r>
      <w:r>
        <w:rPr>
          <w:rFonts w:ascii="Arial" w:hAnsi="Arial"/>
          <w:b/>
          <w:color w:val="auto"/>
          <w:szCs w:val="21"/>
          <w:highlight w:val="none"/>
          <w:lang w:val="zh-CN"/>
        </w:rPr>
        <w:t>、磋商费用</w:t>
      </w:r>
    </w:p>
    <w:p w14:paraId="48C9376F">
      <w:pPr>
        <w:spacing w:line="360" w:lineRule="auto"/>
        <w:ind w:firstLine="420"/>
        <w:rPr>
          <w:rFonts w:ascii="Arial" w:hAnsi="Arial"/>
          <w:color w:val="auto"/>
          <w:szCs w:val="21"/>
          <w:highlight w:val="none"/>
        </w:rPr>
      </w:pPr>
      <w:r>
        <w:rPr>
          <w:rFonts w:hint="eastAsia" w:ascii="Arial" w:hAnsi="Arial"/>
          <w:color w:val="auto"/>
          <w:szCs w:val="21"/>
          <w:highlight w:val="none"/>
        </w:rPr>
        <w:t>20</w:t>
      </w:r>
      <w:r>
        <w:rPr>
          <w:rFonts w:ascii="Arial" w:hAnsi="Arial"/>
          <w:color w:val="auto"/>
          <w:szCs w:val="21"/>
          <w:highlight w:val="none"/>
          <w:lang w:val="zh-CN"/>
        </w:rPr>
        <w:t>.1 供应商应承担所有与准备和参加磋商有关的费用，无论采购结果如何，采购代理机构和采购人在任何情况下均无义务和责任承担这些费用。</w:t>
      </w:r>
    </w:p>
    <w:p w14:paraId="6A606E9F">
      <w:pPr>
        <w:widowControl/>
        <w:shd w:val="clear" w:color="auto" w:fill="FFFFFF"/>
        <w:spacing w:line="360" w:lineRule="auto"/>
        <w:ind w:firstLine="420"/>
        <w:rPr>
          <w:rFonts w:hint="eastAsia" w:ascii="新宋体" w:hAnsi="新宋体" w:eastAsia="新宋体" w:cs="新宋体"/>
          <w:bCs/>
          <w:color w:val="auto"/>
          <w:szCs w:val="21"/>
          <w:highlight w:val="none"/>
        </w:rPr>
      </w:pPr>
      <w:r>
        <w:rPr>
          <w:rFonts w:hint="eastAsia" w:ascii="Arial" w:hAnsi="Arial"/>
          <w:color w:val="auto"/>
          <w:szCs w:val="21"/>
          <w:highlight w:val="none"/>
        </w:rPr>
        <w:t>20</w:t>
      </w:r>
      <w:r>
        <w:rPr>
          <w:rFonts w:ascii="Arial" w:hAnsi="Arial"/>
          <w:color w:val="auto"/>
          <w:szCs w:val="21"/>
          <w:highlight w:val="none"/>
          <w:lang w:val="zh-CN"/>
        </w:rPr>
        <w:t xml:space="preserve">.2 </w:t>
      </w:r>
      <w:r>
        <w:rPr>
          <w:rFonts w:hint="eastAsia" w:ascii="新宋体" w:hAnsi="新宋体" w:eastAsia="新宋体" w:cs="新宋体"/>
          <w:bCs/>
          <w:color w:val="auto"/>
          <w:szCs w:val="21"/>
          <w:highlight w:val="none"/>
        </w:rPr>
        <w:t>本次招标，成交</w:t>
      </w:r>
      <w:r>
        <w:rPr>
          <w:rFonts w:ascii="新宋体" w:hAnsi="新宋体" w:eastAsia="新宋体" w:cs="新宋体"/>
          <w:bCs/>
          <w:color w:val="auto"/>
          <w:szCs w:val="21"/>
          <w:highlight w:val="none"/>
        </w:rPr>
        <w:t>通知书发出后，</w:t>
      </w:r>
      <w:r>
        <w:rPr>
          <w:rFonts w:hint="eastAsia" w:ascii="新宋体" w:hAnsi="新宋体" w:eastAsia="新宋体" w:cs="新宋体"/>
          <w:bCs/>
          <w:color w:val="auto"/>
          <w:szCs w:val="21"/>
          <w:highlight w:val="none"/>
        </w:rPr>
        <w:t>成交供应商</w:t>
      </w:r>
      <w:r>
        <w:rPr>
          <w:rFonts w:ascii="新宋体" w:hAnsi="新宋体" w:eastAsia="新宋体" w:cs="新宋体"/>
          <w:bCs/>
          <w:color w:val="auto"/>
          <w:szCs w:val="21"/>
          <w:highlight w:val="none"/>
        </w:rPr>
        <w:t>按照国家计委计价格[2002]1980号规定的收费标准的30%，向采购代理机构支付招标服务费（费率实行差额定率累进法），低于5000元的按人民币2500元收取。</w:t>
      </w:r>
      <w:r>
        <w:rPr>
          <w:rFonts w:ascii="新宋体" w:hAnsi="新宋体" w:eastAsia="新宋体" w:cs="新宋体"/>
          <w:b/>
          <w:color w:val="auto"/>
          <w:szCs w:val="21"/>
          <w:highlight w:val="none"/>
        </w:rPr>
        <w:t>本项费用</w:t>
      </w:r>
      <w:r>
        <w:rPr>
          <w:rFonts w:hint="eastAsia" w:ascii="新宋体" w:hAnsi="新宋体" w:eastAsia="新宋体" w:cs="新宋体"/>
          <w:b/>
          <w:color w:val="auto"/>
          <w:szCs w:val="21"/>
          <w:highlight w:val="none"/>
        </w:rPr>
        <w:t>包含在投标报价中，</w:t>
      </w:r>
      <w:r>
        <w:rPr>
          <w:rFonts w:ascii="新宋体" w:hAnsi="新宋体" w:eastAsia="新宋体" w:cs="新宋体"/>
          <w:b/>
          <w:color w:val="auto"/>
          <w:szCs w:val="21"/>
          <w:highlight w:val="none"/>
        </w:rPr>
        <w:t>无需在投标报价表中单列。</w:t>
      </w:r>
    </w:p>
    <w:p w14:paraId="54B97B65">
      <w:pPr>
        <w:widowControl/>
        <w:shd w:val="clear" w:color="auto" w:fill="FFFFFF"/>
        <w:spacing w:line="360" w:lineRule="auto"/>
        <w:ind w:firstLine="420"/>
        <w:rPr>
          <w:rFonts w:ascii="Arial" w:hAnsi="Arial" w:cs="Arial"/>
          <w:b/>
          <w:bCs/>
          <w:color w:val="auto"/>
          <w:szCs w:val="21"/>
          <w:highlight w:val="none"/>
        </w:rPr>
      </w:pPr>
      <w:bookmarkStart w:id="29" w:name="_Hlk210137700"/>
      <w:r>
        <w:rPr>
          <w:rFonts w:hint="eastAsia" w:ascii="Arial" w:hAnsi="Arial" w:cs="Arial"/>
          <w:b/>
          <w:bCs/>
          <w:color w:val="auto"/>
          <w:szCs w:val="21"/>
          <w:highlight w:val="none"/>
        </w:rPr>
        <w:t>九</w:t>
      </w:r>
      <w:r>
        <w:rPr>
          <w:rFonts w:ascii="Arial" w:hAnsi="Arial" w:cs="Arial"/>
          <w:b/>
          <w:bCs/>
          <w:color w:val="auto"/>
          <w:szCs w:val="21"/>
          <w:highlight w:val="none"/>
        </w:rPr>
        <w:t xml:space="preserve">、履约保证金 </w:t>
      </w:r>
    </w:p>
    <w:p w14:paraId="6ABFA2C3">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21.1 成交供应商在收到</w:t>
      </w:r>
      <w:r>
        <w:rPr>
          <w:rFonts w:hint="eastAsia" w:ascii="Arial" w:hAnsi="Arial" w:cs="Arial"/>
          <w:color w:val="auto"/>
          <w:kern w:val="2"/>
          <w:szCs w:val="24"/>
          <w:highlight w:val="none"/>
        </w:rPr>
        <w:t>成交</w:t>
      </w:r>
      <w:r>
        <w:rPr>
          <w:rFonts w:ascii="Arial" w:hAnsi="Arial" w:cs="Arial"/>
          <w:color w:val="auto"/>
          <w:kern w:val="2"/>
          <w:szCs w:val="24"/>
          <w:highlight w:val="none"/>
        </w:rPr>
        <w:t xml:space="preserve">通知书后，在与采购人签订合同前需向采购人支付履约保证金，履约保证金 用以约束供应商在合同履行中的行为，弥补合同执行中由于自身行为可能给采购人带来的各种损失。如果成交供应商不同意按照规定去做，采购人有权取消本次采购中标决定，其履约保证金不予退还。 </w:t>
      </w:r>
    </w:p>
    <w:p w14:paraId="54D40135">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 xml:space="preserve">21.2 履约保证金的退还：合同履行后，成交供应商凭采购人签署的同意退还履约保证金的证明、履约保证金收条原件，前往采购人单位办理退还手续。 </w:t>
      </w:r>
    </w:p>
    <w:p w14:paraId="643F3D72">
      <w:pPr>
        <w:spacing w:line="360" w:lineRule="auto"/>
        <w:ind w:left="420" w:leftChars="200"/>
        <w:rPr>
          <w:rFonts w:ascii="Arial" w:hAnsi="Arial" w:cs="Arial"/>
          <w:color w:val="auto"/>
          <w:kern w:val="2"/>
          <w:szCs w:val="24"/>
          <w:highlight w:val="none"/>
        </w:rPr>
      </w:pPr>
      <w:r>
        <w:rPr>
          <w:rFonts w:ascii="Arial" w:hAnsi="Arial" w:cs="Arial"/>
          <w:color w:val="auto"/>
          <w:kern w:val="2"/>
          <w:szCs w:val="24"/>
          <w:highlight w:val="none"/>
        </w:rPr>
        <w:t>21.3 成交供应商在中标后签订本合同前缴纳合同金额的</w:t>
      </w:r>
      <w:r>
        <w:rPr>
          <w:rFonts w:hint="eastAsia" w:ascii="Arial" w:hAnsi="Arial" w:cs="Arial"/>
          <w:color w:val="auto"/>
          <w:kern w:val="2"/>
          <w:szCs w:val="24"/>
          <w:highlight w:val="none"/>
        </w:rPr>
        <w:t>10</w:t>
      </w:r>
      <w:r>
        <w:rPr>
          <w:rFonts w:ascii="Arial" w:hAnsi="Arial" w:cs="Arial"/>
          <w:color w:val="auto"/>
          <w:kern w:val="2"/>
          <w:szCs w:val="24"/>
          <w:highlight w:val="none"/>
        </w:rPr>
        <w:t xml:space="preserve">%作为履约保证金。履约保证金的有效期为该项目履约后。如成交供应商未能履行合同规定的义务，采购人有权从履约保证金中取得补偿。履约保证金扣除采购人应得的补偿后的余额在有效期满后无息退还给成交供应商。 </w:t>
      </w:r>
    </w:p>
    <w:p w14:paraId="69252D88">
      <w:pPr>
        <w:spacing w:line="360" w:lineRule="auto"/>
        <w:ind w:left="420" w:leftChars="200"/>
        <w:rPr>
          <w:rFonts w:ascii="Arial" w:hAnsi="Arial" w:cs="Arial"/>
          <w:color w:val="auto"/>
          <w:kern w:val="2"/>
          <w:szCs w:val="24"/>
          <w:highlight w:val="none"/>
        </w:rPr>
      </w:pPr>
      <w:r>
        <w:rPr>
          <w:rFonts w:ascii="Arial" w:hAnsi="Arial" w:cs="Arial"/>
          <w:color w:val="auto"/>
          <w:kern w:val="2"/>
          <w:szCs w:val="24"/>
          <w:highlight w:val="none"/>
        </w:rPr>
        <w:t>21.4 履约保证金以电汇、网银转账等方式在签订合同前从</w:t>
      </w:r>
      <w:r>
        <w:rPr>
          <w:rFonts w:hint="eastAsia" w:ascii="Arial" w:hAnsi="Arial" w:cs="Arial"/>
          <w:color w:val="auto"/>
          <w:kern w:val="2"/>
          <w:szCs w:val="24"/>
          <w:highlight w:val="none"/>
        </w:rPr>
        <w:t>供应商</w:t>
      </w:r>
      <w:r>
        <w:rPr>
          <w:rFonts w:ascii="Arial" w:hAnsi="Arial" w:cs="Arial"/>
          <w:color w:val="auto"/>
          <w:kern w:val="2"/>
          <w:szCs w:val="24"/>
          <w:highlight w:val="none"/>
        </w:rPr>
        <w:t>基本账户汇至采购人指定银行账户 （采购人不接受现金）。务请在汇款时详细注明所投项目和投标单位信息，如因未按要求填写注明信息 导致无法退款的责任由投标人自负。</w:t>
      </w:r>
      <w:r>
        <w:rPr>
          <w:rFonts w:hint="eastAsia" w:ascii="Arial" w:hAnsi="Arial" w:cs="Arial"/>
          <w:color w:val="auto"/>
          <w:kern w:val="2"/>
          <w:szCs w:val="24"/>
          <w:highlight w:val="none"/>
        </w:rPr>
        <w:t>成交</w:t>
      </w:r>
      <w:r>
        <w:rPr>
          <w:rFonts w:ascii="Arial" w:hAnsi="Arial" w:cs="Arial"/>
          <w:color w:val="auto"/>
          <w:kern w:val="2"/>
          <w:szCs w:val="24"/>
          <w:highlight w:val="none"/>
        </w:rPr>
        <w:t xml:space="preserve">单位的履约保证金将在履约结束后无息退回。成交供应商可凭银行 交款凭证至我校财务处（南京市溧水区新河西路6号江苏第二师范学院石湫校区崇德楼124室）开具收据 。 </w:t>
      </w:r>
    </w:p>
    <w:p w14:paraId="5250A28E">
      <w:pPr>
        <w:spacing w:line="360" w:lineRule="auto"/>
        <w:ind w:left="420" w:leftChars="200"/>
        <w:rPr>
          <w:rFonts w:ascii="Arial" w:hAnsi="Arial" w:cs="Arial"/>
          <w:color w:val="auto"/>
          <w:kern w:val="2"/>
          <w:szCs w:val="24"/>
          <w:highlight w:val="none"/>
        </w:rPr>
      </w:pPr>
      <w:r>
        <w:rPr>
          <w:rFonts w:ascii="Arial" w:hAnsi="Arial" w:cs="Arial"/>
          <w:color w:val="auto"/>
          <w:kern w:val="2"/>
          <w:szCs w:val="24"/>
          <w:highlight w:val="none"/>
        </w:rPr>
        <w:t xml:space="preserve">21.5 采购人收款信息（履约保证金）： </w:t>
      </w:r>
    </w:p>
    <w:p w14:paraId="7A790DDB">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 xml:space="preserve">单位名称：江苏第二师范学院； </w:t>
      </w:r>
    </w:p>
    <w:p w14:paraId="11157675">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开户行（人民币）：工商银行草场门支行；</w:t>
      </w:r>
    </w:p>
    <w:p w14:paraId="7F6E2F8E">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 xml:space="preserve">账号（人民币）：4301016309001011179。 </w:t>
      </w:r>
    </w:p>
    <w:p w14:paraId="41235E9C">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21.6 下列任何情况发生时，履约保证金将不予退还：</w:t>
      </w:r>
    </w:p>
    <w:p w14:paraId="43C26864">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 xml:space="preserve">（1）投标人在投标有效期内撤回其投标； </w:t>
      </w:r>
    </w:p>
    <w:p w14:paraId="3B60CFA4">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（2）投标人提供的有关资料、资格证明文件被确认是不真实的；</w:t>
      </w:r>
    </w:p>
    <w:p w14:paraId="0C0A9FAC">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 xml:space="preserve">（3）投标人之间被证实有串通（统一哄抬价格）、欺诈行为； </w:t>
      </w:r>
    </w:p>
    <w:p w14:paraId="0E9C3BD7">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 xml:space="preserve">（4）投标人被证明有妨碍其他人公平竞争、损害采购代理机构或者其他投标人合法权益的； </w:t>
      </w:r>
    </w:p>
    <w:p w14:paraId="1AB05CFB">
      <w:pPr>
        <w:spacing w:line="360" w:lineRule="auto"/>
        <w:ind w:firstLine="420" w:firstLineChars="200"/>
        <w:rPr>
          <w:rFonts w:ascii="Arial" w:hAnsi="Arial" w:cs="Arial"/>
          <w:color w:val="auto"/>
          <w:kern w:val="2"/>
          <w:szCs w:val="24"/>
          <w:highlight w:val="none"/>
        </w:rPr>
      </w:pPr>
      <w:r>
        <w:rPr>
          <w:rFonts w:ascii="Arial" w:hAnsi="Arial" w:cs="Arial"/>
          <w:color w:val="auto"/>
          <w:kern w:val="2"/>
          <w:szCs w:val="24"/>
          <w:highlight w:val="none"/>
        </w:rPr>
        <w:t>（5）成交供应商不按合同履约。</w:t>
      </w:r>
    </w:p>
    <w:bookmarkEnd w:id="29"/>
    <w:p w14:paraId="6EB3901C">
      <w:pPr>
        <w:spacing w:line="360" w:lineRule="auto"/>
        <w:ind w:firstLine="422"/>
        <w:rPr>
          <w:rFonts w:hint="eastAsia" w:ascii="Arial" w:hAnsi="宋体" w:cs="Arial"/>
          <w:b/>
          <w:bCs/>
          <w:color w:val="auto"/>
          <w:szCs w:val="21"/>
          <w:highlight w:val="none"/>
        </w:rPr>
      </w:pPr>
      <w:r>
        <w:rPr>
          <w:rFonts w:hint="eastAsia" w:ascii="Arial" w:hAnsi="宋体" w:cs="Arial"/>
          <w:b/>
          <w:bCs/>
          <w:color w:val="auto"/>
          <w:szCs w:val="21"/>
          <w:highlight w:val="none"/>
        </w:rPr>
        <w:t>九、其他</w:t>
      </w:r>
    </w:p>
    <w:p w14:paraId="79AC65F9">
      <w:pPr>
        <w:spacing w:line="360" w:lineRule="auto"/>
        <w:ind w:firstLine="420"/>
        <w:rPr>
          <w:rFonts w:hint="eastAsia" w:ascii="宋体" w:hAnsi="宋体" w:cs="宋体"/>
          <w:color w:val="auto"/>
          <w:highlight w:val="none"/>
        </w:rPr>
      </w:pPr>
      <w:r>
        <w:rPr>
          <w:rFonts w:hint="eastAsia" w:ascii="Arial" w:hAnsi="宋体" w:cs="Arial"/>
          <w:color w:val="auto"/>
          <w:szCs w:val="21"/>
          <w:highlight w:val="none"/>
        </w:rPr>
        <w:t>22.1本项目根据江苏省财政厅关于加强政府绿色采购有关事项的通知（苏财购〔2023〕65号）规定，执行绿色采购需求标准</w:t>
      </w:r>
      <w:r>
        <w:rPr>
          <w:rFonts w:hint="eastAsia" w:ascii="宋体" w:hAnsi="宋体" w:cs="宋体"/>
          <w:color w:val="auto"/>
          <w:highlight w:val="none"/>
        </w:rPr>
        <w:t>。</w:t>
      </w:r>
    </w:p>
    <w:p w14:paraId="65D0FF8F">
      <w:pPr>
        <w:pStyle w:val="52"/>
        <w:rPr>
          <w:rFonts w:ascii="Arial" w:hAnsi="Arial" w:cs="Arial"/>
          <w:color w:val="auto"/>
          <w:highlight w:val="none"/>
          <w:lang w:val="zh-CN"/>
        </w:rPr>
      </w:pPr>
      <w:r>
        <w:rPr>
          <w:rFonts w:ascii="Arial" w:hAnsi="Arial" w:cs="Arial"/>
          <w:color w:val="auto"/>
          <w:sz w:val="24"/>
          <w:szCs w:val="24"/>
          <w:highlight w:val="none"/>
          <w:lang w:val="zh-CN"/>
        </w:rPr>
        <w:br w:type="page" w:clear="all"/>
      </w:r>
      <w:bookmarkStart w:id="30" w:name="_Toc25515"/>
      <w:r>
        <w:rPr>
          <w:rFonts w:ascii="Arial" w:hAnsi="Arial" w:cs="Arial"/>
          <w:color w:val="auto"/>
          <w:highlight w:val="none"/>
          <w:lang w:val="zh-CN"/>
        </w:rPr>
        <w:t>第三章 评</w:t>
      </w:r>
      <w:r>
        <w:rPr>
          <w:rFonts w:hint="eastAsia" w:ascii="Arial" w:hAnsi="Arial" w:cs="Arial"/>
          <w:color w:val="auto"/>
          <w:highlight w:val="none"/>
          <w:lang w:val="zh-CN"/>
        </w:rPr>
        <w:t>审</w:t>
      </w:r>
      <w:r>
        <w:rPr>
          <w:rFonts w:ascii="Arial" w:hAnsi="Arial" w:cs="Arial"/>
          <w:color w:val="auto"/>
          <w:highlight w:val="none"/>
          <w:lang w:val="zh-CN"/>
        </w:rPr>
        <w:t>标准</w:t>
      </w:r>
      <w:bookmarkEnd w:id="30"/>
    </w:p>
    <w:p w14:paraId="1DE905C4">
      <w:pPr>
        <w:widowControl/>
        <w:shd w:val="clear" w:color="auto" w:fill="FFFFFF"/>
        <w:spacing w:line="360" w:lineRule="auto"/>
        <w:rPr>
          <w:rFonts w:ascii="Arial" w:hAnsi="Arial" w:cs="Arial"/>
          <w:b/>
          <w:bCs/>
          <w:color w:val="auto"/>
          <w:szCs w:val="21"/>
          <w:highlight w:val="none"/>
        </w:rPr>
      </w:pPr>
    </w:p>
    <w:p w14:paraId="0F8EEA80">
      <w:pPr>
        <w:spacing w:line="360" w:lineRule="auto"/>
        <w:ind w:firstLine="420"/>
        <w:rPr>
          <w:rFonts w:ascii="Arial" w:hAnsi="Arial" w:cs="Arial"/>
          <w:color w:val="auto"/>
          <w:highlight w:val="none"/>
        </w:rPr>
      </w:pPr>
      <w:r>
        <w:rPr>
          <w:rFonts w:ascii="Arial" w:hAnsi="Arial" w:cs="Arial"/>
          <w:color w:val="auto"/>
          <w:highlight w:val="none"/>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施工组织设计优劣顺序排列，由磋商小组确定成交供应商。</w:t>
      </w:r>
    </w:p>
    <w:tbl>
      <w:tblPr>
        <w:tblStyle w:val="54"/>
        <w:tblW w:w="5009"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439"/>
        <w:gridCol w:w="711"/>
        <w:gridCol w:w="6010"/>
        <w:gridCol w:w="401"/>
      </w:tblGrid>
      <w:tr w14:paraId="60C46A6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600" w:hRule="atLeast"/>
          <w:jc w:val="center"/>
        </w:trPr>
        <w:tc>
          <w:tcPr>
            <w:tcW w:w="841" w:type="pct"/>
            <w:tcBorders>
              <w:top w:val="single" w:color="auto" w:sz="12" w:space="0"/>
              <w:left w:val="single" w:color="auto" w:sz="12" w:space="0"/>
              <w:bottom w:val="nil"/>
              <w:right w:val="nil"/>
            </w:tcBorders>
            <w:tcMar>
              <w:top w:w="20" w:type="dxa"/>
              <w:left w:w="20" w:type="dxa"/>
              <w:bottom w:w="20" w:type="dxa"/>
              <w:right w:w="20" w:type="dxa"/>
            </w:tcMar>
            <w:vAlign w:val="center"/>
          </w:tcPr>
          <w:p w14:paraId="2424BBE0">
            <w:pPr>
              <w:wordWrap w:val="0"/>
              <w:spacing w:line="315" w:lineRule="exact"/>
              <w:jc w:val="center"/>
              <w:rPr>
                <w:rFonts w:hint="eastAsia" w:ascii="等线" w:hAnsi="等线" w:eastAsia="等线"/>
                <w:color w:val="auto"/>
                <w:kern w:val="2"/>
                <w:sz w:val="22"/>
                <w:szCs w:val="24"/>
                <w:highlight w:val="none"/>
              </w:rPr>
            </w:pPr>
            <w:r>
              <w:rPr>
                <w:rFonts w:ascii="宋体" w:hAnsi="宋体" w:cs="宋体"/>
                <w:b/>
                <w:color w:val="auto"/>
                <w:kern w:val="2"/>
                <w:szCs w:val="24"/>
                <w:highlight w:val="none"/>
              </w:rPr>
              <w:t>评分因素</w:t>
            </w:r>
          </w:p>
        </w:tc>
        <w:tc>
          <w:tcPr>
            <w:tcW w:w="415" w:type="pct"/>
            <w:tcBorders>
              <w:top w:val="single" w:color="auto" w:sz="12" w:space="0"/>
              <w:left w:val="single" w:color="auto" w:sz="6" w:space="0"/>
              <w:bottom w:val="nil"/>
              <w:right w:val="nil"/>
            </w:tcBorders>
            <w:tcMar>
              <w:top w:w="20" w:type="dxa"/>
              <w:left w:w="20" w:type="dxa"/>
              <w:bottom w:w="20" w:type="dxa"/>
              <w:right w:w="20" w:type="dxa"/>
            </w:tcMar>
            <w:vAlign w:val="center"/>
          </w:tcPr>
          <w:p w14:paraId="3048381F">
            <w:pPr>
              <w:wordWrap w:val="0"/>
              <w:spacing w:line="315" w:lineRule="exact"/>
              <w:jc w:val="center"/>
              <w:rPr>
                <w:rFonts w:hint="eastAsia" w:ascii="等线" w:hAnsi="等线" w:eastAsia="等线"/>
                <w:color w:val="auto"/>
                <w:kern w:val="2"/>
                <w:sz w:val="22"/>
                <w:szCs w:val="24"/>
                <w:highlight w:val="none"/>
              </w:rPr>
            </w:pPr>
            <w:r>
              <w:rPr>
                <w:rFonts w:ascii="宋体" w:hAnsi="宋体" w:cs="宋体"/>
                <w:b/>
                <w:color w:val="auto"/>
                <w:kern w:val="2"/>
                <w:szCs w:val="24"/>
                <w:highlight w:val="none"/>
              </w:rPr>
              <w:t>分值</w:t>
            </w:r>
          </w:p>
        </w:tc>
        <w:tc>
          <w:tcPr>
            <w:tcW w:w="3510" w:type="pct"/>
            <w:tcBorders>
              <w:top w:val="single" w:color="auto" w:sz="12" w:space="0"/>
              <w:left w:val="single" w:color="auto" w:sz="6" w:space="0"/>
              <w:bottom w:val="nil"/>
              <w:right w:val="nil"/>
            </w:tcBorders>
            <w:tcMar>
              <w:top w:w="20" w:type="dxa"/>
              <w:left w:w="20" w:type="dxa"/>
              <w:bottom w:w="20" w:type="dxa"/>
              <w:right w:w="20" w:type="dxa"/>
            </w:tcMar>
            <w:vAlign w:val="center"/>
          </w:tcPr>
          <w:p w14:paraId="5D9DDC7E">
            <w:pPr>
              <w:wordWrap w:val="0"/>
              <w:spacing w:line="315" w:lineRule="exact"/>
              <w:jc w:val="center"/>
              <w:rPr>
                <w:rFonts w:hint="eastAsia" w:ascii="等线" w:hAnsi="等线" w:eastAsia="等线"/>
                <w:color w:val="auto"/>
                <w:kern w:val="2"/>
                <w:sz w:val="22"/>
                <w:szCs w:val="24"/>
                <w:highlight w:val="none"/>
              </w:rPr>
            </w:pPr>
            <w:r>
              <w:rPr>
                <w:rFonts w:ascii="宋体" w:hAnsi="宋体" w:cs="宋体"/>
                <w:b/>
                <w:color w:val="auto"/>
                <w:kern w:val="2"/>
                <w:szCs w:val="24"/>
                <w:highlight w:val="none"/>
              </w:rPr>
              <w:t>评分标准</w:t>
            </w:r>
          </w:p>
        </w:tc>
        <w:tc>
          <w:tcPr>
            <w:tcW w:w="234" w:type="pct"/>
            <w:tcBorders>
              <w:top w:val="nil"/>
              <w:left w:val="single" w:color="auto" w:sz="12" w:space="0"/>
              <w:bottom w:val="nil"/>
              <w:right w:val="nil"/>
            </w:tcBorders>
            <w:tcMar>
              <w:top w:w="20" w:type="dxa"/>
              <w:left w:w="20" w:type="dxa"/>
              <w:bottom w:w="20" w:type="dxa"/>
              <w:right w:w="20" w:type="dxa"/>
            </w:tcMar>
            <w:vAlign w:val="center"/>
          </w:tcPr>
          <w:p w14:paraId="0C20C8CF">
            <w:pPr>
              <w:wordWrap w:val="0"/>
              <w:spacing w:after="160" w:line="278" w:lineRule="auto"/>
              <w:jc w:val="left"/>
              <w:rPr>
                <w:rFonts w:hint="eastAsia" w:ascii="等线" w:hAnsi="等线" w:eastAsia="等线"/>
                <w:color w:val="auto"/>
                <w:kern w:val="2"/>
                <w:sz w:val="22"/>
                <w:szCs w:val="24"/>
                <w:highlight w:val="none"/>
              </w:rPr>
            </w:pPr>
          </w:p>
        </w:tc>
      </w:tr>
      <w:tr w14:paraId="10AC7B0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1010" w:hRule="atLeast"/>
          <w:jc w:val="center"/>
        </w:trPr>
        <w:tc>
          <w:tcPr>
            <w:tcW w:w="841" w:type="pct"/>
            <w:tcBorders>
              <w:top w:val="single" w:color="auto" w:sz="6" w:space="0"/>
              <w:left w:val="single" w:color="auto" w:sz="12" w:space="0"/>
              <w:bottom w:val="single" w:color="auto" w:sz="4" w:space="0"/>
              <w:right w:val="nil"/>
            </w:tcBorders>
            <w:tcMar>
              <w:top w:w="20" w:type="dxa"/>
              <w:left w:w="20" w:type="dxa"/>
              <w:bottom w:w="20" w:type="dxa"/>
              <w:right w:w="20" w:type="dxa"/>
            </w:tcMar>
            <w:vAlign w:val="center"/>
          </w:tcPr>
          <w:p w14:paraId="6A334DB4">
            <w:pPr>
              <w:wordWrap w:val="0"/>
              <w:spacing w:line="315" w:lineRule="exact"/>
              <w:jc w:val="center"/>
              <w:rPr>
                <w:rFonts w:hint="eastAsia" w:ascii="等线" w:hAnsi="等线" w:eastAsia="宋体"/>
                <w:color w:val="auto"/>
                <w:kern w:val="2"/>
                <w:sz w:val="22"/>
                <w:szCs w:val="24"/>
                <w:highlight w:val="none"/>
                <w:lang w:val="en-US" w:eastAsia="zh-CN"/>
              </w:rPr>
            </w:pPr>
            <w:r>
              <w:rPr>
                <w:rFonts w:ascii="宋体" w:hAnsi="宋体" w:cs="宋体"/>
                <w:color w:val="auto"/>
                <w:kern w:val="2"/>
                <w:szCs w:val="24"/>
                <w:highlight w:val="none"/>
              </w:rPr>
              <w:t>投标报价</w:t>
            </w:r>
            <w:r>
              <w:rPr>
                <w:rFonts w:hint="eastAsia" w:ascii="宋体" w:hAnsi="宋体" w:cs="宋体"/>
                <w:color w:val="auto"/>
                <w:kern w:val="2"/>
                <w:szCs w:val="24"/>
                <w:highlight w:val="none"/>
                <w:lang w:val="en-US" w:eastAsia="zh-CN"/>
              </w:rPr>
              <w:t>1</w:t>
            </w:r>
          </w:p>
        </w:tc>
        <w:tc>
          <w:tcPr>
            <w:tcW w:w="415" w:type="pct"/>
            <w:tcBorders>
              <w:top w:val="single" w:color="auto" w:sz="6" w:space="0"/>
              <w:left w:val="single" w:color="auto" w:sz="6" w:space="0"/>
              <w:bottom w:val="single" w:color="auto" w:sz="4" w:space="0"/>
              <w:right w:val="nil"/>
            </w:tcBorders>
            <w:tcMar>
              <w:top w:w="20" w:type="dxa"/>
              <w:left w:w="20" w:type="dxa"/>
              <w:bottom w:w="20" w:type="dxa"/>
              <w:right w:w="20" w:type="dxa"/>
            </w:tcMar>
            <w:vAlign w:val="center"/>
          </w:tcPr>
          <w:p w14:paraId="4D38F37E">
            <w:pPr>
              <w:wordWrap w:val="0"/>
              <w:spacing w:after="160" w:line="278" w:lineRule="auto"/>
              <w:jc w:val="center"/>
              <w:rPr>
                <w:rFonts w:hint="default" w:ascii="等线" w:hAnsi="等线" w:eastAsia="宋体"/>
                <w:color w:val="auto"/>
                <w:kern w:val="2"/>
                <w:sz w:val="22"/>
                <w:szCs w:val="24"/>
                <w:highlight w:val="none"/>
                <w:lang w:val="en-US" w:eastAsia="zh-CN"/>
              </w:rPr>
            </w:pPr>
            <w:r>
              <w:rPr>
                <w:rFonts w:hint="eastAsia" w:ascii="宋体" w:hAnsi="宋体" w:cs="宋体"/>
                <w:color w:val="auto"/>
                <w:kern w:val="2"/>
                <w:szCs w:val="24"/>
                <w:highlight w:val="none"/>
                <w:lang w:val="en-US" w:eastAsia="zh-CN"/>
              </w:rPr>
              <w:t>40</w:t>
            </w:r>
          </w:p>
        </w:tc>
        <w:tc>
          <w:tcPr>
            <w:tcW w:w="3510" w:type="pct"/>
            <w:tcBorders>
              <w:top w:val="single" w:color="auto" w:sz="6" w:space="0"/>
              <w:left w:val="single" w:color="auto" w:sz="6" w:space="0"/>
              <w:bottom w:val="single" w:color="auto" w:sz="4" w:space="0"/>
              <w:right w:val="nil"/>
            </w:tcBorders>
            <w:tcMar>
              <w:top w:w="20" w:type="dxa"/>
              <w:left w:w="20" w:type="dxa"/>
              <w:bottom w:w="20" w:type="dxa"/>
              <w:right w:w="20" w:type="dxa"/>
            </w:tcMar>
          </w:tcPr>
          <w:p w14:paraId="77CCC22E">
            <w:pPr>
              <w:wordWrap w:val="0"/>
              <w:spacing w:line="315" w:lineRule="exact"/>
              <w:jc w:val="left"/>
              <w:rPr>
                <w:rFonts w:hint="eastAsia" w:ascii="宋体" w:hAnsi="宋体" w:eastAsia="宋体" w:cs="宋体"/>
                <w:color w:val="auto"/>
                <w:kern w:val="2"/>
                <w:szCs w:val="24"/>
                <w:highlight w:val="none"/>
                <w:lang w:eastAsia="zh-CN"/>
              </w:rPr>
            </w:pPr>
            <w:r>
              <w:rPr>
                <w:rFonts w:hint="eastAsia" w:ascii="宋体" w:hAnsi="宋体" w:cs="宋体"/>
                <w:color w:val="auto"/>
                <w:kern w:val="2"/>
                <w:szCs w:val="24"/>
                <w:highlight w:val="none"/>
                <w:lang w:val="en-US" w:eastAsia="zh-CN"/>
              </w:rPr>
              <w:t>1.</w:t>
            </w:r>
            <w:r>
              <w:rPr>
                <w:rFonts w:hint="eastAsia" w:ascii="宋体" w:hAnsi="宋体" w:cs="宋体"/>
                <w:color w:val="auto"/>
                <w:kern w:val="2"/>
                <w:szCs w:val="24"/>
                <w:highlight w:val="none"/>
              </w:rPr>
              <w:t>单间维修费用报价分40分</w:t>
            </w:r>
            <w:r>
              <w:rPr>
                <w:rFonts w:hint="eastAsia" w:ascii="宋体" w:hAnsi="宋体" w:cs="宋体"/>
                <w:color w:val="auto"/>
                <w:kern w:val="2"/>
                <w:szCs w:val="24"/>
                <w:highlight w:val="none"/>
                <w:lang w:eastAsia="zh-CN"/>
              </w:rPr>
              <w:t>：</w:t>
            </w:r>
          </w:p>
          <w:p w14:paraId="1CE20157">
            <w:pPr>
              <w:wordWrap w:val="0"/>
              <w:spacing w:line="315" w:lineRule="exact"/>
              <w:jc w:val="left"/>
              <w:rPr>
                <w:rFonts w:hint="eastAsia" w:ascii="等线" w:hAnsi="等线" w:eastAsia="等线"/>
                <w:color w:val="auto"/>
                <w:kern w:val="2"/>
                <w:sz w:val="22"/>
                <w:szCs w:val="24"/>
                <w:highlight w:val="none"/>
              </w:rPr>
            </w:pPr>
            <w:r>
              <w:rPr>
                <w:rFonts w:hint="eastAsia" w:ascii="宋体" w:hAnsi="宋体" w:cs="宋体"/>
                <w:color w:val="auto"/>
                <w:kern w:val="2"/>
                <w:szCs w:val="24"/>
                <w:highlight w:val="none"/>
              </w:rPr>
              <w:t>按单间维修费用报价进行评分，单间维修费用不超过</w:t>
            </w:r>
            <w:r>
              <w:rPr>
                <w:rFonts w:hint="eastAsia" w:ascii="宋体" w:hAnsi="宋体" w:cs="宋体"/>
                <w:color w:val="auto"/>
                <w:kern w:val="2"/>
                <w:szCs w:val="24"/>
                <w:highlight w:val="none"/>
                <w:lang w:eastAsia="zh-CN"/>
              </w:rPr>
              <w:t>3495.91</w:t>
            </w:r>
            <w:r>
              <w:rPr>
                <w:rFonts w:hint="eastAsia" w:ascii="宋体" w:hAnsi="宋体" w:cs="宋体"/>
                <w:color w:val="auto"/>
                <w:kern w:val="2"/>
                <w:szCs w:val="24"/>
                <w:highlight w:val="none"/>
              </w:rPr>
              <w:t>元/间为有效报价。以有效投标文件最低价为基准价，其价格分为满分。其他投标人的价格分按照下列公式计算:投标报价得分=(评标基准价/投标报价)*40，精确到小数点后2位数。</w:t>
            </w:r>
          </w:p>
        </w:tc>
        <w:tc>
          <w:tcPr>
            <w:tcW w:w="234" w:type="pct"/>
            <w:vMerge w:val="restart"/>
            <w:tcBorders>
              <w:top w:val="nil"/>
              <w:left w:val="single" w:color="auto" w:sz="12" w:space="0"/>
              <w:right w:val="nil"/>
            </w:tcBorders>
            <w:tcMar>
              <w:top w:w="20" w:type="dxa"/>
              <w:left w:w="20" w:type="dxa"/>
              <w:bottom w:w="20" w:type="dxa"/>
              <w:right w:w="20" w:type="dxa"/>
            </w:tcMar>
            <w:vAlign w:val="center"/>
          </w:tcPr>
          <w:p w14:paraId="255A34E8">
            <w:pPr>
              <w:wordWrap w:val="0"/>
              <w:spacing w:after="160" w:line="278" w:lineRule="auto"/>
              <w:jc w:val="left"/>
              <w:rPr>
                <w:rFonts w:hint="eastAsia" w:ascii="等线" w:hAnsi="等线" w:eastAsia="等线"/>
                <w:color w:val="auto"/>
                <w:kern w:val="2"/>
                <w:sz w:val="22"/>
                <w:szCs w:val="24"/>
                <w:highlight w:val="none"/>
              </w:rPr>
            </w:pPr>
          </w:p>
        </w:tc>
      </w:tr>
      <w:tr w14:paraId="1CEA252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5" w:hRule="atLeast"/>
          <w:jc w:val="center"/>
        </w:trPr>
        <w:tc>
          <w:tcPr>
            <w:tcW w:w="841" w:type="pct"/>
            <w:tcBorders>
              <w:top w:val="single" w:color="auto" w:sz="4" w:space="0"/>
              <w:left w:val="single" w:color="auto" w:sz="12" w:space="0"/>
              <w:bottom w:val="nil"/>
              <w:right w:val="nil"/>
            </w:tcBorders>
            <w:tcMar>
              <w:top w:w="20" w:type="dxa"/>
              <w:left w:w="20" w:type="dxa"/>
              <w:bottom w:w="20" w:type="dxa"/>
              <w:right w:w="20" w:type="dxa"/>
            </w:tcMar>
            <w:vAlign w:val="center"/>
          </w:tcPr>
          <w:p w14:paraId="3E6B9843">
            <w:pPr>
              <w:wordWrap w:val="0"/>
              <w:spacing w:line="315" w:lineRule="exact"/>
              <w:jc w:val="center"/>
              <w:rPr>
                <w:rFonts w:ascii="宋体" w:hAnsi="宋体" w:cs="宋体"/>
                <w:color w:val="auto"/>
                <w:kern w:val="2"/>
                <w:szCs w:val="24"/>
                <w:highlight w:val="none"/>
              </w:rPr>
            </w:pPr>
            <w:r>
              <w:rPr>
                <w:rFonts w:ascii="宋体" w:hAnsi="宋体" w:cs="宋体"/>
                <w:color w:val="auto"/>
                <w:kern w:val="2"/>
                <w:szCs w:val="24"/>
                <w:highlight w:val="none"/>
              </w:rPr>
              <w:t>投标报价</w:t>
            </w:r>
            <w:r>
              <w:rPr>
                <w:rFonts w:hint="eastAsia" w:ascii="宋体" w:hAnsi="宋体" w:cs="宋体"/>
                <w:color w:val="auto"/>
                <w:kern w:val="2"/>
                <w:szCs w:val="24"/>
                <w:highlight w:val="none"/>
                <w:lang w:val="en-US" w:eastAsia="zh-CN"/>
              </w:rPr>
              <w:t>2</w:t>
            </w:r>
          </w:p>
        </w:tc>
        <w:tc>
          <w:tcPr>
            <w:tcW w:w="415" w:type="pct"/>
            <w:tcBorders>
              <w:top w:val="single" w:color="auto" w:sz="4" w:space="0"/>
              <w:left w:val="single" w:color="auto" w:sz="6" w:space="0"/>
              <w:bottom w:val="nil"/>
              <w:right w:val="nil"/>
            </w:tcBorders>
            <w:tcMar>
              <w:top w:w="20" w:type="dxa"/>
              <w:left w:w="20" w:type="dxa"/>
              <w:bottom w:w="20" w:type="dxa"/>
              <w:right w:w="20" w:type="dxa"/>
            </w:tcMar>
            <w:vAlign w:val="center"/>
          </w:tcPr>
          <w:p w14:paraId="299DD078">
            <w:pPr>
              <w:wordWrap w:val="0"/>
              <w:spacing w:after="160" w:line="278" w:lineRule="auto"/>
              <w:jc w:val="center"/>
              <w:rPr>
                <w:rFonts w:hint="default" w:ascii="宋体" w:hAnsi="宋体" w:eastAsia="宋体" w:cs="宋体"/>
                <w:color w:val="auto"/>
                <w:kern w:val="2"/>
                <w:szCs w:val="24"/>
                <w:highlight w:val="none"/>
                <w:lang w:val="en-US" w:eastAsia="zh-CN"/>
              </w:rPr>
            </w:pPr>
            <w:r>
              <w:rPr>
                <w:rFonts w:hint="eastAsia" w:ascii="宋体" w:hAnsi="宋体" w:cs="宋体"/>
                <w:color w:val="auto"/>
                <w:kern w:val="2"/>
                <w:szCs w:val="24"/>
                <w:highlight w:val="none"/>
                <w:lang w:val="en-US" w:eastAsia="zh-CN"/>
              </w:rPr>
              <w:t>10</w:t>
            </w:r>
          </w:p>
        </w:tc>
        <w:tc>
          <w:tcPr>
            <w:tcW w:w="3510" w:type="pct"/>
            <w:tcBorders>
              <w:top w:val="single" w:color="auto" w:sz="4" w:space="0"/>
              <w:left w:val="single" w:color="auto" w:sz="6" w:space="0"/>
              <w:bottom w:val="nil"/>
              <w:right w:val="nil"/>
            </w:tcBorders>
            <w:tcMar>
              <w:top w:w="20" w:type="dxa"/>
              <w:left w:w="20" w:type="dxa"/>
              <w:bottom w:w="20" w:type="dxa"/>
              <w:right w:w="20" w:type="dxa"/>
            </w:tcMar>
          </w:tcPr>
          <w:p w14:paraId="5CA4BD70">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2.墙砖空鼓单方维修费用报价分10分:</w:t>
            </w:r>
          </w:p>
          <w:p w14:paraId="161BB99E">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按单方维修费用报价进行评分，单方维修费用不超过</w:t>
            </w:r>
            <w:r>
              <w:rPr>
                <w:rFonts w:hint="eastAsia" w:ascii="宋体" w:hAnsi="宋体" w:cs="宋体"/>
                <w:color w:val="auto"/>
                <w:kern w:val="2"/>
                <w:szCs w:val="24"/>
                <w:highlight w:val="none"/>
                <w:lang w:eastAsia="zh-CN"/>
              </w:rPr>
              <w:t>199.16</w:t>
            </w:r>
            <w:r>
              <w:rPr>
                <w:rFonts w:hint="eastAsia" w:ascii="宋体" w:hAnsi="宋体" w:cs="宋体"/>
                <w:color w:val="auto"/>
                <w:kern w:val="2"/>
                <w:szCs w:val="24"/>
                <w:highlight w:val="none"/>
              </w:rPr>
              <w:t>元/平方米为有效报价。以有效投标文件最低价为基准价，其价格分为满分。其他投标人的价格分按照下列公式计算:投标报价得分=(评标基准价/投标报价)*10，精确到小数点后2位数。</w:t>
            </w:r>
          </w:p>
        </w:tc>
        <w:tc>
          <w:tcPr>
            <w:tcW w:w="234" w:type="pct"/>
            <w:vMerge w:val="continue"/>
            <w:tcBorders>
              <w:left w:val="single" w:color="auto" w:sz="12" w:space="0"/>
              <w:bottom w:val="nil"/>
              <w:right w:val="nil"/>
            </w:tcBorders>
            <w:tcMar>
              <w:top w:w="20" w:type="dxa"/>
              <w:left w:w="20" w:type="dxa"/>
              <w:bottom w:w="20" w:type="dxa"/>
              <w:right w:w="20" w:type="dxa"/>
            </w:tcMar>
            <w:vAlign w:val="center"/>
          </w:tcPr>
          <w:p w14:paraId="68B559E5">
            <w:pPr>
              <w:wordWrap w:val="0"/>
              <w:spacing w:after="160" w:line="278" w:lineRule="auto"/>
              <w:jc w:val="left"/>
              <w:rPr>
                <w:rFonts w:hint="eastAsia" w:ascii="等线" w:hAnsi="等线" w:eastAsia="等线"/>
                <w:color w:val="auto"/>
                <w:kern w:val="2"/>
                <w:sz w:val="22"/>
                <w:szCs w:val="24"/>
                <w:highlight w:val="none"/>
              </w:rPr>
            </w:pPr>
          </w:p>
        </w:tc>
      </w:tr>
      <w:tr w14:paraId="78331EBD">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841" w:type="pct"/>
            <w:tcBorders>
              <w:top w:val="single" w:color="auto" w:sz="6" w:space="0"/>
              <w:left w:val="single" w:color="auto" w:sz="12" w:space="0"/>
              <w:bottom w:val="nil"/>
              <w:right w:val="nil"/>
            </w:tcBorders>
            <w:tcMar>
              <w:top w:w="20" w:type="dxa"/>
              <w:left w:w="20" w:type="dxa"/>
              <w:bottom w:w="20" w:type="dxa"/>
              <w:right w:w="20" w:type="dxa"/>
            </w:tcMar>
            <w:vAlign w:val="center"/>
          </w:tcPr>
          <w:p w14:paraId="43F79D38">
            <w:pPr>
              <w:wordWrap w:val="0"/>
              <w:spacing w:line="315" w:lineRule="exact"/>
              <w:jc w:val="center"/>
              <w:rPr>
                <w:rFonts w:hint="eastAsia" w:ascii="等线" w:hAnsi="等线" w:eastAsia="等线"/>
                <w:color w:val="auto"/>
                <w:kern w:val="2"/>
                <w:sz w:val="22"/>
                <w:szCs w:val="24"/>
                <w:highlight w:val="none"/>
              </w:rPr>
            </w:pPr>
            <w:r>
              <w:rPr>
                <w:rFonts w:ascii="宋体" w:hAnsi="宋体" w:cs="宋体"/>
                <w:color w:val="auto"/>
                <w:kern w:val="2"/>
                <w:szCs w:val="24"/>
                <w:highlight w:val="none"/>
              </w:rPr>
              <w:t>施工组织设计</w:t>
            </w:r>
          </w:p>
        </w:tc>
        <w:tc>
          <w:tcPr>
            <w:tcW w:w="415" w:type="pct"/>
            <w:tcBorders>
              <w:top w:val="single" w:color="auto" w:sz="6" w:space="0"/>
              <w:left w:val="single" w:color="auto" w:sz="6" w:space="0"/>
              <w:bottom w:val="nil"/>
              <w:right w:val="nil"/>
            </w:tcBorders>
            <w:tcMar>
              <w:top w:w="20" w:type="dxa"/>
              <w:left w:w="20" w:type="dxa"/>
              <w:bottom w:w="20" w:type="dxa"/>
              <w:right w:w="20" w:type="dxa"/>
            </w:tcMar>
            <w:vAlign w:val="center"/>
          </w:tcPr>
          <w:p w14:paraId="0D574E9B">
            <w:pPr>
              <w:wordWrap w:val="0"/>
              <w:spacing w:after="160" w:line="278" w:lineRule="auto"/>
              <w:jc w:val="center"/>
              <w:rPr>
                <w:rFonts w:hint="eastAsia" w:ascii="等线" w:hAnsi="等线" w:eastAsia="等线"/>
                <w:color w:val="auto"/>
                <w:kern w:val="2"/>
                <w:sz w:val="22"/>
                <w:szCs w:val="24"/>
                <w:highlight w:val="none"/>
              </w:rPr>
            </w:pPr>
            <w:r>
              <w:rPr>
                <w:rFonts w:ascii="宋体" w:hAnsi="宋体" w:cs="宋体"/>
                <w:color w:val="auto"/>
                <w:kern w:val="2"/>
                <w:szCs w:val="24"/>
                <w:highlight w:val="none"/>
              </w:rPr>
              <w:t>20</w:t>
            </w:r>
          </w:p>
        </w:tc>
        <w:tc>
          <w:tcPr>
            <w:tcW w:w="3510" w:type="pct"/>
            <w:tcBorders>
              <w:top w:val="single" w:color="auto" w:sz="6" w:space="0"/>
              <w:left w:val="single" w:color="auto" w:sz="6" w:space="0"/>
              <w:bottom w:val="nil"/>
              <w:right w:val="nil"/>
            </w:tcBorders>
            <w:tcMar>
              <w:top w:w="20" w:type="dxa"/>
              <w:left w:w="20" w:type="dxa"/>
              <w:bottom w:w="20" w:type="dxa"/>
              <w:right w:w="20" w:type="dxa"/>
            </w:tcMar>
          </w:tcPr>
          <w:p w14:paraId="3A394D56">
            <w:pPr>
              <w:wordWrap w:val="0"/>
              <w:spacing w:line="315" w:lineRule="exact"/>
              <w:jc w:val="left"/>
              <w:rPr>
                <w:rFonts w:hint="eastAsia" w:ascii="宋体" w:hAnsi="宋体" w:cs="宋体"/>
                <w:color w:val="auto"/>
                <w:kern w:val="2"/>
                <w:szCs w:val="24"/>
                <w:highlight w:val="none"/>
              </w:rPr>
            </w:pPr>
            <w:bookmarkStart w:id="31" w:name="OLE_LINK1"/>
            <w:r>
              <w:rPr>
                <w:rFonts w:hint="eastAsia" w:ascii="宋体" w:hAnsi="宋体" w:cs="宋体"/>
                <w:color w:val="auto"/>
                <w:kern w:val="2"/>
                <w:szCs w:val="24"/>
                <w:highlight w:val="none"/>
              </w:rPr>
              <w:t>（一）供应商应根据采购文件要求提供施工组织设计，需包含以下必备内容：</w:t>
            </w:r>
          </w:p>
          <w:p w14:paraId="4358A227">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1. 进度计划安排；</w:t>
            </w:r>
          </w:p>
          <w:p w14:paraId="3A5177B4">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2. 整体施工方案；</w:t>
            </w:r>
          </w:p>
          <w:p w14:paraId="6269FD72">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3. 成品保护措施；</w:t>
            </w:r>
          </w:p>
          <w:p w14:paraId="172CDC14">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上述三项内容均完整提供，且每项内容具体详实、针对性强、可量化、可落地，完全满足本项目施工需求，得10分；</w:t>
            </w:r>
          </w:p>
          <w:p w14:paraId="2F03A0B1">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上述三项内容齐全无缺失，整体内容较为完善，但个别内容细化不足、可操作性一般，得7分；</w:t>
            </w:r>
          </w:p>
          <w:p w14:paraId="39386D55">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缺少任意一项内容，或单项内容过于笼统、流于形式、无具体落地措施，整体方案基本可行，得4分；</w:t>
            </w:r>
          </w:p>
          <w:p w14:paraId="44C73736">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缺少任意两项内容，或整体内容单薄、针对性差、可操作性弱，难以满足项目施工需求，得1分；</w:t>
            </w:r>
          </w:p>
          <w:p w14:paraId="299DEA96">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未提供施工组织设计方案的，得0分。</w:t>
            </w:r>
          </w:p>
          <w:p w14:paraId="2A3D3969">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（二）供应商应根据采购文件要求提供重点施工专项方案，需包含以下必备内容：</w:t>
            </w:r>
          </w:p>
          <w:p w14:paraId="09D03E79">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1. 流水施工队伍安排；</w:t>
            </w:r>
          </w:p>
          <w:p w14:paraId="14F96CD2">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2. 防水施工方案；</w:t>
            </w:r>
          </w:p>
          <w:p w14:paraId="3FD064FE">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3. 防水质量保证措施；</w:t>
            </w:r>
          </w:p>
          <w:p w14:paraId="38BF40A9">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4. 防水施工重点、难点和解决方案。</w:t>
            </w:r>
          </w:p>
          <w:p w14:paraId="1C206BD0">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上述四项内容均完整提供，且每项内容具体详实、针对性强、可量化、可落地，完全满足本项目施工需求，得10分；</w:t>
            </w:r>
          </w:p>
          <w:p w14:paraId="22D4CAEE">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上述四项内容齐全无缺失，整体内容较为完善，但个别内容细化不足、可操作性一般，得7分；</w:t>
            </w:r>
          </w:p>
          <w:p w14:paraId="5879C10F">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缺少任意一项内容，或单项内容过于笼统、流于形式、无具体落地措施，整体方案基本可行，得4分；</w:t>
            </w:r>
          </w:p>
          <w:p w14:paraId="51F049EB">
            <w:pPr>
              <w:wordWrap w:val="0"/>
              <w:spacing w:line="315" w:lineRule="exact"/>
              <w:jc w:val="left"/>
              <w:rPr>
                <w:rFonts w:hint="eastAsia" w:ascii="宋体" w:hAnsi="宋体" w:cs="宋体"/>
                <w:color w:val="auto"/>
                <w:kern w:val="2"/>
                <w:szCs w:val="24"/>
                <w:highlight w:val="none"/>
              </w:rPr>
            </w:pPr>
            <w:r>
              <w:rPr>
                <w:rFonts w:hint="eastAsia" w:ascii="宋体" w:hAnsi="宋体" w:cs="宋体"/>
                <w:color w:val="auto"/>
                <w:kern w:val="2"/>
                <w:szCs w:val="24"/>
                <w:highlight w:val="none"/>
              </w:rPr>
              <w:t>缺少任意两项及以上内容，或整体内容单薄、针对性差、可操作性弱，难以满足项目施工需求，得1分；</w:t>
            </w:r>
          </w:p>
          <w:p w14:paraId="1FF01F34">
            <w:pPr>
              <w:wordWrap w:val="0"/>
              <w:spacing w:line="315" w:lineRule="exact"/>
              <w:jc w:val="left"/>
              <w:rPr>
                <w:rFonts w:hint="eastAsia" w:ascii="等线" w:hAnsi="等线" w:eastAsia="等线"/>
                <w:color w:val="auto"/>
                <w:kern w:val="2"/>
                <w:sz w:val="22"/>
                <w:szCs w:val="24"/>
                <w:highlight w:val="none"/>
              </w:rPr>
            </w:pPr>
            <w:r>
              <w:rPr>
                <w:rFonts w:hint="eastAsia" w:ascii="宋体" w:hAnsi="宋体" w:cs="宋体"/>
                <w:color w:val="auto"/>
                <w:kern w:val="2"/>
                <w:szCs w:val="24"/>
                <w:highlight w:val="none"/>
              </w:rPr>
              <w:t>未提供重点施工专项方案的，得0分。</w:t>
            </w:r>
            <w:bookmarkEnd w:id="31"/>
          </w:p>
        </w:tc>
        <w:tc>
          <w:tcPr>
            <w:tcW w:w="234" w:type="pct"/>
            <w:tcBorders>
              <w:top w:val="nil"/>
              <w:left w:val="single" w:color="auto" w:sz="12" w:space="0"/>
              <w:bottom w:val="nil"/>
              <w:right w:val="nil"/>
            </w:tcBorders>
            <w:tcMar>
              <w:top w:w="20" w:type="dxa"/>
              <w:left w:w="20" w:type="dxa"/>
              <w:bottom w:w="20" w:type="dxa"/>
              <w:right w:w="20" w:type="dxa"/>
            </w:tcMar>
            <w:vAlign w:val="center"/>
          </w:tcPr>
          <w:p w14:paraId="59E9C4E3">
            <w:pPr>
              <w:wordWrap w:val="0"/>
              <w:spacing w:after="160" w:line="278" w:lineRule="auto"/>
              <w:jc w:val="left"/>
              <w:rPr>
                <w:rFonts w:hint="eastAsia" w:ascii="等线" w:hAnsi="等线" w:eastAsia="等线"/>
                <w:color w:val="auto"/>
                <w:kern w:val="2"/>
                <w:sz w:val="22"/>
                <w:szCs w:val="24"/>
                <w:highlight w:val="none"/>
              </w:rPr>
            </w:pPr>
          </w:p>
        </w:tc>
      </w:tr>
      <w:tr w14:paraId="5AEE030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841" w:type="pct"/>
            <w:tcBorders>
              <w:top w:val="single" w:color="auto" w:sz="6" w:space="0"/>
              <w:left w:val="single" w:color="auto" w:sz="12" w:space="0"/>
              <w:bottom w:val="nil"/>
              <w:right w:val="nil"/>
            </w:tcBorders>
            <w:tcMar>
              <w:top w:w="20" w:type="dxa"/>
              <w:left w:w="20" w:type="dxa"/>
              <w:bottom w:w="20" w:type="dxa"/>
              <w:right w:w="20" w:type="dxa"/>
            </w:tcMar>
            <w:vAlign w:val="center"/>
          </w:tcPr>
          <w:p w14:paraId="5C2F368A">
            <w:pPr>
              <w:wordWrap w:val="0"/>
              <w:spacing w:line="315" w:lineRule="exact"/>
              <w:jc w:val="center"/>
              <w:rPr>
                <w:rFonts w:hint="eastAsia" w:ascii="等线" w:hAnsi="等线" w:eastAsia="等线"/>
                <w:color w:val="auto"/>
                <w:kern w:val="2"/>
                <w:sz w:val="22"/>
                <w:szCs w:val="24"/>
                <w:highlight w:val="none"/>
              </w:rPr>
            </w:pPr>
            <w:r>
              <w:rPr>
                <w:rFonts w:ascii="宋体" w:hAnsi="宋体" w:cs="宋体"/>
                <w:color w:val="auto"/>
                <w:kern w:val="2"/>
                <w:szCs w:val="24"/>
                <w:highlight w:val="none"/>
              </w:rPr>
              <w:t>企业实力</w:t>
            </w:r>
          </w:p>
        </w:tc>
        <w:tc>
          <w:tcPr>
            <w:tcW w:w="415" w:type="pct"/>
            <w:tcBorders>
              <w:top w:val="single" w:color="auto" w:sz="6" w:space="0"/>
              <w:left w:val="single" w:color="auto" w:sz="6" w:space="0"/>
              <w:bottom w:val="nil"/>
              <w:right w:val="nil"/>
            </w:tcBorders>
            <w:tcMar>
              <w:top w:w="20" w:type="dxa"/>
              <w:left w:w="20" w:type="dxa"/>
              <w:bottom w:w="20" w:type="dxa"/>
              <w:right w:w="20" w:type="dxa"/>
            </w:tcMar>
            <w:vAlign w:val="center"/>
          </w:tcPr>
          <w:p w14:paraId="1A4C2BF8">
            <w:pPr>
              <w:wordWrap w:val="0"/>
              <w:spacing w:after="160" w:line="278" w:lineRule="auto"/>
              <w:jc w:val="center"/>
              <w:rPr>
                <w:rFonts w:hint="eastAsia" w:ascii="等线" w:hAnsi="等线" w:eastAsia="等线"/>
                <w:color w:val="auto"/>
                <w:kern w:val="2"/>
                <w:sz w:val="22"/>
                <w:szCs w:val="24"/>
                <w:highlight w:val="none"/>
              </w:rPr>
            </w:pPr>
            <w:r>
              <w:rPr>
                <w:rFonts w:ascii="宋体" w:hAnsi="宋体" w:cs="宋体"/>
                <w:color w:val="auto"/>
                <w:kern w:val="2"/>
                <w:szCs w:val="24"/>
                <w:highlight w:val="none"/>
              </w:rPr>
              <w:t>20</w:t>
            </w:r>
          </w:p>
        </w:tc>
        <w:tc>
          <w:tcPr>
            <w:tcW w:w="3510" w:type="pct"/>
            <w:tcBorders>
              <w:top w:val="single" w:color="auto" w:sz="6" w:space="0"/>
              <w:left w:val="single" w:color="auto" w:sz="6" w:space="0"/>
              <w:bottom w:val="nil"/>
              <w:right w:val="nil"/>
            </w:tcBorders>
            <w:tcMar>
              <w:top w:w="20" w:type="dxa"/>
              <w:left w:w="20" w:type="dxa"/>
              <w:bottom w:w="20" w:type="dxa"/>
              <w:right w:w="20" w:type="dxa"/>
            </w:tcMar>
          </w:tcPr>
          <w:p w14:paraId="773F88C8">
            <w:pPr>
              <w:wordWrap w:val="0"/>
              <w:spacing w:line="315" w:lineRule="exact"/>
              <w:jc w:val="left"/>
              <w:rPr>
                <w:rFonts w:hint="eastAsia" w:ascii="等线" w:hAnsi="等线" w:eastAsia="等线"/>
                <w:color w:val="auto"/>
                <w:kern w:val="2"/>
                <w:sz w:val="22"/>
                <w:szCs w:val="24"/>
                <w:highlight w:val="none"/>
              </w:rPr>
            </w:pPr>
            <w:r>
              <w:rPr>
                <w:rFonts w:ascii="宋体" w:hAnsi="宋体" w:cs="宋体"/>
                <w:color w:val="auto"/>
                <w:kern w:val="2"/>
                <w:szCs w:val="24"/>
                <w:highlight w:val="none"/>
              </w:rPr>
              <w:t>①除项目经理外，其余拟派项目成员中，具有二级</w:t>
            </w:r>
            <w:r>
              <w:rPr>
                <w:rFonts w:hint="eastAsia" w:ascii="宋体" w:hAnsi="宋体" w:cs="宋体"/>
                <w:color w:val="auto"/>
                <w:kern w:val="2"/>
                <w:szCs w:val="24"/>
                <w:highlight w:val="none"/>
              </w:rPr>
              <w:t>及以上</w:t>
            </w:r>
            <w:r>
              <w:rPr>
                <w:rFonts w:ascii="宋体" w:hAnsi="宋体" w:cs="宋体"/>
                <w:color w:val="auto"/>
                <w:kern w:val="2"/>
                <w:szCs w:val="24"/>
                <w:highlight w:val="none"/>
              </w:rPr>
              <w:t>建造师证书（建筑工程专业）的每个得</w:t>
            </w:r>
            <w:r>
              <w:rPr>
                <w:rFonts w:hint="eastAsia" w:ascii="宋体" w:hAnsi="宋体" w:cs="宋体"/>
                <w:color w:val="auto"/>
                <w:kern w:val="2"/>
                <w:szCs w:val="24"/>
                <w:highlight w:val="none"/>
              </w:rPr>
              <w:t>3</w:t>
            </w:r>
            <w:r>
              <w:rPr>
                <w:rFonts w:ascii="宋体" w:hAnsi="宋体" w:cs="宋体"/>
                <w:color w:val="auto"/>
                <w:kern w:val="2"/>
                <w:szCs w:val="24"/>
                <w:highlight w:val="none"/>
              </w:rPr>
              <w:t>分，没有不得分，合计最高得6分。（提供证书复印件加盖公章，原件备查）。</w:t>
            </w:r>
          </w:p>
          <w:p w14:paraId="5B6F49A1">
            <w:pPr>
              <w:wordWrap w:val="0"/>
              <w:spacing w:line="315" w:lineRule="exact"/>
              <w:jc w:val="left"/>
              <w:rPr>
                <w:rFonts w:hint="eastAsia" w:ascii="等线" w:hAnsi="等线" w:eastAsia="等线"/>
                <w:color w:val="auto"/>
                <w:kern w:val="2"/>
                <w:sz w:val="22"/>
                <w:szCs w:val="24"/>
                <w:highlight w:val="none"/>
              </w:rPr>
            </w:pPr>
            <w:r>
              <w:rPr>
                <w:rFonts w:ascii="宋体" w:hAnsi="宋体" w:cs="宋体"/>
                <w:color w:val="auto"/>
                <w:kern w:val="2"/>
                <w:szCs w:val="24"/>
                <w:highlight w:val="none"/>
              </w:rPr>
              <w:t>②拟派项目成员中，具备</w:t>
            </w:r>
            <w:r>
              <w:rPr>
                <w:rFonts w:hint="eastAsia" w:ascii="宋体" w:hAnsi="宋体" w:cs="宋体"/>
                <w:color w:val="auto"/>
                <w:kern w:val="2"/>
                <w:szCs w:val="24"/>
                <w:highlight w:val="none"/>
              </w:rPr>
              <w:t>高级及以上工程师职称</w:t>
            </w:r>
            <w:r>
              <w:rPr>
                <w:rFonts w:ascii="宋体" w:hAnsi="宋体" w:cs="宋体"/>
                <w:color w:val="auto"/>
                <w:kern w:val="2"/>
                <w:szCs w:val="24"/>
                <w:highlight w:val="none"/>
              </w:rPr>
              <w:t>的每个得</w:t>
            </w:r>
            <w:r>
              <w:rPr>
                <w:rFonts w:hint="eastAsia" w:ascii="宋体" w:hAnsi="宋体" w:cs="宋体"/>
                <w:color w:val="auto"/>
                <w:kern w:val="2"/>
                <w:szCs w:val="24"/>
                <w:highlight w:val="none"/>
              </w:rPr>
              <w:t>4</w:t>
            </w:r>
            <w:r>
              <w:rPr>
                <w:rFonts w:ascii="宋体" w:hAnsi="宋体" w:cs="宋体"/>
                <w:color w:val="auto"/>
                <w:kern w:val="2"/>
                <w:szCs w:val="24"/>
                <w:highlight w:val="none"/>
              </w:rPr>
              <w:t>分，具备工程师职称的每个得</w:t>
            </w:r>
            <w:r>
              <w:rPr>
                <w:rFonts w:hint="eastAsia" w:ascii="宋体" w:hAnsi="宋体" w:cs="宋体"/>
                <w:color w:val="auto"/>
                <w:kern w:val="2"/>
                <w:szCs w:val="24"/>
                <w:highlight w:val="none"/>
              </w:rPr>
              <w:t>2</w:t>
            </w:r>
            <w:r>
              <w:rPr>
                <w:rFonts w:ascii="宋体" w:hAnsi="宋体" w:cs="宋体"/>
                <w:color w:val="auto"/>
                <w:kern w:val="2"/>
                <w:szCs w:val="24"/>
                <w:highlight w:val="none"/>
              </w:rPr>
              <w:t>分，合计最高得8分。（提供证书复印件加盖公章，原件备查）。</w:t>
            </w:r>
          </w:p>
          <w:p w14:paraId="576891C2">
            <w:pPr>
              <w:wordWrap w:val="0"/>
              <w:spacing w:line="315" w:lineRule="exact"/>
              <w:jc w:val="left"/>
              <w:rPr>
                <w:rFonts w:hint="eastAsia" w:ascii="等线" w:hAnsi="等线" w:eastAsia="等线"/>
                <w:color w:val="auto"/>
                <w:kern w:val="2"/>
                <w:sz w:val="22"/>
                <w:szCs w:val="24"/>
                <w:highlight w:val="none"/>
              </w:rPr>
            </w:pPr>
            <w:r>
              <w:rPr>
                <w:rFonts w:ascii="宋体" w:hAnsi="宋体" w:cs="宋体"/>
                <w:color w:val="auto"/>
                <w:kern w:val="2"/>
                <w:szCs w:val="24"/>
                <w:highlight w:val="none"/>
              </w:rPr>
              <w:t>③除项目经理外，其余拟派项目成员中，配备情况，具有技术员、安全员、质量员、材料员、资料员、施工员，每有一项得1分，最多得6分。</w:t>
            </w:r>
          </w:p>
          <w:p w14:paraId="61ACAB5F">
            <w:pPr>
              <w:wordWrap w:val="0"/>
              <w:spacing w:line="315" w:lineRule="exact"/>
              <w:jc w:val="left"/>
              <w:rPr>
                <w:rFonts w:hint="eastAsia" w:ascii="等线" w:hAnsi="等线" w:eastAsia="等线"/>
                <w:color w:val="auto"/>
                <w:kern w:val="2"/>
                <w:sz w:val="22"/>
                <w:szCs w:val="24"/>
                <w:highlight w:val="none"/>
              </w:rPr>
            </w:pPr>
            <w:r>
              <w:rPr>
                <w:rFonts w:ascii="宋体" w:hAnsi="宋体" w:cs="宋体"/>
                <w:color w:val="auto"/>
                <w:kern w:val="2"/>
                <w:szCs w:val="24"/>
                <w:highlight w:val="none"/>
              </w:rPr>
              <w:t>注：1.同一个项目组成员同时具有建造师证书和职称证书</w:t>
            </w:r>
            <w:r>
              <w:rPr>
                <w:rFonts w:hint="eastAsia" w:ascii="宋体" w:hAnsi="宋体" w:cs="宋体"/>
                <w:color w:val="auto"/>
                <w:kern w:val="2"/>
                <w:szCs w:val="24"/>
                <w:highlight w:val="none"/>
              </w:rPr>
              <w:t>和岗位证书</w:t>
            </w:r>
            <w:r>
              <w:rPr>
                <w:rFonts w:ascii="宋体" w:hAnsi="宋体" w:cs="宋体"/>
                <w:color w:val="auto"/>
                <w:kern w:val="2"/>
                <w:szCs w:val="24"/>
                <w:highlight w:val="none"/>
              </w:rPr>
              <w:t>的可以兼得分，同类证书按等级高的得分。</w:t>
            </w:r>
          </w:p>
          <w:p w14:paraId="38374AEE">
            <w:pPr>
              <w:wordWrap w:val="0"/>
              <w:spacing w:line="315" w:lineRule="exact"/>
              <w:jc w:val="left"/>
              <w:rPr>
                <w:rFonts w:hint="eastAsia" w:ascii="等线" w:hAnsi="等线" w:eastAsia="等线"/>
                <w:color w:val="auto"/>
                <w:kern w:val="2"/>
                <w:sz w:val="22"/>
                <w:szCs w:val="24"/>
                <w:highlight w:val="none"/>
              </w:rPr>
            </w:pPr>
            <w:r>
              <w:rPr>
                <w:rFonts w:ascii="宋体" w:hAnsi="宋体" w:cs="宋体"/>
                <w:color w:val="auto"/>
                <w:kern w:val="2"/>
                <w:szCs w:val="24"/>
                <w:highlight w:val="none"/>
              </w:rPr>
              <w:t>2.以上持证人员需提供近6个月</w:t>
            </w:r>
            <w:r>
              <w:rPr>
                <w:rFonts w:hint="eastAsia" w:ascii="宋体" w:hAnsi="宋体" w:cs="宋体"/>
                <w:color w:val="auto"/>
                <w:kern w:val="2"/>
                <w:szCs w:val="24"/>
                <w:highlight w:val="none"/>
              </w:rPr>
              <w:t>任意一个月</w:t>
            </w:r>
            <w:r>
              <w:rPr>
                <w:rFonts w:ascii="宋体" w:hAnsi="宋体" w:cs="宋体"/>
                <w:color w:val="auto"/>
                <w:kern w:val="2"/>
                <w:szCs w:val="24"/>
                <w:highlight w:val="none"/>
              </w:rPr>
              <w:t>社保缴纳证明指2025年12月至2026年5月</w:t>
            </w:r>
            <w:r>
              <w:rPr>
                <w:rFonts w:hint="eastAsia" w:ascii="宋体" w:hAnsi="宋体" w:cs="宋体"/>
                <w:color w:val="auto"/>
                <w:kern w:val="2"/>
                <w:szCs w:val="24"/>
                <w:highlight w:val="none"/>
              </w:rPr>
              <w:t>任意一个月</w:t>
            </w:r>
            <w:r>
              <w:rPr>
                <w:rFonts w:ascii="宋体" w:hAnsi="宋体" w:cs="宋体"/>
                <w:color w:val="auto"/>
                <w:kern w:val="2"/>
                <w:szCs w:val="24"/>
                <w:highlight w:val="none"/>
              </w:rPr>
              <w:t>投标人为项目经理缴纳的由劳动和社会保障部门出具的养老保险缴纳单据证明（需明确缴费月份、个人姓名、缴费单位），需加盖社保机构公章或社保中心参保缴费证明电子专业章，同时加盖投标人公章（如投标人为事业编制性质的单位，可提供由机关事业单位社会保险基金部门盖章的相关证明），否则视为未提供。</w:t>
            </w:r>
          </w:p>
        </w:tc>
        <w:tc>
          <w:tcPr>
            <w:tcW w:w="234" w:type="pct"/>
            <w:tcBorders>
              <w:top w:val="nil"/>
              <w:left w:val="single" w:color="auto" w:sz="12" w:space="0"/>
              <w:bottom w:val="nil"/>
              <w:right w:val="nil"/>
            </w:tcBorders>
            <w:tcMar>
              <w:top w:w="20" w:type="dxa"/>
              <w:left w:w="20" w:type="dxa"/>
              <w:bottom w:w="20" w:type="dxa"/>
              <w:right w:w="20" w:type="dxa"/>
            </w:tcMar>
            <w:vAlign w:val="center"/>
          </w:tcPr>
          <w:p w14:paraId="3C426A1F">
            <w:pPr>
              <w:wordWrap w:val="0"/>
              <w:spacing w:after="160" w:line="278" w:lineRule="auto"/>
              <w:jc w:val="left"/>
              <w:rPr>
                <w:rFonts w:hint="eastAsia" w:ascii="等线" w:hAnsi="等线" w:eastAsia="等线"/>
                <w:color w:val="auto"/>
                <w:kern w:val="2"/>
                <w:sz w:val="22"/>
                <w:szCs w:val="24"/>
                <w:highlight w:val="none"/>
              </w:rPr>
            </w:pPr>
          </w:p>
        </w:tc>
      </w:tr>
      <w:tr w14:paraId="76DA2767">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841" w:type="pct"/>
            <w:tcBorders>
              <w:top w:val="single" w:color="auto" w:sz="6" w:space="0"/>
              <w:left w:val="single" w:color="auto" w:sz="12" w:space="0"/>
              <w:bottom w:val="nil"/>
              <w:right w:val="nil"/>
            </w:tcBorders>
            <w:tcMar>
              <w:top w:w="20" w:type="dxa"/>
              <w:left w:w="20" w:type="dxa"/>
              <w:bottom w:w="20" w:type="dxa"/>
              <w:right w:w="20" w:type="dxa"/>
            </w:tcMar>
            <w:vAlign w:val="center"/>
          </w:tcPr>
          <w:p w14:paraId="77F7D0C0">
            <w:pPr>
              <w:wordWrap w:val="0"/>
              <w:spacing w:line="315" w:lineRule="exact"/>
              <w:jc w:val="center"/>
              <w:rPr>
                <w:rFonts w:hint="eastAsia" w:ascii="等线" w:hAnsi="等线" w:eastAsia="等线"/>
                <w:color w:val="auto"/>
                <w:kern w:val="2"/>
                <w:sz w:val="22"/>
                <w:szCs w:val="24"/>
                <w:highlight w:val="none"/>
              </w:rPr>
            </w:pPr>
            <w:r>
              <w:rPr>
                <w:rFonts w:ascii="宋体" w:hAnsi="宋体" w:cs="宋体"/>
                <w:color w:val="auto"/>
                <w:kern w:val="2"/>
                <w:szCs w:val="24"/>
                <w:highlight w:val="none"/>
              </w:rPr>
              <w:t>业绩</w:t>
            </w:r>
          </w:p>
        </w:tc>
        <w:tc>
          <w:tcPr>
            <w:tcW w:w="415" w:type="pct"/>
            <w:tcBorders>
              <w:top w:val="single" w:color="auto" w:sz="6" w:space="0"/>
              <w:left w:val="single" w:color="auto" w:sz="6" w:space="0"/>
              <w:bottom w:val="nil"/>
              <w:right w:val="nil"/>
            </w:tcBorders>
            <w:tcMar>
              <w:top w:w="20" w:type="dxa"/>
              <w:left w:w="20" w:type="dxa"/>
              <w:bottom w:w="20" w:type="dxa"/>
              <w:right w:w="20" w:type="dxa"/>
            </w:tcMar>
            <w:vAlign w:val="center"/>
          </w:tcPr>
          <w:p w14:paraId="79105D71">
            <w:pPr>
              <w:wordWrap w:val="0"/>
              <w:spacing w:after="160" w:line="278" w:lineRule="auto"/>
              <w:jc w:val="center"/>
              <w:rPr>
                <w:rFonts w:hint="eastAsia" w:ascii="等线" w:hAnsi="等线" w:eastAsia="等线"/>
                <w:color w:val="auto"/>
                <w:kern w:val="2"/>
                <w:sz w:val="22"/>
                <w:szCs w:val="24"/>
                <w:highlight w:val="none"/>
              </w:rPr>
            </w:pPr>
            <w:r>
              <w:rPr>
                <w:rFonts w:ascii="宋体" w:hAnsi="宋体" w:cs="宋体"/>
                <w:color w:val="auto"/>
                <w:kern w:val="2"/>
                <w:szCs w:val="24"/>
                <w:highlight w:val="none"/>
              </w:rPr>
              <w:t>10</w:t>
            </w:r>
          </w:p>
        </w:tc>
        <w:tc>
          <w:tcPr>
            <w:tcW w:w="3510" w:type="pct"/>
            <w:tcBorders>
              <w:top w:val="single" w:color="auto" w:sz="6" w:space="0"/>
              <w:left w:val="single" w:color="auto" w:sz="6" w:space="0"/>
              <w:bottom w:val="nil"/>
              <w:right w:val="nil"/>
            </w:tcBorders>
            <w:tcMar>
              <w:top w:w="20" w:type="dxa"/>
              <w:left w:w="20" w:type="dxa"/>
              <w:bottom w:w="20" w:type="dxa"/>
              <w:right w:w="20" w:type="dxa"/>
            </w:tcMar>
          </w:tcPr>
          <w:p w14:paraId="03DDB675">
            <w:pPr>
              <w:wordWrap w:val="0"/>
              <w:spacing w:line="315" w:lineRule="exact"/>
              <w:jc w:val="left"/>
              <w:rPr>
                <w:rFonts w:hint="eastAsia" w:ascii="等线" w:hAnsi="等线" w:eastAsia="等线"/>
                <w:color w:val="auto"/>
                <w:kern w:val="2"/>
                <w:sz w:val="22"/>
                <w:szCs w:val="24"/>
                <w:highlight w:val="none"/>
              </w:rPr>
            </w:pPr>
            <w:r>
              <w:rPr>
                <w:rFonts w:ascii="宋体" w:hAnsi="宋体" w:cs="宋体"/>
                <w:color w:val="auto"/>
                <w:kern w:val="2"/>
                <w:szCs w:val="24"/>
                <w:highlight w:val="none"/>
              </w:rPr>
              <w:t>投标人提供自2023年5月1日（以工程竣工验收证明日期为准）以来，承担过</w:t>
            </w:r>
            <w:r>
              <w:rPr>
                <w:rFonts w:hint="eastAsia" w:ascii="宋体" w:hAnsi="宋体" w:cs="宋体"/>
                <w:color w:val="auto"/>
                <w:kern w:val="2"/>
                <w:szCs w:val="24"/>
                <w:highlight w:val="none"/>
              </w:rPr>
              <w:t>类似</w:t>
            </w:r>
            <w:r>
              <w:rPr>
                <w:rFonts w:ascii="宋体" w:hAnsi="宋体" w:cs="宋体"/>
                <w:color w:val="auto"/>
                <w:kern w:val="2"/>
                <w:szCs w:val="24"/>
                <w:highlight w:val="none"/>
              </w:rPr>
              <w:t>防渗工程业绩的，每个2分，最高得10分。业绩说明：业绩证明材料包括施工合同、工程竣工验收证明</w:t>
            </w:r>
            <w:r>
              <w:rPr>
                <w:rFonts w:hint="eastAsia" w:ascii="宋体" w:hAnsi="宋体" w:cs="宋体"/>
                <w:color w:val="auto"/>
                <w:kern w:val="2"/>
                <w:szCs w:val="24"/>
                <w:highlight w:val="none"/>
              </w:rPr>
              <w:t>两</w:t>
            </w:r>
            <w:r>
              <w:rPr>
                <w:rFonts w:ascii="宋体" w:hAnsi="宋体" w:cs="宋体"/>
                <w:color w:val="auto"/>
                <w:kern w:val="2"/>
                <w:szCs w:val="24"/>
                <w:highlight w:val="none"/>
              </w:rPr>
              <w:t>者缺一不可，竣工验收证明以建设单位、设计单位、监理单位、施工单位四方签字盖章为准，四方印章缺一不可。原件备查。）</w:t>
            </w:r>
          </w:p>
        </w:tc>
        <w:tc>
          <w:tcPr>
            <w:tcW w:w="234" w:type="pct"/>
            <w:tcBorders>
              <w:top w:val="nil"/>
              <w:left w:val="single" w:color="auto" w:sz="12" w:space="0"/>
              <w:bottom w:val="nil"/>
              <w:right w:val="nil"/>
            </w:tcBorders>
            <w:tcMar>
              <w:top w:w="20" w:type="dxa"/>
              <w:left w:w="20" w:type="dxa"/>
              <w:bottom w:w="20" w:type="dxa"/>
              <w:right w:w="20" w:type="dxa"/>
            </w:tcMar>
            <w:vAlign w:val="center"/>
          </w:tcPr>
          <w:p w14:paraId="6BAD6A76">
            <w:pPr>
              <w:wordWrap w:val="0"/>
              <w:spacing w:after="160" w:line="278" w:lineRule="auto"/>
              <w:jc w:val="left"/>
              <w:rPr>
                <w:rFonts w:hint="eastAsia" w:ascii="等线" w:hAnsi="等线" w:eastAsia="等线"/>
                <w:color w:val="auto"/>
                <w:kern w:val="2"/>
                <w:sz w:val="22"/>
                <w:szCs w:val="24"/>
                <w:highlight w:val="none"/>
              </w:rPr>
            </w:pPr>
          </w:p>
        </w:tc>
      </w:tr>
      <w:tr w14:paraId="22A6E2AE">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 w:hRule="exact"/>
          <w:jc w:val="center"/>
        </w:trPr>
        <w:tc>
          <w:tcPr>
            <w:tcW w:w="841" w:type="pct"/>
            <w:tcBorders>
              <w:top w:val="single" w:color="auto" w:sz="12" w:space="0"/>
              <w:left w:val="nil"/>
              <w:bottom w:val="nil"/>
              <w:right w:val="nil"/>
            </w:tcBorders>
            <w:tcMar>
              <w:top w:w="20" w:type="dxa"/>
              <w:left w:w="20" w:type="dxa"/>
              <w:bottom w:w="20" w:type="dxa"/>
              <w:right w:w="20" w:type="dxa"/>
            </w:tcMar>
          </w:tcPr>
          <w:p w14:paraId="2A26820C">
            <w:pPr>
              <w:wordWrap w:val="0"/>
              <w:spacing w:after="160" w:line="278" w:lineRule="auto"/>
              <w:jc w:val="left"/>
              <w:rPr>
                <w:rFonts w:hint="eastAsia" w:ascii="等线" w:hAnsi="等线" w:eastAsia="等线"/>
                <w:color w:val="auto"/>
                <w:kern w:val="2"/>
                <w:sz w:val="22"/>
                <w:szCs w:val="24"/>
                <w:highlight w:val="none"/>
              </w:rPr>
            </w:pPr>
          </w:p>
        </w:tc>
        <w:tc>
          <w:tcPr>
            <w:tcW w:w="415" w:type="pct"/>
            <w:tcBorders>
              <w:top w:val="single" w:color="auto" w:sz="12" w:space="0"/>
              <w:left w:val="nil"/>
              <w:bottom w:val="nil"/>
              <w:right w:val="nil"/>
            </w:tcBorders>
            <w:tcMar>
              <w:top w:w="20" w:type="dxa"/>
              <w:left w:w="20" w:type="dxa"/>
              <w:bottom w:w="20" w:type="dxa"/>
              <w:right w:w="20" w:type="dxa"/>
            </w:tcMar>
          </w:tcPr>
          <w:p w14:paraId="2257C1EE">
            <w:pPr>
              <w:wordWrap w:val="0"/>
              <w:spacing w:after="160" w:line="278" w:lineRule="auto"/>
              <w:jc w:val="left"/>
              <w:rPr>
                <w:rFonts w:hint="eastAsia" w:ascii="等线" w:hAnsi="等线" w:eastAsia="等线"/>
                <w:color w:val="auto"/>
                <w:kern w:val="2"/>
                <w:sz w:val="22"/>
                <w:szCs w:val="24"/>
                <w:highlight w:val="none"/>
              </w:rPr>
            </w:pPr>
          </w:p>
        </w:tc>
        <w:tc>
          <w:tcPr>
            <w:tcW w:w="3510" w:type="pct"/>
            <w:tcBorders>
              <w:top w:val="single" w:color="auto" w:sz="12" w:space="0"/>
              <w:left w:val="nil"/>
              <w:bottom w:val="nil"/>
              <w:right w:val="nil"/>
            </w:tcBorders>
            <w:tcMar>
              <w:top w:w="20" w:type="dxa"/>
              <w:left w:w="20" w:type="dxa"/>
              <w:bottom w:w="20" w:type="dxa"/>
              <w:right w:w="20" w:type="dxa"/>
            </w:tcMar>
          </w:tcPr>
          <w:p w14:paraId="1BB78A73">
            <w:pPr>
              <w:wordWrap w:val="0"/>
              <w:spacing w:after="160" w:line="278" w:lineRule="auto"/>
              <w:jc w:val="left"/>
              <w:rPr>
                <w:rFonts w:hint="eastAsia" w:ascii="等线" w:hAnsi="等线" w:eastAsia="等线"/>
                <w:color w:val="auto"/>
                <w:kern w:val="2"/>
                <w:sz w:val="22"/>
                <w:szCs w:val="24"/>
                <w:highlight w:val="none"/>
              </w:rPr>
            </w:pPr>
          </w:p>
        </w:tc>
        <w:tc>
          <w:tcPr>
            <w:tcW w:w="234" w:type="pct"/>
            <w:tcBorders>
              <w:top w:val="nil"/>
              <w:left w:val="nil"/>
              <w:bottom w:val="nil"/>
              <w:right w:val="nil"/>
            </w:tcBorders>
            <w:tcMar>
              <w:top w:w="20" w:type="dxa"/>
              <w:left w:w="20" w:type="dxa"/>
              <w:bottom w:w="20" w:type="dxa"/>
              <w:right w:w="20" w:type="dxa"/>
            </w:tcMar>
          </w:tcPr>
          <w:p w14:paraId="6B472016">
            <w:pPr>
              <w:wordWrap w:val="0"/>
              <w:spacing w:after="160" w:line="278" w:lineRule="auto"/>
              <w:jc w:val="left"/>
              <w:rPr>
                <w:rFonts w:hint="eastAsia" w:ascii="等线" w:hAnsi="等线" w:eastAsia="等线"/>
                <w:color w:val="auto"/>
                <w:kern w:val="2"/>
                <w:sz w:val="22"/>
                <w:szCs w:val="24"/>
                <w:highlight w:val="none"/>
              </w:rPr>
            </w:pPr>
          </w:p>
        </w:tc>
      </w:tr>
      <w:tr w14:paraId="37CAFD3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 w:hRule="exact"/>
          <w:jc w:val="center"/>
        </w:trPr>
        <w:tc>
          <w:tcPr>
            <w:tcW w:w="841" w:type="pct"/>
            <w:tcBorders>
              <w:top w:val="single" w:color="auto" w:sz="12" w:space="0"/>
              <w:left w:val="nil"/>
              <w:bottom w:val="nil"/>
              <w:right w:val="nil"/>
            </w:tcBorders>
            <w:tcMar>
              <w:top w:w="20" w:type="dxa"/>
              <w:left w:w="20" w:type="dxa"/>
              <w:bottom w:w="20" w:type="dxa"/>
              <w:right w:w="20" w:type="dxa"/>
            </w:tcMar>
          </w:tcPr>
          <w:p w14:paraId="65C0BEEE">
            <w:pPr>
              <w:wordWrap w:val="0"/>
              <w:spacing w:after="160" w:line="278" w:lineRule="auto"/>
              <w:jc w:val="left"/>
              <w:rPr>
                <w:rFonts w:hint="eastAsia" w:ascii="等线" w:hAnsi="等线" w:eastAsia="等线"/>
                <w:color w:val="auto"/>
                <w:kern w:val="2"/>
                <w:sz w:val="22"/>
                <w:szCs w:val="24"/>
                <w:highlight w:val="none"/>
              </w:rPr>
            </w:pPr>
          </w:p>
        </w:tc>
        <w:tc>
          <w:tcPr>
            <w:tcW w:w="415" w:type="pct"/>
            <w:tcBorders>
              <w:top w:val="single" w:color="auto" w:sz="12" w:space="0"/>
              <w:left w:val="nil"/>
              <w:bottom w:val="nil"/>
              <w:right w:val="nil"/>
            </w:tcBorders>
            <w:tcMar>
              <w:top w:w="20" w:type="dxa"/>
              <w:left w:w="20" w:type="dxa"/>
              <w:bottom w:w="20" w:type="dxa"/>
              <w:right w:w="20" w:type="dxa"/>
            </w:tcMar>
          </w:tcPr>
          <w:p w14:paraId="2E699863">
            <w:pPr>
              <w:wordWrap w:val="0"/>
              <w:spacing w:after="160" w:line="278" w:lineRule="auto"/>
              <w:jc w:val="left"/>
              <w:rPr>
                <w:rFonts w:hint="eastAsia" w:ascii="等线" w:hAnsi="等线" w:eastAsia="等线"/>
                <w:color w:val="auto"/>
                <w:kern w:val="2"/>
                <w:sz w:val="22"/>
                <w:szCs w:val="24"/>
                <w:highlight w:val="none"/>
              </w:rPr>
            </w:pPr>
          </w:p>
        </w:tc>
        <w:tc>
          <w:tcPr>
            <w:tcW w:w="3510" w:type="pct"/>
            <w:tcBorders>
              <w:top w:val="single" w:color="auto" w:sz="12" w:space="0"/>
              <w:left w:val="nil"/>
              <w:bottom w:val="nil"/>
              <w:right w:val="nil"/>
            </w:tcBorders>
            <w:tcMar>
              <w:top w:w="20" w:type="dxa"/>
              <w:left w:w="20" w:type="dxa"/>
              <w:bottom w:w="20" w:type="dxa"/>
              <w:right w:w="20" w:type="dxa"/>
            </w:tcMar>
          </w:tcPr>
          <w:p w14:paraId="2407E555">
            <w:pPr>
              <w:wordWrap w:val="0"/>
              <w:spacing w:after="160" w:line="278" w:lineRule="auto"/>
              <w:jc w:val="left"/>
              <w:rPr>
                <w:rFonts w:hint="eastAsia" w:ascii="等线" w:hAnsi="等线" w:eastAsia="等线"/>
                <w:color w:val="auto"/>
                <w:kern w:val="2"/>
                <w:sz w:val="22"/>
                <w:szCs w:val="24"/>
                <w:highlight w:val="none"/>
              </w:rPr>
            </w:pPr>
          </w:p>
        </w:tc>
        <w:tc>
          <w:tcPr>
            <w:tcW w:w="234" w:type="pct"/>
            <w:tcBorders>
              <w:top w:val="nil"/>
              <w:left w:val="nil"/>
              <w:bottom w:val="nil"/>
              <w:right w:val="nil"/>
            </w:tcBorders>
            <w:tcMar>
              <w:top w:w="20" w:type="dxa"/>
              <w:left w:w="20" w:type="dxa"/>
              <w:bottom w:w="20" w:type="dxa"/>
              <w:right w:w="20" w:type="dxa"/>
            </w:tcMar>
          </w:tcPr>
          <w:p w14:paraId="5DF5BFC6">
            <w:pPr>
              <w:wordWrap w:val="0"/>
              <w:spacing w:after="160" w:line="278" w:lineRule="auto"/>
              <w:jc w:val="left"/>
              <w:rPr>
                <w:rFonts w:hint="eastAsia" w:ascii="等线" w:hAnsi="等线" w:eastAsia="等线"/>
                <w:color w:val="auto"/>
                <w:kern w:val="2"/>
                <w:sz w:val="22"/>
                <w:szCs w:val="24"/>
                <w:highlight w:val="none"/>
              </w:rPr>
            </w:pPr>
          </w:p>
        </w:tc>
      </w:tr>
    </w:tbl>
    <w:p w14:paraId="6140C0B3">
      <w:pPr>
        <w:spacing w:line="360" w:lineRule="auto"/>
        <w:rPr>
          <w:rFonts w:ascii="Arial" w:hAnsi="Arial" w:cs="Arial"/>
          <w:bCs/>
          <w:color w:val="auto"/>
          <w:sz w:val="22"/>
          <w:szCs w:val="28"/>
          <w:highlight w:val="none"/>
        </w:rPr>
      </w:pPr>
      <w:r>
        <w:rPr>
          <w:rFonts w:ascii="Arial" w:hAnsi="Arial" w:cs="Arial"/>
          <w:bCs/>
          <w:color w:val="auto"/>
          <w:sz w:val="22"/>
          <w:szCs w:val="28"/>
          <w:highlight w:val="none"/>
        </w:rPr>
        <w:t>说明：</w:t>
      </w:r>
    </w:p>
    <w:p w14:paraId="0C2D7650">
      <w:pPr>
        <w:spacing w:line="360" w:lineRule="auto"/>
        <w:ind w:firstLine="440"/>
        <w:rPr>
          <w:color w:val="auto"/>
          <w:highlight w:val="none"/>
        </w:rPr>
        <w:sectPr>
          <w:footerReference r:id="rId8" w:type="first"/>
          <w:footerReference r:id="rId7" w:type="default"/>
          <w:type w:val="continuous"/>
          <w:pgSz w:w="11906" w:h="16838"/>
          <w:pgMar w:top="1440" w:right="1800" w:bottom="1440" w:left="1600" w:header="851" w:footer="992" w:gutter="0"/>
          <w:cols w:space="1701" w:num="1"/>
          <w:titlePg/>
          <w:docGrid w:linePitch="360" w:charSpace="0"/>
        </w:sectPr>
      </w:pPr>
      <w:r>
        <w:rPr>
          <w:rFonts w:hint="eastAsia" w:ascii="Arial" w:hAnsi="Arial" w:cs="Arial"/>
          <w:bCs/>
          <w:color w:val="auto"/>
          <w:sz w:val="22"/>
          <w:szCs w:val="28"/>
          <w:highlight w:val="none"/>
        </w:rPr>
        <w:t>1.</w:t>
      </w:r>
      <w:r>
        <w:rPr>
          <w:rFonts w:ascii="Arial" w:hAnsi="Arial" w:cs="Arial"/>
          <w:bCs/>
          <w:color w:val="auto"/>
          <w:sz w:val="22"/>
          <w:szCs w:val="28"/>
          <w:highlight w:val="none"/>
        </w:rPr>
        <w:t>所有认证、证明和业绩均以有效清晰的证明文件的复印件为依据，原件备查</w:t>
      </w:r>
      <w:r>
        <w:rPr>
          <w:rFonts w:hint="eastAsia" w:ascii="Arial" w:hAnsi="Arial" w:cs="Arial"/>
          <w:bCs/>
          <w:color w:val="auto"/>
          <w:highlight w:val="none"/>
        </w:rPr>
        <w:t>。</w:t>
      </w:r>
    </w:p>
    <w:p w14:paraId="47208D7D">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2.小微企业价格扣除</w:t>
      </w:r>
    </w:p>
    <w:p w14:paraId="46E0D79D">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2.1对于专门面向中小企业或小型、微型企业的项目，只面向中小企业或小型、微型企业采购。对于非专门面向中小企业的项目，对小型和微型企业的价格给予</w:t>
      </w:r>
      <w:r>
        <w:rPr>
          <w:rFonts w:ascii="Arial" w:hAnsi="Arial" w:cs="Arial"/>
          <w:bCs/>
          <w:color w:val="auto"/>
          <w:sz w:val="22"/>
          <w:szCs w:val="28"/>
          <w:highlight w:val="none"/>
        </w:rPr>
        <w:t>5</w:t>
      </w:r>
      <w:r>
        <w:rPr>
          <w:rFonts w:hint="eastAsia" w:ascii="Arial" w:hAnsi="Arial" w:cs="Arial"/>
          <w:bCs/>
          <w:color w:val="auto"/>
          <w:sz w:val="22"/>
          <w:szCs w:val="28"/>
          <w:highlight w:val="none"/>
        </w:rPr>
        <w:t>%的扣除，用扣除后的价格参与评审。</w:t>
      </w:r>
    </w:p>
    <w:p w14:paraId="3ABC8EC2">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auto"/>
          <w:sz w:val="22"/>
          <w:szCs w:val="28"/>
          <w:highlight w:val="none"/>
        </w:rPr>
        <w:t>5</w:t>
      </w:r>
      <w:r>
        <w:rPr>
          <w:rFonts w:hint="eastAsia" w:ascii="Arial" w:hAnsi="Arial" w:cs="Arial"/>
          <w:bCs/>
          <w:color w:val="auto"/>
          <w:sz w:val="22"/>
          <w:szCs w:val="28"/>
          <w:highlight w:val="none"/>
        </w:rPr>
        <w:t>%价格扣除，用扣除后的价格参与评审。组成联合体的大中型企业和其他自然人、法人或者其他组织，与小型、微型企业之间不得存在投资关系。</w:t>
      </w:r>
    </w:p>
    <w:p w14:paraId="6EBD7174">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3.监狱和戒毒企业的价格扣除</w:t>
      </w:r>
    </w:p>
    <w:p w14:paraId="74B66C31">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3.1 本项目对监狱和戒毒企业，给予</w:t>
      </w:r>
      <w:r>
        <w:rPr>
          <w:rFonts w:ascii="Arial" w:hAnsi="Arial" w:cs="Arial"/>
          <w:bCs/>
          <w:color w:val="auto"/>
          <w:sz w:val="22"/>
          <w:szCs w:val="28"/>
          <w:highlight w:val="none"/>
        </w:rPr>
        <w:t>5</w:t>
      </w:r>
      <w:r>
        <w:rPr>
          <w:rFonts w:hint="eastAsia" w:ascii="Arial" w:hAnsi="Arial" w:cs="Arial"/>
          <w:bCs/>
          <w:color w:val="auto"/>
          <w:sz w:val="22"/>
          <w:szCs w:val="28"/>
          <w:highlight w:val="none"/>
        </w:rPr>
        <w:t>%的价格扣除，用扣除后的价格参与评审。</w:t>
      </w:r>
    </w:p>
    <w:p w14:paraId="15619A26">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3.2 监狱企业需提供由省级以上监狱管理局、戒毒管理局（含新疆生产建设兵团）出具的属于监狱企业的证明文件。</w:t>
      </w:r>
    </w:p>
    <w:p w14:paraId="5C637181">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3.3 监狱企业标准请参照《关于政府采购支持监狱企业发展有关问题的通知》（财库〔2014〕68号）。</w:t>
      </w:r>
    </w:p>
    <w:p w14:paraId="6E064990">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4.残疾人福利性单位的价格扣除</w:t>
      </w:r>
    </w:p>
    <w:p w14:paraId="02410224">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4.1 本项目对残疾人福利性单位，给予5%的价格扣除，用扣除后的价格参与评审。</w:t>
      </w:r>
    </w:p>
    <w:p w14:paraId="12FBD70D">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4.2 残疾人福利性单位需提供《残疾人福利性单位声明函》。</w:t>
      </w:r>
    </w:p>
    <w:p w14:paraId="6275DB80">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4.3 残疾人福利性单位标准请参照《关于促进残疾人就业政府采购政策的通知》（财库〔2017〕141号）。</w:t>
      </w:r>
    </w:p>
    <w:p w14:paraId="5E729CCF">
      <w:pPr>
        <w:spacing w:line="360" w:lineRule="auto"/>
        <w:ind w:firstLine="440"/>
        <w:rPr>
          <w:rFonts w:ascii="Arial" w:hAnsi="Arial" w:cs="Arial"/>
          <w:bCs/>
          <w:color w:val="auto"/>
          <w:sz w:val="22"/>
          <w:szCs w:val="28"/>
          <w:highlight w:val="none"/>
        </w:rPr>
      </w:pPr>
      <w:r>
        <w:rPr>
          <w:rFonts w:hint="eastAsia" w:ascii="Arial" w:hAnsi="Arial" w:cs="Arial"/>
          <w:bCs/>
          <w:color w:val="auto"/>
          <w:sz w:val="22"/>
          <w:szCs w:val="28"/>
          <w:highlight w:val="none"/>
        </w:rPr>
        <w:t>5. 监狱企业、残疾人福利性单位属于小型、微型企业的，不重复享受政策。</w:t>
      </w:r>
    </w:p>
    <w:p w14:paraId="6A6DDCA6">
      <w:pPr>
        <w:pStyle w:val="2"/>
        <w:numPr>
          <w:ilvl w:val="0"/>
          <w:numId w:val="0"/>
        </w:numPr>
        <w:jc w:val="center"/>
        <w:rPr>
          <w:rFonts w:ascii="Arial" w:hAnsi="Arial" w:cs="Arial"/>
          <w:color w:val="auto"/>
          <w:highlight w:val="none"/>
          <w:lang w:val="zh-CN"/>
        </w:rPr>
      </w:pPr>
      <w:r>
        <w:rPr>
          <w:rFonts w:hint="eastAsia" w:ascii="Arial" w:hAnsi="Arial" w:eastAsia="宋体" w:cs="Arial"/>
          <w:bCs/>
          <w:color w:val="auto"/>
          <w:szCs w:val="28"/>
          <w:highlight w:val="none"/>
        </w:rPr>
        <w:br w:type="page" w:clear="all"/>
      </w:r>
      <w:bookmarkStart w:id="32" w:name="_Toc15293"/>
      <w:r>
        <w:rPr>
          <w:rFonts w:hint="eastAsia"/>
          <w:color w:val="auto"/>
          <w:highlight w:val="none"/>
          <w:lang w:val="zh-CN"/>
        </w:rPr>
        <w:t xml:space="preserve">第四章 </w:t>
      </w:r>
      <w:r>
        <w:rPr>
          <w:color w:val="auto"/>
          <w:highlight w:val="none"/>
          <w:lang w:val="zh-CN"/>
        </w:rPr>
        <w:t>采购需求</w:t>
      </w:r>
      <w:bookmarkEnd w:id="32"/>
    </w:p>
    <w:p w14:paraId="13B6AB3E">
      <w:pPr>
        <w:pStyle w:val="266"/>
        <w:ind w:firstLine="0"/>
        <w:rPr>
          <w:color w:val="auto"/>
          <w:highlight w:val="none"/>
          <w:lang w:val="zh-CN"/>
        </w:rPr>
      </w:pPr>
    </w:p>
    <w:p w14:paraId="19612C52">
      <w:pPr>
        <w:keepNext w:val="0"/>
        <w:keepLines w:val="0"/>
        <w:pageBreakBefore w:val="0"/>
        <w:kinsoku/>
        <w:wordWrap w:val="0"/>
        <w:overflowPunct/>
        <w:topLinePunct w:val="0"/>
        <w:autoSpaceDE/>
        <w:autoSpaceDN/>
        <w:bidi w:val="0"/>
        <w:adjustRightInd/>
        <w:snapToGrid/>
        <w:spacing w:before="187" w:after="187" w:line="360" w:lineRule="auto"/>
        <w:ind w:firstLine="422" w:firstLineChars="200"/>
        <w:jc w:val="left"/>
        <w:textAlignment w:val="auto"/>
        <w:rPr>
          <w:rFonts w:hint="eastAsia" w:ascii="宋体" w:hAnsi="宋体" w:eastAsia="宋体" w:cs="宋体"/>
          <w:b/>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第一部分 报价形式</w:t>
      </w:r>
    </w:p>
    <w:p w14:paraId="0C27AA37">
      <w:pPr>
        <w:keepNext w:val="0"/>
        <w:keepLines w:val="0"/>
        <w:pageBreakBefore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2"/>
          <w:sz w:val="21"/>
          <w:szCs w:val="21"/>
          <w:highlight w:val="none"/>
          <w14:ligatures w14:val="standardContextual"/>
        </w:rPr>
      </w:pPr>
      <w:r>
        <w:rPr>
          <w:rFonts w:hint="eastAsia" w:ascii="宋体" w:hAnsi="宋体" w:eastAsia="宋体" w:cs="宋体"/>
          <w:b/>
          <w:bCs/>
          <w:color w:val="auto"/>
          <w:kern w:val="2"/>
          <w:sz w:val="21"/>
          <w:szCs w:val="21"/>
          <w:highlight w:val="none"/>
          <w14:ligatures w14:val="standardContextual"/>
        </w:rPr>
        <w:t>本项目预算金额：135万元，其中含9万元暂列金额。</w:t>
      </w:r>
    </w:p>
    <w:tbl>
      <w:tblPr>
        <w:tblStyle w:val="54"/>
        <w:tblW w:w="8674"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674"/>
      </w:tblGrid>
      <w:tr w14:paraId="29100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70" w:hRule="atLeast"/>
        </w:trPr>
        <w:tc>
          <w:tcPr>
            <w:tcW w:w="8674" w:type="dxa"/>
            <w:shd w:val="clear" w:color="auto" w:fill="FFFFFF"/>
            <w:tcMar>
              <w:top w:w="20" w:type="dxa"/>
              <w:left w:w="20" w:type="dxa"/>
              <w:bottom w:w="20" w:type="dxa"/>
              <w:right w:w="20" w:type="dxa"/>
            </w:tcMar>
            <w:vAlign w:val="center"/>
          </w:tcPr>
          <w:p w14:paraId="3FEE03AE">
            <w:pPr>
              <w:keepNext w:val="0"/>
              <w:keepLines w:val="0"/>
              <w:pageBreakBefore w:val="0"/>
              <w:kinsoku/>
              <w:wordWrap w:val="0"/>
              <w:overflowPunct/>
              <w:topLinePunct w:val="0"/>
              <w:autoSpaceDE/>
              <w:autoSpaceDN/>
              <w:bidi w:val="0"/>
              <w:adjustRightInd/>
              <w:snapToGrid/>
              <w:spacing w:after="160"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报价形式:</w:t>
            </w:r>
            <w:r>
              <w:rPr>
                <w:rFonts w:hint="eastAsia" w:ascii="宋体" w:hAnsi="宋体" w:eastAsia="宋体" w:cs="宋体"/>
                <w:color w:val="auto"/>
                <w:kern w:val="2"/>
                <w:sz w:val="21"/>
                <w:szCs w:val="21"/>
                <w:highlight w:val="none"/>
                <w14:ligatures w14:val="standardContextual"/>
              </w:rPr>
              <w:t xml:space="preserve">☐固定总价 ☑固定单价 ☐固定综合单价 ☐下浮率 </w:t>
            </w:r>
          </w:p>
        </w:tc>
      </w:tr>
    </w:tbl>
    <w:p w14:paraId="68DB0EF4">
      <w:pPr>
        <w:keepNext w:val="0"/>
        <w:keepLines w:val="0"/>
        <w:pageBreakBefore w:val="0"/>
        <w:kinsoku/>
        <w:wordWrap w:val="0"/>
        <w:overflowPunct/>
        <w:topLinePunct w:val="0"/>
        <w:autoSpaceDE/>
        <w:autoSpaceDN/>
        <w:bidi w:val="0"/>
        <w:adjustRightInd/>
        <w:snapToGrid/>
        <w:spacing w:before="187" w:after="187" w:line="360" w:lineRule="auto"/>
        <w:ind w:firstLine="422" w:firstLineChars="200"/>
        <w:jc w:val="left"/>
        <w:textAlignment w:val="auto"/>
        <w:rPr>
          <w:rFonts w:hint="eastAsia" w:ascii="宋体" w:hAnsi="宋体" w:eastAsia="宋体" w:cs="宋体"/>
          <w:b/>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本项目采用固定单价报价，依据单个卫生间渗水维修工程的工程量清单核算单间报价，9万元暂列金额不纳入单个卫生间渗水维修工程的报价范围、不计入单间单价。</w:t>
      </w:r>
    </w:p>
    <w:p w14:paraId="4F77FD1A">
      <w:pPr>
        <w:keepNext w:val="0"/>
        <w:keepLines w:val="0"/>
        <w:pageBreakBefore w:val="0"/>
        <w:kinsoku/>
        <w:wordWrap w:val="0"/>
        <w:overflowPunct/>
        <w:topLinePunct w:val="0"/>
        <w:autoSpaceDE/>
        <w:autoSpaceDN/>
        <w:bidi w:val="0"/>
        <w:adjustRightInd/>
        <w:snapToGrid/>
        <w:spacing w:before="187" w:after="187"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第二部分 技术参数（标准）</w:t>
      </w:r>
    </w:p>
    <w:p w14:paraId="2C715414">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（包括但不限于：主要用途、技术方案（配置）、工艺要求、技术指标、技术规格以及相关图纸等。）</w:t>
      </w:r>
    </w:p>
    <w:p w14:paraId="3B9521DD">
      <w:pPr>
        <w:keepNext w:val="0"/>
        <w:keepLines w:val="0"/>
        <w:pageBreakBefore w:val="0"/>
        <w:widowControl/>
        <w:shd w:val="clear" w:color="auto" w:fill="FFFFFF"/>
        <w:kinsoku/>
        <w:overflowPunct/>
        <w:topLinePunct w:val="0"/>
        <w:autoSpaceDE/>
        <w:autoSpaceDN/>
        <w:bidi w:val="0"/>
        <w:adjustRightInd/>
        <w:snapToGrid/>
        <w:spacing w:line="360" w:lineRule="auto"/>
        <w:ind w:firstLine="452" w:firstLineChars="200"/>
        <w:textAlignment w:val="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维修范围：本次招标维修房间数约360间，房间号详附件（暂定），具体维修楼栋和房间号以采购人现场确认结果为准。维修方案详见图纸。</w:t>
      </w:r>
    </w:p>
    <w:p w14:paraId="6340E41D">
      <w:pPr>
        <w:keepNext w:val="0"/>
        <w:keepLines w:val="0"/>
        <w:pageBreakBefore w:val="0"/>
        <w:kinsoku/>
        <w:wordWrap w:val="0"/>
        <w:overflowPunct/>
        <w:topLinePunct w:val="0"/>
        <w:autoSpaceDE/>
        <w:autoSpaceDN/>
        <w:bidi w:val="0"/>
        <w:adjustRightInd/>
        <w:snapToGrid/>
        <w:spacing w:before="187" w:after="187"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第三部分 服务要求</w:t>
      </w:r>
    </w:p>
    <w:p w14:paraId="4B7C1BA7">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（配套服务、增值服务、维保服务等）</w:t>
      </w:r>
    </w:p>
    <w:p w14:paraId="1E5D5523">
      <w:pPr>
        <w:keepNext w:val="0"/>
        <w:keepLines w:val="0"/>
        <w:pageBreakBefore w:val="0"/>
        <w:kinsoku/>
        <w:wordWrap w:val="0"/>
        <w:overflowPunct/>
        <w:topLinePunct w:val="0"/>
        <w:autoSpaceDE/>
        <w:autoSpaceDN/>
        <w:bidi w:val="0"/>
        <w:adjustRightInd/>
        <w:snapToGrid/>
        <w:spacing w:after="160"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一、施工要求</w:t>
      </w:r>
    </w:p>
    <w:p w14:paraId="25B88597">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1.施工前，发包人、监理、承包人确认具体需要维修的房间号，并对房间内门锁、花洒、毛巾架、置物架、蹲坑（马桶）冲洗阀、洗漱池下水管等进行验收，存在问题的，</w:t>
      </w:r>
      <w:r>
        <w:rPr>
          <w:rFonts w:hint="eastAsia" w:ascii="宋体" w:hAnsi="宋体" w:cs="宋体"/>
          <w:color w:val="auto"/>
          <w:kern w:val="2"/>
          <w:sz w:val="21"/>
          <w:szCs w:val="21"/>
          <w:highlight w:val="none"/>
          <w:lang w:val="en-US" w:eastAsia="zh-CN"/>
          <w14:ligatures w14:val="standardContextual"/>
        </w:rPr>
        <w:t>在承包人完成全部渗水维修后，</w:t>
      </w:r>
      <w:r>
        <w:rPr>
          <w:rFonts w:hint="eastAsia" w:ascii="宋体" w:hAnsi="宋体" w:eastAsia="宋体" w:cs="宋体"/>
          <w:color w:val="auto"/>
          <w:kern w:val="2"/>
          <w:sz w:val="21"/>
          <w:szCs w:val="21"/>
          <w:highlight w:val="none"/>
          <w14:ligatures w14:val="standardContextual"/>
        </w:rPr>
        <w:t>由发包人组织维修。验收后，无论是否存在问题，均可进行拆除施工。</w:t>
      </w:r>
    </w:p>
    <w:p w14:paraId="48D4FF33">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房间内门锁、花洒、毛巾架、置物架、蹲坑（马桶）冲洗阀、洗漱池下水管等因施工需要拆除的，均由承包人恢复，因拆除损坏的由承包人负责更换。因拆除导致门框变形门关不上、地砖起拱、洗漱池下水管松动等情况，由承包人修复。蹲坑进水口密封圈老化的需更换，地漏堵塞的由承包人负责疏通。以上费用均包含在投标报价内，不再另外计取。</w:t>
      </w:r>
    </w:p>
    <w:p w14:paraId="2E4F23C4">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2.拆除范围详见图纸，卫生间门对面墙体铝塑板拆除，卫生间门槛处凿毛处理。所有建筑垃圾用垃圾袋装好，可临时堆放在校内指定地点，及时清运至校外</w:t>
      </w:r>
      <w:r>
        <w:rPr>
          <w:rFonts w:hint="eastAsia" w:ascii="宋体" w:hAnsi="宋体" w:cs="宋体"/>
          <w:color w:val="auto"/>
          <w:kern w:val="2"/>
          <w:sz w:val="21"/>
          <w:szCs w:val="21"/>
          <w:highlight w:val="none"/>
          <w:lang w:eastAsia="zh-CN"/>
          <w14:ligatures w14:val="standardContextual"/>
        </w:rPr>
        <w:t>，以上费用均包含在投标报价内，不再另外计取</w:t>
      </w:r>
      <w:r>
        <w:rPr>
          <w:rFonts w:hint="eastAsia" w:ascii="宋体" w:hAnsi="宋体" w:eastAsia="宋体" w:cs="宋体"/>
          <w:color w:val="auto"/>
          <w:kern w:val="2"/>
          <w:sz w:val="21"/>
          <w:szCs w:val="21"/>
          <w:highlight w:val="none"/>
          <w14:ligatures w14:val="standardContextual"/>
        </w:rPr>
        <w:t>。</w:t>
      </w:r>
    </w:p>
    <w:p w14:paraId="2D1BE0AF">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3.施工时注意成品保护，室外走廊区域地砖要覆盖一层保护膜；卫生间内部墙砖下部采取适当的支撑措施；所有地面洞口（含地漏、蹲坑、马桶等洞口）需采取封盖措施，防止碎砖、水泥砂浆等掉入洞口导致堵塞现象</w:t>
      </w:r>
      <w:r>
        <w:rPr>
          <w:rFonts w:hint="eastAsia" w:ascii="宋体" w:hAnsi="宋体" w:cs="宋体"/>
          <w:color w:val="auto"/>
          <w:kern w:val="2"/>
          <w:sz w:val="21"/>
          <w:szCs w:val="21"/>
          <w:highlight w:val="none"/>
          <w:lang w:eastAsia="zh-CN"/>
          <w14:ligatures w14:val="standardContextual"/>
        </w:rPr>
        <w:t>。自竣工验收合格之日起算，半年内马桶、蹲坑、地漏发生堵塞现象均由承包人负责疏通。若承包人一天内未疏通，采购人安排第三方进行疏通，费用按200元/次，从工程款中扣除。</w:t>
      </w:r>
      <w:r>
        <w:rPr>
          <w:rFonts w:hint="eastAsia" w:ascii="宋体" w:hAnsi="宋体" w:eastAsia="宋体" w:cs="宋体"/>
          <w:color w:val="auto"/>
          <w:kern w:val="2"/>
          <w:sz w:val="21"/>
          <w:szCs w:val="21"/>
          <w:highlight w:val="none"/>
          <w14:ligatures w14:val="standardContextual"/>
        </w:rPr>
        <w:t>马桶及卫生间门套需拆除并重新安装的，由承包人拆除并恢复，若损坏由承包人负责更换。上述费用均包含在投标报价内，不再另外计取。</w:t>
      </w:r>
    </w:p>
    <w:p w14:paraId="2187622F">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4.卫生间墙砖（图纸要求拆除范围以外）空鼓严重的由承包人更换，</w:t>
      </w:r>
      <w:r>
        <w:rPr>
          <w:rFonts w:hint="eastAsia" w:ascii="宋体" w:hAnsi="宋体" w:eastAsia="宋体" w:cs="宋体"/>
          <w:b/>
          <w:bCs/>
          <w:color w:val="auto"/>
          <w:kern w:val="2"/>
          <w:sz w:val="21"/>
          <w:szCs w:val="21"/>
          <w:highlight w:val="none"/>
          <w14:ligatures w14:val="standardContextual"/>
        </w:rPr>
        <w:t>单方维修费用由投标人自行报价，按实结算</w:t>
      </w:r>
      <w:r>
        <w:rPr>
          <w:rFonts w:hint="eastAsia" w:ascii="宋体" w:hAnsi="宋体" w:eastAsia="宋体" w:cs="宋体"/>
          <w:color w:val="auto"/>
          <w:kern w:val="2"/>
          <w:sz w:val="21"/>
          <w:szCs w:val="21"/>
          <w:highlight w:val="none"/>
          <w14:ligatures w14:val="standardContextual"/>
        </w:rPr>
        <w:t>，具体更换数量由发包人和监理现场确认，墙砖空鼓处防水做法按图纸要求。卫生间外侧地砖因拆除松动或原本松动的均由承包人更换，该费用均包含在投标报价内，不再另外计取。拆下的墙地砖严禁重复使用，每发现一块，按1000元/块支付违约金。</w:t>
      </w:r>
    </w:p>
    <w:p w14:paraId="61CE58EC">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5.卫生间外侧周围墙体（含卫生间对面墙体）墙皮受潮发霉的，以及房间内四周墙皮和顶棚、室外走廊发霉的由承包人铲除受潮发霉墙皮，重新批腻子、打磨并刷2遍乳胶漆。具体修补范围由发包人、监理现场确认，费用均包含在投标报价内，不再另外计取。</w:t>
      </w:r>
    </w:p>
    <w:p w14:paraId="44364A3F">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6.门槛砖两端以及门套或门框内外两侧与瓷砖交界处清理干净后用防水胶密封，密封胶高度与门套或门框一样高</w:t>
      </w:r>
      <w:r>
        <w:rPr>
          <w:rFonts w:hint="eastAsia" w:ascii="宋体" w:hAnsi="宋体" w:cs="宋体"/>
          <w:color w:val="auto"/>
          <w:kern w:val="2"/>
          <w:sz w:val="21"/>
          <w:szCs w:val="21"/>
          <w:highlight w:val="none"/>
          <w:lang w:eastAsia="zh-CN"/>
          <w14:ligatures w14:val="standardContextual"/>
        </w:rPr>
        <w:t>；</w:t>
      </w:r>
      <w:r>
        <w:rPr>
          <w:rFonts w:hint="eastAsia" w:ascii="宋体" w:hAnsi="宋体" w:eastAsia="宋体" w:cs="宋体"/>
          <w:color w:val="auto"/>
          <w:kern w:val="2"/>
          <w:sz w:val="21"/>
          <w:szCs w:val="21"/>
          <w:highlight w:val="none"/>
          <w14:ligatures w14:val="standardContextual"/>
        </w:rPr>
        <w:t>花洒混水阀周围用密封胶封堵，</w:t>
      </w:r>
      <w:r>
        <w:rPr>
          <w:rFonts w:hint="eastAsia" w:ascii="宋体" w:hAnsi="宋体" w:cs="宋体"/>
          <w:color w:val="auto"/>
          <w:kern w:val="2"/>
          <w:sz w:val="21"/>
          <w:szCs w:val="21"/>
          <w:highlight w:val="none"/>
          <w:lang w:val="en-US" w:eastAsia="zh-CN"/>
          <w14:ligatures w14:val="standardContextual"/>
        </w:rPr>
        <w:t>以上</w:t>
      </w:r>
      <w:r>
        <w:rPr>
          <w:rFonts w:hint="eastAsia" w:ascii="宋体" w:hAnsi="宋体" w:eastAsia="宋体" w:cs="宋体"/>
          <w:color w:val="auto"/>
          <w:kern w:val="2"/>
          <w:sz w:val="21"/>
          <w:szCs w:val="21"/>
          <w:highlight w:val="none"/>
          <w14:ligatures w14:val="standardContextual"/>
        </w:rPr>
        <w:t>费用均包含在投标报价内，不再另外计取。</w:t>
      </w:r>
    </w:p>
    <w:p w14:paraId="71CB3E08">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7.所有房间卫生间走道与室内分界处，安装一道彩条布临时密闭封堵，防止灰尘进入室内，同时施工人员不得进入室内。</w:t>
      </w:r>
    </w:p>
    <w:p w14:paraId="1D17AF5F">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8.施工人员可选择一定数量的空房间住宿，由施工单位提出申请，采购人统一安排，生活用电按表计量，生活用水按10元每人每月收取</w:t>
      </w:r>
      <w:r>
        <w:rPr>
          <w:rFonts w:hint="eastAsia" w:ascii="宋体" w:hAnsi="宋体" w:cs="宋体"/>
          <w:color w:val="auto"/>
          <w:kern w:val="2"/>
          <w:sz w:val="21"/>
          <w:szCs w:val="21"/>
          <w:highlight w:val="none"/>
          <w:lang w:eastAsia="zh-CN"/>
          <w14:ligatures w14:val="standardContextual"/>
        </w:rPr>
        <w:t>（</w:t>
      </w:r>
      <w:r>
        <w:rPr>
          <w:rFonts w:hint="eastAsia" w:ascii="宋体" w:hAnsi="宋体" w:eastAsia="宋体" w:cs="宋体"/>
          <w:color w:val="auto"/>
          <w:kern w:val="2"/>
          <w:sz w:val="21"/>
          <w:szCs w:val="21"/>
          <w:highlight w:val="none"/>
          <w14:ligatures w14:val="standardContextual"/>
        </w:rPr>
        <w:t>洗浴费用，投标人自行充卡</w:t>
      </w:r>
      <w:r>
        <w:rPr>
          <w:rFonts w:hint="eastAsia" w:ascii="宋体" w:hAnsi="宋体" w:cs="宋体"/>
          <w:color w:val="auto"/>
          <w:kern w:val="2"/>
          <w:sz w:val="21"/>
          <w:szCs w:val="21"/>
          <w:highlight w:val="none"/>
          <w:lang w:val="en-US" w:eastAsia="zh-CN"/>
          <w14:ligatures w14:val="standardContextual"/>
        </w:rPr>
        <w:t>按实计取</w:t>
      </w:r>
      <w:r>
        <w:rPr>
          <w:rFonts w:hint="eastAsia" w:ascii="宋体" w:hAnsi="宋体" w:cs="宋体"/>
          <w:color w:val="auto"/>
          <w:kern w:val="2"/>
          <w:sz w:val="21"/>
          <w:szCs w:val="21"/>
          <w:highlight w:val="none"/>
          <w:lang w:eastAsia="zh-CN"/>
          <w14:ligatures w14:val="standardContextual"/>
        </w:rPr>
        <w:t>）</w:t>
      </w:r>
      <w:r>
        <w:rPr>
          <w:rFonts w:hint="eastAsia" w:ascii="宋体" w:hAnsi="宋体" w:eastAsia="宋体" w:cs="宋体"/>
          <w:color w:val="auto"/>
          <w:kern w:val="2"/>
          <w:sz w:val="21"/>
          <w:szCs w:val="21"/>
          <w:highlight w:val="none"/>
          <w14:ligatures w14:val="standardContextual"/>
        </w:rPr>
        <w:t>；施工用水用电按最终结算审定金额3‰收取。</w:t>
      </w:r>
    </w:p>
    <w:p w14:paraId="30AF89BB">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9.施工材料垂直运输由承包人自行考虑。</w:t>
      </w:r>
    </w:p>
    <w:p w14:paraId="5943A9F1">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10.施工过程注意保持大厅、走道等部位清洁，及时清扫掉落的建筑垃圾，发包人或监理发现散落的建筑垃圾超过24小时未及时清理到校外的，按5000元/次支付违约金。施工完成后进行一次全方位精保洁方可验收交付</w:t>
      </w:r>
      <w:r>
        <w:rPr>
          <w:rFonts w:hint="eastAsia" w:ascii="宋体" w:hAnsi="宋体" w:cs="宋体"/>
          <w:color w:val="auto"/>
          <w:kern w:val="2"/>
          <w:sz w:val="21"/>
          <w:szCs w:val="21"/>
          <w:highlight w:val="none"/>
          <w:lang w:eastAsia="zh-CN"/>
          <w14:ligatures w14:val="standardContextual"/>
        </w:rPr>
        <w:t>，保洁需经采购人验收确认，若保洁结果采购人不认可。承包人需再次保洁，直到采购人认可为止。若承包人，拒绝再次保洁，采购人安排第三方进行保洁，保洁费用按500元/间，从工程款中扣除。</w:t>
      </w:r>
    </w:p>
    <w:p w14:paraId="13DB68AE">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11.其他施工要点详见图纸。</w:t>
      </w:r>
    </w:p>
    <w:p w14:paraId="634BA4CA">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12.主要施工内容及工程量详见石湫宿舍卫生间渗水维修工程量（仅供参考报价），后勤二、青年教师周转公寓、无障碍卫生间等房间的维修工程量略有偏差，投标报价时综合考虑。</w:t>
      </w:r>
    </w:p>
    <w:p w14:paraId="67FDC175">
      <w:pPr>
        <w:keepNext w:val="0"/>
        <w:keepLines w:val="0"/>
        <w:pageBreakBefore w:val="0"/>
        <w:kinsoku/>
        <w:wordWrap w:val="0"/>
        <w:overflowPunct/>
        <w:topLinePunct w:val="0"/>
        <w:autoSpaceDE/>
        <w:autoSpaceDN/>
        <w:bidi w:val="0"/>
        <w:adjustRightInd/>
        <w:snapToGrid/>
        <w:spacing w:after="160"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二、品牌要求</w:t>
      </w:r>
    </w:p>
    <w:p w14:paraId="0CF38ACF">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墙地砖：冠军、诺贝尔、斯米克或同等档次（颜色与现有墙地砖接近）</w:t>
      </w:r>
    </w:p>
    <w:p w14:paraId="68C4CA3D">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乳胶漆：立邦、三棵树、多乐士或同等档次</w:t>
      </w:r>
    </w:p>
    <w:p w14:paraId="608F677E">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防水涂料：东方雨虹、科顺、卓宝或同等档次</w:t>
      </w:r>
    </w:p>
    <w:p w14:paraId="788224BC">
      <w:pPr>
        <w:keepNext w:val="0"/>
        <w:keepLines w:val="0"/>
        <w:pageBreakBefore w:val="0"/>
        <w:kinsoku/>
        <w:wordWrap w:val="0"/>
        <w:overflowPunct/>
        <w:topLinePunct w:val="0"/>
        <w:autoSpaceDE/>
        <w:autoSpaceDN/>
        <w:bidi w:val="0"/>
        <w:adjustRightInd/>
        <w:snapToGrid/>
        <w:spacing w:after="160"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三、工期要求</w:t>
      </w:r>
    </w:p>
    <w:p w14:paraId="33C849F1">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1.2026年7月1日~2026年8月25日，共56日历天，部分楼栋为毕业班宿舍，可提前开工</w:t>
      </w:r>
      <w:r>
        <w:rPr>
          <w:rFonts w:hint="eastAsia" w:ascii="宋体" w:hAnsi="宋体" w:eastAsia="宋体" w:cs="宋体"/>
          <w:color w:val="auto"/>
          <w:kern w:val="2"/>
          <w:sz w:val="21"/>
          <w:szCs w:val="21"/>
          <w:highlight w:val="none"/>
          <w:lang w:val="en-US" w:eastAsia="zh-CN"/>
          <w14:ligatures w14:val="standardContextual"/>
        </w:rPr>
        <w:t>的</w:t>
      </w:r>
      <w:r>
        <w:rPr>
          <w:rFonts w:hint="eastAsia" w:ascii="宋体" w:hAnsi="宋体" w:eastAsia="宋体" w:cs="宋体"/>
          <w:color w:val="auto"/>
          <w:kern w:val="2"/>
          <w:sz w:val="21"/>
          <w:szCs w:val="21"/>
          <w:highlight w:val="none"/>
          <w14:ligatures w14:val="standardContextual"/>
        </w:rPr>
        <w:t>，由采购人根据实际情况决定。</w:t>
      </w:r>
    </w:p>
    <w:p w14:paraId="25C96FF4">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2.每道施工工序确保有足够的流水施工队伍同时施工，确保按期完成采购人要求的维修工作量。</w:t>
      </w:r>
    </w:p>
    <w:p w14:paraId="3E5C09CA">
      <w:pPr>
        <w:keepNext w:val="0"/>
        <w:keepLines w:val="0"/>
        <w:pageBreakBefore w:val="0"/>
        <w:kinsoku/>
        <w:wordWrap w:val="0"/>
        <w:overflowPunct/>
        <w:topLinePunct w:val="0"/>
        <w:autoSpaceDE/>
        <w:autoSpaceDN/>
        <w:bidi w:val="0"/>
        <w:adjustRightInd/>
        <w:snapToGrid/>
        <w:spacing w:after="160"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3.因承包人原因导致工期延误的，需向采购人支付10000元/天违约金。</w:t>
      </w:r>
    </w:p>
    <w:p w14:paraId="6BF05C80">
      <w:pPr>
        <w:keepNext w:val="0"/>
        <w:keepLines w:val="0"/>
        <w:pageBreakBefore w:val="0"/>
        <w:kinsoku/>
        <w:wordWrap w:val="0"/>
        <w:overflowPunct/>
        <w:topLinePunct w:val="0"/>
        <w:autoSpaceDE/>
        <w:autoSpaceDN/>
        <w:bidi w:val="0"/>
        <w:adjustRightInd/>
        <w:snapToGrid/>
        <w:spacing w:before="187" w:after="187"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第四部分 评标方法</w:t>
      </w:r>
    </w:p>
    <w:p w14:paraId="7F199DB2">
      <w:pPr>
        <w:keepNext w:val="0"/>
        <w:keepLines w:val="0"/>
        <w:pageBreakBefore w:val="0"/>
        <w:kinsoku/>
        <w:wordWrap w:val="0"/>
        <w:overflowPunct/>
        <w:topLinePunct w:val="0"/>
        <w:autoSpaceDE/>
        <w:autoSpaceDN/>
        <w:bidi w:val="0"/>
        <w:adjustRightInd/>
        <w:snapToGrid/>
        <w:spacing w:before="52" w:after="52"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1、评标方法</w:t>
      </w:r>
    </w:p>
    <w:p w14:paraId="14C3B7F8">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 xml:space="preserve">☑综合评分法 </w:t>
      </w:r>
    </w:p>
    <w:p w14:paraId="337553C6">
      <w:pPr>
        <w:keepNext w:val="0"/>
        <w:keepLines w:val="0"/>
        <w:pageBreakBefore w:val="0"/>
        <w:kinsoku/>
        <w:wordWrap w:val="0"/>
        <w:overflowPunct/>
        <w:topLinePunct w:val="0"/>
        <w:autoSpaceDE/>
        <w:autoSpaceDN/>
        <w:bidi w:val="0"/>
        <w:adjustRightInd/>
        <w:snapToGrid/>
        <w:spacing w:before="52" w:after="52"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2、评分标准</w:t>
      </w:r>
    </w:p>
    <w:p w14:paraId="7AB88C14">
      <w:pPr>
        <w:keepNext w:val="0"/>
        <w:keepLines w:val="0"/>
        <w:pageBreakBefore w:val="0"/>
        <w:kinsoku/>
        <w:wordWrap w:val="0"/>
        <w:overflowPunct/>
        <w:topLinePunct w:val="0"/>
        <w:autoSpaceDE/>
        <w:autoSpaceDN/>
        <w:bidi w:val="0"/>
        <w:adjustRightInd/>
        <w:snapToGrid/>
        <w:spacing w:before="52" w:after="52" w:line="360" w:lineRule="auto"/>
        <w:ind w:firstLine="422" w:firstLineChars="200"/>
        <w:jc w:val="left"/>
        <w:textAlignment w:val="auto"/>
        <w:rPr>
          <w:rFonts w:hint="eastAsia" w:ascii="宋体" w:hAnsi="宋体" w:eastAsia="宋体" w:cs="宋体"/>
          <w:b/>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详见第三章</w:t>
      </w:r>
    </w:p>
    <w:p w14:paraId="7F1013CF">
      <w:pPr>
        <w:keepNext w:val="0"/>
        <w:keepLines w:val="0"/>
        <w:pageBreakBefore w:val="0"/>
        <w:kinsoku/>
        <w:wordWrap w:val="0"/>
        <w:overflowPunct/>
        <w:topLinePunct w:val="0"/>
        <w:autoSpaceDE/>
        <w:autoSpaceDN/>
        <w:bidi w:val="0"/>
        <w:adjustRightInd/>
        <w:snapToGrid/>
        <w:spacing w:before="52" w:after="52"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3、定标原则</w:t>
      </w:r>
    </w:p>
    <w:p w14:paraId="746F6C28">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（1）本项目采用综合评分法确定成交候选人。总分值为100分，小数点后保留两位。</w:t>
      </w:r>
    </w:p>
    <w:p w14:paraId="05628B64">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（2）使用综合评分法的采购项目，评标结果按评审后得分由高到低顺序排列。得分相同的，按报价得分由高到低顺序排列。评审后得分且投标报价相同的，按照</w:t>
      </w:r>
      <w:r>
        <w:rPr>
          <w:rFonts w:hint="eastAsia" w:ascii="宋体" w:hAnsi="宋体" w:eastAsia="宋体" w:cs="宋体"/>
          <w:color w:val="auto"/>
          <w:kern w:val="2"/>
          <w:sz w:val="21"/>
          <w:szCs w:val="21"/>
          <w:highlight w:val="none"/>
          <w:u w:val="single"/>
          <w14:ligatures w14:val="standardContextual"/>
        </w:rPr>
        <w:t>施工组织设计</w:t>
      </w:r>
      <w:r>
        <w:rPr>
          <w:rFonts w:hint="eastAsia" w:ascii="宋体" w:hAnsi="宋体" w:eastAsia="宋体" w:cs="宋体"/>
          <w:color w:val="auto"/>
          <w:kern w:val="2"/>
          <w:sz w:val="21"/>
          <w:szCs w:val="21"/>
          <w:highlight w:val="none"/>
          <w14:ligatures w14:val="standardContextual"/>
        </w:rPr>
        <w:t>得分最高的投标人为成交候选人。</w:t>
      </w:r>
    </w:p>
    <w:p w14:paraId="308A3A7E">
      <w:pPr>
        <w:keepNext w:val="0"/>
        <w:keepLines w:val="0"/>
        <w:pageBreakBefore w:val="0"/>
        <w:kinsoku/>
        <w:wordWrap w:val="0"/>
        <w:overflowPunct/>
        <w:topLinePunct w:val="0"/>
        <w:autoSpaceDE/>
        <w:autoSpaceDN/>
        <w:bidi w:val="0"/>
        <w:adjustRightInd/>
        <w:snapToGrid/>
        <w:spacing w:before="187" w:after="187"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第五部分 验收标准</w:t>
      </w:r>
    </w:p>
    <w:p w14:paraId="1B7BE990">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1.竣工验收标准</w:t>
      </w:r>
    </w:p>
    <w:p w14:paraId="7BBBF540">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（1）完成全部施工内容，竣工资料齐全；</w:t>
      </w:r>
    </w:p>
    <w:p w14:paraId="74BCA470">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（2）施工过程，每道工序均严格按照规范和图纸要求并经监理和采购人验收通过；</w:t>
      </w:r>
    </w:p>
    <w:p w14:paraId="03FD5733">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（3）材料规格、品牌均符合合同要求。</w:t>
      </w:r>
    </w:p>
    <w:p w14:paraId="2906F268">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2.复验收标准</w:t>
      </w:r>
    </w:p>
    <w:p w14:paraId="0A8E4013">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2027年6月对已维修完成的房间卫生间进行复验收。</w:t>
      </w:r>
    </w:p>
    <w:p w14:paraId="0E3CC689">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（1）渗水率＜1％视为复验收合格，即渗水房间数不超过已维修房间数的1％，渗水房间全部返工整改；</w:t>
      </w:r>
    </w:p>
    <w:p w14:paraId="4131DA1B">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color w:val="auto"/>
          <w:kern w:val="2"/>
          <w:sz w:val="21"/>
          <w:szCs w:val="21"/>
          <w:highlight w:val="none"/>
          <w14:ligatures w14:val="standardContextual"/>
        </w:rPr>
        <w:t>（2）渗水率≥1％的视为复验收不合格，渗水房间全部返工整改。2028年6月，对整改房间进行第三次验收。</w:t>
      </w:r>
    </w:p>
    <w:p w14:paraId="308906A4">
      <w:pPr>
        <w:keepNext w:val="0"/>
        <w:keepLines w:val="0"/>
        <w:pageBreakBefore w:val="0"/>
        <w:kinsoku/>
        <w:wordWrap w:val="0"/>
        <w:overflowPunct/>
        <w:topLinePunct w:val="0"/>
        <w:autoSpaceDE/>
        <w:autoSpaceDN/>
        <w:bidi w:val="0"/>
        <w:adjustRightInd/>
        <w:snapToGrid/>
        <w:spacing w:before="187" w:after="187" w:line="360" w:lineRule="auto"/>
        <w:ind w:firstLine="422"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第六部分 付款方式</w:t>
      </w:r>
    </w:p>
    <w:p w14:paraId="57AA60DF">
      <w:pPr>
        <w:keepNext w:val="0"/>
        <w:keepLines w:val="0"/>
        <w:pageBreakBefore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color w:val="auto"/>
          <w:kern w:val="2"/>
          <w:sz w:val="21"/>
          <w:szCs w:val="21"/>
          <w:highlight w:val="none"/>
          <w14:ligatures w14:val="standardContextual"/>
        </w:rPr>
      </w:pPr>
      <w:r>
        <w:rPr>
          <w:rFonts w:hint="eastAsia" w:ascii="宋体" w:hAnsi="宋体" w:eastAsia="宋体" w:cs="宋体"/>
          <w:b/>
          <w:color w:val="auto"/>
          <w:kern w:val="2"/>
          <w:sz w:val="21"/>
          <w:szCs w:val="21"/>
          <w:highlight w:val="none"/>
          <w14:ligatures w14:val="standardContextual"/>
        </w:rPr>
        <w:t>合同价=单间报价*360间+9万元暂列金额，结算价=单间报价*实际维修房间数+墙砖更换单价*实际更换墙砖</w:t>
      </w:r>
      <w:r>
        <w:rPr>
          <w:rFonts w:hint="eastAsia" w:ascii="宋体" w:hAnsi="宋体" w:cs="宋体"/>
          <w:b/>
          <w:color w:val="auto"/>
          <w:kern w:val="2"/>
          <w:sz w:val="21"/>
          <w:szCs w:val="21"/>
          <w:highlight w:val="none"/>
          <w:lang w:val="en-US" w:eastAsia="zh-CN"/>
          <w14:ligatures w14:val="standardContextual"/>
        </w:rPr>
        <w:t>面积</w:t>
      </w:r>
      <w:r>
        <w:rPr>
          <w:rFonts w:hint="eastAsia" w:ascii="宋体" w:hAnsi="宋体" w:eastAsia="宋体" w:cs="宋体"/>
          <w:b/>
          <w:color w:val="auto"/>
          <w:kern w:val="2"/>
          <w:sz w:val="21"/>
          <w:szCs w:val="21"/>
          <w:highlight w:val="none"/>
          <w14:ligatures w14:val="standardContextual"/>
        </w:rPr>
        <w:t>，不再增加其他任何费用。</w:t>
      </w:r>
    </w:p>
    <w:p w14:paraId="46E4DADA">
      <w:pPr>
        <w:keepNext w:val="0"/>
        <w:keepLines w:val="0"/>
        <w:pageBreakBefore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val="0"/>
          <w:color w:val="auto"/>
          <w:kern w:val="2"/>
          <w:sz w:val="21"/>
          <w:szCs w:val="21"/>
          <w:highlight w:val="none"/>
          <w14:ligatures w14:val="standardContextual"/>
        </w:rPr>
      </w:pPr>
      <w:r>
        <w:rPr>
          <w:rFonts w:hint="eastAsia" w:ascii="宋体" w:hAnsi="宋体" w:eastAsia="宋体" w:cs="宋体"/>
          <w:b/>
          <w:bCs w:val="0"/>
          <w:color w:val="auto"/>
          <w:kern w:val="2"/>
          <w:sz w:val="21"/>
          <w:szCs w:val="21"/>
          <w:highlight w:val="none"/>
          <w14:ligatures w14:val="standardContextual"/>
        </w:rPr>
        <w:t>中标单间综合单价包含但不限于:现场排查、基层检查、地面墙面凿除、基层修补、防水处理、砂浆找平、面层恢复、管口收口、堵漏处理、闭水试验、材料运输、垃圾清理及外运、成品保护、安全文明施工、临时设施、人工、材料、机械、管理、利润、规费、税金、现场风险、夜间及零星施工、宿舍扰民管控措施等完成单间卫生间维修交付合格使用的全部工作内容及一切费用。</w:t>
      </w:r>
    </w:p>
    <w:p w14:paraId="432FC9C7">
      <w:pPr>
        <w:keepNext w:val="0"/>
        <w:keepLines w:val="0"/>
        <w:pageBreakBefore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val="0"/>
          <w:bCs/>
          <w:color w:val="auto"/>
          <w:kern w:val="2"/>
          <w:sz w:val="21"/>
          <w:szCs w:val="21"/>
          <w:highlight w:val="none"/>
          <w:lang w:eastAsia="zh-CN"/>
          <w14:ligatures w14:val="standardContextual"/>
        </w:rPr>
      </w:pPr>
      <w:r>
        <w:rPr>
          <w:rFonts w:hint="eastAsia" w:ascii="宋体" w:hAnsi="宋体" w:eastAsia="宋体" w:cs="宋体"/>
          <w:b/>
          <w:bCs w:val="0"/>
          <w:color w:val="auto"/>
          <w:kern w:val="2"/>
          <w:sz w:val="21"/>
          <w:szCs w:val="21"/>
          <w:highlight w:val="none"/>
          <w14:ligatures w14:val="standardContextual"/>
        </w:rPr>
        <w:t>投标人报价视为已包含图纸、方案隐含全部工序及常规施工风险，施工过程中不得以工程量理解偏差、现场情况不熟、工序漏项、人工材料涨跌、施工难度大等任何理由提出增价、签证、索赔</w:t>
      </w:r>
      <w:r>
        <w:rPr>
          <w:rFonts w:hint="eastAsia" w:ascii="宋体" w:hAnsi="宋体" w:cs="宋体"/>
          <w:b/>
          <w:bCs w:val="0"/>
          <w:color w:val="auto"/>
          <w:kern w:val="2"/>
          <w:sz w:val="21"/>
          <w:szCs w:val="21"/>
          <w:highlight w:val="none"/>
          <w:lang w:eastAsia="zh-CN"/>
          <w14:ligatures w14:val="standardContextual"/>
        </w:rPr>
        <w:t>。</w:t>
      </w:r>
    </w:p>
    <w:p w14:paraId="5573B6B7">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kern w:val="2"/>
          <w:sz w:val="21"/>
          <w:szCs w:val="21"/>
          <w:highlight w:val="none"/>
          <w14:ligatures w14:val="standardContextual"/>
        </w:rPr>
      </w:pPr>
      <w:r>
        <w:rPr>
          <w:rFonts w:hint="eastAsia" w:ascii="宋体" w:hAnsi="宋体" w:eastAsia="宋体" w:cs="宋体"/>
          <w:b w:val="0"/>
          <w:bCs/>
          <w:color w:val="auto"/>
          <w:kern w:val="2"/>
          <w:sz w:val="21"/>
          <w:szCs w:val="21"/>
          <w:highlight w:val="none"/>
          <w14:ligatures w14:val="standardContextual"/>
        </w:rPr>
        <w:t>关于付款周期的约定：</w:t>
      </w:r>
    </w:p>
    <w:p w14:paraId="3E670698">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kern w:val="2"/>
          <w:sz w:val="21"/>
          <w:szCs w:val="21"/>
          <w:highlight w:val="none"/>
          <w14:ligatures w14:val="standardContextual"/>
        </w:rPr>
      </w:pPr>
      <w:r>
        <w:rPr>
          <w:rFonts w:hint="eastAsia" w:ascii="宋体" w:hAnsi="宋体" w:eastAsia="宋体" w:cs="宋体"/>
          <w:b w:val="0"/>
          <w:bCs/>
          <w:color w:val="auto"/>
          <w:kern w:val="2"/>
          <w:sz w:val="21"/>
          <w:szCs w:val="21"/>
          <w:highlight w:val="none"/>
          <w14:ligatures w14:val="standardContextual"/>
        </w:rPr>
        <w:t>1.签订合同后付至合同价（扣除暂列金额）的30％。</w:t>
      </w:r>
    </w:p>
    <w:p w14:paraId="3956D524">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kern w:val="2"/>
          <w:sz w:val="21"/>
          <w:szCs w:val="21"/>
          <w:highlight w:val="none"/>
          <w14:ligatures w14:val="standardContextual"/>
        </w:rPr>
      </w:pPr>
      <w:r>
        <w:rPr>
          <w:rFonts w:hint="eastAsia" w:ascii="宋体" w:hAnsi="宋体" w:eastAsia="宋体" w:cs="宋体"/>
          <w:b w:val="0"/>
          <w:bCs/>
          <w:color w:val="auto"/>
          <w:kern w:val="2"/>
          <w:sz w:val="21"/>
          <w:szCs w:val="21"/>
          <w:highlight w:val="none"/>
          <w14:ligatures w14:val="standardContextual"/>
        </w:rPr>
        <w:t>2.2026年维修完成，竣工验收合格后付至合同价（扣除暂列金额）的70％。</w:t>
      </w:r>
    </w:p>
    <w:p w14:paraId="1CB825EE">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color w:val="auto"/>
          <w:kern w:val="2"/>
          <w:sz w:val="21"/>
          <w:szCs w:val="21"/>
          <w:highlight w:val="none"/>
          <w14:ligatures w14:val="standardContextual"/>
        </w:rPr>
      </w:pPr>
      <w:r>
        <w:rPr>
          <w:rFonts w:hint="eastAsia" w:ascii="宋体" w:hAnsi="宋体" w:eastAsia="宋体" w:cs="宋体"/>
          <w:b w:val="0"/>
          <w:bCs/>
          <w:color w:val="auto"/>
          <w:kern w:val="2"/>
          <w:sz w:val="21"/>
          <w:szCs w:val="21"/>
          <w:highlight w:val="none"/>
          <w14:ligatures w14:val="standardContextual"/>
        </w:rPr>
        <w:t>3.2027年6月对已维修完成的房间进行复验收，复验收合格且完成结算审计后，付至结算审定金额的97％。复验收不合格的，2027年暑假整改完成后，2028年6月对整改的房间进行第三次验收，验收合格的付至结算审定金额的97％。</w:t>
      </w:r>
    </w:p>
    <w:p w14:paraId="3A44D465">
      <w:pPr>
        <w:keepNext w:val="0"/>
        <w:keepLines w:val="0"/>
        <w:pageBreakBefore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14:ligatures w14:val="standardContextual"/>
        </w:rPr>
      </w:pPr>
      <w:r>
        <w:rPr>
          <w:rFonts w:hint="eastAsia" w:ascii="宋体" w:hAnsi="宋体" w:eastAsia="宋体" w:cs="宋体"/>
          <w:b w:val="0"/>
          <w:bCs/>
          <w:color w:val="auto"/>
          <w:kern w:val="2"/>
          <w:sz w:val="21"/>
          <w:szCs w:val="21"/>
          <w:highlight w:val="none"/>
          <w14:ligatures w14:val="standardContextual"/>
        </w:rPr>
        <w:t>4. 剩余 3% 作为质量保证金，缺陷责任期届满后 15 日内无息返还。缺陷责任期：2 年，自全部维修完成</w:t>
      </w:r>
      <w:r>
        <w:rPr>
          <w:rFonts w:hint="eastAsia" w:ascii="宋体" w:hAnsi="宋体" w:eastAsia="宋体" w:cs="宋体"/>
          <w:b/>
          <w:color w:val="auto"/>
          <w:kern w:val="2"/>
          <w:sz w:val="21"/>
          <w:szCs w:val="21"/>
          <w:highlight w:val="none"/>
          <w14:ligatures w14:val="standardContextual"/>
        </w:rPr>
        <w:t>并竣工验收合格之日起算。质保期限为5年，自全部维修完成并竣工验收合格之日起算。</w:t>
      </w:r>
    </w:p>
    <w:p w14:paraId="34BAE679">
      <w:pPr>
        <w:wordWrap w:val="0"/>
        <w:spacing w:line="315" w:lineRule="exact"/>
        <w:jc w:val="left"/>
        <w:rPr>
          <w:rFonts w:hint="eastAsia" w:ascii="宋体" w:hAnsi="宋体" w:cs="宋体"/>
          <w:color w:val="auto"/>
          <w:kern w:val="2"/>
          <w:szCs w:val="24"/>
          <w:highlight w:val="none"/>
          <w14:ligatures w14:val="standardContextual"/>
        </w:rPr>
      </w:pPr>
    </w:p>
    <w:p w14:paraId="0AD5AF2D">
      <w:pPr>
        <w:pStyle w:val="52"/>
        <w:rPr>
          <w:rFonts w:ascii="Arial" w:hAnsi="Arial" w:cs="Arial"/>
          <w:color w:val="auto"/>
          <w:sz w:val="24"/>
          <w:szCs w:val="24"/>
          <w:highlight w:val="none"/>
        </w:rPr>
        <w:sectPr>
          <w:type w:val="continuous"/>
          <w:pgSz w:w="11906" w:h="16838"/>
          <w:pgMar w:top="1440" w:right="1800" w:bottom="1440" w:left="1600" w:header="851" w:footer="992" w:gutter="0"/>
          <w:cols w:space="1701" w:num="1"/>
          <w:docGrid w:linePitch="360" w:charSpace="0"/>
        </w:sectPr>
      </w:pPr>
    </w:p>
    <w:p w14:paraId="42ADFA8F">
      <w:pPr>
        <w:pStyle w:val="52"/>
        <w:rPr>
          <w:rFonts w:hint="eastAsia" w:ascii="宋体" w:hAnsi="宋体" w:cs="宋体"/>
          <w:color w:val="auto"/>
          <w:highlight w:val="none"/>
          <w:lang w:val="zh-CN"/>
        </w:rPr>
      </w:pPr>
      <w:bookmarkStart w:id="33" w:name="_Toc19167"/>
      <w:r>
        <w:rPr>
          <w:rFonts w:ascii="Arial" w:hAnsi="Arial" w:cs="Arial"/>
          <w:color w:val="auto"/>
          <w:highlight w:val="none"/>
          <w:lang w:val="zh-CN"/>
        </w:rPr>
        <w:t>第五章 合同主要条款</w:t>
      </w:r>
      <w:bookmarkEnd w:id="33"/>
      <w:bookmarkStart w:id="34" w:name="_Toc504573082"/>
      <w:bookmarkStart w:id="35" w:name="_Toc534273798"/>
      <w:bookmarkStart w:id="36" w:name="_Toc534273675"/>
    </w:p>
    <w:p w14:paraId="2BC90A4C">
      <w:pPr>
        <w:spacing w:line="315" w:lineRule="exact"/>
        <w:rPr>
          <w:rFonts w:ascii="Calibri" w:hAnsi="Calibri"/>
          <w:color w:val="auto"/>
          <w:szCs w:val="22"/>
          <w:highlight w:val="none"/>
        </w:rPr>
      </w:pPr>
    </w:p>
    <w:p w14:paraId="5A9CDBC7">
      <w:pPr>
        <w:spacing w:line="255" w:lineRule="exact"/>
        <w:rPr>
          <w:rFonts w:ascii="Calibri" w:hAnsi="Calibri"/>
          <w:color w:val="auto"/>
          <w:szCs w:val="22"/>
          <w:highlight w:val="none"/>
        </w:rPr>
      </w:pPr>
    </w:p>
    <w:p w14:paraId="4EA836C9">
      <w:pPr>
        <w:spacing w:line="1155" w:lineRule="exact"/>
        <w:rPr>
          <w:rFonts w:ascii="Calibri" w:hAnsi="Calibri"/>
          <w:color w:val="auto"/>
          <w:szCs w:val="22"/>
          <w:highlight w:val="none"/>
        </w:rPr>
      </w:pPr>
    </w:p>
    <w:p w14:paraId="264AA087">
      <w:pPr>
        <w:spacing w:line="1200" w:lineRule="exact"/>
        <w:rPr>
          <w:rFonts w:ascii="Calibri" w:hAnsi="Calibri"/>
          <w:color w:val="auto"/>
          <w:szCs w:val="22"/>
          <w:highlight w:val="none"/>
        </w:rPr>
      </w:pPr>
    </w:p>
    <w:p w14:paraId="17FD16EA">
      <w:pPr>
        <w:wordWrap w:val="0"/>
        <w:jc w:val="center"/>
        <w:rPr>
          <w:rFonts w:ascii="Calibri" w:hAnsi="Calibri"/>
          <w:color w:val="auto"/>
          <w:szCs w:val="22"/>
          <w:highlight w:val="none"/>
        </w:rPr>
      </w:pPr>
      <w:r>
        <w:rPr>
          <w:rFonts w:ascii="宋体" w:hAnsi="宋体" w:cs="宋体"/>
          <w:b/>
          <w:color w:val="auto"/>
          <w:sz w:val="94"/>
          <w:szCs w:val="22"/>
          <w:highlight w:val="none"/>
        </w:rPr>
        <w:t>采购合同</w:t>
      </w:r>
    </w:p>
    <w:p w14:paraId="6364C780">
      <w:pPr>
        <w:spacing w:line="225" w:lineRule="exact"/>
        <w:rPr>
          <w:rFonts w:ascii="Calibri" w:hAnsi="Calibri"/>
          <w:color w:val="auto"/>
          <w:szCs w:val="22"/>
          <w:highlight w:val="none"/>
        </w:rPr>
      </w:pPr>
    </w:p>
    <w:p w14:paraId="2C46780E">
      <w:pPr>
        <w:spacing w:line="225" w:lineRule="exact"/>
        <w:rPr>
          <w:rFonts w:ascii="Calibri" w:hAnsi="Calibri"/>
          <w:color w:val="auto"/>
          <w:szCs w:val="22"/>
          <w:highlight w:val="none"/>
        </w:rPr>
      </w:pPr>
    </w:p>
    <w:p w14:paraId="267882E9">
      <w:pPr>
        <w:spacing w:line="3195" w:lineRule="exact"/>
        <w:rPr>
          <w:rFonts w:ascii="Calibri" w:hAnsi="Calibri"/>
          <w:color w:val="auto"/>
          <w:szCs w:val="22"/>
          <w:highlight w:val="none"/>
        </w:rPr>
      </w:pPr>
    </w:p>
    <w:tbl>
      <w:tblPr>
        <w:tblStyle w:val="54"/>
        <w:tblW w:w="9585" w:type="dxa"/>
        <w:jc w:val="center"/>
        <w:tblLayout w:type="autofit"/>
        <w:tblCellMar>
          <w:top w:w="0" w:type="dxa"/>
          <w:left w:w="10" w:type="dxa"/>
          <w:bottom w:w="0" w:type="dxa"/>
          <w:right w:w="10" w:type="dxa"/>
        </w:tblCellMar>
      </w:tblPr>
      <w:tblGrid>
        <w:gridCol w:w="165"/>
        <w:gridCol w:w="1785"/>
        <w:gridCol w:w="7470"/>
        <w:gridCol w:w="165"/>
      </w:tblGrid>
      <w:tr w14:paraId="34DF7B5C">
        <w:tblPrEx>
          <w:tblCellMar>
            <w:top w:w="0" w:type="dxa"/>
            <w:left w:w="10" w:type="dxa"/>
            <w:bottom w:w="0" w:type="dxa"/>
            <w:right w:w="10" w:type="dxa"/>
          </w:tblCellMar>
        </w:tblPrEx>
        <w:trPr>
          <w:trHeight w:val="480" w:hRule="atLeast"/>
          <w:jc w:val="center"/>
        </w:trPr>
        <w:tc>
          <w:tcPr>
            <w:tcW w:w="165" w:type="dxa"/>
            <w:tcMar>
              <w:top w:w="20" w:type="dxa"/>
              <w:left w:w="20" w:type="dxa"/>
              <w:bottom w:w="20" w:type="dxa"/>
              <w:right w:w="20" w:type="dxa"/>
            </w:tcMar>
            <w:vAlign w:val="center"/>
          </w:tcPr>
          <w:p w14:paraId="7842E59B">
            <w:pPr>
              <w:wordWrap w:val="0"/>
              <w:rPr>
                <w:rFonts w:ascii="Calibri" w:hAnsi="Calibri"/>
                <w:color w:val="auto"/>
                <w:szCs w:val="22"/>
                <w:highlight w:val="none"/>
              </w:rPr>
            </w:pPr>
          </w:p>
        </w:tc>
        <w:tc>
          <w:tcPr>
            <w:tcW w:w="1785" w:type="dxa"/>
            <w:tcMar>
              <w:top w:w="20" w:type="dxa"/>
              <w:left w:w="20" w:type="dxa"/>
              <w:bottom w:w="20" w:type="dxa"/>
              <w:right w:w="20" w:type="dxa"/>
            </w:tcMar>
            <w:vAlign w:val="bottom"/>
          </w:tcPr>
          <w:p w14:paraId="396F57A8">
            <w:pPr>
              <w:wordWrap w:val="0"/>
              <w:spacing w:line="503" w:lineRule="exact"/>
              <w:jc w:val="right"/>
              <w:rPr>
                <w:rFonts w:ascii="Calibri" w:hAnsi="Calibri"/>
                <w:color w:val="auto"/>
                <w:szCs w:val="22"/>
                <w:highlight w:val="none"/>
              </w:rPr>
            </w:pPr>
            <w:r>
              <w:rPr>
                <w:rFonts w:ascii="黑体" w:hAnsi="黑体" w:eastAsia="黑体" w:cs="黑体"/>
                <w:color w:val="auto"/>
                <w:sz w:val="28"/>
                <w:szCs w:val="22"/>
                <w:highlight w:val="none"/>
              </w:rPr>
              <w:t>项目编号：</w:t>
            </w:r>
          </w:p>
        </w:tc>
        <w:tc>
          <w:tcPr>
            <w:tcW w:w="7470" w:type="dxa"/>
            <w:tcMar>
              <w:top w:w="20" w:type="dxa"/>
              <w:left w:w="20" w:type="dxa"/>
              <w:bottom w:w="20" w:type="dxa"/>
              <w:right w:w="20" w:type="dxa"/>
            </w:tcMar>
            <w:vAlign w:val="center"/>
          </w:tcPr>
          <w:p w14:paraId="7F8294AE">
            <w:pPr>
              <w:wordWrap w:val="0"/>
              <w:spacing w:line="503" w:lineRule="exact"/>
              <w:jc w:val="center"/>
              <w:rPr>
                <w:rFonts w:ascii="Calibri" w:hAnsi="Calibri"/>
                <w:color w:val="auto"/>
                <w:szCs w:val="22"/>
                <w:highlight w:val="none"/>
              </w:rPr>
            </w:pPr>
          </w:p>
        </w:tc>
        <w:tc>
          <w:tcPr>
            <w:tcW w:w="165" w:type="dxa"/>
            <w:tcMar>
              <w:top w:w="20" w:type="dxa"/>
              <w:left w:w="20" w:type="dxa"/>
              <w:bottom w:w="20" w:type="dxa"/>
              <w:right w:w="20" w:type="dxa"/>
            </w:tcMar>
            <w:vAlign w:val="center"/>
          </w:tcPr>
          <w:p w14:paraId="4F8ED072">
            <w:pPr>
              <w:wordWrap w:val="0"/>
              <w:rPr>
                <w:rFonts w:ascii="Calibri" w:hAnsi="Calibri"/>
                <w:color w:val="auto"/>
                <w:szCs w:val="22"/>
                <w:highlight w:val="none"/>
              </w:rPr>
            </w:pPr>
          </w:p>
        </w:tc>
      </w:tr>
      <w:tr w14:paraId="2A6752F0">
        <w:tblPrEx>
          <w:tblCellMar>
            <w:top w:w="0" w:type="dxa"/>
            <w:left w:w="10" w:type="dxa"/>
            <w:bottom w:w="0" w:type="dxa"/>
            <w:right w:w="10" w:type="dxa"/>
          </w:tblCellMar>
        </w:tblPrEx>
        <w:trPr>
          <w:trHeight w:val="480" w:hRule="atLeast"/>
          <w:jc w:val="center"/>
        </w:trPr>
        <w:tc>
          <w:tcPr>
            <w:tcW w:w="165" w:type="dxa"/>
            <w:tcMar>
              <w:top w:w="20" w:type="dxa"/>
              <w:left w:w="20" w:type="dxa"/>
              <w:bottom w:w="20" w:type="dxa"/>
              <w:right w:w="20" w:type="dxa"/>
            </w:tcMar>
            <w:vAlign w:val="center"/>
          </w:tcPr>
          <w:p w14:paraId="7C8C3902">
            <w:pPr>
              <w:wordWrap w:val="0"/>
              <w:rPr>
                <w:rFonts w:ascii="Calibri" w:hAnsi="Calibri"/>
                <w:color w:val="auto"/>
                <w:szCs w:val="22"/>
                <w:highlight w:val="none"/>
              </w:rPr>
            </w:pPr>
          </w:p>
        </w:tc>
        <w:tc>
          <w:tcPr>
            <w:tcW w:w="1785" w:type="dxa"/>
            <w:tcMar>
              <w:top w:w="20" w:type="dxa"/>
              <w:left w:w="20" w:type="dxa"/>
              <w:bottom w:w="20" w:type="dxa"/>
              <w:right w:w="20" w:type="dxa"/>
            </w:tcMar>
            <w:vAlign w:val="bottom"/>
          </w:tcPr>
          <w:p w14:paraId="2A73F199">
            <w:pPr>
              <w:wordWrap w:val="0"/>
              <w:spacing w:line="503" w:lineRule="exact"/>
              <w:jc w:val="right"/>
              <w:rPr>
                <w:rFonts w:ascii="Calibri" w:hAnsi="Calibri"/>
                <w:color w:val="auto"/>
                <w:szCs w:val="22"/>
                <w:highlight w:val="none"/>
              </w:rPr>
            </w:pPr>
            <w:r>
              <w:rPr>
                <w:rFonts w:ascii="黑体" w:hAnsi="黑体" w:eastAsia="黑体" w:cs="黑体"/>
                <w:color w:val="auto"/>
                <w:sz w:val="28"/>
                <w:szCs w:val="22"/>
                <w:highlight w:val="none"/>
              </w:rPr>
              <w:t>项目名称：</w:t>
            </w:r>
          </w:p>
        </w:tc>
        <w:tc>
          <w:tcPr>
            <w:tcW w:w="7470" w:type="dxa"/>
            <w:tcMar>
              <w:top w:w="20" w:type="dxa"/>
              <w:left w:w="20" w:type="dxa"/>
              <w:bottom w:w="20" w:type="dxa"/>
              <w:right w:w="20" w:type="dxa"/>
            </w:tcMar>
            <w:vAlign w:val="center"/>
          </w:tcPr>
          <w:p w14:paraId="3D083567">
            <w:pPr>
              <w:wordWrap w:val="0"/>
              <w:spacing w:line="503" w:lineRule="exact"/>
              <w:jc w:val="center"/>
              <w:rPr>
                <w:rFonts w:hint="eastAsia" w:ascii="黑体" w:hAnsi="黑体" w:eastAsia="黑体" w:cs="黑体"/>
                <w:color w:val="auto"/>
                <w:sz w:val="28"/>
                <w:szCs w:val="22"/>
                <w:highlight w:val="none"/>
              </w:rPr>
            </w:pPr>
            <w:r>
              <w:rPr>
                <w:rFonts w:ascii="黑体" w:hAnsi="黑体" w:eastAsia="黑体" w:cs="黑体"/>
                <w:color w:val="auto"/>
                <w:sz w:val="28"/>
                <w:szCs w:val="22"/>
                <w:highlight w:val="none"/>
              </w:rPr>
              <w:t>江苏第二师范学院石湫校区学生宿舍卫生间渗水维修项目</w:t>
            </w:r>
          </w:p>
        </w:tc>
        <w:tc>
          <w:tcPr>
            <w:tcW w:w="165" w:type="dxa"/>
            <w:tcMar>
              <w:top w:w="20" w:type="dxa"/>
              <w:left w:w="20" w:type="dxa"/>
              <w:bottom w:w="20" w:type="dxa"/>
              <w:right w:w="20" w:type="dxa"/>
            </w:tcMar>
            <w:vAlign w:val="center"/>
          </w:tcPr>
          <w:p w14:paraId="7EF57A72">
            <w:pPr>
              <w:wordWrap w:val="0"/>
              <w:rPr>
                <w:rFonts w:ascii="Calibri" w:hAnsi="Calibri"/>
                <w:color w:val="auto"/>
                <w:szCs w:val="22"/>
                <w:highlight w:val="none"/>
              </w:rPr>
            </w:pPr>
          </w:p>
        </w:tc>
      </w:tr>
      <w:tr w14:paraId="12F67F58">
        <w:tblPrEx>
          <w:tblCellMar>
            <w:top w:w="0" w:type="dxa"/>
            <w:left w:w="10" w:type="dxa"/>
            <w:bottom w:w="0" w:type="dxa"/>
            <w:right w:w="10" w:type="dxa"/>
          </w:tblCellMar>
        </w:tblPrEx>
        <w:trPr>
          <w:trHeight w:val="480" w:hRule="atLeast"/>
          <w:jc w:val="center"/>
        </w:trPr>
        <w:tc>
          <w:tcPr>
            <w:tcW w:w="165" w:type="dxa"/>
            <w:tcMar>
              <w:top w:w="20" w:type="dxa"/>
              <w:left w:w="20" w:type="dxa"/>
              <w:bottom w:w="20" w:type="dxa"/>
              <w:right w:w="20" w:type="dxa"/>
            </w:tcMar>
            <w:vAlign w:val="center"/>
          </w:tcPr>
          <w:p w14:paraId="58E58DD7">
            <w:pPr>
              <w:wordWrap w:val="0"/>
              <w:rPr>
                <w:rFonts w:ascii="Calibri" w:hAnsi="Calibri"/>
                <w:color w:val="auto"/>
                <w:szCs w:val="22"/>
                <w:highlight w:val="none"/>
              </w:rPr>
            </w:pPr>
          </w:p>
        </w:tc>
        <w:tc>
          <w:tcPr>
            <w:tcW w:w="1785" w:type="dxa"/>
            <w:tcMar>
              <w:top w:w="20" w:type="dxa"/>
              <w:left w:w="20" w:type="dxa"/>
              <w:bottom w:w="20" w:type="dxa"/>
              <w:right w:w="20" w:type="dxa"/>
            </w:tcMar>
            <w:vAlign w:val="bottom"/>
          </w:tcPr>
          <w:p w14:paraId="797F43F9">
            <w:pPr>
              <w:wordWrap w:val="0"/>
              <w:spacing w:line="503" w:lineRule="exact"/>
              <w:jc w:val="right"/>
              <w:rPr>
                <w:rFonts w:ascii="Calibri" w:hAnsi="Calibri"/>
                <w:color w:val="auto"/>
                <w:szCs w:val="22"/>
                <w:highlight w:val="none"/>
              </w:rPr>
            </w:pPr>
            <w:r>
              <w:rPr>
                <w:rFonts w:ascii="黑体" w:hAnsi="黑体" w:eastAsia="黑体" w:cs="黑体"/>
                <w:color w:val="auto"/>
                <w:sz w:val="28"/>
                <w:szCs w:val="22"/>
                <w:highlight w:val="none"/>
              </w:rPr>
              <w:t>采 购 人：</w:t>
            </w:r>
          </w:p>
        </w:tc>
        <w:tc>
          <w:tcPr>
            <w:tcW w:w="7470" w:type="dxa"/>
            <w:tcMar>
              <w:top w:w="20" w:type="dxa"/>
              <w:left w:w="20" w:type="dxa"/>
              <w:bottom w:w="20" w:type="dxa"/>
              <w:right w:w="20" w:type="dxa"/>
            </w:tcMar>
            <w:vAlign w:val="center"/>
          </w:tcPr>
          <w:p w14:paraId="225FA39E">
            <w:pPr>
              <w:wordWrap w:val="0"/>
              <w:spacing w:line="503" w:lineRule="exact"/>
              <w:jc w:val="center"/>
              <w:rPr>
                <w:rFonts w:hint="eastAsia" w:ascii="黑体" w:hAnsi="黑体" w:eastAsia="黑体" w:cs="黑体"/>
                <w:color w:val="auto"/>
                <w:sz w:val="28"/>
                <w:szCs w:val="22"/>
                <w:highlight w:val="none"/>
              </w:rPr>
            </w:pPr>
            <w:r>
              <w:rPr>
                <w:rFonts w:ascii="黑体" w:hAnsi="黑体" w:eastAsia="黑体" w:cs="黑体"/>
                <w:color w:val="auto"/>
                <w:sz w:val="28"/>
                <w:szCs w:val="22"/>
                <w:highlight w:val="none"/>
              </w:rPr>
              <w:t>江苏第二师范学院</w:t>
            </w:r>
          </w:p>
        </w:tc>
        <w:tc>
          <w:tcPr>
            <w:tcW w:w="165" w:type="dxa"/>
            <w:tcMar>
              <w:top w:w="20" w:type="dxa"/>
              <w:left w:w="20" w:type="dxa"/>
              <w:bottom w:w="20" w:type="dxa"/>
              <w:right w:w="20" w:type="dxa"/>
            </w:tcMar>
            <w:vAlign w:val="center"/>
          </w:tcPr>
          <w:p w14:paraId="4A149720">
            <w:pPr>
              <w:wordWrap w:val="0"/>
              <w:rPr>
                <w:rFonts w:ascii="Calibri" w:hAnsi="Calibri"/>
                <w:color w:val="auto"/>
                <w:szCs w:val="22"/>
                <w:highlight w:val="none"/>
              </w:rPr>
            </w:pPr>
          </w:p>
        </w:tc>
      </w:tr>
      <w:tr w14:paraId="3BCF3B72">
        <w:tblPrEx>
          <w:tblCellMar>
            <w:top w:w="0" w:type="dxa"/>
            <w:left w:w="10" w:type="dxa"/>
            <w:bottom w:w="0" w:type="dxa"/>
            <w:right w:w="10" w:type="dxa"/>
          </w:tblCellMar>
        </w:tblPrEx>
        <w:trPr>
          <w:trHeight w:val="480" w:hRule="atLeast"/>
          <w:jc w:val="center"/>
        </w:trPr>
        <w:tc>
          <w:tcPr>
            <w:tcW w:w="165" w:type="dxa"/>
            <w:tcMar>
              <w:top w:w="20" w:type="dxa"/>
              <w:left w:w="20" w:type="dxa"/>
              <w:bottom w:w="20" w:type="dxa"/>
              <w:right w:w="20" w:type="dxa"/>
            </w:tcMar>
            <w:vAlign w:val="center"/>
          </w:tcPr>
          <w:p w14:paraId="158008D8">
            <w:pPr>
              <w:wordWrap w:val="0"/>
              <w:rPr>
                <w:rFonts w:ascii="Calibri" w:hAnsi="Calibri"/>
                <w:color w:val="auto"/>
                <w:szCs w:val="22"/>
                <w:highlight w:val="none"/>
              </w:rPr>
            </w:pPr>
          </w:p>
        </w:tc>
        <w:tc>
          <w:tcPr>
            <w:tcW w:w="1785" w:type="dxa"/>
            <w:tcMar>
              <w:top w:w="20" w:type="dxa"/>
              <w:left w:w="20" w:type="dxa"/>
              <w:bottom w:w="20" w:type="dxa"/>
              <w:right w:w="20" w:type="dxa"/>
            </w:tcMar>
            <w:vAlign w:val="bottom"/>
          </w:tcPr>
          <w:p w14:paraId="6BE010F2">
            <w:pPr>
              <w:wordWrap w:val="0"/>
              <w:spacing w:line="503" w:lineRule="exact"/>
              <w:jc w:val="right"/>
              <w:rPr>
                <w:rFonts w:ascii="Calibri" w:hAnsi="Calibri"/>
                <w:color w:val="auto"/>
                <w:szCs w:val="22"/>
                <w:highlight w:val="none"/>
              </w:rPr>
            </w:pPr>
            <w:r>
              <w:rPr>
                <w:rFonts w:hint="eastAsia" w:ascii="黑体" w:hAnsi="黑体" w:eastAsia="黑体" w:cs="黑体"/>
                <w:color w:val="auto"/>
                <w:sz w:val="28"/>
                <w:szCs w:val="22"/>
                <w:highlight w:val="none"/>
              </w:rPr>
              <w:t>施工</w:t>
            </w:r>
            <w:r>
              <w:rPr>
                <w:rFonts w:ascii="黑体" w:hAnsi="黑体" w:eastAsia="黑体" w:cs="黑体"/>
                <w:color w:val="auto"/>
                <w:sz w:val="28"/>
                <w:szCs w:val="22"/>
                <w:highlight w:val="none"/>
              </w:rPr>
              <w:t>单位：</w:t>
            </w:r>
          </w:p>
        </w:tc>
        <w:tc>
          <w:tcPr>
            <w:tcW w:w="7470" w:type="dxa"/>
            <w:tcMar>
              <w:top w:w="20" w:type="dxa"/>
              <w:left w:w="20" w:type="dxa"/>
              <w:bottom w:w="20" w:type="dxa"/>
              <w:right w:w="20" w:type="dxa"/>
            </w:tcMar>
            <w:vAlign w:val="center"/>
          </w:tcPr>
          <w:p w14:paraId="0DF702E3">
            <w:pPr>
              <w:wordWrap w:val="0"/>
              <w:rPr>
                <w:rFonts w:ascii="Calibri" w:hAnsi="Calibri"/>
                <w:color w:val="auto"/>
                <w:szCs w:val="22"/>
                <w:highlight w:val="none"/>
              </w:rPr>
            </w:pPr>
          </w:p>
        </w:tc>
        <w:tc>
          <w:tcPr>
            <w:tcW w:w="165" w:type="dxa"/>
            <w:tcMar>
              <w:top w:w="20" w:type="dxa"/>
              <w:left w:w="20" w:type="dxa"/>
              <w:bottom w:w="20" w:type="dxa"/>
              <w:right w:w="20" w:type="dxa"/>
            </w:tcMar>
            <w:vAlign w:val="center"/>
          </w:tcPr>
          <w:p w14:paraId="58367264">
            <w:pPr>
              <w:wordWrap w:val="0"/>
              <w:rPr>
                <w:rFonts w:ascii="Calibri" w:hAnsi="Calibri"/>
                <w:color w:val="auto"/>
                <w:szCs w:val="22"/>
                <w:highlight w:val="none"/>
              </w:rPr>
            </w:pPr>
          </w:p>
        </w:tc>
      </w:tr>
      <w:tr w14:paraId="266979B6">
        <w:tblPrEx>
          <w:tblCellMar>
            <w:top w:w="0" w:type="dxa"/>
            <w:left w:w="10" w:type="dxa"/>
            <w:bottom w:w="0" w:type="dxa"/>
            <w:right w:w="10" w:type="dxa"/>
          </w:tblCellMar>
        </w:tblPrEx>
        <w:trPr>
          <w:trHeight w:val="195" w:hRule="exact"/>
          <w:jc w:val="center"/>
        </w:trPr>
        <w:tc>
          <w:tcPr>
            <w:tcW w:w="165" w:type="dxa"/>
            <w:tcMar>
              <w:top w:w="20" w:type="dxa"/>
              <w:left w:w="20" w:type="dxa"/>
              <w:bottom w:w="20" w:type="dxa"/>
              <w:right w:w="20" w:type="dxa"/>
            </w:tcMar>
            <w:vAlign w:val="bottom"/>
          </w:tcPr>
          <w:p w14:paraId="18286B71">
            <w:pPr>
              <w:wordWrap w:val="0"/>
              <w:rPr>
                <w:rFonts w:ascii="Calibri" w:hAnsi="Calibri"/>
                <w:color w:val="auto"/>
                <w:szCs w:val="22"/>
                <w:highlight w:val="none"/>
              </w:rPr>
            </w:pPr>
          </w:p>
        </w:tc>
        <w:tc>
          <w:tcPr>
            <w:tcW w:w="1785" w:type="dxa"/>
            <w:tcMar>
              <w:top w:w="20" w:type="dxa"/>
              <w:left w:w="20" w:type="dxa"/>
              <w:bottom w:w="20" w:type="dxa"/>
              <w:right w:w="20" w:type="dxa"/>
            </w:tcMar>
            <w:vAlign w:val="bottom"/>
          </w:tcPr>
          <w:p w14:paraId="61AE9E86">
            <w:pPr>
              <w:wordWrap w:val="0"/>
              <w:rPr>
                <w:rFonts w:ascii="Calibri" w:hAnsi="Calibri"/>
                <w:color w:val="auto"/>
                <w:szCs w:val="22"/>
                <w:highlight w:val="none"/>
              </w:rPr>
            </w:pPr>
          </w:p>
        </w:tc>
        <w:tc>
          <w:tcPr>
            <w:tcW w:w="7470" w:type="dxa"/>
            <w:tcMar>
              <w:top w:w="20" w:type="dxa"/>
              <w:left w:w="20" w:type="dxa"/>
              <w:bottom w:w="20" w:type="dxa"/>
              <w:right w:w="20" w:type="dxa"/>
            </w:tcMar>
            <w:vAlign w:val="bottom"/>
          </w:tcPr>
          <w:p w14:paraId="030457AB">
            <w:pPr>
              <w:wordWrap w:val="0"/>
              <w:rPr>
                <w:rFonts w:ascii="Calibri" w:hAnsi="Calibri"/>
                <w:color w:val="auto"/>
                <w:szCs w:val="22"/>
                <w:highlight w:val="none"/>
              </w:rPr>
            </w:pPr>
          </w:p>
        </w:tc>
        <w:tc>
          <w:tcPr>
            <w:tcW w:w="165" w:type="dxa"/>
            <w:tcMar>
              <w:top w:w="20" w:type="dxa"/>
              <w:left w:w="20" w:type="dxa"/>
              <w:bottom w:w="20" w:type="dxa"/>
              <w:right w:w="20" w:type="dxa"/>
            </w:tcMar>
            <w:vAlign w:val="bottom"/>
          </w:tcPr>
          <w:p w14:paraId="58A3FE8E">
            <w:pPr>
              <w:wordWrap w:val="0"/>
              <w:rPr>
                <w:rFonts w:ascii="Calibri" w:hAnsi="Calibri"/>
                <w:color w:val="auto"/>
                <w:szCs w:val="22"/>
                <w:highlight w:val="none"/>
              </w:rPr>
            </w:pPr>
          </w:p>
        </w:tc>
      </w:tr>
    </w:tbl>
    <w:p w14:paraId="376F09B8">
      <w:pPr>
        <w:spacing w:line="195" w:lineRule="exact"/>
        <w:rPr>
          <w:rFonts w:ascii="Calibri" w:hAnsi="Calibri"/>
          <w:color w:val="auto"/>
          <w:szCs w:val="22"/>
          <w:highlight w:val="none"/>
        </w:rPr>
      </w:pPr>
    </w:p>
    <w:p w14:paraId="39D4A013">
      <w:pPr>
        <w:spacing w:line="1350" w:lineRule="exact"/>
        <w:rPr>
          <w:rFonts w:ascii="Calibri" w:hAnsi="Calibri"/>
          <w:color w:val="auto"/>
          <w:szCs w:val="22"/>
          <w:highlight w:val="none"/>
        </w:rPr>
      </w:pPr>
    </w:p>
    <w:p w14:paraId="2D0DD6A4">
      <w:pPr>
        <w:spacing w:line="795" w:lineRule="exact"/>
        <w:rPr>
          <w:rFonts w:ascii="Calibri" w:hAnsi="Calibri"/>
          <w:color w:val="auto"/>
          <w:szCs w:val="22"/>
          <w:highlight w:val="none"/>
        </w:rPr>
      </w:pPr>
    </w:p>
    <w:p w14:paraId="06F00DF9">
      <w:pPr>
        <w:widowControl/>
        <w:jc w:val="left"/>
        <w:rPr>
          <w:rFonts w:ascii="Calibri" w:hAnsi="Calibri"/>
          <w:color w:val="auto"/>
          <w:szCs w:val="22"/>
          <w:highlight w:val="none"/>
        </w:rPr>
        <w:sectPr>
          <w:pgSz w:w="11907" w:h="16839"/>
          <w:pgMar w:top="1077" w:right="1154" w:bottom="1077" w:left="1154" w:header="720" w:footer="720" w:gutter="0"/>
          <w:cols w:space="720" w:num="1"/>
        </w:sectPr>
      </w:pPr>
    </w:p>
    <w:p w14:paraId="4254CC5E">
      <w:pPr>
        <w:wordWrap w:val="0"/>
        <w:spacing w:line="647" w:lineRule="exact"/>
        <w:jc w:val="center"/>
        <w:outlineLvl w:val="1"/>
        <w:rPr>
          <w:rFonts w:ascii="Calibri" w:hAnsi="Calibri"/>
          <w:color w:val="auto"/>
          <w:szCs w:val="22"/>
          <w:highlight w:val="none"/>
        </w:rPr>
      </w:pPr>
      <w:r>
        <w:rPr>
          <w:rFonts w:ascii="华文中宋" w:hAnsi="华文中宋" w:eastAsia="华文中宋" w:cs="华文中宋"/>
          <w:color w:val="auto"/>
          <w:sz w:val="36"/>
          <w:szCs w:val="22"/>
          <w:highlight w:val="none"/>
        </w:rPr>
        <w:t>第一部分 合同协议书</w:t>
      </w:r>
    </w:p>
    <w:p w14:paraId="4A3113DB">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  同  编  号：</w:t>
      </w:r>
      <w:r>
        <w:rPr>
          <w:rFonts w:hint="eastAsia" w:ascii="宋体" w:hAnsi="宋体" w:eastAsia="宋体" w:cs="宋体"/>
          <w:color w:val="auto"/>
          <w:sz w:val="21"/>
          <w:szCs w:val="21"/>
          <w:highlight w:val="none"/>
          <w:u w:val="single"/>
        </w:rPr>
        <w:t>　　　　　　　　　　　</w:t>
      </w:r>
    </w:p>
    <w:p w14:paraId="57D38D00">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rPr>
        <w:t>江苏第二师范学院</w:t>
      </w:r>
    </w:p>
    <w:p w14:paraId="69D52E0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w:t>
      </w:r>
    </w:p>
    <w:p w14:paraId="325404D5">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江苏第二师范学院石湫校区学生宿舍卫生间渗水维修项目 </w:t>
      </w: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）工程施工及有关事项协商一致，发承包双方按照公开招标结果，共同达成如下协议：</w:t>
      </w:r>
    </w:p>
    <w:p w14:paraId="5C4A38FE">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一、工程概况</w:t>
      </w:r>
    </w:p>
    <w:p w14:paraId="26794B68">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工程名称：</w:t>
      </w:r>
      <w:r>
        <w:rPr>
          <w:rFonts w:hint="eastAsia" w:ascii="宋体" w:hAnsi="宋体" w:eastAsia="宋体" w:cs="宋体"/>
          <w:color w:val="auto"/>
          <w:sz w:val="21"/>
          <w:szCs w:val="21"/>
          <w:highlight w:val="none"/>
          <w:u w:val="single"/>
        </w:rPr>
        <w:t xml:space="preserve"> 江苏第二师范学院石湫校区学生宿舍卫生间渗水维修项目 </w:t>
      </w:r>
    </w:p>
    <w:p w14:paraId="164E942C">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工程地点：</w:t>
      </w:r>
      <w:r>
        <w:rPr>
          <w:rFonts w:hint="eastAsia" w:ascii="宋体" w:hAnsi="宋体" w:eastAsia="宋体" w:cs="宋体"/>
          <w:color w:val="auto"/>
          <w:sz w:val="21"/>
          <w:szCs w:val="21"/>
          <w:highlight w:val="none"/>
          <w:u w:val="single"/>
        </w:rPr>
        <w:t xml:space="preserve"> 江苏第二师范学院石湫校区 </w:t>
      </w:r>
    </w:p>
    <w:p w14:paraId="5F972916">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工程立项批准文号：</w:t>
      </w:r>
    </w:p>
    <w:p w14:paraId="4510074F">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资金来源：</w:t>
      </w:r>
    </w:p>
    <w:p w14:paraId="12F54522">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工程内容：</w:t>
      </w:r>
      <w:bookmarkStart w:id="37" w:name="OLE_LINK5"/>
      <w:r>
        <w:rPr>
          <w:rFonts w:hint="eastAsia" w:ascii="宋体" w:hAnsi="宋体" w:eastAsia="宋体" w:cs="宋体"/>
          <w:color w:val="auto"/>
          <w:sz w:val="21"/>
          <w:szCs w:val="21"/>
          <w:highlight w:val="none"/>
          <w:u w:val="single"/>
        </w:rPr>
        <w:t>江苏第二师范学院石湫校区学生宿舍卫生间渗水维修项目采购包</w:t>
      </w:r>
      <w:bookmarkEnd w:id="37"/>
    </w:p>
    <w:p w14:paraId="6669DE40">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工程承包范围：</w:t>
      </w:r>
      <w:r>
        <w:rPr>
          <w:rFonts w:hint="eastAsia" w:ascii="宋体" w:hAnsi="宋体" w:eastAsia="宋体" w:cs="宋体"/>
          <w:color w:val="auto"/>
          <w:sz w:val="21"/>
          <w:szCs w:val="21"/>
          <w:highlight w:val="none"/>
          <w:u w:val="single"/>
        </w:rPr>
        <w:t>江苏第二师范学院石湫校区学生宿舍卫生间渗水维修项目采购包　　</w:t>
      </w:r>
    </w:p>
    <w:p w14:paraId="0680203C">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二、合同工期</w:t>
      </w:r>
    </w:p>
    <w:p w14:paraId="7C614F3F">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计划开工日期：</w:t>
      </w:r>
      <w:r>
        <w:rPr>
          <w:rFonts w:hint="eastAsia" w:ascii="宋体" w:hAnsi="宋体" w:eastAsia="宋体" w:cs="宋体"/>
          <w:color w:val="auto"/>
          <w:sz w:val="21"/>
          <w:szCs w:val="21"/>
          <w:highlight w:val="none"/>
          <w:u w:val="single"/>
        </w:rPr>
        <w:t xml:space="preserve"> 2026年7月1日         </w:t>
      </w:r>
    </w:p>
    <w:p w14:paraId="3C2A1F98">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计划竣工日期：</w:t>
      </w:r>
      <w:r>
        <w:rPr>
          <w:rFonts w:hint="eastAsia" w:ascii="宋体" w:hAnsi="宋体" w:eastAsia="宋体" w:cs="宋体"/>
          <w:color w:val="auto"/>
          <w:sz w:val="21"/>
          <w:szCs w:val="21"/>
          <w:highlight w:val="none"/>
          <w:u w:val="single"/>
        </w:rPr>
        <w:t xml:space="preserve"> 2026年8月25日        </w:t>
      </w:r>
    </w:p>
    <w:p w14:paraId="370ADFDD">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工期总日历天数：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rPr>
        <w:t xml:space="preserve">56 </w:t>
      </w:r>
      <w:r>
        <w:rPr>
          <w:rFonts w:hint="eastAsia" w:ascii="宋体" w:hAnsi="宋体" w:eastAsia="宋体" w:cs="宋体"/>
          <w:color w:val="auto"/>
          <w:sz w:val="21"/>
          <w:szCs w:val="21"/>
          <w:highlight w:val="none"/>
        </w:rPr>
        <w:t>天。部分楼栋为毕业班宿舍，可提前至2026年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日开工，由甲方根据实际情况决定。工期总日历天数与根据前述计划开竣工日期计算的工期天数不一致的，以工期总日历天数为准。</w:t>
      </w:r>
    </w:p>
    <w:p w14:paraId="373AEC5D">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三、质量标准</w:t>
      </w:r>
    </w:p>
    <w:p w14:paraId="6A8A85C6">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hint="eastAsia" w:ascii="宋体" w:hAnsi="宋体" w:eastAsia="宋体" w:cs="宋体"/>
          <w:color w:val="auto"/>
          <w:sz w:val="21"/>
          <w:szCs w:val="21"/>
          <w:highlight w:val="none"/>
          <w:u w:val="single"/>
        </w:rPr>
        <w:t xml:space="preserve">        </w:t>
      </w:r>
    </w:p>
    <w:p w14:paraId="5F3ADC89">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四、签约合同价与合同价格形式</w:t>
      </w:r>
    </w:p>
    <w:p w14:paraId="702B6B47">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签约合同价为：</w:t>
      </w:r>
    </w:p>
    <w:p w14:paraId="4CBF7821">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单间维修人民币（大写）：</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）；合同总价人民币（大写）：</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暂定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8707535">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3D4D6FAF">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（1）安全文明施工费：</w:t>
      </w:r>
    </w:p>
    <w:p w14:paraId="5EC268F6">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63417DC8">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（2）材料和工程设备暂估价金额：</w:t>
      </w:r>
    </w:p>
    <w:p w14:paraId="62834862">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17CB290">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（3）专业工程暂估价金额：</w:t>
      </w:r>
    </w:p>
    <w:p w14:paraId="07DB2BC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2B7FF4">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（4）暂列金额：</w:t>
      </w:r>
    </w:p>
    <w:p w14:paraId="65D8ADD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玖万元整</w:t>
      </w:r>
      <w:r>
        <w:rPr>
          <w:rFonts w:hint="eastAsia" w:ascii="宋体" w:hAnsi="宋体" w:eastAsia="宋体" w:cs="宋体"/>
          <w:color w:val="auto"/>
          <w:sz w:val="21"/>
          <w:szCs w:val="21"/>
          <w:highlight w:val="none"/>
        </w:rPr>
        <w:t>）(¥：900000.00元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4924190">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合同价格形式：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9EA0216">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五、项目经理</w:t>
      </w:r>
    </w:p>
    <w:p w14:paraId="615ED87D">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0EA40CBA">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六、合同文件构成</w:t>
      </w:r>
    </w:p>
    <w:p w14:paraId="468902D4">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本协议书与下列文件一起构成合同文件：</w:t>
      </w:r>
    </w:p>
    <w:p w14:paraId="113E4EE4">
      <w:pPr>
        <w:wordWrap w:val="0"/>
        <w:spacing w:line="431" w:lineRule="exact"/>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1E654C6F">
      <w:pPr>
        <w:wordWrap w:val="0"/>
        <w:spacing w:line="431" w:lineRule="exact"/>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p>
    <w:p w14:paraId="2F31FC5E">
      <w:pPr>
        <w:wordWrap w:val="0"/>
        <w:spacing w:line="431" w:lineRule="exact"/>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2BAB64E9">
      <w:pPr>
        <w:wordWrap w:val="0"/>
        <w:spacing w:line="431" w:lineRule="exact"/>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694B126A">
      <w:pPr>
        <w:wordWrap w:val="0"/>
        <w:spacing w:line="431" w:lineRule="exact"/>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000E4933">
      <w:pPr>
        <w:wordWrap w:val="0"/>
        <w:spacing w:line="431" w:lineRule="exact"/>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3F1AD117">
      <w:pPr>
        <w:wordWrap w:val="0"/>
        <w:spacing w:line="431" w:lineRule="exact"/>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02D4359A">
      <w:pPr>
        <w:wordWrap w:val="0"/>
        <w:spacing w:line="431" w:lineRule="exact"/>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21918AF">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37D4ACD8">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上述各项合同文件包括合同当事人就该项合同文件所作出的补充和修改，属于同一类内容的文件，应以最新签署的为准。专用合同条款及其附件须经合同当事人签字及盖章。</w:t>
      </w:r>
    </w:p>
    <w:p w14:paraId="74F7BEF2">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七、承诺</w:t>
      </w:r>
    </w:p>
    <w:p w14:paraId="5F653A01">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发包人承诺按照法律规定履行项目审批手续、筹集工程建设资金并按照合同约定的期限和方式支付合同价款。</w:t>
      </w:r>
    </w:p>
    <w:p w14:paraId="496F2E60">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承包人承诺按照法律规定及合同约定组织完成工程施工，确保工程质量和安全，不进行转包及违法分包，并在缺陷责任期及保修期内承担相应的工程维修责任。</w:t>
      </w:r>
    </w:p>
    <w:p w14:paraId="4952F5F0">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发包人和承包人通过招投标形式签订合同的，双方理解并承诺不再就同一工程另行签订与合同实质性内容相背离的协议。</w:t>
      </w:r>
    </w:p>
    <w:p w14:paraId="0EB1C298">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八、词语含义</w:t>
      </w:r>
    </w:p>
    <w:p w14:paraId="548302DB">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本协议书中词语含义与第二部分通用合同条款中赋予的含义相同。</w:t>
      </w:r>
    </w:p>
    <w:p w14:paraId="411169E5">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九、签订时间</w:t>
      </w:r>
    </w:p>
    <w:p w14:paraId="541843F7">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本合同于　　年　月　日签订。</w:t>
      </w:r>
    </w:p>
    <w:p w14:paraId="41F44966">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十、签订地点</w:t>
      </w:r>
    </w:p>
    <w:p w14:paraId="53B0B2C2">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签订。</w:t>
      </w:r>
    </w:p>
    <w:p w14:paraId="3CC69B1D">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十一、补充协议</w:t>
      </w:r>
    </w:p>
    <w:p w14:paraId="2A396AD3">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合同未尽事宜，合同当事人另行签订补充协议，补充协议是本合同的组成部分。</w:t>
      </w:r>
    </w:p>
    <w:p w14:paraId="77C3D879">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十二、合同生效</w:t>
      </w:r>
    </w:p>
    <w:p w14:paraId="2F54802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生效。</w:t>
      </w:r>
    </w:p>
    <w:p w14:paraId="57C57571">
      <w:pPr>
        <w:wordWrap w:val="0"/>
        <w:spacing w:before="48" w:after="48"/>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十三、合同份数</w:t>
      </w:r>
    </w:p>
    <w:p w14:paraId="4D375401">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份，均具有同等法律效力，发包人执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份，承包人执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5E9E900A">
      <w:pPr>
        <w:spacing w:line="420" w:lineRule="exact"/>
        <w:rPr>
          <w:rFonts w:hint="eastAsia" w:ascii="宋体" w:hAnsi="宋体" w:eastAsia="宋体" w:cs="宋体"/>
          <w:color w:val="auto"/>
          <w:sz w:val="21"/>
          <w:szCs w:val="21"/>
          <w:highlight w:val="none"/>
        </w:rPr>
      </w:pPr>
    </w:p>
    <w:tbl>
      <w:tblPr>
        <w:tblStyle w:val="54"/>
        <w:tblW w:w="9600" w:type="dxa"/>
        <w:jc w:val="center"/>
        <w:tblBorders>
          <w:top w:val="none" w:color="auto" w:sz="0" w:space="0"/>
          <w:left w:val="none" w:color="auto" w:sz="0" w:space="0"/>
          <w:bottom w:val="none" w:color="auto" w:sz="0" w:space="0"/>
          <w:right w:val="none" w:color="auto" w:sz="0" w:space="0"/>
          <w:insideH w:val="single" w:color="auto" w:sz="2" w:space="0"/>
          <w:insideV w:val="single" w:color="auto" w:sz="2" w:space="0"/>
        </w:tblBorders>
        <w:tblLayout w:type="autofit"/>
        <w:tblCellMar>
          <w:top w:w="0" w:type="dxa"/>
          <w:left w:w="10" w:type="dxa"/>
          <w:bottom w:w="0" w:type="dxa"/>
          <w:right w:w="10" w:type="dxa"/>
        </w:tblCellMar>
      </w:tblPr>
      <w:tblGrid>
        <w:gridCol w:w="4800"/>
        <w:gridCol w:w="4800"/>
      </w:tblGrid>
      <w:tr w14:paraId="7683F0A6">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30" w:hRule="atLeast"/>
          <w:jc w:val="center"/>
        </w:trPr>
        <w:tc>
          <w:tcPr>
            <w:tcW w:w="4800" w:type="dxa"/>
            <w:tcBorders>
              <w:top w:val="single" w:color="auto" w:sz="6" w:space="0"/>
              <w:left w:val="single" w:color="auto" w:sz="6" w:space="0"/>
              <w:bottom w:val="nil"/>
              <w:right w:val="nil"/>
            </w:tcBorders>
            <w:tcMar>
              <w:top w:w="20" w:type="dxa"/>
              <w:left w:w="20" w:type="dxa"/>
              <w:bottom w:w="20" w:type="dxa"/>
              <w:right w:w="20" w:type="dxa"/>
            </w:tcMar>
            <w:vAlign w:val="center"/>
          </w:tcPr>
          <w:p w14:paraId="0408BC22">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发包人(公章)：江苏第二师范学院</w:t>
            </w:r>
          </w:p>
        </w:tc>
        <w:tc>
          <w:tcPr>
            <w:tcW w:w="4800"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5E26186D">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承包人(公章):</w:t>
            </w:r>
          </w:p>
        </w:tc>
      </w:tr>
      <w:tr w14:paraId="4A8DA999">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555" w:hRule="exact"/>
          <w:jc w:val="center"/>
        </w:trPr>
        <w:tc>
          <w:tcPr>
            <w:tcW w:w="4800" w:type="dxa"/>
            <w:tcBorders>
              <w:top w:val="nil"/>
              <w:left w:val="single" w:color="auto" w:sz="6" w:space="0"/>
              <w:bottom w:val="nil"/>
              <w:right w:val="nil"/>
            </w:tcBorders>
            <w:tcMar>
              <w:top w:w="20" w:type="dxa"/>
              <w:left w:w="20" w:type="dxa"/>
              <w:bottom w:w="20" w:type="dxa"/>
              <w:right w:w="20" w:type="dxa"/>
            </w:tcMar>
            <w:vAlign w:val="center"/>
          </w:tcPr>
          <w:p w14:paraId="3EB41574">
            <w:pPr>
              <w:wordWrap w:val="0"/>
              <w:rPr>
                <w:rFonts w:hint="eastAsia" w:ascii="宋体" w:hAnsi="宋体" w:eastAsia="宋体" w:cs="宋体"/>
                <w:color w:val="auto"/>
                <w:sz w:val="21"/>
                <w:szCs w:val="21"/>
                <w:highlight w:val="none"/>
              </w:rPr>
            </w:pPr>
          </w:p>
        </w:tc>
        <w:tc>
          <w:tcPr>
            <w:tcW w:w="4800" w:type="dxa"/>
            <w:tcBorders>
              <w:top w:val="nil"/>
              <w:left w:val="single" w:color="auto" w:sz="6" w:space="0"/>
              <w:bottom w:val="nil"/>
              <w:right w:val="single" w:color="auto" w:sz="6" w:space="0"/>
            </w:tcBorders>
            <w:tcMar>
              <w:top w:w="20" w:type="dxa"/>
              <w:left w:w="20" w:type="dxa"/>
              <w:bottom w:w="20" w:type="dxa"/>
              <w:right w:w="20" w:type="dxa"/>
            </w:tcMar>
            <w:vAlign w:val="center"/>
          </w:tcPr>
          <w:p w14:paraId="1DA7D471">
            <w:pPr>
              <w:wordWrap w:val="0"/>
              <w:rPr>
                <w:rFonts w:hint="eastAsia" w:ascii="宋体" w:hAnsi="宋体" w:eastAsia="宋体" w:cs="宋体"/>
                <w:color w:val="auto"/>
                <w:sz w:val="21"/>
                <w:szCs w:val="21"/>
                <w:highlight w:val="none"/>
              </w:rPr>
            </w:pPr>
          </w:p>
        </w:tc>
      </w:tr>
      <w:tr w14:paraId="1188CC8E">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30" w:hRule="atLeast"/>
          <w:jc w:val="center"/>
        </w:trPr>
        <w:tc>
          <w:tcPr>
            <w:tcW w:w="4800" w:type="dxa"/>
            <w:tcBorders>
              <w:top w:val="nil"/>
              <w:left w:val="single" w:color="auto" w:sz="6" w:space="0"/>
              <w:bottom w:val="nil"/>
              <w:right w:val="nil"/>
            </w:tcBorders>
            <w:tcMar>
              <w:top w:w="20" w:type="dxa"/>
              <w:left w:w="20" w:type="dxa"/>
              <w:bottom w:w="20" w:type="dxa"/>
              <w:right w:w="20" w:type="dxa"/>
            </w:tcMar>
            <w:vAlign w:val="center"/>
          </w:tcPr>
          <w:p w14:paraId="37B0356A">
            <w:pPr>
              <w:wordWrap w:val="0"/>
              <w:spacing w:line="378" w:lineRule="exact"/>
              <w:ind w:firstLine="2520" w:firstLineChars="1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年　月　日</w:t>
            </w:r>
          </w:p>
        </w:tc>
        <w:tc>
          <w:tcPr>
            <w:tcW w:w="4800" w:type="dxa"/>
            <w:tcBorders>
              <w:top w:val="nil"/>
              <w:left w:val="single" w:color="auto" w:sz="6" w:space="0"/>
              <w:bottom w:val="nil"/>
              <w:right w:val="single" w:color="auto" w:sz="6" w:space="0"/>
            </w:tcBorders>
            <w:tcMar>
              <w:top w:w="20" w:type="dxa"/>
              <w:left w:w="20" w:type="dxa"/>
              <w:bottom w:w="20" w:type="dxa"/>
              <w:right w:w="20" w:type="dxa"/>
            </w:tcMar>
            <w:vAlign w:val="center"/>
          </w:tcPr>
          <w:p w14:paraId="7DFDED62">
            <w:pPr>
              <w:wordWrap w:val="0"/>
              <w:spacing w:line="378" w:lineRule="exact"/>
              <w:ind w:firstLine="2520" w:firstLineChars="1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年　月　日</w:t>
            </w:r>
          </w:p>
        </w:tc>
      </w:tr>
      <w:tr w14:paraId="47B22BA7">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30" w:hRule="atLeast"/>
          <w:jc w:val="center"/>
        </w:trPr>
        <w:tc>
          <w:tcPr>
            <w:tcW w:w="4800" w:type="dxa"/>
            <w:tcBorders>
              <w:top w:val="single" w:color="auto" w:sz="6" w:space="0"/>
              <w:left w:val="single" w:color="auto" w:sz="6" w:space="0"/>
              <w:bottom w:val="nil"/>
              <w:right w:val="nil"/>
            </w:tcBorders>
            <w:tcMar>
              <w:top w:w="20" w:type="dxa"/>
              <w:left w:w="20" w:type="dxa"/>
              <w:bottom w:w="20" w:type="dxa"/>
              <w:right w:w="20" w:type="dxa"/>
            </w:tcMar>
            <w:vAlign w:val="center"/>
          </w:tcPr>
          <w:p w14:paraId="481C121E">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w:t>
            </w:r>
          </w:p>
        </w:tc>
        <w:tc>
          <w:tcPr>
            <w:tcW w:w="4800"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77EFDB04">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法定（授权）代表人</w:t>
            </w:r>
          </w:p>
        </w:tc>
      </w:tr>
      <w:tr w14:paraId="411638E2">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30" w:hRule="atLeast"/>
          <w:jc w:val="center"/>
        </w:trPr>
        <w:tc>
          <w:tcPr>
            <w:tcW w:w="4800" w:type="dxa"/>
            <w:tcBorders>
              <w:top w:val="nil"/>
              <w:left w:val="single" w:color="auto" w:sz="6" w:space="0"/>
              <w:bottom w:val="nil"/>
              <w:right w:val="nil"/>
            </w:tcBorders>
            <w:tcMar>
              <w:top w:w="20" w:type="dxa"/>
              <w:left w:w="20" w:type="dxa"/>
              <w:bottom w:w="20" w:type="dxa"/>
              <w:right w:w="20" w:type="dxa"/>
            </w:tcMar>
            <w:vAlign w:val="center"/>
          </w:tcPr>
          <w:p w14:paraId="1941819C">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w:t>
            </w:r>
          </w:p>
        </w:tc>
        <w:tc>
          <w:tcPr>
            <w:tcW w:w="4800" w:type="dxa"/>
            <w:tcBorders>
              <w:top w:val="nil"/>
              <w:left w:val="single" w:color="auto" w:sz="6" w:space="0"/>
              <w:bottom w:val="nil"/>
              <w:right w:val="single" w:color="auto" w:sz="6" w:space="0"/>
            </w:tcBorders>
            <w:tcMar>
              <w:top w:w="20" w:type="dxa"/>
              <w:left w:w="20" w:type="dxa"/>
              <w:bottom w:w="20" w:type="dxa"/>
              <w:right w:w="20" w:type="dxa"/>
            </w:tcMar>
            <w:vAlign w:val="center"/>
          </w:tcPr>
          <w:p w14:paraId="0115EC48">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w:t>
            </w:r>
          </w:p>
        </w:tc>
      </w:tr>
      <w:tr w14:paraId="71E595F2">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90" w:hRule="atLeast"/>
          <w:jc w:val="center"/>
        </w:trPr>
        <w:tc>
          <w:tcPr>
            <w:tcW w:w="4800" w:type="dxa"/>
            <w:tcBorders>
              <w:top w:val="single" w:color="auto" w:sz="6" w:space="0"/>
              <w:left w:val="single" w:color="auto" w:sz="6" w:space="0"/>
              <w:bottom w:val="nil"/>
              <w:right w:val="nil"/>
            </w:tcBorders>
            <w:tcMar>
              <w:top w:w="20" w:type="dxa"/>
              <w:left w:w="20" w:type="dxa"/>
              <w:bottom w:w="20" w:type="dxa"/>
              <w:right w:w="20" w:type="dxa"/>
            </w:tcMar>
            <w:vAlign w:val="center"/>
          </w:tcPr>
          <w:p w14:paraId="0C910ED2">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统一社会信用代码：12320000466006877R</w:t>
            </w:r>
          </w:p>
        </w:tc>
        <w:tc>
          <w:tcPr>
            <w:tcW w:w="4800"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33F24FA1">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　　　　　　　　　　　</w:t>
            </w:r>
          </w:p>
        </w:tc>
      </w:tr>
      <w:tr w14:paraId="46533EB8">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90" w:hRule="atLeast"/>
          <w:jc w:val="center"/>
        </w:trPr>
        <w:tc>
          <w:tcPr>
            <w:tcW w:w="4800" w:type="dxa"/>
            <w:tcBorders>
              <w:top w:val="single" w:color="auto" w:sz="6" w:space="0"/>
              <w:left w:val="single" w:color="auto" w:sz="6" w:space="0"/>
              <w:bottom w:val="nil"/>
              <w:right w:val="nil"/>
            </w:tcBorders>
            <w:tcMar>
              <w:top w:w="20" w:type="dxa"/>
              <w:left w:w="20" w:type="dxa"/>
              <w:bottom w:w="20" w:type="dxa"/>
              <w:right w:w="20" w:type="dxa"/>
            </w:tcMar>
            <w:vAlign w:val="center"/>
          </w:tcPr>
          <w:p w14:paraId="0FB6698A">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单位地址：南京市溧水区石湫街道新河西路6号</w:t>
            </w:r>
          </w:p>
        </w:tc>
        <w:tc>
          <w:tcPr>
            <w:tcW w:w="4800"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63FB9A17">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　　　　　　　　　　　</w:t>
            </w:r>
          </w:p>
        </w:tc>
      </w:tr>
      <w:tr w14:paraId="70B0B3FF">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90" w:hRule="atLeast"/>
          <w:jc w:val="center"/>
        </w:trPr>
        <w:tc>
          <w:tcPr>
            <w:tcW w:w="4800" w:type="dxa"/>
            <w:tcBorders>
              <w:top w:val="single" w:color="auto" w:sz="6" w:space="0"/>
              <w:left w:val="single" w:color="auto" w:sz="6" w:space="0"/>
              <w:bottom w:val="nil"/>
              <w:right w:val="nil"/>
            </w:tcBorders>
            <w:tcMar>
              <w:top w:w="20" w:type="dxa"/>
              <w:left w:w="20" w:type="dxa"/>
              <w:bottom w:w="20" w:type="dxa"/>
              <w:right w:w="20" w:type="dxa"/>
            </w:tcMar>
            <w:vAlign w:val="center"/>
          </w:tcPr>
          <w:p w14:paraId="0299F4EF">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邮政编码：210023</w:t>
            </w:r>
          </w:p>
        </w:tc>
        <w:tc>
          <w:tcPr>
            <w:tcW w:w="4800"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6756315D">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　　　　　　</w:t>
            </w:r>
          </w:p>
        </w:tc>
      </w:tr>
      <w:tr w14:paraId="707BD883">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90" w:hRule="atLeast"/>
          <w:jc w:val="center"/>
        </w:trPr>
        <w:tc>
          <w:tcPr>
            <w:tcW w:w="4800" w:type="dxa"/>
            <w:tcBorders>
              <w:top w:val="single" w:color="auto" w:sz="6" w:space="0"/>
              <w:left w:val="single" w:color="auto" w:sz="6" w:space="0"/>
              <w:bottom w:val="nil"/>
              <w:right w:val="nil"/>
            </w:tcBorders>
            <w:tcMar>
              <w:top w:w="20" w:type="dxa"/>
              <w:left w:w="20" w:type="dxa"/>
              <w:bottom w:w="20" w:type="dxa"/>
              <w:right w:w="20" w:type="dxa"/>
            </w:tcMar>
            <w:vAlign w:val="center"/>
          </w:tcPr>
          <w:p w14:paraId="45F62E1B">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w:t>
            </w:r>
          </w:p>
        </w:tc>
        <w:tc>
          <w:tcPr>
            <w:tcW w:w="4800"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10538E04">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w:t>
            </w:r>
          </w:p>
        </w:tc>
      </w:tr>
      <w:tr w14:paraId="399FEDEF">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90" w:hRule="atLeast"/>
          <w:jc w:val="center"/>
        </w:trPr>
        <w:tc>
          <w:tcPr>
            <w:tcW w:w="4800" w:type="dxa"/>
            <w:tcBorders>
              <w:top w:val="single" w:color="auto" w:sz="6" w:space="0"/>
              <w:left w:val="single" w:color="auto" w:sz="6" w:space="0"/>
              <w:bottom w:val="nil"/>
              <w:right w:val="nil"/>
            </w:tcBorders>
            <w:tcMar>
              <w:top w:w="20" w:type="dxa"/>
              <w:left w:w="20" w:type="dxa"/>
              <w:bottom w:w="20" w:type="dxa"/>
              <w:right w:w="20" w:type="dxa"/>
            </w:tcMar>
            <w:vAlign w:val="center"/>
          </w:tcPr>
          <w:p w14:paraId="5A2E081C">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w:t>
            </w:r>
          </w:p>
        </w:tc>
        <w:tc>
          <w:tcPr>
            <w:tcW w:w="4800"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32F9F104">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　　　　　　　　　　　</w:t>
            </w:r>
          </w:p>
        </w:tc>
      </w:tr>
      <w:tr w14:paraId="10501364">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90" w:hRule="atLeast"/>
          <w:jc w:val="center"/>
        </w:trPr>
        <w:tc>
          <w:tcPr>
            <w:tcW w:w="4800" w:type="dxa"/>
            <w:tcBorders>
              <w:top w:val="single" w:color="auto" w:sz="6" w:space="0"/>
              <w:left w:val="single" w:color="auto" w:sz="6" w:space="0"/>
              <w:bottom w:val="nil"/>
              <w:right w:val="nil"/>
            </w:tcBorders>
            <w:tcMar>
              <w:top w:w="20" w:type="dxa"/>
              <w:left w:w="20" w:type="dxa"/>
              <w:bottom w:w="20" w:type="dxa"/>
              <w:right w:w="20" w:type="dxa"/>
            </w:tcMar>
            <w:vAlign w:val="center"/>
          </w:tcPr>
          <w:p w14:paraId="4777CE9A">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w:t>
            </w:r>
          </w:p>
        </w:tc>
        <w:tc>
          <w:tcPr>
            <w:tcW w:w="4800"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5A3DCF8C">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w:t>
            </w:r>
          </w:p>
        </w:tc>
      </w:tr>
      <w:tr w14:paraId="6CCB19CD">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90" w:hRule="atLeast"/>
          <w:jc w:val="center"/>
        </w:trPr>
        <w:tc>
          <w:tcPr>
            <w:tcW w:w="4800" w:type="dxa"/>
            <w:tcBorders>
              <w:top w:val="single" w:color="auto" w:sz="6" w:space="0"/>
              <w:left w:val="single" w:color="auto" w:sz="6" w:space="0"/>
              <w:bottom w:val="nil"/>
              <w:right w:val="nil"/>
            </w:tcBorders>
            <w:tcMar>
              <w:top w:w="20" w:type="dxa"/>
              <w:left w:w="20" w:type="dxa"/>
              <w:bottom w:w="20" w:type="dxa"/>
              <w:right w:w="20" w:type="dxa"/>
            </w:tcMar>
            <w:vAlign w:val="center"/>
          </w:tcPr>
          <w:p w14:paraId="6B049B86">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4800"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2ACF465D">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w:t>
            </w:r>
          </w:p>
        </w:tc>
      </w:tr>
      <w:tr w14:paraId="71D5A105">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 w:type="dxa"/>
            <w:bottom w:w="0" w:type="dxa"/>
            <w:right w:w="10" w:type="dxa"/>
          </w:tblCellMar>
        </w:tblPrEx>
        <w:trPr>
          <w:trHeight w:val="390" w:hRule="atLeast"/>
          <w:jc w:val="center"/>
        </w:trPr>
        <w:tc>
          <w:tcPr>
            <w:tcW w:w="4800" w:type="dxa"/>
            <w:tcBorders>
              <w:top w:val="single" w:color="auto" w:sz="6" w:space="0"/>
              <w:left w:val="single" w:color="auto" w:sz="6" w:space="0"/>
              <w:bottom w:val="single" w:color="auto" w:sz="6" w:space="0"/>
              <w:right w:val="nil"/>
            </w:tcBorders>
            <w:tcMar>
              <w:top w:w="20" w:type="dxa"/>
              <w:left w:w="20" w:type="dxa"/>
              <w:bottom w:w="20" w:type="dxa"/>
              <w:right w:w="20" w:type="dxa"/>
            </w:tcMar>
            <w:vAlign w:val="center"/>
          </w:tcPr>
          <w:p w14:paraId="46A9BA45">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p>
        </w:tc>
        <w:tc>
          <w:tcPr>
            <w:tcW w:w="4800" w:type="dxa"/>
            <w:tcBorders>
              <w:top w:val="single" w:color="auto" w:sz="6" w:space="0"/>
              <w:left w:val="single" w:color="auto" w:sz="6" w:space="0"/>
              <w:bottom w:val="single" w:color="auto" w:sz="6" w:space="0"/>
              <w:right w:val="single" w:color="auto" w:sz="6" w:space="0"/>
            </w:tcBorders>
            <w:tcMar>
              <w:top w:w="20" w:type="dxa"/>
              <w:left w:w="20" w:type="dxa"/>
              <w:bottom w:w="20" w:type="dxa"/>
              <w:right w:w="20" w:type="dxa"/>
            </w:tcMar>
            <w:vAlign w:val="center"/>
          </w:tcPr>
          <w:p w14:paraId="785BB903">
            <w:pPr>
              <w:wordWrap w:val="0"/>
              <w:spacing w:line="378"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　　　　　　</w:t>
            </w:r>
          </w:p>
        </w:tc>
      </w:tr>
    </w:tbl>
    <w:p w14:paraId="2B8F439D">
      <w:pPr>
        <w:spacing w:line="330" w:lineRule="exact"/>
        <w:rPr>
          <w:rFonts w:ascii="Calibri" w:hAnsi="Calibri"/>
          <w:color w:val="auto"/>
          <w:szCs w:val="22"/>
          <w:highlight w:val="none"/>
        </w:rPr>
      </w:pPr>
    </w:p>
    <w:p w14:paraId="3221AF2F">
      <w:pPr>
        <w:widowControl/>
        <w:jc w:val="left"/>
        <w:rPr>
          <w:rFonts w:ascii="Calibri" w:hAnsi="Calibri"/>
          <w:color w:val="auto"/>
          <w:szCs w:val="22"/>
          <w:highlight w:val="none"/>
        </w:rPr>
        <w:sectPr>
          <w:pgSz w:w="11907" w:h="16839"/>
          <w:pgMar w:top="1077" w:right="1154" w:bottom="1077" w:left="1154" w:header="720" w:footer="720" w:gutter="0"/>
          <w:cols w:space="720" w:num="1"/>
        </w:sectPr>
      </w:pPr>
    </w:p>
    <w:p w14:paraId="514A6D0C">
      <w:pPr>
        <w:wordWrap w:val="0"/>
        <w:spacing w:line="647" w:lineRule="exact"/>
        <w:jc w:val="center"/>
        <w:outlineLvl w:val="1"/>
        <w:rPr>
          <w:rFonts w:ascii="Calibri" w:hAnsi="Calibri"/>
          <w:color w:val="auto"/>
          <w:szCs w:val="22"/>
          <w:highlight w:val="none"/>
        </w:rPr>
      </w:pPr>
      <w:r>
        <w:rPr>
          <w:rFonts w:ascii="华文中宋" w:hAnsi="华文中宋" w:eastAsia="华文中宋" w:cs="华文中宋"/>
          <w:color w:val="auto"/>
          <w:sz w:val="36"/>
          <w:szCs w:val="22"/>
          <w:highlight w:val="none"/>
        </w:rPr>
        <w:t>第二部分 通用合同条款</w:t>
      </w:r>
    </w:p>
    <w:p w14:paraId="2F46506F">
      <w:pPr>
        <w:wordWrap w:val="0"/>
        <w:spacing w:line="431" w:lineRule="exact"/>
        <w:ind w:firstLine="480" w:firstLineChars="200"/>
        <w:jc w:val="left"/>
        <w:rPr>
          <w:rFonts w:ascii="Calibri" w:hAnsi="Calibri"/>
          <w:color w:val="auto"/>
          <w:szCs w:val="22"/>
          <w:highlight w:val="none"/>
        </w:rPr>
      </w:pPr>
      <w:r>
        <w:rPr>
          <w:rFonts w:ascii="仿宋" w:hAnsi="仿宋" w:eastAsia="仿宋" w:cs="仿宋"/>
          <w:color w:val="auto"/>
          <w:sz w:val="24"/>
          <w:szCs w:val="22"/>
          <w:highlight w:val="none"/>
        </w:rPr>
        <w:t>按照（GF—2017—0201）建设工程施工合同（示范文本）通用条款。</w:t>
      </w:r>
    </w:p>
    <w:p w14:paraId="37887B74">
      <w:pPr>
        <w:widowControl/>
        <w:jc w:val="left"/>
        <w:rPr>
          <w:rFonts w:ascii="Calibri" w:hAnsi="Calibri"/>
          <w:color w:val="auto"/>
          <w:szCs w:val="22"/>
          <w:highlight w:val="none"/>
        </w:rPr>
        <w:sectPr>
          <w:pgSz w:w="11907" w:h="16839"/>
          <w:pgMar w:top="1077" w:right="1154" w:bottom="1077" w:left="1154" w:header="720" w:footer="720" w:gutter="0"/>
          <w:cols w:space="720" w:num="1"/>
        </w:sectPr>
      </w:pPr>
    </w:p>
    <w:p w14:paraId="09F4F5C6">
      <w:pPr>
        <w:wordWrap w:val="0"/>
        <w:spacing w:line="647" w:lineRule="exact"/>
        <w:jc w:val="center"/>
        <w:outlineLvl w:val="1"/>
        <w:rPr>
          <w:rFonts w:ascii="Calibri" w:hAnsi="Calibri"/>
          <w:color w:val="auto"/>
          <w:szCs w:val="22"/>
          <w:highlight w:val="none"/>
        </w:rPr>
      </w:pPr>
      <w:r>
        <w:rPr>
          <w:rFonts w:ascii="华文中宋" w:hAnsi="华文中宋" w:eastAsia="华文中宋" w:cs="华文中宋"/>
          <w:color w:val="auto"/>
          <w:sz w:val="36"/>
          <w:szCs w:val="22"/>
          <w:highlight w:val="none"/>
        </w:rPr>
        <w:t>第三部分 专用合同条款</w:t>
      </w:r>
    </w:p>
    <w:p w14:paraId="15855E3C">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1.一般约定</w:t>
      </w:r>
    </w:p>
    <w:p w14:paraId="5445001F">
      <w:pPr>
        <w:spacing w:line="360" w:lineRule="auto"/>
        <w:ind w:firstLine="630" w:firstLineChars="3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1.1法律</w:t>
      </w:r>
    </w:p>
    <w:p w14:paraId="24D495B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rPr>
        <w:t>《中华人民共和国民法典》、《中华人民共和国建筑法》、《中华人民共和国安全生产法》、《建设工程质量管理条例》、建质[2011]111号关于印发《建筑施工企业负责人及项目负责人施工现场带班暂行办法》的通知、苏建管质（2009）22号关于印发《江苏省建筑工程省级安全文明工地现场考核评分表》的通知、苏建质安〔2013〕85号省住房城乡建设厅关于印发《2013年全省工程质量安全监管工作要点》的通知、宁建规字【2011】4号关于印发《南京市建筑业施工作业人员实名制管理办法》的通知、关于印发《2013年南京市建设工程安全专项整治工作方案》的通知及国家、江苏省、南京市有关建筑工程的法规条令等，所有文件以现行最新文件为准。</w:t>
      </w:r>
    </w:p>
    <w:p w14:paraId="0A809A9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1.2标准和规范</w:t>
      </w:r>
    </w:p>
    <w:p w14:paraId="02B6AE0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1.2.1适用于工程的标准规范包括：</w:t>
      </w:r>
    </w:p>
    <w:p w14:paraId="353E2379">
      <w:pPr>
        <w:pStyle w:val="319"/>
        <w:spacing w:before="0" w:after="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现行国家、行业、专业及南京市的有关标准、规范、规定和条例所阐明的强制性标准。除非合同中另有规定，施工所用的规范及标准须采用最新版本。当对同一考核指标国家、行业、专业和南京市颁布的有关标准、规范产生不一致时，以其颁布的标准、规范较为严格者为准</w:t>
      </w:r>
    </w:p>
    <w:p w14:paraId="2BE39AE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1.2.2发包人提供国外标准、规范的名称：</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AUTOTEXT 291 \* MERGEFORMAT</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color="000000"/>
        </w:rPr>
        <w:t>现行国家、行业地方标准和技术规范</w:t>
      </w:r>
      <w:r>
        <w:rPr>
          <w:rFonts w:hint="eastAsia" w:ascii="宋体" w:hAnsi="宋体" w:eastAsia="宋体" w:cs="宋体"/>
          <w:color w:val="auto"/>
          <w:sz w:val="21"/>
          <w:szCs w:val="21"/>
          <w:highlight w:val="none"/>
          <w:u w:val="single" w:color="000000"/>
        </w:rPr>
        <w:fldChar w:fldCharType="end"/>
      </w:r>
    </w:p>
    <w:p w14:paraId="55BA2E0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发包人提供国外标准、规范的份数：</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5539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rPr>
        <w:t>；</w:t>
      </w:r>
    </w:p>
    <w:p w14:paraId="6285103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发包人提供国外标准、规范的名称：</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5540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rPr>
        <w:t>。</w:t>
      </w:r>
    </w:p>
    <w:p w14:paraId="25CC255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1.2.3发包人对工程的技术标准和功能要求的特殊要求：</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5541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如有，协商补充协议。</w:t>
      </w:r>
      <w:r>
        <w:rPr>
          <w:rFonts w:hint="eastAsia" w:ascii="宋体" w:hAnsi="宋体" w:eastAsia="宋体" w:cs="宋体"/>
          <w:color w:val="auto"/>
          <w:sz w:val="21"/>
          <w:szCs w:val="21"/>
          <w:highlight w:val="none"/>
          <w:u w:val="single"/>
        </w:rPr>
        <w:fldChar w:fldCharType="end"/>
      </w:r>
    </w:p>
    <w:p w14:paraId="23C12AC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1.3合同文件的优先顺序</w:t>
      </w:r>
    </w:p>
    <w:p w14:paraId="7616397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p>
    <w:p w14:paraId="449332FE">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AUTOTEXT  5542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1、本合同协议书及附件</w:t>
      </w:r>
    </w:p>
    <w:p w14:paraId="5E18092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2、中标通知书</w:t>
      </w:r>
    </w:p>
    <w:p w14:paraId="5B24C116">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3、投标文件及其附件</w:t>
      </w:r>
    </w:p>
    <w:p w14:paraId="2C105C9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4、本合同专用条款</w:t>
      </w:r>
    </w:p>
    <w:p w14:paraId="0ABD8A91">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5、本合同通用条款</w:t>
      </w:r>
    </w:p>
    <w:p w14:paraId="24799181">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6、标准、规范及有关技术文件</w:t>
      </w:r>
    </w:p>
    <w:p w14:paraId="66CFB783">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7、图纸</w:t>
      </w:r>
    </w:p>
    <w:p w14:paraId="49BFF887">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8、投标文件及其附件</w:t>
      </w:r>
    </w:p>
    <w:p w14:paraId="64AE2802">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9、工程量清单</w:t>
      </w:r>
    </w:p>
    <w:p w14:paraId="0841D42F">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10、工程报价单或预算书</w:t>
      </w:r>
    </w:p>
    <w:p w14:paraId="6075C16D">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11、主要材料品牌清单</w:t>
      </w:r>
    </w:p>
    <w:p w14:paraId="208A4ED6">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12、构成本合同组成部分的其他文件</w:t>
      </w:r>
    </w:p>
    <w:p w14:paraId="74FF323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双方有关工程的洽商、变更等书面协议或文件视为本合同的组成部分</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rPr>
        <w:t>。</w:t>
      </w:r>
    </w:p>
    <w:p w14:paraId="09154F10">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1.4 交通运输</w:t>
      </w:r>
    </w:p>
    <w:p w14:paraId="7DB8DED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5561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发包人提供部分现有校区道路作为施工道路供承包人使用，承包人须按照发包人指定的施工临时道路接口连接其自建的临时施工道路，同时按照发包人划分的区域布置项目办公生活区，承包人必须确保发包人提供的道路和相应管网的安全和完整，如有损坏由承包人完成并负责维修、保养和管理工作；承包人自建的临时施工道路和交通设施须在竣工结束后予以拆除，上述费用包含在合同价中。承包人应结合场内现有道路，自行考虑施工临时道路等费用，临时道路应按规定设安全防护等措施并要满足消防通道要求，国家有规定的按国家规定执行，承包人踏勘现场自行考虑的费用已计入合同价，结算时不做调整</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rPr>
        <w:t>。</w:t>
      </w:r>
    </w:p>
    <w:p w14:paraId="3ADEBB9D">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1.5知识产权</w:t>
      </w:r>
    </w:p>
    <w:p w14:paraId="0DD04A68">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5563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u w:val="single"/>
        </w:rPr>
        <w:fldChar w:fldCharType="end"/>
      </w:r>
    </w:p>
    <w:p w14:paraId="5A75506D">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2.发包人</w:t>
      </w:r>
    </w:p>
    <w:p w14:paraId="1BE070A5">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2.1 施工现场、施工条件和基础资料的提供</w:t>
      </w:r>
    </w:p>
    <w:p w14:paraId="0C4E2B95">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提供施工现场</w:t>
      </w:r>
    </w:p>
    <w:p w14:paraId="2DEAAB1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关于发包人移交施工现场的期限要求：关于发包人移交施工现场的期限要求：</w:t>
      </w:r>
      <w:r>
        <w:rPr>
          <w:rFonts w:hint="eastAsia" w:ascii="宋体" w:hAnsi="宋体" w:eastAsia="宋体" w:cs="宋体"/>
          <w:color w:val="auto"/>
          <w:sz w:val="21"/>
          <w:szCs w:val="21"/>
          <w:highlight w:val="none"/>
          <w:u w:val="single"/>
        </w:rPr>
        <w:t>开工前一周具备施工条件，若有不全事项由承包人自行完善，费用已含在合同价中</w:t>
      </w:r>
      <w:r>
        <w:rPr>
          <w:rFonts w:hint="eastAsia" w:ascii="宋体" w:hAnsi="宋体" w:eastAsia="宋体" w:cs="宋体"/>
          <w:color w:val="auto"/>
          <w:sz w:val="21"/>
          <w:szCs w:val="21"/>
          <w:highlight w:val="none"/>
        </w:rPr>
        <w:t>。</w:t>
      </w:r>
    </w:p>
    <w:p w14:paraId="1EB2D23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提供施工条件</w:t>
      </w:r>
    </w:p>
    <w:p w14:paraId="776FFE0C">
      <w:pPr>
        <w:wordWrap w:val="0"/>
        <w:spacing w:line="431"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现场内的通讯线路不提供，由承包人自行解决并承担相应费用。</w:t>
      </w:r>
    </w:p>
    <w:p w14:paraId="3FC63482">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3.承包人</w:t>
      </w:r>
    </w:p>
    <w:p w14:paraId="31D92FC7">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3.1 承包人的一般义务</w:t>
      </w:r>
    </w:p>
    <w:p w14:paraId="7EB600D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（1）承包人提交的竣工资料的内容：</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5582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根据国家、省、市、区相关规定，提交工程竣工验收资料和工程竣工结算资料，在提交过程中发包人配合。承包人应根据合同工作内容要求，整理符合验收和结算审计要求的完整竣工验收资料报发包人</w:t>
      </w:r>
      <w:r>
        <w:rPr>
          <w:rFonts w:hint="eastAsia" w:ascii="宋体" w:hAnsi="宋体" w:eastAsia="宋体" w:cs="宋体"/>
          <w:color w:val="auto"/>
          <w:sz w:val="21"/>
          <w:szCs w:val="21"/>
          <w:highlight w:val="none"/>
          <w:u w:val="single"/>
        </w:rPr>
        <w:fldChar w:fldCharType="end"/>
      </w:r>
    </w:p>
    <w:p w14:paraId="57179DC7">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叁套</w:t>
      </w:r>
      <w:r>
        <w:rPr>
          <w:rFonts w:hint="eastAsia" w:ascii="宋体" w:hAnsi="宋体" w:eastAsia="宋体" w:cs="宋体"/>
          <w:color w:val="auto"/>
          <w:sz w:val="21"/>
          <w:szCs w:val="21"/>
          <w:highlight w:val="none"/>
        </w:rPr>
        <w:t>。</w:t>
      </w:r>
    </w:p>
    <w:p w14:paraId="400CC7D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竣工图等所有竣工资料的编制费用由承包人在投标时列入投标报价之中，发包人不再另行支付</w:t>
      </w:r>
      <w:r>
        <w:rPr>
          <w:rFonts w:hint="eastAsia" w:ascii="宋体" w:hAnsi="宋体" w:eastAsia="宋体" w:cs="宋体"/>
          <w:color w:val="auto"/>
          <w:sz w:val="21"/>
          <w:szCs w:val="21"/>
          <w:highlight w:val="none"/>
        </w:rPr>
        <w:t>。</w:t>
      </w:r>
    </w:p>
    <w:p w14:paraId="455C4AB1">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5585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 xml:space="preserve">竣工验收合格后 28 天内 </w:t>
      </w:r>
      <w:r>
        <w:rPr>
          <w:rFonts w:hint="eastAsia" w:ascii="宋体" w:hAnsi="宋体" w:eastAsia="宋体" w:cs="宋体"/>
          <w:color w:val="auto"/>
          <w:sz w:val="21"/>
          <w:szCs w:val="21"/>
          <w:highlight w:val="none"/>
          <w:u w:val="single"/>
        </w:rPr>
        <w:fldChar w:fldCharType="end"/>
      </w:r>
    </w:p>
    <w:p w14:paraId="08664D7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工程竣工验收资料和结算资料全部为纸质文件，全部资料还必须提供电子文本（pdf扫描版），所有工程资料必须符合工程验收和工程结算审计要求</w:t>
      </w:r>
      <w:r>
        <w:rPr>
          <w:rFonts w:hint="eastAsia" w:ascii="宋体" w:hAnsi="宋体" w:eastAsia="宋体" w:cs="宋体"/>
          <w:color w:val="auto"/>
          <w:sz w:val="21"/>
          <w:szCs w:val="21"/>
          <w:highlight w:val="none"/>
        </w:rPr>
        <w:t>。</w:t>
      </w:r>
    </w:p>
    <w:p w14:paraId="1F7BA7F5">
      <w:pPr>
        <w:pStyle w:val="282"/>
        <w:numPr>
          <w:ilvl w:val="0"/>
          <w:numId w:val="8"/>
        </w:numPr>
        <w:wordWrap w:val="0"/>
        <w:spacing w:line="431"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承包人应履行的其他义务：</w:t>
      </w:r>
    </w:p>
    <w:p w14:paraId="3934ACBA">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承包人中标后，应在开工前7天编制出更为详细的施工组织设计，报发包人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等）；施工现场优化布置总平面图；综合考虑本工程所涉及的一切安全因素编写出施工安全预案和各种应急预案，包括但不限于建筑施工安全、临时用电、安全挡护、职工安全教育和安全管理、突发情况应急方案等，发包人工程师在收到后予以确认，或发出修改指示，承包人根据发包人工程师审查意见修改，并据此实施。发包人接到施工组织设计后7天内组织审核批准或提出修改意见，发包人批准的施工组织设计可作为工程款支付的参考依据。</w:t>
      </w:r>
    </w:p>
    <w:p w14:paraId="4A3DCA8A">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工程未交付前，承包人负责已完工程（含分包工程,如有）的保护工作并承担费用。在此期间如发生损坏的（包括毁损、火灾、丢失等），由承包人负责修复或赔偿。如交付后，发包人要求承包人继续保护，费用另行商定。</w:t>
      </w:r>
    </w:p>
    <w:p w14:paraId="18699529">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项目管理机构主要成员及在岗时间：①项目经理、技术负责人、施工员、质检员等主要人员必需是公司职工，公司为其正常缴纳养老保险；②除项目经理外上述人员在岗时间每周均不得少于5天、每天均不得少于8小时；特殊情况离开须征得发包人现场负责人的书面同意。</w:t>
      </w:r>
    </w:p>
    <w:p w14:paraId="258C04FC">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4）主要管理技术人员（列入管理人员名单的）未请假或未经许可擅自离岗的，除要求整改外、项目经理和技术负责人每人每次处3000元违约金、其他管理技术人员每人每次处2000元违约金。</w:t>
      </w:r>
    </w:p>
    <w:p w14:paraId="428D726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5）因承包人违约解除合同的约定：因承包人严重违约导致合同无法继续履行，发包人有权单方面终止合同、采取其他措施继续完成施工，并处承包人已完工程量10%的违约金</w:t>
      </w:r>
      <w:r>
        <w:rPr>
          <w:rFonts w:hint="eastAsia" w:ascii="宋体" w:hAnsi="宋体" w:eastAsia="宋体" w:cs="宋体"/>
          <w:color w:val="auto"/>
          <w:sz w:val="21"/>
          <w:szCs w:val="21"/>
          <w:highlight w:val="none"/>
        </w:rPr>
        <w:t>。</w:t>
      </w:r>
    </w:p>
    <w:p w14:paraId="476A9E80">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发生异常恶劣的气候条件时，应及时通知发包人，并在通知中明确描述异常恶劣的气候条件的内容，提供“异常恶劣的气候条件”有关的证据资料（如当地气象资料等），以及自身无法预见的理由，按照发包人发出的指令，采取积极、有效措施继续施工，若承包人未履行减损义务，则无权就损失扩大部分获得任何补偿。另外，发包人无需支付承包人利润的损失。</w:t>
      </w:r>
    </w:p>
    <w:p w14:paraId="4EA165B9">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本项目所用材料原则上均由承包人自购甲控（甲方有特别要求的除外），对于重要或采购人认为必要的材料、设备在采购前以书面方式报采购人、监理、审计进行审核确认，得到书面确认回复后方可采购，若擅自采购导致的返工、损失的均由成交承包人自行承担，结算时一律不予调整。</w:t>
      </w:r>
    </w:p>
    <w:p w14:paraId="6C37D973">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墙地砖、防水涂料、混凝土、密封胶、乳胶漆等本工程涉及的所有材料的质量必须满足规范要求，承包人在实施前须按合同规定提供材料的样品供采购人、设计单位及监理审批，所提供的样品标准不得低于采购人、设计图纸规定的标准。提供出厂检测报告，并由承包人提供样品经有资质的第三方检测机构检测，检测费用包含在投标报价中。</w:t>
      </w:r>
    </w:p>
    <w:p w14:paraId="65E72FB4">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3.2 项目经理</w:t>
      </w:r>
    </w:p>
    <w:p w14:paraId="711DFF97">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项目经理：</w:t>
      </w:r>
    </w:p>
    <w:p w14:paraId="26E33B4B">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76667466">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538C6A2F">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4CD2741A">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40BCD9EB">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2800E95C">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460531DB">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50568AAE">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2313132C">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2DD35048">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p>
    <w:p w14:paraId="5FFEF83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关于项目经理每月在施工现场的时间要求：：</w:t>
      </w:r>
      <w:r>
        <w:rPr>
          <w:rFonts w:hint="eastAsia" w:ascii="宋体" w:hAnsi="宋体" w:eastAsia="宋体" w:cs="宋体"/>
          <w:color w:val="auto"/>
          <w:sz w:val="21"/>
          <w:szCs w:val="21"/>
          <w:highlight w:val="none"/>
          <w:u w:val="single"/>
        </w:rPr>
        <w:t>承包人项目负责人必须保证每周不少于4天、每天不少于8小时（不含夜间）在施工现场组织、安排施工，重大分部分项并有特殊安全要求的施工项目，项目负责人必须在现场。项目负责人每天到岗情况必须向发包人现场管理人员报告和登记，发包人现场管理人员对承包人项目负责人在岗情况进行实时记录，发现承包人项目负责人应在现场而不在现场的行为，承包人需向发包人支付违约金10000元人民币/次</w:t>
      </w:r>
      <w:r>
        <w:rPr>
          <w:rFonts w:hint="eastAsia" w:ascii="宋体" w:hAnsi="宋体" w:eastAsia="宋体" w:cs="宋体"/>
          <w:color w:val="auto"/>
          <w:sz w:val="21"/>
          <w:szCs w:val="21"/>
          <w:highlight w:val="none"/>
        </w:rPr>
        <w:t>。</w:t>
      </w:r>
    </w:p>
    <w:p w14:paraId="761EFFC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处以10000元罚款，并责令在一周内签订劳动合同和缴纳社会保险，如未履行，每延迟一天，处以5000元/天罚款，并有权要求更换项目经理。清退承包人出场，发生的所有费用由承包人承担，上述以外人员前来办理与工程相关的任何事项，发包人工程师及发包人将不予接待，由此造成的一切责任或损失由承包人承担</w:t>
      </w:r>
      <w:r>
        <w:rPr>
          <w:rFonts w:hint="eastAsia" w:ascii="宋体" w:hAnsi="宋体" w:eastAsia="宋体" w:cs="宋体"/>
          <w:color w:val="auto"/>
          <w:sz w:val="21"/>
          <w:szCs w:val="21"/>
          <w:highlight w:val="none"/>
        </w:rPr>
        <w:t>。</w:t>
      </w:r>
    </w:p>
    <w:p w14:paraId="7AA0189A">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承包人投标文件所载明的项目经理必须常驻现场，不得擅自离开施工现场，否则发包人每发现1次，处以1000元/次罚款；超过5次，视为违约，发包人有权终止合同。项目负责人未经批准，擅自离开施工现场后，发生各种事故，影响工程施工，对工程造成损失的，承包人需承担因此造成的经济损失及相关法律责任</w:t>
      </w:r>
      <w:r>
        <w:rPr>
          <w:rFonts w:hint="eastAsia" w:ascii="宋体" w:hAnsi="宋体" w:eastAsia="宋体" w:cs="宋体"/>
          <w:color w:val="auto"/>
          <w:sz w:val="21"/>
          <w:szCs w:val="21"/>
          <w:highlight w:val="none"/>
        </w:rPr>
        <w:t>。</w:t>
      </w:r>
    </w:p>
    <w:p w14:paraId="3B76BDD2">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3.2.2 承包人擅自更换项目经理的违约责任：</w:t>
      </w:r>
      <w:r>
        <w:rPr>
          <w:rFonts w:hint="eastAsia" w:ascii="宋体" w:hAnsi="宋体" w:eastAsia="宋体" w:cs="宋体"/>
          <w:color w:val="auto"/>
          <w:sz w:val="21"/>
          <w:szCs w:val="21"/>
          <w:highlight w:val="none"/>
          <w:u w:val="single"/>
        </w:rPr>
        <w:t>承包人变更备案合同中的项目负责人，必须经发包人同意，同时承包人需向发包人支付违约金10000元人民币/次。</w:t>
      </w:r>
    </w:p>
    <w:p w14:paraId="555CFD00">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投标文件中明确的项目经理，未经发包人许可不得擅自变更。承包人擅自更换项目负责人，发包人将对承包人处以10万元罚款。对于不符合项目施工要求的项目负责人，发包人有权解除合同，由此产生的相关费用、给发包人造成的损失由承包人承担。</w:t>
      </w:r>
    </w:p>
    <w:p w14:paraId="6ADCCFE4">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自备案之日起至原合同工期期满之日止，中标项目经理不得作为项目负责人承接其他工程，如备案之日至原合同工期期满之日不足六个月，则限制其承接工程的期限为六个月。发包人有权按照规定监督原中标项目经理的行业行为并向建设行政主管部门报告。</w:t>
      </w:r>
    </w:p>
    <w:p w14:paraId="02E9F365">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 承包人无正当理由拒绝更换项目经理的违约责任：</w:t>
      </w:r>
      <w:r>
        <w:rPr>
          <w:rFonts w:hint="eastAsia" w:ascii="宋体" w:hAnsi="宋体" w:eastAsia="宋体" w:cs="宋体"/>
          <w:color w:val="auto"/>
          <w:sz w:val="21"/>
          <w:szCs w:val="21"/>
          <w:highlight w:val="none"/>
          <w:u w:val="single"/>
        </w:rPr>
        <w:t>项目经理因刑事犯罪、伤病丧失工作能力等确属不能履行职责需要变更的，须经发包人工程师和发包人批准更换，其接替人员的资格、业绩和信誉不得低于被替换人员。</w:t>
      </w:r>
    </w:p>
    <w:p w14:paraId="642B12C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发包人有权对承包人项目部全体工程管理人员进行监督，发包人有权对未履行职责的项目经理视情节严重程度采取以下一种或几种处罚措施：①书面警告；②约谈项目经理主管单位负责人（被约谈单位须在会后应及时提交响应书面承诺，并处以10000元罚款）；③通报批评（项目经理所在单位）并抄报地方建设主管部门；④发包人有权要求承包人在3日内撤换或调整其认为不称职的项目经理，新项目经理人选需经发包人审核同意；承包人拒绝的，承包人应向发包人支付10万元的违约金，超过7天不予更换，发包人有权解除合同，由此产生的相关费用、给发包人造成的损失由承包人承担。上述违约金在工程结算时直接扣除</w:t>
      </w:r>
      <w:r>
        <w:rPr>
          <w:rFonts w:hint="eastAsia" w:ascii="宋体" w:hAnsi="宋体" w:eastAsia="宋体" w:cs="宋体"/>
          <w:color w:val="auto"/>
          <w:sz w:val="21"/>
          <w:szCs w:val="21"/>
          <w:highlight w:val="none"/>
        </w:rPr>
        <w:t>。</w:t>
      </w:r>
    </w:p>
    <w:p w14:paraId="58067330">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3.3 承包人人员</w:t>
      </w:r>
    </w:p>
    <w:p w14:paraId="12FD83FA">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开工前7天。承包人进场前应向发包人现场负责人提交项目主要施工管理人员名单，同时提交其岗位安排、注册执业资格、与承包人之间的劳动关系证明和缴纳社会保险的有效证明。主要施工管理人员包括：项目经理、项目副经理（如果有）、技术负责人、造价管理、质量管理、材料管理、计划管理、安全管理等人员。</w:t>
      </w:r>
    </w:p>
    <w:p w14:paraId="22BCC84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除项目经理外以上人员每周不少于5天、每天不少于8小时在岗；特殊情况离开须征得发包人现场负责人的书面同意，项目经理与项目副经理不得同时离开施工现场。材料见证取样、送检质检员在岗并签字确认；材料员需参加每次工程例会并对材料进场计划作出安排；造价员负责工程预决算并签章</w:t>
      </w:r>
      <w:r>
        <w:rPr>
          <w:rFonts w:hint="eastAsia" w:ascii="宋体" w:hAnsi="宋体" w:eastAsia="宋体" w:cs="宋体"/>
          <w:color w:val="auto"/>
          <w:sz w:val="21"/>
          <w:szCs w:val="21"/>
          <w:highlight w:val="none"/>
        </w:rPr>
        <w:t>。</w:t>
      </w:r>
    </w:p>
    <w:p w14:paraId="3F5BA64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发包人将对承包人处以10000元/人的违约金，并有权解除合同，由此产生的相关费用、给发包人造成的损失由承包人承担</w:t>
      </w:r>
      <w:r>
        <w:rPr>
          <w:rFonts w:hint="eastAsia" w:ascii="宋体" w:hAnsi="宋体" w:eastAsia="宋体" w:cs="宋体"/>
          <w:color w:val="auto"/>
          <w:sz w:val="21"/>
          <w:szCs w:val="21"/>
          <w:highlight w:val="none"/>
        </w:rPr>
        <w:t>。</w:t>
      </w:r>
    </w:p>
    <w:p w14:paraId="3A05E561">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承包人主要施工管理人员应相对稳定，离开施工现场</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5605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须经发包人书面同意</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w:t>
      </w:r>
    </w:p>
    <w:p w14:paraId="0F3D84F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关键岗位（施工员、安全员、技术负责人、质检员等）执证上岗人员，必须保证在施工期间在岗履职每周不少于5天、平均每天不少于8小时（不含夜间），重大分部分项并有特殊安全要求的施工项目，必须在现场负责各施工环节。承包人关键岗位执证上岗人员，必须每天向发包人现场管理人员报告和登记，发现执证上岗人员应在岗位而不在岗位的行为，承包人需向发包人支付违约金3000元/次</w:t>
      </w:r>
      <w:r>
        <w:rPr>
          <w:rFonts w:hint="eastAsia" w:ascii="宋体" w:hAnsi="宋体" w:eastAsia="宋体" w:cs="宋体"/>
          <w:color w:val="auto"/>
          <w:sz w:val="21"/>
          <w:szCs w:val="21"/>
          <w:highlight w:val="none"/>
        </w:rPr>
        <w:t>。</w:t>
      </w:r>
    </w:p>
    <w:p w14:paraId="4621EF10">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承包人变更施工员、安全员、技术负责人、质检员等的，需经发包人同意，同时承包人需向发包人支付违约金3000元/次。</w:t>
      </w:r>
    </w:p>
    <w:p w14:paraId="1EDD06A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5606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承包人擅自变更投标文件中明确的施工员、质检员、安全员、材料员、资料员等，发包人将追加5000元/人的经济处罚，并有权解除合同，由此产生的相关费用、给发包人造成的损失由承包人承担</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rPr>
        <w:t>。</w:t>
      </w:r>
    </w:p>
    <w:p w14:paraId="2055770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承包人投标文件所载明的主要施工管理人员必须常驻现场，不得擅自离开施工现场，否则发包人每发现1次，处以1000元/次罚款；超过5次，视为违约，发包人有权终止合同。主要施工管理人员未经批准，擅自离开施工现场后，施工现场发生各种事故，影响工程施工，对工程造成损失的，承包人需承担因此造成的经济损失及相关法律责任。</w:t>
      </w:r>
    </w:p>
    <w:p w14:paraId="68E9A79E">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3.4 工程照管与成品、半成品保护</w:t>
      </w:r>
    </w:p>
    <w:p w14:paraId="66D03EF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承包人负责照管工程及工程相关的材料、工程设备的起始时间：</w:t>
      </w:r>
      <w:r>
        <w:rPr>
          <w:rFonts w:hint="eastAsia" w:ascii="宋体" w:hAnsi="宋体" w:eastAsia="宋体" w:cs="宋体"/>
          <w:color w:val="auto"/>
          <w:sz w:val="21"/>
          <w:szCs w:val="21"/>
          <w:highlight w:val="none"/>
          <w:u w:val="single"/>
        </w:rPr>
        <w:t>自发包人向承包人移交施工现场之日起，本合同所涉工程项目相关的全部财产安全、工程安全管理、全部材料设备、对现场的成品、半成品负责保护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由于本项目非改造区域的工程内容已完成，本次报价应包含对成品可靠保护的费用。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价。</w:t>
      </w:r>
    </w:p>
    <w:p w14:paraId="5E0CC9D8">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3.5 履约担保</w:t>
      </w:r>
    </w:p>
    <w:p w14:paraId="2BA8592F">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承包人是否提供履约担保：是</w:t>
      </w:r>
    </w:p>
    <w:p w14:paraId="74722142">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承包人提供履约担保的形式、金额及期限的：</w:t>
      </w:r>
      <w:r>
        <w:rPr>
          <w:rFonts w:hint="eastAsia" w:ascii="宋体" w:hAnsi="宋体" w:eastAsia="宋体" w:cs="宋体"/>
          <w:color w:val="auto"/>
          <w:sz w:val="21"/>
          <w:szCs w:val="21"/>
          <w:highlight w:val="none"/>
          <w:u w:val="single"/>
        </w:rPr>
        <w:t>履约担保及支付担保的形式：电汇、转账。履约担保及支付担保的金额：中标人须在中标后签订合同期前30日内，按照中标价的10%向招标人指定官方账户转入履约保证金，履约保证金用以约束中标人在合同履行中的行为，弥补合同执行中由于自身行为可能给招标人带来的各种损失。务必请在汇款时详细注明所投项目和中标单位信息，如因未按要求填写信息导致无法退款的责任由中标人自负。</w:t>
      </w:r>
    </w:p>
    <w:p w14:paraId="5972E23A">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4.监理人</w:t>
      </w:r>
    </w:p>
    <w:p w14:paraId="676F2ACE">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2ECA0D42">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86B7073">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6CC5AC97">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767AFB43">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67063472">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7416E40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214ACF38">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5.工程质量</w:t>
      </w:r>
    </w:p>
    <w:p w14:paraId="4DFC5B87">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5.1 质量要求</w:t>
      </w:r>
    </w:p>
    <w:p w14:paraId="0FAB8347">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5.1.1 特殊质量标准和要求：</w:t>
      </w:r>
      <w:r>
        <w:rPr>
          <w:rFonts w:hint="eastAsia" w:ascii="宋体" w:hAnsi="宋体" w:eastAsia="宋体" w:cs="宋体"/>
          <w:color w:val="auto"/>
          <w:sz w:val="21"/>
          <w:szCs w:val="21"/>
          <w:highlight w:val="none"/>
          <w:u w:val="single"/>
        </w:rPr>
        <w:t>工程质量标准：符合国家质量验收合格标准、《建筑工程施工质量验收统一标准》（GB50300-2013）等规定。工程质量一次验收合格，不奖不罚；一次验收不合格，承包人向发包人支付合同总价的5‰的违约金，验收不合格次数每增加一次，承包人另向发包人支付合同总价的5‰的违约金。</w:t>
      </w:r>
    </w:p>
    <w:p w14:paraId="41D7EF78">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质量必须达到承包人合同中承诺的质量标准。承包人应按照GB/T19001－ISO9001质量管理体系标准，建立并保持一个健全的工程质量保证体系，完善质量管理制度，建立质量控制流程.承包人须在开工一周内向发包人各提交一套完整的涵盖所有范围的质量管理体系文件，包含但不限于《质量管理手册》、《作业指导书》等。</w:t>
      </w:r>
    </w:p>
    <w:p w14:paraId="140A9CA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（1）双方约定中间验收部位：按质监部门的有关要求及通用条款规定执行；</w:t>
      </w:r>
    </w:p>
    <w:p w14:paraId="7629304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（2）工程过程验收：</w:t>
      </w:r>
    </w:p>
    <w:p w14:paraId="252ECE32">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①材料进场验收：材料进场后必须提供相关产品的合格证、检测报告、质保书等相关资料，并按规定进行相关复检，经发包人共同验收合格后，方可进场使用。</w:t>
      </w:r>
    </w:p>
    <w:p w14:paraId="0FA90DF0">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②工程中间验收及隐蔽验收：承包人应提前通知发包人进行工程中间验收和隐蔽验收，承包人不得以任何理由在未经验收的情况下私自进入下一道工序，否则重新返工，并由承包人承担全部损失。</w:t>
      </w:r>
    </w:p>
    <w:p w14:paraId="63886562">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③工程验收过程中，对验收不合格的进场材料、半成品、成品等，必须进行整改或退货，直至整改合格为止，所有损失由承包人自行承担。对验收过程中出现大量不合格（不合格项超过5%）或承包人对质量问题拒绝整改的，发包人将此行为视为承包人无履行合同能力，发包人有权解除合同并要求承包人退场，造成的所有损失全部由承包人承担，发包人不承担任何经济及其它损失。</w:t>
      </w:r>
    </w:p>
    <w:p w14:paraId="02A65F76">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（3）工程质量控制要求：</w:t>
      </w:r>
    </w:p>
    <w:p w14:paraId="43A8D2D6">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在施工过程中，如经政府有关职能部门、发包人检查，由于工程质量或安全生产文明施工未达到国家有关规定要求受到通报批评的，发包人除要求承包人限期整改外，并向承包人收取人民币5000～20000元/次的违约金。</w:t>
      </w:r>
    </w:p>
    <w:p w14:paraId="3EAD3296">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②由于承包人原因，发生工程质量问题（包括保修期外），由此所造成的所有经济损失和一切责任及费用均由承包人承担。</w:t>
      </w:r>
    </w:p>
    <w:p w14:paraId="157A82FB">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③承包人必须精心组织施工，在施工过程中，如承包人未按设计要求和规范规定进行施工而造成返工，返工后仍不符合要求的，承包人应再次返工直至符合要求并承担全部费用，发包人向承包人收取人民币500～5000元/次的违约金。</w:t>
      </w:r>
    </w:p>
    <w:p w14:paraId="17FF8C89">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④施工过程中，承包人必须严格按发包人的管理要求执行。</w:t>
      </w:r>
    </w:p>
    <w:p w14:paraId="41BF23D5">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⑤所有隐蔽工程必须经发包人验收合格签字认可后方可隐蔽，如隐蔽工程未经验收合格签字认可而承包人擅自隐蔽的，每发生一次除全部返工外，发包人向承包人收取人民币1000～3000元/次的违约金，直接从当期工程款中扣除。</w:t>
      </w:r>
    </w:p>
    <w:p w14:paraId="5CCE87D5">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⑥施工过程中，对于发包人要求整改的问题未在规定期限内整改完毕，除按发包人的有关规定处罚外，每项整改内容每拖延一天，发包人向承包人收取人民币200元的违约金。</w:t>
      </w:r>
    </w:p>
    <w:p w14:paraId="7A3DCDF8">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⑦无论项目是否进行并通过了各项检验，均不能免除承包人对本工程质量所负的责任，除非质量问题是由于设计原因引起，而此类质量问题承包人须及时通知发包人。在采用承包人设计的施工图纸施工时（如有），设计引起的质量责任由承包人承担。无论工程材料是由承包人自行供应或是由发包人指定的供应商供应，均不免除承包人所负的工程全面质量的责任，承包人应对各种材料按规范进行检查，拒绝不符合要求的材料用于工程。无论何种原因，出现不合格材料用于工程的情况，均由承包人承担应有的责任。</w:t>
      </w:r>
    </w:p>
    <w:p w14:paraId="301389E6">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⑧承包人人员资格的特别规定：所有特殊工种人员、各种领班以上人员均应符合有关规定的资质要求，并且应持有该项工作的上岗证，在施工期间佩带其上岗证供发包人随时检查。承包人应按招标文件及有关技术规范要求，设置专门的监控测量岗位，完成工程所有的测量工作，并积累完整的技术资料。不合格的工程，发包人不予验收，承包人须按合同规定修补合格，由此造成发包人损失的，承包人应全额赔偿。</w:t>
      </w:r>
    </w:p>
    <w:p w14:paraId="789DF81F">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⑨按照国家及行业现行规范要求，工程竣工验收交付使用前，应由承包人负责的所有各项材料、设备、系统或工程的试验、检验、检测费用均已包含在合同价款中，由承包人承担。如发生质量疑议，发包人有权要求承包人再次进行试验、检验、检测，承包人应事先书面报经发包人同意，以发包人的名义，在发包人委托试验、检验机构进行试验、检验、检测，如检测未满足国家及行业现行规范要求的质量标准，费用由发包人从支付给承包人的工程款中扣回。</w:t>
      </w:r>
    </w:p>
    <w:p w14:paraId="5F44A69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⑩双方其它约定：合同履行中，发包人对承包人的工程质量进行管理控制，除本合同约定外，发包人有权单独制定其它相应管理规定（不需承包人认可），承包人承诺遵守相关管理规定要求并对其执行的相应处罚条款认可。</w:t>
      </w:r>
    </w:p>
    <w:p w14:paraId="591E9EEB">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5.2 隐蔽工程检查</w:t>
      </w:r>
    </w:p>
    <w:p w14:paraId="5E20936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 承包人提前通知发包人隐蔽工程检查的期限的约定：</w:t>
      </w:r>
      <w:r>
        <w:rPr>
          <w:rFonts w:hint="eastAsia" w:ascii="宋体" w:hAnsi="宋体" w:eastAsia="宋体" w:cs="宋体"/>
          <w:color w:val="auto"/>
          <w:sz w:val="21"/>
          <w:szCs w:val="21"/>
          <w:highlight w:val="none"/>
          <w:u w:val="single"/>
        </w:rPr>
        <w:t>分部分项工程具备隐蔽条件或达到本合同约定的中间验收部位时，承包方自检合格后，在4小时内现场通知发包方验收，并准备验收资料（未经隐蔽验收而封闭的工程量发包人有权不予以计量，不合格部分返工费用由承包商承担），隐蔽部位需在发包人组织下由各相关单位共同会签认可后才允许封板，否则产生的返工费用全部由封板单位承担。除国家和质监部门明确中间验收的部位外，发包人有权要求对本工程任何部位进行验收</w:t>
      </w:r>
    </w:p>
    <w:p w14:paraId="14AFB98F">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pacing w:val="1"/>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346E5933">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小时。</w:t>
      </w:r>
    </w:p>
    <w:p w14:paraId="0860C07D">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6.安全文明施工与环境保护</w:t>
      </w:r>
    </w:p>
    <w:p w14:paraId="02C52F6A">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6.1 安全文明施工</w:t>
      </w:r>
    </w:p>
    <w:p w14:paraId="315040E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除执行通用条款的相关规定外，承包人必须按照江苏省、南京市相关文件规定的标准实行文明施工管理，承包人对施工现场的安全施工负总责；注重安全保障，承包人在施工现场的安全教育和安全事故及因此发生的费用（包括造成发包人工期延误，并由此产生的全部损失）由承包人承担。在整个工程施工期间，承包人应委派1名及以上具有足够经验的安全工程师常驻现场，该安全工程师应负责组织召集和主持每周至少一次的安全生产例会，每天至少对现场安全生产状况进行全面检查并作好记录，负责安全技术交底和技术方案的安全把关，负责制定或审核安全隐患的整改措施并监督落实，负责安全资料的整理和管理，确保所有的安全设施都处于良好的运转状态。</w:t>
      </w:r>
    </w:p>
    <w:p w14:paraId="6ED75AE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1）卫生间走道与室内分界处，安装一道彩条布临时围挡，现场布局合理整洁，无积水、异味；各种材料应堆放整齐，施工垃圾须定点堆放，及时清运，严禁在施工现场以外堆放材料、垃圾。2）施工现场布局及工序安排应考虑噪声、照明控制，严格按照江苏省、南京市、溧水区有关规定执行，避免扰民；施工现场必须设置专用厕所，并有专人管理，严禁随意大小便；生活、生产废水及施工降水未处理合格，不得排入市政下水。3）施工人员必须办理相关证件，禁止非承包人人员在工地留宿，施工现场禁止聚众打牌、饮酒闹事、传阅淫秽物品、吸毒等；禁止施工人员在非施工区随意走动，严禁发生冲突。4）施工车辆进出时注意交通安全，必须缓速行驶。5）施工现场临时用电必须符合《施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发包人提出书面申请，并认真填写《要害部位动火作业证》，在得到发包人批准后方可施工。对现场临时消防设施的要求：施工现场消防安全监督管理应符合江苏省建设厅《建设工程施工现场消防安全标准》的要求。临时消防水系统应该安排专人值守，定期维护，保证随时能够正常启用。现场临时消防设施产生的费用被认为包含在承包人的措施费中，如果承包人不能按照江苏省建设厅《建设工程施工现场消防安全标准》的要求设置临时消防系统，发包人将有权另行指派其他单位进行施工及维护，产生的费用在承包人的报价中扣除。由于承包人不能按照本约定设置临时消防设施，发包人由此保留终止合同的权力。7）现场施工人员须着装整齐、遵章守纪，无违章指挥、违章作业行为，严禁闲杂人员进入施工现场；进入施工现场必须佩戴安全帽，高空作业必须系好安全带，严禁工人酒后上岗，严禁攀爬脚手架。发包人检查，每发现一人次没有按规范佩戴安全帽，发包人从工程款扣除违约金200元。8）各种施工机械的合格证、检测证及安全防护装置齐全。9）承包人现场应有专门负责安全、文明施工的管理人员，定期检查，发现问题及时整改；对发包人提出的其他有关安全、文明施工等方面问题必须积极配合，认真履行。10）施工期间，承包人应及时整理和安排所有机械、工具、材料、建筑垃圾等，以上物品在不需用时应按发包人要求清理出工地。11）施工现场各类垃圾应当天清理，否则由发包人指派人员清理，清理费用从工程款中扣除。12）严禁在绿地上堆物及行走或严禁污染绿地，一旦发现，即扣除违约金500元/次，而无须任何确认手续即可生效。13）发包人有权对承包人的违章现象提出整改通知后24小时内未采取相应整改措施，每次支付违约金500元。累计3次后，每次支付违约金2000元。14）施工期间由于承包人原因造成人员伤亡而导致停工，承包人应按停工时间支付10000元/天的违约金。15）施工期间由于承包人违反安全操作规程，被政府有关部门处罚，如通报、批评、警告和罚款等，承包人应支付5000元/次的违约金。16）现场文明施工管理不符合省、市及溧水区相关管理规定要求，被行政监管部门、督察部门查处、通报、或媒体曝光的，除责令整改外，每次扣除当期工程款10000元。</w:t>
      </w:r>
    </w:p>
    <w:p w14:paraId="56C6259B">
      <w:pPr>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p>
    <w:p w14:paraId="0A9D8A3F">
      <w:pPr>
        <w:spacing w:line="440"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承包人应与当地公安部门和学校保卫处协商，以学校治安保卫的要求为主，并按照当地公安部门要求，在现场建立治安管理机构或联防组织，统一管理施工场地的治安保卫事项，履行合同工程的治安保卫职责。</w:t>
      </w:r>
    </w:p>
    <w:p w14:paraId="58CD4BAE">
      <w:pPr>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开工后7天，由承包人制订，发包人协助。承包人必须认真做好施工现场的安全防护工作（包括照明、安全设施等）和施工人员的治安教育及管理工作，对于施工现场可能出现的任何安全事故承担全部责任并承担全部费用。对非施工人员不准其进入现场，落实安全责任制保证做到绝对安全。如因承包人安全文明施工或照明等措施不到位，造成施工无关人员进入施工范围并发生事故，所有责任由承包人承担</w:t>
      </w:r>
    </w:p>
    <w:p w14:paraId="56DD4646">
      <w:pPr>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01DDD322">
      <w:pPr>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一、施工安全：（1）承包人报请发包人工程师和业主代表审批的施工组织设计中应有安全施工方案，要有安全施工管理系统，配备安全管理人员负责工程、车辆机械和施工人员的安全工作，将施工安全落到实处。（2）承包人要认真做好车辆机械的保养维护工作和驾驶操作人员的安全教育工作，车辆机械不得带病作业，不得违规操作，杜绝机械和车辆事故。二、施工噪音：工程施工期间，噪声对环境的影响必须满足国家和南京市有关法规要求。施工噪声遵守《建筑施工场界噪声限值》（GB12523－90）。在选择施工设备及施工方法时，承包人必须考虑由此产生的噪声标准及对施工人员和校内师生的影响。在工程施工过程中，若发生施工噪声超标扰民事件，由承包人负责解决。三、污水排放：所有的废水、污水应按批准的方法处理后排入排污系统，不得污染环境，由此而引进的后果由承包人自行负责。承包人垃圾须及时清理并堆放到指定堆场，统一清理、外运。四、夜间施工：承包人应按南京市有关规定要求办理夜间施工许可证。施工单位应充分考虑中考、高考、节假日及城市有关部门重大活动等期间限制夜间施工而对工期造成的影响，由于施工可能对校内师生、教学等造成影响，可能由此而引发各种争议，这些争议应由承包人负责协调解决。</w:t>
      </w:r>
    </w:p>
    <w:p w14:paraId="3A651F63">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7.工期和进度</w:t>
      </w:r>
    </w:p>
    <w:p w14:paraId="5471DA00">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7.1 施工组织设计</w:t>
      </w:r>
    </w:p>
    <w:p w14:paraId="5C355CCE">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施工组织设计的提交和修改 </w:t>
      </w:r>
    </w:p>
    <w:p w14:paraId="06363683">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承包人提交详细施工组织设计的期限的约定：</w:t>
      </w:r>
      <w:r>
        <w:rPr>
          <w:rFonts w:hint="eastAsia" w:ascii="宋体" w:hAnsi="宋体" w:eastAsia="宋体" w:cs="宋体"/>
          <w:color w:val="auto"/>
          <w:sz w:val="21"/>
          <w:szCs w:val="21"/>
          <w:highlight w:val="none"/>
          <w:u w:val="single"/>
        </w:rPr>
        <w:t>开工前7日内上报施工组织设计及施工总进度计划，每周五报周进度计划。有特殊要求于施工前3日内上报施工方案。</w:t>
      </w:r>
    </w:p>
    <w:p w14:paraId="72F483AE">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7.2 施工进度计划</w:t>
      </w:r>
    </w:p>
    <w:p w14:paraId="296CAB3D">
      <w:pPr>
        <w:wordWrap w:val="0"/>
        <w:spacing w:line="431" w:lineRule="exact"/>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 施工进度计划的修订</w:t>
      </w:r>
    </w:p>
    <w:p w14:paraId="48F214E8">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p>
    <w:p w14:paraId="0A18E8A5">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7.3 开工</w:t>
      </w:r>
    </w:p>
    <w:p w14:paraId="78A1A5AE">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11B4A96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关于承包人提交工程开工报审表的期限：</w:t>
      </w:r>
      <w:r>
        <w:rPr>
          <w:rFonts w:hint="eastAsia" w:ascii="宋体" w:hAnsi="宋体" w:eastAsia="宋体" w:cs="宋体"/>
          <w:color w:val="auto"/>
          <w:sz w:val="21"/>
          <w:szCs w:val="21"/>
          <w:highlight w:val="none"/>
          <w:u w:val="single"/>
        </w:rPr>
        <w:t>应在合同签订后14天内，但最迟不得晚于开工日期前7天，逾期未提交开工报审表自动开始计算工期。</w:t>
      </w:r>
    </w:p>
    <w:p w14:paraId="6BCE1FD8">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w:t>
      </w:r>
    </w:p>
    <w:p w14:paraId="4C8C31B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1）承包人应当按照发包人书面指定的开工日期开工，并办理开工报告。承包人不能按时开工，应当不迟于发包人通知的开工日期前3天，以书面形式向发包人提出延期开工的理由和要求。发包人不同意延期要求或承包人未在规定的时间内提出开工延期要求，工期不予顺延。2）承包人至少应于合同约定的开工日期前7天内去发包人工地接收工地，接收工地后应立即开展工作，不得因工地上有任何问题而拒绝接收工地，否则承包人将按延误工期支付违约金。3）若工地上确实存在问题或其它工程施工进度对本项目施工产生的影响足以耽误本工程开工7天以上，承包人须以书面形式通知发包人，经发包人批准后开工时间方可调整，工期方可顺延，但合同价款不予调整。4）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p>
    <w:p w14:paraId="2749AC83">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 开工通知</w:t>
      </w:r>
    </w:p>
    <w:p w14:paraId="506BE47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因发包人原因造成监理人（若有）未能在计划开工日期之日起</w:t>
      </w:r>
      <w:r>
        <w:rPr>
          <w:rFonts w:hint="eastAsia" w:ascii="宋体" w:hAnsi="宋体" w:eastAsia="宋体" w:cs="宋体"/>
          <w:color w:val="auto"/>
          <w:spacing w:val="1"/>
          <w:sz w:val="21"/>
          <w:szCs w:val="21"/>
          <w:highlight w:val="none"/>
          <w:u w:val="single"/>
        </w:rPr>
        <w:t xml:space="preserve"> 90</w:t>
      </w:r>
      <w:r>
        <w:rPr>
          <w:rFonts w:hint="eastAsia" w:ascii="宋体" w:hAnsi="宋体" w:eastAsia="宋体" w:cs="宋体"/>
          <w:color w:val="auto"/>
          <w:sz w:val="21"/>
          <w:szCs w:val="21"/>
          <w:highlight w:val="none"/>
        </w:rPr>
        <w:t>天内发出开工通知的，承包人有权提出价格调整要求，或者解除合同。</w:t>
      </w:r>
    </w:p>
    <w:p w14:paraId="16D5BD74">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7.4 工期延误</w:t>
      </w:r>
    </w:p>
    <w:p w14:paraId="20D1B93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 因发包人原因导致工期延误</w:t>
      </w:r>
    </w:p>
    <w:p w14:paraId="2516E081">
      <w:pPr>
        <w:wordWrap w:val="0"/>
        <w:spacing w:line="431"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由于发包人原因延误，工期相应顺延。承包人应在情况发生后2天内，就延误的工期以书面报告向发包人提出。如未在2日内提出延期要求，视为承包人对顺延工期无要求。发包人在收到报告后14天内予以确认，逾期不予确认也不提出意见，视为同意顺延工期。上述工期顺延的情况，发包人不承担误工、停工、机械进出场、台班费等在内的其它责任。双方在确定竣工日期时，已充分考虑可能出现各种形式的雨雪、冰雹、台风、高温天气、停电、停水、节假日、扰民和民扰、道路施工影响等不利因素的合理工期。</w:t>
      </w:r>
    </w:p>
    <w:p w14:paraId="3E5214CD">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7.4.2 因承包人原因导致工期延误</w:t>
      </w:r>
    </w:p>
    <w:p w14:paraId="4AC5961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5649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因承包人原因，导致进场延迟，每延迟一天，需向发包人支付违约金10000元；因承包人原因，导致合同工期延误，每延迟一天，需向发包人支付违约金10000元</w:t>
      </w:r>
      <w:r>
        <w:rPr>
          <w:rFonts w:hint="eastAsia" w:ascii="宋体" w:hAnsi="宋体" w:eastAsia="宋体" w:cs="宋体"/>
          <w:color w:val="auto"/>
          <w:sz w:val="21"/>
          <w:szCs w:val="21"/>
          <w:highlight w:val="none"/>
          <w:u w:val="single"/>
        </w:rPr>
        <w:fldChar w:fldCharType="end"/>
      </w:r>
    </w:p>
    <w:p w14:paraId="191B2DD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合同价款的5%为上限，此款在工程结算时由发包人提供资料给审计部门，在工程结算中扣除。</w:t>
      </w:r>
    </w:p>
    <w:p w14:paraId="3343D570">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8.材料与设备</w:t>
      </w:r>
    </w:p>
    <w:p w14:paraId="4C5FFCA2">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8.1 承包人采购材料与工程设备</w:t>
      </w:r>
    </w:p>
    <w:p w14:paraId="196BAF9E">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8.2 材料与工程设备的保管与使用</w:t>
      </w:r>
    </w:p>
    <w:p w14:paraId="706E92E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8.2.1 发包人供应的材料设备的保管费用的承担：</w:t>
      </w:r>
      <w:r>
        <w:rPr>
          <w:rFonts w:hint="eastAsia" w:ascii="宋体" w:hAnsi="宋体" w:eastAsia="宋体" w:cs="宋体"/>
          <w:color w:val="auto"/>
          <w:sz w:val="21"/>
          <w:szCs w:val="21"/>
          <w:highlight w:val="none"/>
          <w:u w:val="single"/>
        </w:rPr>
        <w:t>从开工之日起，承包人应全面负责照管合同工程及运至现场将用于和安装在合同工程中的材料和工程设备，直到合同双方当事人确认工程移交之日止。如果在整个工程移交前，合同双方当事人已经确认移交或发包人提前使用其中任一单位工程，则从确认移交或提前使用之日起承包人无须对该单位工程负责照管，而转由发包人负责。但是，承包人应继续负责照管尚未完成的工程和将用于或安装在合同工程中的材料和工程设备，直至完成上述工作并经合同双方当事人确认整个工程移交之日止。承包人在负责工程照管期间，如因自身原因造成合同工程或其任何部分，以及材料和工程设备或临时工程的损坏，承包人应自费修复上述损坏，保证合同工程质量达到合同约定的标准。</w:t>
      </w:r>
    </w:p>
    <w:p w14:paraId="63A6F295">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8.3 样品</w:t>
      </w:r>
    </w:p>
    <w:p w14:paraId="16B51AF8">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8.3.1 样品的报送与封存</w:t>
      </w:r>
    </w:p>
    <w:p w14:paraId="77D8BFB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合同签订后，承包人既可报请发包人验证材料样品。承包人须将所用的主要材料的样品、技术参数资料、出厂合格证、使用有效期、检验报告、采购合同等一并上报，否则发包人对该种材料不予认可批准。发包人不予认可批准的材料，承包人不得在本工程中使用，否则造成一切损失均由承包人承担。承包人须提供发包人认可批准的样品在工地封存，以便发包人核对作为以后验收工程的标准。材料样品几何尺寸、颜色要求以发包人技术部门验证人员的具体要求为准。</w:t>
      </w:r>
    </w:p>
    <w:p w14:paraId="51407726">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各种规格是指设计图纸、设计变更、招标答疑、工程量清单等所要求的，包含且不限于材料的几何尺寸、厚度、强度、颜色（符合工程实际需要，承包人提供可选样品，发包人选定，除非发包人提出变更，否则不调整任何费用）等各项物理性能参数，承包人投标时，应明确各项参数（含承包人投标时对图纸的深化设计，如有），如未明确或已明确但不满足上述文件要求的，则发包人可根据工程需要进行指定，承包人负责按指定要求采购，且不得以任何理由提出增加费用。</w:t>
      </w:r>
    </w:p>
    <w:p w14:paraId="3127BD5B">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用于本工程的任何材料的品质，必须符合发包人招标文件、图纸设计说明和现行规范规定，以及本合同约定。在使用前十天必须得到发包人认可批准。发包人参加对任何样本之认可或批准，并不免除承包人对工程质量应付的责任和义务。</w:t>
      </w:r>
    </w:p>
    <w:p w14:paraId="5C9809A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如承包人提供的材料品质低于封存样品、清单、图纸说明、招标文件和合同约定的任何一项指标，均视为不合格产品，承包人不得强行施工，否则发包人对已发生的施工工程量不予认可，承包人无条件返工重做，其余材料由承包人两日内清退出场，由此产生的任何费用由承包人承担，费用在结算时扣除，延误的工期不予顺延。</w:t>
      </w:r>
    </w:p>
    <w:p w14:paraId="22BC7DBC">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9.合同价格、计量与支付</w:t>
      </w:r>
    </w:p>
    <w:p w14:paraId="34306BD7">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9.1合同价格形式</w:t>
      </w:r>
    </w:p>
    <w:p w14:paraId="40A5E914">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单间维修费用按投标报价，合同价=单间报价*360间+9万元暂列金额。结算价=单间报价*实际维修房间数+墙砖更换单价*实际更换墙砖</w:t>
      </w:r>
      <w:r>
        <w:rPr>
          <w:rFonts w:hint="eastAsia" w:ascii="宋体" w:hAnsi="宋体" w:cs="宋体"/>
          <w:color w:val="auto"/>
          <w:sz w:val="21"/>
          <w:szCs w:val="21"/>
          <w:highlight w:val="none"/>
          <w:lang w:val="en-US" w:eastAsia="zh-CN"/>
        </w:rPr>
        <w:t>面积</w:t>
      </w:r>
      <w:r>
        <w:rPr>
          <w:rFonts w:hint="eastAsia" w:ascii="宋体" w:hAnsi="宋体" w:eastAsia="宋体" w:cs="宋体"/>
          <w:color w:val="auto"/>
          <w:sz w:val="21"/>
          <w:szCs w:val="21"/>
          <w:highlight w:val="none"/>
        </w:rPr>
        <w:t>，不再增加其他任何费用。</w:t>
      </w:r>
    </w:p>
    <w:p w14:paraId="1995C1F9">
      <w:pPr>
        <w:wordWrap w:val="0"/>
        <w:spacing w:line="431" w:lineRule="exact"/>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中标单间综合单价包含但不限于</w:t>
      </w:r>
      <w:r>
        <w:rPr>
          <w:rFonts w:hint="eastAsia" w:ascii="宋体" w:hAnsi="宋体" w:cs="宋体"/>
          <w:b/>
          <w:color w:val="auto"/>
          <w:sz w:val="21"/>
          <w:szCs w:val="21"/>
          <w:highlight w:val="none"/>
          <w:lang w:eastAsia="zh-CN"/>
        </w:rPr>
        <w:t>：</w:t>
      </w:r>
      <w:r>
        <w:rPr>
          <w:rFonts w:hint="eastAsia" w:ascii="宋体" w:hAnsi="宋体" w:eastAsia="宋体" w:cs="宋体"/>
          <w:b/>
          <w:color w:val="auto"/>
          <w:sz w:val="21"/>
          <w:szCs w:val="21"/>
          <w:highlight w:val="none"/>
        </w:rPr>
        <w:t>现场排查、基层检查、地面墙面凿除、基层修补、防水处理、砂浆找平、面层恢复、管口收口、堵漏处理、闭水试验、材料运输、垃圾清理及外运、成品保护、安全文明施工、临时设施、人工、材料、机械、管理、利润、规费、税金、现场风险、夜间及零星施工、宿舍扰民管控措施等完成单间卫生间维修交付合格使用的全部工作内容及一切费用。</w:t>
      </w:r>
    </w:p>
    <w:p w14:paraId="5C540AE5">
      <w:pPr>
        <w:wordWrap w:val="0"/>
        <w:spacing w:line="431" w:lineRule="exact"/>
        <w:ind w:firstLine="422" w:firstLineChars="200"/>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乙方</w:t>
      </w:r>
      <w:r>
        <w:rPr>
          <w:rFonts w:hint="eastAsia" w:ascii="宋体" w:hAnsi="宋体" w:eastAsia="宋体" w:cs="宋体"/>
          <w:b/>
          <w:color w:val="auto"/>
          <w:sz w:val="21"/>
          <w:szCs w:val="21"/>
          <w:highlight w:val="none"/>
        </w:rPr>
        <w:t>报价视为已包含图纸、方案隐含全部工序及常规施工风险，施工过程中不得以工程量理解偏差、现场情况不熟、工序漏项、人工材料涨跌、施工难度大等任何理由提出增价、签证、索赔。</w:t>
      </w:r>
    </w:p>
    <w:p w14:paraId="7CB4C29B">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9.2工程进度款支付</w:t>
      </w:r>
    </w:p>
    <w:p w14:paraId="3D9AB94F">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 付款周期</w:t>
      </w:r>
    </w:p>
    <w:p w14:paraId="73C3CF0F">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p>
    <w:p w14:paraId="19AD5550">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1.签订合同后付至合同价（扣除暂列金额）的30％。</w:t>
      </w:r>
    </w:p>
    <w:p w14:paraId="4001C8B8">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2.2026年维修完成，竣工验收合格后付至合同价（扣除暂列金额）的70％。</w:t>
      </w:r>
    </w:p>
    <w:p w14:paraId="34D3F65B">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3.2027年6月对已维修完成的房间进行复验收，复验收合格且完成结算审计后，付至结算审定金额的97％。复验收不合格的，2027年暑假整改完成后，2028年6月对整改的房间进行第三次验收，验收合格的付至结算审定金额的97％。</w:t>
      </w:r>
    </w:p>
    <w:p w14:paraId="6FAA4A34">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剩余 3% 作为质量保证金，缺陷责任期届满后 15 日内无息返还。缺陷责任期：2 年，自全部维修完成并竣工验收合格之日起算。质保期限为5年，自全部维修完成并竣工验收合格之日起算。</w:t>
      </w:r>
    </w:p>
    <w:p w14:paraId="0017D69B">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10.验收和退场</w:t>
      </w:r>
    </w:p>
    <w:p w14:paraId="2D90984E">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10.1 分部分项工程验收</w:t>
      </w:r>
    </w:p>
    <w:p w14:paraId="1F2FB152">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 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03B254C2">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小时。</w:t>
      </w:r>
    </w:p>
    <w:p w14:paraId="6B6A5244">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10.2 竣工验收</w:t>
      </w:r>
    </w:p>
    <w:p w14:paraId="68E2F8F5">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10.2.1 竣工验收程序</w:t>
      </w:r>
    </w:p>
    <w:p w14:paraId="321D4BF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关于竣工验收程序的约定：</w:t>
      </w:r>
      <w:r>
        <w:rPr>
          <w:rFonts w:hint="eastAsia" w:ascii="宋体" w:hAnsi="宋体" w:eastAsia="宋体" w:cs="宋体"/>
          <w:color w:val="auto"/>
          <w:sz w:val="21"/>
          <w:szCs w:val="21"/>
          <w:highlight w:val="none"/>
          <w:u w:val="single"/>
        </w:rPr>
        <w:t>（1）承包人向发包人报送竣工验收申请报告，发包人应在收到竣工验收申请报告后14天内完成审查。发包人审查后认为尚不具备验收条件的，应通知承包人在竣工验收前承包人还需完成的工作内容，承包人应在完成发包人通知的全部工作内容后，再次提交竣工验收申请报告。</w:t>
      </w:r>
    </w:p>
    <w:p w14:paraId="28F8D02D">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（2）发包人审查后认为已具备竣工验收条件的，应在收到竣工验收申请报告后28天内审批完毕并组织承包人、设计人等相关单位完成竣工验收。</w:t>
      </w:r>
    </w:p>
    <w:p w14:paraId="6C5708B7">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（3）竣工验收合格的，发包人应在验收合格后14天内向承包人签发工程接收证书。发包人无正当理由逾期不颁发工程接收证书的，自验收合格后第15天起视为已颁发工程接收证书。</w:t>
      </w:r>
    </w:p>
    <w:p w14:paraId="61F6416D">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竣工验收不合格的，发包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3F38D0A2">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01A8AF1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（6）本合同规定的竣工验收日期是指本合同约定工程承包内容全部完工，并通过发包人组织的竣工验收之日，承包内容中任何一项分部分项工程未完工或经发包人组织的验收评定不合格，均视为工期延误。</w:t>
      </w:r>
    </w:p>
    <w:p w14:paraId="3F52EAB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不计利息</w:t>
      </w:r>
    </w:p>
    <w:p w14:paraId="4B3CF3BE">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10.2.2 移交、接收全部与部分工程</w:t>
      </w:r>
    </w:p>
    <w:p w14:paraId="5AA3C3E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承包人向发包人移交工程的期限：</w:t>
      </w:r>
      <w:r>
        <w:rPr>
          <w:rFonts w:hint="eastAsia" w:ascii="宋体" w:hAnsi="宋体" w:eastAsia="宋体" w:cs="宋体"/>
          <w:color w:val="auto"/>
          <w:sz w:val="21"/>
          <w:szCs w:val="21"/>
          <w:highlight w:val="none"/>
          <w:u w:val="single"/>
        </w:rPr>
        <w:t>取得工程竣工验收证书后7天内完成工程的移交</w:t>
      </w:r>
      <w:r>
        <w:rPr>
          <w:rFonts w:hint="eastAsia" w:ascii="宋体" w:hAnsi="宋体" w:eastAsia="宋体" w:cs="宋体"/>
          <w:color w:val="auto"/>
          <w:sz w:val="21"/>
          <w:szCs w:val="21"/>
          <w:highlight w:val="none"/>
        </w:rPr>
        <w:t>。</w:t>
      </w:r>
    </w:p>
    <w:p w14:paraId="57A04DA9">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不计利息</w:t>
      </w:r>
      <w:r>
        <w:rPr>
          <w:rFonts w:hint="eastAsia" w:ascii="宋体" w:hAnsi="宋体" w:eastAsia="宋体" w:cs="宋体"/>
          <w:color w:val="auto"/>
          <w:sz w:val="21"/>
          <w:szCs w:val="21"/>
          <w:highlight w:val="none"/>
        </w:rPr>
        <w:t>。</w:t>
      </w:r>
    </w:p>
    <w:p w14:paraId="3BD0422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除不可抗力与发包人的原因外，工期不得拖延。若承包人原因造成工期延误，则对承包人处以10000元/天的违约金，以合同总价的5%为限，此违约金并不能解除承包人应完成工程的责任或合同及法律规定的其他责任。如承包人累计延误工期达合同工期的30%，则发包人有权解除合同，并追究承包人的违约责任。</w:t>
      </w:r>
    </w:p>
    <w:p w14:paraId="2F7CBC54">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10.2竣工退场</w:t>
      </w:r>
    </w:p>
    <w:p w14:paraId="1FA3288D">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承包人完成竣工退场的期限：</w:t>
      </w:r>
      <w:r>
        <w:rPr>
          <w:rFonts w:hint="eastAsia" w:ascii="宋体" w:hAnsi="宋体" w:eastAsia="宋体" w:cs="宋体"/>
          <w:color w:val="auto"/>
          <w:sz w:val="21"/>
          <w:szCs w:val="21"/>
          <w:highlight w:val="none"/>
          <w:u w:val="single"/>
        </w:rPr>
        <w:t>取得工程竣工验收证书后10天内。</w:t>
      </w:r>
    </w:p>
    <w:p w14:paraId="51576623">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p>
    <w:p w14:paraId="20F64068">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（2）本工程的所有部位，特别是本工程完成后，承包人须清洁和整理本工程所有项目，除去一切无关标志、污斑、指印和其他的油污和污物等直至发包人验收合格为止。</w:t>
      </w:r>
    </w:p>
    <w:p w14:paraId="22119AA4">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（3）施工场地按以下（包括但不限于）要求进行清理，直至发包人验收合格为止。</w:t>
      </w:r>
    </w:p>
    <w:p w14:paraId="18665CA6">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1）施工场地内残留的垃圾已全部清除出场；</w:t>
      </w:r>
    </w:p>
    <w:p w14:paraId="29FD0254">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2）临时工程已拆除，场地已按合同要求进行清理、平整或复原；</w:t>
      </w:r>
    </w:p>
    <w:p w14:paraId="6A4F28EE">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3）按合同约定应撤离的承包人设备和剩余的材料，包括废弃的施工设备和材料，已按计划撤离施工场地；</w:t>
      </w:r>
    </w:p>
    <w:p w14:paraId="79E2192F">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4）工程建筑物周边及其附近道路、河道的施工堆积物，已按发包人指示全部清理。</w:t>
      </w:r>
    </w:p>
    <w:p w14:paraId="30A19036">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11.竣工结算</w:t>
      </w:r>
    </w:p>
    <w:p w14:paraId="4B1B03A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承包人提交竣工付款申请单的期限：</w:t>
      </w:r>
      <w:r>
        <w:rPr>
          <w:rFonts w:hint="eastAsia" w:ascii="宋体" w:hAnsi="宋体" w:eastAsia="宋体" w:cs="宋体"/>
          <w:color w:val="auto"/>
          <w:sz w:val="21"/>
          <w:szCs w:val="21"/>
          <w:highlight w:val="none"/>
          <w:u w:val="single"/>
        </w:rPr>
        <w:t>竣工验收合格后28天内向发包人提交竣工结算申请单，承包人应积极配合发包人、相关部门的工作，并做好相关资料的核对工作，履行正常手续。</w:t>
      </w:r>
    </w:p>
    <w:p w14:paraId="6668F57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竣工付款申请单应包括的内容：</w:t>
      </w:r>
      <w:r>
        <w:rPr>
          <w:rFonts w:hint="eastAsia" w:ascii="宋体" w:hAnsi="宋体" w:eastAsia="宋体" w:cs="宋体"/>
          <w:color w:val="auto"/>
          <w:sz w:val="21"/>
          <w:szCs w:val="21"/>
          <w:highlight w:val="none"/>
          <w:u w:val="single"/>
        </w:rPr>
        <w:t>除包括按通用条款约定的（1）竣工结算合同价格；（2）发包人已支付承包人的款项；（3）应扣留的质量保修（证）金；（4）发包人应支付承包人的合同价款。还应包括（1）项目全部施工图（含变更）（2）项目分部分项工程逐个工程量清单子目计量单（3）项目签证单（4）工程结算书（含竣工结算合同价格含明细计量计价表、发包人已支付承包人的款项、（5）项目竣工图（6）项目合格的竣工验收报告等资料</w:t>
      </w:r>
    </w:p>
    <w:p w14:paraId="639CB19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一、提供竣工图纸和竣工资料的约定</w:t>
      </w:r>
    </w:p>
    <w:p w14:paraId="0D56AB68">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 工程竣工验收合格后28天内提交叁套竣工资料（含原件）及其他相关资料。所有工程资料必须符合工程验收和审计要求，否则停止支付工程款或尾款，且承担违约和赔偿责任。相关费用包含在合同价中。</w:t>
      </w:r>
    </w:p>
    <w:p w14:paraId="50FA6050">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二、提供竣工结算资料的约定</w:t>
      </w:r>
    </w:p>
    <w:p w14:paraId="304DCB5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 工程竣工验收后28天内，承包人向发包人提交二套完整的工程竣工结算资料（含原件）。竣工结算资料必须满足审计部门的要求。承包人不能按时提供，其责任由承包人承担。</w:t>
      </w:r>
    </w:p>
    <w:p w14:paraId="337F4A49">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 审计费承担原则</w:t>
      </w:r>
    </w:p>
    <w:p w14:paraId="35519F66">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（1）经审计，单项工程核减率10%（不含）以上的，其审计费用由承包人承担。</w:t>
      </w:r>
    </w:p>
    <w:p w14:paraId="175CCD78">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（2）经审计，单项工程核减率8%（不含）~10%(含)的，其审计费用由承包人承担80%。</w:t>
      </w:r>
    </w:p>
    <w:p w14:paraId="5E433E06">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（3）经审计，单项工程核减率5%（不含）~8%（含）的，其审计费用由承包人承担20%。</w:t>
      </w:r>
    </w:p>
    <w:p w14:paraId="54AF4651">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（4）经审计，单项工程核减率达5%及以下的，其审计费用由发包人承担。</w:t>
      </w:r>
    </w:p>
    <w:p w14:paraId="63297EF8">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（5）单项工程项目的竣工结算误差超过15%，在院内对承包人进行通报，且三年内不得在我院承接工程项目。</w:t>
      </w:r>
    </w:p>
    <w:p w14:paraId="49F8DF5D">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（6）审计费用计算方式按发包人与审计单位签订的审计合同办理。</w:t>
      </w:r>
    </w:p>
    <w:p w14:paraId="6B9DC282">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（7）承包人承担的审计费用扣除方式：从承包人结算价款中扣除。</w:t>
      </w:r>
    </w:p>
    <w:p w14:paraId="1E3BD942">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 竣工结算资料包括但不限于：</w:t>
      </w:r>
    </w:p>
    <w:p w14:paraId="790A7F55">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（1）施工合同、补充协议及承包人相关承诺（如有）</w:t>
      </w:r>
    </w:p>
    <w:p w14:paraId="22C3CF39">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（2）中标通知书</w:t>
      </w:r>
    </w:p>
    <w:p w14:paraId="4CF1948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（3）招标文件、招标答疑、投标文件（另附电子文件，包括投标的工程量清单）、招标工程量清单</w:t>
      </w:r>
    </w:p>
    <w:p w14:paraId="6ADCACB4">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（4）竣工图纸、图纸会审记录、工程签证、技术核定单、设计变更等</w:t>
      </w:r>
    </w:p>
    <w:p w14:paraId="2EDA5A2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（5）开工、竣工报告</w:t>
      </w:r>
    </w:p>
    <w:p w14:paraId="09C2094D">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（6）工程影像资料</w:t>
      </w:r>
    </w:p>
    <w:p w14:paraId="73EB951A">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（7）现场安全文明施工措施费用考评表</w:t>
      </w:r>
    </w:p>
    <w:p w14:paraId="2FC40740">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（8）施工水电费用等</w:t>
      </w:r>
    </w:p>
    <w:p w14:paraId="0E56DF05">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（9）各种有关工程质量、安全、工期等奖罚及相关资料</w:t>
      </w:r>
    </w:p>
    <w:p w14:paraId="35B68235">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（10）竣工结算资料（含结算书、工程量计算书、变更、图纸会审、签证单、电子光盘等）</w:t>
      </w:r>
    </w:p>
    <w:p w14:paraId="35ADF85B">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（11）甲供材供应明细、采购价格</w:t>
      </w:r>
    </w:p>
    <w:p w14:paraId="6E1D9160">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12）全过程影像资料，包括灭失性经济类影像资料（如签证、措施），与结算计价内容对应以上资料需装订成册，经发包人审核并加盖公章方为有效，结算送审的资料应根据发包人审计单位要求报送。竣工结算报价部分建议采用未来计价软件计价。投标报价、竣工结算书、工程量计算书应提供电子版，并刻录光盘。</w:t>
      </w:r>
    </w:p>
    <w:p w14:paraId="7F5EF34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11.2竣工结算审核</w:t>
      </w:r>
    </w:p>
    <w:p w14:paraId="78A8D2AC">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不执行通用条款，承包人提交的竣工结算经发包人核查后报送发包人，发包人应及时将收到的发包人审核后的竣工结算申请单报送审计后出具审计报告，承包人必须接受和积极配合审计处（或其委托的审计单位）对竣工结算的审核。竣工结算审核时间即使超过合同约定、法定和规定时限，承包人也不得主张竣工结算申请已被认可。</w:t>
      </w:r>
    </w:p>
    <w:p w14:paraId="7FA6FA81">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不执行通用条款，按专业条款12.4有关约定执行。</w:t>
      </w:r>
    </w:p>
    <w:p w14:paraId="43E527F7">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不执行通用条款，具体事项协商处理。</w:t>
      </w:r>
    </w:p>
    <w:p w14:paraId="493B075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11.3最终结清</w:t>
      </w:r>
    </w:p>
    <w:p w14:paraId="78969CC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11.3.1 最终结清申请单</w:t>
      </w:r>
    </w:p>
    <w:p w14:paraId="4509734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承包人提交最终结清申请单的份数：</w:t>
      </w:r>
      <w:r>
        <w:rPr>
          <w:rFonts w:hint="eastAsia" w:ascii="宋体" w:hAnsi="宋体" w:eastAsia="宋体" w:cs="宋体"/>
          <w:color w:val="auto"/>
          <w:sz w:val="21"/>
          <w:szCs w:val="21"/>
          <w:highlight w:val="none"/>
          <w:u w:val="single"/>
        </w:rPr>
        <w:t>4份纸制文件，电子版1份</w:t>
      </w:r>
      <w:r>
        <w:rPr>
          <w:rFonts w:hint="eastAsia" w:ascii="宋体" w:hAnsi="宋体" w:eastAsia="宋体" w:cs="宋体"/>
          <w:color w:val="auto"/>
          <w:sz w:val="21"/>
          <w:szCs w:val="21"/>
          <w:highlight w:val="none"/>
        </w:rPr>
        <w:t>。</w:t>
      </w:r>
    </w:p>
    <w:p w14:paraId="1697734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承包人提交最终结算申请单的期限：</w:t>
      </w:r>
      <w:r>
        <w:rPr>
          <w:rFonts w:hint="eastAsia" w:ascii="宋体" w:hAnsi="宋体" w:eastAsia="宋体" w:cs="宋体"/>
          <w:color w:val="auto"/>
          <w:sz w:val="21"/>
          <w:szCs w:val="21"/>
          <w:highlight w:val="none"/>
          <w:u w:val="single"/>
        </w:rPr>
        <w:t>在缺陷责任期终止证书颁发后7天内</w:t>
      </w:r>
      <w:r>
        <w:rPr>
          <w:rFonts w:hint="eastAsia" w:ascii="宋体" w:hAnsi="宋体" w:eastAsia="宋体" w:cs="宋体"/>
          <w:color w:val="auto"/>
          <w:sz w:val="21"/>
          <w:szCs w:val="21"/>
          <w:highlight w:val="none"/>
        </w:rPr>
        <w:t>。</w:t>
      </w:r>
    </w:p>
    <w:p w14:paraId="4B2E75D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11.3.2 最终结清证书和支付</w:t>
      </w:r>
    </w:p>
    <w:p w14:paraId="506C578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收到承包人提交的最终结清申请单经发包人审计后14天内完成审批并向承包人颁发最终结清证书</w:t>
      </w:r>
      <w:r>
        <w:rPr>
          <w:rFonts w:hint="eastAsia" w:ascii="宋体" w:hAnsi="宋体" w:eastAsia="宋体" w:cs="宋体"/>
          <w:color w:val="auto"/>
          <w:sz w:val="21"/>
          <w:szCs w:val="21"/>
          <w:highlight w:val="none"/>
        </w:rPr>
        <w:t>。</w:t>
      </w:r>
    </w:p>
    <w:p w14:paraId="6767CC3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颁发最终结清证书并完成审批程序后7天内完成支付</w:t>
      </w:r>
      <w:r>
        <w:rPr>
          <w:rFonts w:hint="eastAsia" w:ascii="宋体" w:hAnsi="宋体" w:eastAsia="宋体" w:cs="宋体"/>
          <w:color w:val="auto"/>
          <w:sz w:val="21"/>
          <w:szCs w:val="21"/>
          <w:highlight w:val="none"/>
        </w:rPr>
        <w:t>。</w:t>
      </w:r>
    </w:p>
    <w:p w14:paraId="7C6954E3">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12.缺陷责任期与保修</w:t>
      </w:r>
    </w:p>
    <w:p w14:paraId="6FEA9028">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12.1 缺陷责任期</w:t>
      </w:r>
    </w:p>
    <w:p w14:paraId="14A94CF0">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缺陷责任期的具体期限：自工程竣工验收合格之日起</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个月。</w:t>
      </w:r>
    </w:p>
    <w:p w14:paraId="3DF95726">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12.2 质量保证金</w:t>
      </w:r>
    </w:p>
    <w:p w14:paraId="21911CFB">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1、承包人须在中标后签订合同期前缴纳中标价的10％作为履约保证金。 2、履约保证金以电汇、网银转账的方式在签订合同前从公司基本账户汇至发包人指定银行账户（发包人不接受现金）。务请在汇款时详细注明所投项目和投标人信息，如因未按要求填写信息导致无法退款的责任由承包人自负。中标单位的履约保证金将在履约结束后无息退回。</w:t>
      </w:r>
    </w:p>
    <w:p w14:paraId="57118A4C">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在工程项目竣工前，承包人按专用合同条款第3.6条提供履约担保的，发包人不得同时预留工程质量保证金。</w:t>
      </w:r>
    </w:p>
    <w:p w14:paraId="56F35987">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承包人提供质量保证金的方式</w:t>
      </w:r>
    </w:p>
    <w:p w14:paraId="50BE7AAA">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w:t>
      </w:r>
    </w:p>
    <w:p w14:paraId="3674B7CE">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（1）质量保证金保函，保证金额为：</w:t>
      </w:r>
    </w:p>
    <w:p w14:paraId="36BC30D4">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（2）结算审定价的</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%的工程款；</w:t>
      </w:r>
    </w:p>
    <w:p w14:paraId="6CAA0A6E">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（3）其他方式:</w:t>
      </w:r>
    </w:p>
    <w:p w14:paraId="525F20DC">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质量保证金的扣留 </w:t>
      </w:r>
    </w:p>
    <w:p w14:paraId="267C7E5A">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w:t>
      </w:r>
    </w:p>
    <w:p w14:paraId="110801CA">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（1）在支付工程进度款时逐次扣留，在此情形下，质量保证金的计算基数不包括预付款的支付、扣回以及价格调整的金额；</w:t>
      </w:r>
    </w:p>
    <w:p w14:paraId="7B39539B">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（2）工程竣工结算时一次性扣留质量保证金；</w:t>
      </w:r>
    </w:p>
    <w:p w14:paraId="61496E7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（3）其他扣留方式:</w:t>
      </w:r>
      <w:r>
        <w:rPr>
          <w:rFonts w:hint="eastAsia" w:ascii="宋体" w:hAnsi="宋体" w:eastAsia="宋体" w:cs="宋体"/>
          <w:color w:val="auto"/>
          <w:sz w:val="21"/>
          <w:szCs w:val="21"/>
          <w:highlight w:val="none"/>
          <w:u w:val="single"/>
        </w:rPr>
        <w:t xml:space="preserve"> /  </w:t>
      </w:r>
    </w:p>
    <w:p w14:paraId="05F9583B">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sz w:val="21"/>
          <w:szCs w:val="21"/>
          <w:highlight w:val="none"/>
          <w:u w:val="single"/>
        </w:rPr>
        <w:t>（1）因承包人原因造成工程的缺陷或损坏，承包人未能在12个月内修复缺陷或损坏，或修复质量不能达到规范标准或发包人的要求（若发包人与承包人对修复质量发生分歧，则由双方共同委托的具有相关资质的第三方鉴定机构进行鉴定），发包人将对承包人处以总价（为发生承包人应修复的单体审计后的结算价）1%的罚款，由发包人直接从质量保证金中扣除，若所需费用超出质保金范围，则由承包人向发包人支付。承包人且应继续履行修复义务，承包人拒绝维修或未能在合理期限内修复缺陷或损坏，且经发包人书面催告后仍未修复的，发包人有权自行修复或委托第三方修复，所需费用由发包人在质量保证金中扣除，若所需费用超出质保金范围，则由承包人向发包人支付。</w:t>
      </w:r>
    </w:p>
    <w:p w14:paraId="3AC262D1">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12.3 保修</w:t>
      </w:r>
    </w:p>
    <w:p w14:paraId="4E55AE3D">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保修责任</w:t>
      </w:r>
    </w:p>
    <w:p w14:paraId="480A2A7C">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工程免费保修期为：5年，自竣工验收合格之日起计算。</w:t>
      </w:r>
    </w:p>
    <w:p w14:paraId="490CA619">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修复通知</w:t>
      </w:r>
    </w:p>
    <w:p w14:paraId="179D293D">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承包人收到保修通知并到达工程现场的合理时间：</w:t>
      </w:r>
      <w:r>
        <w:rPr>
          <w:rFonts w:hint="eastAsia" w:ascii="宋体" w:hAnsi="宋体" w:eastAsia="宋体" w:cs="宋体"/>
          <w:color w:val="auto"/>
          <w:sz w:val="21"/>
          <w:szCs w:val="21"/>
          <w:highlight w:val="none"/>
          <w:u w:val="single"/>
        </w:rPr>
        <w:t>1.属于保修范围和内容的项目，承包人应在接到修理通知之日后7天内派人修理。承包人不在约定期限内，派人修理，发包人可委托其他人员修理，保修费用从质量保证金内扣除。承包人在质保期内，在收到发包人维修通知后（以通知送达时间为起始时间，电话通知、微信通知具有同等法律效力）到达现场查看。七天内未到现场履行维修义务的视为违约，每违约一次承包人向发包人支付5000元违约金。承包人违约三次及以上或明确拒绝按发包人要求进行修复的，发包人有权解除合同并扣除全部质保金，同时承包人应向发包人支付合同总价款5%的违约金。</w:t>
      </w:r>
    </w:p>
    <w:p w14:paraId="0343CDF3">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2.发生突发紧急情况，承包人接到事故通知后，应立即到达事故现场抢修。非承包人施工质量引起的事故，抢修费用由发包人承担。</w:t>
      </w:r>
    </w:p>
    <w:p w14:paraId="702475D9">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13.违约</w:t>
      </w:r>
    </w:p>
    <w:p w14:paraId="41C9EAD6">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13.1 发包人违约</w:t>
      </w:r>
    </w:p>
    <w:p w14:paraId="7B3C14E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13.1发包人违约</w:t>
      </w:r>
    </w:p>
    <w:p w14:paraId="4AFC015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13.1.1发包人违约的情形</w:t>
      </w:r>
    </w:p>
    <w:p w14:paraId="40CB813A">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发包人违约的其他情形：</w:t>
      </w:r>
      <w:r>
        <w:rPr>
          <w:rFonts w:hint="eastAsia" w:ascii="宋体" w:hAnsi="宋体" w:eastAsia="宋体" w:cs="宋体"/>
          <w:color w:val="auto"/>
          <w:sz w:val="21"/>
          <w:szCs w:val="21"/>
          <w:highlight w:val="none"/>
          <w:u w:val="single"/>
        </w:rPr>
        <w:t>双方协商确定。</w:t>
      </w:r>
    </w:p>
    <w:p w14:paraId="5A29712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 发包人违约的责任</w:t>
      </w:r>
    </w:p>
    <w:p w14:paraId="02E5B76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发包人违约责任的承担方式和计算方法：</w:t>
      </w:r>
    </w:p>
    <w:p w14:paraId="41BA085E">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（1）因发包人原因未能在计划开工日期前7天内下达开工通知的违约责任：</w:t>
      </w:r>
      <w:r>
        <w:rPr>
          <w:rFonts w:hint="eastAsia" w:ascii="宋体" w:hAnsi="宋体" w:eastAsia="宋体" w:cs="宋体"/>
          <w:color w:val="auto"/>
          <w:sz w:val="21"/>
          <w:szCs w:val="21"/>
          <w:highlight w:val="none"/>
          <w:u w:val="single"/>
        </w:rPr>
        <w:t>工期顺延，并赔偿承包人由此造成的损失，但对于承包人放任损失扩大的部分不予计算。</w:t>
      </w:r>
    </w:p>
    <w:p w14:paraId="18DFD41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双方协商</w:t>
      </w:r>
      <w:r>
        <w:rPr>
          <w:rFonts w:hint="eastAsia" w:ascii="宋体" w:hAnsi="宋体" w:eastAsia="宋体" w:cs="宋体"/>
          <w:color w:val="auto"/>
          <w:sz w:val="21"/>
          <w:szCs w:val="21"/>
          <w:highlight w:val="none"/>
        </w:rPr>
        <w:t>。</w:t>
      </w:r>
    </w:p>
    <w:p w14:paraId="5DD8744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双方协商。</w:t>
      </w:r>
    </w:p>
    <w:p w14:paraId="53F2E18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双方协商</w:t>
      </w:r>
      <w:r>
        <w:rPr>
          <w:rFonts w:hint="eastAsia" w:ascii="宋体" w:hAnsi="宋体" w:eastAsia="宋体" w:cs="宋体"/>
          <w:color w:val="auto"/>
          <w:sz w:val="21"/>
          <w:szCs w:val="21"/>
          <w:highlight w:val="none"/>
        </w:rPr>
        <w:t>。</w:t>
      </w:r>
    </w:p>
    <w:p w14:paraId="27C1CD6F">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工期顺延，承担承包人由此造成的损失，但对于承包人放任损失扩大的部分不予计算。</w:t>
      </w:r>
    </w:p>
    <w:p w14:paraId="50F2DE4F">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工期顺延，承担承包人由此造成的损失，但对于承包人放任损失扩大的部分不予计算。</w:t>
      </w:r>
    </w:p>
    <w:p w14:paraId="1047656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E08E43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13.1.3 因发包人违约解除合同</w:t>
      </w:r>
    </w:p>
    <w:p w14:paraId="56274793">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承包人按16.1.1项〔发包人违约的情形〕约定暂停施工满</w:t>
      </w:r>
      <w:r>
        <w:rPr>
          <w:rFonts w:hint="eastAsia" w:ascii="宋体" w:hAnsi="宋体" w:eastAsia="宋体" w:cs="宋体"/>
          <w:color w:val="auto"/>
          <w:sz w:val="21"/>
          <w:szCs w:val="21"/>
          <w:highlight w:val="none"/>
          <w:u w:val="single"/>
        </w:rPr>
        <w:t>28</w:t>
      </w:r>
      <w:r>
        <w:rPr>
          <w:rFonts w:hint="eastAsia" w:ascii="宋体" w:hAnsi="宋体" w:eastAsia="宋体" w:cs="宋体"/>
          <w:color w:val="auto"/>
          <w:sz w:val="21"/>
          <w:szCs w:val="21"/>
          <w:highlight w:val="none"/>
        </w:rPr>
        <w:t>天后发包人仍不纠正其违约行为并致使合同目的不能实现的，承包人有权解除合同。</w:t>
      </w:r>
    </w:p>
    <w:p w14:paraId="3BF1C472">
      <w:pPr>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13.2承包人违约</w:t>
      </w:r>
    </w:p>
    <w:p w14:paraId="450A0E6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13.2.1 承包人违约的情形</w:t>
      </w:r>
    </w:p>
    <w:p w14:paraId="2DD82A3D">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承包人违约的其他情形：</w:t>
      </w:r>
    </w:p>
    <w:p w14:paraId="58D93A4E">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承包人承包的工程质量必须符合国家质量验收标准及图纸要求，如不符合国家质量验收标准及图纸要求，所发生的一切返工费用及由此给发包人造成的经济损失均由承包人承担，并按工程结算价款的2%向发包人支付违约金，此项赔偿并不能解除承包人完成工程的责任及合同规定的其他责任。</w:t>
      </w:r>
    </w:p>
    <w:p w14:paraId="209E9B81">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如因施工质量导致安全事故，由承包人承担事故处理的一切费用、工程的恢复费用及因此而造成后续工程延误费用。在工序验收中，如复验仍不合格，除必须返工达标外，承包人按每项次2000元人民币向发包人支付违约金。在分项验收中，如复验仍不合格，除必须返工达标外，承包人按每项次3000-30000元人民币向发包人支付违约金。在分项验收中对达不到合格验收的，如发包人决定降格验收，按照该分项工程造价的5%、不足10000元的按10000元由承包人向发包人支付违约金。</w:t>
      </w:r>
    </w:p>
    <w:p w14:paraId="7FC05D2E">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材料进场管理的违约责任：所有进入本项目工地的材料即为本工程使用的材料，进入现场后所有权为发包人所有，承包人不得将其他项目的材料设备运入本项目现场，否则视为不合格材料进入现场；进入现场的材料设备，没有经过发包人同意，不得擅自运出现场；承包人须严格执行材料设备进场报验程序，没有经发包人方验收的材料设备进入现场施工，发包人有权要求承包人无条件将该批材料设备退场，并且按违反监理程序向发包人支付3000元/次违约金；承包人不按合同履行应承担的工作，对工程进展造成影响时，发包人有权自行或委托他人完成合同约定承包人该项工作，所产生的费用从承包人应得的款项中获得，不足部分由承包人偿付。</w:t>
      </w:r>
    </w:p>
    <w:p w14:paraId="1AB19EA8">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双方约定的承包人其他违约责任：在施工期间承包人如发生重大质量和安全事故，必须承担事故处理的一切费用、工程的恢复费用及因此造成后续工程延期费用（违约金10000元/天），发包人有权勒令其退场，或减少其承包内容，所造成的损失由承包人承担。</w:t>
      </w:r>
    </w:p>
    <w:p w14:paraId="2B20581E">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（5）若工程进展不力、明显滞后、不能确保工期目标，或现场组织管理明显欠缺、达不到规定要求的，将要求承包人法定代表人进驻现场管理。</w:t>
      </w:r>
    </w:p>
    <w:p w14:paraId="12E13C83">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（6）承包人恶意虚报签证工作量的，除按规定核减外，处虚报部分双倍违约金。</w:t>
      </w:r>
    </w:p>
    <w:p w14:paraId="65DB173F">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（7）若承包人转包或违法分包，以及未经许可的第三方进入现场施工，发包人有权要求承包人停工、退场或解除合同，没收履约保证金，已完成工程量结算按相关法规执行。</w:t>
      </w:r>
    </w:p>
    <w:p w14:paraId="2117CBC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（8）因承包人违约解除合同的约定：因承包人严重违约导致合同无法继续履行，发包人有权单方面终止合同、采取其他措施继续完成施工，并处承包人已完工程量10%违约金</w:t>
      </w:r>
      <w:r>
        <w:rPr>
          <w:rFonts w:hint="eastAsia" w:ascii="宋体" w:hAnsi="宋体" w:eastAsia="宋体" w:cs="宋体"/>
          <w:color w:val="auto"/>
          <w:sz w:val="21"/>
          <w:szCs w:val="21"/>
          <w:highlight w:val="none"/>
        </w:rPr>
        <w:t>。</w:t>
      </w:r>
    </w:p>
    <w:p w14:paraId="28F1E08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13.2.2承包人违约的责任</w:t>
      </w:r>
    </w:p>
    <w:p w14:paraId="62401E5E">
      <w:pPr>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承包人违约责任的承担方式和计算方法：</w:t>
      </w:r>
      <w:r>
        <w:rPr>
          <w:rFonts w:hint="eastAsia" w:ascii="宋体" w:hAnsi="宋体" w:eastAsia="宋体" w:cs="宋体"/>
          <w:color w:val="auto"/>
          <w:sz w:val="21"/>
          <w:szCs w:val="21"/>
          <w:highlight w:val="none"/>
          <w:u w:val="single"/>
        </w:rPr>
        <w:t>发包人将根据相关规定及合同约定向承包人提出赔偿，并在工程款中直接扣除</w:t>
      </w:r>
      <w:r>
        <w:rPr>
          <w:rFonts w:hint="eastAsia" w:ascii="宋体" w:hAnsi="宋体" w:eastAsia="宋体" w:cs="宋体"/>
          <w:color w:val="auto"/>
          <w:sz w:val="21"/>
          <w:szCs w:val="21"/>
          <w:highlight w:val="none"/>
        </w:rPr>
        <w:t>。</w:t>
      </w:r>
    </w:p>
    <w:p w14:paraId="50D9EF3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13.2.3 因承包人违约解除合同</w:t>
      </w:r>
    </w:p>
    <w:p w14:paraId="53BBD100">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关于承包人违约解除合同的特别约定：</w:t>
      </w:r>
      <w:r>
        <w:rPr>
          <w:rFonts w:hint="eastAsia" w:ascii="宋体" w:hAnsi="宋体" w:eastAsia="宋体" w:cs="宋体"/>
          <w:color w:val="auto"/>
          <w:sz w:val="21"/>
          <w:szCs w:val="21"/>
          <w:highlight w:val="none"/>
          <w:u w:val="single"/>
        </w:rPr>
        <w:t>承包人发生下列情况解除合同，履约保证金不予退还，承包人退场：</w:t>
      </w:r>
    </w:p>
    <w:p w14:paraId="674DBEAB">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（1）发生挂靠、转包、违法分包；</w:t>
      </w:r>
    </w:p>
    <w:p w14:paraId="2C98A5E0">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（2）施工任务、计划工期进度因承包人自身原因延误合同工期30%以上天数或发生重大质量安全事故的；</w:t>
      </w:r>
    </w:p>
    <w:p w14:paraId="77205099">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（3）连续两个月以上不按法律、法规规定要求发放工人工资或因其造成工地工人群体上访恶性事件的（因被拖欠工程款引发的除外）；</w:t>
      </w:r>
    </w:p>
    <w:p w14:paraId="2DC0EFB3">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（4）拒不履行投标承诺及合约职责与义务的。</w:t>
      </w:r>
    </w:p>
    <w:p w14:paraId="5DB87214">
      <w:pPr>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中途退场，结算时应按承包人完成工作量的投标报价结算，不可按实际施工时发生的价格结算。同时发包人按结算总价的30%作为承包人违约金，从结算总价中扣除。结算完毕后，发包人可单方解除合同，承包人需立即清场退出。同时承包人需赔偿由此给发包人造成的相关损失。</w:t>
      </w:r>
    </w:p>
    <w:p w14:paraId="07FD511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双方协商</w:t>
      </w:r>
      <w:r>
        <w:rPr>
          <w:rFonts w:hint="eastAsia" w:ascii="宋体" w:hAnsi="宋体" w:eastAsia="宋体" w:cs="宋体"/>
          <w:color w:val="auto"/>
          <w:sz w:val="21"/>
          <w:szCs w:val="21"/>
          <w:highlight w:val="none"/>
        </w:rPr>
        <w:t>。</w:t>
      </w:r>
    </w:p>
    <w:p w14:paraId="6039B87C">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14.不可抗力</w:t>
      </w:r>
    </w:p>
    <w:p w14:paraId="21675187">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14.1 不可抗力的确认</w:t>
      </w:r>
    </w:p>
    <w:p w14:paraId="13AF71C7">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sz w:val="21"/>
          <w:szCs w:val="21"/>
          <w:highlight w:val="none"/>
          <w:u w:val="single"/>
        </w:rPr>
        <w:t>双方协商</w:t>
      </w:r>
    </w:p>
    <w:p w14:paraId="4CAC8894">
      <w:pPr>
        <w:wordWrap w:val="0"/>
        <w:spacing w:line="431"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14.2 因不可抗力解除合同</w:t>
      </w:r>
    </w:p>
    <w:p w14:paraId="120072D4">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天内完成款项的支付。</w:t>
      </w:r>
    </w:p>
    <w:p w14:paraId="3641F96C">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15.保险</w:t>
      </w:r>
    </w:p>
    <w:p w14:paraId="6A2451A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15.1工程保险</w:t>
      </w:r>
    </w:p>
    <w:p w14:paraId="0E5CB58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sz w:val="21"/>
          <w:szCs w:val="21"/>
          <w:highlight w:val="none"/>
          <w:u w:val="single"/>
        </w:rPr>
        <w:t>承包人应投保建设工程一切险或安装工程一切险，因投保产生的保险费和其他相关费用由承包人承担</w:t>
      </w:r>
      <w:r>
        <w:rPr>
          <w:rFonts w:hint="eastAsia" w:ascii="宋体" w:hAnsi="宋体" w:eastAsia="宋体" w:cs="宋体"/>
          <w:color w:val="auto"/>
          <w:sz w:val="21"/>
          <w:szCs w:val="21"/>
          <w:highlight w:val="none"/>
        </w:rPr>
        <w:t>。</w:t>
      </w:r>
    </w:p>
    <w:p w14:paraId="15ADCC2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15.2其他保险</w:t>
      </w:r>
    </w:p>
    <w:p w14:paraId="477E87A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sz w:val="21"/>
          <w:szCs w:val="21"/>
          <w:highlight w:val="none"/>
          <w:u w:val="single"/>
        </w:rPr>
        <w:t>承包人应为施工现场的全部人员办理意外伤害保险并支付保险费，包括其员工及为履行合同聘请的第三方的人员</w:t>
      </w:r>
      <w:r>
        <w:rPr>
          <w:rFonts w:hint="eastAsia" w:ascii="宋体" w:hAnsi="宋体" w:eastAsia="宋体" w:cs="宋体"/>
          <w:color w:val="auto"/>
          <w:sz w:val="21"/>
          <w:szCs w:val="21"/>
          <w:highlight w:val="none"/>
        </w:rPr>
        <w:t>。</w:t>
      </w:r>
    </w:p>
    <w:p w14:paraId="5C27F3E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是</w:t>
      </w:r>
      <w:r>
        <w:rPr>
          <w:rFonts w:hint="eastAsia" w:ascii="宋体" w:hAnsi="宋体" w:eastAsia="宋体" w:cs="宋体"/>
          <w:color w:val="auto"/>
          <w:sz w:val="21"/>
          <w:szCs w:val="21"/>
          <w:highlight w:val="none"/>
        </w:rPr>
        <w:t>。</w:t>
      </w:r>
    </w:p>
    <w:p w14:paraId="03C5C38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15.3通知义务</w:t>
      </w:r>
    </w:p>
    <w:p w14:paraId="54EA281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关于变更保险合同时的通知义务的约定：</w:t>
      </w:r>
      <w:r>
        <w:rPr>
          <w:rFonts w:hint="eastAsia" w:ascii="宋体" w:hAnsi="宋体" w:eastAsia="宋体" w:cs="宋体"/>
          <w:color w:val="auto"/>
          <w:sz w:val="21"/>
          <w:szCs w:val="21"/>
          <w:highlight w:val="none"/>
          <w:u w:val="single"/>
        </w:rPr>
        <w:t>承包人变更除工伤保险之外的保险合同时，应事先征得发包人同意。保险事故发生时，投保人应按照保险合同规定的条件和期限及时向保险人报告。发包人和承包人应当在知道保险事故发生后及时通知对方</w:t>
      </w:r>
      <w:r>
        <w:rPr>
          <w:rFonts w:hint="eastAsia" w:ascii="宋体" w:hAnsi="宋体" w:eastAsia="宋体" w:cs="宋体"/>
          <w:color w:val="auto"/>
          <w:sz w:val="21"/>
          <w:szCs w:val="21"/>
          <w:highlight w:val="none"/>
        </w:rPr>
        <w:t>。</w:t>
      </w:r>
    </w:p>
    <w:p w14:paraId="437013AC">
      <w:pPr>
        <w:wordWrap w:val="0"/>
        <w:spacing w:line="503"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16.争议解决</w:t>
      </w:r>
    </w:p>
    <w:p w14:paraId="3367F90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1.承包人在施工中造成对施工周边已完工程的破坏，一切修复费用将由承包人自负。</w:t>
      </w:r>
    </w:p>
    <w:p w14:paraId="51DDF57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必须严格服从发包人、监理（若有）对工程施工的管理。若发包人认为承包人的现场投入不能满足施工需要，发包人有要求承包人增加人员、机械设备、财力和物力满足现场需要的权利，承包人对此不得拒绝，也不得要求增加任何费用。</w:t>
      </w:r>
    </w:p>
    <w:p w14:paraId="4D0B6D3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监理（若有）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w:t>
      </w:r>
    </w:p>
    <w:p w14:paraId="4FA6688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4.凡是非设计变更及非发包人原因造成的施工条件的变更，施工方案和施工措施的修改而造成增加的费用由承包人承担。</w:t>
      </w:r>
    </w:p>
    <w:p w14:paraId="4E26F6B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次招标范围内由于设计图纸的误差而造成各单项工程、单位工程、各施工工种之间的施工交叉、矛盾等，承包人应在实施施工之前予以解决。凡实施施工之前未予解决而造成的返工，拆除部分的制作、安装、拆除及外运费用由承包人承担。</w:t>
      </w:r>
    </w:p>
    <w:p w14:paraId="0FFCC91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6.工程材料大面积施工前，必须做好样板经发包人确认认可后方可大面积加工和施工，否则造成的损失由承包人承担。且样板的制作安装费含在投标报价内。</w:t>
      </w:r>
    </w:p>
    <w:p w14:paraId="2F4EFCC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7.发包人有权根据工程实际需要对本工程的工程量进行调整，且承包人不得因此进行索赔。发包人保留对所有材料选择甲供或甲控乙购的权利，如采用甲供或甲控乙购，承包人不得因此进行索赔。</w:t>
      </w:r>
    </w:p>
    <w:p w14:paraId="7BD27B2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8.承包人材料进场前须提供小样报发包人、监理（若有）确认，经批准后方可进场。</w:t>
      </w:r>
    </w:p>
    <w:p w14:paraId="6253A6B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9.发包人有权变更材料品牌，承包人不得进行索赔。</w:t>
      </w:r>
    </w:p>
    <w:p w14:paraId="040387F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10.承包人须按照发包人要求，以及实际施工情况，如若需要对局部区域装修设计进行深化，深化方案须经发包人认可。</w:t>
      </w:r>
    </w:p>
    <w:p w14:paraId="24F4405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11.其他未尽事宜由双方协商解决。</w:t>
      </w:r>
    </w:p>
    <w:p w14:paraId="376F8C80">
      <w:pPr>
        <w:wordWrap w:val="0"/>
        <w:spacing w:line="431" w:lineRule="exact"/>
        <w:ind w:firstLine="632" w:firstLineChars="3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16.2 仲裁或诉讼</w:t>
      </w:r>
    </w:p>
    <w:p w14:paraId="4D6DD38E">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0959CC40">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仲裁委员会申请仲裁；</w:t>
      </w:r>
    </w:p>
    <w:p w14:paraId="54FD68AC">
      <w:pPr>
        <w:wordWrap w:val="0"/>
        <w:spacing w:line="431"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18A57BE2">
      <w:pPr>
        <w:spacing w:line="285" w:lineRule="exact"/>
        <w:rPr>
          <w:rFonts w:hint="eastAsia" w:ascii="宋体" w:hAnsi="宋体" w:eastAsia="宋体" w:cs="宋体"/>
          <w:color w:val="auto"/>
          <w:sz w:val="21"/>
          <w:szCs w:val="21"/>
          <w:highlight w:val="none"/>
        </w:rPr>
      </w:pPr>
    </w:p>
    <w:p w14:paraId="1F8E4813">
      <w:pPr>
        <w:widowControl/>
        <w:jc w:val="left"/>
        <w:rPr>
          <w:rFonts w:hint="eastAsia" w:ascii="宋体" w:hAnsi="宋体" w:eastAsia="宋体" w:cs="宋体"/>
          <w:color w:val="auto"/>
          <w:sz w:val="21"/>
          <w:szCs w:val="21"/>
          <w:highlight w:val="none"/>
        </w:rPr>
        <w:sectPr>
          <w:pgSz w:w="11907" w:h="16839"/>
          <w:pgMar w:top="1077" w:right="1154" w:bottom="1077" w:left="1154" w:header="720" w:footer="720" w:gutter="0"/>
          <w:cols w:space="720" w:num="1"/>
        </w:sectPr>
      </w:pPr>
    </w:p>
    <w:p w14:paraId="306FB282">
      <w:pPr>
        <w:wordWrap w:val="0"/>
        <w:spacing w:before="111" w:after="111"/>
        <w:jc w:val="left"/>
        <w:outlineLvl w:val="1"/>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附件</w:t>
      </w:r>
    </w:p>
    <w:p w14:paraId="0A3372C5">
      <w:pPr>
        <w:wordWrap w:val="0"/>
        <w:spacing w:line="378"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附件一：工程质量保修书</w:t>
      </w:r>
    </w:p>
    <w:p w14:paraId="72C6B46C">
      <w:pPr>
        <w:wordWrap w:val="0"/>
        <w:spacing w:line="378"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附件二：承包人主要施工管理人员表</w:t>
      </w:r>
    </w:p>
    <w:p w14:paraId="4C0490AA">
      <w:pPr>
        <w:wordWrap w:val="0"/>
        <w:spacing w:line="378" w:lineRule="exact"/>
        <w:ind w:firstLine="420" w:firstLineChars="200"/>
        <w:jc w:val="left"/>
        <w:rPr>
          <w:rFonts w:ascii="Calibri" w:hAnsi="Calibri"/>
          <w:color w:val="auto"/>
          <w:szCs w:val="22"/>
          <w:highlight w:val="none"/>
        </w:rPr>
      </w:pPr>
      <w:r>
        <w:rPr>
          <w:rFonts w:hint="eastAsia" w:ascii="宋体" w:hAnsi="宋体" w:eastAsia="宋体" w:cs="宋体"/>
          <w:color w:val="auto"/>
          <w:sz w:val="21"/>
          <w:szCs w:val="21"/>
          <w:highlight w:val="none"/>
        </w:rPr>
        <w:t>附件三：工程结算承诺书</w:t>
      </w:r>
    </w:p>
    <w:p w14:paraId="3E57FC2F">
      <w:pPr>
        <w:ind w:firstLine="420"/>
        <w:rPr>
          <w:color w:val="auto"/>
          <w:szCs w:val="24"/>
          <w:highlight w:val="none"/>
          <w:lang w:val="zh-CN"/>
        </w:rPr>
      </w:pPr>
      <w:r>
        <w:rPr>
          <w:color w:val="auto"/>
          <w:szCs w:val="24"/>
          <w:highlight w:val="none"/>
          <w:lang w:val="zh-CN"/>
        </w:rPr>
        <w:br w:type="page" w:clear="all"/>
      </w:r>
    </w:p>
    <w:p w14:paraId="50726CB7">
      <w:pPr>
        <w:pStyle w:val="52"/>
        <w:rPr>
          <w:rFonts w:ascii="Arial" w:hAnsi="Arial" w:cs="Arial"/>
          <w:color w:val="auto"/>
          <w:highlight w:val="none"/>
        </w:rPr>
      </w:pPr>
      <w:bookmarkStart w:id="38" w:name="_Toc7982"/>
      <w:r>
        <w:rPr>
          <w:rFonts w:ascii="Arial" w:hAnsi="Arial" w:cs="Arial"/>
          <w:color w:val="auto"/>
          <w:highlight w:val="none"/>
          <w:lang w:val="zh-CN"/>
        </w:rPr>
        <w:t xml:space="preserve">第六章  </w:t>
      </w:r>
      <w:bookmarkEnd w:id="34"/>
      <w:bookmarkEnd w:id="35"/>
      <w:bookmarkEnd w:id="36"/>
      <w:r>
        <w:rPr>
          <w:rFonts w:hint="eastAsia" w:ascii="Arial" w:hAnsi="宋体" w:cs="Arial"/>
          <w:color w:val="auto"/>
          <w:szCs w:val="21"/>
          <w:highlight w:val="none"/>
        </w:rPr>
        <w:t>磋商响应文件格式及附件</w:t>
      </w:r>
      <w:bookmarkEnd w:id="38"/>
    </w:p>
    <w:p w14:paraId="50C199EC">
      <w:pPr>
        <w:spacing w:line="440" w:lineRule="exact"/>
        <w:rPr>
          <w:rFonts w:ascii="Arial" w:hAnsi="Arial" w:cs="Arial"/>
          <w:color w:val="auto"/>
          <w:sz w:val="20"/>
          <w:highlight w:val="none"/>
        </w:rPr>
      </w:pPr>
    </w:p>
    <w:p w14:paraId="2E3ACCBA">
      <w:pPr>
        <w:spacing w:line="440" w:lineRule="exact"/>
        <w:jc w:val="center"/>
        <w:rPr>
          <w:rFonts w:ascii="Arial" w:hAnsi="Arial" w:cs="Arial"/>
          <w:color w:val="auto"/>
          <w:sz w:val="20"/>
          <w:highlight w:val="none"/>
        </w:rPr>
      </w:pPr>
    </w:p>
    <w:p w14:paraId="20CCB4D1">
      <w:pPr>
        <w:spacing w:line="440" w:lineRule="exact"/>
        <w:ind w:firstLine="410"/>
        <w:jc w:val="center"/>
        <w:rPr>
          <w:rFonts w:ascii="Arial" w:hAnsi="Arial"/>
          <w:color w:val="auto"/>
          <w:sz w:val="20"/>
          <w:highlight w:val="none"/>
        </w:rPr>
      </w:pPr>
    </w:p>
    <w:p w14:paraId="68418712">
      <w:pPr>
        <w:spacing w:line="440" w:lineRule="exact"/>
        <w:ind w:firstLine="410"/>
        <w:rPr>
          <w:rFonts w:ascii="Arial" w:hAnsi="Arial"/>
          <w:color w:val="auto"/>
          <w:sz w:val="20"/>
          <w:highlight w:val="none"/>
        </w:rPr>
      </w:pPr>
    </w:p>
    <w:p w14:paraId="34E7B2E1">
      <w:pPr>
        <w:spacing w:line="440" w:lineRule="exact"/>
        <w:ind w:firstLine="410"/>
        <w:rPr>
          <w:rFonts w:ascii="Arial" w:hAnsi="Arial"/>
          <w:color w:val="auto"/>
          <w:sz w:val="20"/>
          <w:highlight w:val="none"/>
        </w:rPr>
      </w:pPr>
    </w:p>
    <w:p w14:paraId="37C62673">
      <w:pPr>
        <w:spacing w:line="440" w:lineRule="exact"/>
        <w:ind w:firstLine="410"/>
        <w:rPr>
          <w:rFonts w:ascii="Arial" w:hAnsi="Arial"/>
          <w:color w:val="auto"/>
          <w:sz w:val="20"/>
          <w:highlight w:val="none"/>
        </w:rPr>
      </w:pPr>
    </w:p>
    <w:p w14:paraId="47BDD2E8">
      <w:pPr>
        <w:spacing w:line="440" w:lineRule="exact"/>
        <w:ind w:firstLine="410"/>
        <w:jc w:val="center"/>
        <w:rPr>
          <w:rFonts w:ascii="Arial" w:hAnsi="Arial"/>
          <w:color w:val="auto"/>
          <w:sz w:val="20"/>
          <w:highlight w:val="none"/>
        </w:rPr>
      </w:pPr>
    </w:p>
    <w:p w14:paraId="5850F2E9">
      <w:pPr>
        <w:ind w:firstLine="570"/>
        <w:jc w:val="center"/>
        <w:rPr>
          <w:rFonts w:ascii="Arial" w:hAnsi="Arial"/>
          <w:color w:val="auto"/>
          <w:sz w:val="28"/>
          <w:szCs w:val="28"/>
          <w:highlight w:val="none"/>
        </w:rPr>
      </w:pPr>
      <w:r>
        <w:rPr>
          <w:rFonts w:ascii="Arial" w:hAnsi="Arial"/>
          <w:color w:val="auto"/>
          <w:sz w:val="28"/>
          <w:szCs w:val="28"/>
          <w:highlight w:val="none"/>
        </w:rPr>
        <w:t>（项目名称）</w:t>
      </w:r>
    </w:p>
    <w:p w14:paraId="3483AC50">
      <w:pPr>
        <w:ind w:firstLine="410"/>
        <w:jc w:val="center"/>
        <w:rPr>
          <w:rFonts w:ascii="Arial" w:hAnsi="Arial"/>
          <w:color w:val="auto"/>
          <w:sz w:val="20"/>
          <w:highlight w:val="none"/>
        </w:rPr>
      </w:pPr>
    </w:p>
    <w:p w14:paraId="3A764078">
      <w:pPr>
        <w:ind w:firstLine="410"/>
        <w:jc w:val="center"/>
        <w:rPr>
          <w:rFonts w:ascii="Arial" w:hAnsi="Arial"/>
          <w:color w:val="auto"/>
          <w:sz w:val="20"/>
          <w:highlight w:val="none"/>
        </w:rPr>
      </w:pPr>
    </w:p>
    <w:p w14:paraId="65941967">
      <w:pPr>
        <w:ind w:firstLine="890"/>
        <w:jc w:val="center"/>
        <w:rPr>
          <w:rFonts w:ascii="Arial" w:hAnsi="Arial"/>
          <w:color w:val="auto"/>
          <w:sz w:val="44"/>
          <w:szCs w:val="44"/>
          <w:highlight w:val="none"/>
        </w:rPr>
      </w:pPr>
      <w:r>
        <w:rPr>
          <w:rFonts w:ascii="Arial" w:hAnsi="Arial"/>
          <w:color w:val="auto"/>
          <w:sz w:val="44"/>
          <w:szCs w:val="44"/>
          <w:highlight w:val="none"/>
        </w:rPr>
        <w:t>竞争性磋商响应文件</w:t>
      </w:r>
    </w:p>
    <w:p w14:paraId="7D9F6E23">
      <w:pPr>
        <w:ind w:firstLine="570"/>
        <w:rPr>
          <w:rFonts w:ascii="Arial" w:hAnsi="Arial"/>
          <w:color w:val="auto"/>
          <w:sz w:val="28"/>
          <w:szCs w:val="28"/>
          <w:highlight w:val="none"/>
        </w:rPr>
      </w:pPr>
    </w:p>
    <w:p w14:paraId="6851403B">
      <w:pPr>
        <w:ind w:firstLine="570"/>
        <w:rPr>
          <w:rFonts w:ascii="Arial" w:hAnsi="Arial"/>
          <w:color w:val="auto"/>
          <w:sz w:val="28"/>
          <w:szCs w:val="28"/>
          <w:highlight w:val="none"/>
        </w:rPr>
      </w:pPr>
    </w:p>
    <w:p w14:paraId="1019F9AB">
      <w:pPr>
        <w:ind w:firstLine="570"/>
        <w:rPr>
          <w:rFonts w:ascii="Arial" w:hAnsi="Arial"/>
          <w:color w:val="auto"/>
          <w:sz w:val="28"/>
          <w:szCs w:val="28"/>
          <w:highlight w:val="none"/>
        </w:rPr>
      </w:pPr>
    </w:p>
    <w:p w14:paraId="4F8BCD9E">
      <w:pPr>
        <w:ind w:firstLine="570"/>
        <w:rPr>
          <w:rFonts w:ascii="Arial" w:hAnsi="Arial"/>
          <w:color w:val="auto"/>
          <w:sz w:val="28"/>
          <w:szCs w:val="28"/>
          <w:highlight w:val="none"/>
        </w:rPr>
      </w:pPr>
    </w:p>
    <w:p w14:paraId="415BFE97">
      <w:pPr>
        <w:ind w:firstLine="570"/>
        <w:rPr>
          <w:rFonts w:ascii="Arial" w:hAnsi="Arial"/>
          <w:color w:val="auto"/>
          <w:sz w:val="28"/>
          <w:szCs w:val="28"/>
          <w:highlight w:val="none"/>
        </w:rPr>
      </w:pPr>
    </w:p>
    <w:p w14:paraId="0142B8AE">
      <w:pPr>
        <w:ind w:firstLine="570"/>
        <w:rPr>
          <w:rFonts w:ascii="Arial" w:hAnsi="Arial"/>
          <w:color w:val="auto"/>
          <w:sz w:val="28"/>
          <w:szCs w:val="28"/>
          <w:highlight w:val="none"/>
        </w:rPr>
      </w:pPr>
    </w:p>
    <w:p w14:paraId="77B3AC2C">
      <w:pPr>
        <w:ind w:firstLine="570"/>
        <w:rPr>
          <w:rFonts w:ascii="Arial" w:hAnsi="Arial"/>
          <w:color w:val="auto"/>
          <w:sz w:val="28"/>
          <w:szCs w:val="28"/>
          <w:highlight w:val="none"/>
        </w:rPr>
      </w:pPr>
    </w:p>
    <w:p w14:paraId="42E10055">
      <w:pPr>
        <w:ind w:firstLine="570"/>
        <w:jc w:val="center"/>
        <w:rPr>
          <w:rFonts w:ascii="Arial" w:hAnsi="Arial"/>
          <w:color w:val="auto"/>
          <w:sz w:val="28"/>
          <w:szCs w:val="28"/>
          <w:highlight w:val="none"/>
        </w:rPr>
      </w:pPr>
      <w:r>
        <w:rPr>
          <w:rFonts w:ascii="Arial" w:hAnsi="Arial"/>
          <w:color w:val="auto"/>
          <w:sz w:val="28"/>
          <w:szCs w:val="28"/>
          <w:highlight w:val="none"/>
        </w:rPr>
        <w:t>供应商</w:t>
      </w:r>
      <w:r>
        <w:rPr>
          <w:rFonts w:hint="eastAsia" w:ascii="Arial" w:hAnsi="Arial"/>
          <w:color w:val="auto"/>
          <w:sz w:val="28"/>
          <w:szCs w:val="28"/>
          <w:highlight w:val="none"/>
        </w:rPr>
        <w:t>名称</w:t>
      </w:r>
      <w:r>
        <w:rPr>
          <w:rFonts w:ascii="Arial" w:hAnsi="Arial"/>
          <w:color w:val="auto"/>
          <w:sz w:val="28"/>
          <w:szCs w:val="28"/>
          <w:highlight w:val="none"/>
        </w:rPr>
        <w:t>：（</w:t>
      </w:r>
      <w:r>
        <w:rPr>
          <w:rFonts w:hint="eastAsia" w:ascii="Arial" w:hAnsi="Arial"/>
          <w:color w:val="auto"/>
          <w:sz w:val="28"/>
          <w:szCs w:val="28"/>
          <w:highlight w:val="none"/>
        </w:rPr>
        <w:t>加盖电子公章</w:t>
      </w:r>
      <w:r>
        <w:rPr>
          <w:rFonts w:ascii="Arial" w:hAnsi="Arial"/>
          <w:color w:val="auto"/>
          <w:sz w:val="28"/>
          <w:szCs w:val="28"/>
          <w:highlight w:val="none"/>
        </w:rPr>
        <w:t>）</w:t>
      </w:r>
    </w:p>
    <w:p w14:paraId="4CD694EB">
      <w:pPr>
        <w:ind w:firstLine="570"/>
        <w:jc w:val="center"/>
        <w:rPr>
          <w:rFonts w:ascii="Arial" w:hAnsi="Arial"/>
          <w:color w:val="auto"/>
          <w:sz w:val="28"/>
          <w:szCs w:val="28"/>
          <w:highlight w:val="none"/>
        </w:rPr>
      </w:pPr>
      <w:r>
        <w:rPr>
          <w:rFonts w:ascii="Arial" w:hAnsi="Arial"/>
          <w:color w:val="auto"/>
          <w:sz w:val="28"/>
          <w:szCs w:val="28"/>
          <w:highlight w:val="none"/>
        </w:rPr>
        <w:t>年 月 日</w:t>
      </w:r>
    </w:p>
    <w:p w14:paraId="5F1BE59E">
      <w:pPr>
        <w:widowControl/>
        <w:shd w:val="clear" w:color="auto" w:fill="FFFFFF"/>
        <w:spacing w:line="360" w:lineRule="auto"/>
        <w:ind w:firstLine="430"/>
        <w:rPr>
          <w:rFonts w:ascii="Arial" w:hAnsi="Arial"/>
          <w:color w:val="auto"/>
          <w:highlight w:val="none"/>
        </w:rPr>
      </w:pPr>
    </w:p>
    <w:p w14:paraId="4C44CDF7">
      <w:pPr>
        <w:widowControl/>
        <w:numPr>
          <w:ilvl w:val="0"/>
          <w:numId w:val="9"/>
        </w:numPr>
        <w:shd w:val="clear" w:color="auto" w:fill="FFFFFF"/>
        <w:spacing w:line="360" w:lineRule="auto"/>
        <w:ind w:firstLine="472"/>
        <w:rPr>
          <w:rFonts w:ascii="Arial" w:hAnsi="Arial"/>
          <w:color w:val="auto"/>
          <w:sz w:val="28"/>
          <w:szCs w:val="28"/>
          <w:highlight w:val="none"/>
        </w:rPr>
      </w:pPr>
      <w:r>
        <w:rPr>
          <w:rFonts w:ascii="Arial" w:hAnsi="Arial"/>
          <w:b/>
          <w:bCs/>
          <w:color w:val="auto"/>
          <w:sz w:val="24"/>
          <w:highlight w:val="none"/>
        </w:rPr>
        <w:br w:type="page" w:clear="all"/>
      </w:r>
      <w:bookmarkStart w:id="39" w:name="_Toc504573083"/>
      <w:bookmarkEnd w:id="39"/>
      <w:bookmarkStart w:id="40" w:name="_Toc490133028"/>
      <w:bookmarkEnd w:id="40"/>
      <w:bookmarkStart w:id="41" w:name="_Toc504056868"/>
      <w:bookmarkEnd w:id="41"/>
      <w:bookmarkStart w:id="42" w:name="_Toc504044380"/>
      <w:bookmarkEnd w:id="42"/>
      <w:bookmarkStart w:id="43" w:name="_Toc534273677"/>
      <w:bookmarkEnd w:id="43"/>
      <w:bookmarkStart w:id="44" w:name="_Toc534273800"/>
      <w:bookmarkEnd w:id="44"/>
      <w:r>
        <w:rPr>
          <w:rFonts w:hint="eastAsia" w:ascii="Arial" w:hAnsi="Arial"/>
          <w:color w:val="auto"/>
          <w:sz w:val="28"/>
          <w:szCs w:val="28"/>
          <w:highlight w:val="none"/>
        </w:rPr>
        <w:t>基本目录</w:t>
      </w:r>
    </w:p>
    <w:p w14:paraId="069E6855">
      <w:pPr>
        <w:ind w:firstLine="570"/>
        <w:outlineLvl w:val="2"/>
        <w:rPr>
          <w:rFonts w:ascii="Arial" w:hAnsi="Arial"/>
          <w:color w:val="auto"/>
          <w:sz w:val="28"/>
          <w:szCs w:val="28"/>
          <w:highlight w:val="none"/>
        </w:rPr>
      </w:pPr>
      <w:bookmarkStart w:id="45" w:name="_Toc10774"/>
      <w:r>
        <w:rPr>
          <w:rFonts w:hint="eastAsia" w:ascii="Arial" w:hAnsi="Arial"/>
          <w:color w:val="auto"/>
          <w:sz w:val="28"/>
          <w:szCs w:val="28"/>
          <w:highlight w:val="none"/>
        </w:rPr>
        <w:t>1、磋商报价表</w:t>
      </w:r>
      <w:bookmarkEnd w:id="45"/>
    </w:p>
    <w:p w14:paraId="06153211">
      <w:pPr>
        <w:ind w:firstLine="733"/>
        <w:jc w:val="center"/>
        <w:rPr>
          <w:rFonts w:ascii="Arial" w:hAnsi="Arial"/>
          <w:b/>
          <w:color w:val="auto"/>
          <w:sz w:val="36"/>
          <w:szCs w:val="36"/>
          <w:highlight w:val="none"/>
        </w:rPr>
      </w:pPr>
      <w:r>
        <w:rPr>
          <w:rFonts w:ascii="Arial" w:hAnsi="Arial"/>
          <w:b/>
          <w:color w:val="auto"/>
          <w:sz w:val="36"/>
          <w:szCs w:val="36"/>
          <w:highlight w:val="none"/>
        </w:rPr>
        <w:t>磋商报价表</w:t>
      </w:r>
    </w:p>
    <w:p w14:paraId="762E5797">
      <w:pPr>
        <w:pStyle w:val="50"/>
        <w:ind w:firstLine="430"/>
        <w:rPr>
          <w:color w:val="auto"/>
          <w:sz w:val="21"/>
          <w:szCs w:val="21"/>
          <w:highlight w:val="none"/>
        </w:rPr>
      </w:pPr>
      <w:r>
        <w:rPr>
          <w:color w:val="auto"/>
          <w:sz w:val="21"/>
          <w:szCs w:val="21"/>
          <w:highlight w:val="none"/>
        </w:rPr>
        <w:t>本次为首次报价                                  货币单位：人民币元</w:t>
      </w:r>
    </w:p>
    <w:p w14:paraId="6AE33C81">
      <w:pPr>
        <w:pStyle w:val="50"/>
        <w:ind w:firstLine="430"/>
        <w:rPr>
          <w:color w:val="auto"/>
          <w:sz w:val="21"/>
          <w:szCs w:val="21"/>
          <w:highlight w:val="none"/>
        </w:rPr>
      </w:pPr>
      <w:r>
        <w:rPr>
          <w:color w:val="auto"/>
          <w:sz w:val="21"/>
          <w:szCs w:val="21"/>
          <w:highlight w:val="none"/>
        </w:rPr>
        <w:t>项目编号：</w:t>
      </w:r>
    </w:p>
    <w:tbl>
      <w:tblPr>
        <w:tblStyle w:val="54"/>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448"/>
        <w:gridCol w:w="2441"/>
        <w:gridCol w:w="3603"/>
      </w:tblGrid>
      <w:tr w14:paraId="5BBA2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vAlign w:val="center"/>
          </w:tcPr>
          <w:p w14:paraId="2A951C6C">
            <w:pPr>
              <w:pStyle w:val="50"/>
              <w:ind w:firstLine="430"/>
              <w:rPr>
                <w:color w:val="auto"/>
                <w:sz w:val="21"/>
                <w:szCs w:val="21"/>
                <w:highlight w:val="none"/>
              </w:rPr>
            </w:pPr>
            <w:r>
              <w:rPr>
                <w:color w:val="auto"/>
                <w:sz w:val="21"/>
                <w:szCs w:val="21"/>
                <w:highlight w:val="none"/>
              </w:rPr>
              <w:t>项目名称</w:t>
            </w:r>
          </w:p>
        </w:tc>
        <w:tc>
          <w:tcPr>
            <w:tcW w:w="2470" w:type="dxa"/>
            <w:vAlign w:val="center"/>
          </w:tcPr>
          <w:p w14:paraId="357022F1">
            <w:pPr>
              <w:pStyle w:val="50"/>
              <w:ind w:firstLine="430"/>
              <w:rPr>
                <w:color w:val="auto"/>
                <w:sz w:val="21"/>
                <w:szCs w:val="21"/>
                <w:highlight w:val="none"/>
              </w:rPr>
            </w:pPr>
            <w:r>
              <w:rPr>
                <w:color w:val="auto"/>
                <w:sz w:val="21"/>
                <w:szCs w:val="21"/>
                <w:highlight w:val="none"/>
              </w:rPr>
              <w:t>项目内容</w:t>
            </w:r>
          </w:p>
        </w:tc>
        <w:tc>
          <w:tcPr>
            <w:tcW w:w="3678" w:type="dxa"/>
            <w:vAlign w:val="center"/>
          </w:tcPr>
          <w:p w14:paraId="29F94ADF">
            <w:pPr>
              <w:pStyle w:val="50"/>
              <w:ind w:firstLine="430"/>
              <w:rPr>
                <w:color w:val="auto"/>
                <w:sz w:val="21"/>
                <w:szCs w:val="21"/>
                <w:highlight w:val="none"/>
              </w:rPr>
            </w:pPr>
          </w:p>
        </w:tc>
      </w:tr>
      <w:tr w14:paraId="6C290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vAlign w:val="center"/>
          </w:tcPr>
          <w:p w14:paraId="0F5A4BE8">
            <w:pPr>
              <w:pStyle w:val="50"/>
              <w:ind w:firstLine="430"/>
              <w:rPr>
                <w:color w:val="auto"/>
                <w:sz w:val="21"/>
                <w:szCs w:val="21"/>
                <w:highlight w:val="none"/>
              </w:rPr>
            </w:pPr>
            <w:r>
              <w:rPr>
                <w:color w:val="auto"/>
                <w:sz w:val="21"/>
                <w:szCs w:val="21"/>
                <w:highlight w:val="none"/>
              </w:rPr>
              <w:t> 项目名称 </w:t>
            </w:r>
          </w:p>
        </w:tc>
        <w:tc>
          <w:tcPr>
            <w:tcW w:w="2470" w:type="dxa"/>
            <w:vAlign w:val="center"/>
          </w:tcPr>
          <w:p w14:paraId="161EB0EA">
            <w:pPr>
              <w:pStyle w:val="50"/>
              <w:ind w:firstLine="430"/>
              <w:rPr>
                <w:color w:val="auto"/>
                <w:sz w:val="21"/>
                <w:szCs w:val="21"/>
                <w:highlight w:val="none"/>
              </w:rPr>
            </w:pPr>
            <w:r>
              <w:rPr>
                <w:color w:val="auto"/>
                <w:sz w:val="21"/>
                <w:szCs w:val="21"/>
                <w:highlight w:val="none"/>
              </w:rPr>
              <w:t>详见响应文件</w:t>
            </w:r>
          </w:p>
        </w:tc>
        <w:tc>
          <w:tcPr>
            <w:tcW w:w="3678" w:type="dxa"/>
            <w:vAlign w:val="center"/>
          </w:tcPr>
          <w:p w14:paraId="3275CC3D">
            <w:pPr>
              <w:pStyle w:val="50"/>
              <w:ind w:firstLine="430"/>
              <w:rPr>
                <w:color w:val="auto"/>
                <w:sz w:val="21"/>
                <w:szCs w:val="21"/>
                <w:highlight w:val="none"/>
              </w:rPr>
            </w:pPr>
          </w:p>
        </w:tc>
      </w:tr>
      <w:tr w14:paraId="50BAF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vAlign w:val="center"/>
          </w:tcPr>
          <w:p w14:paraId="7C33ED92">
            <w:pPr>
              <w:pStyle w:val="50"/>
              <w:ind w:firstLine="430"/>
              <w:rPr>
                <w:color w:val="auto"/>
                <w:sz w:val="21"/>
                <w:szCs w:val="21"/>
                <w:highlight w:val="none"/>
              </w:rPr>
            </w:pPr>
            <w:r>
              <w:rPr>
                <w:rFonts w:hint="eastAsia"/>
                <w:color w:val="auto"/>
                <w:sz w:val="21"/>
                <w:szCs w:val="21"/>
                <w:highlight w:val="none"/>
              </w:rPr>
              <w:t>单</w:t>
            </w:r>
            <w:r>
              <w:rPr>
                <w:color w:val="auto"/>
                <w:sz w:val="21"/>
                <w:szCs w:val="21"/>
                <w:highlight w:val="none"/>
              </w:rPr>
              <w:t>价（大写）：</w:t>
            </w:r>
          </w:p>
        </w:tc>
        <w:tc>
          <w:tcPr>
            <w:tcW w:w="6159" w:type="dxa"/>
            <w:gridSpan w:val="2"/>
            <w:vAlign w:val="center"/>
          </w:tcPr>
          <w:p w14:paraId="6F2DF272">
            <w:pPr>
              <w:pStyle w:val="50"/>
              <w:ind w:firstLine="430"/>
              <w:rPr>
                <w:color w:val="auto"/>
                <w:sz w:val="21"/>
                <w:szCs w:val="21"/>
                <w:highlight w:val="none"/>
              </w:rPr>
            </w:pPr>
            <w:r>
              <w:rPr>
                <w:rFonts w:hint="eastAsia"/>
                <w:color w:val="auto"/>
                <w:sz w:val="21"/>
                <w:szCs w:val="21"/>
                <w:highlight w:val="none"/>
              </w:rPr>
              <w:t>详见苏采云系统</w:t>
            </w:r>
          </w:p>
        </w:tc>
      </w:tr>
    </w:tbl>
    <w:p w14:paraId="033821B6">
      <w:pPr>
        <w:pStyle w:val="50"/>
        <w:ind w:firstLine="430"/>
        <w:rPr>
          <w:color w:val="auto"/>
          <w:sz w:val="21"/>
          <w:szCs w:val="21"/>
          <w:highlight w:val="none"/>
        </w:rPr>
      </w:pPr>
    </w:p>
    <w:p w14:paraId="3ECF0D63">
      <w:pPr>
        <w:pStyle w:val="50"/>
        <w:ind w:firstLine="430"/>
        <w:rPr>
          <w:color w:val="auto"/>
          <w:sz w:val="21"/>
          <w:szCs w:val="21"/>
          <w:highlight w:val="none"/>
        </w:rPr>
      </w:pPr>
    </w:p>
    <w:p w14:paraId="1B71E284">
      <w:pPr>
        <w:pStyle w:val="50"/>
        <w:ind w:firstLine="430"/>
        <w:rPr>
          <w:color w:val="auto"/>
          <w:sz w:val="21"/>
          <w:szCs w:val="21"/>
          <w:highlight w:val="none"/>
        </w:rPr>
      </w:pPr>
      <w:r>
        <w:rPr>
          <w:color w:val="auto"/>
          <w:sz w:val="21"/>
          <w:szCs w:val="21"/>
          <w:highlight w:val="none"/>
        </w:rPr>
        <w:t>供应商（电子签章）：</w:t>
      </w:r>
    </w:p>
    <w:p w14:paraId="7B0B998D">
      <w:pPr>
        <w:ind w:firstLine="431"/>
        <w:rPr>
          <w:b/>
          <w:color w:val="auto"/>
          <w:highlight w:val="none"/>
        </w:rPr>
      </w:pPr>
      <w:r>
        <w:rPr>
          <w:b/>
          <w:color w:val="auto"/>
          <w:highlight w:val="none"/>
        </w:rPr>
        <w:br w:type="page" w:clear="all"/>
      </w:r>
    </w:p>
    <w:p w14:paraId="070E9E87">
      <w:pPr>
        <w:ind w:firstLine="570"/>
        <w:outlineLvl w:val="2"/>
        <w:rPr>
          <w:rFonts w:ascii="Arial" w:hAnsi="Arial"/>
          <w:color w:val="auto"/>
          <w:sz w:val="28"/>
          <w:szCs w:val="28"/>
          <w:highlight w:val="none"/>
        </w:rPr>
      </w:pPr>
      <w:bookmarkStart w:id="46" w:name="_Toc9113"/>
      <w:r>
        <w:rPr>
          <w:rFonts w:hint="eastAsia" w:ascii="Arial" w:hAnsi="Arial"/>
          <w:color w:val="auto"/>
          <w:sz w:val="28"/>
          <w:szCs w:val="28"/>
          <w:highlight w:val="none"/>
        </w:rPr>
        <w:t>2、分项报价表</w:t>
      </w:r>
      <w:bookmarkEnd w:id="46"/>
    </w:p>
    <w:p w14:paraId="56E44E86">
      <w:pPr>
        <w:widowControl/>
        <w:shd w:val="clear" w:color="auto" w:fill="FFFFFF"/>
        <w:spacing w:line="360" w:lineRule="auto"/>
        <w:ind w:firstLine="733"/>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分项报价表</w:t>
      </w:r>
    </w:p>
    <w:p w14:paraId="0FA54E56">
      <w:pPr>
        <w:widowControl/>
        <w:shd w:val="clear" w:color="auto" w:fill="FFFFFF"/>
        <w:spacing w:line="360" w:lineRule="auto"/>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根据工程量清单填写</w:t>
      </w:r>
    </w:p>
    <w:p w14:paraId="53BB030C">
      <w:pPr>
        <w:widowControl/>
        <w:shd w:val="clear" w:color="auto" w:fill="FFFFFF"/>
        <w:spacing w:line="360" w:lineRule="auto"/>
        <w:jc w:val="left"/>
        <w:rPr>
          <w:rFonts w:hint="eastAsia" w:ascii="Arial" w:hAnsi="宋体" w:cs="Arial"/>
          <w:b/>
          <w:color w:val="auto"/>
          <w:szCs w:val="21"/>
          <w:highlight w:val="none"/>
        </w:rPr>
      </w:pPr>
      <w:r>
        <w:rPr>
          <w:rFonts w:hint="eastAsia" w:ascii="Arial" w:hAnsi="宋体" w:cs="Arial"/>
          <w:b/>
          <w:color w:val="auto"/>
          <w:szCs w:val="21"/>
          <w:highlight w:val="none"/>
        </w:rPr>
        <w:t>已标价工程量清单与招标文件规定的暂估价、暂列金额及甲供材料价格一致；</w:t>
      </w:r>
    </w:p>
    <w:p w14:paraId="4870B9FA">
      <w:pPr>
        <w:widowControl/>
        <w:shd w:val="clear" w:color="auto" w:fill="FFFFFF"/>
        <w:spacing w:line="360" w:lineRule="auto"/>
        <w:jc w:val="left"/>
        <w:rPr>
          <w:rFonts w:hint="eastAsia" w:ascii="Arial" w:hAnsi="宋体" w:cs="Arial"/>
          <w:b/>
          <w:color w:val="auto"/>
          <w:szCs w:val="21"/>
          <w:highlight w:val="none"/>
        </w:rPr>
      </w:pPr>
      <w:r>
        <w:rPr>
          <w:rFonts w:hint="eastAsia" w:ascii="Arial" w:hAnsi="宋体" w:cs="Arial"/>
          <w:b/>
          <w:color w:val="auto"/>
          <w:szCs w:val="21"/>
          <w:highlight w:val="none"/>
        </w:rPr>
        <w:t>已标价工程量清单与招标文件明确列出的不可竞争费用项目或费率或计算基础一致的；</w:t>
      </w:r>
    </w:p>
    <w:p w14:paraId="279B84C3">
      <w:pPr>
        <w:widowControl/>
        <w:shd w:val="clear" w:color="auto" w:fill="FFFFFF"/>
        <w:spacing w:line="360" w:lineRule="auto"/>
        <w:jc w:val="left"/>
        <w:rPr>
          <w:rFonts w:hint="eastAsia" w:ascii="宋体" w:hAnsi="宋体" w:cs="宋体"/>
          <w:color w:val="auto"/>
          <w:szCs w:val="21"/>
          <w:highlight w:val="none"/>
        </w:rPr>
      </w:pPr>
      <w:r>
        <w:rPr>
          <w:rFonts w:hint="eastAsia" w:ascii="Arial" w:hAnsi="宋体" w:cs="Arial"/>
          <w:b/>
          <w:color w:val="auto"/>
          <w:szCs w:val="21"/>
          <w:highlight w:val="none"/>
        </w:rPr>
        <w:t>已标价工程量清单与招标文件提供的工程量清单中的项目编码、项目名称、项目特征、计量单位、工程量一致的（措施项目增项除外）；</w:t>
      </w:r>
    </w:p>
    <w:p w14:paraId="1440F79F">
      <w:pPr>
        <w:pStyle w:val="250"/>
        <w:rPr>
          <w:color w:val="auto"/>
          <w:highlight w:val="none"/>
        </w:rPr>
      </w:pPr>
    </w:p>
    <w:p w14:paraId="1B684CE1">
      <w:pPr>
        <w:widowControl/>
        <w:shd w:val="clear" w:color="auto" w:fill="FFFFFF"/>
        <w:spacing w:line="360" w:lineRule="auto"/>
        <w:ind w:firstLine="430"/>
        <w:jc w:val="left"/>
        <w:rPr>
          <w:rFonts w:ascii="Arial" w:hAnsi="Arial"/>
          <w:b/>
          <w:bCs/>
          <w:color w:val="auto"/>
          <w:szCs w:val="21"/>
          <w:highlight w:val="none"/>
        </w:rPr>
      </w:pPr>
    </w:p>
    <w:p w14:paraId="0B5A1D79">
      <w:pPr>
        <w:widowControl/>
        <w:shd w:val="clear" w:color="auto" w:fill="FFFFFF"/>
        <w:spacing w:line="360" w:lineRule="auto"/>
        <w:ind w:firstLine="430"/>
        <w:jc w:val="left"/>
        <w:rPr>
          <w:rFonts w:ascii="Arial" w:hAnsi="Arial"/>
          <w:color w:val="auto"/>
          <w:szCs w:val="21"/>
          <w:highlight w:val="none"/>
        </w:rPr>
      </w:pPr>
    </w:p>
    <w:p w14:paraId="1B29543F">
      <w:pPr>
        <w:widowControl/>
        <w:shd w:val="clear" w:color="auto" w:fill="FFFFFF"/>
        <w:spacing w:line="360" w:lineRule="auto"/>
        <w:ind w:firstLine="430"/>
        <w:jc w:val="left"/>
        <w:rPr>
          <w:rFonts w:ascii="Arial" w:hAnsi="Arial"/>
          <w:color w:val="auto"/>
          <w:szCs w:val="21"/>
          <w:highlight w:val="none"/>
        </w:rPr>
      </w:pPr>
    </w:p>
    <w:p w14:paraId="1B91AB96">
      <w:pPr>
        <w:widowControl/>
        <w:shd w:val="clear" w:color="auto" w:fill="FFFFFF"/>
        <w:spacing w:line="360" w:lineRule="auto"/>
        <w:ind w:firstLine="430"/>
        <w:jc w:val="left"/>
        <w:rPr>
          <w:rFonts w:ascii="Arial" w:hAnsi="Arial"/>
          <w:color w:val="auto"/>
          <w:szCs w:val="21"/>
          <w:highlight w:val="none"/>
        </w:rPr>
      </w:pPr>
    </w:p>
    <w:p w14:paraId="3E7063E5">
      <w:pPr>
        <w:widowControl/>
        <w:shd w:val="clear" w:color="auto" w:fill="FFFFFF"/>
        <w:spacing w:line="360" w:lineRule="auto"/>
        <w:ind w:firstLine="430"/>
        <w:jc w:val="left"/>
        <w:rPr>
          <w:rFonts w:hint="eastAsia" w:ascii="宋体" w:hAnsi="宋体" w:cs="宋体"/>
          <w:color w:val="auto"/>
          <w:szCs w:val="21"/>
          <w:highlight w:val="none"/>
        </w:rPr>
      </w:pPr>
      <w:r>
        <w:rPr>
          <w:rFonts w:hint="eastAsia" w:ascii="Arial" w:hAnsi="Arial"/>
          <w:color w:val="auto"/>
          <w:szCs w:val="21"/>
          <w:highlight w:val="none"/>
        </w:rPr>
        <w:t>供应商名称（加盖电子公章）</w:t>
      </w:r>
      <w:r>
        <w:rPr>
          <w:rFonts w:hint="eastAsia" w:ascii="宋体" w:hAnsi="宋体" w:cs="宋体"/>
          <w:color w:val="auto"/>
          <w:szCs w:val="21"/>
          <w:highlight w:val="none"/>
        </w:rPr>
        <w:t>：</w:t>
      </w:r>
      <w:r>
        <w:rPr>
          <w:rFonts w:hint="eastAsia" w:ascii="宋体" w:hAnsi="宋体" w:cs="宋体"/>
          <w:color w:val="auto"/>
          <w:szCs w:val="21"/>
          <w:highlight w:val="none"/>
          <w:u w:val="single"/>
        </w:rPr>
        <w:t>                    </w:t>
      </w:r>
    </w:p>
    <w:p w14:paraId="78B53030">
      <w:pPr>
        <w:ind w:firstLine="431"/>
        <w:rPr>
          <w:b/>
          <w:color w:val="auto"/>
          <w:highlight w:val="none"/>
        </w:rPr>
      </w:pPr>
      <w:r>
        <w:rPr>
          <w:b/>
          <w:color w:val="auto"/>
          <w:highlight w:val="none"/>
        </w:rPr>
        <w:br w:type="page" w:clear="all"/>
      </w:r>
    </w:p>
    <w:p w14:paraId="5A06A622">
      <w:pPr>
        <w:ind w:firstLine="570"/>
        <w:outlineLvl w:val="2"/>
        <w:rPr>
          <w:rFonts w:ascii="Arial" w:hAnsi="Arial"/>
          <w:color w:val="auto"/>
          <w:sz w:val="28"/>
          <w:szCs w:val="28"/>
          <w:highlight w:val="none"/>
        </w:rPr>
      </w:pPr>
      <w:bookmarkStart w:id="47" w:name="_Toc11217"/>
      <w:r>
        <w:rPr>
          <w:rFonts w:hint="eastAsia" w:ascii="Arial" w:hAnsi="Arial"/>
          <w:color w:val="auto"/>
          <w:sz w:val="28"/>
          <w:szCs w:val="28"/>
          <w:highlight w:val="none"/>
        </w:rPr>
        <w:t>3、竞争性磋商申请及声明</w:t>
      </w:r>
      <w:bookmarkEnd w:id="47"/>
    </w:p>
    <w:p w14:paraId="4C205A91">
      <w:pPr>
        <w:ind w:firstLine="430"/>
        <w:rPr>
          <w:rFonts w:ascii="Arial" w:hAnsi="Arial"/>
          <w:color w:val="auto"/>
          <w:szCs w:val="21"/>
          <w:highlight w:val="none"/>
          <w:lang w:val="zh-CN"/>
        </w:rPr>
      </w:pPr>
    </w:p>
    <w:p w14:paraId="103F3BF4">
      <w:pPr>
        <w:ind w:firstLine="733"/>
        <w:jc w:val="center"/>
        <w:rPr>
          <w:rFonts w:ascii="Arial" w:hAnsi="Arial"/>
          <w:b/>
          <w:color w:val="auto"/>
          <w:sz w:val="36"/>
          <w:szCs w:val="36"/>
          <w:highlight w:val="none"/>
        </w:rPr>
      </w:pPr>
      <w:r>
        <w:rPr>
          <w:rFonts w:ascii="Arial" w:hAnsi="Arial"/>
          <w:b/>
          <w:color w:val="auto"/>
          <w:sz w:val="36"/>
          <w:szCs w:val="36"/>
          <w:highlight w:val="none"/>
        </w:rPr>
        <w:t>竞争性磋商申请及声明</w:t>
      </w:r>
    </w:p>
    <w:p w14:paraId="64EBB9DC">
      <w:pPr>
        <w:ind w:firstLine="430"/>
        <w:jc w:val="center"/>
        <w:rPr>
          <w:rFonts w:ascii="Arial" w:hAnsi="Arial"/>
          <w:color w:val="auto"/>
          <w:szCs w:val="21"/>
          <w:highlight w:val="none"/>
        </w:rPr>
      </w:pPr>
    </w:p>
    <w:p w14:paraId="42460BEE">
      <w:pPr>
        <w:spacing w:line="360" w:lineRule="auto"/>
        <w:ind w:firstLine="420"/>
        <w:rPr>
          <w:rFonts w:ascii="Arial" w:hAnsi="Arial"/>
          <w:color w:val="auto"/>
          <w:szCs w:val="21"/>
          <w:highlight w:val="none"/>
          <w:lang w:val="zh-CN"/>
        </w:rPr>
      </w:pPr>
      <w:r>
        <w:rPr>
          <w:rFonts w:ascii="Arial" w:hAnsi="Arial"/>
          <w:color w:val="auto"/>
          <w:szCs w:val="21"/>
          <w:highlight w:val="none"/>
          <w:lang w:val="zh-CN"/>
        </w:rPr>
        <w:t>致：江苏省设备成套股份有限公司</w:t>
      </w:r>
    </w:p>
    <w:p w14:paraId="14448F97">
      <w:pPr>
        <w:spacing w:line="440" w:lineRule="exact"/>
        <w:ind w:firstLine="430"/>
        <w:rPr>
          <w:rFonts w:ascii="Arial" w:hAnsi="Arial"/>
          <w:color w:val="auto"/>
          <w:szCs w:val="21"/>
          <w:highlight w:val="none"/>
          <w:lang w:val="zh-CN"/>
        </w:rPr>
      </w:pPr>
      <w:r>
        <w:rPr>
          <w:rFonts w:ascii="Arial" w:hAnsi="Arial"/>
          <w:color w:val="auto"/>
          <w:szCs w:val="21"/>
          <w:highlight w:val="none"/>
          <w:lang w:val="zh-CN"/>
        </w:rPr>
        <w:t>根据贵方</w:t>
      </w:r>
      <w:r>
        <w:rPr>
          <w:rFonts w:ascii="Arial" w:hAnsi="Arial"/>
          <w:color w:val="auto"/>
          <w:szCs w:val="21"/>
          <w:highlight w:val="none"/>
          <w:u w:val="single"/>
          <w:lang w:val="zh-CN"/>
        </w:rPr>
        <w:t xml:space="preserve">                            </w:t>
      </w:r>
      <w:r>
        <w:rPr>
          <w:rFonts w:ascii="Arial" w:hAnsi="Arial"/>
          <w:color w:val="auto"/>
          <w:szCs w:val="21"/>
          <w:highlight w:val="none"/>
          <w:lang w:val="zh-CN"/>
        </w:rPr>
        <w:t>（项目名称）</w:t>
      </w:r>
      <w:r>
        <w:rPr>
          <w:rFonts w:ascii="Arial" w:hAnsi="Arial"/>
          <w:color w:val="auto"/>
          <w:szCs w:val="21"/>
          <w:highlight w:val="none"/>
          <w:u w:val="single"/>
          <w:lang w:val="zh-CN"/>
        </w:rPr>
        <w:t xml:space="preserve">           </w:t>
      </w:r>
      <w:r>
        <w:rPr>
          <w:rFonts w:ascii="Arial" w:hAnsi="Arial"/>
          <w:color w:val="auto"/>
          <w:szCs w:val="21"/>
          <w:highlight w:val="none"/>
          <w:lang w:val="zh-CN"/>
        </w:rPr>
        <w:t>（项目编号）竞争性磋商公告，正式授权下述签字人</w:t>
      </w:r>
      <w:r>
        <w:rPr>
          <w:rFonts w:ascii="Arial" w:hAnsi="Arial"/>
          <w:color w:val="auto"/>
          <w:szCs w:val="21"/>
          <w:highlight w:val="none"/>
          <w:u w:val="single"/>
          <w:lang w:val="zh-CN"/>
        </w:rPr>
        <w:t xml:space="preserve">                   </w:t>
      </w:r>
      <w:r>
        <w:rPr>
          <w:rFonts w:ascii="Arial" w:hAnsi="Arial"/>
          <w:color w:val="auto"/>
          <w:szCs w:val="21"/>
          <w:highlight w:val="none"/>
          <w:lang w:val="zh-CN"/>
        </w:rPr>
        <w:t>(姓名和职务)代表</w:t>
      </w:r>
      <w:r>
        <w:rPr>
          <w:rFonts w:ascii="Arial" w:hAnsi="Arial"/>
          <w:color w:val="auto"/>
          <w:szCs w:val="21"/>
          <w:highlight w:val="none"/>
          <w:u w:val="single"/>
          <w:lang w:val="zh-CN"/>
        </w:rPr>
        <w:t xml:space="preserve">                        </w:t>
      </w:r>
      <w:r>
        <w:rPr>
          <w:rFonts w:ascii="Arial" w:hAnsi="Arial"/>
          <w:color w:val="auto"/>
          <w:szCs w:val="21"/>
          <w:highlight w:val="none"/>
          <w:lang w:val="zh-CN"/>
        </w:rPr>
        <w:t>（供应商名称），提交响应性文件并参加磋商。</w:t>
      </w:r>
    </w:p>
    <w:p w14:paraId="25455D70">
      <w:pPr>
        <w:spacing w:line="440" w:lineRule="exact"/>
        <w:ind w:firstLine="420"/>
        <w:rPr>
          <w:rFonts w:ascii="Arial" w:hAnsi="Arial"/>
          <w:color w:val="auto"/>
          <w:szCs w:val="21"/>
          <w:highlight w:val="none"/>
        </w:rPr>
      </w:pPr>
      <w:r>
        <w:rPr>
          <w:rFonts w:ascii="Arial" w:hAnsi="Arial"/>
          <w:color w:val="auto"/>
          <w:szCs w:val="21"/>
          <w:highlight w:val="none"/>
        </w:rPr>
        <w:t>据此函，签字人兹宣布同意如下：</w:t>
      </w:r>
    </w:p>
    <w:p w14:paraId="711E5366">
      <w:pPr>
        <w:spacing w:line="440" w:lineRule="exact"/>
        <w:ind w:firstLine="420"/>
        <w:rPr>
          <w:rFonts w:ascii="Arial" w:hAnsi="Arial"/>
          <w:color w:val="auto"/>
          <w:szCs w:val="21"/>
          <w:highlight w:val="none"/>
        </w:rPr>
      </w:pPr>
      <w:r>
        <w:rPr>
          <w:rFonts w:hint="eastAsia" w:ascii="Arial" w:hAnsi="Arial"/>
          <w:color w:val="auto"/>
          <w:szCs w:val="21"/>
          <w:highlight w:val="none"/>
        </w:rPr>
        <w:t>1、</w:t>
      </w:r>
      <w:r>
        <w:rPr>
          <w:rFonts w:hint="eastAsia" w:ascii="Arial" w:hAnsi="Arial"/>
          <w:color w:val="auto"/>
          <w:szCs w:val="21"/>
          <w:highlight w:val="none"/>
          <w:lang w:val="zh-CN"/>
        </w:rPr>
        <w:t>我们的资格条件完全符合政府采购法和本次采购要求，</w:t>
      </w:r>
      <w:r>
        <w:rPr>
          <w:rFonts w:hint="eastAsia" w:ascii="Arial" w:hAnsi="Arial"/>
          <w:color w:val="auto"/>
          <w:szCs w:val="21"/>
          <w:highlight w:val="none"/>
        </w:rPr>
        <w:t>我们</w:t>
      </w:r>
      <w:r>
        <w:rPr>
          <w:rFonts w:hint="eastAsia" w:ascii="Arial" w:hAnsi="Arial"/>
          <w:color w:val="auto"/>
          <w:szCs w:val="21"/>
          <w:highlight w:val="none"/>
          <w:lang w:val="zh-CN"/>
        </w:rPr>
        <w:t>同意并向贵方提供了与本次采购活动有关的所有证据和资料</w:t>
      </w:r>
      <w:r>
        <w:rPr>
          <w:rFonts w:hint="eastAsia" w:ascii="Arial" w:hAnsi="Arial"/>
          <w:color w:val="auto"/>
          <w:szCs w:val="21"/>
          <w:highlight w:val="none"/>
        </w:rPr>
        <w:t>。</w:t>
      </w:r>
    </w:p>
    <w:p w14:paraId="3372555C">
      <w:pPr>
        <w:spacing w:line="440" w:lineRule="exact"/>
        <w:ind w:firstLine="420"/>
        <w:rPr>
          <w:rFonts w:ascii="Arial" w:hAnsi="Arial"/>
          <w:color w:val="auto"/>
          <w:szCs w:val="21"/>
          <w:highlight w:val="none"/>
        </w:rPr>
      </w:pPr>
      <w:r>
        <w:rPr>
          <w:rFonts w:hint="eastAsia" w:ascii="Arial" w:hAnsi="Arial"/>
          <w:color w:val="auto"/>
          <w:szCs w:val="21"/>
          <w:highlight w:val="none"/>
        </w:rPr>
        <w:t>2、按磋商文件要求，我们的报价</w:t>
      </w:r>
      <w:r>
        <w:rPr>
          <w:rFonts w:hint="eastAsia" w:ascii="Arial" w:hAnsi="Arial"/>
          <w:color w:val="auto"/>
          <w:szCs w:val="21"/>
          <w:highlight w:val="none"/>
          <w:u w:val="single"/>
        </w:rPr>
        <w:t>详见报价一览表</w:t>
      </w:r>
      <w:r>
        <w:rPr>
          <w:rFonts w:hint="eastAsia" w:ascii="Arial" w:hAnsi="Arial"/>
          <w:color w:val="auto"/>
          <w:szCs w:val="21"/>
          <w:highlight w:val="none"/>
        </w:rPr>
        <w:t>。</w:t>
      </w:r>
    </w:p>
    <w:p w14:paraId="44417414">
      <w:pPr>
        <w:spacing w:line="440" w:lineRule="exact"/>
        <w:ind w:firstLine="420"/>
        <w:rPr>
          <w:rFonts w:ascii="Arial" w:hAnsi="Arial"/>
          <w:color w:val="auto"/>
          <w:szCs w:val="21"/>
          <w:highlight w:val="none"/>
        </w:rPr>
      </w:pPr>
      <w:r>
        <w:rPr>
          <w:rFonts w:hint="eastAsia" w:ascii="Arial" w:hAnsi="Arial"/>
          <w:color w:val="auto"/>
          <w:szCs w:val="21"/>
          <w:highlight w:val="none"/>
        </w:rPr>
        <w:t>3、本项目服务时间为：</w:t>
      </w:r>
      <w:r>
        <w:rPr>
          <w:rFonts w:hint="eastAsia" w:ascii="Arial" w:hAnsi="Arial"/>
          <w:color w:val="auto"/>
          <w:szCs w:val="21"/>
          <w:highlight w:val="none"/>
          <w:u w:val="single"/>
        </w:rPr>
        <w:t>满足磋商文件要求</w:t>
      </w:r>
      <w:r>
        <w:rPr>
          <w:rFonts w:hint="eastAsia" w:ascii="Arial" w:hAnsi="Arial"/>
          <w:color w:val="auto"/>
          <w:szCs w:val="21"/>
          <w:highlight w:val="none"/>
        </w:rPr>
        <w:t>。</w:t>
      </w:r>
    </w:p>
    <w:p w14:paraId="1E0EEBF3">
      <w:pPr>
        <w:spacing w:line="440" w:lineRule="exact"/>
        <w:ind w:firstLine="420"/>
        <w:rPr>
          <w:rFonts w:ascii="Arial" w:hAnsi="Arial"/>
          <w:color w:val="auto"/>
          <w:szCs w:val="21"/>
          <w:highlight w:val="none"/>
        </w:rPr>
      </w:pPr>
      <w:r>
        <w:rPr>
          <w:rFonts w:hint="eastAsia" w:ascii="Arial" w:hAnsi="Arial"/>
          <w:color w:val="auto"/>
          <w:szCs w:val="21"/>
          <w:highlight w:val="none"/>
        </w:rPr>
        <w:t>4</w:t>
      </w:r>
      <w:r>
        <w:rPr>
          <w:rFonts w:ascii="Arial" w:hAnsi="Arial"/>
          <w:color w:val="auto"/>
          <w:szCs w:val="21"/>
          <w:highlight w:val="none"/>
        </w:rPr>
        <w:t>、</w:t>
      </w:r>
      <w:r>
        <w:rPr>
          <w:rFonts w:ascii="Arial" w:hAnsi="Arial"/>
          <w:color w:val="auto"/>
          <w:szCs w:val="21"/>
          <w:highlight w:val="none"/>
          <w:lang w:val="zh-CN"/>
        </w:rPr>
        <w:t>我们已详细阅读全部磋商文件及其有效补充文件，我们放弃对磋商文件任何误解的权利，提交响应文件后，</w:t>
      </w:r>
      <w:r>
        <w:rPr>
          <w:rFonts w:ascii="Arial" w:hAnsi="Arial"/>
          <w:b/>
          <w:color w:val="auto"/>
          <w:szCs w:val="21"/>
          <w:highlight w:val="none"/>
          <w:lang w:val="zh-CN"/>
        </w:rPr>
        <w:t>不对磋商文件本身提出质疑</w:t>
      </w:r>
      <w:r>
        <w:rPr>
          <w:rFonts w:ascii="Arial" w:hAnsi="Arial"/>
          <w:color w:val="auto"/>
          <w:szCs w:val="21"/>
          <w:highlight w:val="none"/>
          <w:lang w:val="zh-CN"/>
        </w:rPr>
        <w:t>。</w:t>
      </w:r>
    </w:p>
    <w:p w14:paraId="3D7E8419">
      <w:pPr>
        <w:widowControl/>
        <w:shd w:val="clear" w:color="auto" w:fill="FFFFFF"/>
        <w:spacing w:line="440" w:lineRule="exact"/>
        <w:ind w:firstLine="430"/>
        <w:rPr>
          <w:rFonts w:ascii="Arial" w:hAnsi="Arial"/>
          <w:color w:val="auto"/>
          <w:szCs w:val="21"/>
          <w:highlight w:val="none"/>
        </w:rPr>
      </w:pPr>
      <w:r>
        <w:rPr>
          <w:rFonts w:hint="eastAsia" w:ascii="Arial" w:hAnsi="Arial"/>
          <w:color w:val="auto"/>
          <w:szCs w:val="21"/>
          <w:highlight w:val="none"/>
        </w:rPr>
        <w:t>5</w:t>
      </w:r>
      <w:r>
        <w:rPr>
          <w:rFonts w:ascii="Arial" w:hAnsi="Arial"/>
          <w:color w:val="auto"/>
          <w:szCs w:val="21"/>
          <w:highlight w:val="none"/>
        </w:rPr>
        <w:t>、一旦我方</w:t>
      </w:r>
      <w:r>
        <w:rPr>
          <w:rFonts w:hint="eastAsia" w:ascii="Arial" w:hAnsi="Arial"/>
          <w:color w:val="auto"/>
          <w:szCs w:val="21"/>
          <w:highlight w:val="none"/>
        </w:rPr>
        <w:t>成交</w:t>
      </w:r>
      <w:r>
        <w:rPr>
          <w:rFonts w:ascii="Arial" w:hAnsi="Arial"/>
          <w:color w:val="auto"/>
          <w:szCs w:val="21"/>
          <w:highlight w:val="none"/>
        </w:rPr>
        <w:t>，我方将根据</w:t>
      </w:r>
      <w:r>
        <w:rPr>
          <w:rFonts w:hint="eastAsia" w:ascii="Arial" w:hAnsi="Arial"/>
          <w:color w:val="auto"/>
          <w:szCs w:val="21"/>
          <w:highlight w:val="none"/>
        </w:rPr>
        <w:t>磋商</w:t>
      </w:r>
      <w:r>
        <w:rPr>
          <w:rFonts w:ascii="Arial" w:hAnsi="Arial"/>
          <w:color w:val="auto"/>
          <w:szCs w:val="21"/>
          <w:highlight w:val="none"/>
        </w:rPr>
        <w:t>文件的规定</w:t>
      </w:r>
      <w:r>
        <w:rPr>
          <w:rFonts w:hint="eastAsia" w:ascii="Arial" w:hAnsi="Arial"/>
          <w:color w:val="auto"/>
          <w:szCs w:val="21"/>
          <w:highlight w:val="none"/>
        </w:rPr>
        <w:t>及我方响应承诺</w:t>
      </w:r>
      <w:r>
        <w:rPr>
          <w:rFonts w:ascii="Arial" w:hAnsi="Arial"/>
          <w:color w:val="auto"/>
          <w:szCs w:val="21"/>
          <w:highlight w:val="none"/>
        </w:rPr>
        <w:t>严格履行合同。</w:t>
      </w:r>
    </w:p>
    <w:p w14:paraId="399E7D1D">
      <w:pPr>
        <w:spacing w:line="440" w:lineRule="exact"/>
        <w:ind w:firstLine="420"/>
        <w:rPr>
          <w:rFonts w:ascii="Arial" w:hAnsi="Arial"/>
          <w:color w:val="auto"/>
          <w:szCs w:val="21"/>
          <w:highlight w:val="none"/>
        </w:rPr>
      </w:pPr>
      <w:r>
        <w:rPr>
          <w:rFonts w:hint="eastAsia" w:ascii="Arial" w:hAnsi="Arial"/>
          <w:color w:val="auto"/>
          <w:szCs w:val="21"/>
          <w:highlight w:val="none"/>
        </w:rPr>
        <w:t>6</w:t>
      </w:r>
      <w:r>
        <w:rPr>
          <w:rFonts w:ascii="Arial" w:hAnsi="Arial"/>
          <w:color w:val="auto"/>
          <w:szCs w:val="21"/>
          <w:highlight w:val="none"/>
        </w:rPr>
        <w:t>、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103286B2">
      <w:pPr>
        <w:spacing w:line="440" w:lineRule="exact"/>
        <w:ind w:firstLine="420"/>
        <w:rPr>
          <w:rFonts w:ascii="Arial" w:hAnsi="Arial"/>
          <w:color w:val="auto"/>
          <w:szCs w:val="21"/>
          <w:highlight w:val="none"/>
        </w:rPr>
      </w:pPr>
      <w:r>
        <w:rPr>
          <w:rFonts w:ascii="Arial" w:hAnsi="Arial"/>
          <w:color w:val="auto"/>
          <w:szCs w:val="21"/>
          <w:highlight w:val="none"/>
        </w:rPr>
        <w:t>7、我方正式通讯方式为：</w:t>
      </w:r>
    </w:p>
    <w:p w14:paraId="7D66273D">
      <w:pPr>
        <w:spacing w:line="440" w:lineRule="exact"/>
        <w:ind w:firstLine="420"/>
        <w:rPr>
          <w:rFonts w:ascii="Arial" w:hAnsi="Arial"/>
          <w:color w:val="auto"/>
          <w:szCs w:val="21"/>
          <w:highlight w:val="none"/>
        </w:rPr>
      </w:pPr>
      <w:r>
        <w:rPr>
          <w:rFonts w:ascii="Arial" w:hAnsi="Arial"/>
          <w:color w:val="auto"/>
          <w:szCs w:val="21"/>
          <w:highlight w:val="none"/>
        </w:rPr>
        <w:t>地   址：</w:t>
      </w:r>
      <w:r>
        <w:rPr>
          <w:rFonts w:ascii="Arial" w:hAnsi="Arial"/>
          <w:color w:val="auto"/>
          <w:szCs w:val="21"/>
          <w:highlight w:val="none"/>
          <w:u w:val="single"/>
        </w:rPr>
        <w:t xml:space="preserve">                       </w:t>
      </w:r>
    </w:p>
    <w:p w14:paraId="52FC416D">
      <w:pPr>
        <w:spacing w:line="440" w:lineRule="exact"/>
        <w:ind w:firstLine="420"/>
        <w:rPr>
          <w:rFonts w:ascii="Arial" w:hAnsi="Arial"/>
          <w:color w:val="auto"/>
          <w:szCs w:val="21"/>
          <w:highlight w:val="none"/>
        </w:rPr>
      </w:pPr>
      <w:r>
        <w:rPr>
          <w:rFonts w:ascii="Arial" w:hAnsi="Arial"/>
          <w:color w:val="auto"/>
          <w:szCs w:val="21"/>
          <w:highlight w:val="none"/>
        </w:rPr>
        <w:t>电   话：</w:t>
      </w:r>
      <w:r>
        <w:rPr>
          <w:rFonts w:ascii="Arial" w:hAnsi="Arial"/>
          <w:color w:val="auto"/>
          <w:szCs w:val="21"/>
          <w:highlight w:val="none"/>
          <w:u w:val="single"/>
        </w:rPr>
        <w:t xml:space="preserve">                       </w:t>
      </w:r>
    </w:p>
    <w:p w14:paraId="3266CC96">
      <w:pPr>
        <w:spacing w:line="440" w:lineRule="exact"/>
        <w:ind w:firstLine="420"/>
        <w:rPr>
          <w:rFonts w:ascii="Arial" w:hAnsi="Arial"/>
          <w:color w:val="auto"/>
          <w:szCs w:val="21"/>
          <w:highlight w:val="none"/>
        </w:rPr>
      </w:pPr>
      <w:r>
        <w:rPr>
          <w:rFonts w:ascii="Arial" w:hAnsi="Arial"/>
          <w:color w:val="auto"/>
          <w:szCs w:val="21"/>
          <w:highlight w:val="none"/>
        </w:rPr>
        <w:t>传   真：</w:t>
      </w:r>
      <w:r>
        <w:rPr>
          <w:rFonts w:ascii="Arial" w:hAnsi="Arial"/>
          <w:color w:val="auto"/>
          <w:szCs w:val="21"/>
          <w:highlight w:val="none"/>
          <w:u w:val="single"/>
        </w:rPr>
        <w:t xml:space="preserve">                       </w:t>
      </w:r>
    </w:p>
    <w:p w14:paraId="2CC3761A">
      <w:pPr>
        <w:spacing w:line="440" w:lineRule="exact"/>
        <w:ind w:firstLine="420"/>
        <w:rPr>
          <w:rFonts w:ascii="Arial" w:hAnsi="Arial"/>
          <w:color w:val="auto"/>
          <w:szCs w:val="21"/>
          <w:highlight w:val="none"/>
        </w:rPr>
      </w:pPr>
      <w:r>
        <w:rPr>
          <w:rFonts w:ascii="Arial" w:hAnsi="Arial"/>
          <w:color w:val="auto"/>
          <w:szCs w:val="21"/>
          <w:highlight w:val="none"/>
        </w:rPr>
        <w:t>8、我方正式开户银行和账号为：</w:t>
      </w:r>
    </w:p>
    <w:p w14:paraId="61969497">
      <w:pPr>
        <w:spacing w:line="440" w:lineRule="exact"/>
        <w:ind w:firstLine="420"/>
        <w:rPr>
          <w:rFonts w:ascii="Arial" w:hAnsi="Arial"/>
          <w:color w:val="auto"/>
          <w:szCs w:val="21"/>
          <w:highlight w:val="none"/>
        </w:rPr>
      </w:pPr>
      <w:r>
        <w:rPr>
          <w:rFonts w:ascii="Arial" w:hAnsi="Arial"/>
          <w:color w:val="auto"/>
          <w:szCs w:val="21"/>
          <w:highlight w:val="none"/>
        </w:rPr>
        <w:t>开户银行：</w:t>
      </w:r>
      <w:r>
        <w:rPr>
          <w:rFonts w:ascii="Arial" w:hAnsi="Arial"/>
          <w:color w:val="auto"/>
          <w:szCs w:val="21"/>
          <w:highlight w:val="none"/>
          <w:u w:val="single"/>
        </w:rPr>
        <w:t xml:space="preserve">                       </w:t>
      </w:r>
    </w:p>
    <w:p w14:paraId="68CF5A31">
      <w:pPr>
        <w:spacing w:line="440" w:lineRule="exact"/>
        <w:ind w:firstLine="420"/>
        <w:rPr>
          <w:rFonts w:ascii="Arial" w:hAnsi="Arial"/>
          <w:color w:val="auto"/>
          <w:szCs w:val="21"/>
          <w:highlight w:val="none"/>
        </w:rPr>
      </w:pPr>
      <w:r>
        <w:rPr>
          <w:rFonts w:ascii="Arial" w:hAnsi="Arial"/>
          <w:color w:val="auto"/>
          <w:szCs w:val="21"/>
          <w:highlight w:val="none"/>
        </w:rPr>
        <w:t>账    号：</w:t>
      </w:r>
      <w:r>
        <w:rPr>
          <w:rFonts w:ascii="Arial" w:hAnsi="Arial"/>
          <w:color w:val="auto"/>
          <w:szCs w:val="21"/>
          <w:highlight w:val="none"/>
          <w:u w:val="single"/>
        </w:rPr>
        <w:t xml:space="preserve">                       </w:t>
      </w:r>
    </w:p>
    <w:p w14:paraId="75C3F4DF">
      <w:pPr>
        <w:spacing w:line="440" w:lineRule="exact"/>
        <w:ind w:firstLine="420"/>
        <w:rPr>
          <w:rFonts w:ascii="Arial" w:hAnsi="Arial"/>
          <w:color w:val="auto"/>
          <w:szCs w:val="21"/>
          <w:highlight w:val="none"/>
        </w:rPr>
      </w:pPr>
      <w:r>
        <w:rPr>
          <w:rFonts w:ascii="Arial" w:hAnsi="Arial"/>
          <w:color w:val="auto"/>
          <w:szCs w:val="21"/>
          <w:highlight w:val="none"/>
        </w:rPr>
        <w:t>供应商名称</w:t>
      </w:r>
      <w:r>
        <w:rPr>
          <w:rFonts w:hint="eastAsia" w:ascii="Arial" w:hAnsi="Arial"/>
          <w:color w:val="auto"/>
          <w:szCs w:val="21"/>
          <w:highlight w:val="none"/>
        </w:rPr>
        <w:t>（加盖电子公章）</w:t>
      </w:r>
      <w:r>
        <w:rPr>
          <w:rFonts w:ascii="Arial" w:hAnsi="Arial"/>
          <w:color w:val="auto"/>
          <w:szCs w:val="21"/>
          <w:highlight w:val="none"/>
        </w:rPr>
        <w:t>：</w:t>
      </w:r>
      <w:r>
        <w:rPr>
          <w:rFonts w:ascii="Arial" w:hAnsi="Arial"/>
          <w:color w:val="auto"/>
          <w:szCs w:val="21"/>
          <w:highlight w:val="none"/>
          <w:u w:val="single"/>
        </w:rPr>
        <w:t xml:space="preserve">                 </w:t>
      </w:r>
    </w:p>
    <w:p w14:paraId="7995FE80">
      <w:pPr>
        <w:spacing w:line="440" w:lineRule="exact"/>
        <w:ind w:firstLine="420"/>
        <w:rPr>
          <w:rFonts w:ascii="Arial" w:hAnsi="Arial"/>
          <w:color w:val="auto"/>
          <w:szCs w:val="21"/>
          <w:highlight w:val="none"/>
        </w:rPr>
      </w:pPr>
      <w:r>
        <w:rPr>
          <w:rFonts w:ascii="Arial" w:hAnsi="Arial"/>
          <w:color w:val="auto"/>
          <w:szCs w:val="21"/>
          <w:highlight w:val="none"/>
        </w:rPr>
        <w:t>日    期：</w:t>
      </w:r>
      <w:r>
        <w:rPr>
          <w:rFonts w:ascii="Arial" w:hAnsi="Arial"/>
          <w:color w:val="auto"/>
          <w:szCs w:val="21"/>
          <w:highlight w:val="none"/>
          <w:u w:val="single"/>
        </w:rPr>
        <w:t xml:space="preserve">       </w:t>
      </w:r>
      <w:r>
        <w:rPr>
          <w:rFonts w:ascii="Arial" w:hAnsi="Arial"/>
          <w:color w:val="auto"/>
          <w:szCs w:val="21"/>
          <w:highlight w:val="none"/>
        </w:rPr>
        <w:t>年</w:t>
      </w:r>
      <w:r>
        <w:rPr>
          <w:rFonts w:ascii="Arial" w:hAnsi="Arial"/>
          <w:color w:val="auto"/>
          <w:szCs w:val="21"/>
          <w:highlight w:val="none"/>
          <w:u w:val="single"/>
        </w:rPr>
        <w:t xml:space="preserve">    </w:t>
      </w:r>
      <w:r>
        <w:rPr>
          <w:rFonts w:ascii="Arial" w:hAnsi="Arial"/>
          <w:color w:val="auto"/>
          <w:szCs w:val="21"/>
          <w:highlight w:val="none"/>
        </w:rPr>
        <w:t>月</w:t>
      </w:r>
      <w:r>
        <w:rPr>
          <w:rFonts w:ascii="Arial" w:hAnsi="Arial"/>
          <w:color w:val="auto"/>
          <w:szCs w:val="21"/>
          <w:highlight w:val="none"/>
          <w:u w:val="single"/>
        </w:rPr>
        <w:t xml:space="preserve">    </w:t>
      </w:r>
      <w:r>
        <w:rPr>
          <w:rFonts w:ascii="Arial" w:hAnsi="Arial"/>
          <w:color w:val="auto"/>
          <w:szCs w:val="21"/>
          <w:highlight w:val="none"/>
        </w:rPr>
        <w:t>日</w:t>
      </w:r>
    </w:p>
    <w:p w14:paraId="0A517F7F">
      <w:pPr>
        <w:ind w:firstLine="430"/>
        <w:outlineLvl w:val="2"/>
        <w:rPr>
          <w:rFonts w:ascii="Arial" w:hAnsi="Arial"/>
          <w:color w:val="auto"/>
          <w:szCs w:val="21"/>
          <w:highlight w:val="none"/>
          <w:lang w:val="zh-CN"/>
        </w:rPr>
      </w:pPr>
      <w:bookmarkStart w:id="48" w:name="_Toc490133029"/>
      <w:bookmarkEnd w:id="48"/>
      <w:bookmarkStart w:id="49" w:name="_Toc534273801"/>
      <w:bookmarkEnd w:id="49"/>
      <w:bookmarkStart w:id="50" w:name="_Toc504044381"/>
      <w:bookmarkEnd w:id="50"/>
      <w:bookmarkStart w:id="51" w:name="_Toc504573084"/>
      <w:bookmarkEnd w:id="51"/>
      <w:bookmarkStart w:id="52" w:name="_Toc504056869"/>
      <w:bookmarkEnd w:id="52"/>
      <w:bookmarkStart w:id="53" w:name="_Toc534273678"/>
      <w:bookmarkEnd w:id="53"/>
      <w:r>
        <w:rPr>
          <w:rFonts w:ascii="Arial" w:hAnsi="Arial"/>
          <w:color w:val="auto"/>
          <w:szCs w:val="21"/>
          <w:highlight w:val="none"/>
          <w:lang w:val="zh-CN"/>
        </w:rPr>
        <w:br w:type="page" w:clear="all"/>
      </w:r>
      <w:bookmarkStart w:id="54" w:name="_Toc10899"/>
      <w:r>
        <w:rPr>
          <w:rFonts w:hint="eastAsia" w:ascii="Arial" w:hAnsi="Arial"/>
          <w:color w:val="auto"/>
          <w:sz w:val="28"/>
          <w:szCs w:val="28"/>
          <w:highlight w:val="none"/>
        </w:rPr>
        <w:t>4、授权书</w:t>
      </w:r>
      <w:bookmarkEnd w:id="54"/>
    </w:p>
    <w:p w14:paraId="7394DC83">
      <w:pPr>
        <w:ind w:firstLine="431"/>
        <w:rPr>
          <w:rFonts w:ascii="Arial" w:hAnsi="Arial"/>
          <w:b/>
          <w:color w:val="auto"/>
          <w:szCs w:val="21"/>
          <w:highlight w:val="none"/>
          <w:lang w:val="zh-CN"/>
        </w:rPr>
      </w:pPr>
    </w:p>
    <w:p w14:paraId="30DC8254">
      <w:pPr>
        <w:ind w:firstLine="733"/>
        <w:jc w:val="center"/>
        <w:rPr>
          <w:rFonts w:ascii="Arial" w:hAnsi="Arial"/>
          <w:b/>
          <w:color w:val="auto"/>
          <w:sz w:val="36"/>
          <w:szCs w:val="36"/>
          <w:highlight w:val="none"/>
        </w:rPr>
      </w:pPr>
      <w:r>
        <w:rPr>
          <w:rFonts w:hint="eastAsia" w:ascii="Arial" w:hAnsi="Arial"/>
          <w:b/>
          <w:color w:val="auto"/>
          <w:sz w:val="36"/>
          <w:szCs w:val="36"/>
          <w:highlight w:val="none"/>
        </w:rPr>
        <w:t xml:space="preserve"> 法人授权书</w:t>
      </w:r>
    </w:p>
    <w:p w14:paraId="1680AA5C">
      <w:pPr>
        <w:spacing w:line="360" w:lineRule="auto"/>
        <w:ind w:firstLine="430"/>
        <w:rPr>
          <w:rFonts w:ascii="Arial" w:hAnsi="Arial"/>
          <w:color w:val="auto"/>
          <w:szCs w:val="21"/>
          <w:highlight w:val="none"/>
          <w:lang w:val="zh-CN"/>
        </w:rPr>
      </w:pPr>
    </w:p>
    <w:p w14:paraId="611436BB">
      <w:pPr>
        <w:spacing w:line="360" w:lineRule="auto"/>
        <w:ind w:firstLine="430"/>
        <w:rPr>
          <w:rFonts w:ascii="Arial" w:hAnsi="Arial"/>
          <w:color w:val="auto"/>
          <w:szCs w:val="21"/>
          <w:highlight w:val="none"/>
        </w:rPr>
      </w:pPr>
      <w:r>
        <w:rPr>
          <w:rFonts w:ascii="Arial" w:hAnsi="Arial"/>
          <w:color w:val="auto"/>
          <w:szCs w:val="21"/>
          <w:highlight w:val="none"/>
        </w:rPr>
        <w:t>致：</w:t>
      </w:r>
      <w:r>
        <w:rPr>
          <w:rFonts w:ascii="Arial" w:hAnsi="Arial"/>
          <w:color w:val="auto"/>
          <w:szCs w:val="21"/>
          <w:highlight w:val="none"/>
          <w:lang w:val="zh-CN"/>
        </w:rPr>
        <w:t>江苏省设备成套股份有限公司</w:t>
      </w:r>
    </w:p>
    <w:p w14:paraId="5F847D52">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本授权书声明：            （供应商名称）授权                 （被授权人姓名）作为我方参加编号为                             项目采购活动的合法代理人，以本单位名义全权处理一切与该项目采购有关的事务。</w:t>
      </w:r>
    </w:p>
    <w:p w14:paraId="78C8A760">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本授权书自______年____月____日起生效，特此声明。</w:t>
      </w:r>
    </w:p>
    <w:p w14:paraId="44C9FFFE">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被授权人身份证号码：</w:t>
      </w:r>
    </w:p>
    <w:p w14:paraId="146E7F54">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被授权人联系电话：（手机）</w:t>
      </w:r>
    </w:p>
    <w:p w14:paraId="6E177B00">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单位名称：（加盖电子公章）</w:t>
      </w:r>
    </w:p>
    <w:p w14:paraId="15D6A5C4">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单位地址：</w:t>
      </w:r>
    </w:p>
    <w:p w14:paraId="66A1FFEE">
      <w:pPr>
        <w:spacing w:line="360" w:lineRule="auto"/>
        <w:ind w:firstLine="420"/>
        <w:rPr>
          <w:rFonts w:ascii="Arial" w:hAnsi="Arial"/>
          <w:color w:val="auto"/>
          <w:szCs w:val="21"/>
          <w:highlight w:val="none"/>
        </w:rPr>
      </w:pPr>
      <w:r>
        <w:rPr>
          <w:rFonts w:hint="eastAsia" w:ascii="Arial" w:hAnsi="Arial"/>
          <w:color w:val="auto"/>
          <w:szCs w:val="21"/>
          <w:highlight w:val="none"/>
          <w:lang w:val="zh-CN"/>
        </w:rPr>
        <w:t>日    期：</w:t>
      </w:r>
      <w:r>
        <w:rPr>
          <w:rFonts w:ascii="Arial" w:hAnsi="Arial"/>
          <w:color w:val="auto"/>
          <w:szCs w:val="21"/>
          <w:highlight w:val="none"/>
          <w:lang w:val="zh-CN"/>
        </w:rPr>
        <w:t xml:space="preserve">            </w:t>
      </w:r>
    </w:p>
    <w:p w14:paraId="6FE44259">
      <w:pPr>
        <w:spacing w:line="360" w:lineRule="auto"/>
        <w:ind w:firstLine="430"/>
        <w:rPr>
          <w:rFonts w:ascii="Arial" w:hAnsi="Arial"/>
          <w:color w:val="auto"/>
          <w:szCs w:val="21"/>
          <w:highlight w:val="none"/>
          <w:lang w:val="zh-CN"/>
        </w:rPr>
      </w:pPr>
    </w:p>
    <w:p w14:paraId="22D237F6">
      <w:pPr>
        <w:spacing w:line="360" w:lineRule="auto"/>
        <w:ind w:firstLine="431"/>
        <w:rPr>
          <w:rFonts w:ascii="Arial" w:hAnsi="Arial"/>
          <w:b/>
          <w:color w:val="auto"/>
          <w:szCs w:val="21"/>
          <w:highlight w:val="none"/>
        </w:rPr>
      </w:pPr>
      <w:r>
        <w:rPr>
          <w:rFonts w:ascii="Arial" w:hAnsi="Arial"/>
          <w:b/>
          <w:color w:val="auto"/>
          <w:szCs w:val="21"/>
          <w:highlight w:val="none"/>
        </w:rPr>
        <w:t>被授权人</w:t>
      </w:r>
      <w:r>
        <w:rPr>
          <w:rFonts w:ascii="Arial" w:hAnsi="Arial"/>
          <w:b/>
          <w:color w:val="auto"/>
          <w:szCs w:val="21"/>
          <w:highlight w:val="none"/>
          <w:lang w:val="zh-CN"/>
        </w:rPr>
        <w:t>的身份证明文件的复印件：</w:t>
      </w:r>
    </w:p>
    <w:p w14:paraId="75B993EF">
      <w:pPr>
        <w:widowControl/>
        <w:shd w:val="clear" w:color="auto" w:fill="FFFFFF"/>
        <w:spacing w:line="360" w:lineRule="auto"/>
        <w:ind w:firstLine="420"/>
        <w:jc w:val="left"/>
        <w:rPr>
          <w:rFonts w:ascii="Arial" w:hAnsi="Arial"/>
          <w:b/>
          <w:bCs/>
          <w:color w:val="auto"/>
          <w:szCs w:val="21"/>
          <w:highlight w:val="none"/>
        </w:rPr>
      </w:pPr>
      <w:bookmarkStart w:id="55" w:name="_Toc534273802"/>
      <w:bookmarkEnd w:id="55"/>
      <w:bookmarkStart w:id="56" w:name="_Toc534273679"/>
      <w:bookmarkEnd w:id="56"/>
      <w:bookmarkStart w:id="57" w:name="_Toc490133030"/>
      <w:bookmarkEnd w:id="57"/>
      <w:bookmarkStart w:id="58" w:name="_Toc504056870"/>
      <w:bookmarkEnd w:id="58"/>
      <w:bookmarkStart w:id="59" w:name="_Toc504573085"/>
      <w:bookmarkEnd w:id="59"/>
      <w:bookmarkStart w:id="60" w:name="_Toc504044382"/>
      <w:bookmarkEnd w:id="60"/>
      <w:r>
        <w:rPr>
          <w:color w:val="auto"/>
          <w:highlight w:val="none"/>
          <w:lang w:val="zh-CN"/>
        </w:rPr>
        <w:br w:type="page" w:clear="all"/>
      </w:r>
    </w:p>
    <w:p w14:paraId="6B6D212C">
      <w:pPr>
        <w:ind w:firstLine="570"/>
        <w:outlineLvl w:val="2"/>
        <w:rPr>
          <w:rFonts w:ascii="Arial" w:hAnsi="Arial"/>
          <w:color w:val="auto"/>
          <w:szCs w:val="21"/>
          <w:highlight w:val="none"/>
        </w:rPr>
      </w:pPr>
      <w:bookmarkStart w:id="61" w:name="_Toc18173"/>
      <w:bookmarkStart w:id="62" w:name="_Toc534273805"/>
      <w:bookmarkStart w:id="63" w:name="_Toc534273681"/>
      <w:bookmarkStart w:id="64" w:name="_Toc504573087"/>
      <w:bookmarkStart w:id="65" w:name="_Toc534273682"/>
      <w:bookmarkStart w:id="66" w:name="_Toc504056872"/>
      <w:bookmarkStart w:id="67" w:name="_Toc504044384"/>
      <w:bookmarkStart w:id="68" w:name="_Toc534273804"/>
      <w:bookmarkStart w:id="69" w:name="_Toc490133032"/>
      <w:r>
        <w:rPr>
          <w:rFonts w:hint="eastAsia" w:ascii="Arial" w:hAnsi="Arial"/>
          <w:color w:val="auto"/>
          <w:sz w:val="28"/>
          <w:szCs w:val="28"/>
          <w:highlight w:val="none"/>
        </w:rPr>
        <w:t>5、商务条款偏离表</w:t>
      </w:r>
      <w:bookmarkEnd w:id="61"/>
    </w:p>
    <w:p w14:paraId="549E7DCF">
      <w:pPr>
        <w:ind w:firstLine="430"/>
        <w:rPr>
          <w:rFonts w:ascii="Arial" w:hAnsi="Arial"/>
          <w:color w:val="auto"/>
          <w:szCs w:val="21"/>
          <w:highlight w:val="none"/>
          <w:lang w:val="zh-CN"/>
        </w:rPr>
      </w:pPr>
    </w:p>
    <w:p w14:paraId="5F4D4C88">
      <w:pPr>
        <w:widowControl/>
        <w:shd w:val="clear" w:color="auto" w:fill="FFFFFF"/>
        <w:spacing w:before="312" w:line="360" w:lineRule="auto"/>
        <w:ind w:firstLine="733"/>
        <w:jc w:val="center"/>
        <w:rPr>
          <w:rFonts w:ascii="Arial" w:hAnsi="Arial"/>
          <w:b/>
          <w:color w:val="auto"/>
          <w:sz w:val="36"/>
          <w:szCs w:val="36"/>
          <w:highlight w:val="none"/>
        </w:rPr>
      </w:pPr>
      <w:r>
        <w:rPr>
          <w:rFonts w:hint="eastAsia" w:ascii="Arial" w:hAnsi="Arial"/>
          <w:b/>
          <w:color w:val="auto"/>
          <w:sz w:val="36"/>
          <w:szCs w:val="36"/>
          <w:highlight w:val="none"/>
        </w:rPr>
        <w:t>商务条款偏离表</w:t>
      </w:r>
    </w:p>
    <w:p w14:paraId="337DF18C">
      <w:pPr>
        <w:ind w:firstLine="430"/>
        <w:rPr>
          <w:rFonts w:ascii="Arial" w:hAnsi="Arial"/>
          <w:color w:val="auto"/>
          <w:szCs w:val="21"/>
          <w:highlight w:val="none"/>
          <w:lang w:val="zh-CN"/>
        </w:rPr>
      </w:pPr>
    </w:p>
    <w:tbl>
      <w:tblPr>
        <w:tblStyle w:val="54"/>
        <w:tblW w:w="0" w:type="auto"/>
        <w:jc w:val="center"/>
        <w:tblLayout w:type="fixed"/>
        <w:tblCellMar>
          <w:top w:w="0" w:type="dxa"/>
          <w:left w:w="10" w:type="dxa"/>
          <w:bottom w:w="0" w:type="dxa"/>
          <w:right w:w="10" w:type="dxa"/>
        </w:tblCellMar>
      </w:tblPr>
      <w:tblGrid>
        <w:gridCol w:w="665"/>
        <w:gridCol w:w="1656"/>
        <w:gridCol w:w="2759"/>
        <w:gridCol w:w="1656"/>
        <w:gridCol w:w="1638"/>
        <w:gridCol w:w="1038"/>
      </w:tblGrid>
      <w:tr w14:paraId="0A5A9F02">
        <w:tblPrEx>
          <w:tblCellMar>
            <w:top w:w="0" w:type="dxa"/>
            <w:left w:w="10" w:type="dxa"/>
            <w:bottom w:w="0" w:type="dxa"/>
            <w:right w:w="10" w:type="dxa"/>
          </w:tblCellMar>
        </w:tblPrEx>
        <w:trPr>
          <w:trHeight w:val="284" w:hRule="atLeast"/>
          <w:jc w:val="center"/>
        </w:trPr>
        <w:tc>
          <w:tcPr>
            <w:tcW w:w="6736" w:type="dxa"/>
            <w:gridSpan w:val="4"/>
            <w:tcBorders>
              <w:top w:val="nil"/>
              <w:left w:val="nil"/>
              <w:bottom w:val="single" w:color="000000" w:sz="6" w:space="0"/>
              <w:right w:val="nil"/>
            </w:tcBorders>
            <w:vAlign w:val="center"/>
          </w:tcPr>
          <w:p w14:paraId="01A8502B">
            <w:pPr>
              <w:ind w:firstLine="430"/>
              <w:jc w:val="left"/>
              <w:rPr>
                <w:rFonts w:ascii="Arial" w:hAnsi="Arial"/>
                <w:color w:val="auto"/>
                <w:szCs w:val="21"/>
                <w:highlight w:val="none"/>
                <w:lang w:val="zh-CN"/>
              </w:rPr>
            </w:pPr>
            <w:r>
              <w:rPr>
                <w:rFonts w:ascii="Arial" w:hAnsi="Arial"/>
                <w:color w:val="auto"/>
                <w:szCs w:val="21"/>
                <w:highlight w:val="none"/>
                <w:lang w:val="zh-CN"/>
              </w:rPr>
              <w:t>项目名称：</w:t>
            </w:r>
          </w:p>
        </w:tc>
        <w:tc>
          <w:tcPr>
            <w:tcW w:w="2676" w:type="dxa"/>
            <w:gridSpan w:val="2"/>
            <w:tcBorders>
              <w:top w:val="nil"/>
              <w:left w:val="nil"/>
              <w:bottom w:val="single" w:color="000000" w:sz="6" w:space="0"/>
              <w:right w:val="nil"/>
            </w:tcBorders>
            <w:vAlign w:val="center"/>
          </w:tcPr>
          <w:p w14:paraId="31183FF6">
            <w:pPr>
              <w:ind w:firstLine="430"/>
              <w:jc w:val="left"/>
              <w:rPr>
                <w:rFonts w:ascii="Arial" w:hAnsi="Arial"/>
                <w:color w:val="auto"/>
                <w:szCs w:val="21"/>
                <w:highlight w:val="none"/>
                <w:lang w:val="zh-CN"/>
              </w:rPr>
            </w:pPr>
            <w:r>
              <w:rPr>
                <w:rFonts w:ascii="Arial" w:hAnsi="Arial"/>
                <w:color w:val="auto"/>
                <w:szCs w:val="21"/>
                <w:highlight w:val="none"/>
                <w:lang w:val="zh-CN"/>
              </w:rPr>
              <w:t xml:space="preserve">项目编号： </w:t>
            </w:r>
          </w:p>
        </w:tc>
      </w:tr>
      <w:tr w14:paraId="15A7778D">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5192B826">
            <w:pPr>
              <w:rPr>
                <w:rFonts w:ascii="Arial" w:hAnsi="Arial"/>
                <w:color w:val="auto"/>
                <w:szCs w:val="21"/>
                <w:highlight w:val="none"/>
                <w:lang w:val="zh-CN"/>
              </w:rPr>
            </w:pPr>
            <w:r>
              <w:rPr>
                <w:rFonts w:ascii="Arial" w:hAnsi="Arial"/>
                <w:color w:val="auto"/>
                <w:szCs w:val="21"/>
                <w:highlight w:val="none"/>
                <w:lang w:val="zh-CN"/>
              </w:rPr>
              <w:t>序号</w:t>
            </w:r>
          </w:p>
        </w:tc>
        <w:tc>
          <w:tcPr>
            <w:tcW w:w="1656" w:type="dxa"/>
            <w:tcBorders>
              <w:top w:val="single" w:color="000000" w:sz="6" w:space="0"/>
              <w:left w:val="single" w:color="000000" w:sz="6" w:space="0"/>
              <w:bottom w:val="single" w:color="000000" w:sz="6" w:space="0"/>
              <w:right w:val="single" w:color="000000" w:sz="6" w:space="0"/>
            </w:tcBorders>
            <w:vAlign w:val="center"/>
          </w:tcPr>
          <w:p w14:paraId="04AF76A4">
            <w:pPr>
              <w:ind w:firstLine="430"/>
              <w:jc w:val="center"/>
              <w:rPr>
                <w:rFonts w:ascii="Arial" w:hAnsi="Arial"/>
                <w:color w:val="auto"/>
                <w:szCs w:val="21"/>
                <w:highlight w:val="none"/>
                <w:lang w:val="zh-CN"/>
              </w:rPr>
            </w:pPr>
            <w:r>
              <w:rPr>
                <w:rFonts w:ascii="Arial" w:hAnsi="Arial"/>
                <w:color w:val="auto"/>
                <w:szCs w:val="21"/>
                <w:highlight w:val="none"/>
                <w:lang w:val="zh-CN"/>
              </w:rPr>
              <w:t>采购文件条目号</w:t>
            </w:r>
          </w:p>
        </w:tc>
        <w:tc>
          <w:tcPr>
            <w:tcW w:w="2759" w:type="dxa"/>
            <w:tcBorders>
              <w:top w:val="single" w:color="000000" w:sz="6" w:space="0"/>
              <w:left w:val="single" w:color="000000" w:sz="6" w:space="0"/>
              <w:bottom w:val="single" w:color="000000" w:sz="6" w:space="0"/>
              <w:right w:val="single" w:color="000000" w:sz="6" w:space="0"/>
            </w:tcBorders>
            <w:vAlign w:val="center"/>
          </w:tcPr>
          <w:p w14:paraId="5A6731DE">
            <w:pPr>
              <w:ind w:firstLine="430"/>
              <w:jc w:val="center"/>
              <w:rPr>
                <w:rFonts w:ascii="Arial" w:hAnsi="Arial"/>
                <w:color w:val="auto"/>
                <w:szCs w:val="21"/>
                <w:highlight w:val="none"/>
                <w:lang w:val="zh-CN"/>
              </w:rPr>
            </w:pPr>
            <w:r>
              <w:rPr>
                <w:rFonts w:ascii="Arial" w:hAnsi="Arial"/>
                <w:color w:val="auto"/>
                <w:szCs w:val="21"/>
                <w:highlight w:val="none"/>
                <w:lang w:val="zh-CN"/>
              </w:rPr>
              <w:t>条款</w:t>
            </w:r>
            <w:r>
              <w:rPr>
                <w:rFonts w:hint="eastAsia" w:ascii="Arial" w:hAnsi="Arial"/>
                <w:color w:val="auto"/>
                <w:szCs w:val="21"/>
                <w:highlight w:val="none"/>
              </w:rPr>
              <w:t>内容</w:t>
            </w:r>
          </w:p>
        </w:tc>
        <w:tc>
          <w:tcPr>
            <w:tcW w:w="3294" w:type="dxa"/>
            <w:gridSpan w:val="2"/>
            <w:tcBorders>
              <w:top w:val="single" w:color="000000" w:sz="6" w:space="0"/>
              <w:left w:val="single" w:color="000000" w:sz="6" w:space="0"/>
              <w:bottom w:val="single" w:color="000000" w:sz="6" w:space="0"/>
              <w:right w:val="single" w:color="000000" w:sz="6" w:space="0"/>
            </w:tcBorders>
            <w:vAlign w:val="center"/>
          </w:tcPr>
          <w:p w14:paraId="43F0E5A5">
            <w:pPr>
              <w:ind w:firstLine="430"/>
              <w:jc w:val="center"/>
              <w:rPr>
                <w:rFonts w:ascii="Arial" w:hAnsi="Arial"/>
                <w:color w:val="auto"/>
                <w:szCs w:val="21"/>
                <w:highlight w:val="none"/>
                <w:lang w:val="zh-CN"/>
              </w:rPr>
            </w:pPr>
            <w:r>
              <w:rPr>
                <w:rFonts w:ascii="Arial" w:hAnsi="Arial"/>
                <w:color w:val="auto"/>
                <w:szCs w:val="21"/>
                <w:highlight w:val="none"/>
                <w:lang w:val="zh-CN"/>
              </w:rPr>
              <w:t>磋商响应</w:t>
            </w:r>
          </w:p>
        </w:tc>
        <w:tc>
          <w:tcPr>
            <w:tcW w:w="1038" w:type="dxa"/>
            <w:tcBorders>
              <w:top w:val="single" w:color="000000" w:sz="6" w:space="0"/>
              <w:left w:val="single" w:color="000000" w:sz="6" w:space="0"/>
              <w:bottom w:val="single" w:color="000000" w:sz="6" w:space="0"/>
              <w:right w:val="single" w:color="000000" w:sz="6" w:space="0"/>
            </w:tcBorders>
            <w:vAlign w:val="center"/>
          </w:tcPr>
          <w:p w14:paraId="0BA6B62C">
            <w:pPr>
              <w:rPr>
                <w:rFonts w:ascii="Arial" w:hAnsi="Arial"/>
                <w:color w:val="auto"/>
                <w:szCs w:val="21"/>
                <w:highlight w:val="none"/>
                <w:lang w:val="zh-CN"/>
              </w:rPr>
            </w:pPr>
            <w:r>
              <w:rPr>
                <w:rFonts w:ascii="Arial" w:hAnsi="Arial"/>
                <w:color w:val="auto"/>
                <w:szCs w:val="21"/>
                <w:highlight w:val="none"/>
                <w:lang w:val="zh-CN"/>
              </w:rPr>
              <w:t>偏离说明</w:t>
            </w:r>
          </w:p>
        </w:tc>
      </w:tr>
      <w:tr w14:paraId="046A31AF">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54A20D3A">
            <w:pPr>
              <w:ind w:firstLine="430"/>
              <w:jc w:val="center"/>
              <w:rPr>
                <w:rFonts w:ascii="Arial" w:hAnsi="Arial"/>
                <w:color w:val="auto"/>
                <w:szCs w:val="21"/>
                <w:highlight w:val="none"/>
                <w:lang w:val="zh-CN"/>
              </w:rPr>
            </w:pPr>
          </w:p>
        </w:tc>
        <w:tc>
          <w:tcPr>
            <w:tcW w:w="1656" w:type="dxa"/>
            <w:tcBorders>
              <w:top w:val="single" w:color="000000" w:sz="6" w:space="0"/>
              <w:left w:val="single" w:color="000000" w:sz="6" w:space="0"/>
              <w:bottom w:val="single" w:color="000000" w:sz="6" w:space="0"/>
              <w:right w:val="single" w:color="000000" w:sz="6" w:space="0"/>
            </w:tcBorders>
            <w:vAlign w:val="center"/>
          </w:tcPr>
          <w:p w14:paraId="67E23BF7">
            <w:pPr>
              <w:ind w:firstLine="430"/>
              <w:jc w:val="center"/>
              <w:rPr>
                <w:rFonts w:ascii="Arial" w:hAnsi="Arial"/>
                <w:color w:val="auto"/>
                <w:szCs w:val="21"/>
                <w:highlight w:val="none"/>
                <w:lang w:val="zh-CN"/>
              </w:rPr>
            </w:pPr>
          </w:p>
        </w:tc>
        <w:tc>
          <w:tcPr>
            <w:tcW w:w="2759" w:type="dxa"/>
            <w:tcBorders>
              <w:top w:val="single" w:color="000000" w:sz="6" w:space="0"/>
              <w:left w:val="single" w:color="000000" w:sz="6" w:space="0"/>
              <w:bottom w:val="single" w:color="000000" w:sz="6" w:space="0"/>
              <w:right w:val="single" w:color="000000" w:sz="6" w:space="0"/>
            </w:tcBorders>
            <w:vAlign w:val="center"/>
          </w:tcPr>
          <w:p w14:paraId="6D236106">
            <w:pPr>
              <w:ind w:firstLine="430"/>
              <w:jc w:val="center"/>
              <w:rPr>
                <w:rFonts w:ascii="Arial" w:hAnsi="Arial"/>
                <w:color w:val="auto"/>
                <w:szCs w:val="21"/>
                <w:highlight w:val="none"/>
                <w:lang w:val="zh-CN"/>
              </w:rPr>
            </w:pPr>
          </w:p>
        </w:tc>
        <w:tc>
          <w:tcPr>
            <w:tcW w:w="3294" w:type="dxa"/>
            <w:gridSpan w:val="2"/>
            <w:tcBorders>
              <w:top w:val="single" w:color="000000" w:sz="6" w:space="0"/>
              <w:left w:val="single" w:color="000000" w:sz="6" w:space="0"/>
              <w:bottom w:val="single" w:color="000000" w:sz="6" w:space="0"/>
              <w:right w:val="single" w:color="000000" w:sz="6" w:space="0"/>
            </w:tcBorders>
            <w:vAlign w:val="center"/>
          </w:tcPr>
          <w:p w14:paraId="014E0B69">
            <w:pPr>
              <w:ind w:firstLine="430"/>
              <w:jc w:val="center"/>
              <w:rPr>
                <w:rFonts w:ascii="Arial" w:hAnsi="Arial"/>
                <w:color w:val="auto"/>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vAlign w:val="center"/>
          </w:tcPr>
          <w:p w14:paraId="2A1861BC">
            <w:pPr>
              <w:ind w:firstLine="430"/>
              <w:jc w:val="center"/>
              <w:rPr>
                <w:rFonts w:ascii="Arial" w:hAnsi="Arial"/>
                <w:color w:val="auto"/>
                <w:szCs w:val="21"/>
                <w:highlight w:val="none"/>
                <w:lang w:val="zh-CN"/>
              </w:rPr>
            </w:pPr>
          </w:p>
        </w:tc>
      </w:tr>
      <w:tr w14:paraId="5B0368FD">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7900B105">
            <w:pPr>
              <w:ind w:firstLine="430"/>
              <w:jc w:val="center"/>
              <w:rPr>
                <w:rFonts w:ascii="Arial" w:hAnsi="Arial"/>
                <w:color w:val="auto"/>
                <w:szCs w:val="21"/>
                <w:highlight w:val="none"/>
                <w:lang w:val="zh-CN"/>
              </w:rPr>
            </w:pPr>
          </w:p>
        </w:tc>
        <w:tc>
          <w:tcPr>
            <w:tcW w:w="1656" w:type="dxa"/>
            <w:tcBorders>
              <w:top w:val="single" w:color="000000" w:sz="6" w:space="0"/>
              <w:left w:val="single" w:color="000000" w:sz="6" w:space="0"/>
              <w:bottom w:val="single" w:color="000000" w:sz="6" w:space="0"/>
              <w:right w:val="single" w:color="000000" w:sz="6" w:space="0"/>
            </w:tcBorders>
            <w:vAlign w:val="center"/>
          </w:tcPr>
          <w:p w14:paraId="2A93F5FB">
            <w:pPr>
              <w:ind w:firstLine="430"/>
              <w:jc w:val="center"/>
              <w:rPr>
                <w:rFonts w:ascii="Arial" w:hAnsi="Arial"/>
                <w:color w:val="auto"/>
                <w:szCs w:val="21"/>
                <w:highlight w:val="none"/>
                <w:lang w:val="zh-CN"/>
              </w:rPr>
            </w:pPr>
          </w:p>
        </w:tc>
        <w:tc>
          <w:tcPr>
            <w:tcW w:w="2759" w:type="dxa"/>
            <w:tcBorders>
              <w:top w:val="single" w:color="000000" w:sz="6" w:space="0"/>
              <w:left w:val="single" w:color="000000" w:sz="6" w:space="0"/>
              <w:bottom w:val="single" w:color="000000" w:sz="6" w:space="0"/>
              <w:right w:val="single" w:color="000000" w:sz="6" w:space="0"/>
            </w:tcBorders>
            <w:vAlign w:val="center"/>
          </w:tcPr>
          <w:p w14:paraId="0950624C">
            <w:pPr>
              <w:ind w:firstLine="430"/>
              <w:jc w:val="center"/>
              <w:rPr>
                <w:rFonts w:ascii="Arial" w:hAnsi="Arial"/>
                <w:color w:val="auto"/>
                <w:szCs w:val="21"/>
                <w:highlight w:val="none"/>
                <w:lang w:val="zh-CN"/>
              </w:rPr>
            </w:pPr>
          </w:p>
        </w:tc>
        <w:tc>
          <w:tcPr>
            <w:tcW w:w="3294" w:type="dxa"/>
            <w:gridSpan w:val="2"/>
            <w:tcBorders>
              <w:top w:val="single" w:color="000000" w:sz="6" w:space="0"/>
              <w:left w:val="single" w:color="000000" w:sz="6" w:space="0"/>
              <w:bottom w:val="single" w:color="000000" w:sz="6" w:space="0"/>
              <w:right w:val="single" w:color="000000" w:sz="6" w:space="0"/>
            </w:tcBorders>
            <w:vAlign w:val="center"/>
          </w:tcPr>
          <w:p w14:paraId="6BD7B55B">
            <w:pPr>
              <w:ind w:firstLine="430"/>
              <w:jc w:val="center"/>
              <w:rPr>
                <w:rFonts w:ascii="Arial" w:hAnsi="Arial"/>
                <w:color w:val="auto"/>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vAlign w:val="center"/>
          </w:tcPr>
          <w:p w14:paraId="4D55434B">
            <w:pPr>
              <w:ind w:firstLine="430"/>
              <w:jc w:val="center"/>
              <w:rPr>
                <w:rFonts w:ascii="Arial" w:hAnsi="Arial"/>
                <w:color w:val="auto"/>
                <w:szCs w:val="21"/>
                <w:highlight w:val="none"/>
                <w:lang w:val="zh-CN"/>
              </w:rPr>
            </w:pPr>
          </w:p>
        </w:tc>
      </w:tr>
      <w:tr w14:paraId="60859DE4">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2CDF9C76">
            <w:pPr>
              <w:ind w:firstLine="430"/>
              <w:jc w:val="center"/>
              <w:rPr>
                <w:rFonts w:ascii="Arial" w:hAnsi="Arial"/>
                <w:color w:val="auto"/>
                <w:szCs w:val="21"/>
                <w:highlight w:val="none"/>
                <w:lang w:val="zh-CN"/>
              </w:rPr>
            </w:pPr>
          </w:p>
        </w:tc>
        <w:tc>
          <w:tcPr>
            <w:tcW w:w="1656" w:type="dxa"/>
            <w:tcBorders>
              <w:top w:val="single" w:color="000000" w:sz="6" w:space="0"/>
              <w:left w:val="single" w:color="000000" w:sz="6" w:space="0"/>
              <w:bottom w:val="single" w:color="000000" w:sz="6" w:space="0"/>
              <w:right w:val="single" w:color="000000" w:sz="6" w:space="0"/>
            </w:tcBorders>
            <w:vAlign w:val="center"/>
          </w:tcPr>
          <w:p w14:paraId="19821996">
            <w:pPr>
              <w:ind w:firstLine="430"/>
              <w:jc w:val="center"/>
              <w:rPr>
                <w:rFonts w:ascii="Arial" w:hAnsi="Arial"/>
                <w:color w:val="auto"/>
                <w:szCs w:val="21"/>
                <w:highlight w:val="none"/>
                <w:lang w:val="zh-CN"/>
              </w:rPr>
            </w:pPr>
          </w:p>
        </w:tc>
        <w:tc>
          <w:tcPr>
            <w:tcW w:w="2759" w:type="dxa"/>
            <w:tcBorders>
              <w:top w:val="single" w:color="000000" w:sz="6" w:space="0"/>
              <w:left w:val="single" w:color="000000" w:sz="6" w:space="0"/>
              <w:bottom w:val="single" w:color="000000" w:sz="6" w:space="0"/>
              <w:right w:val="single" w:color="000000" w:sz="6" w:space="0"/>
            </w:tcBorders>
            <w:vAlign w:val="center"/>
          </w:tcPr>
          <w:p w14:paraId="2F1C443E">
            <w:pPr>
              <w:ind w:firstLine="430"/>
              <w:jc w:val="center"/>
              <w:rPr>
                <w:rFonts w:ascii="Arial" w:hAnsi="Arial"/>
                <w:color w:val="auto"/>
                <w:szCs w:val="21"/>
                <w:highlight w:val="none"/>
                <w:lang w:val="zh-CN"/>
              </w:rPr>
            </w:pPr>
          </w:p>
        </w:tc>
        <w:tc>
          <w:tcPr>
            <w:tcW w:w="3294" w:type="dxa"/>
            <w:gridSpan w:val="2"/>
            <w:tcBorders>
              <w:top w:val="single" w:color="000000" w:sz="6" w:space="0"/>
              <w:left w:val="single" w:color="000000" w:sz="6" w:space="0"/>
              <w:bottom w:val="single" w:color="000000" w:sz="6" w:space="0"/>
              <w:right w:val="single" w:color="000000" w:sz="6" w:space="0"/>
            </w:tcBorders>
            <w:vAlign w:val="center"/>
          </w:tcPr>
          <w:p w14:paraId="6A72D391">
            <w:pPr>
              <w:ind w:firstLine="430"/>
              <w:jc w:val="center"/>
              <w:rPr>
                <w:rFonts w:ascii="Arial" w:hAnsi="Arial"/>
                <w:color w:val="auto"/>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vAlign w:val="center"/>
          </w:tcPr>
          <w:p w14:paraId="522B41BC">
            <w:pPr>
              <w:ind w:firstLine="430"/>
              <w:jc w:val="center"/>
              <w:rPr>
                <w:rFonts w:ascii="Arial" w:hAnsi="Arial"/>
                <w:color w:val="auto"/>
                <w:szCs w:val="21"/>
                <w:highlight w:val="none"/>
                <w:lang w:val="zh-CN"/>
              </w:rPr>
            </w:pPr>
          </w:p>
        </w:tc>
      </w:tr>
      <w:tr w14:paraId="4A28CA01">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01071072">
            <w:pPr>
              <w:ind w:firstLine="430"/>
              <w:jc w:val="center"/>
              <w:rPr>
                <w:rFonts w:ascii="Arial" w:hAnsi="Arial"/>
                <w:color w:val="auto"/>
                <w:szCs w:val="21"/>
                <w:highlight w:val="none"/>
                <w:lang w:val="zh-CN"/>
              </w:rPr>
            </w:pPr>
          </w:p>
        </w:tc>
        <w:tc>
          <w:tcPr>
            <w:tcW w:w="1656" w:type="dxa"/>
            <w:tcBorders>
              <w:top w:val="single" w:color="000000" w:sz="6" w:space="0"/>
              <w:left w:val="single" w:color="000000" w:sz="6" w:space="0"/>
              <w:bottom w:val="single" w:color="000000" w:sz="6" w:space="0"/>
              <w:right w:val="single" w:color="000000" w:sz="6" w:space="0"/>
            </w:tcBorders>
            <w:vAlign w:val="center"/>
          </w:tcPr>
          <w:p w14:paraId="070E8603">
            <w:pPr>
              <w:ind w:firstLine="430"/>
              <w:jc w:val="center"/>
              <w:rPr>
                <w:rFonts w:ascii="Arial" w:hAnsi="Arial"/>
                <w:color w:val="auto"/>
                <w:szCs w:val="21"/>
                <w:highlight w:val="none"/>
                <w:lang w:val="zh-CN"/>
              </w:rPr>
            </w:pPr>
          </w:p>
        </w:tc>
        <w:tc>
          <w:tcPr>
            <w:tcW w:w="2759" w:type="dxa"/>
            <w:tcBorders>
              <w:top w:val="single" w:color="000000" w:sz="6" w:space="0"/>
              <w:left w:val="single" w:color="000000" w:sz="6" w:space="0"/>
              <w:bottom w:val="single" w:color="000000" w:sz="6" w:space="0"/>
              <w:right w:val="single" w:color="000000" w:sz="6" w:space="0"/>
            </w:tcBorders>
            <w:vAlign w:val="center"/>
          </w:tcPr>
          <w:p w14:paraId="5337D517">
            <w:pPr>
              <w:ind w:firstLine="430"/>
              <w:jc w:val="center"/>
              <w:rPr>
                <w:rFonts w:ascii="Arial" w:hAnsi="Arial"/>
                <w:color w:val="auto"/>
                <w:szCs w:val="21"/>
                <w:highlight w:val="none"/>
                <w:lang w:val="zh-CN"/>
              </w:rPr>
            </w:pPr>
          </w:p>
        </w:tc>
        <w:tc>
          <w:tcPr>
            <w:tcW w:w="3294" w:type="dxa"/>
            <w:gridSpan w:val="2"/>
            <w:tcBorders>
              <w:top w:val="single" w:color="000000" w:sz="6" w:space="0"/>
              <w:left w:val="single" w:color="000000" w:sz="6" w:space="0"/>
              <w:bottom w:val="single" w:color="000000" w:sz="6" w:space="0"/>
              <w:right w:val="single" w:color="000000" w:sz="6" w:space="0"/>
            </w:tcBorders>
            <w:vAlign w:val="center"/>
          </w:tcPr>
          <w:p w14:paraId="1FF6BAF2">
            <w:pPr>
              <w:ind w:firstLine="430"/>
              <w:jc w:val="center"/>
              <w:rPr>
                <w:rFonts w:ascii="Arial" w:hAnsi="Arial"/>
                <w:color w:val="auto"/>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vAlign w:val="center"/>
          </w:tcPr>
          <w:p w14:paraId="576EA124">
            <w:pPr>
              <w:ind w:firstLine="430"/>
              <w:jc w:val="center"/>
              <w:rPr>
                <w:rFonts w:ascii="Arial" w:hAnsi="Arial"/>
                <w:color w:val="auto"/>
                <w:szCs w:val="21"/>
                <w:highlight w:val="none"/>
                <w:lang w:val="zh-CN"/>
              </w:rPr>
            </w:pPr>
          </w:p>
        </w:tc>
      </w:tr>
      <w:tr w14:paraId="4AD34F1A">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19DA5FBB">
            <w:pPr>
              <w:ind w:firstLine="430"/>
              <w:jc w:val="center"/>
              <w:rPr>
                <w:rFonts w:ascii="Arial" w:hAnsi="Arial"/>
                <w:color w:val="auto"/>
                <w:szCs w:val="21"/>
                <w:highlight w:val="none"/>
                <w:lang w:val="zh-CN"/>
              </w:rPr>
            </w:pPr>
          </w:p>
        </w:tc>
        <w:tc>
          <w:tcPr>
            <w:tcW w:w="1656" w:type="dxa"/>
            <w:tcBorders>
              <w:top w:val="single" w:color="000000" w:sz="6" w:space="0"/>
              <w:left w:val="single" w:color="000000" w:sz="6" w:space="0"/>
              <w:bottom w:val="single" w:color="000000" w:sz="6" w:space="0"/>
              <w:right w:val="single" w:color="000000" w:sz="6" w:space="0"/>
            </w:tcBorders>
            <w:vAlign w:val="center"/>
          </w:tcPr>
          <w:p w14:paraId="69975AD4">
            <w:pPr>
              <w:ind w:firstLine="430"/>
              <w:jc w:val="center"/>
              <w:rPr>
                <w:rFonts w:ascii="Arial" w:hAnsi="Arial"/>
                <w:color w:val="auto"/>
                <w:szCs w:val="21"/>
                <w:highlight w:val="none"/>
                <w:lang w:val="zh-CN"/>
              </w:rPr>
            </w:pPr>
          </w:p>
        </w:tc>
        <w:tc>
          <w:tcPr>
            <w:tcW w:w="2759" w:type="dxa"/>
            <w:tcBorders>
              <w:top w:val="single" w:color="000000" w:sz="6" w:space="0"/>
              <w:left w:val="single" w:color="000000" w:sz="6" w:space="0"/>
              <w:bottom w:val="single" w:color="000000" w:sz="6" w:space="0"/>
              <w:right w:val="single" w:color="000000" w:sz="6" w:space="0"/>
            </w:tcBorders>
            <w:vAlign w:val="center"/>
          </w:tcPr>
          <w:p w14:paraId="6E84654F">
            <w:pPr>
              <w:ind w:firstLine="430"/>
              <w:jc w:val="center"/>
              <w:rPr>
                <w:rFonts w:ascii="Arial" w:hAnsi="Arial"/>
                <w:color w:val="auto"/>
                <w:szCs w:val="21"/>
                <w:highlight w:val="none"/>
                <w:lang w:val="zh-CN"/>
              </w:rPr>
            </w:pPr>
          </w:p>
        </w:tc>
        <w:tc>
          <w:tcPr>
            <w:tcW w:w="3294" w:type="dxa"/>
            <w:gridSpan w:val="2"/>
            <w:tcBorders>
              <w:top w:val="single" w:color="000000" w:sz="6" w:space="0"/>
              <w:left w:val="single" w:color="000000" w:sz="6" w:space="0"/>
              <w:bottom w:val="single" w:color="000000" w:sz="6" w:space="0"/>
              <w:right w:val="single" w:color="000000" w:sz="6" w:space="0"/>
            </w:tcBorders>
            <w:vAlign w:val="center"/>
          </w:tcPr>
          <w:p w14:paraId="682F6FEC">
            <w:pPr>
              <w:ind w:firstLine="430"/>
              <w:jc w:val="center"/>
              <w:rPr>
                <w:rFonts w:ascii="Arial" w:hAnsi="Arial"/>
                <w:color w:val="auto"/>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vAlign w:val="center"/>
          </w:tcPr>
          <w:p w14:paraId="7EE5A40C">
            <w:pPr>
              <w:ind w:firstLine="430"/>
              <w:jc w:val="center"/>
              <w:rPr>
                <w:rFonts w:ascii="Arial" w:hAnsi="Arial"/>
                <w:color w:val="auto"/>
                <w:szCs w:val="21"/>
                <w:highlight w:val="none"/>
                <w:lang w:val="zh-CN"/>
              </w:rPr>
            </w:pPr>
          </w:p>
        </w:tc>
      </w:tr>
    </w:tbl>
    <w:p w14:paraId="278E8445">
      <w:pPr>
        <w:widowControl/>
        <w:shd w:val="clear" w:color="auto" w:fill="FFFFFF"/>
        <w:spacing w:line="360" w:lineRule="auto"/>
        <w:ind w:firstLine="430"/>
        <w:jc w:val="left"/>
        <w:rPr>
          <w:rFonts w:ascii="Arial" w:hAnsi="Arial"/>
          <w:color w:val="auto"/>
          <w:szCs w:val="21"/>
          <w:highlight w:val="none"/>
        </w:rPr>
      </w:pPr>
      <w:r>
        <w:rPr>
          <w:rFonts w:ascii="Arial" w:hAnsi="Arial"/>
          <w:color w:val="auto"/>
          <w:szCs w:val="21"/>
          <w:highlight w:val="none"/>
        </w:rPr>
        <w:t>说明：</w:t>
      </w:r>
      <w:r>
        <w:rPr>
          <w:rFonts w:hint="eastAsia" w:ascii="Arial" w:hAnsi="Arial"/>
          <w:color w:val="auto"/>
          <w:szCs w:val="21"/>
          <w:highlight w:val="none"/>
        </w:rPr>
        <w:t>磋商响应文件商务部分内容响应存在正偏离或负偏离或者无偏离的，请在本表中逐条列出。未列出的，视为响应磋商文件要求。</w:t>
      </w:r>
      <w:r>
        <w:rPr>
          <w:rFonts w:ascii="Arial" w:hAnsi="Arial"/>
          <w:color w:val="auto"/>
          <w:szCs w:val="21"/>
          <w:highlight w:val="none"/>
        </w:rPr>
        <w:t>如果行数不够，请自行增加。</w:t>
      </w:r>
    </w:p>
    <w:p w14:paraId="21750D28">
      <w:pPr>
        <w:widowControl/>
        <w:shd w:val="clear" w:color="auto" w:fill="FFFFFF"/>
        <w:spacing w:line="360" w:lineRule="auto"/>
        <w:ind w:firstLine="430"/>
        <w:jc w:val="left"/>
        <w:rPr>
          <w:rFonts w:ascii="Arial" w:hAnsi="Arial"/>
          <w:color w:val="auto"/>
          <w:szCs w:val="21"/>
          <w:highlight w:val="none"/>
        </w:rPr>
      </w:pPr>
    </w:p>
    <w:p w14:paraId="228672F4">
      <w:pPr>
        <w:widowControl/>
        <w:shd w:val="clear" w:color="auto" w:fill="FFFFFF"/>
        <w:spacing w:line="360" w:lineRule="auto"/>
        <w:ind w:firstLine="430"/>
        <w:jc w:val="left"/>
        <w:rPr>
          <w:rFonts w:ascii="Arial" w:hAnsi="Arial"/>
          <w:color w:val="auto"/>
          <w:szCs w:val="21"/>
          <w:highlight w:val="none"/>
        </w:rPr>
      </w:pPr>
      <w:r>
        <w:rPr>
          <w:rFonts w:hint="eastAsia" w:ascii="Arial" w:hAnsi="Arial"/>
          <w:color w:val="auto"/>
          <w:szCs w:val="21"/>
          <w:highlight w:val="none"/>
        </w:rPr>
        <w:t>供应商名称（加盖电子公章）：</w:t>
      </w:r>
      <w:r>
        <w:rPr>
          <w:rFonts w:ascii="Arial" w:hAnsi="Arial"/>
          <w:color w:val="auto"/>
          <w:szCs w:val="21"/>
          <w:highlight w:val="none"/>
          <w:u w:val="single"/>
        </w:rPr>
        <w:t xml:space="preserve">            </w:t>
      </w:r>
    </w:p>
    <w:p w14:paraId="1AF4AFB1">
      <w:pPr>
        <w:widowControl/>
        <w:shd w:val="clear" w:color="auto" w:fill="FFFFFF"/>
        <w:spacing w:line="360" w:lineRule="auto"/>
        <w:ind w:firstLine="430"/>
        <w:jc w:val="left"/>
        <w:rPr>
          <w:rFonts w:ascii="Arial" w:hAnsi="Arial"/>
          <w:color w:val="auto"/>
          <w:szCs w:val="21"/>
          <w:highlight w:val="none"/>
        </w:rPr>
      </w:pPr>
      <w:r>
        <w:rPr>
          <w:rFonts w:ascii="Arial" w:hAnsi="Arial"/>
          <w:color w:val="auto"/>
          <w:szCs w:val="21"/>
          <w:highlight w:val="none"/>
        </w:rPr>
        <w:t>日    期：   年    月    日</w:t>
      </w:r>
    </w:p>
    <w:p w14:paraId="3804E3DB">
      <w:pPr>
        <w:widowControl/>
        <w:shd w:val="clear" w:color="auto" w:fill="FFFFFF"/>
        <w:spacing w:line="360" w:lineRule="auto"/>
        <w:ind w:firstLine="431"/>
        <w:jc w:val="left"/>
        <w:rPr>
          <w:rFonts w:ascii="Arial" w:hAnsi="Arial"/>
          <w:b/>
          <w:bCs/>
          <w:color w:val="auto"/>
          <w:szCs w:val="21"/>
          <w:highlight w:val="none"/>
          <w:lang w:val="zh-CN"/>
        </w:rPr>
      </w:pPr>
    </w:p>
    <w:p w14:paraId="2EA61822">
      <w:pPr>
        <w:widowControl/>
        <w:shd w:val="clear" w:color="auto" w:fill="FFFFFF"/>
        <w:spacing w:line="360" w:lineRule="auto"/>
        <w:ind w:firstLine="431"/>
        <w:jc w:val="left"/>
        <w:rPr>
          <w:rFonts w:ascii="Arial" w:hAnsi="Arial"/>
          <w:b/>
          <w:bCs/>
          <w:color w:val="auto"/>
          <w:szCs w:val="21"/>
          <w:highlight w:val="none"/>
          <w:lang w:val="zh-CN"/>
        </w:rPr>
      </w:pPr>
    </w:p>
    <w:p w14:paraId="34F8A672">
      <w:pPr>
        <w:widowControl/>
        <w:shd w:val="clear" w:color="auto" w:fill="FFFFFF"/>
        <w:spacing w:line="360" w:lineRule="auto"/>
        <w:ind w:firstLine="431"/>
        <w:jc w:val="left"/>
        <w:rPr>
          <w:rFonts w:ascii="Arial" w:hAnsi="Arial"/>
          <w:b/>
          <w:bCs/>
          <w:color w:val="auto"/>
          <w:szCs w:val="21"/>
          <w:highlight w:val="none"/>
          <w:lang w:val="zh-CN"/>
        </w:rPr>
      </w:pPr>
    </w:p>
    <w:p w14:paraId="421631F0">
      <w:pPr>
        <w:widowControl/>
        <w:shd w:val="clear" w:color="auto" w:fill="FFFFFF"/>
        <w:spacing w:line="360" w:lineRule="auto"/>
        <w:ind w:firstLine="431"/>
        <w:jc w:val="left"/>
        <w:rPr>
          <w:rFonts w:ascii="Arial" w:hAnsi="Arial"/>
          <w:b/>
          <w:bCs/>
          <w:color w:val="auto"/>
          <w:szCs w:val="21"/>
          <w:highlight w:val="none"/>
          <w:lang w:val="zh-CN"/>
        </w:rPr>
      </w:pPr>
    </w:p>
    <w:p w14:paraId="6886ABD0">
      <w:pPr>
        <w:widowControl/>
        <w:shd w:val="clear" w:color="auto" w:fill="FFFFFF"/>
        <w:spacing w:line="360" w:lineRule="auto"/>
        <w:ind w:firstLine="431"/>
        <w:jc w:val="left"/>
        <w:rPr>
          <w:rFonts w:ascii="Arial" w:hAnsi="Arial"/>
          <w:b/>
          <w:bCs/>
          <w:color w:val="auto"/>
          <w:szCs w:val="21"/>
          <w:highlight w:val="none"/>
          <w:lang w:val="zh-CN"/>
        </w:rPr>
      </w:pPr>
    </w:p>
    <w:bookmarkEnd w:id="62"/>
    <w:bookmarkEnd w:id="63"/>
    <w:bookmarkEnd w:id="64"/>
    <w:bookmarkEnd w:id="65"/>
    <w:bookmarkEnd w:id="66"/>
    <w:bookmarkEnd w:id="67"/>
    <w:bookmarkEnd w:id="68"/>
    <w:bookmarkEnd w:id="69"/>
    <w:p w14:paraId="117A2C6C">
      <w:pPr>
        <w:ind w:firstLine="431"/>
        <w:outlineLvl w:val="2"/>
        <w:rPr>
          <w:rFonts w:ascii="Arial" w:hAnsi="Arial"/>
          <w:color w:val="auto"/>
          <w:sz w:val="28"/>
          <w:szCs w:val="28"/>
          <w:highlight w:val="none"/>
        </w:rPr>
      </w:pPr>
      <w:r>
        <w:rPr>
          <w:rFonts w:ascii="Arial" w:hAnsi="Arial"/>
          <w:b/>
          <w:bCs/>
          <w:color w:val="auto"/>
          <w:szCs w:val="21"/>
          <w:highlight w:val="none"/>
        </w:rPr>
        <w:br w:type="page" w:clear="all"/>
      </w:r>
      <w:bookmarkStart w:id="70" w:name="_Toc19168"/>
      <w:r>
        <w:rPr>
          <w:rFonts w:hint="eastAsia" w:ascii="Arial" w:hAnsi="Arial"/>
          <w:color w:val="auto"/>
          <w:sz w:val="28"/>
          <w:szCs w:val="28"/>
          <w:highlight w:val="none"/>
        </w:rPr>
        <w:t>6、采购需求条款偏离表</w:t>
      </w:r>
      <w:bookmarkEnd w:id="70"/>
    </w:p>
    <w:p w14:paraId="1706E741">
      <w:pPr>
        <w:spacing w:before="312" w:after="312"/>
        <w:ind w:firstLine="431"/>
        <w:rPr>
          <w:rFonts w:ascii="Arial" w:hAnsi="Arial"/>
          <w:b/>
          <w:bCs/>
          <w:color w:val="auto"/>
          <w:szCs w:val="21"/>
          <w:highlight w:val="none"/>
        </w:rPr>
      </w:pPr>
    </w:p>
    <w:p w14:paraId="7EE26F0B">
      <w:pPr>
        <w:ind w:firstLine="431"/>
        <w:rPr>
          <w:rFonts w:ascii="Arial" w:hAnsi="Arial"/>
          <w:b/>
          <w:color w:val="auto"/>
          <w:szCs w:val="21"/>
          <w:highlight w:val="none"/>
        </w:rPr>
      </w:pPr>
    </w:p>
    <w:p w14:paraId="4FCAEF4F">
      <w:pPr>
        <w:widowControl/>
        <w:shd w:val="clear" w:color="auto" w:fill="FFFFFF"/>
        <w:spacing w:before="312" w:line="360" w:lineRule="auto"/>
        <w:ind w:firstLine="733"/>
        <w:jc w:val="center"/>
        <w:rPr>
          <w:rFonts w:ascii="Arial" w:hAnsi="Arial"/>
          <w:b/>
          <w:color w:val="auto"/>
          <w:sz w:val="36"/>
          <w:szCs w:val="36"/>
          <w:highlight w:val="none"/>
        </w:rPr>
      </w:pPr>
      <w:r>
        <w:rPr>
          <w:rFonts w:ascii="Arial" w:hAnsi="Arial"/>
          <w:b/>
          <w:color w:val="auto"/>
          <w:sz w:val="36"/>
          <w:szCs w:val="36"/>
          <w:highlight w:val="none"/>
        </w:rPr>
        <w:t>采购需求条款偏离表</w:t>
      </w:r>
    </w:p>
    <w:p w14:paraId="374B7C59">
      <w:pPr>
        <w:ind w:firstLine="430"/>
        <w:rPr>
          <w:rFonts w:ascii="Arial" w:hAnsi="Arial"/>
          <w:color w:val="auto"/>
          <w:szCs w:val="21"/>
          <w:highlight w:val="none"/>
          <w:lang w:val="zh-CN"/>
        </w:rPr>
      </w:pPr>
      <w:r>
        <w:rPr>
          <w:rFonts w:ascii="Arial" w:hAnsi="Arial"/>
          <w:color w:val="auto"/>
          <w:szCs w:val="21"/>
          <w:highlight w:val="none"/>
          <w:lang w:val="zh-CN"/>
        </w:rPr>
        <w:t xml:space="preserve">                        </w:t>
      </w:r>
    </w:p>
    <w:p w14:paraId="65EE2338">
      <w:pPr>
        <w:ind w:firstLine="430"/>
        <w:rPr>
          <w:rFonts w:ascii="Arial" w:hAnsi="Arial"/>
          <w:color w:val="auto"/>
          <w:szCs w:val="21"/>
          <w:highlight w:val="none"/>
        </w:rPr>
      </w:pPr>
      <w:r>
        <w:rPr>
          <w:rFonts w:ascii="Arial" w:hAnsi="Arial"/>
          <w:color w:val="auto"/>
          <w:szCs w:val="21"/>
          <w:highlight w:val="none"/>
        </w:rPr>
        <w:t xml:space="preserve">                                         </w:t>
      </w:r>
    </w:p>
    <w:tbl>
      <w:tblPr>
        <w:tblStyle w:val="54"/>
        <w:tblW w:w="0" w:type="auto"/>
        <w:jc w:val="center"/>
        <w:tblLayout w:type="fixed"/>
        <w:tblCellMar>
          <w:top w:w="0" w:type="dxa"/>
          <w:left w:w="10" w:type="dxa"/>
          <w:bottom w:w="0" w:type="dxa"/>
          <w:right w:w="10" w:type="dxa"/>
        </w:tblCellMar>
      </w:tblPr>
      <w:tblGrid>
        <w:gridCol w:w="665"/>
        <w:gridCol w:w="2549"/>
        <w:gridCol w:w="2820"/>
        <w:gridCol w:w="702"/>
        <w:gridCol w:w="1638"/>
        <w:gridCol w:w="1038"/>
      </w:tblGrid>
      <w:tr w14:paraId="50D674F0">
        <w:tblPrEx>
          <w:tblCellMar>
            <w:top w:w="0" w:type="dxa"/>
            <w:left w:w="10" w:type="dxa"/>
            <w:bottom w:w="0" w:type="dxa"/>
            <w:right w:w="10" w:type="dxa"/>
          </w:tblCellMar>
        </w:tblPrEx>
        <w:trPr>
          <w:trHeight w:val="284" w:hRule="atLeast"/>
          <w:jc w:val="center"/>
        </w:trPr>
        <w:tc>
          <w:tcPr>
            <w:tcW w:w="6736" w:type="dxa"/>
            <w:gridSpan w:val="4"/>
            <w:tcBorders>
              <w:top w:val="nil"/>
              <w:left w:val="nil"/>
              <w:bottom w:val="single" w:color="000000" w:sz="6" w:space="0"/>
              <w:right w:val="nil"/>
            </w:tcBorders>
            <w:vAlign w:val="center"/>
          </w:tcPr>
          <w:p w14:paraId="7BCA00B8">
            <w:pPr>
              <w:ind w:firstLine="430"/>
              <w:jc w:val="left"/>
              <w:rPr>
                <w:rFonts w:ascii="Arial" w:hAnsi="Arial"/>
                <w:color w:val="auto"/>
                <w:szCs w:val="21"/>
                <w:highlight w:val="none"/>
                <w:lang w:val="zh-CN"/>
              </w:rPr>
            </w:pPr>
            <w:r>
              <w:rPr>
                <w:rFonts w:ascii="Arial" w:hAnsi="Arial"/>
                <w:color w:val="auto"/>
                <w:szCs w:val="21"/>
                <w:highlight w:val="none"/>
                <w:lang w:val="zh-CN"/>
              </w:rPr>
              <w:t>项目名称：</w:t>
            </w:r>
          </w:p>
        </w:tc>
        <w:tc>
          <w:tcPr>
            <w:tcW w:w="2676" w:type="dxa"/>
            <w:gridSpan w:val="2"/>
            <w:tcBorders>
              <w:top w:val="nil"/>
              <w:left w:val="nil"/>
              <w:bottom w:val="single" w:color="000000" w:sz="6" w:space="0"/>
              <w:right w:val="nil"/>
            </w:tcBorders>
            <w:vAlign w:val="center"/>
          </w:tcPr>
          <w:p w14:paraId="0F8A89D5">
            <w:pPr>
              <w:ind w:firstLine="430"/>
              <w:jc w:val="left"/>
              <w:rPr>
                <w:rFonts w:ascii="Arial" w:hAnsi="Arial"/>
                <w:color w:val="auto"/>
                <w:szCs w:val="21"/>
                <w:highlight w:val="none"/>
                <w:lang w:val="zh-CN"/>
              </w:rPr>
            </w:pPr>
            <w:r>
              <w:rPr>
                <w:rFonts w:ascii="Arial" w:hAnsi="Arial"/>
                <w:color w:val="auto"/>
                <w:szCs w:val="21"/>
                <w:highlight w:val="none"/>
                <w:lang w:val="zh-CN"/>
              </w:rPr>
              <w:t xml:space="preserve">项目编号： </w:t>
            </w:r>
          </w:p>
        </w:tc>
      </w:tr>
      <w:tr w14:paraId="4526DBD9">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4E50FCBE">
            <w:pPr>
              <w:rPr>
                <w:rFonts w:ascii="Arial" w:hAnsi="Arial"/>
                <w:color w:val="auto"/>
                <w:szCs w:val="21"/>
                <w:highlight w:val="none"/>
                <w:lang w:val="zh-CN"/>
              </w:rPr>
            </w:pPr>
            <w:r>
              <w:rPr>
                <w:rFonts w:ascii="Arial" w:hAnsi="Arial"/>
                <w:color w:val="auto"/>
                <w:szCs w:val="21"/>
                <w:highlight w:val="none"/>
                <w:lang w:val="zh-CN"/>
              </w:rPr>
              <w:t>序号</w:t>
            </w:r>
          </w:p>
        </w:tc>
        <w:tc>
          <w:tcPr>
            <w:tcW w:w="2549" w:type="dxa"/>
            <w:tcBorders>
              <w:top w:val="single" w:color="000000" w:sz="6" w:space="0"/>
              <w:left w:val="single" w:color="000000" w:sz="6" w:space="0"/>
              <w:bottom w:val="single" w:color="000000" w:sz="6" w:space="0"/>
              <w:right w:val="single" w:color="000000" w:sz="6" w:space="0"/>
            </w:tcBorders>
            <w:vAlign w:val="center"/>
          </w:tcPr>
          <w:p w14:paraId="13FCF1E6">
            <w:pPr>
              <w:ind w:firstLine="430"/>
              <w:jc w:val="center"/>
              <w:rPr>
                <w:rFonts w:ascii="Arial" w:hAnsi="Arial"/>
                <w:color w:val="auto"/>
                <w:szCs w:val="21"/>
                <w:highlight w:val="none"/>
                <w:lang w:val="zh-CN"/>
              </w:rPr>
            </w:pPr>
            <w:r>
              <w:rPr>
                <w:rFonts w:ascii="Arial" w:hAnsi="Arial"/>
                <w:color w:val="auto"/>
                <w:szCs w:val="21"/>
                <w:highlight w:val="none"/>
                <w:lang w:val="zh-CN"/>
              </w:rPr>
              <w:t>采购文件条目号</w:t>
            </w:r>
          </w:p>
        </w:tc>
        <w:tc>
          <w:tcPr>
            <w:tcW w:w="2820" w:type="dxa"/>
            <w:tcBorders>
              <w:top w:val="single" w:color="000000" w:sz="6" w:space="0"/>
              <w:left w:val="single" w:color="000000" w:sz="6" w:space="0"/>
              <w:bottom w:val="single" w:color="000000" w:sz="6" w:space="0"/>
              <w:right w:val="single" w:color="000000" w:sz="6" w:space="0"/>
            </w:tcBorders>
            <w:vAlign w:val="center"/>
          </w:tcPr>
          <w:p w14:paraId="69D8B51B">
            <w:pPr>
              <w:ind w:firstLine="431"/>
              <w:jc w:val="center"/>
              <w:rPr>
                <w:rFonts w:ascii="Arial" w:hAnsi="Arial"/>
                <w:b/>
                <w:color w:val="auto"/>
                <w:szCs w:val="21"/>
                <w:highlight w:val="none"/>
              </w:rPr>
            </w:pPr>
            <w:r>
              <w:rPr>
                <w:rFonts w:hint="eastAsia" w:ascii="Arial" w:hAnsi="Arial"/>
                <w:b/>
                <w:color w:val="auto"/>
                <w:szCs w:val="21"/>
                <w:highlight w:val="none"/>
              </w:rPr>
              <w:t>条款内容</w:t>
            </w:r>
          </w:p>
        </w:tc>
        <w:tc>
          <w:tcPr>
            <w:tcW w:w="2340" w:type="dxa"/>
            <w:gridSpan w:val="2"/>
            <w:tcBorders>
              <w:top w:val="single" w:color="000000" w:sz="6" w:space="0"/>
              <w:left w:val="single" w:color="000000" w:sz="6" w:space="0"/>
              <w:bottom w:val="single" w:color="000000" w:sz="6" w:space="0"/>
              <w:right w:val="single" w:color="000000" w:sz="6" w:space="0"/>
            </w:tcBorders>
            <w:vAlign w:val="center"/>
          </w:tcPr>
          <w:p w14:paraId="39A8C19F">
            <w:pPr>
              <w:ind w:firstLine="430"/>
              <w:jc w:val="center"/>
              <w:rPr>
                <w:rFonts w:ascii="Arial" w:hAnsi="Arial"/>
                <w:color w:val="auto"/>
                <w:szCs w:val="21"/>
                <w:highlight w:val="none"/>
                <w:lang w:val="zh-CN"/>
              </w:rPr>
            </w:pPr>
            <w:r>
              <w:rPr>
                <w:rFonts w:ascii="Arial" w:hAnsi="Arial"/>
                <w:color w:val="auto"/>
                <w:szCs w:val="21"/>
                <w:highlight w:val="none"/>
                <w:lang w:val="zh-CN"/>
              </w:rPr>
              <w:t>磋商响应</w:t>
            </w:r>
          </w:p>
        </w:tc>
        <w:tc>
          <w:tcPr>
            <w:tcW w:w="1038" w:type="dxa"/>
            <w:tcBorders>
              <w:top w:val="single" w:color="000000" w:sz="6" w:space="0"/>
              <w:left w:val="single" w:color="000000" w:sz="6" w:space="0"/>
              <w:bottom w:val="single" w:color="000000" w:sz="6" w:space="0"/>
              <w:right w:val="single" w:color="000000" w:sz="6" w:space="0"/>
            </w:tcBorders>
            <w:vAlign w:val="center"/>
          </w:tcPr>
          <w:p w14:paraId="1A18D16C">
            <w:pPr>
              <w:rPr>
                <w:rFonts w:ascii="Arial" w:hAnsi="Arial"/>
                <w:color w:val="auto"/>
                <w:szCs w:val="21"/>
                <w:highlight w:val="none"/>
                <w:lang w:val="zh-CN"/>
              </w:rPr>
            </w:pPr>
            <w:r>
              <w:rPr>
                <w:rFonts w:ascii="Arial" w:hAnsi="Arial"/>
                <w:color w:val="auto"/>
                <w:szCs w:val="21"/>
                <w:highlight w:val="none"/>
                <w:lang w:val="zh-CN"/>
              </w:rPr>
              <w:t>偏离说明</w:t>
            </w:r>
          </w:p>
        </w:tc>
      </w:tr>
      <w:tr w14:paraId="4D5D1A3E">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7ECCF5D6">
            <w:pPr>
              <w:ind w:firstLine="430"/>
              <w:jc w:val="center"/>
              <w:rPr>
                <w:rFonts w:ascii="Arial" w:hAnsi="Arial"/>
                <w:color w:val="auto"/>
                <w:szCs w:val="21"/>
                <w:highlight w:val="none"/>
                <w:lang w:val="zh-CN"/>
              </w:rPr>
            </w:pPr>
          </w:p>
        </w:tc>
        <w:tc>
          <w:tcPr>
            <w:tcW w:w="2549" w:type="dxa"/>
            <w:tcBorders>
              <w:top w:val="single" w:color="000000" w:sz="6" w:space="0"/>
              <w:left w:val="single" w:color="000000" w:sz="6" w:space="0"/>
              <w:bottom w:val="single" w:color="000000" w:sz="6" w:space="0"/>
              <w:right w:val="single" w:color="000000" w:sz="6" w:space="0"/>
            </w:tcBorders>
            <w:vAlign w:val="center"/>
          </w:tcPr>
          <w:p w14:paraId="18000310">
            <w:pPr>
              <w:ind w:firstLine="430"/>
              <w:jc w:val="center"/>
              <w:rPr>
                <w:rFonts w:ascii="Arial" w:hAnsi="Arial"/>
                <w:color w:val="auto"/>
                <w:szCs w:val="21"/>
                <w:highlight w:val="none"/>
                <w:lang w:val="zh-CN"/>
              </w:rPr>
            </w:pPr>
          </w:p>
        </w:tc>
        <w:tc>
          <w:tcPr>
            <w:tcW w:w="2820" w:type="dxa"/>
            <w:tcBorders>
              <w:top w:val="single" w:color="000000" w:sz="6" w:space="0"/>
              <w:left w:val="single" w:color="000000" w:sz="6" w:space="0"/>
              <w:bottom w:val="single" w:color="000000" w:sz="6" w:space="0"/>
              <w:right w:val="single" w:color="000000" w:sz="6" w:space="0"/>
            </w:tcBorders>
            <w:vAlign w:val="center"/>
          </w:tcPr>
          <w:p w14:paraId="53823B14">
            <w:pPr>
              <w:ind w:firstLine="430"/>
              <w:jc w:val="center"/>
              <w:rPr>
                <w:rFonts w:ascii="Arial" w:hAnsi="Arial"/>
                <w:color w:val="auto"/>
                <w:szCs w:val="21"/>
                <w:highlight w:val="none"/>
                <w:lang w:val="zh-CN"/>
              </w:rPr>
            </w:pPr>
          </w:p>
        </w:tc>
        <w:tc>
          <w:tcPr>
            <w:tcW w:w="2340" w:type="dxa"/>
            <w:gridSpan w:val="2"/>
            <w:tcBorders>
              <w:top w:val="single" w:color="000000" w:sz="6" w:space="0"/>
              <w:left w:val="single" w:color="000000" w:sz="6" w:space="0"/>
              <w:bottom w:val="single" w:color="000000" w:sz="6" w:space="0"/>
              <w:right w:val="single" w:color="000000" w:sz="6" w:space="0"/>
            </w:tcBorders>
            <w:vAlign w:val="center"/>
          </w:tcPr>
          <w:p w14:paraId="462145EF">
            <w:pPr>
              <w:ind w:firstLine="430"/>
              <w:jc w:val="center"/>
              <w:rPr>
                <w:rFonts w:ascii="Arial" w:hAnsi="Arial"/>
                <w:color w:val="auto"/>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vAlign w:val="center"/>
          </w:tcPr>
          <w:p w14:paraId="0584A93C">
            <w:pPr>
              <w:ind w:firstLine="430"/>
              <w:jc w:val="center"/>
              <w:rPr>
                <w:rFonts w:ascii="Arial" w:hAnsi="Arial"/>
                <w:color w:val="auto"/>
                <w:szCs w:val="21"/>
                <w:highlight w:val="none"/>
                <w:lang w:val="zh-CN"/>
              </w:rPr>
            </w:pPr>
          </w:p>
        </w:tc>
      </w:tr>
      <w:tr w14:paraId="31ACDD45">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07C4A640">
            <w:pPr>
              <w:ind w:firstLine="430"/>
              <w:jc w:val="center"/>
              <w:rPr>
                <w:rFonts w:ascii="Arial" w:hAnsi="Arial"/>
                <w:color w:val="auto"/>
                <w:szCs w:val="21"/>
                <w:highlight w:val="none"/>
                <w:lang w:val="zh-CN"/>
              </w:rPr>
            </w:pPr>
          </w:p>
        </w:tc>
        <w:tc>
          <w:tcPr>
            <w:tcW w:w="2549" w:type="dxa"/>
            <w:tcBorders>
              <w:top w:val="single" w:color="000000" w:sz="6" w:space="0"/>
              <w:left w:val="single" w:color="000000" w:sz="6" w:space="0"/>
              <w:bottom w:val="single" w:color="000000" w:sz="6" w:space="0"/>
              <w:right w:val="single" w:color="000000" w:sz="6" w:space="0"/>
            </w:tcBorders>
            <w:vAlign w:val="center"/>
          </w:tcPr>
          <w:p w14:paraId="1E2AA40B">
            <w:pPr>
              <w:ind w:firstLine="430"/>
              <w:jc w:val="center"/>
              <w:rPr>
                <w:rFonts w:ascii="Arial" w:hAnsi="Arial"/>
                <w:color w:val="auto"/>
                <w:szCs w:val="21"/>
                <w:highlight w:val="none"/>
                <w:lang w:val="zh-CN"/>
              </w:rPr>
            </w:pPr>
          </w:p>
        </w:tc>
        <w:tc>
          <w:tcPr>
            <w:tcW w:w="2820" w:type="dxa"/>
            <w:tcBorders>
              <w:top w:val="single" w:color="000000" w:sz="6" w:space="0"/>
              <w:left w:val="single" w:color="000000" w:sz="6" w:space="0"/>
              <w:bottom w:val="single" w:color="000000" w:sz="6" w:space="0"/>
              <w:right w:val="single" w:color="000000" w:sz="6" w:space="0"/>
            </w:tcBorders>
            <w:vAlign w:val="center"/>
          </w:tcPr>
          <w:p w14:paraId="64E3F5B6">
            <w:pPr>
              <w:ind w:firstLine="430"/>
              <w:jc w:val="center"/>
              <w:rPr>
                <w:rFonts w:ascii="Arial" w:hAnsi="Arial"/>
                <w:color w:val="auto"/>
                <w:szCs w:val="21"/>
                <w:highlight w:val="none"/>
                <w:lang w:val="zh-CN"/>
              </w:rPr>
            </w:pPr>
          </w:p>
        </w:tc>
        <w:tc>
          <w:tcPr>
            <w:tcW w:w="2340" w:type="dxa"/>
            <w:gridSpan w:val="2"/>
            <w:tcBorders>
              <w:top w:val="single" w:color="000000" w:sz="6" w:space="0"/>
              <w:left w:val="single" w:color="000000" w:sz="6" w:space="0"/>
              <w:bottom w:val="single" w:color="000000" w:sz="6" w:space="0"/>
              <w:right w:val="single" w:color="000000" w:sz="6" w:space="0"/>
            </w:tcBorders>
            <w:vAlign w:val="center"/>
          </w:tcPr>
          <w:p w14:paraId="18563E68">
            <w:pPr>
              <w:ind w:firstLine="430"/>
              <w:jc w:val="center"/>
              <w:rPr>
                <w:rFonts w:ascii="Arial" w:hAnsi="Arial"/>
                <w:color w:val="auto"/>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vAlign w:val="center"/>
          </w:tcPr>
          <w:p w14:paraId="3FA4D5DA">
            <w:pPr>
              <w:ind w:firstLine="430"/>
              <w:jc w:val="center"/>
              <w:rPr>
                <w:rFonts w:ascii="Arial" w:hAnsi="Arial"/>
                <w:color w:val="auto"/>
                <w:szCs w:val="21"/>
                <w:highlight w:val="none"/>
                <w:lang w:val="zh-CN"/>
              </w:rPr>
            </w:pPr>
          </w:p>
        </w:tc>
      </w:tr>
      <w:tr w14:paraId="6ECDFD0D">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4FB16812">
            <w:pPr>
              <w:ind w:firstLine="430"/>
              <w:jc w:val="center"/>
              <w:rPr>
                <w:rFonts w:ascii="Arial" w:hAnsi="Arial"/>
                <w:color w:val="auto"/>
                <w:szCs w:val="21"/>
                <w:highlight w:val="none"/>
                <w:lang w:val="zh-CN"/>
              </w:rPr>
            </w:pPr>
          </w:p>
        </w:tc>
        <w:tc>
          <w:tcPr>
            <w:tcW w:w="2549" w:type="dxa"/>
            <w:tcBorders>
              <w:top w:val="single" w:color="000000" w:sz="6" w:space="0"/>
              <w:left w:val="single" w:color="000000" w:sz="6" w:space="0"/>
              <w:bottom w:val="single" w:color="000000" w:sz="6" w:space="0"/>
              <w:right w:val="single" w:color="000000" w:sz="6" w:space="0"/>
            </w:tcBorders>
            <w:vAlign w:val="center"/>
          </w:tcPr>
          <w:p w14:paraId="63F269BB">
            <w:pPr>
              <w:ind w:firstLine="430"/>
              <w:jc w:val="center"/>
              <w:rPr>
                <w:rFonts w:ascii="Arial" w:hAnsi="Arial"/>
                <w:color w:val="auto"/>
                <w:szCs w:val="21"/>
                <w:highlight w:val="none"/>
                <w:lang w:val="zh-CN"/>
              </w:rPr>
            </w:pPr>
          </w:p>
        </w:tc>
        <w:tc>
          <w:tcPr>
            <w:tcW w:w="2820" w:type="dxa"/>
            <w:tcBorders>
              <w:top w:val="single" w:color="000000" w:sz="6" w:space="0"/>
              <w:left w:val="single" w:color="000000" w:sz="6" w:space="0"/>
              <w:bottom w:val="single" w:color="000000" w:sz="6" w:space="0"/>
              <w:right w:val="single" w:color="000000" w:sz="6" w:space="0"/>
            </w:tcBorders>
            <w:vAlign w:val="center"/>
          </w:tcPr>
          <w:p w14:paraId="65CF1A0D">
            <w:pPr>
              <w:ind w:firstLine="430"/>
              <w:jc w:val="center"/>
              <w:rPr>
                <w:rFonts w:ascii="Arial" w:hAnsi="Arial"/>
                <w:color w:val="auto"/>
                <w:szCs w:val="21"/>
                <w:highlight w:val="none"/>
                <w:lang w:val="zh-CN"/>
              </w:rPr>
            </w:pPr>
          </w:p>
        </w:tc>
        <w:tc>
          <w:tcPr>
            <w:tcW w:w="2340" w:type="dxa"/>
            <w:gridSpan w:val="2"/>
            <w:tcBorders>
              <w:top w:val="single" w:color="000000" w:sz="6" w:space="0"/>
              <w:left w:val="single" w:color="000000" w:sz="6" w:space="0"/>
              <w:bottom w:val="single" w:color="000000" w:sz="6" w:space="0"/>
              <w:right w:val="single" w:color="000000" w:sz="6" w:space="0"/>
            </w:tcBorders>
            <w:vAlign w:val="center"/>
          </w:tcPr>
          <w:p w14:paraId="55274CDF">
            <w:pPr>
              <w:ind w:firstLine="430"/>
              <w:jc w:val="center"/>
              <w:rPr>
                <w:rFonts w:ascii="Arial" w:hAnsi="Arial"/>
                <w:color w:val="auto"/>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vAlign w:val="center"/>
          </w:tcPr>
          <w:p w14:paraId="5FBCF348">
            <w:pPr>
              <w:ind w:firstLine="430"/>
              <w:jc w:val="center"/>
              <w:rPr>
                <w:rFonts w:ascii="Arial" w:hAnsi="Arial"/>
                <w:color w:val="auto"/>
                <w:szCs w:val="21"/>
                <w:highlight w:val="none"/>
                <w:lang w:val="zh-CN"/>
              </w:rPr>
            </w:pPr>
          </w:p>
        </w:tc>
      </w:tr>
      <w:tr w14:paraId="6E15A1D5">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6F71CB23">
            <w:pPr>
              <w:ind w:firstLine="430"/>
              <w:jc w:val="center"/>
              <w:rPr>
                <w:rFonts w:ascii="Arial" w:hAnsi="Arial"/>
                <w:color w:val="auto"/>
                <w:szCs w:val="21"/>
                <w:highlight w:val="none"/>
                <w:lang w:val="zh-CN"/>
              </w:rPr>
            </w:pPr>
          </w:p>
        </w:tc>
        <w:tc>
          <w:tcPr>
            <w:tcW w:w="2549" w:type="dxa"/>
            <w:tcBorders>
              <w:top w:val="single" w:color="000000" w:sz="6" w:space="0"/>
              <w:left w:val="single" w:color="000000" w:sz="6" w:space="0"/>
              <w:bottom w:val="single" w:color="000000" w:sz="6" w:space="0"/>
              <w:right w:val="single" w:color="000000" w:sz="6" w:space="0"/>
            </w:tcBorders>
            <w:vAlign w:val="center"/>
          </w:tcPr>
          <w:p w14:paraId="7B8B01CF">
            <w:pPr>
              <w:ind w:firstLine="430"/>
              <w:jc w:val="center"/>
              <w:rPr>
                <w:rFonts w:ascii="Arial" w:hAnsi="Arial"/>
                <w:color w:val="auto"/>
                <w:szCs w:val="21"/>
                <w:highlight w:val="none"/>
                <w:lang w:val="zh-CN"/>
              </w:rPr>
            </w:pPr>
          </w:p>
        </w:tc>
        <w:tc>
          <w:tcPr>
            <w:tcW w:w="2820" w:type="dxa"/>
            <w:tcBorders>
              <w:top w:val="single" w:color="000000" w:sz="6" w:space="0"/>
              <w:left w:val="single" w:color="000000" w:sz="6" w:space="0"/>
              <w:bottom w:val="single" w:color="000000" w:sz="6" w:space="0"/>
              <w:right w:val="single" w:color="000000" w:sz="6" w:space="0"/>
            </w:tcBorders>
            <w:vAlign w:val="center"/>
          </w:tcPr>
          <w:p w14:paraId="1ED16B65">
            <w:pPr>
              <w:ind w:firstLine="430"/>
              <w:jc w:val="center"/>
              <w:rPr>
                <w:rFonts w:ascii="Arial" w:hAnsi="Arial"/>
                <w:color w:val="auto"/>
                <w:szCs w:val="21"/>
                <w:highlight w:val="none"/>
                <w:lang w:val="zh-CN"/>
              </w:rPr>
            </w:pPr>
          </w:p>
        </w:tc>
        <w:tc>
          <w:tcPr>
            <w:tcW w:w="2340" w:type="dxa"/>
            <w:gridSpan w:val="2"/>
            <w:tcBorders>
              <w:top w:val="single" w:color="000000" w:sz="6" w:space="0"/>
              <w:left w:val="single" w:color="000000" w:sz="6" w:space="0"/>
              <w:bottom w:val="single" w:color="000000" w:sz="6" w:space="0"/>
              <w:right w:val="single" w:color="000000" w:sz="6" w:space="0"/>
            </w:tcBorders>
            <w:vAlign w:val="center"/>
          </w:tcPr>
          <w:p w14:paraId="6311CBA5">
            <w:pPr>
              <w:ind w:firstLine="430"/>
              <w:jc w:val="center"/>
              <w:rPr>
                <w:rFonts w:ascii="Arial" w:hAnsi="Arial"/>
                <w:color w:val="auto"/>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vAlign w:val="center"/>
          </w:tcPr>
          <w:p w14:paraId="3CBE5D7F">
            <w:pPr>
              <w:ind w:firstLine="430"/>
              <w:jc w:val="center"/>
              <w:rPr>
                <w:rFonts w:ascii="Arial" w:hAnsi="Arial"/>
                <w:color w:val="auto"/>
                <w:szCs w:val="21"/>
                <w:highlight w:val="none"/>
                <w:lang w:val="zh-CN"/>
              </w:rPr>
            </w:pPr>
          </w:p>
        </w:tc>
      </w:tr>
      <w:tr w14:paraId="6ADD27AF">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vAlign w:val="center"/>
          </w:tcPr>
          <w:p w14:paraId="4EEE5A45">
            <w:pPr>
              <w:ind w:firstLine="430"/>
              <w:jc w:val="center"/>
              <w:rPr>
                <w:rFonts w:ascii="Arial" w:hAnsi="Arial"/>
                <w:color w:val="auto"/>
                <w:szCs w:val="21"/>
                <w:highlight w:val="none"/>
                <w:lang w:val="zh-CN"/>
              </w:rPr>
            </w:pPr>
          </w:p>
        </w:tc>
        <w:tc>
          <w:tcPr>
            <w:tcW w:w="2549" w:type="dxa"/>
            <w:tcBorders>
              <w:top w:val="single" w:color="000000" w:sz="6" w:space="0"/>
              <w:left w:val="single" w:color="000000" w:sz="6" w:space="0"/>
              <w:bottom w:val="single" w:color="000000" w:sz="6" w:space="0"/>
              <w:right w:val="single" w:color="000000" w:sz="6" w:space="0"/>
            </w:tcBorders>
            <w:vAlign w:val="center"/>
          </w:tcPr>
          <w:p w14:paraId="2909E681">
            <w:pPr>
              <w:ind w:firstLine="430"/>
              <w:jc w:val="center"/>
              <w:rPr>
                <w:rFonts w:ascii="Arial" w:hAnsi="Arial"/>
                <w:color w:val="auto"/>
                <w:szCs w:val="21"/>
                <w:highlight w:val="none"/>
                <w:lang w:val="zh-CN"/>
              </w:rPr>
            </w:pPr>
          </w:p>
        </w:tc>
        <w:tc>
          <w:tcPr>
            <w:tcW w:w="2820" w:type="dxa"/>
            <w:tcBorders>
              <w:top w:val="single" w:color="000000" w:sz="6" w:space="0"/>
              <w:left w:val="single" w:color="000000" w:sz="6" w:space="0"/>
              <w:bottom w:val="single" w:color="000000" w:sz="6" w:space="0"/>
              <w:right w:val="single" w:color="000000" w:sz="6" w:space="0"/>
            </w:tcBorders>
            <w:vAlign w:val="center"/>
          </w:tcPr>
          <w:p w14:paraId="7BDCA9BE">
            <w:pPr>
              <w:ind w:firstLine="430"/>
              <w:jc w:val="center"/>
              <w:rPr>
                <w:rFonts w:ascii="Arial" w:hAnsi="Arial"/>
                <w:color w:val="auto"/>
                <w:szCs w:val="21"/>
                <w:highlight w:val="none"/>
                <w:lang w:val="zh-CN"/>
              </w:rPr>
            </w:pPr>
          </w:p>
        </w:tc>
        <w:tc>
          <w:tcPr>
            <w:tcW w:w="2340" w:type="dxa"/>
            <w:gridSpan w:val="2"/>
            <w:tcBorders>
              <w:top w:val="single" w:color="000000" w:sz="6" w:space="0"/>
              <w:left w:val="single" w:color="000000" w:sz="6" w:space="0"/>
              <w:bottom w:val="single" w:color="000000" w:sz="6" w:space="0"/>
              <w:right w:val="single" w:color="000000" w:sz="6" w:space="0"/>
            </w:tcBorders>
            <w:vAlign w:val="center"/>
          </w:tcPr>
          <w:p w14:paraId="5B68D7C8">
            <w:pPr>
              <w:ind w:firstLine="430"/>
              <w:jc w:val="center"/>
              <w:rPr>
                <w:rFonts w:ascii="Arial" w:hAnsi="Arial"/>
                <w:color w:val="auto"/>
                <w:szCs w:val="21"/>
                <w:highlight w:val="none"/>
                <w:lang w:val="zh-CN"/>
              </w:rPr>
            </w:pPr>
          </w:p>
        </w:tc>
        <w:tc>
          <w:tcPr>
            <w:tcW w:w="1038" w:type="dxa"/>
            <w:tcBorders>
              <w:top w:val="single" w:color="000000" w:sz="6" w:space="0"/>
              <w:left w:val="single" w:color="000000" w:sz="6" w:space="0"/>
              <w:bottom w:val="single" w:color="000000" w:sz="6" w:space="0"/>
              <w:right w:val="single" w:color="000000" w:sz="6" w:space="0"/>
            </w:tcBorders>
            <w:vAlign w:val="center"/>
          </w:tcPr>
          <w:p w14:paraId="602AF3F0">
            <w:pPr>
              <w:ind w:firstLine="430"/>
              <w:jc w:val="center"/>
              <w:rPr>
                <w:rFonts w:ascii="Arial" w:hAnsi="Arial"/>
                <w:color w:val="auto"/>
                <w:szCs w:val="21"/>
                <w:highlight w:val="none"/>
                <w:lang w:val="zh-CN"/>
              </w:rPr>
            </w:pPr>
          </w:p>
        </w:tc>
      </w:tr>
    </w:tbl>
    <w:p w14:paraId="41485B30">
      <w:pPr>
        <w:ind w:firstLine="430"/>
        <w:rPr>
          <w:rFonts w:ascii="Arial" w:hAnsi="Arial"/>
          <w:color w:val="auto"/>
          <w:szCs w:val="21"/>
          <w:highlight w:val="none"/>
          <w:lang w:val="zh-CN"/>
        </w:rPr>
      </w:pPr>
    </w:p>
    <w:p w14:paraId="0FDF0899">
      <w:pPr>
        <w:widowControl/>
        <w:shd w:val="clear" w:color="auto" w:fill="FFFFFF"/>
        <w:spacing w:line="360" w:lineRule="auto"/>
        <w:ind w:firstLine="430"/>
        <w:jc w:val="left"/>
        <w:rPr>
          <w:rFonts w:ascii="Arial" w:hAnsi="Arial"/>
          <w:color w:val="auto"/>
          <w:szCs w:val="21"/>
          <w:highlight w:val="none"/>
        </w:rPr>
      </w:pPr>
      <w:r>
        <w:rPr>
          <w:rFonts w:ascii="Arial" w:hAnsi="Arial"/>
          <w:color w:val="auto"/>
          <w:szCs w:val="21"/>
          <w:highlight w:val="none"/>
        </w:rPr>
        <w:t>说明：</w:t>
      </w:r>
      <w:r>
        <w:rPr>
          <w:rFonts w:hint="eastAsia" w:ascii="Arial" w:hAnsi="Arial"/>
          <w:color w:val="auto"/>
          <w:szCs w:val="21"/>
          <w:highlight w:val="none"/>
        </w:rPr>
        <w:t>磋商响应文件采购需求内容响应存在正偏离或负偏离或者无偏离的，请在本表中逐条列出。未列出的，视为响应磋商文件要求。</w:t>
      </w:r>
      <w:r>
        <w:rPr>
          <w:rFonts w:ascii="Arial" w:hAnsi="Arial"/>
          <w:color w:val="auto"/>
          <w:szCs w:val="21"/>
          <w:highlight w:val="none"/>
        </w:rPr>
        <w:t>如果行数不够，请自行增加。</w:t>
      </w:r>
    </w:p>
    <w:p w14:paraId="7A5985FC">
      <w:pPr>
        <w:ind w:firstLine="430"/>
        <w:rPr>
          <w:rFonts w:ascii="Arial" w:hAnsi="Arial"/>
          <w:color w:val="auto"/>
          <w:szCs w:val="21"/>
          <w:highlight w:val="none"/>
          <w:lang w:val="zh-CN"/>
        </w:rPr>
      </w:pPr>
    </w:p>
    <w:p w14:paraId="5775FB6C">
      <w:pPr>
        <w:pStyle w:val="314"/>
        <w:ind w:firstLine="430"/>
        <w:rPr>
          <w:color w:val="auto"/>
          <w:highlight w:val="none"/>
          <w:lang w:val="zh-CN"/>
        </w:rPr>
      </w:pPr>
    </w:p>
    <w:p w14:paraId="643B4735">
      <w:pPr>
        <w:widowControl/>
        <w:shd w:val="clear" w:color="auto" w:fill="FFFFFF"/>
        <w:spacing w:line="360" w:lineRule="auto"/>
        <w:ind w:firstLine="430"/>
        <w:jc w:val="left"/>
        <w:rPr>
          <w:rFonts w:ascii="Arial" w:hAnsi="Arial"/>
          <w:color w:val="auto"/>
          <w:szCs w:val="21"/>
          <w:highlight w:val="none"/>
        </w:rPr>
      </w:pPr>
      <w:r>
        <w:rPr>
          <w:rFonts w:hint="eastAsia" w:ascii="Arial" w:hAnsi="Arial"/>
          <w:color w:val="auto"/>
          <w:szCs w:val="21"/>
          <w:highlight w:val="none"/>
        </w:rPr>
        <w:t>供应商名称（加盖电子公章）：</w:t>
      </w:r>
      <w:r>
        <w:rPr>
          <w:rFonts w:ascii="Arial" w:hAnsi="Arial"/>
          <w:color w:val="auto"/>
          <w:szCs w:val="21"/>
          <w:highlight w:val="none"/>
          <w:u w:val="single"/>
        </w:rPr>
        <w:t xml:space="preserve">            </w:t>
      </w:r>
    </w:p>
    <w:p w14:paraId="5127A873">
      <w:pPr>
        <w:widowControl/>
        <w:shd w:val="clear" w:color="auto" w:fill="FFFFFF"/>
        <w:spacing w:line="360" w:lineRule="auto"/>
        <w:ind w:firstLine="430"/>
        <w:jc w:val="left"/>
        <w:rPr>
          <w:rFonts w:ascii="Arial" w:hAnsi="Arial"/>
          <w:color w:val="auto"/>
          <w:szCs w:val="21"/>
          <w:highlight w:val="none"/>
        </w:rPr>
      </w:pPr>
      <w:r>
        <w:rPr>
          <w:rFonts w:ascii="Arial" w:hAnsi="Arial"/>
          <w:color w:val="auto"/>
          <w:szCs w:val="21"/>
          <w:highlight w:val="none"/>
        </w:rPr>
        <w:t>日    期：   年    月    日</w:t>
      </w:r>
    </w:p>
    <w:p w14:paraId="797628B4">
      <w:pPr>
        <w:ind w:firstLine="430"/>
        <w:rPr>
          <w:rFonts w:ascii="Arial" w:hAnsi="Arial"/>
          <w:color w:val="auto"/>
          <w:szCs w:val="21"/>
          <w:highlight w:val="none"/>
        </w:rPr>
      </w:pPr>
      <w:r>
        <w:rPr>
          <w:rFonts w:ascii="Arial" w:hAnsi="Arial"/>
          <w:color w:val="auto"/>
          <w:szCs w:val="21"/>
          <w:highlight w:val="none"/>
        </w:rPr>
        <w:br w:type="page" w:clear="all"/>
      </w:r>
    </w:p>
    <w:p w14:paraId="450474EE">
      <w:pPr>
        <w:ind w:firstLine="430"/>
        <w:rPr>
          <w:rFonts w:ascii="Arial" w:hAnsi="Arial"/>
          <w:color w:val="auto"/>
          <w:szCs w:val="21"/>
          <w:highlight w:val="none"/>
        </w:rPr>
      </w:pPr>
    </w:p>
    <w:p w14:paraId="5706ABE5">
      <w:pPr>
        <w:ind w:firstLine="570"/>
        <w:rPr>
          <w:rFonts w:ascii="Arial" w:hAnsi="Arial"/>
          <w:color w:val="auto"/>
          <w:sz w:val="28"/>
          <w:szCs w:val="28"/>
          <w:highlight w:val="none"/>
        </w:rPr>
      </w:pPr>
      <w:bookmarkStart w:id="71" w:name="_Toc504573089"/>
      <w:bookmarkEnd w:id="71"/>
      <w:bookmarkStart w:id="72" w:name="_Toc534273683"/>
      <w:bookmarkEnd w:id="72"/>
      <w:bookmarkStart w:id="73" w:name="_Toc534273806"/>
      <w:bookmarkEnd w:id="73"/>
      <w:bookmarkStart w:id="74" w:name="_Toc490133034"/>
      <w:bookmarkEnd w:id="74"/>
      <w:bookmarkStart w:id="75" w:name="_Toc490133033"/>
      <w:bookmarkEnd w:id="75"/>
      <w:bookmarkStart w:id="76" w:name="_Toc504044385"/>
      <w:bookmarkEnd w:id="76"/>
      <w:bookmarkStart w:id="77" w:name="_Toc504056874"/>
      <w:bookmarkEnd w:id="77"/>
      <w:bookmarkStart w:id="78" w:name="_Toc504044386"/>
      <w:bookmarkEnd w:id="78"/>
      <w:bookmarkStart w:id="79" w:name="_Toc504056873"/>
      <w:bookmarkEnd w:id="79"/>
      <w:bookmarkStart w:id="80" w:name="_Toc504573088"/>
      <w:bookmarkEnd w:id="80"/>
      <w:r>
        <w:rPr>
          <w:rFonts w:hint="eastAsia" w:ascii="Arial" w:hAnsi="Arial"/>
          <w:color w:val="auto"/>
          <w:sz w:val="28"/>
          <w:szCs w:val="28"/>
          <w:highlight w:val="none"/>
        </w:rPr>
        <w:t>7、其他文件</w:t>
      </w:r>
    </w:p>
    <w:p w14:paraId="35FD5D70">
      <w:pPr>
        <w:ind w:firstLine="570"/>
        <w:rPr>
          <w:rFonts w:ascii="Arial" w:hAnsi="Arial"/>
          <w:color w:val="auto"/>
          <w:sz w:val="28"/>
          <w:szCs w:val="28"/>
          <w:highlight w:val="none"/>
        </w:rPr>
      </w:pPr>
      <w:r>
        <w:rPr>
          <w:rFonts w:hint="eastAsia" w:ascii="Arial" w:hAnsi="Arial"/>
          <w:color w:val="auto"/>
          <w:sz w:val="28"/>
          <w:szCs w:val="28"/>
          <w:highlight w:val="none"/>
        </w:rPr>
        <w:br w:type="page" w:clear="all"/>
      </w:r>
    </w:p>
    <w:p w14:paraId="53F66515">
      <w:pPr>
        <w:ind w:firstLine="570"/>
        <w:outlineLvl w:val="1"/>
        <w:rPr>
          <w:rFonts w:ascii="Arial" w:hAnsi="Arial"/>
          <w:color w:val="auto"/>
          <w:sz w:val="28"/>
          <w:szCs w:val="28"/>
          <w:highlight w:val="none"/>
        </w:rPr>
      </w:pPr>
      <w:bookmarkStart w:id="81" w:name="_Toc2624"/>
      <w:r>
        <w:rPr>
          <w:rFonts w:hint="eastAsia" w:ascii="Arial" w:hAnsi="Arial"/>
          <w:color w:val="auto"/>
          <w:sz w:val="28"/>
          <w:szCs w:val="28"/>
          <w:highlight w:val="none"/>
        </w:rPr>
        <w:t>二、资格条件</w:t>
      </w:r>
      <w:bookmarkEnd w:id="81"/>
    </w:p>
    <w:p w14:paraId="2E90B6D7">
      <w:pPr>
        <w:spacing w:line="360" w:lineRule="auto"/>
        <w:ind w:firstLine="420"/>
        <w:outlineLvl w:val="2"/>
        <w:rPr>
          <w:rFonts w:hint="eastAsia" w:ascii="宋体" w:hAnsi="宋体" w:cs="宋体"/>
          <w:bCs/>
          <w:color w:val="auto"/>
          <w:szCs w:val="21"/>
          <w:highlight w:val="none"/>
        </w:rPr>
      </w:pPr>
      <w:bookmarkStart w:id="82" w:name="_Toc10169"/>
      <w:r>
        <w:rPr>
          <w:rFonts w:hint="eastAsia" w:ascii="宋体" w:hAnsi="宋体" w:cs="宋体"/>
          <w:bCs/>
          <w:color w:val="auto"/>
          <w:szCs w:val="21"/>
          <w:highlight w:val="none"/>
        </w:rPr>
        <w:t>（1）具有独立承担民事责任的能力（提供法人或者其他组织的营业执照；供应商为自然人的，提供其身份证）；</w:t>
      </w:r>
      <w:bookmarkEnd w:id="82"/>
      <w:r>
        <w:rPr>
          <w:rFonts w:hint="eastAsia" w:ascii="宋体" w:hAnsi="宋体" w:cs="宋体"/>
          <w:bCs/>
          <w:color w:val="auto"/>
          <w:szCs w:val="21"/>
          <w:highlight w:val="none"/>
        </w:rPr>
        <w:t xml:space="preserve"> </w:t>
      </w:r>
    </w:p>
    <w:p w14:paraId="00C31247">
      <w:pPr>
        <w:spacing w:line="360" w:lineRule="auto"/>
        <w:ind w:firstLine="420"/>
        <w:rPr>
          <w:rFonts w:hint="eastAsia" w:ascii="宋体" w:hAnsi="宋体" w:cs="宋体"/>
          <w:bCs/>
          <w:color w:val="auto"/>
          <w:szCs w:val="21"/>
          <w:highlight w:val="none"/>
        </w:rPr>
      </w:pPr>
    </w:p>
    <w:p w14:paraId="56A0DBCC">
      <w:pPr>
        <w:ind w:firstLine="430"/>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p>
    <w:p w14:paraId="4B21C489">
      <w:pPr>
        <w:spacing w:line="360" w:lineRule="auto"/>
        <w:ind w:firstLine="420"/>
        <w:outlineLvl w:val="2"/>
        <w:rPr>
          <w:rFonts w:hint="eastAsia" w:ascii="宋体" w:hAnsi="宋体" w:cs="宋体"/>
          <w:bCs/>
          <w:color w:val="auto"/>
          <w:szCs w:val="21"/>
          <w:highlight w:val="none"/>
        </w:rPr>
      </w:pPr>
      <w:bookmarkStart w:id="83" w:name="_Toc18033"/>
      <w:r>
        <w:rPr>
          <w:rFonts w:hint="eastAsia" w:ascii="宋体" w:hAnsi="宋体" w:cs="宋体"/>
          <w:bCs/>
          <w:color w:val="auto"/>
          <w:szCs w:val="21"/>
          <w:highlight w:val="none"/>
        </w:rPr>
        <w:t>（2）</w:t>
      </w:r>
      <w:bookmarkEnd w:id="83"/>
      <w:r>
        <w:rPr>
          <w:rFonts w:hint="eastAsia" w:ascii="宋体" w:hAnsi="宋体" w:cs="宋体"/>
          <w:bCs/>
          <w:color w:val="auto"/>
          <w:szCs w:val="21"/>
          <w:highlight w:val="none"/>
        </w:rPr>
        <w:t>具有良好的商业信誉和健全的财务会计制度（提供2024或2025年度经审计的财务审计报告，或近六个月任意一个月的财务报表（至少包括资产负债表、利润表和现金流量表），或近六个月以来银行出具的资信证明）；</w:t>
      </w:r>
    </w:p>
    <w:p w14:paraId="5EFEF0F1">
      <w:pPr>
        <w:widowControl/>
        <w:jc w:val="left"/>
        <w:rPr>
          <w:rFonts w:hint="eastAsia" w:ascii="宋体" w:hAnsi="宋体" w:cs="宋体"/>
          <w:bCs/>
          <w:color w:val="auto"/>
          <w:szCs w:val="21"/>
          <w:highlight w:val="none"/>
        </w:rPr>
      </w:pPr>
      <w:r>
        <w:rPr>
          <w:rFonts w:hint="eastAsia" w:ascii="宋体" w:hAnsi="宋体" w:cs="宋体"/>
          <w:bCs/>
          <w:color w:val="auto"/>
          <w:szCs w:val="21"/>
          <w:highlight w:val="none"/>
        </w:rPr>
        <w:br w:type="page"/>
      </w:r>
    </w:p>
    <w:p w14:paraId="697DA4E4">
      <w:pPr>
        <w:spacing w:line="360" w:lineRule="auto"/>
        <w:ind w:firstLine="420"/>
        <w:outlineLvl w:val="2"/>
        <w:rPr>
          <w:rFonts w:hint="eastAsia" w:ascii="宋体" w:hAnsi="宋体" w:cs="宋体"/>
          <w:bCs/>
          <w:color w:val="auto"/>
          <w:szCs w:val="21"/>
          <w:highlight w:val="none"/>
        </w:rPr>
      </w:pPr>
      <w:r>
        <w:rPr>
          <w:rFonts w:hint="eastAsia" w:ascii="宋体" w:hAnsi="宋体" w:cs="宋体"/>
          <w:bCs/>
          <w:color w:val="auto"/>
          <w:szCs w:val="21"/>
          <w:highlight w:val="none"/>
        </w:rPr>
        <w:t>（3）具有履行合同所必需的设备和专业技术能力（供应商根据履行采购项目合同需要，提供履行合同所必需的设备和专业技术能力的证明材料）；</w:t>
      </w:r>
    </w:p>
    <w:p w14:paraId="1D183B23">
      <w:pPr>
        <w:widowControl/>
        <w:jc w:val="left"/>
        <w:rPr>
          <w:rFonts w:hint="eastAsia" w:ascii="宋体" w:hAnsi="宋体" w:cs="宋体"/>
          <w:bCs/>
          <w:color w:val="auto"/>
          <w:szCs w:val="21"/>
          <w:highlight w:val="none"/>
        </w:rPr>
      </w:pPr>
      <w:r>
        <w:rPr>
          <w:rFonts w:hint="eastAsia" w:ascii="宋体" w:hAnsi="宋体" w:cs="宋体"/>
          <w:bCs/>
          <w:color w:val="auto"/>
          <w:szCs w:val="21"/>
          <w:highlight w:val="none"/>
        </w:rPr>
        <w:br w:type="page"/>
      </w:r>
    </w:p>
    <w:p w14:paraId="142BB8F7">
      <w:pPr>
        <w:spacing w:line="360" w:lineRule="auto"/>
        <w:ind w:firstLine="420"/>
        <w:outlineLvl w:val="2"/>
        <w:rPr>
          <w:rFonts w:hint="eastAsia" w:ascii="宋体" w:hAnsi="宋体" w:cs="宋体"/>
          <w:bCs/>
          <w:color w:val="auto"/>
          <w:szCs w:val="21"/>
          <w:highlight w:val="none"/>
        </w:rPr>
      </w:pPr>
      <w:r>
        <w:rPr>
          <w:rFonts w:hint="eastAsia" w:ascii="宋体" w:hAnsi="宋体" w:cs="宋体"/>
          <w:bCs/>
          <w:color w:val="auto"/>
          <w:szCs w:val="21"/>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1C5C67FA">
      <w:pPr>
        <w:widowControl/>
        <w:jc w:val="left"/>
        <w:rPr>
          <w:rFonts w:hint="eastAsia" w:ascii="宋体" w:hAnsi="宋体" w:cs="宋体"/>
          <w:bCs/>
          <w:color w:val="auto"/>
          <w:szCs w:val="21"/>
          <w:highlight w:val="none"/>
        </w:rPr>
      </w:pPr>
      <w:r>
        <w:rPr>
          <w:rFonts w:hint="eastAsia" w:ascii="宋体" w:hAnsi="宋体" w:cs="宋体"/>
          <w:bCs/>
          <w:color w:val="auto"/>
          <w:szCs w:val="21"/>
          <w:highlight w:val="none"/>
        </w:rPr>
        <w:br w:type="page"/>
      </w:r>
    </w:p>
    <w:p w14:paraId="6C63920D">
      <w:pPr>
        <w:spacing w:line="360" w:lineRule="auto"/>
        <w:ind w:firstLine="420"/>
        <w:outlineLvl w:val="2"/>
        <w:rPr>
          <w:rFonts w:hint="eastAsia" w:ascii="宋体" w:hAnsi="宋体" w:cs="宋体"/>
          <w:bCs/>
          <w:color w:val="auto"/>
          <w:szCs w:val="21"/>
          <w:highlight w:val="none"/>
        </w:rPr>
      </w:pPr>
      <w:r>
        <w:rPr>
          <w:rFonts w:hint="eastAsia" w:ascii="宋体" w:hAnsi="宋体" w:cs="宋体"/>
          <w:bCs/>
          <w:color w:val="auto"/>
          <w:szCs w:val="21"/>
          <w:highlight w:val="none"/>
        </w:rPr>
        <w:t>（5）参加采购活动前三年内，在经营活动中没有重大违法记录（提供承诺书）；</w:t>
      </w:r>
    </w:p>
    <w:p w14:paraId="24C0D7B6">
      <w:pPr>
        <w:spacing w:line="240" w:lineRule="atLeast"/>
        <w:ind w:firstLine="570"/>
        <w:jc w:val="center"/>
        <w:rPr>
          <w:rFonts w:ascii="Arial" w:hAnsi="Arial" w:eastAsia="黑体"/>
          <w:color w:val="auto"/>
          <w:sz w:val="28"/>
          <w:szCs w:val="36"/>
          <w:highlight w:val="none"/>
        </w:rPr>
      </w:pPr>
      <w:r>
        <w:rPr>
          <w:rFonts w:ascii="Arial" w:hAnsi="Arial" w:eastAsia="黑体"/>
          <w:color w:val="auto"/>
          <w:sz w:val="28"/>
          <w:szCs w:val="36"/>
          <w:highlight w:val="none"/>
        </w:rPr>
        <w:t>无重大违法记录声明</w:t>
      </w:r>
    </w:p>
    <w:p w14:paraId="15201E1D">
      <w:pPr>
        <w:spacing w:line="360" w:lineRule="auto"/>
        <w:ind w:firstLine="430"/>
        <w:rPr>
          <w:rFonts w:ascii="Arial" w:hAnsi="Arial" w:eastAsia="黑体"/>
          <w:color w:val="auto"/>
          <w:szCs w:val="21"/>
          <w:highlight w:val="none"/>
        </w:rPr>
      </w:pPr>
    </w:p>
    <w:p w14:paraId="0C2FEC78">
      <w:pPr>
        <w:spacing w:line="360" w:lineRule="auto"/>
        <w:ind w:firstLine="430"/>
        <w:rPr>
          <w:rFonts w:ascii="Arial" w:hAnsi="Arial"/>
          <w:color w:val="auto"/>
          <w:szCs w:val="21"/>
          <w:highlight w:val="none"/>
        </w:rPr>
      </w:pPr>
      <w:r>
        <w:rPr>
          <w:rFonts w:ascii="Arial" w:hAnsi="Arial"/>
          <w:color w:val="auto"/>
          <w:szCs w:val="21"/>
          <w:highlight w:val="none"/>
        </w:rPr>
        <w:t>江苏省设备成套股份有限公司：</w:t>
      </w:r>
    </w:p>
    <w:p w14:paraId="258F7855">
      <w:pPr>
        <w:spacing w:line="360" w:lineRule="auto"/>
        <w:ind w:firstLine="430"/>
        <w:rPr>
          <w:rFonts w:ascii="Arial" w:hAnsi="Arial"/>
          <w:color w:val="auto"/>
          <w:highlight w:val="none"/>
        </w:rPr>
      </w:pPr>
    </w:p>
    <w:p w14:paraId="0C082C53">
      <w:pPr>
        <w:widowControl/>
        <w:shd w:val="clear" w:color="auto" w:fill="FFFFFF"/>
        <w:spacing w:line="360" w:lineRule="auto"/>
        <w:ind w:firstLine="430"/>
        <w:rPr>
          <w:rFonts w:ascii="Arial" w:hAnsi="Arial"/>
          <w:color w:val="auto"/>
          <w:szCs w:val="21"/>
          <w:highlight w:val="none"/>
        </w:rPr>
      </w:pPr>
      <w:r>
        <w:rPr>
          <w:rFonts w:ascii="Arial" w:hAnsi="Arial"/>
          <w:color w:val="auto"/>
          <w:szCs w:val="21"/>
          <w:highlight w:val="none"/>
        </w:rPr>
        <w:t>我单位（供应商名称）宣布声明和承诺如下：</w:t>
      </w:r>
    </w:p>
    <w:p w14:paraId="30991EA8">
      <w:pPr>
        <w:widowControl/>
        <w:shd w:val="clear" w:color="auto" w:fill="FFFFFF"/>
        <w:spacing w:line="360" w:lineRule="auto"/>
        <w:ind w:firstLine="310"/>
        <w:rPr>
          <w:rFonts w:ascii="Arial" w:hAnsi="Arial"/>
          <w:b/>
          <w:color w:val="auto"/>
          <w:szCs w:val="21"/>
          <w:highlight w:val="none"/>
        </w:rPr>
      </w:pPr>
      <w:r>
        <w:rPr>
          <w:rFonts w:ascii="Arial" w:hAnsi="Arial"/>
          <w:b/>
          <w:color w:val="auto"/>
          <w:szCs w:val="21"/>
          <w:highlight w:val="none"/>
        </w:rPr>
        <w:t xml:space="preserve"> </w:t>
      </w:r>
      <w:r>
        <w:rPr>
          <w:rFonts w:ascii="Arial" w:hAnsi="Arial"/>
          <w:color w:val="auto"/>
          <w:szCs w:val="21"/>
          <w:highlight w:val="none"/>
        </w:rPr>
        <w:t>我单位参加本次采购活动前3年内在经营活动中</w:t>
      </w:r>
      <w:r>
        <w:rPr>
          <w:rFonts w:ascii="Arial" w:hAnsi="Arial"/>
          <w:color w:val="auto"/>
          <w:highlight w:val="none"/>
        </w:rPr>
        <w:t>（</w:t>
      </w:r>
      <w:r>
        <w:rPr>
          <w:rFonts w:ascii="Arial" w:hAnsi="Arial"/>
          <w:b/>
          <w:i/>
          <w:color w:val="auto"/>
          <w:highlight w:val="none"/>
          <w:u w:val="single"/>
        </w:rPr>
        <w:t>在下划线上如实填写：有或没有</w:t>
      </w:r>
      <w:r>
        <w:rPr>
          <w:rFonts w:ascii="Arial" w:hAnsi="Arial"/>
          <w:color w:val="auto"/>
          <w:highlight w:val="none"/>
        </w:rPr>
        <w:t>）</w:t>
      </w:r>
      <w:r>
        <w:rPr>
          <w:rFonts w:ascii="Arial" w:hAnsi="Arial"/>
          <w:b/>
          <w:color w:val="auto"/>
          <w:highlight w:val="none"/>
        </w:rPr>
        <w:t>重大违法记录</w:t>
      </w:r>
      <w:r>
        <w:rPr>
          <w:rFonts w:ascii="Arial" w:hAnsi="Arial"/>
          <w:b/>
          <w:color w:val="auto"/>
          <w:szCs w:val="21"/>
          <w:highlight w:val="none"/>
        </w:rPr>
        <w:t>，且不是失信被执行人、</w:t>
      </w:r>
      <w:r>
        <w:rPr>
          <w:rFonts w:hint="eastAsia" w:ascii="Arial" w:hAnsi="Arial"/>
          <w:b/>
          <w:color w:val="auto"/>
          <w:szCs w:val="21"/>
          <w:highlight w:val="none"/>
        </w:rPr>
        <w:t>重大税收违法失信主体</w:t>
      </w:r>
      <w:r>
        <w:rPr>
          <w:rFonts w:ascii="Arial" w:hAnsi="Arial"/>
          <w:b/>
          <w:color w:val="auto"/>
          <w:szCs w:val="21"/>
          <w:highlight w:val="none"/>
        </w:rPr>
        <w:t>、政府采购严重违法失信行为记录名单的供应商。</w:t>
      </w:r>
    </w:p>
    <w:p w14:paraId="7D39D6D7">
      <w:pPr>
        <w:spacing w:line="360" w:lineRule="auto"/>
        <w:ind w:firstLine="315"/>
        <w:rPr>
          <w:rFonts w:ascii="Arial" w:hAnsi="Arial"/>
          <w:color w:val="auto"/>
          <w:highlight w:val="none"/>
        </w:rPr>
      </w:pPr>
      <w:r>
        <w:rPr>
          <w:rFonts w:ascii="Arial" w:hAnsi="Arial"/>
          <w:color w:val="auto"/>
          <w:highlight w:val="none"/>
        </w:rPr>
        <w:t>（说明：政府采购法第二十二条第一款第五项所称重大违法记录，是指供应商因违法经营受到刑事处罚或者责令停产停业、吊销许可证或者执照、较大数额罚款等行政处罚。）</w:t>
      </w:r>
    </w:p>
    <w:p w14:paraId="2EF3DEB5">
      <w:pPr>
        <w:spacing w:line="360" w:lineRule="auto"/>
        <w:ind w:firstLine="315"/>
        <w:rPr>
          <w:rFonts w:ascii="Arial" w:hAnsi="Arial"/>
          <w:color w:val="auto"/>
          <w:highlight w:val="none"/>
        </w:rPr>
      </w:pPr>
    </w:p>
    <w:p w14:paraId="5CB38F1B">
      <w:pPr>
        <w:spacing w:line="360" w:lineRule="auto"/>
        <w:ind w:firstLine="430"/>
        <w:rPr>
          <w:rFonts w:ascii="Arial" w:hAnsi="Arial"/>
          <w:color w:val="auto"/>
          <w:highlight w:val="none"/>
        </w:rPr>
      </w:pPr>
    </w:p>
    <w:p w14:paraId="6F85F857">
      <w:pPr>
        <w:spacing w:line="360" w:lineRule="auto"/>
        <w:ind w:firstLine="430"/>
        <w:rPr>
          <w:rFonts w:ascii="Arial" w:hAnsi="Arial"/>
          <w:color w:val="auto"/>
          <w:highlight w:val="none"/>
        </w:rPr>
      </w:pPr>
    </w:p>
    <w:p w14:paraId="01951347">
      <w:pPr>
        <w:spacing w:line="360" w:lineRule="auto"/>
        <w:ind w:firstLine="5103"/>
        <w:rPr>
          <w:rFonts w:ascii="Arial" w:hAnsi="Arial"/>
          <w:color w:val="auto"/>
          <w:highlight w:val="none"/>
        </w:rPr>
      </w:pPr>
      <w:r>
        <w:rPr>
          <w:rFonts w:ascii="Arial" w:hAnsi="Arial"/>
          <w:color w:val="auto"/>
          <w:highlight w:val="none"/>
        </w:rPr>
        <w:t>声明人：</w:t>
      </w:r>
      <w:r>
        <w:rPr>
          <w:rFonts w:hint="eastAsia" w:ascii="Arial" w:hAnsi="Arial"/>
          <w:color w:val="auto"/>
          <w:highlight w:val="none"/>
        </w:rPr>
        <w:t>（加盖电子公章）</w:t>
      </w:r>
    </w:p>
    <w:p w14:paraId="4F112D09">
      <w:pPr>
        <w:spacing w:line="360" w:lineRule="auto"/>
        <w:ind w:firstLine="5040"/>
        <w:rPr>
          <w:rFonts w:ascii="Arial" w:hAnsi="Arial"/>
          <w:color w:val="auto"/>
          <w:highlight w:val="none"/>
        </w:rPr>
      </w:pPr>
      <w:r>
        <w:rPr>
          <w:rFonts w:ascii="Arial" w:hAnsi="Arial"/>
          <w:color w:val="auto"/>
          <w:highlight w:val="none"/>
        </w:rPr>
        <w:t>日期：    年   月</w:t>
      </w:r>
    </w:p>
    <w:p w14:paraId="435C1F56">
      <w:pPr>
        <w:widowControl/>
        <w:jc w:val="left"/>
        <w:rPr>
          <w:rFonts w:hint="eastAsia" w:ascii="宋体" w:hAnsi="宋体" w:cs="宋体"/>
          <w:bCs/>
          <w:color w:val="auto"/>
          <w:szCs w:val="21"/>
          <w:highlight w:val="none"/>
        </w:rPr>
      </w:pPr>
      <w:r>
        <w:rPr>
          <w:rFonts w:hint="eastAsia" w:ascii="宋体" w:hAnsi="宋体" w:cs="宋体"/>
          <w:bCs/>
          <w:color w:val="auto"/>
          <w:szCs w:val="21"/>
          <w:highlight w:val="none"/>
        </w:rPr>
        <w:br w:type="page"/>
      </w:r>
    </w:p>
    <w:p w14:paraId="3E035757">
      <w:pPr>
        <w:spacing w:line="360" w:lineRule="auto"/>
        <w:ind w:firstLine="420"/>
        <w:outlineLvl w:val="2"/>
        <w:rPr>
          <w:rFonts w:hint="eastAsia" w:ascii="宋体" w:hAnsi="宋体" w:cs="宋体"/>
          <w:bCs/>
          <w:color w:val="auto"/>
          <w:szCs w:val="21"/>
          <w:highlight w:val="none"/>
        </w:rPr>
      </w:pPr>
      <w:r>
        <w:rPr>
          <w:rFonts w:hint="eastAsia" w:ascii="宋体" w:hAnsi="宋体" w:cs="宋体"/>
          <w:bCs/>
          <w:color w:val="auto"/>
          <w:szCs w:val="21"/>
          <w:highlight w:val="none"/>
        </w:rPr>
        <w:t>2.3 采购人根据采购项目的特殊要求规定的特定条件，并提供符合特殊要求的证明材料或者情况说明：</w:t>
      </w:r>
    </w:p>
    <w:p w14:paraId="213A83FE">
      <w:pPr>
        <w:spacing w:line="360" w:lineRule="auto"/>
        <w:ind w:firstLine="420"/>
        <w:outlineLvl w:val="2"/>
        <w:rPr>
          <w:rFonts w:hint="eastAsia" w:ascii="宋体" w:hAnsi="宋体" w:cs="宋体"/>
          <w:bCs/>
          <w:color w:val="auto"/>
          <w:szCs w:val="21"/>
          <w:highlight w:val="none"/>
        </w:rPr>
      </w:pPr>
      <w:r>
        <w:rPr>
          <w:rFonts w:hint="eastAsia" w:ascii="宋体" w:hAnsi="宋体" w:cs="宋体"/>
          <w:bCs/>
          <w:color w:val="auto"/>
          <w:szCs w:val="21"/>
          <w:highlight w:val="none"/>
        </w:rPr>
        <w:t>（1）企业资质：供应商具有建筑工程施工总承包三级及以上资质，且具备有效的安全生产许可证（提供有效的证书复印件）。</w:t>
      </w:r>
    </w:p>
    <w:p w14:paraId="7D44B0E9">
      <w:pPr>
        <w:widowControl/>
        <w:jc w:val="left"/>
        <w:rPr>
          <w:rFonts w:hint="eastAsia" w:ascii="宋体" w:hAnsi="宋体" w:cs="宋体"/>
          <w:bCs/>
          <w:color w:val="auto"/>
          <w:szCs w:val="21"/>
          <w:highlight w:val="none"/>
        </w:rPr>
      </w:pPr>
      <w:r>
        <w:rPr>
          <w:rFonts w:hint="eastAsia" w:ascii="宋体" w:hAnsi="宋体" w:cs="宋体"/>
          <w:bCs/>
          <w:color w:val="auto"/>
          <w:szCs w:val="21"/>
          <w:highlight w:val="none"/>
        </w:rPr>
        <w:br w:type="page"/>
      </w:r>
    </w:p>
    <w:p w14:paraId="5CE66384">
      <w:pPr>
        <w:spacing w:line="360" w:lineRule="auto"/>
        <w:ind w:firstLine="420"/>
        <w:outlineLvl w:val="2"/>
        <w:rPr>
          <w:rFonts w:hint="eastAsia" w:ascii="宋体" w:hAnsi="宋体" w:cs="宋体"/>
          <w:bCs/>
          <w:color w:val="auto"/>
          <w:szCs w:val="21"/>
          <w:highlight w:val="none"/>
        </w:rPr>
      </w:pPr>
      <w:r>
        <w:rPr>
          <w:rFonts w:hint="eastAsia" w:ascii="宋体" w:hAnsi="宋体" w:cs="宋体"/>
          <w:bCs/>
          <w:color w:val="auto"/>
          <w:szCs w:val="21"/>
          <w:highlight w:val="none"/>
        </w:rPr>
        <w:t>（2）项目经理注册建造师资质类别和等级：项目经理具有注册建造师（建筑工程专业）二级(含)以上（提供有效期内的建造师资质证书、安全生产考核合格证（B类）及近6个月任意一个月社保缴纳证明，注：近6个月社保缴纳证明指2025年12月至2026年5月供应商为项目经理缴纳的由劳动和社会保障部门出具的养老保险缴纳单据证明（需明确缴费月份、个人姓名、缴费单位），需加盖社保机构公章或社保中心参保缴费证明电子专业章，同时加盖投标人公章（如投标人为事业编制性质的单位，可提供由机关事业单位社会保险基金部门盖章的相关证明））；</w:t>
      </w:r>
    </w:p>
    <w:p w14:paraId="54D5DB8C">
      <w:pPr>
        <w:widowControl/>
        <w:jc w:val="left"/>
        <w:rPr>
          <w:rFonts w:hint="eastAsia" w:ascii="宋体" w:hAnsi="宋体" w:cs="宋体"/>
          <w:bCs/>
          <w:color w:val="auto"/>
          <w:szCs w:val="21"/>
          <w:highlight w:val="none"/>
        </w:rPr>
      </w:pPr>
      <w:r>
        <w:rPr>
          <w:rFonts w:hint="eastAsia" w:ascii="宋体" w:hAnsi="宋体" w:cs="宋体"/>
          <w:bCs/>
          <w:color w:val="auto"/>
          <w:szCs w:val="21"/>
          <w:highlight w:val="none"/>
        </w:rPr>
        <w:br w:type="page"/>
      </w:r>
    </w:p>
    <w:p w14:paraId="0D849A4B">
      <w:pPr>
        <w:spacing w:line="360" w:lineRule="auto"/>
        <w:ind w:firstLine="420"/>
        <w:outlineLvl w:val="2"/>
        <w:rPr>
          <w:rFonts w:hint="eastAsia" w:ascii="宋体" w:hAnsi="宋体" w:cs="宋体"/>
          <w:bCs/>
          <w:color w:val="auto"/>
          <w:szCs w:val="21"/>
          <w:highlight w:val="none"/>
        </w:rPr>
      </w:pPr>
      <w:r>
        <w:rPr>
          <w:rFonts w:hint="eastAsia" w:ascii="宋体" w:hAnsi="宋体" w:cs="宋体"/>
          <w:bCs/>
          <w:color w:val="auto"/>
          <w:szCs w:val="21"/>
          <w:highlight w:val="none"/>
        </w:rPr>
        <w:t>2.4 拒绝下述供应商参加本次招标活动：</w:t>
      </w:r>
    </w:p>
    <w:p w14:paraId="331FF2D5">
      <w:pPr>
        <w:spacing w:line="360" w:lineRule="auto"/>
        <w:ind w:firstLine="420"/>
        <w:outlineLvl w:val="2"/>
        <w:rPr>
          <w:rFonts w:hint="eastAsia" w:ascii="宋体" w:hAnsi="宋体" w:cs="宋体"/>
          <w:bCs/>
          <w:color w:val="auto"/>
          <w:szCs w:val="21"/>
          <w:highlight w:val="none"/>
        </w:rPr>
      </w:pPr>
      <w:r>
        <w:rPr>
          <w:rFonts w:hint="eastAsia" w:ascii="宋体" w:hAnsi="宋体" w:cs="宋体"/>
          <w:bCs/>
          <w:color w:val="auto"/>
          <w:szCs w:val="21"/>
          <w:highlight w:val="none"/>
        </w:rPr>
        <w:t>（1）单位负责人为同一人或者存在直接控股、管理关系的不同供应商，不得参加同一合同项下的政府采购活动。</w:t>
      </w:r>
    </w:p>
    <w:p w14:paraId="6BB3A912">
      <w:pPr>
        <w:spacing w:line="360" w:lineRule="auto"/>
        <w:ind w:firstLine="420"/>
        <w:outlineLvl w:val="2"/>
        <w:rPr>
          <w:rFonts w:hint="eastAsia" w:ascii="宋体" w:hAnsi="宋体" w:cs="宋体"/>
          <w:bCs/>
          <w:color w:val="auto"/>
          <w:szCs w:val="21"/>
          <w:highlight w:val="none"/>
        </w:rPr>
      </w:pPr>
      <w:r>
        <w:rPr>
          <w:rFonts w:hint="eastAsia" w:ascii="宋体" w:hAnsi="宋体" w:cs="宋体"/>
          <w:bCs/>
          <w:color w:val="auto"/>
          <w:szCs w:val="21"/>
          <w:highlight w:val="none"/>
        </w:rPr>
        <w:t>（2）为采购项目提供整体设计、规范编制或者项目管理、监理、检测等服务的供应商，不得参加本项目的采购活动。</w:t>
      </w:r>
    </w:p>
    <w:p w14:paraId="741D0F2D">
      <w:pPr>
        <w:spacing w:line="360" w:lineRule="auto"/>
        <w:ind w:firstLine="420"/>
        <w:outlineLvl w:val="2"/>
        <w:rPr>
          <w:rFonts w:hint="eastAsia" w:ascii="宋体" w:hAnsi="宋体" w:cs="宋体"/>
          <w:bCs/>
          <w:color w:val="auto"/>
          <w:szCs w:val="21"/>
          <w:highlight w:val="none"/>
        </w:rPr>
      </w:pPr>
      <w:r>
        <w:rPr>
          <w:rFonts w:hint="eastAsia" w:ascii="宋体" w:hAnsi="宋体" w:cs="宋体"/>
          <w:bCs/>
          <w:color w:val="auto"/>
          <w:szCs w:val="21"/>
          <w:highlight w:val="none"/>
        </w:rPr>
        <w:t>（3）供应商被“信用中国”网站（www.creditchina.gov.cn）、“中国政府采购网”(www.ccgp.gov.cn)列入失信被执行人、重大税收违法失信主体名单、政府采购严重违法失信行为记录名单。</w:t>
      </w:r>
    </w:p>
    <w:p w14:paraId="19DC367F">
      <w:pPr>
        <w:spacing w:line="360" w:lineRule="auto"/>
        <w:ind w:firstLine="420"/>
        <w:rPr>
          <w:rFonts w:hint="eastAsia" w:ascii="宋体" w:hAnsi="宋体" w:cs="宋体"/>
          <w:bCs/>
          <w:color w:val="auto"/>
          <w:szCs w:val="21"/>
          <w:highlight w:val="none"/>
        </w:rPr>
      </w:pPr>
    </w:p>
    <w:p w14:paraId="3023776F">
      <w:pPr>
        <w:ind w:firstLine="430"/>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p>
    <w:p w14:paraId="3F1222A3">
      <w:pPr>
        <w:ind w:firstLine="570"/>
        <w:outlineLvl w:val="1"/>
        <w:rPr>
          <w:rFonts w:ascii="Arial" w:hAnsi="Arial"/>
          <w:color w:val="auto"/>
          <w:sz w:val="28"/>
          <w:szCs w:val="28"/>
          <w:highlight w:val="none"/>
        </w:rPr>
      </w:pPr>
      <w:bookmarkStart w:id="84" w:name="_Toc1512"/>
      <w:r>
        <w:rPr>
          <w:rFonts w:hint="eastAsia" w:ascii="Arial" w:hAnsi="Arial"/>
          <w:color w:val="auto"/>
          <w:sz w:val="28"/>
          <w:szCs w:val="28"/>
          <w:highlight w:val="none"/>
        </w:rPr>
        <w:t>三、符合条件</w:t>
      </w:r>
      <w:bookmarkEnd w:id="84"/>
    </w:p>
    <w:p w14:paraId="35C791C5">
      <w:pPr>
        <w:ind w:firstLine="570"/>
        <w:rPr>
          <w:rFonts w:ascii="Arial" w:hAnsi="Arial"/>
          <w:color w:val="auto"/>
          <w:sz w:val="28"/>
          <w:szCs w:val="28"/>
          <w:highlight w:val="none"/>
        </w:rPr>
      </w:pPr>
    </w:p>
    <w:p w14:paraId="44300224">
      <w:pPr>
        <w:ind w:firstLine="570"/>
        <w:rPr>
          <w:rFonts w:ascii="Arial" w:hAnsi="Arial"/>
          <w:color w:val="auto"/>
          <w:sz w:val="28"/>
          <w:szCs w:val="28"/>
          <w:highlight w:val="none"/>
        </w:rPr>
      </w:pPr>
      <w:r>
        <w:rPr>
          <w:rFonts w:hint="eastAsia" w:ascii="Arial" w:hAnsi="Arial"/>
          <w:color w:val="auto"/>
          <w:sz w:val="28"/>
          <w:szCs w:val="28"/>
          <w:highlight w:val="none"/>
        </w:rPr>
        <w:t>（注：满足采购文件要求，详见竞争性磋商须知。）</w:t>
      </w:r>
    </w:p>
    <w:p w14:paraId="00CEF52D">
      <w:pPr>
        <w:ind w:firstLine="570"/>
        <w:rPr>
          <w:rFonts w:ascii="Arial" w:hAnsi="Arial"/>
          <w:color w:val="auto"/>
          <w:sz w:val="28"/>
          <w:szCs w:val="28"/>
          <w:highlight w:val="none"/>
        </w:rPr>
      </w:pPr>
      <w:r>
        <w:rPr>
          <w:rFonts w:ascii="Arial" w:hAnsi="Arial"/>
          <w:color w:val="auto"/>
          <w:sz w:val="28"/>
          <w:szCs w:val="28"/>
          <w:highlight w:val="none"/>
        </w:rPr>
        <w:br w:type="page" w:clear="all"/>
      </w:r>
    </w:p>
    <w:p w14:paraId="1EA06783">
      <w:pPr>
        <w:ind w:firstLine="570"/>
        <w:rPr>
          <w:rFonts w:ascii="Arial" w:hAnsi="Arial"/>
          <w:color w:val="auto"/>
          <w:sz w:val="28"/>
          <w:szCs w:val="28"/>
          <w:highlight w:val="none"/>
        </w:rPr>
      </w:pPr>
    </w:p>
    <w:p w14:paraId="0AAFCDDB">
      <w:pPr>
        <w:ind w:firstLine="570"/>
        <w:outlineLvl w:val="1"/>
        <w:rPr>
          <w:rFonts w:ascii="Arial" w:hAnsi="Arial"/>
          <w:color w:val="auto"/>
          <w:sz w:val="28"/>
          <w:szCs w:val="28"/>
          <w:highlight w:val="none"/>
        </w:rPr>
      </w:pPr>
      <w:bookmarkStart w:id="85" w:name="_Toc26795"/>
      <w:r>
        <w:rPr>
          <w:rFonts w:hint="eastAsia" w:ascii="Arial" w:hAnsi="Arial"/>
          <w:color w:val="auto"/>
          <w:sz w:val="28"/>
          <w:szCs w:val="28"/>
          <w:highlight w:val="none"/>
        </w:rPr>
        <w:t>四、</w:t>
      </w:r>
      <w:r>
        <w:rPr>
          <w:rFonts w:ascii="Arial" w:hAnsi="Arial"/>
          <w:color w:val="auto"/>
          <w:sz w:val="28"/>
          <w:szCs w:val="28"/>
          <w:highlight w:val="none"/>
        </w:rPr>
        <w:t>综合评审评分项</w:t>
      </w:r>
      <w:bookmarkEnd w:id="85"/>
    </w:p>
    <w:p w14:paraId="1579118E">
      <w:pPr>
        <w:ind w:firstLine="570"/>
        <w:rPr>
          <w:rFonts w:ascii="Arial" w:hAnsi="Arial"/>
          <w:color w:val="auto"/>
          <w:sz w:val="28"/>
          <w:szCs w:val="28"/>
          <w:highlight w:val="none"/>
        </w:rPr>
      </w:pPr>
      <w:r>
        <w:rPr>
          <w:rFonts w:hint="eastAsia" w:ascii="Arial" w:hAnsi="Arial"/>
          <w:color w:val="auto"/>
          <w:sz w:val="28"/>
          <w:szCs w:val="28"/>
          <w:highlight w:val="none"/>
        </w:rPr>
        <w:t>（注：详见第三章 评审标准。）</w:t>
      </w:r>
    </w:p>
    <w:p w14:paraId="60A33F40">
      <w:pPr>
        <w:ind w:left="420" w:firstLine="570"/>
        <w:rPr>
          <w:rFonts w:ascii="Arial" w:hAnsi="Arial"/>
          <w:color w:val="auto"/>
          <w:sz w:val="28"/>
          <w:szCs w:val="28"/>
          <w:highlight w:val="none"/>
          <w:lang w:val="zh-CN"/>
        </w:rPr>
      </w:pPr>
    </w:p>
    <w:p w14:paraId="71BE6775">
      <w:pPr>
        <w:spacing w:before="312" w:after="312"/>
        <w:ind w:firstLine="431"/>
        <w:rPr>
          <w:rFonts w:ascii="Arial" w:hAnsi="Arial"/>
          <w:color w:val="auto"/>
          <w:szCs w:val="21"/>
          <w:highlight w:val="none"/>
        </w:rPr>
      </w:pPr>
      <w:r>
        <w:rPr>
          <w:b/>
          <w:color w:val="auto"/>
          <w:highlight w:val="none"/>
        </w:rPr>
        <w:t>附件</w:t>
      </w:r>
      <w:r>
        <w:rPr>
          <w:rFonts w:hint="eastAsia"/>
          <w:b/>
          <w:color w:val="auto"/>
          <w:highlight w:val="none"/>
        </w:rPr>
        <w:t>1</w:t>
      </w:r>
      <w:r>
        <w:rPr>
          <w:b/>
          <w:color w:val="auto"/>
          <w:highlight w:val="none"/>
        </w:rPr>
        <w:t>、拟参与本项目人员一览表</w:t>
      </w:r>
    </w:p>
    <w:p w14:paraId="3093D68F">
      <w:pPr>
        <w:widowControl/>
        <w:shd w:val="clear" w:color="auto" w:fill="FFFFFF"/>
        <w:spacing w:before="312" w:line="360" w:lineRule="auto"/>
        <w:ind w:firstLine="733"/>
        <w:jc w:val="center"/>
        <w:rPr>
          <w:rFonts w:ascii="Arial" w:hAnsi="Arial"/>
          <w:b/>
          <w:color w:val="auto"/>
          <w:sz w:val="36"/>
          <w:szCs w:val="36"/>
          <w:highlight w:val="none"/>
        </w:rPr>
      </w:pPr>
      <w:r>
        <w:rPr>
          <w:rFonts w:ascii="Arial" w:hAnsi="Arial"/>
          <w:b/>
          <w:color w:val="auto"/>
          <w:sz w:val="36"/>
          <w:szCs w:val="36"/>
          <w:highlight w:val="none"/>
        </w:rPr>
        <w:t>拟参与本项目人员一览表</w:t>
      </w:r>
    </w:p>
    <w:p w14:paraId="329B0AE2">
      <w:pPr>
        <w:ind w:firstLine="431"/>
        <w:jc w:val="center"/>
        <w:rPr>
          <w:rFonts w:ascii="Arial" w:hAnsi="Arial"/>
          <w:b/>
          <w:bCs/>
          <w:color w:val="auto"/>
          <w:szCs w:val="21"/>
          <w:highlight w:val="none"/>
          <w:lang w:val="zh-CN"/>
        </w:rPr>
      </w:pPr>
    </w:p>
    <w:p w14:paraId="00FD5F44">
      <w:pPr>
        <w:ind w:firstLine="430"/>
        <w:rPr>
          <w:rFonts w:ascii="Arial" w:hAnsi="Arial"/>
          <w:color w:val="auto"/>
          <w:szCs w:val="21"/>
          <w:highlight w:val="none"/>
          <w:lang w:val="zh-CN"/>
        </w:rPr>
      </w:pPr>
      <w:r>
        <w:rPr>
          <w:rFonts w:ascii="Arial" w:hAnsi="Arial"/>
          <w:color w:val="auto"/>
          <w:szCs w:val="21"/>
          <w:highlight w:val="none"/>
          <w:lang w:val="zh-CN"/>
        </w:rPr>
        <w:t>项目名称：                                     项目编号：</w:t>
      </w:r>
    </w:p>
    <w:tbl>
      <w:tblPr>
        <w:tblStyle w:val="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57DC0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jc w:val="center"/>
        </w:trPr>
        <w:tc>
          <w:tcPr>
            <w:tcW w:w="534" w:type="dxa"/>
            <w:vAlign w:val="center"/>
          </w:tcPr>
          <w:p w14:paraId="133C5B0B">
            <w:pPr>
              <w:rPr>
                <w:rFonts w:ascii="Arial" w:hAnsi="Arial"/>
                <w:b/>
                <w:color w:val="auto"/>
                <w:szCs w:val="21"/>
                <w:highlight w:val="none"/>
                <w:lang w:val="zh-CN"/>
              </w:rPr>
            </w:pPr>
            <w:r>
              <w:rPr>
                <w:rFonts w:ascii="Arial" w:hAnsi="Arial"/>
                <w:b/>
                <w:color w:val="auto"/>
                <w:szCs w:val="21"/>
                <w:highlight w:val="none"/>
                <w:lang w:val="zh-CN"/>
              </w:rPr>
              <w:t>序号</w:t>
            </w:r>
          </w:p>
        </w:tc>
        <w:tc>
          <w:tcPr>
            <w:tcW w:w="896" w:type="dxa"/>
            <w:vAlign w:val="center"/>
          </w:tcPr>
          <w:p w14:paraId="0D7D7657">
            <w:pPr>
              <w:rPr>
                <w:rFonts w:ascii="Arial" w:hAnsi="Arial"/>
                <w:b/>
                <w:color w:val="auto"/>
                <w:szCs w:val="21"/>
                <w:highlight w:val="none"/>
                <w:lang w:val="zh-CN"/>
              </w:rPr>
            </w:pPr>
            <w:r>
              <w:rPr>
                <w:rFonts w:ascii="Arial" w:hAnsi="Arial"/>
                <w:b/>
                <w:color w:val="auto"/>
                <w:szCs w:val="21"/>
                <w:highlight w:val="none"/>
                <w:lang w:val="zh-CN"/>
              </w:rPr>
              <w:t>姓名</w:t>
            </w:r>
          </w:p>
        </w:tc>
        <w:tc>
          <w:tcPr>
            <w:tcW w:w="663" w:type="dxa"/>
            <w:vAlign w:val="center"/>
          </w:tcPr>
          <w:p w14:paraId="21318F35">
            <w:pPr>
              <w:rPr>
                <w:rFonts w:ascii="Arial" w:hAnsi="Arial"/>
                <w:b/>
                <w:color w:val="auto"/>
                <w:szCs w:val="21"/>
                <w:highlight w:val="none"/>
                <w:lang w:val="zh-CN"/>
              </w:rPr>
            </w:pPr>
            <w:r>
              <w:rPr>
                <w:rFonts w:ascii="Arial" w:hAnsi="Arial"/>
                <w:b/>
                <w:color w:val="auto"/>
                <w:szCs w:val="21"/>
                <w:highlight w:val="none"/>
                <w:lang w:val="zh-CN"/>
              </w:rPr>
              <w:t>性别</w:t>
            </w:r>
          </w:p>
        </w:tc>
        <w:tc>
          <w:tcPr>
            <w:tcW w:w="709" w:type="dxa"/>
            <w:vAlign w:val="center"/>
          </w:tcPr>
          <w:p w14:paraId="054FAACE">
            <w:pPr>
              <w:rPr>
                <w:rFonts w:ascii="Arial" w:hAnsi="Arial"/>
                <w:b/>
                <w:color w:val="auto"/>
                <w:szCs w:val="21"/>
                <w:highlight w:val="none"/>
                <w:lang w:val="zh-CN"/>
              </w:rPr>
            </w:pPr>
            <w:r>
              <w:rPr>
                <w:rFonts w:ascii="Arial" w:hAnsi="Arial"/>
                <w:b/>
                <w:color w:val="auto"/>
                <w:szCs w:val="21"/>
                <w:highlight w:val="none"/>
                <w:lang w:val="zh-CN"/>
              </w:rPr>
              <w:t>年龄</w:t>
            </w:r>
          </w:p>
        </w:tc>
        <w:tc>
          <w:tcPr>
            <w:tcW w:w="1134" w:type="dxa"/>
            <w:vAlign w:val="center"/>
          </w:tcPr>
          <w:p w14:paraId="5C5841B1">
            <w:pPr>
              <w:rPr>
                <w:rFonts w:ascii="Arial" w:hAnsi="Arial"/>
                <w:b/>
                <w:color w:val="auto"/>
                <w:szCs w:val="21"/>
                <w:highlight w:val="none"/>
                <w:lang w:val="zh-CN"/>
              </w:rPr>
            </w:pPr>
            <w:r>
              <w:rPr>
                <w:rFonts w:ascii="Arial" w:hAnsi="Arial"/>
                <w:b/>
                <w:color w:val="auto"/>
                <w:szCs w:val="21"/>
                <w:highlight w:val="none"/>
                <w:lang w:val="zh-CN"/>
              </w:rPr>
              <w:t>学历及专业</w:t>
            </w:r>
          </w:p>
        </w:tc>
        <w:tc>
          <w:tcPr>
            <w:tcW w:w="1056" w:type="dxa"/>
            <w:vAlign w:val="center"/>
          </w:tcPr>
          <w:p w14:paraId="40DD02DF">
            <w:pPr>
              <w:rPr>
                <w:rFonts w:ascii="Arial" w:hAnsi="Arial"/>
                <w:b/>
                <w:color w:val="auto"/>
                <w:szCs w:val="21"/>
                <w:highlight w:val="none"/>
                <w:lang w:val="zh-CN"/>
              </w:rPr>
            </w:pPr>
            <w:r>
              <w:rPr>
                <w:rFonts w:ascii="Arial" w:hAnsi="Arial"/>
                <w:b/>
                <w:color w:val="auto"/>
                <w:szCs w:val="21"/>
                <w:highlight w:val="none"/>
                <w:lang w:val="zh-CN"/>
              </w:rPr>
              <w:t>执业资格及证书号</w:t>
            </w:r>
          </w:p>
        </w:tc>
        <w:tc>
          <w:tcPr>
            <w:tcW w:w="1020" w:type="dxa"/>
            <w:vAlign w:val="center"/>
          </w:tcPr>
          <w:p w14:paraId="79C405D1">
            <w:pPr>
              <w:rPr>
                <w:rFonts w:ascii="Arial" w:hAnsi="Arial"/>
                <w:b/>
                <w:color w:val="auto"/>
                <w:szCs w:val="21"/>
                <w:highlight w:val="none"/>
                <w:lang w:val="zh-CN"/>
              </w:rPr>
            </w:pPr>
            <w:r>
              <w:rPr>
                <w:rFonts w:ascii="Arial" w:hAnsi="Arial"/>
                <w:b/>
                <w:color w:val="auto"/>
                <w:szCs w:val="21"/>
                <w:highlight w:val="none"/>
                <w:lang w:val="zh-CN"/>
              </w:rPr>
              <w:t>技术</w:t>
            </w:r>
          </w:p>
          <w:p w14:paraId="702016D6">
            <w:pPr>
              <w:rPr>
                <w:rFonts w:ascii="Arial" w:hAnsi="Arial"/>
                <w:b/>
                <w:color w:val="auto"/>
                <w:szCs w:val="21"/>
                <w:highlight w:val="none"/>
                <w:lang w:val="zh-CN"/>
              </w:rPr>
            </w:pPr>
            <w:r>
              <w:rPr>
                <w:rFonts w:ascii="Arial" w:hAnsi="Arial"/>
                <w:b/>
                <w:color w:val="auto"/>
                <w:szCs w:val="21"/>
                <w:highlight w:val="none"/>
                <w:lang w:val="zh-CN"/>
              </w:rPr>
              <w:t>职称</w:t>
            </w:r>
          </w:p>
        </w:tc>
        <w:tc>
          <w:tcPr>
            <w:tcW w:w="1174" w:type="dxa"/>
            <w:vAlign w:val="center"/>
          </w:tcPr>
          <w:p w14:paraId="1A190FF2">
            <w:pPr>
              <w:rPr>
                <w:rFonts w:ascii="Arial" w:hAnsi="Arial"/>
                <w:b/>
                <w:color w:val="auto"/>
                <w:szCs w:val="21"/>
                <w:highlight w:val="none"/>
                <w:lang w:val="zh-CN"/>
              </w:rPr>
            </w:pPr>
            <w:r>
              <w:rPr>
                <w:rFonts w:ascii="Arial" w:hAnsi="Arial"/>
                <w:b/>
                <w:color w:val="auto"/>
                <w:szCs w:val="21"/>
                <w:highlight w:val="none"/>
                <w:lang w:val="zh-CN"/>
              </w:rPr>
              <w:t>相关工作年限及工作经历</w:t>
            </w:r>
          </w:p>
        </w:tc>
        <w:tc>
          <w:tcPr>
            <w:tcW w:w="1588" w:type="dxa"/>
            <w:vAlign w:val="center"/>
          </w:tcPr>
          <w:p w14:paraId="4E8588A9">
            <w:pPr>
              <w:rPr>
                <w:rFonts w:ascii="Arial" w:hAnsi="Arial"/>
                <w:b/>
                <w:color w:val="auto"/>
                <w:szCs w:val="21"/>
                <w:highlight w:val="none"/>
                <w:lang w:val="zh-CN"/>
              </w:rPr>
            </w:pPr>
            <w:r>
              <w:rPr>
                <w:rFonts w:ascii="Arial" w:hAnsi="Arial"/>
                <w:b/>
                <w:color w:val="auto"/>
                <w:szCs w:val="21"/>
                <w:highlight w:val="none"/>
                <w:lang w:val="zh-CN"/>
              </w:rPr>
              <w:t>拟担任本项目何种工作</w:t>
            </w:r>
          </w:p>
        </w:tc>
        <w:tc>
          <w:tcPr>
            <w:tcW w:w="851" w:type="dxa"/>
            <w:vAlign w:val="center"/>
          </w:tcPr>
          <w:p w14:paraId="73D89BC0">
            <w:pPr>
              <w:rPr>
                <w:rFonts w:ascii="Arial" w:hAnsi="Arial"/>
                <w:b/>
                <w:color w:val="auto"/>
                <w:szCs w:val="21"/>
                <w:highlight w:val="none"/>
                <w:lang w:val="zh-CN"/>
              </w:rPr>
            </w:pPr>
            <w:r>
              <w:rPr>
                <w:rFonts w:ascii="Arial" w:hAnsi="Arial"/>
                <w:b/>
                <w:color w:val="auto"/>
                <w:szCs w:val="21"/>
                <w:highlight w:val="none"/>
                <w:lang w:val="zh-CN"/>
              </w:rPr>
              <w:t>备注</w:t>
            </w:r>
          </w:p>
        </w:tc>
      </w:tr>
      <w:tr w14:paraId="48329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tcPr>
          <w:p w14:paraId="2EC1018C">
            <w:pPr>
              <w:ind w:firstLine="430"/>
              <w:rPr>
                <w:rFonts w:ascii="Arial" w:hAnsi="Arial"/>
                <w:color w:val="auto"/>
                <w:szCs w:val="21"/>
                <w:highlight w:val="none"/>
                <w:lang w:val="zh-CN"/>
              </w:rPr>
            </w:pPr>
          </w:p>
        </w:tc>
        <w:tc>
          <w:tcPr>
            <w:tcW w:w="896" w:type="dxa"/>
          </w:tcPr>
          <w:p w14:paraId="3D652749">
            <w:pPr>
              <w:ind w:firstLine="430"/>
              <w:rPr>
                <w:rFonts w:ascii="Arial" w:hAnsi="Arial"/>
                <w:color w:val="auto"/>
                <w:szCs w:val="21"/>
                <w:highlight w:val="none"/>
                <w:lang w:val="zh-CN"/>
              </w:rPr>
            </w:pPr>
          </w:p>
        </w:tc>
        <w:tc>
          <w:tcPr>
            <w:tcW w:w="663" w:type="dxa"/>
          </w:tcPr>
          <w:p w14:paraId="6CA0E3AC">
            <w:pPr>
              <w:ind w:firstLine="430"/>
              <w:rPr>
                <w:rFonts w:ascii="Arial" w:hAnsi="Arial"/>
                <w:color w:val="auto"/>
                <w:szCs w:val="21"/>
                <w:highlight w:val="none"/>
                <w:lang w:val="zh-CN"/>
              </w:rPr>
            </w:pPr>
          </w:p>
        </w:tc>
        <w:tc>
          <w:tcPr>
            <w:tcW w:w="709" w:type="dxa"/>
          </w:tcPr>
          <w:p w14:paraId="734B3A9D">
            <w:pPr>
              <w:ind w:firstLine="430"/>
              <w:rPr>
                <w:rFonts w:ascii="Arial" w:hAnsi="Arial"/>
                <w:color w:val="auto"/>
                <w:szCs w:val="21"/>
                <w:highlight w:val="none"/>
                <w:lang w:val="zh-CN"/>
              </w:rPr>
            </w:pPr>
          </w:p>
        </w:tc>
        <w:tc>
          <w:tcPr>
            <w:tcW w:w="1134" w:type="dxa"/>
          </w:tcPr>
          <w:p w14:paraId="28148010">
            <w:pPr>
              <w:ind w:firstLine="430"/>
              <w:rPr>
                <w:rFonts w:ascii="Arial" w:hAnsi="Arial"/>
                <w:color w:val="auto"/>
                <w:szCs w:val="21"/>
                <w:highlight w:val="none"/>
                <w:lang w:val="zh-CN"/>
              </w:rPr>
            </w:pPr>
          </w:p>
        </w:tc>
        <w:tc>
          <w:tcPr>
            <w:tcW w:w="1056" w:type="dxa"/>
          </w:tcPr>
          <w:p w14:paraId="3581B65D">
            <w:pPr>
              <w:ind w:firstLine="430"/>
              <w:rPr>
                <w:rFonts w:ascii="Arial" w:hAnsi="Arial"/>
                <w:color w:val="auto"/>
                <w:szCs w:val="21"/>
                <w:highlight w:val="none"/>
                <w:lang w:val="zh-CN"/>
              </w:rPr>
            </w:pPr>
          </w:p>
        </w:tc>
        <w:tc>
          <w:tcPr>
            <w:tcW w:w="1020" w:type="dxa"/>
          </w:tcPr>
          <w:p w14:paraId="4C3DCB60">
            <w:pPr>
              <w:ind w:firstLine="430"/>
              <w:rPr>
                <w:rFonts w:ascii="Arial" w:hAnsi="Arial"/>
                <w:color w:val="auto"/>
                <w:szCs w:val="21"/>
                <w:highlight w:val="none"/>
                <w:lang w:val="zh-CN"/>
              </w:rPr>
            </w:pPr>
          </w:p>
        </w:tc>
        <w:tc>
          <w:tcPr>
            <w:tcW w:w="1174" w:type="dxa"/>
          </w:tcPr>
          <w:p w14:paraId="79B0078D">
            <w:pPr>
              <w:ind w:firstLine="430"/>
              <w:rPr>
                <w:rFonts w:ascii="Arial" w:hAnsi="Arial"/>
                <w:color w:val="auto"/>
                <w:szCs w:val="21"/>
                <w:highlight w:val="none"/>
                <w:lang w:val="zh-CN"/>
              </w:rPr>
            </w:pPr>
          </w:p>
        </w:tc>
        <w:tc>
          <w:tcPr>
            <w:tcW w:w="1588" w:type="dxa"/>
          </w:tcPr>
          <w:p w14:paraId="711E98B7">
            <w:pPr>
              <w:ind w:firstLine="430"/>
              <w:rPr>
                <w:rFonts w:ascii="Arial" w:hAnsi="Arial"/>
                <w:color w:val="auto"/>
                <w:szCs w:val="21"/>
                <w:highlight w:val="none"/>
                <w:lang w:val="zh-CN"/>
              </w:rPr>
            </w:pPr>
          </w:p>
        </w:tc>
        <w:tc>
          <w:tcPr>
            <w:tcW w:w="851" w:type="dxa"/>
          </w:tcPr>
          <w:p w14:paraId="3DD5A548">
            <w:pPr>
              <w:ind w:firstLine="430"/>
              <w:rPr>
                <w:rFonts w:ascii="Arial" w:hAnsi="Arial"/>
                <w:color w:val="auto"/>
                <w:szCs w:val="21"/>
                <w:highlight w:val="none"/>
                <w:lang w:val="zh-CN"/>
              </w:rPr>
            </w:pPr>
          </w:p>
        </w:tc>
      </w:tr>
      <w:tr w14:paraId="3BCD7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tcPr>
          <w:p w14:paraId="58EF3C45">
            <w:pPr>
              <w:ind w:firstLine="430"/>
              <w:rPr>
                <w:rFonts w:ascii="Arial" w:hAnsi="Arial"/>
                <w:color w:val="auto"/>
                <w:szCs w:val="21"/>
                <w:highlight w:val="none"/>
                <w:lang w:val="zh-CN"/>
              </w:rPr>
            </w:pPr>
          </w:p>
        </w:tc>
        <w:tc>
          <w:tcPr>
            <w:tcW w:w="896" w:type="dxa"/>
          </w:tcPr>
          <w:p w14:paraId="6CE81687">
            <w:pPr>
              <w:ind w:firstLine="430"/>
              <w:rPr>
                <w:rFonts w:ascii="Arial" w:hAnsi="Arial"/>
                <w:color w:val="auto"/>
                <w:szCs w:val="21"/>
                <w:highlight w:val="none"/>
                <w:lang w:val="zh-CN"/>
              </w:rPr>
            </w:pPr>
          </w:p>
        </w:tc>
        <w:tc>
          <w:tcPr>
            <w:tcW w:w="663" w:type="dxa"/>
          </w:tcPr>
          <w:p w14:paraId="1EB535BA">
            <w:pPr>
              <w:ind w:firstLine="430"/>
              <w:rPr>
                <w:rFonts w:ascii="Arial" w:hAnsi="Arial"/>
                <w:color w:val="auto"/>
                <w:szCs w:val="21"/>
                <w:highlight w:val="none"/>
                <w:lang w:val="zh-CN"/>
              </w:rPr>
            </w:pPr>
          </w:p>
        </w:tc>
        <w:tc>
          <w:tcPr>
            <w:tcW w:w="709" w:type="dxa"/>
          </w:tcPr>
          <w:p w14:paraId="28DADDA3">
            <w:pPr>
              <w:ind w:firstLine="430"/>
              <w:rPr>
                <w:rFonts w:ascii="Arial" w:hAnsi="Arial"/>
                <w:color w:val="auto"/>
                <w:szCs w:val="21"/>
                <w:highlight w:val="none"/>
                <w:lang w:val="zh-CN"/>
              </w:rPr>
            </w:pPr>
          </w:p>
        </w:tc>
        <w:tc>
          <w:tcPr>
            <w:tcW w:w="1134" w:type="dxa"/>
          </w:tcPr>
          <w:p w14:paraId="6F75917A">
            <w:pPr>
              <w:ind w:firstLine="430"/>
              <w:rPr>
                <w:rFonts w:ascii="Arial" w:hAnsi="Arial"/>
                <w:color w:val="auto"/>
                <w:szCs w:val="21"/>
                <w:highlight w:val="none"/>
                <w:lang w:val="zh-CN"/>
              </w:rPr>
            </w:pPr>
          </w:p>
        </w:tc>
        <w:tc>
          <w:tcPr>
            <w:tcW w:w="1056" w:type="dxa"/>
          </w:tcPr>
          <w:p w14:paraId="0C5AD84E">
            <w:pPr>
              <w:ind w:firstLine="430"/>
              <w:rPr>
                <w:rFonts w:ascii="Arial" w:hAnsi="Arial"/>
                <w:color w:val="auto"/>
                <w:szCs w:val="21"/>
                <w:highlight w:val="none"/>
                <w:lang w:val="zh-CN"/>
              </w:rPr>
            </w:pPr>
          </w:p>
        </w:tc>
        <w:tc>
          <w:tcPr>
            <w:tcW w:w="1020" w:type="dxa"/>
          </w:tcPr>
          <w:p w14:paraId="1428D9DE">
            <w:pPr>
              <w:ind w:firstLine="430"/>
              <w:rPr>
                <w:rFonts w:ascii="Arial" w:hAnsi="Arial"/>
                <w:color w:val="auto"/>
                <w:szCs w:val="21"/>
                <w:highlight w:val="none"/>
                <w:lang w:val="zh-CN"/>
              </w:rPr>
            </w:pPr>
          </w:p>
        </w:tc>
        <w:tc>
          <w:tcPr>
            <w:tcW w:w="1174" w:type="dxa"/>
          </w:tcPr>
          <w:p w14:paraId="7E3ACF98">
            <w:pPr>
              <w:ind w:firstLine="430"/>
              <w:rPr>
                <w:rFonts w:ascii="Arial" w:hAnsi="Arial"/>
                <w:color w:val="auto"/>
                <w:szCs w:val="21"/>
                <w:highlight w:val="none"/>
                <w:lang w:val="zh-CN"/>
              </w:rPr>
            </w:pPr>
          </w:p>
        </w:tc>
        <w:tc>
          <w:tcPr>
            <w:tcW w:w="1588" w:type="dxa"/>
          </w:tcPr>
          <w:p w14:paraId="313AF208">
            <w:pPr>
              <w:ind w:firstLine="430"/>
              <w:rPr>
                <w:rFonts w:ascii="Arial" w:hAnsi="Arial"/>
                <w:color w:val="auto"/>
                <w:szCs w:val="21"/>
                <w:highlight w:val="none"/>
                <w:lang w:val="zh-CN"/>
              </w:rPr>
            </w:pPr>
          </w:p>
        </w:tc>
        <w:tc>
          <w:tcPr>
            <w:tcW w:w="851" w:type="dxa"/>
          </w:tcPr>
          <w:p w14:paraId="3D63E177">
            <w:pPr>
              <w:ind w:firstLine="430"/>
              <w:rPr>
                <w:rFonts w:ascii="Arial" w:hAnsi="Arial"/>
                <w:color w:val="auto"/>
                <w:szCs w:val="21"/>
                <w:highlight w:val="none"/>
                <w:lang w:val="zh-CN"/>
              </w:rPr>
            </w:pPr>
          </w:p>
        </w:tc>
      </w:tr>
      <w:tr w14:paraId="027F6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tcPr>
          <w:p w14:paraId="53DFD2E4">
            <w:pPr>
              <w:ind w:firstLine="430"/>
              <w:rPr>
                <w:rFonts w:ascii="Arial" w:hAnsi="Arial"/>
                <w:color w:val="auto"/>
                <w:szCs w:val="21"/>
                <w:highlight w:val="none"/>
                <w:lang w:val="zh-CN"/>
              </w:rPr>
            </w:pPr>
          </w:p>
        </w:tc>
        <w:tc>
          <w:tcPr>
            <w:tcW w:w="896" w:type="dxa"/>
          </w:tcPr>
          <w:p w14:paraId="4CAA4BBF">
            <w:pPr>
              <w:ind w:firstLine="430"/>
              <w:rPr>
                <w:rFonts w:ascii="Arial" w:hAnsi="Arial"/>
                <w:color w:val="auto"/>
                <w:szCs w:val="21"/>
                <w:highlight w:val="none"/>
                <w:lang w:val="zh-CN"/>
              </w:rPr>
            </w:pPr>
          </w:p>
        </w:tc>
        <w:tc>
          <w:tcPr>
            <w:tcW w:w="663" w:type="dxa"/>
          </w:tcPr>
          <w:p w14:paraId="3C28ACD6">
            <w:pPr>
              <w:ind w:firstLine="430"/>
              <w:rPr>
                <w:rFonts w:ascii="Arial" w:hAnsi="Arial"/>
                <w:color w:val="auto"/>
                <w:szCs w:val="21"/>
                <w:highlight w:val="none"/>
                <w:lang w:val="zh-CN"/>
              </w:rPr>
            </w:pPr>
          </w:p>
        </w:tc>
        <w:tc>
          <w:tcPr>
            <w:tcW w:w="709" w:type="dxa"/>
          </w:tcPr>
          <w:p w14:paraId="7F7B6E65">
            <w:pPr>
              <w:ind w:firstLine="430"/>
              <w:rPr>
                <w:rFonts w:ascii="Arial" w:hAnsi="Arial"/>
                <w:color w:val="auto"/>
                <w:szCs w:val="21"/>
                <w:highlight w:val="none"/>
                <w:lang w:val="zh-CN"/>
              </w:rPr>
            </w:pPr>
          </w:p>
        </w:tc>
        <w:tc>
          <w:tcPr>
            <w:tcW w:w="1134" w:type="dxa"/>
          </w:tcPr>
          <w:p w14:paraId="3D472508">
            <w:pPr>
              <w:ind w:firstLine="430"/>
              <w:rPr>
                <w:rFonts w:ascii="Arial" w:hAnsi="Arial"/>
                <w:color w:val="auto"/>
                <w:szCs w:val="21"/>
                <w:highlight w:val="none"/>
                <w:lang w:val="zh-CN"/>
              </w:rPr>
            </w:pPr>
          </w:p>
        </w:tc>
        <w:tc>
          <w:tcPr>
            <w:tcW w:w="1056" w:type="dxa"/>
          </w:tcPr>
          <w:p w14:paraId="6D6485FC">
            <w:pPr>
              <w:ind w:firstLine="430"/>
              <w:rPr>
                <w:rFonts w:ascii="Arial" w:hAnsi="Arial"/>
                <w:color w:val="auto"/>
                <w:szCs w:val="21"/>
                <w:highlight w:val="none"/>
                <w:lang w:val="zh-CN"/>
              </w:rPr>
            </w:pPr>
          </w:p>
        </w:tc>
        <w:tc>
          <w:tcPr>
            <w:tcW w:w="1020" w:type="dxa"/>
          </w:tcPr>
          <w:p w14:paraId="44750BD5">
            <w:pPr>
              <w:ind w:firstLine="430"/>
              <w:rPr>
                <w:rFonts w:ascii="Arial" w:hAnsi="Arial"/>
                <w:color w:val="auto"/>
                <w:szCs w:val="21"/>
                <w:highlight w:val="none"/>
                <w:lang w:val="zh-CN"/>
              </w:rPr>
            </w:pPr>
          </w:p>
        </w:tc>
        <w:tc>
          <w:tcPr>
            <w:tcW w:w="1174" w:type="dxa"/>
          </w:tcPr>
          <w:p w14:paraId="5953CACF">
            <w:pPr>
              <w:ind w:firstLine="430"/>
              <w:rPr>
                <w:rFonts w:ascii="Arial" w:hAnsi="Arial"/>
                <w:color w:val="auto"/>
                <w:szCs w:val="21"/>
                <w:highlight w:val="none"/>
                <w:lang w:val="zh-CN"/>
              </w:rPr>
            </w:pPr>
          </w:p>
        </w:tc>
        <w:tc>
          <w:tcPr>
            <w:tcW w:w="1588" w:type="dxa"/>
          </w:tcPr>
          <w:p w14:paraId="7E985EA2">
            <w:pPr>
              <w:ind w:firstLine="430"/>
              <w:rPr>
                <w:rFonts w:ascii="Arial" w:hAnsi="Arial"/>
                <w:color w:val="auto"/>
                <w:szCs w:val="21"/>
                <w:highlight w:val="none"/>
                <w:lang w:val="zh-CN"/>
              </w:rPr>
            </w:pPr>
          </w:p>
        </w:tc>
        <w:tc>
          <w:tcPr>
            <w:tcW w:w="851" w:type="dxa"/>
          </w:tcPr>
          <w:p w14:paraId="36735B39">
            <w:pPr>
              <w:ind w:firstLine="430"/>
              <w:rPr>
                <w:rFonts w:ascii="Arial" w:hAnsi="Arial"/>
                <w:color w:val="auto"/>
                <w:szCs w:val="21"/>
                <w:highlight w:val="none"/>
                <w:lang w:val="zh-CN"/>
              </w:rPr>
            </w:pPr>
          </w:p>
        </w:tc>
      </w:tr>
      <w:tr w14:paraId="00762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tcPr>
          <w:p w14:paraId="6BF6F0C2">
            <w:pPr>
              <w:ind w:firstLine="430"/>
              <w:rPr>
                <w:rFonts w:ascii="Arial" w:hAnsi="Arial"/>
                <w:color w:val="auto"/>
                <w:szCs w:val="21"/>
                <w:highlight w:val="none"/>
                <w:lang w:val="zh-CN"/>
              </w:rPr>
            </w:pPr>
          </w:p>
        </w:tc>
        <w:tc>
          <w:tcPr>
            <w:tcW w:w="896" w:type="dxa"/>
          </w:tcPr>
          <w:p w14:paraId="7B7F2681">
            <w:pPr>
              <w:ind w:firstLine="430"/>
              <w:rPr>
                <w:rFonts w:ascii="Arial" w:hAnsi="Arial"/>
                <w:color w:val="auto"/>
                <w:szCs w:val="21"/>
                <w:highlight w:val="none"/>
                <w:lang w:val="zh-CN"/>
              </w:rPr>
            </w:pPr>
          </w:p>
        </w:tc>
        <w:tc>
          <w:tcPr>
            <w:tcW w:w="663" w:type="dxa"/>
          </w:tcPr>
          <w:p w14:paraId="57F52683">
            <w:pPr>
              <w:ind w:firstLine="430"/>
              <w:rPr>
                <w:rFonts w:ascii="Arial" w:hAnsi="Arial"/>
                <w:color w:val="auto"/>
                <w:szCs w:val="21"/>
                <w:highlight w:val="none"/>
                <w:lang w:val="zh-CN"/>
              </w:rPr>
            </w:pPr>
          </w:p>
        </w:tc>
        <w:tc>
          <w:tcPr>
            <w:tcW w:w="709" w:type="dxa"/>
          </w:tcPr>
          <w:p w14:paraId="72D34EF9">
            <w:pPr>
              <w:ind w:firstLine="430"/>
              <w:rPr>
                <w:rFonts w:ascii="Arial" w:hAnsi="Arial"/>
                <w:color w:val="auto"/>
                <w:szCs w:val="21"/>
                <w:highlight w:val="none"/>
                <w:lang w:val="zh-CN"/>
              </w:rPr>
            </w:pPr>
          </w:p>
        </w:tc>
        <w:tc>
          <w:tcPr>
            <w:tcW w:w="1134" w:type="dxa"/>
          </w:tcPr>
          <w:p w14:paraId="2F898910">
            <w:pPr>
              <w:ind w:firstLine="430"/>
              <w:rPr>
                <w:rFonts w:ascii="Arial" w:hAnsi="Arial"/>
                <w:color w:val="auto"/>
                <w:szCs w:val="21"/>
                <w:highlight w:val="none"/>
                <w:lang w:val="zh-CN"/>
              </w:rPr>
            </w:pPr>
          </w:p>
        </w:tc>
        <w:tc>
          <w:tcPr>
            <w:tcW w:w="1056" w:type="dxa"/>
          </w:tcPr>
          <w:p w14:paraId="4A5C0626">
            <w:pPr>
              <w:ind w:firstLine="430"/>
              <w:rPr>
                <w:rFonts w:ascii="Arial" w:hAnsi="Arial"/>
                <w:color w:val="auto"/>
                <w:szCs w:val="21"/>
                <w:highlight w:val="none"/>
                <w:lang w:val="zh-CN"/>
              </w:rPr>
            </w:pPr>
          </w:p>
        </w:tc>
        <w:tc>
          <w:tcPr>
            <w:tcW w:w="1020" w:type="dxa"/>
          </w:tcPr>
          <w:p w14:paraId="4764C9C1">
            <w:pPr>
              <w:ind w:firstLine="430"/>
              <w:rPr>
                <w:rFonts w:ascii="Arial" w:hAnsi="Arial"/>
                <w:color w:val="auto"/>
                <w:szCs w:val="21"/>
                <w:highlight w:val="none"/>
                <w:lang w:val="zh-CN"/>
              </w:rPr>
            </w:pPr>
          </w:p>
        </w:tc>
        <w:tc>
          <w:tcPr>
            <w:tcW w:w="1174" w:type="dxa"/>
          </w:tcPr>
          <w:p w14:paraId="009CC4D0">
            <w:pPr>
              <w:ind w:firstLine="430"/>
              <w:rPr>
                <w:rFonts w:ascii="Arial" w:hAnsi="Arial"/>
                <w:color w:val="auto"/>
                <w:szCs w:val="21"/>
                <w:highlight w:val="none"/>
                <w:lang w:val="zh-CN"/>
              </w:rPr>
            </w:pPr>
          </w:p>
        </w:tc>
        <w:tc>
          <w:tcPr>
            <w:tcW w:w="1588" w:type="dxa"/>
          </w:tcPr>
          <w:p w14:paraId="19370EEB">
            <w:pPr>
              <w:ind w:firstLine="430"/>
              <w:rPr>
                <w:rFonts w:ascii="Arial" w:hAnsi="Arial"/>
                <w:color w:val="auto"/>
                <w:szCs w:val="21"/>
                <w:highlight w:val="none"/>
                <w:lang w:val="zh-CN"/>
              </w:rPr>
            </w:pPr>
          </w:p>
        </w:tc>
        <w:tc>
          <w:tcPr>
            <w:tcW w:w="851" w:type="dxa"/>
          </w:tcPr>
          <w:p w14:paraId="70441F6B">
            <w:pPr>
              <w:ind w:firstLine="430"/>
              <w:rPr>
                <w:rFonts w:ascii="Arial" w:hAnsi="Arial"/>
                <w:color w:val="auto"/>
                <w:szCs w:val="21"/>
                <w:highlight w:val="none"/>
                <w:lang w:val="zh-CN"/>
              </w:rPr>
            </w:pPr>
          </w:p>
        </w:tc>
      </w:tr>
      <w:tr w14:paraId="07A5F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tcPr>
          <w:p w14:paraId="50B26BD4">
            <w:pPr>
              <w:ind w:firstLine="430"/>
              <w:rPr>
                <w:rFonts w:ascii="Arial" w:hAnsi="Arial"/>
                <w:color w:val="auto"/>
                <w:szCs w:val="21"/>
                <w:highlight w:val="none"/>
                <w:lang w:val="zh-CN"/>
              </w:rPr>
            </w:pPr>
          </w:p>
        </w:tc>
        <w:tc>
          <w:tcPr>
            <w:tcW w:w="896" w:type="dxa"/>
          </w:tcPr>
          <w:p w14:paraId="67DF88B8">
            <w:pPr>
              <w:ind w:firstLine="430"/>
              <w:rPr>
                <w:rFonts w:ascii="Arial" w:hAnsi="Arial"/>
                <w:color w:val="auto"/>
                <w:szCs w:val="21"/>
                <w:highlight w:val="none"/>
                <w:lang w:val="zh-CN"/>
              </w:rPr>
            </w:pPr>
          </w:p>
        </w:tc>
        <w:tc>
          <w:tcPr>
            <w:tcW w:w="663" w:type="dxa"/>
          </w:tcPr>
          <w:p w14:paraId="058CE4F2">
            <w:pPr>
              <w:ind w:firstLine="430"/>
              <w:rPr>
                <w:rFonts w:ascii="Arial" w:hAnsi="Arial"/>
                <w:color w:val="auto"/>
                <w:szCs w:val="21"/>
                <w:highlight w:val="none"/>
                <w:lang w:val="zh-CN"/>
              </w:rPr>
            </w:pPr>
          </w:p>
        </w:tc>
        <w:tc>
          <w:tcPr>
            <w:tcW w:w="709" w:type="dxa"/>
          </w:tcPr>
          <w:p w14:paraId="0937D330">
            <w:pPr>
              <w:ind w:firstLine="430"/>
              <w:rPr>
                <w:rFonts w:ascii="Arial" w:hAnsi="Arial"/>
                <w:color w:val="auto"/>
                <w:szCs w:val="21"/>
                <w:highlight w:val="none"/>
                <w:lang w:val="zh-CN"/>
              </w:rPr>
            </w:pPr>
          </w:p>
        </w:tc>
        <w:tc>
          <w:tcPr>
            <w:tcW w:w="1134" w:type="dxa"/>
          </w:tcPr>
          <w:p w14:paraId="3DAD7F8D">
            <w:pPr>
              <w:ind w:firstLine="430"/>
              <w:rPr>
                <w:rFonts w:ascii="Arial" w:hAnsi="Arial"/>
                <w:color w:val="auto"/>
                <w:szCs w:val="21"/>
                <w:highlight w:val="none"/>
                <w:lang w:val="zh-CN"/>
              </w:rPr>
            </w:pPr>
          </w:p>
        </w:tc>
        <w:tc>
          <w:tcPr>
            <w:tcW w:w="1056" w:type="dxa"/>
          </w:tcPr>
          <w:p w14:paraId="44031705">
            <w:pPr>
              <w:ind w:firstLine="430"/>
              <w:rPr>
                <w:rFonts w:ascii="Arial" w:hAnsi="Arial"/>
                <w:color w:val="auto"/>
                <w:szCs w:val="21"/>
                <w:highlight w:val="none"/>
                <w:lang w:val="zh-CN"/>
              </w:rPr>
            </w:pPr>
          </w:p>
        </w:tc>
        <w:tc>
          <w:tcPr>
            <w:tcW w:w="1020" w:type="dxa"/>
          </w:tcPr>
          <w:p w14:paraId="4596E9A4">
            <w:pPr>
              <w:ind w:firstLine="430"/>
              <w:rPr>
                <w:rFonts w:ascii="Arial" w:hAnsi="Arial"/>
                <w:color w:val="auto"/>
                <w:szCs w:val="21"/>
                <w:highlight w:val="none"/>
                <w:lang w:val="zh-CN"/>
              </w:rPr>
            </w:pPr>
          </w:p>
        </w:tc>
        <w:tc>
          <w:tcPr>
            <w:tcW w:w="1174" w:type="dxa"/>
          </w:tcPr>
          <w:p w14:paraId="498E15B7">
            <w:pPr>
              <w:ind w:firstLine="430"/>
              <w:rPr>
                <w:rFonts w:ascii="Arial" w:hAnsi="Arial"/>
                <w:color w:val="auto"/>
                <w:szCs w:val="21"/>
                <w:highlight w:val="none"/>
                <w:lang w:val="zh-CN"/>
              </w:rPr>
            </w:pPr>
          </w:p>
        </w:tc>
        <w:tc>
          <w:tcPr>
            <w:tcW w:w="1588" w:type="dxa"/>
          </w:tcPr>
          <w:p w14:paraId="6AE3DEDA">
            <w:pPr>
              <w:ind w:firstLine="430"/>
              <w:rPr>
                <w:rFonts w:ascii="Arial" w:hAnsi="Arial"/>
                <w:color w:val="auto"/>
                <w:szCs w:val="21"/>
                <w:highlight w:val="none"/>
                <w:lang w:val="zh-CN"/>
              </w:rPr>
            </w:pPr>
          </w:p>
        </w:tc>
        <w:tc>
          <w:tcPr>
            <w:tcW w:w="851" w:type="dxa"/>
          </w:tcPr>
          <w:p w14:paraId="42E93513">
            <w:pPr>
              <w:ind w:firstLine="430"/>
              <w:rPr>
                <w:rFonts w:ascii="Arial" w:hAnsi="Arial"/>
                <w:color w:val="auto"/>
                <w:szCs w:val="21"/>
                <w:highlight w:val="none"/>
                <w:lang w:val="zh-CN"/>
              </w:rPr>
            </w:pPr>
          </w:p>
        </w:tc>
      </w:tr>
      <w:tr w14:paraId="61E6D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tcPr>
          <w:p w14:paraId="0542492A">
            <w:pPr>
              <w:ind w:firstLine="430"/>
              <w:rPr>
                <w:rFonts w:ascii="Arial" w:hAnsi="Arial"/>
                <w:color w:val="auto"/>
                <w:szCs w:val="21"/>
                <w:highlight w:val="none"/>
                <w:lang w:val="zh-CN"/>
              </w:rPr>
            </w:pPr>
          </w:p>
        </w:tc>
        <w:tc>
          <w:tcPr>
            <w:tcW w:w="896" w:type="dxa"/>
          </w:tcPr>
          <w:p w14:paraId="5AFD7FD6">
            <w:pPr>
              <w:ind w:firstLine="430"/>
              <w:rPr>
                <w:rFonts w:ascii="Arial" w:hAnsi="Arial"/>
                <w:color w:val="auto"/>
                <w:szCs w:val="21"/>
                <w:highlight w:val="none"/>
                <w:lang w:val="zh-CN"/>
              </w:rPr>
            </w:pPr>
          </w:p>
        </w:tc>
        <w:tc>
          <w:tcPr>
            <w:tcW w:w="663" w:type="dxa"/>
          </w:tcPr>
          <w:p w14:paraId="4A1E1BB2">
            <w:pPr>
              <w:ind w:firstLine="430"/>
              <w:rPr>
                <w:rFonts w:ascii="Arial" w:hAnsi="Arial"/>
                <w:color w:val="auto"/>
                <w:szCs w:val="21"/>
                <w:highlight w:val="none"/>
                <w:lang w:val="zh-CN"/>
              </w:rPr>
            </w:pPr>
          </w:p>
        </w:tc>
        <w:tc>
          <w:tcPr>
            <w:tcW w:w="709" w:type="dxa"/>
          </w:tcPr>
          <w:p w14:paraId="0019452C">
            <w:pPr>
              <w:ind w:firstLine="430"/>
              <w:rPr>
                <w:rFonts w:ascii="Arial" w:hAnsi="Arial"/>
                <w:color w:val="auto"/>
                <w:szCs w:val="21"/>
                <w:highlight w:val="none"/>
                <w:lang w:val="zh-CN"/>
              </w:rPr>
            </w:pPr>
          </w:p>
        </w:tc>
        <w:tc>
          <w:tcPr>
            <w:tcW w:w="1134" w:type="dxa"/>
          </w:tcPr>
          <w:p w14:paraId="647F63BA">
            <w:pPr>
              <w:ind w:firstLine="430"/>
              <w:rPr>
                <w:rFonts w:ascii="Arial" w:hAnsi="Arial"/>
                <w:color w:val="auto"/>
                <w:szCs w:val="21"/>
                <w:highlight w:val="none"/>
                <w:lang w:val="zh-CN"/>
              </w:rPr>
            </w:pPr>
          </w:p>
        </w:tc>
        <w:tc>
          <w:tcPr>
            <w:tcW w:w="1056" w:type="dxa"/>
          </w:tcPr>
          <w:p w14:paraId="0621C000">
            <w:pPr>
              <w:ind w:firstLine="430"/>
              <w:rPr>
                <w:rFonts w:ascii="Arial" w:hAnsi="Arial"/>
                <w:color w:val="auto"/>
                <w:szCs w:val="21"/>
                <w:highlight w:val="none"/>
                <w:lang w:val="zh-CN"/>
              </w:rPr>
            </w:pPr>
          </w:p>
        </w:tc>
        <w:tc>
          <w:tcPr>
            <w:tcW w:w="1020" w:type="dxa"/>
          </w:tcPr>
          <w:p w14:paraId="57CF708D">
            <w:pPr>
              <w:ind w:firstLine="430"/>
              <w:rPr>
                <w:rFonts w:ascii="Arial" w:hAnsi="Arial"/>
                <w:color w:val="auto"/>
                <w:szCs w:val="21"/>
                <w:highlight w:val="none"/>
                <w:lang w:val="zh-CN"/>
              </w:rPr>
            </w:pPr>
          </w:p>
        </w:tc>
        <w:tc>
          <w:tcPr>
            <w:tcW w:w="1174" w:type="dxa"/>
          </w:tcPr>
          <w:p w14:paraId="4C1DC609">
            <w:pPr>
              <w:ind w:firstLine="430"/>
              <w:rPr>
                <w:rFonts w:ascii="Arial" w:hAnsi="Arial"/>
                <w:color w:val="auto"/>
                <w:szCs w:val="21"/>
                <w:highlight w:val="none"/>
                <w:lang w:val="zh-CN"/>
              </w:rPr>
            </w:pPr>
          </w:p>
        </w:tc>
        <w:tc>
          <w:tcPr>
            <w:tcW w:w="1588" w:type="dxa"/>
          </w:tcPr>
          <w:p w14:paraId="2D4327EE">
            <w:pPr>
              <w:ind w:firstLine="430"/>
              <w:rPr>
                <w:rFonts w:ascii="Arial" w:hAnsi="Arial"/>
                <w:color w:val="auto"/>
                <w:szCs w:val="21"/>
                <w:highlight w:val="none"/>
                <w:lang w:val="zh-CN"/>
              </w:rPr>
            </w:pPr>
          </w:p>
        </w:tc>
        <w:tc>
          <w:tcPr>
            <w:tcW w:w="851" w:type="dxa"/>
          </w:tcPr>
          <w:p w14:paraId="045F9514">
            <w:pPr>
              <w:ind w:firstLine="430"/>
              <w:rPr>
                <w:rFonts w:ascii="Arial" w:hAnsi="Arial"/>
                <w:color w:val="auto"/>
                <w:szCs w:val="21"/>
                <w:highlight w:val="none"/>
                <w:lang w:val="zh-CN"/>
              </w:rPr>
            </w:pPr>
          </w:p>
        </w:tc>
      </w:tr>
    </w:tbl>
    <w:p w14:paraId="708F4399">
      <w:pPr>
        <w:ind w:firstLine="430"/>
        <w:rPr>
          <w:rFonts w:ascii="Arial" w:hAnsi="Arial"/>
          <w:color w:val="auto"/>
          <w:szCs w:val="21"/>
          <w:highlight w:val="none"/>
          <w:lang w:val="zh-CN"/>
        </w:rPr>
      </w:pPr>
    </w:p>
    <w:p w14:paraId="43212923">
      <w:pPr>
        <w:widowControl/>
        <w:shd w:val="clear" w:color="auto" w:fill="FFFFFF"/>
        <w:spacing w:line="360" w:lineRule="auto"/>
        <w:ind w:firstLine="430"/>
        <w:jc w:val="left"/>
        <w:rPr>
          <w:rFonts w:ascii="Arial" w:hAnsi="Arial"/>
          <w:color w:val="auto"/>
          <w:szCs w:val="21"/>
          <w:highlight w:val="none"/>
        </w:rPr>
      </w:pPr>
      <w:r>
        <w:rPr>
          <w:rFonts w:hint="eastAsia" w:ascii="Arial" w:hAnsi="Arial"/>
          <w:color w:val="auto"/>
          <w:szCs w:val="21"/>
          <w:highlight w:val="none"/>
        </w:rPr>
        <w:t>供应商名称（加盖电子公章）：</w:t>
      </w:r>
      <w:r>
        <w:rPr>
          <w:rFonts w:ascii="Arial" w:hAnsi="Arial"/>
          <w:color w:val="auto"/>
          <w:szCs w:val="21"/>
          <w:highlight w:val="none"/>
          <w:u w:val="single"/>
        </w:rPr>
        <w:t xml:space="preserve">            </w:t>
      </w:r>
    </w:p>
    <w:p w14:paraId="6A33F48F">
      <w:pPr>
        <w:widowControl/>
        <w:shd w:val="clear" w:color="auto" w:fill="FFFFFF"/>
        <w:spacing w:line="360" w:lineRule="auto"/>
        <w:ind w:firstLine="430"/>
        <w:jc w:val="left"/>
        <w:rPr>
          <w:rFonts w:ascii="Arial" w:hAnsi="Arial"/>
          <w:color w:val="auto"/>
          <w:szCs w:val="21"/>
          <w:highlight w:val="none"/>
        </w:rPr>
      </w:pPr>
      <w:r>
        <w:rPr>
          <w:rFonts w:ascii="Arial" w:hAnsi="Arial"/>
          <w:color w:val="auto"/>
          <w:szCs w:val="21"/>
          <w:highlight w:val="none"/>
        </w:rPr>
        <w:t>日    期：   年    月    日</w:t>
      </w:r>
    </w:p>
    <w:p w14:paraId="663A11C6">
      <w:pPr>
        <w:ind w:firstLine="430"/>
        <w:rPr>
          <w:rFonts w:ascii="Arial" w:hAnsi="Arial"/>
          <w:color w:val="auto"/>
          <w:szCs w:val="21"/>
          <w:highlight w:val="none"/>
          <w:lang w:val="zh-CN"/>
        </w:rPr>
      </w:pPr>
    </w:p>
    <w:p w14:paraId="5CC8D47C">
      <w:pPr>
        <w:spacing w:before="312" w:after="312"/>
        <w:ind w:firstLine="430"/>
        <w:rPr>
          <w:rFonts w:ascii="Arial" w:hAnsi="Arial"/>
          <w:color w:val="auto"/>
          <w:szCs w:val="21"/>
          <w:highlight w:val="none"/>
          <w:lang w:val="zh-CN"/>
        </w:rPr>
      </w:pPr>
      <w:bookmarkStart w:id="86" w:name="_Toc504044387"/>
      <w:bookmarkEnd w:id="86"/>
      <w:bookmarkStart w:id="87" w:name="_Toc504056875"/>
      <w:bookmarkEnd w:id="87"/>
      <w:bookmarkStart w:id="88" w:name="_Toc490133035"/>
      <w:bookmarkEnd w:id="88"/>
      <w:bookmarkStart w:id="89" w:name="_Toc534273807"/>
      <w:bookmarkEnd w:id="89"/>
      <w:bookmarkStart w:id="90" w:name="_Toc504573090"/>
      <w:bookmarkEnd w:id="90"/>
      <w:bookmarkStart w:id="91" w:name="_Toc534273684"/>
      <w:bookmarkEnd w:id="91"/>
      <w:r>
        <w:rPr>
          <w:rFonts w:ascii="Arial" w:hAnsi="Arial"/>
          <w:color w:val="auto"/>
          <w:szCs w:val="21"/>
          <w:highlight w:val="none"/>
          <w:lang w:val="zh-CN"/>
        </w:rPr>
        <w:br w:type="page" w:clear="all"/>
      </w:r>
      <w:r>
        <w:rPr>
          <w:b/>
          <w:color w:val="auto"/>
          <w:highlight w:val="none"/>
        </w:rPr>
        <w:t>附件</w:t>
      </w:r>
      <w:r>
        <w:rPr>
          <w:rFonts w:hint="eastAsia"/>
          <w:b/>
          <w:color w:val="auto"/>
          <w:highlight w:val="none"/>
        </w:rPr>
        <w:t>2</w:t>
      </w:r>
      <w:r>
        <w:rPr>
          <w:b/>
          <w:color w:val="auto"/>
          <w:highlight w:val="none"/>
        </w:rPr>
        <w:t>、供应商类似业绩情况表</w:t>
      </w:r>
    </w:p>
    <w:p w14:paraId="1F8C870B">
      <w:pPr>
        <w:ind w:firstLine="430"/>
        <w:rPr>
          <w:rFonts w:ascii="Arial" w:hAnsi="Arial"/>
          <w:color w:val="auto"/>
          <w:highlight w:val="none"/>
        </w:rPr>
      </w:pPr>
    </w:p>
    <w:p w14:paraId="6D257D58">
      <w:pPr>
        <w:widowControl/>
        <w:shd w:val="clear" w:color="auto" w:fill="FFFFFF"/>
        <w:spacing w:before="312" w:line="360" w:lineRule="auto"/>
        <w:ind w:firstLine="733"/>
        <w:jc w:val="center"/>
        <w:rPr>
          <w:rFonts w:ascii="Arial" w:hAnsi="Arial"/>
          <w:b/>
          <w:color w:val="auto"/>
          <w:sz w:val="36"/>
          <w:szCs w:val="36"/>
          <w:highlight w:val="none"/>
        </w:rPr>
      </w:pPr>
      <w:r>
        <w:rPr>
          <w:rFonts w:ascii="Arial" w:hAnsi="Arial"/>
          <w:b/>
          <w:color w:val="auto"/>
          <w:sz w:val="36"/>
          <w:szCs w:val="36"/>
          <w:highlight w:val="none"/>
        </w:rPr>
        <w:t>供应商类似业绩情况表</w:t>
      </w:r>
    </w:p>
    <w:tbl>
      <w:tblPr>
        <w:tblStyle w:val="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tblGrid>
      <w:tr w14:paraId="78952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773" w:type="dxa"/>
            <w:vAlign w:val="center"/>
          </w:tcPr>
          <w:p w14:paraId="52469CB1">
            <w:pPr>
              <w:rPr>
                <w:rFonts w:ascii="Arial" w:hAnsi="Arial"/>
                <w:b/>
                <w:color w:val="auto"/>
                <w:szCs w:val="21"/>
                <w:highlight w:val="none"/>
                <w:lang w:val="zh-CN"/>
              </w:rPr>
            </w:pPr>
            <w:r>
              <w:rPr>
                <w:rFonts w:ascii="Arial" w:hAnsi="Arial"/>
                <w:b/>
                <w:color w:val="auto"/>
                <w:szCs w:val="21"/>
                <w:highlight w:val="none"/>
                <w:lang w:val="zh-CN"/>
              </w:rPr>
              <w:t>序号</w:t>
            </w:r>
          </w:p>
        </w:tc>
        <w:tc>
          <w:tcPr>
            <w:tcW w:w="1710" w:type="dxa"/>
            <w:vAlign w:val="center"/>
          </w:tcPr>
          <w:p w14:paraId="79F618B9">
            <w:pPr>
              <w:ind w:firstLine="431"/>
              <w:jc w:val="center"/>
              <w:rPr>
                <w:rFonts w:ascii="Arial" w:hAnsi="Arial"/>
                <w:b/>
                <w:color w:val="auto"/>
                <w:szCs w:val="21"/>
                <w:highlight w:val="none"/>
                <w:lang w:val="zh-CN"/>
              </w:rPr>
            </w:pPr>
            <w:r>
              <w:rPr>
                <w:rFonts w:ascii="Arial" w:hAnsi="Arial"/>
                <w:b/>
                <w:color w:val="auto"/>
                <w:szCs w:val="21"/>
                <w:highlight w:val="none"/>
                <w:lang w:val="zh-CN"/>
              </w:rPr>
              <w:t>项目名称</w:t>
            </w:r>
          </w:p>
        </w:tc>
        <w:tc>
          <w:tcPr>
            <w:tcW w:w="1365" w:type="dxa"/>
            <w:vAlign w:val="center"/>
          </w:tcPr>
          <w:p w14:paraId="711F7D05">
            <w:pPr>
              <w:rPr>
                <w:rFonts w:ascii="Arial" w:hAnsi="Arial"/>
                <w:b/>
                <w:color w:val="auto"/>
                <w:szCs w:val="21"/>
                <w:highlight w:val="none"/>
                <w:lang w:val="zh-CN"/>
              </w:rPr>
            </w:pPr>
            <w:r>
              <w:rPr>
                <w:rFonts w:ascii="Arial" w:hAnsi="Arial"/>
                <w:b/>
                <w:color w:val="auto"/>
                <w:szCs w:val="21"/>
                <w:highlight w:val="none"/>
                <w:lang w:val="zh-CN"/>
              </w:rPr>
              <w:t>业主单位</w:t>
            </w:r>
          </w:p>
        </w:tc>
        <w:tc>
          <w:tcPr>
            <w:tcW w:w="1455" w:type="dxa"/>
            <w:vAlign w:val="center"/>
          </w:tcPr>
          <w:p w14:paraId="600C26EB">
            <w:pPr>
              <w:rPr>
                <w:rFonts w:ascii="Arial" w:hAnsi="Arial"/>
                <w:b/>
                <w:color w:val="auto"/>
                <w:szCs w:val="21"/>
                <w:highlight w:val="none"/>
                <w:lang w:val="zh-CN"/>
              </w:rPr>
            </w:pPr>
            <w:r>
              <w:rPr>
                <w:rFonts w:ascii="Arial" w:hAnsi="Arial"/>
                <w:b/>
                <w:color w:val="auto"/>
                <w:szCs w:val="21"/>
                <w:highlight w:val="none"/>
                <w:lang w:val="zh-CN"/>
              </w:rPr>
              <w:t>业主联系方式</w:t>
            </w:r>
          </w:p>
        </w:tc>
        <w:tc>
          <w:tcPr>
            <w:tcW w:w="1300" w:type="dxa"/>
            <w:vAlign w:val="center"/>
          </w:tcPr>
          <w:p w14:paraId="4D3DFA2F">
            <w:pPr>
              <w:rPr>
                <w:rFonts w:ascii="Arial" w:hAnsi="Arial"/>
                <w:b/>
                <w:color w:val="auto"/>
                <w:szCs w:val="21"/>
                <w:highlight w:val="none"/>
                <w:lang w:val="zh-CN"/>
              </w:rPr>
            </w:pPr>
            <w:r>
              <w:rPr>
                <w:rFonts w:ascii="Arial" w:hAnsi="Arial"/>
                <w:b/>
                <w:color w:val="auto"/>
                <w:szCs w:val="21"/>
                <w:highlight w:val="none"/>
                <w:lang w:val="zh-CN"/>
              </w:rPr>
              <w:t>工作主要内容</w:t>
            </w:r>
          </w:p>
        </w:tc>
        <w:tc>
          <w:tcPr>
            <w:tcW w:w="1026" w:type="dxa"/>
            <w:vAlign w:val="center"/>
          </w:tcPr>
          <w:p w14:paraId="5DB3BDBB">
            <w:pPr>
              <w:rPr>
                <w:rFonts w:ascii="Arial" w:hAnsi="Arial"/>
                <w:b/>
                <w:color w:val="auto"/>
                <w:szCs w:val="21"/>
                <w:highlight w:val="none"/>
              </w:rPr>
            </w:pPr>
            <w:r>
              <w:rPr>
                <w:rFonts w:ascii="Arial" w:hAnsi="Arial"/>
                <w:b/>
                <w:color w:val="auto"/>
                <w:szCs w:val="21"/>
                <w:highlight w:val="none"/>
              </w:rPr>
              <w:t>合同</w:t>
            </w:r>
          </w:p>
          <w:p w14:paraId="538294E9">
            <w:pPr>
              <w:rPr>
                <w:rFonts w:ascii="Arial" w:hAnsi="Arial"/>
                <w:b/>
                <w:color w:val="auto"/>
                <w:szCs w:val="21"/>
                <w:highlight w:val="none"/>
              </w:rPr>
            </w:pPr>
            <w:r>
              <w:rPr>
                <w:rFonts w:ascii="Arial" w:hAnsi="Arial"/>
                <w:b/>
                <w:color w:val="auto"/>
                <w:szCs w:val="21"/>
                <w:highlight w:val="none"/>
              </w:rPr>
              <w:t>金额</w:t>
            </w:r>
          </w:p>
        </w:tc>
        <w:tc>
          <w:tcPr>
            <w:tcW w:w="1026" w:type="dxa"/>
            <w:vAlign w:val="center"/>
          </w:tcPr>
          <w:p w14:paraId="539790A6">
            <w:pPr>
              <w:rPr>
                <w:rFonts w:ascii="Arial" w:hAnsi="Arial"/>
                <w:b/>
                <w:color w:val="auto"/>
                <w:szCs w:val="21"/>
                <w:highlight w:val="none"/>
                <w:lang w:val="zh-CN"/>
              </w:rPr>
            </w:pPr>
            <w:r>
              <w:rPr>
                <w:rFonts w:ascii="Arial" w:hAnsi="Arial"/>
                <w:b/>
                <w:color w:val="auto"/>
                <w:szCs w:val="21"/>
                <w:highlight w:val="none"/>
                <w:lang w:val="zh-CN"/>
              </w:rPr>
              <w:t>备注</w:t>
            </w:r>
          </w:p>
        </w:tc>
      </w:tr>
      <w:tr w14:paraId="09392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tcPr>
          <w:p w14:paraId="0C115852">
            <w:pPr>
              <w:ind w:firstLine="430"/>
              <w:rPr>
                <w:rFonts w:ascii="Arial" w:hAnsi="Arial"/>
                <w:color w:val="auto"/>
                <w:szCs w:val="21"/>
                <w:highlight w:val="none"/>
                <w:lang w:val="zh-CN"/>
              </w:rPr>
            </w:pPr>
          </w:p>
        </w:tc>
        <w:tc>
          <w:tcPr>
            <w:tcW w:w="1710" w:type="dxa"/>
          </w:tcPr>
          <w:p w14:paraId="1075EC47">
            <w:pPr>
              <w:ind w:firstLine="430"/>
              <w:rPr>
                <w:rFonts w:ascii="Arial" w:hAnsi="Arial"/>
                <w:color w:val="auto"/>
                <w:szCs w:val="21"/>
                <w:highlight w:val="none"/>
                <w:lang w:val="zh-CN"/>
              </w:rPr>
            </w:pPr>
          </w:p>
        </w:tc>
        <w:tc>
          <w:tcPr>
            <w:tcW w:w="1365" w:type="dxa"/>
          </w:tcPr>
          <w:p w14:paraId="16F612E6">
            <w:pPr>
              <w:ind w:firstLine="430"/>
              <w:rPr>
                <w:rFonts w:ascii="Arial" w:hAnsi="Arial"/>
                <w:color w:val="auto"/>
                <w:szCs w:val="21"/>
                <w:highlight w:val="none"/>
                <w:lang w:val="zh-CN"/>
              </w:rPr>
            </w:pPr>
          </w:p>
        </w:tc>
        <w:tc>
          <w:tcPr>
            <w:tcW w:w="1455" w:type="dxa"/>
          </w:tcPr>
          <w:p w14:paraId="793FB062">
            <w:pPr>
              <w:ind w:firstLine="430"/>
              <w:rPr>
                <w:rFonts w:ascii="Arial" w:hAnsi="Arial"/>
                <w:color w:val="auto"/>
                <w:szCs w:val="21"/>
                <w:highlight w:val="none"/>
                <w:lang w:val="zh-CN"/>
              </w:rPr>
            </w:pPr>
          </w:p>
        </w:tc>
        <w:tc>
          <w:tcPr>
            <w:tcW w:w="1300" w:type="dxa"/>
          </w:tcPr>
          <w:p w14:paraId="1B5E8D99">
            <w:pPr>
              <w:ind w:firstLine="430"/>
              <w:rPr>
                <w:rFonts w:ascii="Arial" w:hAnsi="Arial"/>
                <w:color w:val="auto"/>
                <w:szCs w:val="21"/>
                <w:highlight w:val="none"/>
                <w:lang w:val="zh-CN"/>
              </w:rPr>
            </w:pPr>
          </w:p>
        </w:tc>
        <w:tc>
          <w:tcPr>
            <w:tcW w:w="1026" w:type="dxa"/>
          </w:tcPr>
          <w:p w14:paraId="156AF2F0">
            <w:pPr>
              <w:ind w:firstLine="430"/>
              <w:rPr>
                <w:rFonts w:ascii="Arial" w:hAnsi="Arial"/>
                <w:color w:val="auto"/>
                <w:szCs w:val="21"/>
                <w:highlight w:val="none"/>
                <w:lang w:val="zh-CN"/>
              </w:rPr>
            </w:pPr>
          </w:p>
        </w:tc>
        <w:tc>
          <w:tcPr>
            <w:tcW w:w="1026" w:type="dxa"/>
          </w:tcPr>
          <w:p w14:paraId="42F6982F">
            <w:pPr>
              <w:ind w:firstLine="430"/>
              <w:rPr>
                <w:rFonts w:ascii="Arial" w:hAnsi="Arial"/>
                <w:color w:val="auto"/>
                <w:szCs w:val="21"/>
                <w:highlight w:val="none"/>
                <w:lang w:val="zh-CN"/>
              </w:rPr>
            </w:pPr>
          </w:p>
        </w:tc>
      </w:tr>
      <w:tr w14:paraId="519F1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tcPr>
          <w:p w14:paraId="70F43935">
            <w:pPr>
              <w:ind w:firstLine="430"/>
              <w:rPr>
                <w:rFonts w:ascii="Arial" w:hAnsi="Arial"/>
                <w:color w:val="auto"/>
                <w:szCs w:val="21"/>
                <w:highlight w:val="none"/>
                <w:lang w:val="zh-CN"/>
              </w:rPr>
            </w:pPr>
          </w:p>
        </w:tc>
        <w:tc>
          <w:tcPr>
            <w:tcW w:w="1710" w:type="dxa"/>
          </w:tcPr>
          <w:p w14:paraId="6443AC73">
            <w:pPr>
              <w:ind w:firstLine="430"/>
              <w:rPr>
                <w:rFonts w:ascii="Arial" w:hAnsi="Arial"/>
                <w:color w:val="auto"/>
                <w:szCs w:val="21"/>
                <w:highlight w:val="none"/>
                <w:lang w:val="zh-CN"/>
              </w:rPr>
            </w:pPr>
          </w:p>
        </w:tc>
        <w:tc>
          <w:tcPr>
            <w:tcW w:w="1365" w:type="dxa"/>
          </w:tcPr>
          <w:p w14:paraId="133B9DE8">
            <w:pPr>
              <w:ind w:firstLine="430"/>
              <w:rPr>
                <w:rFonts w:ascii="Arial" w:hAnsi="Arial"/>
                <w:color w:val="auto"/>
                <w:szCs w:val="21"/>
                <w:highlight w:val="none"/>
                <w:lang w:val="zh-CN"/>
              </w:rPr>
            </w:pPr>
          </w:p>
        </w:tc>
        <w:tc>
          <w:tcPr>
            <w:tcW w:w="1455" w:type="dxa"/>
          </w:tcPr>
          <w:p w14:paraId="712596DC">
            <w:pPr>
              <w:ind w:firstLine="430"/>
              <w:rPr>
                <w:rFonts w:ascii="Arial" w:hAnsi="Arial"/>
                <w:color w:val="auto"/>
                <w:szCs w:val="21"/>
                <w:highlight w:val="none"/>
                <w:lang w:val="zh-CN"/>
              </w:rPr>
            </w:pPr>
          </w:p>
        </w:tc>
        <w:tc>
          <w:tcPr>
            <w:tcW w:w="1300" w:type="dxa"/>
          </w:tcPr>
          <w:p w14:paraId="4A195DFF">
            <w:pPr>
              <w:ind w:firstLine="430"/>
              <w:rPr>
                <w:rFonts w:ascii="Arial" w:hAnsi="Arial"/>
                <w:color w:val="auto"/>
                <w:szCs w:val="21"/>
                <w:highlight w:val="none"/>
                <w:lang w:val="zh-CN"/>
              </w:rPr>
            </w:pPr>
          </w:p>
        </w:tc>
        <w:tc>
          <w:tcPr>
            <w:tcW w:w="1026" w:type="dxa"/>
          </w:tcPr>
          <w:p w14:paraId="4A37E504">
            <w:pPr>
              <w:ind w:firstLine="430"/>
              <w:rPr>
                <w:rFonts w:ascii="Arial" w:hAnsi="Arial"/>
                <w:color w:val="auto"/>
                <w:szCs w:val="21"/>
                <w:highlight w:val="none"/>
                <w:lang w:val="zh-CN"/>
              </w:rPr>
            </w:pPr>
          </w:p>
        </w:tc>
        <w:tc>
          <w:tcPr>
            <w:tcW w:w="1026" w:type="dxa"/>
          </w:tcPr>
          <w:p w14:paraId="5D599B13">
            <w:pPr>
              <w:ind w:firstLine="430"/>
              <w:rPr>
                <w:rFonts w:ascii="Arial" w:hAnsi="Arial"/>
                <w:color w:val="auto"/>
                <w:szCs w:val="21"/>
                <w:highlight w:val="none"/>
                <w:lang w:val="zh-CN"/>
              </w:rPr>
            </w:pPr>
          </w:p>
        </w:tc>
      </w:tr>
      <w:tr w14:paraId="3F9A2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tcPr>
          <w:p w14:paraId="5EA20A35">
            <w:pPr>
              <w:ind w:firstLine="430"/>
              <w:rPr>
                <w:rFonts w:ascii="Arial" w:hAnsi="Arial"/>
                <w:color w:val="auto"/>
                <w:szCs w:val="21"/>
                <w:highlight w:val="none"/>
                <w:lang w:val="zh-CN"/>
              </w:rPr>
            </w:pPr>
          </w:p>
        </w:tc>
        <w:tc>
          <w:tcPr>
            <w:tcW w:w="1710" w:type="dxa"/>
          </w:tcPr>
          <w:p w14:paraId="096E8021">
            <w:pPr>
              <w:ind w:firstLine="430"/>
              <w:rPr>
                <w:rFonts w:ascii="Arial" w:hAnsi="Arial"/>
                <w:color w:val="auto"/>
                <w:szCs w:val="21"/>
                <w:highlight w:val="none"/>
                <w:lang w:val="zh-CN"/>
              </w:rPr>
            </w:pPr>
          </w:p>
        </w:tc>
        <w:tc>
          <w:tcPr>
            <w:tcW w:w="1365" w:type="dxa"/>
          </w:tcPr>
          <w:p w14:paraId="6F36228A">
            <w:pPr>
              <w:ind w:firstLine="430"/>
              <w:rPr>
                <w:rFonts w:ascii="Arial" w:hAnsi="Arial"/>
                <w:color w:val="auto"/>
                <w:szCs w:val="21"/>
                <w:highlight w:val="none"/>
                <w:lang w:val="zh-CN"/>
              </w:rPr>
            </w:pPr>
          </w:p>
        </w:tc>
        <w:tc>
          <w:tcPr>
            <w:tcW w:w="1455" w:type="dxa"/>
          </w:tcPr>
          <w:p w14:paraId="0AD7FCF3">
            <w:pPr>
              <w:ind w:firstLine="430"/>
              <w:rPr>
                <w:rFonts w:ascii="Arial" w:hAnsi="Arial"/>
                <w:color w:val="auto"/>
                <w:szCs w:val="21"/>
                <w:highlight w:val="none"/>
                <w:lang w:val="zh-CN"/>
              </w:rPr>
            </w:pPr>
          </w:p>
        </w:tc>
        <w:tc>
          <w:tcPr>
            <w:tcW w:w="1300" w:type="dxa"/>
          </w:tcPr>
          <w:p w14:paraId="1B0FB0A6">
            <w:pPr>
              <w:ind w:firstLine="430"/>
              <w:rPr>
                <w:rFonts w:ascii="Arial" w:hAnsi="Arial"/>
                <w:color w:val="auto"/>
                <w:szCs w:val="21"/>
                <w:highlight w:val="none"/>
                <w:lang w:val="zh-CN"/>
              </w:rPr>
            </w:pPr>
          </w:p>
        </w:tc>
        <w:tc>
          <w:tcPr>
            <w:tcW w:w="1026" w:type="dxa"/>
          </w:tcPr>
          <w:p w14:paraId="43F896E3">
            <w:pPr>
              <w:ind w:firstLine="430"/>
              <w:rPr>
                <w:rFonts w:ascii="Arial" w:hAnsi="Arial"/>
                <w:color w:val="auto"/>
                <w:szCs w:val="21"/>
                <w:highlight w:val="none"/>
                <w:lang w:val="zh-CN"/>
              </w:rPr>
            </w:pPr>
          </w:p>
        </w:tc>
        <w:tc>
          <w:tcPr>
            <w:tcW w:w="1026" w:type="dxa"/>
          </w:tcPr>
          <w:p w14:paraId="32C1605A">
            <w:pPr>
              <w:ind w:firstLine="430"/>
              <w:rPr>
                <w:rFonts w:ascii="Arial" w:hAnsi="Arial"/>
                <w:color w:val="auto"/>
                <w:szCs w:val="21"/>
                <w:highlight w:val="none"/>
                <w:lang w:val="zh-CN"/>
              </w:rPr>
            </w:pPr>
          </w:p>
        </w:tc>
      </w:tr>
      <w:tr w14:paraId="658DD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tcPr>
          <w:p w14:paraId="17D7F237">
            <w:pPr>
              <w:ind w:firstLine="430"/>
              <w:rPr>
                <w:rFonts w:ascii="Arial" w:hAnsi="Arial"/>
                <w:color w:val="auto"/>
                <w:szCs w:val="21"/>
                <w:highlight w:val="none"/>
                <w:lang w:val="zh-CN"/>
              </w:rPr>
            </w:pPr>
          </w:p>
        </w:tc>
        <w:tc>
          <w:tcPr>
            <w:tcW w:w="1710" w:type="dxa"/>
          </w:tcPr>
          <w:p w14:paraId="5273E412">
            <w:pPr>
              <w:ind w:firstLine="430"/>
              <w:rPr>
                <w:rFonts w:ascii="Arial" w:hAnsi="Arial"/>
                <w:color w:val="auto"/>
                <w:szCs w:val="21"/>
                <w:highlight w:val="none"/>
                <w:lang w:val="zh-CN"/>
              </w:rPr>
            </w:pPr>
          </w:p>
        </w:tc>
        <w:tc>
          <w:tcPr>
            <w:tcW w:w="1365" w:type="dxa"/>
          </w:tcPr>
          <w:p w14:paraId="43017A4E">
            <w:pPr>
              <w:ind w:firstLine="430"/>
              <w:rPr>
                <w:rFonts w:ascii="Arial" w:hAnsi="Arial"/>
                <w:color w:val="auto"/>
                <w:szCs w:val="21"/>
                <w:highlight w:val="none"/>
                <w:lang w:val="zh-CN"/>
              </w:rPr>
            </w:pPr>
          </w:p>
        </w:tc>
        <w:tc>
          <w:tcPr>
            <w:tcW w:w="1455" w:type="dxa"/>
          </w:tcPr>
          <w:p w14:paraId="2ABDCE2A">
            <w:pPr>
              <w:ind w:firstLine="430"/>
              <w:rPr>
                <w:rFonts w:ascii="Arial" w:hAnsi="Arial"/>
                <w:color w:val="auto"/>
                <w:szCs w:val="21"/>
                <w:highlight w:val="none"/>
                <w:lang w:val="zh-CN"/>
              </w:rPr>
            </w:pPr>
          </w:p>
        </w:tc>
        <w:tc>
          <w:tcPr>
            <w:tcW w:w="1300" w:type="dxa"/>
          </w:tcPr>
          <w:p w14:paraId="4E9AF434">
            <w:pPr>
              <w:ind w:firstLine="430"/>
              <w:rPr>
                <w:rFonts w:ascii="Arial" w:hAnsi="Arial"/>
                <w:color w:val="auto"/>
                <w:szCs w:val="21"/>
                <w:highlight w:val="none"/>
                <w:lang w:val="zh-CN"/>
              </w:rPr>
            </w:pPr>
          </w:p>
        </w:tc>
        <w:tc>
          <w:tcPr>
            <w:tcW w:w="1026" w:type="dxa"/>
          </w:tcPr>
          <w:p w14:paraId="29974BA7">
            <w:pPr>
              <w:ind w:firstLine="430"/>
              <w:rPr>
                <w:rFonts w:ascii="Arial" w:hAnsi="Arial"/>
                <w:color w:val="auto"/>
                <w:szCs w:val="21"/>
                <w:highlight w:val="none"/>
                <w:lang w:val="zh-CN"/>
              </w:rPr>
            </w:pPr>
          </w:p>
        </w:tc>
        <w:tc>
          <w:tcPr>
            <w:tcW w:w="1026" w:type="dxa"/>
          </w:tcPr>
          <w:p w14:paraId="2C3E1A90">
            <w:pPr>
              <w:ind w:firstLine="430"/>
              <w:rPr>
                <w:rFonts w:ascii="Arial" w:hAnsi="Arial"/>
                <w:color w:val="auto"/>
                <w:szCs w:val="21"/>
                <w:highlight w:val="none"/>
                <w:lang w:val="zh-CN"/>
              </w:rPr>
            </w:pPr>
          </w:p>
        </w:tc>
      </w:tr>
      <w:tr w14:paraId="61350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tcPr>
          <w:p w14:paraId="0DB4F72A">
            <w:pPr>
              <w:ind w:firstLine="430"/>
              <w:rPr>
                <w:rFonts w:ascii="Arial" w:hAnsi="Arial"/>
                <w:color w:val="auto"/>
                <w:szCs w:val="21"/>
                <w:highlight w:val="none"/>
                <w:lang w:val="zh-CN"/>
              </w:rPr>
            </w:pPr>
          </w:p>
        </w:tc>
        <w:tc>
          <w:tcPr>
            <w:tcW w:w="1710" w:type="dxa"/>
          </w:tcPr>
          <w:p w14:paraId="727ABBC1">
            <w:pPr>
              <w:ind w:firstLine="430"/>
              <w:rPr>
                <w:rFonts w:ascii="Arial" w:hAnsi="Arial"/>
                <w:color w:val="auto"/>
                <w:szCs w:val="21"/>
                <w:highlight w:val="none"/>
                <w:lang w:val="zh-CN"/>
              </w:rPr>
            </w:pPr>
          </w:p>
        </w:tc>
        <w:tc>
          <w:tcPr>
            <w:tcW w:w="1365" w:type="dxa"/>
          </w:tcPr>
          <w:p w14:paraId="6981CF7A">
            <w:pPr>
              <w:ind w:firstLine="430"/>
              <w:rPr>
                <w:rFonts w:ascii="Arial" w:hAnsi="Arial"/>
                <w:color w:val="auto"/>
                <w:szCs w:val="21"/>
                <w:highlight w:val="none"/>
                <w:lang w:val="zh-CN"/>
              </w:rPr>
            </w:pPr>
          </w:p>
        </w:tc>
        <w:tc>
          <w:tcPr>
            <w:tcW w:w="1455" w:type="dxa"/>
          </w:tcPr>
          <w:p w14:paraId="3401589B">
            <w:pPr>
              <w:ind w:firstLine="430"/>
              <w:rPr>
                <w:rFonts w:ascii="Arial" w:hAnsi="Arial"/>
                <w:color w:val="auto"/>
                <w:szCs w:val="21"/>
                <w:highlight w:val="none"/>
                <w:lang w:val="zh-CN"/>
              </w:rPr>
            </w:pPr>
          </w:p>
        </w:tc>
        <w:tc>
          <w:tcPr>
            <w:tcW w:w="1300" w:type="dxa"/>
          </w:tcPr>
          <w:p w14:paraId="32B1119E">
            <w:pPr>
              <w:ind w:firstLine="430"/>
              <w:rPr>
                <w:rFonts w:ascii="Arial" w:hAnsi="Arial"/>
                <w:color w:val="auto"/>
                <w:szCs w:val="21"/>
                <w:highlight w:val="none"/>
                <w:lang w:val="zh-CN"/>
              </w:rPr>
            </w:pPr>
          </w:p>
        </w:tc>
        <w:tc>
          <w:tcPr>
            <w:tcW w:w="1026" w:type="dxa"/>
          </w:tcPr>
          <w:p w14:paraId="4DFDB609">
            <w:pPr>
              <w:ind w:firstLine="430"/>
              <w:rPr>
                <w:rFonts w:ascii="Arial" w:hAnsi="Arial"/>
                <w:color w:val="auto"/>
                <w:szCs w:val="21"/>
                <w:highlight w:val="none"/>
                <w:lang w:val="zh-CN"/>
              </w:rPr>
            </w:pPr>
          </w:p>
        </w:tc>
        <w:tc>
          <w:tcPr>
            <w:tcW w:w="1026" w:type="dxa"/>
          </w:tcPr>
          <w:p w14:paraId="193D56BB">
            <w:pPr>
              <w:ind w:firstLine="430"/>
              <w:rPr>
                <w:rFonts w:ascii="Arial" w:hAnsi="Arial"/>
                <w:color w:val="auto"/>
                <w:szCs w:val="21"/>
                <w:highlight w:val="none"/>
                <w:lang w:val="zh-CN"/>
              </w:rPr>
            </w:pPr>
          </w:p>
        </w:tc>
      </w:tr>
    </w:tbl>
    <w:p w14:paraId="4A5FEDA8">
      <w:pPr>
        <w:ind w:firstLine="430"/>
        <w:rPr>
          <w:rFonts w:ascii="Arial" w:hAnsi="Arial"/>
          <w:color w:val="auto"/>
          <w:szCs w:val="21"/>
          <w:highlight w:val="none"/>
          <w:lang w:val="zh-CN"/>
        </w:rPr>
      </w:pPr>
    </w:p>
    <w:p w14:paraId="5D2D305A">
      <w:pPr>
        <w:widowControl/>
        <w:shd w:val="clear" w:color="auto" w:fill="FFFFFF"/>
        <w:spacing w:line="360" w:lineRule="auto"/>
        <w:ind w:firstLine="430"/>
        <w:jc w:val="left"/>
        <w:rPr>
          <w:rFonts w:ascii="Arial" w:hAnsi="Arial"/>
          <w:color w:val="auto"/>
          <w:szCs w:val="21"/>
          <w:highlight w:val="none"/>
        </w:rPr>
      </w:pPr>
      <w:r>
        <w:rPr>
          <w:rFonts w:hint="eastAsia" w:ascii="Arial" w:hAnsi="Arial"/>
          <w:color w:val="auto"/>
          <w:szCs w:val="21"/>
          <w:highlight w:val="none"/>
        </w:rPr>
        <w:t>供应商名称（加盖电子公章）：</w:t>
      </w:r>
      <w:r>
        <w:rPr>
          <w:rFonts w:ascii="Arial" w:hAnsi="Arial"/>
          <w:color w:val="auto"/>
          <w:szCs w:val="21"/>
          <w:highlight w:val="none"/>
          <w:u w:val="single"/>
        </w:rPr>
        <w:t xml:space="preserve">            </w:t>
      </w:r>
    </w:p>
    <w:p w14:paraId="29A4E33C">
      <w:pPr>
        <w:widowControl/>
        <w:shd w:val="clear" w:color="auto" w:fill="FFFFFF"/>
        <w:spacing w:line="360" w:lineRule="auto"/>
        <w:ind w:firstLine="430"/>
        <w:jc w:val="left"/>
        <w:rPr>
          <w:rFonts w:ascii="Arial" w:hAnsi="Arial"/>
          <w:color w:val="auto"/>
          <w:szCs w:val="21"/>
          <w:highlight w:val="none"/>
        </w:rPr>
      </w:pPr>
      <w:r>
        <w:rPr>
          <w:rFonts w:ascii="Arial" w:hAnsi="Arial"/>
          <w:color w:val="auto"/>
          <w:szCs w:val="21"/>
          <w:highlight w:val="none"/>
        </w:rPr>
        <w:t>日    期：   年    月    日</w:t>
      </w:r>
    </w:p>
    <w:p w14:paraId="35AE35E9">
      <w:pPr>
        <w:spacing w:line="360" w:lineRule="auto"/>
        <w:ind w:firstLine="431"/>
        <w:rPr>
          <w:rFonts w:ascii="Arial" w:hAnsi="Arial"/>
          <w:b/>
          <w:color w:val="auto"/>
          <w:highlight w:val="none"/>
        </w:rPr>
      </w:pPr>
    </w:p>
    <w:p w14:paraId="7756FF90">
      <w:pPr>
        <w:spacing w:line="360" w:lineRule="auto"/>
        <w:ind w:firstLine="431"/>
        <w:rPr>
          <w:rFonts w:ascii="Arial" w:hAnsi="Arial"/>
          <w:b/>
          <w:color w:val="auto"/>
          <w:highlight w:val="none"/>
        </w:rPr>
      </w:pPr>
    </w:p>
    <w:p w14:paraId="5F9721EF">
      <w:pPr>
        <w:widowControl/>
        <w:shd w:val="clear" w:color="auto" w:fill="FFFFFF"/>
        <w:spacing w:line="360" w:lineRule="auto"/>
        <w:ind w:firstLine="431"/>
        <w:jc w:val="left"/>
        <w:rPr>
          <w:rFonts w:ascii="Arial" w:hAnsi="Arial"/>
          <w:b/>
          <w:bCs/>
          <w:color w:val="auto"/>
          <w:szCs w:val="21"/>
          <w:highlight w:val="none"/>
        </w:rPr>
      </w:pPr>
      <w:r>
        <w:rPr>
          <w:rFonts w:ascii="Arial" w:hAnsi="Arial"/>
          <w:b/>
          <w:bCs/>
          <w:color w:val="auto"/>
          <w:szCs w:val="21"/>
          <w:highlight w:val="none"/>
        </w:rPr>
        <w:t>附件</w:t>
      </w:r>
      <w:r>
        <w:rPr>
          <w:rFonts w:hint="eastAsia" w:ascii="Arial" w:hAnsi="Arial"/>
          <w:b/>
          <w:bCs/>
          <w:color w:val="auto"/>
          <w:szCs w:val="21"/>
          <w:highlight w:val="none"/>
        </w:rPr>
        <w:t>3</w:t>
      </w:r>
      <w:r>
        <w:rPr>
          <w:rFonts w:ascii="Arial" w:hAnsi="Arial"/>
          <w:b/>
          <w:bCs/>
          <w:color w:val="auto"/>
          <w:szCs w:val="21"/>
          <w:highlight w:val="none"/>
        </w:rPr>
        <w:t>、项目技术说明或实施方案</w:t>
      </w:r>
    </w:p>
    <w:p w14:paraId="43FDB9F2">
      <w:pPr>
        <w:widowControl/>
        <w:shd w:val="clear" w:color="auto" w:fill="FFFFFF"/>
        <w:spacing w:line="360" w:lineRule="auto"/>
        <w:ind w:firstLine="430"/>
        <w:jc w:val="left"/>
        <w:rPr>
          <w:rFonts w:ascii="Arial" w:hAnsi="Arial"/>
          <w:color w:val="auto"/>
          <w:szCs w:val="21"/>
          <w:highlight w:val="none"/>
        </w:rPr>
      </w:pPr>
    </w:p>
    <w:p w14:paraId="77D356DF">
      <w:pPr>
        <w:spacing w:line="360" w:lineRule="auto"/>
        <w:ind w:firstLine="431"/>
        <w:rPr>
          <w:rFonts w:ascii="Arial" w:hAnsi="Arial"/>
          <w:b/>
          <w:color w:val="auto"/>
          <w:highlight w:val="none"/>
        </w:rPr>
      </w:pPr>
      <w:bookmarkStart w:id="92" w:name="_Toc504044388"/>
      <w:bookmarkEnd w:id="92"/>
      <w:bookmarkStart w:id="93" w:name="_Toc504056876"/>
      <w:bookmarkEnd w:id="93"/>
      <w:bookmarkStart w:id="94" w:name="_Toc504573091"/>
      <w:bookmarkEnd w:id="94"/>
      <w:bookmarkStart w:id="95" w:name="_Toc534273808"/>
      <w:bookmarkEnd w:id="95"/>
      <w:bookmarkStart w:id="96" w:name="_Toc490133036"/>
      <w:bookmarkEnd w:id="96"/>
      <w:bookmarkStart w:id="97" w:name="_Toc534273685"/>
      <w:bookmarkEnd w:id="97"/>
      <w:r>
        <w:rPr>
          <w:rFonts w:ascii="Arial" w:hAnsi="Arial"/>
          <w:b/>
          <w:color w:val="auto"/>
          <w:highlight w:val="none"/>
        </w:rPr>
        <w:t>附件</w:t>
      </w:r>
      <w:r>
        <w:rPr>
          <w:rFonts w:hint="eastAsia" w:ascii="Arial" w:hAnsi="Arial"/>
          <w:b/>
          <w:color w:val="auto"/>
          <w:highlight w:val="none"/>
        </w:rPr>
        <w:t>4</w:t>
      </w:r>
      <w:r>
        <w:rPr>
          <w:rFonts w:ascii="Arial" w:hAnsi="Arial"/>
          <w:b/>
          <w:color w:val="auto"/>
          <w:highlight w:val="none"/>
        </w:rPr>
        <w:t>、</w:t>
      </w:r>
      <w:r>
        <w:rPr>
          <w:rFonts w:hint="eastAsia" w:ascii="Arial" w:hAnsi="Arial"/>
          <w:b/>
          <w:color w:val="auto"/>
          <w:highlight w:val="none"/>
        </w:rPr>
        <w:t>其他</w:t>
      </w:r>
    </w:p>
    <w:p w14:paraId="01B8A0AD">
      <w:pPr>
        <w:ind w:firstLine="431"/>
        <w:outlineLvl w:val="1"/>
        <w:rPr>
          <w:rFonts w:ascii="Arial" w:hAnsi="Arial"/>
          <w:color w:val="auto"/>
          <w:sz w:val="28"/>
          <w:szCs w:val="28"/>
          <w:highlight w:val="none"/>
        </w:rPr>
      </w:pPr>
      <w:r>
        <w:rPr>
          <w:rStyle w:val="315"/>
          <w:rFonts w:ascii="Arial" w:hAnsi="Arial"/>
          <w:color w:val="auto"/>
          <w:sz w:val="21"/>
          <w:szCs w:val="21"/>
          <w:highlight w:val="none"/>
        </w:rPr>
        <w:br w:type="page" w:clear="all"/>
      </w:r>
      <w:bookmarkStart w:id="98" w:name="_Toc17410"/>
      <w:r>
        <w:rPr>
          <w:rFonts w:hint="eastAsia" w:ascii="Arial" w:hAnsi="Arial"/>
          <w:color w:val="auto"/>
          <w:sz w:val="28"/>
          <w:szCs w:val="28"/>
          <w:highlight w:val="none"/>
        </w:rPr>
        <w:t>五、</w:t>
      </w:r>
      <w:r>
        <w:rPr>
          <w:rFonts w:ascii="Arial" w:hAnsi="Arial"/>
          <w:color w:val="auto"/>
          <w:sz w:val="28"/>
          <w:szCs w:val="28"/>
          <w:highlight w:val="none"/>
        </w:rPr>
        <w:t>价格折扣文件格式</w:t>
      </w:r>
      <w:bookmarkEnd w:id="98"/>
    </w:p>
    <w:p w14:paraId="22F8C379">
      <w:pPr>
        <w:spacing w:before="312" w:after="312"/>
        <w:ind w:firstLine="431"/>
        <w:rPr>
          <w:rStyle w:val="315"/>
          <w:rFonts w:ascii="Arial" w:hAnsi="Arial"/>
          <w:color w:val="auto"/>
          <w:sz w:val="21"/>
          <w:szCs w:val="21"/>
          <w:highlight w:val="none"/>
        </w:rPr>
      </w:pPr>
    </w:p>
    <w:p w14:paraId="3C6FBC65">
      <w:pPr>
        <w:spacing w:before="312" w:after="312" w:line="480" w:lineRule="auto"/>
        <w:ind w:firstLine="572"/>
        <w:jc w:val="center"/>
        <w:rPr>
          <w:rFonts w:ascii="Arial" w:hAnsi="Arial"/>
          <w:b/>
          <w:color w:val="auto"/>
          <w:sz w:val="36"/>
          <w:szCs w:val="36"/>
          <w:highlight w:val="none"/>
        </w:rPr>
      </w:pPr>
      <w:bookmarkStart w:id="99" w:name="OLE_LINK13"/>
      <w:bookmarkStart w:id="100" w:name="OLE_LINK14"/>
      <w:r>
        <w:rPr>
          <w:rFonts w:hint="eastAsia" w:ascii="宋体" w:hAnsi="宋体"/>
          <w:b/>
          <w:bCs/>
          <w:color w:val="auto"/>
          <w:sz w:val="28"/>
          <w:szCs w:val="28"/>
          <w:highlight w:val="none"/>
        </w:rPr>
        <w:t>中小企业声明函（工程、服务）</w:t>
      </w:r>
    </w:p>
    <w:p w14:paraId="259B4B74">
      <w:pPr>
        <w:widowControl/>
        <w:spacing w:line="440" w:lineRule="exact"/>
        <w:ind w:firstLine="420"/>
        <w:jc w:val="left"/>
        <w:rPr>
          <w:rFonts w:hint="eastAsia" w:ascii="宋体" w:hAnsi="宋体"/>
          <w:color w:val="auto"/>
          <w:highlight w:val="none"/>
        </w:rPr>
      </w:pPr>
      <w:r>
        <w:rPr>
          <w:rFonts w:hint="eastAsia" w:ascii="宋体" w:hAnsi="宋体"/>
          <w:color w:val="auto"/>
          <w:highlight w:val="none"/>
        </w:rPr>
        <w:t>本公司（联合体）郑重声明，根据《政府采购促进中小企业发展管理办法》（财库〔</w:t>
      </w:r>
      <w:r>
        <w:rPr>
          <w:rFonts w:hint="eastAsia" w:ascii="Arial" w:hAnsi="Arial"/>
          <w:color w:val="auto"/>
          <w:highlight w:val="none"/>
        </w:rPr>
        <w:t>2020</w:t>
      </w:r>
      <w:r>
        <w:rPr>
          <w:rFonts w:hint="eastAsia"/>
          <w:color w:val="auto"/>
          <w:highlight w:val="none"/>
        </w:rPr>
        <w:t>〕</w:t>
      </w:r>
      <w:r>
        <w:rPr>
          <w:rFonts w:hint="eastAsia" w:ascii="宋体" w:hAnsi="宋体"/>
          <w:color w:val="auto"/>
          <w:highlight w:val="none"/>
        </w:rPr>
        <w:t xml:space="preserve">） </w:t>
      </w:r>
      <w:r>
        <w:rPr>
          <w:rFonts w:hint="eastAsia" w:ascii="Arial" w:hAnsi="Arial"/>
          <w:color w:val="auto"/>
          <w:highlight w:val="none"/>
        </w:rPr>
        <w:t>46</w:t>
      </w:r>
      <w:r>
        <w:rPr>
          <w:rFonts w:hint="eastAsia" w:ascii="宋体" w:hAnsi="宋体"/>
          <w:color w:val="auto"/>
          <w:highlight w:val="none"/>
        </w:rPr>
        <w:t>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51AA7609">
      <w:pPr>
        <w:widowControl/>
        <w:spacing w:line="440" w:lineRule="exact"/>
        <w:ind w:firstLine="420"/>
        <w:jc w:val="left"/>
        <w:rPr>
          <w:rFonts w:hint="eastAsia" w:ascii="宋体" w:hAnsi="宋体"/>
          <w:color w:val="auto"/>
          <w:highlight w:val="none"/>
          <w:u w:val="single"/>
        </w:rPr>
      </w:pPr>
      <w:r>
        <w:rPr>
          <w:rFonts w:hint="eastAsia" w:ascii="宋体" w:hAnsi="宋体"/>
          <w:color w:val="auto"/>
          <w:highlight w:val="none"/>
          <w:u w:val="single"/>
        </w:rPr>
        <w:t>（标的名称）</w:t>
      </w:r>
      <w:r>
        <w:rPr>
          <w:rFonts w:hint="eastAsia" w:ascii="Arial" w:hAnsi="Arial"/>
          <w:color w:val="auto"/>
          <w:highlight w:val="none"/>
        </w:rPr>
        <w:t>,</w:t>
      </w:r>
      <w:r>
        <w:rPr>
          <w:rFonts w:hint="eastAsia" w:ascii="宋体" w:hAnsi="宋体"/>
          <w:color w:val="auto"/>
          <w:highlight w:val="none"/>
        </w:rPr>
        <w:t>属于</w:t>
      </w:r>
      <w:r>
        <w:rPr>
          <w:rFonts w:hint="eastAsia" w:ascii="宋体" w:hAnsi="宋体"/>
          <w:color w:val="auto"/>
          <w:highlight w:val="none"/>
          <w:u w:val="single"/>
        </w:rPr>
        <w:t>（采购文件中明确的所属行业）</w:t>
      </w:r>
      <w:r>
        <w:rPr>
          <w:rFonts w:hint="eastAsia" w:ascii="Arial" w:hAnsi="Arial"/>
          <w:color w:val="auto"/>
          <w:highlight w:val="none"/>
        </w:rPr>
        <w:t xml:space="preserve">, </w:t>
      </w:r>
      <w:r>
        <w:rPr>
          <w:rFonts w:hint="eastAsia" w:ascii="宋体" w:hAnsi="宋体"/>
          <w:color w:val="auto"/>
          <w:highlight w:val="none"/>
        </w:rPr>
        <w:t>承建（承接）企业为（企业名称）</w:t>
      </w:r>
      <w:r>
        <w:rPr>
          <w:rFonts w:hint="eastAsia" w:ascii="Arial" w:hAnsi="Arial"/>
          <w:color w:val="auto"/>
          <w:highlight w:val="none"/>
        </w:rPr>
        <w:t>,</w:t>
      </w:r>
      <w:r>
        <w:rPr>
          <w:rFonts w:hint="eastAsia" w:ascii="宋体" w:hAnsi="宋体"/>
          <w:color w:val="auto"/>
          <w:highlight w:val="none"/>
        </w:rPr>
        <w:t>从业人员</w:t>
      </w:r>
      <w:r>
        <w:rPr>
          <w:rFonts w:hint="eastAsia" w:ascii="Arial" w:hAnsi="Arial"/>
          <w:color w:val="auto"/>
          <w:highlight w:val="none"/>
          <w:u w:val="single"/>
        </w:rPr>
        <w:tab/>
      </w:r>
      <w:r>
        <w:rPr>
          <w:rFonts w:hint="eastAsia" w:ascii="宋体" w:hAnsi="宋体"/>
          <w:color w:val="auto"/>
          <w:highlight w:val="none"/>
          <w:u w:val="single"/>
        </w:rPr>
        <w:t>人</w:t>
      </w:r>
      <w:r>
        <w:rPr>
          <w:rFonts w:hint="eastAsia" w:ascii="宋体" w:hAnsi="宋体"/>
          <w:color w:val="auto"/>
          <w:highlight w:val="none"/>
        </w:rPr>
        <w:t>，营业收入为</w:t>
      </w:r>
      <w:r>
        <w:rPr>
          <w:rFonts w:hint="eastAsia" w:ascii="Arial" w:hAnsi="Arial"/>
          <w:color w:val="auto"/>
          <w:highlight w:val="none"/>
          <w:u w:val="single"/>
        </w:rPr>
        <w:tab/>
      </w:r>
      <w:r>
        <w:rPr>
          <w:rFonts w:hint="eastAsia" w:ascii="宋体" w:hAnsi="宋体"/>
          <w:color w:val="auto"/>
          <w:highlight w:val="none"/>
        </w:rPr>
        <w:t>万元，资产总额为</w:t>
      </w:r>
      <w:r>
        <w:rPr>
          <w:rFonts w:hint="eastAsia" w:ascii="Arial" w:hAnsi="Arial"/>
          <w:color w:val="auto"/>
          <w:highlight w:val="none"/>
          <w:u w:val="single"/>
        </w:rPr>
        <w:tab/>
      </w:r>
      <w:r>
        <w:rPr>
          <w:rFonts w:hint="eastAsia" w:ascii="宋体" w:hAnsi="宋体"/>
          <w:color w:val="auto"/>
          <w:highlight w:val="none"/>
        </w:rPr>
        <w:t>万元，属于（中型企业、小型企业、微型企业）；</w:t>
      </w:r>
    </w:p>
    <w:p w14:paraId="137F0965">
      <w:pPr>
        <w:widowControl/>
        <w:spacing w:line="440" w:lineRule="exact"/>
        <w:ind w:firstLine="420"/>
        <w:jc w:val="left"/>
        <w:rPr>
          <w:rFonts w:hint="eastAsia" w:ascii="宋体" w:hAnsi="宋体"/>
          <w:color w:val="auto"/>
          <w:highlight w:val="none"/>
          <w:u w:val="single"/>
        </w:rPr>
      </w:pPr>
      <w:r>
        <w:rPr>
          <w:rFonts w:hint="eastAsia" w:ascii="宋体" w:hAnsi="宋体"/>
          <w:color w:val="auto"/>
          <w:highlight w:val="none"/>
          <w:u w:val="single"/>
        </w:rPr>
        <w:t>（标的名称）</w:t>
      </w:r>
      <w:r>
        <w:rPr>
          <w:rFonts w:hint="eastAsia" w:ascii="Arial" w:hAnsi="Arial"/>
          <w:color w:val="auto"/>
          <w:highlight w:val="none"/>
          <w:u w:val="single"/>
        </w:rPr>
        <w:t>,</w:t>
      </w:r>
      <w:r>
        <w:rPr>
          <w:rFonts w:hint="eastAsia" w:ascii="宋体" w:hAnsi="宋体"/>
          <w:color w:val="auto"/>
          <w:highlight w:val="none"/>
        </w:rPr>
        <w:t>属于（采购文件中明确的所属行业）</w:t>
      </w:r>
      <w:r>
        <w:rPr>
          <w:rFonts w:hint="eastAsia" w:ascii="Arial" w:hAnsi="Arial"/>
          <w:color w:val="auto"/>
          <w:highlight w:val="none"/>
        </w:rPr>
        <w:t xml:space="preserve">, </w:t>
      </w:r>
      <w:r>
        <w:rPr>
          <w:rFonts w:hint="eastAsia" w:ascii="宋体" w:hAnsi="宋体"/>
          <w:color w:val="auto"/>
          <w:highlight w:val="none"/>
        </w:rPr>
        <w:t>承建（承接）企业为（企业名称）</w:t>
      </w:r>
      <w:r>
        <w:rPr>
          <w:rFonts w:hint="eastAsia" w:ascii="Arial" w:hAnsi="Arial"/>
          <w:color w:val="auto"/>
          <w:highlight w:val="none"/>
        </w:rPr>
        <w:t>,</w:t>
      </w:r>
      <w:r>
        <w:rPr>
          <w:rFonts w:hint="eastAsia" w:ascii="宋体" w:hAnsi="宋体"/>
          <w:color w:val="auto"/>
          <w:highlight w:val="none"/>
        </w:rPr>
        <w:t>从业人员</w:t>
      </w:r>
      <w:r>
        <w:rPr>
          <w:rFonts w:hint="eastAsia" w:ascii="Arial" w:hAnsi="Arial"/>
          <w:color w:val="auto"/>
          <w:highlight w:val="none"/>
          <w:u w:val="single"/>
        </w:rPr>
        <w:tab/>
      </w:r>
      <w:r>
        <w:rPr>
          <w:rFonts w:hint="eastAsia" w:ascii="宋体" w:hAnsi="宋体"/>
          <w:color w:val="auto"/>
          <w:highlight w:val="none"/>
          <w:u w:val="single"/>
        </w:rPr>
        <w:t>人</w:t>
      </w:r>
      <w:r>
        <w:rPr>
          <w:rFonts w:hint="eastAsia" w:ascii="宋体" w:hAnsi="宋体"/>
          <w:color w:val="auto"/>
          <w:highlight w:val="none"/>
        </w:rPr>
        <w:t>，营业收入为</w:t>
      </w:r>
      <w:r>
        <w:rPr>
          <w:rFonts w:hint="eastAsia" w:ascii="Arial" w:hAnsi="Arial"/>
          <w:color w:val="auto"/>
          <w:highlight w:val="none"/>
          <w:u w:val="single"/>
        </w:rPr>
        <w:tab/>
      </w:r>
      <w:r>
        <w:rPr>
          <w:rFonts w:hint="eastAsia" w:ascii="宋体" w:hAnsi="宋体"/>
          <w:color w:val="auto"/>
          <w:highlight w:val="none"/>
        </w:rPr>
        <w:t>万元，资产总额为</w:t>
      </w:r>
      <w:r>
        <w:rPr>
          <w:rFonts w:hint="eastAsia" w:ascii="Arial" w:hAnsi="Arial"/>
          <w:color w:val="auto"/>
          <w:highlight w:val="none"/>
          <w:u w:val="single"/>
        </w:rPr>
        <w:tab/>
      </w:r>
      <w:r>
        <w:rPr>
          <w:rFonts w:hint="eastAsia" w:ascii="宋体" w:hAnsi="宋体"/>
          <w:color w:val="auto"/>
          <w:highlight w:val="none"/>
        </w:rPr>
        <w:t>万元，属于（中型企业、小型企业、微型企业）；</w:t>
      </w:r>
      <w:r>
        <w:rPr>
          <w:rFonts w:hint="eastAsia" w:ascii="Arial" w:hAnsi="Arial"/>
          <w:color w:val="auto"/>
          <w:highlight w:val="none"/>
        </w:rPr>
        <w:tab/>
      </w:r>
    </w:p>
    <w:p w14:paraId="0B981E2B">
      <w:pPr>
        <w:widowControl/>
        <w:spacing w:line="440" w:lineRule="exact"/>
        <w:ind w:firstLine="420"/>
        <w:jc w:val="left"/>
        <w:rPr>
          <w:rFonts w:hint="eastAsia" w:ascii="宋体" w:hAnsi="宋体"/>
          <w:color w:val="auto"/>
          <w:highlight w:val="none"/>
        </w:rPr>
      </w:pPr>
      <w:r>
        <w:rPr>
          <w:rFonts w:hint="eastAsia" w:ascii="宋体" w:hAnsi="宋体"/>
          <w:color w:val="auto"/>
          <w:highlight w:val="none"/>
        </w:rPr>
        <w:t>以上企业，不属于大企业的分支机构，不存在控股股东为大企业的情形，也不存在与大企业的负责人为同一人的情形。</w:t>
      </w:r>
    </w:p>
    <w:p w14:paraId="65CA0D1E">
      <w:pPr>
        <w:widowControl/>
        <w:spacing w:line="440" w:lineRule="exact"/>
        <w:ind w:firstLine="420"/>
        <w:jc w:val="left"/>
        <w:rPr>
          <w:rFonts w:hint="eastAsia" w:ascii="宋体" w:hAnsi="宋体"/>
          <w:color w:val="auto"/>
          <w:highlight w:val="none"/>
        </w:rPr>
      </w:pPr>
      <w:r>
        <w:rPr>
          <w:rFonts w:hint="eastAsia" w:ascii="宋体" w:hAnsi="宋体"/>
          <w:color w:val="auto"/>
          <w:highlight w:val="none"/>
        </w:rPr>
        <w:t>本企业对上述声明内容的真实性负责。如有虚假，将依法承担相应责任。</w:t>
      </w:r>
    </w:p>
    <w:p w14:paraId="13662C44">
      <w:pPr>
        <w:widowControl/>
        <w:spacing w:line="440" w:lineRule="exact"/>
        <w:ind w:firstLine="420"/>
        <w:jc w:val="left"/>
        <w:rPr>
          <w:rFonts w:hint="eastAsia" w:ascii="宋体" w:hAnsi="宋体"/>
          <w:color w:val="auto"/>
          <w:highlight w:val="none"/>
        </w:rPr>
      </w:pPr>
    </w:p>
    <w:p w14:paraId="51BCE38D">
      <w:pPr>
        <w:widowControl/>
        <w:spacing w:line="440" w:lineRule="exact"/>
        <w:ind w:firstLine="420"/>
        <w:jc w:val="left"/>
        <w:rPr>
          <w:rFonts w:hint="eastAsia" w:ascii="宋体" w:hAnsi="宋体"/>
          <w:color w:val="auto"/>
          <w:highlight w:val="none"/>
        </w:rPr>
      </w:pPr>
    </w:p>
    <w:p w14:paraId="56727090">
      <w:pPr>
        <w:widowControl/>
        <w:spacing w:line="440" w:lineRule="exact"/>
        <w:ind w:firstLine="420"/>
        <w:jc w:val="left"/>
        <w:rPr>
          <w:rFonts w:hint="eastAsia" w:ascii="宋体" w:hAnsi="宋体"/>
          <w:color w:val="auto"/>
          <w:highlight w:val="none"/>
        </w:rPr>
      </w:pPr>
    </w:p>
    <w:p w14:paraId="7F552411">
      <w:pPr>
        <w:widowControl/>
        <w:spacing w:line="440" w:lineRule="exact"/>
        <w:ind w:firstLine="420"/>
        <w:jc w:val="right"/>
        <w:rPr>
          <w:rFonts w:hint="eastAsia" w:ascii="宋体" w:hAnsi="宋体"/>
          <w:color w:val="auto"/>
          <w:highlight w:val="none"/>
        </w:rPr>
      </w:pPr>
      <w:r>
        <w:rPr>
          <w:rFonts w:hint="eastAsia" w:ascii="Arial" w:hAnsi="Arial"/>
          <w:color w:val="auto"/>
          <w:szCs w:val="21"/>
          <w:highlight w:val="none"/>
        </w:rPr>
        <w:t>供应商名称（加盖电子公章）</w:t>
      </w:r>
      <w:r>
        <w:rPr>
          <w:rFonts w:hint="eastAsia" w:ascii="宋体" w:hAnsi="宋体"/>
          <w:color w:val="auto"/>
          <w:highlight w:val="none"/>
        </w:rPr>
        <w:t>：</w:t>
      </w:r>
    </w:p>
    <w:p w14:paraId="0055A5A1">
      <w:pPr>
        <w:spacing w:line="360" w:lineRule="auto"/>
        <w:ind w:firstLine="430"/>
        <w:jc w:val="center"/>
        <w:rPr>
          <w:rFonts w:hint="eastAsia" w:ascii="宋体" w:hAnsi="宋体"/>
          <w:color w:val="auto"/>
          <w:highlight w:val="none"/>
        </w:rPr>
      </w:pPr>
      <w:r>
        <w:rPr>
          <w:rFonts w:hint="eastAsia" w:ascii="宋体" w:hAnsi="宋体"/>
          <w:color w:val="auto"/>
          <w:highlight w:val="none"/>
        </w:rPr>
        <w:t xml:space="preserve">                                                   日期：</w:t>
      </w:r>
    </w:p>
    <w:p w14:paraId="70BFB1EE">
      <w:pPr>
        <w:widowControl/>
        <w:spacing w:line="360"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注：从业人员、营业收入、资产总额填报上一年度数据，无上一年度数据的新成立企业可不填报。</w:t>
      </w:r>
    </w:p>
    <w:p w14:paraId="0519EA42">
      <w:pPr>
        <w:spacing w:line="360" w:lineRule="auto"/>
        <w:jc w:val="center"/>
        <w:rPr>
          <w:rFonts w:hint="eastAsia" w:ascii="宋体" w:hAnsi="宋体" w:cs="宋体"/>
          <w:b/>
          <w:bCs/>
          <w:color w:val="auto"/>
          <w:sz w:val="28"/>
          <w:highlight w:val="none"/>
        </w:rPr>
      </w:pPr>
    </w:p>
    <w:p w14:paraId="4E3C8BF7">
      <w:pPr>
        <w:keepNext/>
        <w:keepLines/>
        <w:ind w:firstLine="420"/>
        <w:outlineLvl w:val="0"/>
        <w:rPr>
          <w:rFonts w:hint="eastAsia" w:ascii="宋体" w:hAnsi="宋体" w:cs="宋体"/>
          <w:color w:val="auto"/>
          <w:szCs w:val="24"/>
          <w:highlight w:val="none"/>
        </w:rPr>
      </w:pPr>
      <w:bookmarkStart w:id="101" w:name="_Toc22731"/>
      <w:r>
        <w:rPr>
          <w:rFonts w:hint="eastAsia" w:ascii="宋体" w:hAnsi="宋体" w:cs="宋体"/>
          <w:color w:val="auto"/>
          <w:szCs w:val="24"/>
          <w:highlight w:val="none"/>
        </w:rPr>
        <w:t>备注：</w:t>
      </w:r>
      <w:bookmarkEnd w:id="101"/>
    </w:p>
    <w:p w14:paraId="03D26018">
      <w:pPr>
        <w:keepNext/>
        <w:keepLines/>
        <w:ind w:firstLine="630"/>
        <w:outlineLvl w:val="0"/>
        <w:rPr>
          <w:rFonts w:hint="eastAsia" w:ascii="宋体" w:hAnsi="宋体" w:cs="宋体"/>
          <w:color w:val="auto"/>
          <w:szCs w:val="24"/>
          <w:highlight w:val="none"/>
        </w:rPr>
      </w:pPr>
      <w:bookmarkStart w:id="102" w:name="_Toc20726"/>
      <w:r>
        <w:rPr>
          <w:rFonts w:hint="eastAsia" w:ascii="宋体" w:hAnsi="宋体" w:cs="宋体"/>
          <w:color w:val="auto"/>
          <w:szCs w:val="24"/>
          <w:highlight w:val="none"/>
        </w:rPr>
        <w:t>1.从业人员、营业收入、资产总额填报上一年度数据，无上一年度数据的新成立企业可不填报。</w:t>
      </w:r>
      <w:bookmarkEnd w:id="102"/>
    </w:p>
    <w:p w14:paraId="38BD38A2">
      <w:pPr>
        <w:keepNext/>
        <w:keepLines/>
        <w:ind w:firstLine="630"/>
        <w:outlineLvl w:val="0"/>
        <w:rPr>
          <w:rFonts w:hint="eastAsia" w:ascii="宋体" w:hAnsi="宋体" w:cs="宋体"/>
          <w:b/>
          <w:bCs/>
          <w:color w:val="auto"/>
          <w:szCs w:val="24"/>
          <w:highlight w:val="none"/>
        </w:rPr>
      </w:pPr>
      <w:bookmarkStart w:id="103" w:name="_Toc1042"/>
      <w:r>
        <w:rPr>
          <w:rFonts w:hint="eastAsia" w:ascii="宋体" w:hAnsi="宋体" w:cs="宋体"/>
          <w:color w:val="auto"/>
          <w:szCs w:val="24"/>
          <w:highlight w:val="none"/>
        </w:rPr>
        <w:t>2.在货物采购项目中，货物由中小企业制造，即货物由中小企业生产且使用该中小企业商号或者注册商标。</w:t>
      </w:r>
      <w:r>
        <w:rPr>
          <w:rFonts w:hint="eastAsia" w:ascii="宋体" w:hAnsi="宋体" w:cs="宋体"/>
          <w:b/>
          <w:bCs/>
          <w:color w:val="auto"/>
          <w:szCs w:val="24"/>
          <w:highlight w:val="none"/>
        </w:rPr>
        <w:t>供应商提供的货物既有中小企业制造货物，也有大型企业制造货物的，不享受相应扶持政策。</w:t>
      </w:r>
      <w:bookmarkEnd w:id="103"/>
    </w:p>
    <w:p w14:paraId="4E32765E">
      <w:pPr>
        <w:keepNext/>
        <w:keepLines/>
        <w:ind w:firstLine="630"/>
        <w:outlineLvl w:val="0"/>
        <w:rPr>
          <w:rFonts w:hint="eastAsia" w:ascii="宋体" w:hAnsi="宋体" w:cs="宋体"/>
          <w:b/>
          <w:bCs/>
          <w:color w:val="auto"/>
          <w:szCs w:val="24"/>
          <w:highlight w:val="none"/>
        </w:rPr>
      </w:pPr>
      <w:bookmarkStart w:id="104" w:name="_Toc6740"/>
      <w:r>
        <w:rPr>
          <w:rFonts w:hint="eastAsia" w:ascii="宋体" w:hAnsi="宋体" w:cs="宋体"/>
          <w:color w:val="auto"/>
          <w:szCs w:val="24"/>
          <w:highlight w:val="none"/>
        </w:rPr>
        <w:t>3.《中小企业声明函》中所填的行业应与本采购标的对应的中小企业划分标准所属行业一致，不一致的不可享受相应政策优惠。</w:t>
      </w:r>
      <w:r>
        <w:rPr>
          <w:rFonts w:hint="eastAsia" w:ascii="宋体" w:hAnsi="宋体" w:cs="宋体"/>
          <w:b/>
          <w:bCs/>
          <w:color w:val="auto"/>
          <w:szCs w:val="24"/>
          <w:highlight w:val="none"/>
        </w:rPr>
        <w:t>本采购标的对应的中小企业划分标准所属行业，以采购文件中具体规定为准。</w:t>
      </w:r>
      <w:bookmarkEnd w:id="104"/>
    </w:p>
    <w:p w14:paraId="00F3D3FC">
      <w:pPr>
        <w:keepNext/>
        <w:keepLines/>
        <w:ind w:firstLine="632"/>
        <w:outlineLvl w:val="0"/>
        <w:rPr>
          <w:rFonts w:hint="eastAsia" w:ascii="宋体" w:hAnsi="宋体" w:cs="宋体"/>
          <w:b/>
          <w:bCs/>
          <w:color w:val="auto"/>
          <w:szCs w:val="24"/>
          <w:highlight w:val="none"/>
        </w:rPr>
      </w:pPr>
      <w:bookmarkStart w:id="105" w:name="_Toc379"/>
      <w:r>
        <w:rPr>
          <w:rFonts w:hint="eastAsia" w:ascii="宋体" w:hAnsi="宋体" w:cs="宋体"/>
          <w:b/>
          <w:bCs/>
          <w:color w:val="auto"/>
          <w:szCs w:val="24"/>
          <w:highlight w:val="none"/>
        </w:rPr>
        <w:t>4.如未对（中型企业、小型企业、微型企业）进行勾选，视同非中小微企业，不可享受相应扶持政策。</w:t>
      </w:r>
      <w:bookmarkEnd w:id="105"/>
    </w:p>
    <w:p w14:paraId="25182A3D">
      <w:pPr>
        <w:spacing w:line="360" w:lineRule="auto"/>
        <w:ind w:left="840" w:hanging="210"/>
        <w:rPr>
          <w:rFonts w:hint="eastAsia" w:ascii="宋体" w:hAnsi="宋体" w:cs="宋体"/>
          <w:color w:val="auto"/>
          <w:szCs w:val="24"/>
          <w:highlight w:val="none"/>
          <w:lang w:val="zh-CN"/>
        </w:rPr>
      </w:pPr>
      <w:r>
        <w:rPr>
          <w:rFonts w:hint="eastAsia" w:ascii="宋体" w:hAnsi="宋体" w:cs="宋体"/>
          <w:color w:val="auto"/>
          <w:szCs w:val="24"/>
          <w:highlight w:val="none"/>
        </w:rPr>
        <w:t>5.中标单位为中小企业的，《中小企业声明函》将随中标结果同时公告</w:t>
      </w:r>
      <w:r>
        <w:rPr>
          <w:rFonts w:hint="eastAsia" w:ascii="宋体" w:hAnsi="宋体" w:cs="宋体"/>
          <w:color w:val="auto"/>
          <w:szCs w:val="24"/>
          <w:highlight w:val="none"/>
          <w:lang w:val="zh-CN"/>
        </w:rPr>
        <w:t>。</w:t>
      </w:r>
    </w:p>
    <w:p w14:paraId="2B1928C6">
      <w:pPr>
        <w:spacing w:line="360" w:lineRule="auto"/>
        <w:ind w:left="840" w:hanging="210"/>
        <w:rPr>
          <w:rFonts w:hint="eastAsia" w:ascii="宋体" w:hAnsi="宋体" w:cs="宋体"/>
          <w:color w:val="auto"/>
          <w:szCs w:val="24"/>
          <w:highlight w:val="none"/>
          <w:lang w:val="zh-CN"/>
        </w:rPr>
      </w:pPr>
    </w:p>
    <w:p w14:paraId="7F3E0543">
      <w:pPr>
        <w:rPr>
          <w:rFonts w:hint="eastAsia" w:ascii="宋体" w:hAnsi="宋体"/>
          <w:b/>
          <w:color w:val="auto"/>
          <w:szCs w:val="24"/>
          <w:highlight w:val="none"/>
        </w:rPr>
      </w:pPr>
      <w:r>
        <w:rPr>
          <w:rFonts w:hint="eastAsia" w:ascii="宋体" w:hAnsi="宋体"/>
          <w:b/>
          <w:color w:val="auto"/>
          <w:szCs w:val="24"/>
          <w:highlight w:val="none"/>
        </w:rPr>
        <w:t>附：中小企业划型标准规定</w:t>
      </w:r>
    </w:p>
    <w:p w14:paraId="095CCEEC">
      <w:pPr>
        <w:ind w:firstLine="422"/>
        <w:rPr>
          <w:rFonts w:hint="eastAsia" w:ascii="宋体" w:hAnsi="宋体"/>
          <w:color w:val="auto"/>
          <w:szCs w:val="24"/>
          <w:highlight w:val="none"/>
        </w:rPr>
      </w:pPr>
      <w:r>
        <w:rPr>
          <w:rFonts w:hint="eastAsia" w:ascii="宋体" w:hAnsi="宋体"/>
          <w:b/>
          <w:color w:val="auto"/>
          <w:szCs w:val="24"/>
          <w:highlight w:val="none"/>
        </w:rPr>
        <w:t>（一）农、林、牧、渔业。</w:t>
      </w:r>
      <w:r>
        <w:rPr>
          <w:rFonts w:hint="eastAsia" w:ascii="宋体" w:hAnsi="宋体"/>
          <w:color w:val="auto"/>
          <w:szCs w:val="24"/>
          <w:highlight w:val="none"/>
        </w:rPr>
        <w:t>营业收入20000万元以下的为中小微型企业。其中，营业收入500万元及以上的为中型企业，营业收入50万元及以上的为小型企业，营业收入50万元以下的为微型企业。</w:t>
      </w:r>
    </w:p>
    <w:p w14:paraId="487ADB12">
      <w:pPr>
        <w:ind w:firstLine="422"/>
        <w:rPr>
          <w:rFonts w:hint="eastAsia" w:ascii="宋体" w:hAnsi="宋体"/>
          <w:color w:val="auto"/>
          <w:szCs w:val="24"/>
          <w:highlight w:val="none"/>
        </w:rPr>
      </w:pPr>
      <w:r>
        <w:rPr>
          <w:rFonts w:hint="eastAsia" w:ascii="宋体" w:hAnsi="宋体"/>
          <w:b/>
          <w:color w:val="auto"/>
          <w:szCs w:val="24"/>
          <w:highlight w:val="none"/>
        </w:rPr>
        <w:t>（二）工业。</w:t>
      </w:r>
      <w:r>
        <w:rPr>
          <w:rFonts w:hint="eastAsia" w:ascii="宋体" w:hAnsi="宋体"/>
          <w:color w:val="auto"/>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C33293E">
      <w:pPr>
        <w:ind w:firstLine="422"/>
        <w:rPr>
          <w:rFonts w:hint="eastAsia" w:ascii="宋体" w:hAnsi="宋体"/>
          <w:color w:val="auto"/>
          <w:szCs w:val="24"/>
          <w:highlight w:val="none"/>
        </w:rPr>
      </w:pPr>
      <w:r>
        <w:rPr>
          <w:rFonts w:hint="eastAsia" w:ascii="宋体" w:hAnsi="宋体"/>
          <w:b/>
          <w:color w:val="auto"/>
          <w:szCs w:val="24"/>
          <w:highlight w:val="none"/>
        </w:rPr>
        <w:t>（三）建筑业。</w:t>
      </w:r>
      <w:r>
        <w:rPr>
          <w:rFonts w:hint="eastAsia" w:ascii="宋体" w:hAnsi="宋体"/>
          <w:color w:val="auto"/>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1C1F1FC">
      <w:pPr>
        <w:ind w:firstLine="422"/>
        <w:rPr>
          <w:rFonts w:hint="eastAsia" w:ascii="宋体" w:hAnsi="宋体"/>
          <w:color w:val="auto"/>
          <w:szCs w:val="24"/>
          <w:highlight w:val="none"/>
        </w:rPr>
      </w:pPr>
      <w:r>
        <w:rPr>
          <w:rFonts w:hint="eastAsia" w:ascii="宋体" w:hAnsi="宋体"/>
          <w:b/>
          <w:color w:val="auto"/>
          <w:szCs w:val="24"/>
          <w:highlight w:val="none"/>
        </w:rPr>
        <w:t>（四）批发业。</w:t>
      </w:r>
      <w:r>
        <w:rPr>
          <w:rFonts w:hint="eastAsia" w:ascii="宋体" w:hAnsi="宋体"/>
          <w:color w:val="auto"/>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86D2ECE">
      <w:pPr>
        <w:ind w:firstLine="422"/>
        <w:rPr>
          <w:rFonts w:hint="eastAsia" w:ascii="宋体" w:hAnsi="宋体"/>
          <w:color w:val="auto"/>
          <w:szCs w:val="24"/>
          <w:highlight w:val="none"/>
        </w:rPr>
      </w:pPr>
      <w:r>
        <w:rPr>
          <w:rFonts w:hint="eastAsia" w:ascii="宋体" w:hAnsi="宋体"/>
          <w:b/>
          <w:color w:val="auto"/>
          <w:szCs w:val="24"/>
          <w:highlight w:val="none"/>
        </w:rPr>
        <w:t>（五）零售业。</w:t>
      </w:r>
      <w:r>
        <w:rPr>
          <w:rFonts w:hint="eastAsia" w:ascii="宋体" w:hAnsi="宋体"/>
          <w:color w:val="auto"/>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A98202">
      <w:pPr>
        <w:ind w:firstLine="422"/>
        <w:rPr>
          <w:rFonts w:hint="eastAsia" w:ascii="宋体" w:hAnsi="宋体"/>
          <w:color w:val="auto"/>
          <w:szCs w:val="24"/>
          <w:highlight w:val="none"/>
        </w:rPr>
      </w:pPr>
      <w:r>
        <w:rPr>
          <w:rFonts w:hint="eastAsia" w:ascii="宋体" w:hAnsi="宋体"/>
          <w:b/>
          <w:color w:val="auto"/>
          <w:szCs w:val="24"/>
          <w:highlight w:val="none"/>
        </w:rPr>
        <w:t>（六）交通运输业。</w:t>
      </w:r>
      <w:r>
        <w:rPr>
          <w:rFonts w:hint="eastAsia" w:ascii="宋体" w:hAnsi="宋体"/>
          <w:color w:val="auto"/>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4ED5327">
      <w:pPr>
        <w:ind w:firstLine="422"/>
        <w:rPr>
          <w:rFonts w:hint="eastAsia" w:ascii="宋体" w:hAnsi="宋体"/>
          <w:color w:val="auto"/>
          <w:szCs w:val="24"/>
          <w:highlight w:val="none"/>
        </w:rPr>
      </w:pPr>
      <w:r>
        <w:rPr>
          <w:rFonts w:hint="eastAsia" w:ascii="宋体" w:hAnsi="宋体"/>
          <w:b/>
          <w:color w:val="auto"/>
          <w:szCs w:val="24"/>
          <w:highlight w:val="none"/>
        </w:rPr>
        <w:t>（七）仓储业。</w:t>
      </w:r>
      <w:r>
        <w:rPr>
          <w:rFonts w:hint="eastAsia" w:ascii="宋体" w:hAnsi="宋体"/>
          <w:color w:val="auto"/>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F9BE37F">
      <w:pPr>
        <w:ind w:firstLine="422"/>
        <w:rPr>
          <w:rFonts w:hint="eastAsia" w:ascii="宋体" w:hAnsi="宋体"/>
          <w:color w:val="auto"/>
          <w:szCs w:val="24"/>
          <w:highlight w:val="none"/>
        </w:rPr>
      </w:pPr>
      <w:r>
        <w:rPr>
          <w:rFonts w:hint="eastAsia" w:ascii="宋体" w:hAnsi="宋体"/>
          <w:b/>
          <w:color w:val="auto"/>
          <w:szCs w:val="24"/>
          <w:highlight w:val="none"/>
        </w:rPr>
        <w:t>（八）邮政业。</w:t>
      </w:r>
      <w:r>
        <w:rPr>
          <w:rFonts w:hint="eastAsia" w:ascii="宋体" w:hAnsi="宋体"/>
          <w:color w:val="auto"/>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73614A">
      <w:pPr>
        <w:ind w:firstLine="422"/>
        <w:rPr>
          <w:rFonts w:hint="eastAsia" w:ascii="宋体" w:hAnsi="宋体"/>
          <w:color w:val="auto"/>
          <w:szCs w:val="24"/>
          <w:highlight w:val="none"/>
        </w:rPr>
      </w:pPr>
      <w:r>
        <w:rPr>
          <w:rFonts w:hint="eastAsia" w:ascii="宋体" w:hAnsi="宋体"/>
          <w:b/>
          <w:color w:val="auto"/>
          <w:szCs w:val="24"/>
          <w:highlight w:val="none"/>
        </w:rPr>
        <w:t>（九）住宿业。</w:t>
      </w:r>
      <w:r>
        <w:rPr>
          <w:rFonts w:hint="eastAsia" w:ascii="宋体" w:hAnsi="宋体"/>
          <w:color w:val="auto"/>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7685223">
      <w:pPr>
        <w:ind w:firstLine="422"/>
        <w:rPr>
          <w:rFonts w:hint="eastAsia" w:ascii="宋体" w:hAnsi="宋体"/>
          <w:color w:val="auto"/>
          <w:szCs w:val="24"/>
          <w:highlight w:val="none"/>
        </w:rPr>
      </w:pPr>
      <w:r>
        <w:rPr>
          <w:rFonts w:hint="eastAsia" w:ascii="宋体" w:hAnsi="宋体"/>
          <w:b/>
          <w:color w:val="auto"/>
          <w:szCs w:val="24"/>
          <w:highlight w:val="none"/>
        </w:rPr>
        <w:t>（十）餐饮业。</w:t>
      </w:r>
      <w:r>
        <w:rPr>
          <w:rFonts w:hint="eastAsia" w:ascii="宋体" w:hAnsi="宋体"/>
          <w:color w:val="auto"/>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823E51A">
      <w:pPr>
        <w:ind w:firstLine="422"/>
        <w:rPr>
          <w:rFonts w:hint="eastAsia" w:ascii="宋体" w:hAnsi="宋体"/>
          <w:color w:val="auto"/>
          <w:szCs w:val="24"/>
          <w:highlight w:val="none"/>
        </w:rPr>
      </w:pPr>
      <w:r>
        <w:rPr>
          <w:rFonts w:hint="eastAsia" w:ascii="宋体" w:hAnsi="宋体"/>
          <w:b/>
          <w:color w:val="auto"/>
          <w:szCs w:val="24"/>
          <w:highlight w:val="none"/>
        </w:rPr>
        <w:t>（十一）信息传输业。</w:t>
      </w:r>
      <w:r>
        <w:rPr>
          <w:rFonts w:hint="eastAsia" w:ascii="宋体" w:hAnsi="宋体"/>
          <w:color w:val="auto"/>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418EEDC">
      <w:pPr>
        <w:ind w:firstLine="422"/>
        <w:rPr>
          <w:rFonts w:hint="eastAsia" w:ascii="宋体" w:hAnsi="宋体"/>
          <w:color w:val="auto"/>
          <w:szCs w:val="24"/>
          <w:highlight w:val="none"/>
        </w:rPr>
      </w:pPr>
      <w:r>
        <w:rPr>
          <w:rFonts w:hint="eastAsia" w:ascii="宋体" w:hAnsi="宋体"/>
          <w:b/>
          <w:color w:val="auto"/>
          <w:szCs w:val="24"/>
          <w:highlight w:val="none"/>
        </w:rPr>
        <w:t>（十二）软件和信息技术服务业。</w:t>
      </w:r>
      <w:r>
        <w:rPr>
          <w:rFonts w:hint="eastAsia" w:ascii="宋体" w:hAnsi="宋体"/>
          <w:color w:val="auto"/>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B9054A6">
      <w:pPr>
        <w:ind w:firstLine="422"/>
        <w:rPr>
          <w:rFonts w:hint="eastAsia" w:ascii="宋体" w:hAnsi="宋体"/>
          <w:color w:val="auto"/>
          <w:szCs w:val="24"/>
          <w:highlight w:val="none"/>
        </w:rPr>
      </w:pPr>
      <w:r>
        <w:rPr>
          <w:rFonts w:hint="eastAsia" w:ascii="宋体" w:hAnsi="宋体"/>
          <w:b/>
          <w:color w:val="auto"/>
          <w:szCs w:val="24"/>
          <w:highlight w:val="none"/>
        </w:rPr>
        <w:t>（十三）房地产开发经营。</w:t>
      </w:r>
      <w:r>
        <w:rPr>
          <w:rFonts w:hint="eastAsia" w:ascii="宋体" w:hAnsi="宋体"/>
          <w:color w:val="auto"/>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B0C3F44">
      <w:pPr>
        <w:ind w:firstLine="422"/>
        <w:rPr>
          <w:rFonts w:hint="eastAsia" w:ascii="宋体" w:hAnsi="宋体"/>
          <w:color w:val="auto"/>
          <w:szCs w:val="24"/>
          <w:highlight w:val="none"/>
        </w:rPr>
      </w:pPr>
      <w:r>
        <w:rPr>
          <w:rFonts w:hint="eastAsia" w:ascii="宋体" w:hAnsi="宋体"/>
          <w:b/>
          <w:color w:val="auto"/>
          <w:szCs w:val="24"/>
          <w:highlight w:val="none"/>
        </w:rPr>
        <w:t>（十四）物业管理。</w:t>
      </w:r>
      <w:r>
        <w:rPr>
          <w:rFonts w:hint="eastAsia" w:ascii="宋体" w:hAnsi="宋体"/>
          <w:color w:val="auto"/>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FE4012D">
      <w:pPr>
        <w:ind w:firstLine="422"/>
        <w:rPr>
          <w:rFonts w:hint="eastAsia" w:ascii="宋体" w:hAnsi="宋体"/>
          <w:color w:val="auto"/>
          <w:szCs w:val="24"/>
          <w:highlight w:val="none"/>
        </w:rPr>
      </w:pPr>
      <w:r>
        <w:rPr>
          <w:rFonts w:hint="eastAsia" w:ascii="宋体" w:hAnsi="宋体"/>
          <w:b/>
          <w:color w:val="auto"/>
          <w:szCs w:val="24"/>
          <w:highlight w:val="none"/>
        </w:rPr>
        <w:t>（十五）租赁和商务服务业。</w:t>
      </w:r>
      <w:r>
        <w:rPr>
          <w:rFonts w:hint="eastAsia" w:ascii="宋体" w:hAnsi="宋体"/>
          <w:color w:val="auto"/>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90DDD49">
      <w:pPr>
        <w:ind w:firstLine="422"/>
        <w:rPr>
          <w:rFonts w:hint="eastAsia" w:ascii="宋体" w:hAnsi="宋体"/>
          <w:color w:val="auto"/>
          <w:szCs w:val="24"/>
          <w:highlight w:val="none"/>
        </w:rPr>
      </w:pPr>
      <w:r>
        <w:rPr>
          <w:rFonts w:hint="eastAsia" w:ascii="宋体" w:hAnsi="宋体"/>
          <w:b/>
          <w:color w:val="auto"/>
          <w:szCs w:val="24"/>
          <w:highlight w:val="none"/>
        </w:rPr>
        <w:t>（十六）其他未列明行业。</w:t>
      </w:r>
      <w:r>
        <w:rPr>
          <w:rFonts w:hint="eastAsia" w:ascii="宋体" w:hAnsi="宋体"/>
          <w:color w:val="auto"/>
          <w:szCs w:val="24"/>
          <w:highlight w:val="none"/>
        </w:rPr>
        <w:t>从业人员300人以下的为中小微型企业。其中，从业人员100人及以上的为中型企业；从业人员10人及以上的为小型企业；从业人员10人以下的为微型企业。</w:t>
      </w:r>
    </w:p>
    <w:p w14:paraId="03EF0D5E">
      <w:pPr>
        <w:spacing w:line="360" w:lineRule="auto"/>
        <w:rPr>
          <w:rFonts w:hint="eastAsia" w:ascii="宋体" w:hAnsi="宋体" w:cs="宋体"/>
          <w:b/>
          <w:bCs/>
          <w:color w:val="auto"/>
          <w:sz w:val="28"/>
          <w:highlight w:val="none"/>
        </w:rPr>
      </w:pPr>
    </w:p>
    <w:p w14:paraId="04E08C72">
      <w:pPr>
        <w:spacing w:line="360" w:lineRule="auto"/>
        <w:rPr>
          <w:rFonts w:hint="eastAsia" w:ascii="宋体" w:hAnsi="宋体" w:cs="宋体"/>
          <w:b/>
          <w:bCs/>
          <w:color w:val="auto"/>
          <w:sz w:val="28"/>
          <w:highlight w:val="none"/>
        </w:rPr>
      </w:pPr>
    </w:p>
    <w:p w14:paraId="357894DB">
      <w:pPr>
        <w:spacing w:line="360" w:lineRule="auto"/>
        <w:rPr>
          <w:rFonts w:hint="eastAsia" w:ascii="宋体" w:hAnsi="宋体" w:cs="宋体"/>
          <w:b/>
          <w:bCs/>
          <w:color w:val="auto"/>
          <w:sz w:val="28"/>
          <w:highlight w:val="none"/>
        </w:rPr>
      </w:pPr>
    </w:p>
    <w:p w14:paraId="6DF36C2C">
      <w:pPr>
        <w:spacing w:line="360" w:lineRule="auto"/>
        <w:ind w:firstLine="430"/>
        <w:jc w:val="center"/>
        <w:rPr>
          <w:rFonts w:ascii="Arial" w:hAnsi="Arial"/>
          <w:b/>
          <w:color w:val="auto"/>
          <w:sz w:val="36"/>
          <w:szCs w:val="36"/>
          <w:highlight w:val="none"/>
        </w:rPr>
      </w:pPr>
      <w:r>
        <w:rPr>
          <w:rFonts w:ascii="Arial" w:hAnsi="Arial"/>
          <w:b/>
          <w:bCs/>
          <w:color w:val="auto"/>
          <w:sz w:val="28"/>
          <w:highlight w:val="none"/>
        </w:rPr>
        <w:br w:type="page" w:clear="all"/>
      </w:r>
      <w:r>
        <w:rPr>
          <w:rFonts w:ascii="Arial" w:hAnsi="Arial"/>
          <w:b/>
          <w:color w:val="auto"/>
          <w:sz w:val="36"/>
          <w:szCs w:val="36"/>
          <w:highlight w:val="none"/>
        </w:rPr>
        <w:t>残疾人福利性单位声明函</w:t>
      </w:r>
    </w:p>
    <w:bookmarkEnd w:id="99"/>
    <w:bookmarkEnd w:id="100"/>
    <w:p w14:paraId="2E89D34A">
      <w:pPr>
        <w:widowControl/>
        <w:spacing w:line="400" w:lineRule="exact"/>
        <w:ind w:firstLine="420"/>
        <w:jc w:val="left"/>
        <w:rPr>
          <w:rFonts w:ascii="Arial" w:hAnsi="Arial"/>
          <w:color w:val="auto"/>
          <w:szCs w:val="21"/>
          <w:highlight w:val="none"/>
        </w:rPr>
      </w:pPr>
      <w:r>
        <w:rPr>
          <w:rFonts w:ascii="Arial" w:hAnsi="Arial"/>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7B88BC">
      <w:pPr>
        <w:widowControl/>
        <w:spacing w:line="400" w:lineRule="exact"/>
        <w:ind w:firstLine="420"/>
        <w:jc w:val="left"/>
        <w:rPr>
          <w:rFonts w:ascii="Arial" w:hAnsi="Arial"/>
          <w:color w:val="auto"/>
          <w:szCs w:val="21"/>
          <w:highlight w:val="none"/>
        </w:rPr>
      </w:pPr>
      <w:r>
        <w:rPr>
          <w:rFonts w:ascii="Arial" w:hAnsi="Arial"/>
          <w:color w:val="auto"/>
          <w:szCs w:val="21"/>
          <w:highlight w:val="none"/>
        </w:rPr>
        <w:t>本单位对上述声明的真实性负责。如有虚假，将依法承担相应责任。</w:t>
      </w:r>
    </w:p>
    <w:p w14:paraId="36397FBF">
      <w:pPr>
        <w:widowControl/>
        <w:spacing w:line="440" w:lineRule="exact"/>
        <w:ind w:firstLine="5040"/>
        <w:jc w:val="left"/>
        <w:rPr>
          <w:rFonts w:ascii="Arial" w:hAnsi="Arial"/>
          <w:color w:val="auto"/>
          <w:szCs w:val="21"/>
          <w:highlight w:val="none"/>
        </w:rPr>
      </w:pPr>
    </w:p>
    <w:p w14:paraId="56E68825">
      <w:pPr>
        <w:widowControl/>
        <w:spacing w:line="440" w:lineRule="exact"/>
        <w:ind w:firstLine="5040"/>
        <w:jc w:val="left"/>
        <w:rPr>
          <w:rFonts w:ascii="Arial" w:hAnsi="Arial"/>
          <w:color w:val="auto"/>
          <w:szCs w:val="21"/>
          <w:highlight w:val="none"/>
        </w:rPr>
      </w:pPr>
    </w:p>
    <w:p w14:paraId="6501D166">
      <w:pPr>
        <w:widowControl/>
        <w:spacing w:line="440" w:lineRule="exact"/>
        <w:ind w:firstLine="5040"/>
        <w:jc w:val="left"/>
        <w:rPr>
          <w:rFonts w:ascii="Arial" w:hAnsi="Arial"/>
          <w:color w:val="auto"/>
          <w:szCs w:val="21"/>
          <w:highlight w:val="none"/>
        </w:rPr>
      </w:pPr>
    </w:p>
    <w:p w14:paraId="11CB2DB8">
      <w:pPr>
        <w:widowControl/>
        <w:shd w:val="clear" w:color="auto" w:fill="FFFFFF"/>
        <w:spacing w:line="360" w:lineRule="auto"/>
        <w:ind w:firstLine="3990"/>
        <w:jc w:val="left"/>
        <w:rPr>
          <w:rFonts w:ascii="Arial" w:hAnsi="Arial"/>
          <w:color w:val="auto"/>
          <w:szCs w:val="21"/>
          <w:highlight w:val="none"/>
        </w:rPr>
      </w:pPr>
      <w:r>
        <w:rPr>
          <w:rFonts w:hint="eastAsia" w:ascii="Arial" w:hAnsi="Arial"/>
          <w:color w:val="auto"/>
          <w:szCs w:val="21"/>
          <w:highlight w:val="none"/>
        </w:rPr>
        <w:t>供应商名称（加盖电子公章）：</w:t>
      </w:r>
      <w:r>
        <w:rPr>
          <w:rFonts w:ascii="Arial" w:hAnsi="Arial"/>
          <w:color w:val="auto"/>
          <w:szCs w:val="21"/>
          <w:highlight w:val="none"/>
          <w:u w:val="single"/>
        </w:rPr>
        <w:t xml:space="preserve">            </w:t>
      </w:r>
    </w:p>
    <w:p w14:paraId="3AA5A264">
      <w:pPr>
        <w:widowControl/>
        <w:shd w:val="clear" w:color="auto" w:fill="FFFFFF"/>
        <w:spacing w:line="360" w:lineRule="auto"/>
        <w:ind w:firstLine="3990"/>
        <w:jc w:val="left"/>
        <w:rPr>
          <w:rFonts w:ascii="Arial" w:hAnsi="Arial"/>
          <w:color w:val="auto"/>
          <w:szCs w:val="21"/>
          <w:highlight w:val="none"/>
        </w:rPr>
      </w:pPr>
      <w:r>
        <w:rPr>
          <w:rFonts w:ascii="Arial" w:hAnsi="Arial"/>
          <w:color w:val="auto"/>
          <w:szCs w:val="21"/>
          <w:highlight w:val="none"/>
        </w:rPr>
        <w:t>日    期：   年    月    日</w:t>
      </w:r>
    </w:p>
    <w:p w14:paraId="7F53B928">
      <w:pPr>
        <w:widowControl/>
        <w:shd w:val="clear" w:color="auto" w:fill="FFFFFF"/>
        <w:spacing w:before="240" w:line="360" w:lineRule="auto"/>
        <w:ind w:firstLine="733"/>
        <w:jc w:val="center"/>
        <w:rPr>
          <w:rFonts w:ascii="Arial" w:hAnsi="Arial"/>
          <w:b/>
          <w:color w:val="auto"/>
          <w:sz w:val="36"/>
          <w:szCs w:val="36"/>
          <w:highlight w:val="none"/>
        </w:rPr>
      </w:pPr>
    </w:p>
    <w:p w14:paraId="49F323C6">
      <w:pPr>
        <w:widowControl/>
        <w:shd w:val="clear" w:color="auto" w:fill="FFFFFF"/>
        <w:spacing w:before="240" w:line="360" w:lineRule="auto"/>
        <w:ind w:firstLine="733"/>
        <w:jc w:val="center"/>
        <w:rPr>
          <w:rFonts w:ascii="Arial" w:hAnsi="Arial"/>
          <w:b/>
          <w:color w:val="auto"/>
          <w:sz w:val="36"/>
          <w:szCs w:val="36"/>
          <w:highlight w:val="none"/>
        </w:rPr>
      </w:pPr>
      <w:r>
        <w:rPr>
          <w:rFonts w:ascii="Arial" w:hAnsi="Arial"/>
          <w:b/>
          <w:color w:val="auto"/>
          <w:sz w:val="36"/>
          <w:szCs w:val="36"/>
          <w:highlight w:val="none"/>
        </w:rPr>
        <w:t>属于监狱企业的证明文件</w:t>
      </w:r>
    </w:p>
    <w:p w14:paraId="0FB040AB">
      <w:pPr>
        <w:spacing w:line="360" w:lineRule="auto"/>
        <w:ind w:firstLine="430"/>
        <w:rPr>
          <w:rFonts w:ascii="Arial" w:hAnsi="Arial"/>
          <w:color w:val="auto"/>
          <w:szCs w:val="21"/>
          <w:highlight w:val="none"/>
        </w:rPr>
      </w:pPr>
      <w:r>
        <w:rPr>
          <w:rFonts w:ascii="Arial" w:hAnsi="Arial"/>
          <w:color w:val="auto"/>
          <w:szCs w:val="21"/>
          <w:highlight w:val="none"/>
        </w:rPr>
        <w:t>（提供由省级以上监狱管理局、戒毒管理局(含新疆生产建设兵团)出具的属于监狱企业的证明文件）</w:t>
      </w:r>
    </w:p>
    <w:p w14:paraId="77AD9C83">
      <w:pPr>
        <w:spacing w:line="360" w:lineRule="auto"/>
        <w:ind w:firstLine="431"/>
        <w:rPr>
          <w:rFonts w:ascii="Arial" w:hAnsi="Arial"/>
          <w:b/>
          <w:bCs/>
          <w:color w:val="auto"/>
          <w:szCs w:val="21"/>
          <w:highlight w:val="none"/>
        </w:rPr>
      </w:pPr>
    </w:p>
    <w:p w14:paraId="5A5A36DD">
      <w:pPr>
        <w:spacing w:line="360" w:lineRule="auto"/>
        <w:ind w:firstLine="431"/>
        <w:rPr>
          <w:rFonts w:ascii="Arial" w:hAnsi="Arial"/>
          <w:b/>
          <w:bCs/>
          <w:color w:val="auto"/>
          <w:szCs w:val="21"/>
          <w:highlight w:val="none"/>
        </w:rPr>
      </w:pPr>
    </w:p>
    <w:p w14:paraId="51F79E11">
      <w:pPr>
        <w:spacing w:line="360" w:lineRule="auto"/>
        <w:ind w:firstLine="431"/>
        <w:rPr>
          <w:rFonts w:ascii="Arial" w:hAnsi="Arial"/>
          <w:b/>
          <w:bCs/>
          <w:color w:val="auto"/>
          <w:szCs w:val="21"/>
          <w:highlight w:val="none"/>
        </w:rPr>
      </w:pPr>
    </w:p>
    <w:p w14:paraId="2377CD97">
      <w:pPr>
        <w:spacing w:line="360" w:lineRule="auto"/>
        <w:ind w:firstLine="431"/>
        <w:rPr>
          <w:rFonts w:ascii="Arial" w:hAnsi="Arial"/>
          <w:b/>
          <w:bCs/>
          <w:color w:val="auto"/>
          <w:szCs w:val="21"/>
          <w:highlight w:val="none"/>
        </w:rPr>
      </w:pPr>
    </w:p>
    <w:p w14:paraId="4616E469">
      <w:pPr>
        <w:spacing w:line="360" w:lineRule="auto"/>
        <w:ind w:firstLine="733"/>
        <w:jc w:val="center"/>
        <w:rPr>
          <w:rFonts w:ascii="Arial" w:hAnsi="Arial"/>
          <w:b/>
          <w:color w:val="auto"/>
          <w:sz w:val="36"/>
          <w:szCs w:val="36"/>
          <w:highlight w:val="none"/>
        </w:rPr>
      </w:pPr>
    </w:p>
    <w:p w14:paraId="77455FB7">
      <w:pPr>
        <w:spacing w:line="360" w:lineRule="auto"/>
        <w:ind w:firstLine="733"/>
        <w:jc w:val="center"/>
        <w:rPr>
          <w:rFonts w:ascii="Arial" w:hAnsi="Arial"/>
          <w:b/>
          <w:color w:val="auto"/>
          <w:sz w:val="36"/>
          <w:szCs w:val="36"/>
          <w:highlight w:val="none"/>
        </w:rPr>
      </w:pPr>
      <w:r>
        <w:rPr>
          <w:rFonts w:ascii="Arial" w:hAnsi="Arial"/>
          <w:b/>
          <w:color w:val="auto"/>
          <w:sz w:val="36"/>
          <w:szCs w:val="36"/>
          <w:highlight w:val="none"/>
        </w:rPr>
        <w:t>节能产品认证证书</w:t>
      </w:r>
    </w:p>
    <w:p w14:paraId="3B75EBF0">
      <w:pPr>
        <w:widowControl/>
        <w:shd w:val="clear" w:color="auto" w:fill="FFFFFF"/>
        <w:spacing w:before="240" w:line="360" w:lineRule="auto"/>
        <w:ind w:firstLine="430"/>
        <w:rPr>
          <w:rFonts w:ascii="Arial" w:hAnsi="Arial"/>
          <w:bCs/>
          <w:color w:val="auto"/>
          <w:highlight w:val="none"/>
        </w:rPr>
      </w:pPr>
      <w:r>
        <w:rPr>
          <w:rFonts w:ascii="Arial" w:hAnsi="Arial"/>
          <w:bCs/>
          <w:color w:val="auto"/>
          <w:highlight w:val="none"/>
        </w:rPr>
        <w:t>（提供国家确定的认证机构出具的、处于有效期之内的产品认证证书）</w:t>
      </w:r>
    </w:p>
    <w:p w14:paraId="35E924CA">
      <w:pPr>
        <w:spacing w:line="360" w:lineRule="auto"/>
        <w:ind w:firstLine="431"/>
        <w:rPr>
          <w:rFonts w:ascii="Arial" w:hAnsi="Arial"/>
          <w:b/>
          <w:bCs/>
          <w:color w:val="auto"/>
          <w:szCs w:val="21"/>
          <w:highlight w:val="none"/>
        </w:rPr>
      </w:pPr>
    </w:p>
    <w:p w14:paraId="4C35219D">
      <w:pPr>
        <w:spacing w:line="360" w:lineRule="auto"/>
        <w:ind w:firstLine="431"/>
        <w:rPr>
          <w:rFonts w:ascii="Arial" w:hAnsi="Arial"/>
          <w:b/>
          <w:bCs/>
          <w:color w:val="auto"/>
          <w:szCs w:val="21"/>
          <w:highlight w:val="none"/>
        </w:rPr>
      </w:pPr>
    </w:p>
    <w:p w14:paraId="2D5761C6">
      <w:pPr>
        <w:spacing w:line="360" w:lineRule="auto"/>
        <w:ind w:firstLine="431"/>
        <w:rPr>
          <w:rFonts w:ascii="Arial" w:hAnsi="Arial"/>
          <w:b/>
          <w:bCs/>
          <w:color w:val="auto"/>
          <w:szCs w:val="21"/>
          <w:highlight w:val="none"/>
        </w:rPr>
      </w:pPr>
    </w:p>
    <w:p w14:paraId="0C4EA553">
      <w:pPr>
        <w:spacing w:line="360" w:lineRule="auto"/>
        <w:ind w:firstLine="431"/>
        <w:rPr>
          <w:rFonts w:ascii="Arial" w:hAnsi="Arial"/>
          <w:b/>
          <w:bCs/>
          <w:color w:val="auto"/>
          <w:szCs w:val="21"/>
          <w:highlight w:val="none"/>
        </w:rPr>
      </w:pPr>
    </w:p>
    <w:p w14:paraId="40292410">
      <w:pPr>
        <w:spacing w:line="360" w:lineRule="auto"/>
        <w:ind w:firstLine="431"/>
        <w:rPr>
          <w:rFonts w:ascii="Arial" w:hAnsi="Arial"/>
          <w:b/>
          <w:bCs/>
          <w:color w:val="auto"/>
          <w:szCs w:val="21"/>
          <w:highlight w:val="none"/>
        </w:rPr>
      </w:pPr>
    </w:p>
    <w:p w14:paraId="05595B86">
      <w:pPr>
        <w:spacing w:line="360" w:lineRule="auto"/>
        <w:ind w:firstLine="733"/>
        <w:jc w:val="center"/>
        <w:rPr>
          <w:rFonts w:ascii="Arial" w:hAnsi="Arial"/>
          <w:b/>
          <w:color w:val="auto"/>
          <w:sz w:val="36"/>
          <w:szCs w:val="36"/>
          <w:highlight w:val="none"/>
        </w:rPr>
      </w:pPr>
    </w:p>
    <w:p w14:paraId="5018D1C3">
      <w:pPr>
        <w:spacing w:line="360" w:lineRule="auto"/>
        <w:ind w:firstLine="733"/>
        <w:jc w:val="center"/>
        <w:rPr>
          <w:rFonts w:ascii="Arial" w:hAnsi="Arial"/>
          <w:b/>
          <w:color w:val="auto"/>
          <w:sz w:val="36"/>
          <w:szCs w:val="36"/>
          <w:highlight w:val="none"/>
        </w:rPr>
      </w:pPr>
      <w:r>
        <w:rPr>
          <w:rFonts w:ascii="Arial" w:hAnsi="Arial"/>
          <w:b/>
          <w:color w:val="auto"/>
          <w:sz w:val="36"/>
          <w:szCs w:val="36"/>
          <w:highlight w:val="none"/>
        </w:rPr>
        <w:t>环境标志产品认证证书</w:t>
      </w:r>
    </w:p>
    <w:p w14:paraId="6333F483">
      <w:pPr>
        <w:widowControl/>
        <w:shd w:val="clear" w:color="auto" w:fill="FFFFFF"/>
        <w:spacing w:before="240" w:line="360" w:lineRule="auto"/>
        <w:ind w:firstLine="430"/>
        <w:rPr>
          <w:rFonts w:ascii="Arial" w:hAnsi="Arial"/>
          <w:bCs/>
          <w:color w:val="auto"/>
          <w:highlight w:val="none"/>
        </w:rPr>
      </w:pPr>
      <w:r>
        <w:rPr>
          <w:rFonts w:ascii="Arial" w:hAnsi="Arial"/>
          <w:bCs/>
          <w:color w:val="auto"/>
          <w:highlight w:val="none"/>
        </w:rPr>
        <w:t>（提供国家确定的认证机构出具的、处于有效期之内的产品认证证书）</w:t>
      </w:r>
    </w:p>
    <w:p w14:paraId="5B383B27">
      <w:pPr>
        <w:spacing w:line="360" w:lineRule="auto"/>
        <w:ind w:firstLine="431"/>
        <w:rPr>
          <w:rFonts w:ascii="Arial" w:hAnsi="Arial"/>
          <w:b/>
          <w:bCs/>
          <w:color w:val="auto"/>
          <w:szCs w:val="21"/>
          <w:highlight w:val="none"/>
        </w:rPr>
      </w:pPr>
    </w:p>
    <w:p w14:paraId="174220C9">
      <w:pPr>
        <w:spacing w:line="360" w:lineRule="auto"/>
        <w:ind w:firstLine="431"/>
        <w:rPr>
          <w:rFonts w:ascii="Arial" w:hAnsi="Arial"/>
          <w:b/>
          <w:bCs/>
          <w:color w:val="auto"/>
          <w:szCs w:val="21"/>
          <w:highlight w:val="none"/>
        </w:rPr>
      </w:pPr>
    </w:p>
    <w:p w14:paraId="5EF07BC9">
      <w:pPr>
        <w:spacing w:line="360" w:lineRule="auto"/>
        <w:ind w:firstLine="431"/>
        <w:rPr>
          <w:rFonts w:ascii="Arial" w:hAnsi="Arial"/>
          <w:b/>
          <w:bCs/>
          <w:color w:val="auto"/>
          <w:szCs w:val="21"/>
          <w:highlight w:val="none"/>
        </w:rPr>
      </w:pPr>
    </w:p>
    <w:p w14:paraId="4AC9B3C6">
      <w:pPr>
        <w:spacing w:line="360" w:lineRule="auto"/>
        <w:ind w:firstLine="431"/>
        <w:rPr>
          <w:rFonts w:ascii="Arial" w:hAnsi="Arial"/>
          <w:b/>
          <w:bCs/>
          <w:color w:val="auto"/>
          <w:szCs w:val="21"/>
          <w:highlight w:val="none"/>
        </w:rPr>
      </w:pPr>
    </w:p>
    <w:p w14:paraId="37028008">
      <w:pPr>
        <w:spacing w:line="360" w:lineRule="auto"/>
        <w:ind w:firstLine="431"/>
        <w:rPr>
          <w:rFonts w:ascii="Arial" w:hAnsi="Arial"/>
          <w:b/>
          <w:bCs/>
          <w:color w:val="auto"/>
          <w:szCs w:val="21"/>
          <w:highlight w:val="none"/>
        </w:rPr>
      </w:pPr>
    </w:p>
    <w:p w14:paraId="75F68938">
      <w:pPr>
        <w:widowControl/>
        <w:shd w:val="clear" w:color="auto" w:fill="FFFFFF"/>
        <w:spacing w:before="240" w:line="360" w:lineRule="auto"/>
        <w:ind w:firstLine="733"/>
        <w:jc w:val="center"/>
        <w:rPr>
          <w:rFonts w:ascii="Arial" w:hAnsi="Arial"/>
          <w:b/>
          <w:color w:val="auto"/>
          <w:sz w:val="36"/>
          <w:szCs w:val="36"/>
          <w:highlight w:val="none"/>
        </w:rPr>
      </w:pPr>
    </w:p>
    <w:p w14:paraId="0DFB3324">
      <w:pPr>
        <w:widowControl/>
        <w:shd w:val="clear" w:color="auto" w:fill="FFFFFF"/>
        <w:spacing w:before="240" w:line="360" w:lineRule="auto"/>
        <w:ind w:firstLine="733"/>
        <w:jc w:val="center"/>
        <w:rPr>
          <w:rFonts w:ascii="Arial" w:hAnsi="Arial"/>
          <w:b/>
          <w:color w:val="auto"/>
          <w:sz w:val="36"/>
          <w:szCs w:val="36"/>
          <w:highlight w:val="none"/>
        </w:rPr>
      </w:pPr>
      <w:r>
        <w:rPr>
          <w:rFonts w:ascii="Arial" w:hAnsi="Arial"/>
          <w:b/>
          <w:color w:val="auto"/>
          <w:sz w:val="36"/>
          <w:szCs w:val="36"/>
          <w:highlight w:val="none"/>
        </w:rPr>
        <w:t>进口产品转让技术、消化吸收再创新方案</w:t>
      </w:r>
    </w:p>
    <w:p w14:paraId="78E5A10D">
      <w:pPr>
        <w:spacing w:line="360" w:lineRule="auto"/>
        <w:ind w:firstLine="430"/>
        <w:rPr>
          <w:rFonts w:ascii="Arial" w:hAnsi="Arial"/>
          <w:bCs/>
          <w:color w:val="auto"/>
          <w:szCs w:val="21"/>
          <w:highlight w:val="none"/>
        </w:rPr>
      </w:pPr>
      <w:r>
        <w:rPr>
          <w:rFonts w:ascii="Arial" w:hAnsi="Arial"/>
          <w:bCs/>
          <w:color w:val="auto"/>
          <w:szCs w:val="21"/>
          <w:highlight w:val="none"/>
        </w:rPr>
        <w:t>（对于允许进口产品参加的项目）</w:t>
      </w:r>
    </w:p>
    <w:p w14:paraId="1C6059AC">
      <w:pPr>
        <w:widowControl/>
        <w:shd w:val="clear" w:color="auto" w:fill="FFFFFF"/>
        <w:spacing w:line="360" w:lineRule="auto"/>
        <w:ind w:firstLine="3990"/>
        <w:jc w:val="left"/>
        <w:rPr>
          <w:rFonts w:hint="eastAsia" w:ascii="宋体" w:hAnsi="宋体"/>
          <w:color w:val="auto"/>
          <w:szCs w:val="21"/>
          <w:highlight w:val="none"/>
        </w:rPr>
      </w:pPr>
    </w:p>
    <w:sectPr>
      <w:footerReference r:id="rId9" w:type="default"/>
      <w:pgSz w:w="11906" w:h="16838"/>
      <w:pgMar w:top="1440" w:right="1797" w:bottom="1440" w:left="1797" w:header="851" w:footer="794"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A00002BF" w:usb1="78CF7CFB" w:usb2="00000016" w:usb3="00000000" w:csb0="6006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042F4">
    <w:pPr>
      <w:pStyle w:val="3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7FAA2">
    <w:pPr>
      <w:pStyle w:val="3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08EF2BC7">
                          <w:pPr>
                            <w:pStyle w:val="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5A6F18C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08EF2BC7">
                    <w:pPr>
                      <w:pStyle w:val="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5A6F18C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E7089">
    <w:pPr>
      <w:pStyle w:val="3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4136AE0B">
                          <w:pPr>
                            <w:pStyle w:val="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69BFBB1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4136AE0B">
                    <w:pPr>
                      <w:pStyle w:val="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69BFBB1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C780F">
    <w:pPr>
      <w:pStyle w:val="3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6684443E">
                          <w:pPr>
                            <w:pStyle w:val="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7B3AE70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tJALLdAQAAsQMAAA4AAABkcnMvZTJvRG9jLnhtbK1TS27bMBDd&#10;F8gdCO5jyQ7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ALSQCy3QEAALEDAAAOAAAA&#10;AAAAAAEAIAAAACIBAABkcnMvZTJvRG9jLnhtbFBLBQYAAAAABgAGAFkBAABxBQAAAAA=&#10;">
              <v:fill on="f" focussize="0,0"/>
              <v:stroke on="f" weight="1.25pt"/>
              <v:imagedata o:title=""/>
              <o:lock v:ext="edit" aspectratio="f"/>
              <v:textbox inset="0mm,0mm,0mm,0mm" style="mso-fit-shape-to-text:t;">
                <w:txbxContent>
                  <w:p w14:paraId="6684443E">
                    <w:pPr>
                      <w:pStyle w:val="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7B3AE70C"/>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488A1">
    <w:pPr>
      <w:pStyle w:val="3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3511299D">
                          <w:pPr>
                            <w:pStyle w:val="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49</w:t>
                          </w:r>
                          <w:r>
                            <w:rPr>
                              <w:rFonts w:hint="eastAsia"/>
                            </w:rPr>
                            <w:fldChar w:fldCharType="end"/>
                          </w:r>
                        </w:p>
                        <w:p w14:paraId="6E7644E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i4tj3dAQAAsQMAAA4AAABkcnMvZTJvRG9jLnhtbK1TS27bMBDd&#10;F8gdCO5jyUb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BYuLY93QEAALEDAAAOAAAA&#10;AAAAAAEAIAAAACIBAABkcnMvZTJvRG9jLnhtbFBLBQYAAAAABgAGAFkBAABxBQAAAAA=&#10;">
              <v:fill on="f" focussize="0,0"/>
              <v:stroke on="f" weight="1.25pt"/>
              <v:imagedata o:title=""/>
              <o:lock v:ext="edit" aspectratio="f"/>
              <v:textbox inset="0mm,0mm,0mm,0mm" style="mso-fit-shape-to-text:t;">
                <w:txbxContent>
                  <w:p w14:paraId="3511299D">
                    <w:pPr>
                      <w:pStyle w:val="33"/>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49</w:t>
                    </w:r>
                    <w:r>
                      <w:rPr>
                        <w:rFonts w:hint="eastAsia"/>
                      </w:rPr>
                      <w:fldChar w:fldCharType="end"/>
                    </w:r>
                  </w:p>
                  <w:p w14:paraId="6E7644E6"/>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2D7F7">
    <w:pPr>
      <w:pStyle w:val="34"/>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BF29D">
    <w:pPr>
      <w:pStyle w:val="34"/>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9D2D24"/>
    <w:multiLevelType w:val="multilevel"/>
    <w:tmpl w:val="0B9D2D24"/>
    <w:lvl w:ilvl="0" w:tentative="0">
      <w:start w:val="1"/>
      <w:numFmt w:val="decimal"/>
      <w:pStyle w:val="293"/>
      <w:lvlText w:val="(%1)"/>
      <w:lvlJc w:val="left"/>
      <w:pPr>
        <w:tabs>
          <w:tab w:val="left" w:pos="397"/>
        </w:tabs>
        <w:ind w:left="397" w:hanging="397"/>
      </w:pPr>
      <w:rPr>
        <w:rFonts w:ascii="Arial" w:hAnsi="Arial" w:eastAsia="宋体" w:cs="Times New Roman"/>
        <w:b w:val="0"/>
        <w:i w:val="0"/>
        <w:color w:val="000000"/>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12A90547"/>
    <w:multiLevelType w:val="multilevel"/>
    <w:tmpl w:val="12A90547"/>
    <w:lvl w:ilvl="0" w:tentative="0">
      <w:start w:val="1"/>
      <w:numFmt w:val="decimal"/>
      <w:pStyle w:val="259"/>
      <w:lvlText w:val="%1"/>
      <w:lvlJc w:val="left"/>
      <w:pPr>
        <w:tabs>
          <w:tab w:val="left" w:pos="567"/>
        </w:tabs>
        <w:ind w:left="567" w:hanging="567"/>
      </w:pPr>
      <w:rPr>
        <w:rFonts w:hint="eastAsia" w:cs="Times New Roman"/>
      </w:rPr>
    </w:lvl>
    <w:lvl w:ilvl="1" w:tentative="0">
      <w:start w:val="1"/>
      <w:numFmt w:val="decimal"/>
      <w:pStyle w:val="263"/>
      <w:lvlText w:val="%1.%2"/>
      <w:lvlJc w:val="left"/>
      <w:pPr>
        <w:tabs>
          <w:tab w:val="left" w:pos="1004"/>
        </w:tabs>
        <w:ind w:left="567" w:hanging="283"/>
      </w:pPr>
      <w:rPr>
        <w:rFonts w:hint="eastAsia" w:cs="Times New Roman"/>
      </w:rPr>
    </w:lvl>
    <w:lvl w:ilvl="2" w:tentative="0">
      <w:start w:val="1"/>
      <w:numFmt w:val="decimal"/>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abstractNum w:abstractNumId="2">
    <w:nsid w:val="21016A41"/>
    <w:multiLevelType w:val="multilevel"/>
    <w:tmpl w:val="21016A41"/>
    <w:lvl w:ilvl="0" w:tentative="0">
      <w:start w:val="1"/>
      <w:numFmt w:val="bullet"/>
      <w:pStyle w:val="308"/>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3B3E75BB"/>
    <w:multiLevelType w:val="multilevel"/>
    <w:tmpl w:val="3B3E75BB"/>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78520C2"/>
    <w:multiLevelType w:val="multilevel"/>
    <w:tmpl w:val="678520C2"/>
    <w:lvl w:ilvl="0" w:tentative="0">
      <w:start w:val="1"/>
      <w:numFmt w:val="chineseCountingThousand"/>
      <w:pStyle w:val="2"/>
      <w:suff w:val="nothing"/>
      <w:lvlText w:val="第%1章"/>
      <w:lvlJc w:val="left"/>
      <w:pPr>
        <w:ind w:left="0" w:firstLine="0"/>
      </w:pPr>
    </w:lvl>
    <w:lvl w:ilvl="1" w:tentative="0">
      <w:start w:val="1"/>
      <w:numFmt w:val="decimal"/>
      <w:pStyle w:val="3"/>
      <w:suff w:val="nothing"/>
      <w:lvlText w:val=""/>
      <w:lvlJc w:val="left"/>
      <w:pPr>
        <w:ind w:left="0" w:firstLine="0"/>
      </w:pPr>
    </w:lvl>
    <w:lvl w:ilvl="2" w:tentative="0">
      <w:start w:val="1"/>
      <w:numFmt w:val="decimal"/>
      <w:pStyle w:val="4"/>
      <w:suff w:val="nothing"/>
      <w:lvlText w:val=""/>
      <w:lvlJc w:val="left"/>
      <w:pPr>
        <w:ind w:left="0" w:firstLine="0"/>
      </w:pPr>
    </w:lvl>
    <w:lvl w:ilvl="3" w:tentative="0">
      <w:start w:val="1"/>
      <w:numFmt w:val="decimal"/>
      <w:pStyle w:val="5"/>
      <w:suff w:val="nothing"/>
      <w:lvlText w:val=""/>
      <w:lvlJc w:val="left"/>
      <w:pPr>
        <w:ind w:left="0" w:firstLine="0"/>
      </w:pPr>
    </w:lvl>
    <w:lvl w:ilvl="4" w:tentative="0">
      <w:start w:val="1"/>
      <w:numFmt w:val="decimal"/>
      <w:pStyle w:val="6"/>
      <w:suff w:val="nothing"/>
      <w:lvlText w:val=""/>
      <w:lvlJc w:val="left"/>
      <w:pPr>
        <w:ind w:left="0" w:firstLine="0"/>
      </w:pPr>
    </w:lvl>
    <w:lvl w:ilvl="5" w:tentative="0">
      <w:start w:val="1"/>
      <w:numFmt w:val="decimal"/>
      <w:pStyle w:val="9"/>
      <w:suff w:val="nothing"/>
      <w:lvlText w:val=""/>
      <w:lvlJc w:val="left"/>
      <w:pPr>
        <w:ind w:left="0" w:firstLine="0"/>
      </w:pPr>
    </w:lvl>
    <w:lvl w:ilvl="6" w:tentative="0">
      <w:start w:val="1"/>
      <w:numFmt w:val="decimal"/>
      <w:pStyle w:val="10"/>
      <w:suff w:val="nothing"/>
      <w:lvlText w:val=""/>
      <w:lvlJc w:val="left"/>
      <w:pPr>
        <w:ind w:left="0" w:firstLine="0"/>
      </w:pPr>
    </w:lvl>
    <w:lvl w:ilvl="7" w:tentative="0">
      <w:start w:val="1"/>
      <w:numFmt w:val="decimal"/>
      <w:pStyle w:val="11"/>
      <w:suff w:val="nothing"/>
      <w:lvlText w:val=""/>
      <w:lvlJc w:val="left"/>
      <w:pPr>
        <w:ind w:left="0" w:firstLine="0"/>
      </w:pPr>
    </w:lvl>
    <w:lvl w:ilvl="8" w:tentative="0">
      <w:start w:val="1"/>
      <w:numFmt w:val="decimal"/>
      <w:pStyle w:val="12"/>
      <w:suff w:val="nothing"/>
      <w:lvlText w:val=""/>
      <w:lvlJc w:val="left"/>
      <w:pPr>
        <w:ind w:left="0" w:firstLine="0"/>
      </w:pPr>
    </w:lvl>
  </w:abstractNum>
  <w:abstractNum w:abstractNumId="5">
    <w:nsid w:val="74B34178"/>
    <w:multiLevelType w:val="multilevel"/>
    <w:tmpl w:val="74B34178"/>
    <w:lvl w:ilvl="0" w:tentative="0">
      <w:start w:val="1"/>
      <w:numFmt w:val="bullet"/>
      <w:pStyle w:val="267"/>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BF23E27"/>
    <w:multiLevelType w:val="multilevel"/>
    <w:tmpl w:val="7BF23E2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DF86E36"/>
    <w:multiLevelType w:val="multilevel"/>
    <w:tmpl w:val="7DF86E36"/>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F0C31A1"/>
    <w:multiLevelType w:val="multilevel"/>
    <w:tmpl w:val="7F0C31A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0"/>
  </w:num>
  <w:num w:numId="5">
    <w:abstractNumId w:val="2"/>
  </w:num>
  <w:num w:numId="6">
    <w:abstractNumId w:val="7"/>
  </w:num>
  <w:num w:numId="7">
    <w:abstractNumId w:val="3"/>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B7"/>
    <w:rsid w:val="000023AB"/>
    <w:rsid w:val="00024989"/>
    <w:rsid w:val="00044F1B"/>
    <w:rsid w:val="000B5164"/>
    <w:rsid w:val="00106D67"/>
    <w:rsid w:val="0010727E"/>
    <w:rsid w:val="00141903"/>
    <w:rsid w:val="001C0CB8"/>
    <w:rsid w:val="001C416E"/>
    <w:rsid w:val="001E3F88"/>
    <w:rsid w:val="001F5B4A"/>
    <w:rsid w:val="00216126"/>
    <w:rsid w:val="00220F8B"/>
    <w:rsid w:val="002508BB"/>
    <w:rsid w:val="00282550"/>
    <w:rsid w:val="00291C9C"/>
    <w:rsid w:val="002B66B7"/>
    <w:rsid w:val="002C58E2"/>
    <w:rsid w:val="002D0E54"/>
    <w:rsid w:val="002D1CCC"/>
    <w:rsid w:val="002F19E9"/>
    <w:rsid w:val="00320A5F"/>
    <w:rsid w:val="00325D35"/>
    <w:rsid w:val="00333C72"/>
    <w:rsid w:val="003408E9"/>
    <w:rsid w:val="0035704E"/>
    <w:rsid w:val="00363AE5"/>
    <w:rsid w:val="00387171"/>
    <w:rsid w:val="00396176"/>
    <w:rsid w:val="003B75BF"/>
    <w:rsid w:val="003D6FF3"/>
    <w:rsid w:val="00475659"/>
    <w:rsid w:val="004F218D"/>
    <w:rsid w:val="005002B2"/>
    <w:rsid w:val="005A477E"/>
    <w:rsid w:val="005F139B"/>
    <w:rsid w:val="00604427"/>
    <w:rsid w:val="00606A3A"/>
    <w:rsid w:val="00620199"/>
    <w:rsid w:val="00620CF9"/>
    <w:rsid w:val="006321C3"/>
    <w:rsid w:val="006C3F21"/>
    <w:rsid w:val="00724BBE"/>
    <w:rsid w:val="00753B32"/>
    <w:rsid w:val="00780A66"/>
    <w:rsid w:val="007833E9"/>
    <w:rsid w:val="007A4313"/>
    <w:rsid w:val="0089181D"/>
    <w:rsid w:val="008A15CD"/>
    <w:rsid w:val="009269CC"/>
    <w:rsid w:val="00950252"/>
    <w:rsid w:val="00972B59"/>
    <w:rsid w:val="009C3610"/>
    <w:rsid w:val="009C591C"/>
    <w:rsid w:val="00A66021"/>
    <w:rsid w:val="00A83FE4"/>
    <w:rsid w:val="00A91137"/>
    <w:rsid w:val="00AE3E51"/>
    <w:rsid w:val="00B04D5A"/>
    <w:rsid w:val="00B8558B"/>
    <w:rsid w:val="00BE05F8"/>
    <w:rsid w:val="00C10FE1"/>
    <w:rsid w:val="00C1683D"/>
    <w:rsid w:val="00C22799"/>
    <w:rsid w:val="00C269F6"/>
    <w:rsid w:val="00C46C9A"/>
    <w:rsid w:val="00CA178B"/>
    <w:rsid w:val="00CF38CB"/>
    <w:rsid w:val="00D53431"/>
    <w:rsid w:val="00DC07DD"/>
    <w:rsid w:val="00E039A7"/>
    <w:rsid w:val="00E110AB"/>
    <w:rsid w:val="00E14162"/>
    <w:rsid w:val="00E16B52"/>
    <w:rsid w:val="00E27CEB"/>
    <w:rsid w:val="00E650DD"/>
    <w:rsid w:val="00F1671D"/>
    <w:rsid w:val="00F25763"/>
    <w:rsid w:val="00F2745A"/>
    <w:rsid w:val="00F32A78"/>
    <w:rsid w:val="00F365CD"/>
    <w:rsid w:val="00F76C07"/>
    <w:rsid w:val="00FE19CE"/>
    <w:rsid w:val="032A51BE"/>
    <w:rsid w:val="03A62896"/>
    <w:rsid w:val="052A71F6"/>
    <w:rsid w:val="055D3DE8"/>
    <w:rsid w:val="06293905"/>
    <w:rsid w:val="06DE41D3"/>
    <w:rsid w:val="0A192B36"/>
    <w:rsid w:val="0A45247C"/>
    <w:rsid w:val="0B016BFE"/>
    <w:rsid w:val="0BFB189F"/>
    <w:rsid w:val="0F6459AD"/>
    <w:rsid w:val="11925144"/>
    <w:rsid w:val="12F66252"/>
    <w:rsid w:val="141A00B1"/>
    <w:rsid w:val="14337E6D"/>
    <w:rsid w:val="14CD7A40"/>
    <w:rsid w:val="16A3500D"/>
    <w:rsid w:val="16D0255E"/>
    <w:rsid w:val="189F55F4"/>
    <w:rsid w:val="18BC42BF"/>
    <w:rsid w:val="1C872CDB"/>
    <w:rsid w:val="1E232907"/>
    <w:rsid w:val="1E534A3B"/>
    <w:rsid w:val="1EDF6DFF"/>
    <w:rsid w:val="1F0B19A2"/>
    <w:rsid w:val="212E4351"/>
    <w:rsid w:val="239C1019"/>
    <w:rsid w:val="25513E86"/>
    <w:rsid w:val="25C84412"/>
    <w:rsid w:val="27930786"/>
    <w:rsid w:val="286269B4"/>
    <w:rsid w:val="29B73823"/>
    <w:rsid w:val="2BF67536"/>
    <w:rsid w:val="2C071743"/>
    <w:rsid w:val="2E162111"/>
    <w:rsid w:val="2E1A197C"/>
    <w:rsid w:val="2F1F6DA3"/>
    <w:rsid w:val="312132A7"/>
    <w:rsid w:val="329A6E6D"/>
    <w:rsid w:val="33FA529A"/>
    <w:rsid w:val="33FF004F"/>
    <w:rsid w:val="342B1D46"/>
    <w:rsid w:val="34F30AB6"/>
    <w:rsid w:val="36DB3DF0"/>
    <w:rsid w:val="36F570EA"/>
    <w:rsid w:val="39096AFA"/>
    <w:rsid w:val="3A850402"/>
    <w:rsid w:val="3C991F43"/>
    <w:rsid w:val="3D842BF3"/>
    <w:rsid w:val="3E810EE1"/>
    <w:rsid w:val="411B386E"/>
    <w:rsid w:val="41D66AFC"/>
    <w:rsid w:val="41EF2605"/>
    <w:rsid w:val="4326474D"/>
    <w:rsid w:val="467C4DAF"/>
    <w:rsid w:val="4C727E95"/>
    <w:rsid w:val="4D7B134F"/>
    <w:rsid w:val="4DA62712"/>
    <w:rsid w:val="4DB017E2"/>
    <w:rsid w:val="4EFD45B3"/>
    <w:rsid w:val="51D05FAF"/>
    <w:rsid w:val="528F4A01"/>
    <w:rsid w:val="52DA3931"/>
    <w:rsid w:val="53740BBC"/>
    <w:rsid w:val="54927D67"/>
    <w:rsid w:val="55BA1450"/>
    <w:rsid w:val="57D00D14"/>
    <w:rsid w:val="582708F3"/>
    <w:rsid w:val="58417C4F"/>
    <w:rsid w:val="5866141B"/>
    <w:rsid w:val="58E30CBE"/>
    <w:rsid w:val="5900033B"/>
    <w:rsid w:val="59595BF7"/>
    <w:rsid w:val="5A61633E"/>
    <w:rsid w:val="5B0B2D0B"/>
    <w:rsid w:val="5C031F88"/>
    <w:rsid w:val="5C4022D9"/>
    <w:rsid w:val="5CB93061"/>
    <w:rsid w:val="5CC73CA3"/>
    <w:rsid w:val="5CFE7457"/>
    <w:rsid w:val="5D700646"/>
    <w:rsid w:val="5DE57196"/>
    <w:rsid w:val="5E385608"/>
    <w:rsid w:val="5EA82A5A"/>
    <w:rsid w:val="5F543222"/>
    <w:rsid w:val="5FB52D33"/>
    <w:rsid w:val="621A680A"/>
    <w:rsid w:val="62DF4E75"/>
    <w:rsid w:val="64153CF6"/>
    <w:rsid w:val="657C4CC0"/>
    <w:rsid w:val="65CF4FFC"/>
    <w:rsid w:val="689615A8"/>
    <w:rsid w:val="69A94AF3"/>
    <w:rsid w:val="6B2B3DFF"/>
    <w:rsid w:val="6C3870FA"/>
    <w:rsid w:val="6E184B0E"/>
    <w:rsid w:val="6FCC5BB0"/>
    <w:rsid w:val="6FEA4497"/>
    <w:rsid w:val="70741DA4"/>
    <w:rsid w:val="72BD0FFB"/>
    <w:rsid w:val="73CF7E25"/>
    <w:rsid w:val="73DC65DE"/>
    <w:rsid w:val="75E4150A"/>
    <w:rsid w:val="78BC32C8"/>
    <w:rsid w:val="79BB7D58"/>
    <w:rsid w:val="7B3F7B7E"/>
    <w:rsid w:val="7B487A14"/>
    <w:rsid w:val="7CCC5050"/>
    <w:rsid w:val="7CD97B5E"/>
    <w:rsid w:val="7DB472AA"/>
    <w:rsid w:val="7DC3599D"/>
    <w:rsid w:val="7ED973A3"/>
    <w:rsid w:val="7F2F1CB8"/>
    <w:rsid w:val="7F660310"/>
    <w:rsid w:val="7FC53C2D"/>
    <w:rsid w:val="7FF35C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nhideWhenUsed="0" w:uiPriority="35" w:semiHidden="0" w:name="caption"/>
    <w:lsdException w:qFormat="1" w:unhideWhenUsed="0" w:uiPriority="99"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11"/>
    <w:qFormat/>
    <w:uiPriority w:val="0"/>
    <w:pPr>
      <w:keepNext/>
      <w:numPr>
        <w:ilvl w:val="0"/>
        <w:numId w:val="1"/>
      </w:numPr>
      <w:tabs>
        <w:tab w:val="left" w:pos="1440"/>
        <w:tab w:val="left" w:pos="5670"/>
      </w:tabs>
      <w:spacing w:before="312" w:after="312"/>
      <w:outlineLvl w:val="0"/>
    </w:pPr>
    <w:rPr>
      <w:rFonts w:ascii="黑体" w:eastAsia="黑体"/>
      <w:b/>
      <w:sz w:val="28"/>
    </w:rPr>
  </w:style>
  <w:style w:type="paragraph" w:styleId="3">
    <w:name w:val="heading 2"/>
    <w:basedOn w:val="1"/>
    <w:next w:val="1"/>
    <w:link w:val="212"/>
    <w:qFormat/>
    <w:uiPriority w:val="99"/>
    <w:pPr>
      <w:keepNext/>
      <w:keepLines/>
      <w:numPr>
        <w:ilvl w:val="1"/>
        <w:numId w:val="1"/>
      </w:numPr>
      <w:spacing w:before="120" w:after="120"/>
      <w:jc w:val="left"/>
      <w:outlineLvl w:val="1"/>
    </w:pPr>
    <w:rPr>
      <w:rFonts w:ascii="Cambria" w:hAnsi="Cambria"/>
      <w:b/>
      <w:bCs/>
      <w:sz w:val="32"/>
      <w:szCs w:val="32"/>
    </w:rPr>
  </w:style>
  <w:style w:type="paragraph" w:styleId="4">
    <w:name w:val="heading 3"/>
    <w:basedOn w:val="1"/>
    <w:next w:val="1"/>
    <w:link w:val="213"/>
    <w:qFormat/>
    <w:uiPriority w:val="99"/>
    <w:pPr>
      <w:keepNext/>
      <w:keepLines/>
      <w:numPr>
        <w:ilvl w:val="2"/>
        <w:numId w:val="1"/>
      </w:numPr>
      <w:spacing w:before="120" w:after="120"/>
      <w:outlineLvl w:val="2"/>
    </w:pPr>
    <w:rPr>
      <w:b/>
      <w:bCs/>
      <w:sz w:val="32"/>
      <w:szCs w:val="32"/>
    </w:rPr>
  </w:style>
  <w:style w:type="paragraph" w:styleId="5">
    <w:name w:val="heading 4"/>
    <w:basedOn w:val="1"/>
    <w:next w:val="1"/>
    <w:link w:val="214"/>
    <w:qFormat/>
    <w:uiPriority w:val="99"/>
    <w:pPr>
      <w:keepNext/>
      <w:keepLines/>
      <w:numPr>
        <w:ilvl w:val="3"/>
        <w:numId w:val="1"/>
      </w:numPr>
      <w:spacing w:before="120" w:after="120"/>
      <w:outlineLvl w:val="3"/>
    </w:pPr>
    <w:rPr>
      <w:rFonts w:ascii="Cambria" w:hAnsi="Cambria"/>
      <w:b/>
      <w:bCs/>
      <w:sz w:val="28"/>
      <w:szCs w:val="28"/>
    </w:rPr>
  </w:style>
  <w:style w:type="paragraph" w:styleId="6">
    <w:name w:val="heading 5"/>
    <w:basedOn w:val="1"/>
    <w:next w:val="7"/>
    <w:link w:val="215"/>
    <w:qFormat/>
    <w:uiPriority w:val="99"/>
    <w:pPr>
      <w:keepNext/>
      <w:numPr>
        <w:ilvl w:val="4"/>
        <w:numId w:val="1"/>
      </w:numPr>
      <w:spacing w:before="156" w:after="156"/>
      <w:outlineLvl w:val="4"/>
    </w:pPr>
    <w:rPr>
      <w:b/>
      <w:bCs/>
      <w:sz w:val="28"/>
      <w:szCs w:val="28"/>
    </w:rPr>
  </w:style>
  <w:style w:type="paragraph" w:styleId="9">
    <w:name w:val="heading 6"/>
    <w:basedOn w:val="1"/>
    <w:next w:val="1"/>
    <w:link w:val="218"/>
    <w:qFormat/>
    <w:uiPriority w:val="99"/>
    <w:pPr>
      <w:keepNext/>
      <w:keepLines/>
      <w:numPr>
        <w:ilvl w:val="5"/>
        <w:numId w:val="1"/>
      </w:numPr>
      <w:spacing w:before="240" w:after="64" w:line="320" w:lineRule="auto"/>
      <w:outlineLvl w:val="5"/>
    </w:pPr>
    <w:rPr>
      <w:rFonts w:ascii="Cambria" w:hAnsi="Cambria"/>
      <w:b/>
      <w:bCs/>
      <w:sz w:val="24"/>
      <w:szCs w:val="24"/>
    </w:rPr>
  </w:style>
  <w:style w:type="paragraph" w:styleId="10">
    <w:name w:val="heading 7"/>
    <w:basedOn w:val="1"/>
    <w:next w:val="1"/>
    <w:link w:val="219"/>
    <w:qFormat/>
    <w:uiPriority w:val="99"/>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220"/>
    <w:qFormat/>
    <w:uiPriority w:val="99"/>
    <w:pPr>
      <w:keepNext/>
      <w:keepLines/>
      <w:numPr>
        <w:ilvl w:val="7"/>
        <w:numId w:val="1"/>
      </w:numPr>
      <w:spacing w:before="240" w:after="64" w:line="320" w:lineRule="auto"/>
      <w:outlineLvl w:val="7"/>
    </w:pPr>
    <w:rPr>
      <w:rFonts w:ascii="Cambria" w:hAnsi="Cambria"/>
      <w:sz w:val="24"/>
      <w:szCs w:val="24"/>
    </w:rPr>
  </w:style>
  <w:style w:type="paragraph" w:styleId="12">
    <w:name w:val="heading 9"/>
    <w:basedOn w:val="1"/>
    <w:next w:val="1"/>
    <w:link w:val="221"/>
    <w:qFormat/>
    <w:uiPriority w:val="99"/>
    <w:pPr>
      <w:keepNext/>
      <w:keepLines/>
      <w:numPr>
        <w:ilvl w:val="8"/>
        <w:numId w:val="1"/>
      </w:numPr>
      <w:spacing w:before="240" w:after="64" w:line="320" w:lineRule="auto"/>
      <w:outlineLvl w:val="8"/>
    </w:pPr>
    <w:rPr>
      <w:rFonts w:ascii="Cambria" w:hAnsi="Cambria"/>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link w:val="216"/>
    <w:qFormat/>
    <w:uiPriority w:val="0"/>
    <w:pPr>
      <w:ind w:firstLine="420"/>
    </w:pPr>
  </w:style>
  <w:style w:type="paragraph" w:styleId="8">
    <w:name w:val="Body Text Indent"/>
    <w:basedOn w:val="1"/>
    <w:link w:val="217"/>
    <w:qFormat/>
    <w:uiPriority w:val="99"/>
    <w:pPr>
      <w:ind w:firstLine="645"/>
    </w:pPr>
    <w:rPr>
      <w:sz w:val="20"/>
    </w:rPr>
  </w:style>
  <w:style w:type="paragraph" w:styleId="13">
    <w:name w:val="List 3"/>
    <w:basedOn w:val="1"/>
    <w:qFormat/>
    <w:uiPriority w:val="99"/>
    <w:pPr>
      <w:ind w:left="1260" w:hanging="420"/>
    </w:pPr>
  </w:style>
  <w:style w:type="paragraph" w:styleId="14">
    <w:name w:val="toc 7"/>
    <w:basedOn w:val="1"/>
    <w:next w:val="1"/>
    <w:unhideWhenUsed/>
    <w:qFormat/>
    <w:uiPriority w:val="39"/>
    <w:pPr>
      <w:spacing w:after="57"/>
      <w:ind w:left="1701"/>
    </w:pPr>
  </w:style>
  <w:style w:type="paragraph" w:styleId="15">
    <w:name w:val="index 8"/>
    <w:basedOn w:val="1"/>
    <w:next w:val="1"/>
    <w:semiHidden/>
    <w:qFormat/>
    <w:uiPriority w:val="99"/>
    <w:pPr>
      <w:ind w:left="2940"/>
    </w:pPr>
  </w:style>
  <w:style w:type="paragraph" w:styleId="16">
    <w:name w:val="caption"/>
    <w:basedOn w:val="1"/>
    <w:next w:val="1"/>
    <w:qFormat/>
    <w:uiPriority w:val="35"/>
    <w:pPr>
      <w:spacing w:line="360" w:lineRule="auto"/>
    </w:pPr>
    <w:rPr>
      <w:rFonts w:ascii="Cambria" w:hAnsi="Cambria" w:eastAsia="黑体"/>
      <w:sz w:val="24"/>
    </w:rPr>
  </w:style>
  <w:style w:type="paragraph" w:styleId="17">
    <w:name w:val="index 5"/>
    <w:basedOn w:val="1"/>
    <w:next w:val="1"/>
    <w:semiHidden/>
    <w:qFormat/>
    <w:uiPriority w:val="99"/>
    <w:pPr>
      <w:ind w:left="1680"/>
    </w:pPr>
  </w:style>
  <w:style w:type="paragraph" w:styleId="18">
    <w:name w:val="Document Map"/>
    <w:basedOn w:val="1"/>
    <w:link w:val="223"/>
    <w:semiHidden/>
    <w:qFormat/>
    <w:uiPriority w:val="99"/>
    <w:pPr>
      <w:shd w:val="clear" w:color="auto" w:fill="000080"/>
    </w:pPr>
    <w:rPr>
      <w:sz w:val="2"/>
    </w:rPr>
  </w:style>
  <w:style w:type="paragraph" w:styleId="19">
    <w:name w:val="annotation text"/>
    <w:basedOn w:val="1"/>
    <w:link w:val="224"/>
    <w:qFormat/>
    <w:uiPriority w:val="0"/>
    <w:pPr>
      <w:jc w:val="left"/>
    </w:pPr>
    <w:rPr>
      <w:sz w:val="20"/>
    </w:rPr>
  </w:style>
  <w:style w:type="paragraph" w:styleId="20">
    <w:name w:val="index 6"/>
    <w:basedOn w:val="1"/>
    <w:next w:val="1"/>
    <w:semiHidden/>
    <w:qFormat/>
    <w:uiPriority w:val="99"/>
    <w:pPr>
      <w:ind w:left="2100"/>
    </w:pPr>
  </w:style>
  <w:style w:type="paragraph" w:styleId="21">
    <w:name w:val="Body Text 3"/>
    <w:basedOn w:val="1"/>
    <w:link w:val="225"/>
    <w:qFormat/>
    <w:uiPriority w:val="99"/>
    <w:rPr>
      <w:sz w:val="16"/>
      <w:szCs w:val="16"/>
    </w:rPr>
  </w:style>
  <w:style w:type="paragraph" w:styleId="22">
    <w:name w:val="Body Text"/>
    <w:basedOn w:val="1"/>
    <w:link w:val="226"/>
    <w:qFormat/>
    <w:uiPriority w:val="99"/>
    <w:rPr>
      <w:sz w:val="20"/>
    </w:rPr>
  </w:style>
  <w:style w:type="paragraph" w:styleId="23">
    <w:name w:val="index 4"/>
    <w:basedOn w:val="1"/>
    <w:next w:val="1"/>
    <w:semiHidden/>
    <w:qFormat/>
    <w:uiPriority w:val="99"/>
    <w:pPr>
      <w:ind w:left="1260"/>
    </w:pPr>
  </w:style>
  <w:style w:type="paragraph" w:styleId="24">
    <w:name w:val="toc 5"/>
    <w:basedOn w:val="1"/>
    <w:next w:val="1"/>
    <w:unhideWhenUsed/>
    <w:qFormat/>
    <w:uiPriority w:val="39"/>
    <w:pPr>
      <w:spacing w:after="57"/>
      <w:ind w:left="1134"/>
    </w:pPr>
  </w:style>
  <w:style w:type="paragraph" w:styleId="25">
    <w:name w:val="toc 3"/>
    <w:basedOn w:val="1"/>
    <w:next w:val="1"/>
    <w:unhideWhenUsed/>
    <w:qFormat/>
    <w:uiPriority w:val="39"/>
    <w:pPr>
      <w:spacing w:after="57"/>
      <w:ind w:left="567"/>
    </w:pPr>
  </w:style>
  <w:style w:type="paragraph" w:styleId="26">
    <w:name w:val="Plain Text"/>
    <w:basedOn w:val="1"/>
    <w:link w:val="229"/>
    <w:qFormat/>
    <w:uiPriority w:val="0"/>
    <w:rPr>
      <w:rFonts w:ascii="宋体" w:hAnsi="Courier New"/>
      <w:szCs w:val="21"/>
    </w:rPr>
  </w:style>
  <w:style w:type="paragraph" w:styleId="27">
    <w:name w:val="toc 8"/>
    <w:basedOn w:val="1"/>
    <w:next w:val="1"/>
    <w:unhideWhenUsed/>
    <w:qFormat/>
    <w:uiPriority w:val="39"/>
    <w:pPr>
      <w:spacing w:after="57"/>
      <w:ind w:left="1984"/>
    </w:pPr>
  </w:style>
  <w:style w:type="paragraph" w:styleId="28">
    <w:name w:val="index 3"/>
    <w:basedOn w:val="1"/>
    <w:next w:val="1"/>
    <w:semiHidden/>
    <w:qFormat/>
    <w:uiPriority w:val="99"/>
    <w:pPr>
      <w:ind w:left="840"/>
    </w:pPr>
  </w:style>
  <w:style w:type="paragraph" w:styleId="29">
    <w:name w:val="Date"/>
    <w:basedOn w:val="1"/>
    <w:next w:val="1"/>
    <w:link w:val="231"/>
    <w:qFormat/>
    <w:uiPriority w:val="99"/>
    <w:pPr>
      <w:ind w:left="100"/>
    </w:pPr>
    <w:rPr>
      <w:sz w:val="20"/>
    </w:rPr>
  </w:style>
  <w:style w:type="paragraph" w:styleId="30">
    <w:name w:val="Body Text Indent 2"/>
    <w:basedOn w:val="1"/>
    <w:link w:val="232"/>
    <w:qFormat/>
    <w:uiPriority w:val="99"/>
    <w:pPr>
      <w:ind w:left="630" w:firstLine="645"/>
    </w:pPr>
    <w:rPr>
      <w:sz w:val="20"/>
    </w:rPr>
  </w:style>
  <w:style w:type="paragraph" w:styleId="31">
    <w:name w:val="endnote text"/>
    <w:basedOn w:val="1"/>
    <w:link w:val="209"/>
    <w:semiHidden/>
    <w:unhideWhenUsed/>
    <w:qFormat/>
    <w:uiPriority w:val="99"/>
    <w:rPr>
      <w:sz w:val="20"/>
    </w:rPr>
  </w:style>
  <w:style w:type="paragraph" w:styleId="32">
    <w:name w:val="Balloon Text"/>
    <w:basedOn w:val="1"/>
    <w:link w:val="233"/>
    <w:semiHidden/>
    <w:qFormat/>
    <w:uiPriority w:val="99"/>
    <w:rPr>
      <w:sz w:val="18"/>
      <w:szCs w:val="18"/>
    </w:rPr>
  </w:style>
  <w:style w:type="paragraph" w:styleId="33">
    <w:name w:val="footer"/>
    <w:basedOn w:val="1"/>
    <w:link w:val="234"/>
    <w:qFormat/>
    <w:uiPriority w:val="99"/>
    <w:pPr>
      <w:tabs>
        <w:tab w:val="center" w:pos="4153"/>
        <w:tab w:val="right" w:pos="8306"/>
      </w:tabs>
      <w:jc w:val="left"/>
    </w:pPr>
    <w:rPr>
      <w:sz w:val="18"/>
    </w:rPr>
  </w:style>
  <w:style w:type="paragraph" w:styleId="34">
    <w:name w:val="header"/>
    <w:basedOn w:val="1"/>
    <w:link w:val="235"/>
    <w:qFormat/>
    <w:uiPriority w:val="99"/>
    <w:pPr>
      <w:pBdr>
        <w:bottom w:val="single" w:color="000000" w:sz="6" w:space="1"/>
      </w:pBdr>
      <w:tabs>
        <w:tab w:val="center" w:pos="4153"/>
        <w:tab w:val="right" w:pos="8306"/>
      </w:tabs>
      <w:jc w:val="center"/>
    </w:pPr>
    <w:rPr>
      <w:sz w:val="18"/>
    </w:rPr>
  </w:style>
  <w:style w:type="paragraph" w:styleId="35">
    <w:name w:val="toc 1"/>
    <w:basedOn w:val="1"/>
    <w:next w:val="1"/>
    <w:unhideWhenUsed/>
    <w:qFormat/>
    <w:uiPriority w:val="39"/>
    <w:pPr>
      <w:spacing w:after="57"/>
    </w:pPr>
  </w:style>
  <w:style w:type="paragraph" w:styleId="36">
    <w:name w:val="toc 4"/>
    <w:basedOn w:val="1"/>
    <w:next w:val="1"/>
    <w:unhideWhenUsed/>
    <w:qFormat/>
    <w:uiPriority w:val="39"/>
    <w:pPr>
      <w:spacing w:after="57"/>
      <w:ind w:left="850"/>
    </w:pPr>
  </w:style>
  <w:style w:type="paragraph" w:styleId="37">
    <w:name w:val="index heading"/>
    <w:basedOn w:val="1"/>
    <w:next w:val="38"/>
    <w:semiHidden/>
    <w:qFormat/>
    <w:uiPriority w:val="99"/>
  </w:style>
  <w:style w:type="paragraph" w:styleId="38">
    <w:name w:val="index 1"/>
    <w:basedOn w:val="1"/>
    <w:next w:val="1"/>
    <w:semiHidden/>
    <w:qFormat/>
    <w:uiPriority w:val="99"/>
    <w:pPr>
      <w:jc w:val="center"/>
    </w:pPr>
    <w:rPr>
      <w:rFonts w:ascii="仿宋_GB2312" w:hAnsi="宋体" w:eastAsia="仿宋_GB2312"/>
      <w:sz w:val="30"/>
      <w:szCs w:val="24"/>
    </w:rPr>
  </w:style>
  <w:style w:type="paragraph" w:styleId="39">
    <w:name w:val="Subtitle"/>
    <w:basedOn w:val="1"/>
    <w:next w:val="1"/>
    <w:link w:val="75"/>
    <w:qFormat/>
    <w:uiPriority w:val="11"/>
    <w:pPr>
      <w:spacing w:before="200" w:after="200"/>
    </w:pPr>
    <w:rPr>
      <w:sz w:val="24"/>
      <w:szCs w:val="24"/>
    </w:rPr>
  </w:style>
  <w:style w:type="paragraph" w:styleId="40">
    <w:name w:val="footnote text"/>
    <w:basedOn w:val="1"/>
    <w:link w:val="208"/>
    <w:semiHidden/>
    <w:unhideWhenUsed/>
    <w:qFormat/>
    <w:uiPriority w:val="99"/>
    <w:pPr>
      <w:spacing w:after="40"/>
    </w:pPr>
    <w:rPr>
      <w:sz w:val="18"/>
    </w:rPr>
  </w:style>
  <w:style w:type="paragraph" w:styleId="41">
    <w:name w:val="toc 6"/>
    <w:basedOn w:val="1"/>
    <w:next w:val="1"/>
    <w:unhideWhenUsed/>
    <w:qFormat/>
    <w:uiPriority w:val="39"/>
    <w:pPr>
      <w:spacing w:after="57"/>
      <w:ind w:left="1417"/>
    </w:pPr>
  </w:style>
  <w:style w:type="paragraph" w:styleId="42">
    <w:name w:val="Body Text Indent 3"/>
    <w:basedOn w:val="1"/>
    <w:link w:val="239"/>
    <w:qFormat/>
    <w:uiPriority w:val="99"/>
    <w:pPr>
      <w:ind w:left="645" w:firstLine="645"/>
    </w:pPr>
    <w:rPr>
      <w:sz w:val="16"/>
      <w:szCs w:val="16"/>
    </w:rPr>
  </w:style>
  <w:style w:type="paragraph" w:styleId="43">
    <w:name w:val="index 7"/>
    <w:basedOn w:val="1"/>
    <w:next w:val="1"/>
    <w:semiHidden/>
    <w:qFormat/>
    <w:uiPriority w:val="99"/>
    <w:pPr>
      <w:ind w:left="2520"/>
    </w:pPr>
  </w:style>
  <w:style w:type="paragraph" w:styleId="44">
    <w:name w:val="index 9"/>
    <w:basedOn w:val="1"/>
    <w:next w:val="1"/>
    <w:semiHidden/>
    <w:qFormat/>
    <w:uiPriority w:val="99"/>
    <w:pPr>
      <w:ind w:left="3360"/>
    </w:pPr>
  </w:style>
  <w:style w:type="paragraph" w:styleId="45">
    <w:name w:val="table of figures"/>
    <w:basedOn w:val="1"/>
    <w:next w:val="1"/>
    <w:semiHidden/>
    <w:qFormat/>
    <w:uiPriority w:val="99"/>
    <w:pPr>
      <w:ind w:left="840" w:hanging="420"/>
    </w:pPr>
  </w:style>
  <w:style w:type="paragraph" w:styleId="46">
    <w:name w:val="toc 2"/>
    <w:basedOn w:val="1"/>
    <w:next w:val="1"/>
    <w:unhideWhenUsed/>
    <w:qFormat/>
    <w:uiPriority w:val="39"/>
    <w:pPr>
      <w:spacing w:after="57"/>
      <w:ind w:left="283"/>
    </w:pPr>
  </w:style>
  <w:style w:type="paragraph" w:styleId="47">
    <w:name w:val="toc 9"/>
    <w:basedOn w:val="1"/>
    <w:next w:val="1"/>
    <w:unhideWhenUsed/>
    <w:qFormat/>
    <w:uiPriority w:val="39"/>
    <w:pPr>
      <w:spacing w:after="57"/>
      <w:ind w:left="2268"/>
    </w:pPr>
  </w:style>
  <w:style w:type="paragraph" w:styleId="48">
    <w:name w:val="Body Text 2"/>
    <w:basedOn w:val="1"/>
    <w:link w:val="242"/>
    <w:qFormat/>
    <w:uiPriority w:val="99"/>
    <w:pPr>
      <w:widowControl/>
      <w:jc w:val="center"/>
    </w:pPr>
    <w:rPr>
      <w:sz w:val="20"/>
    </w:rPr>
  </w:style>
  <w:style w:type="paragraph" w:styleId="49">
    <w:name w:val="HTML Preformatted"/>
    <w:basedOn w:val="1"/>
    <w:link w:val="24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paragraph" w:styleId="50">
    <w:name w:val="Normal (Web)"/>
    <w:basedOn w:val="1"/>
    <w:qFormat/>
    <w:uiPriority w:val="99"/>
    <w:pPr>
      <w:widowControl/>
      <w:spacing w:before="100" w:beforeAutospacing="1" w:after="100" w:afterAutospacing="1"/>
      <w:jc w:val="left"/>
    </w:pPr>
    <w:rPr>
      <w:rFonts w:ascii="Arial" w:hAnsi="Arial" w:cs="Arial"/>
      <w:sz w:val="24"/>
      <w:szCs w:val="24"/>
    </w:rPr>
  </w:style>
  <w:style w:type="paragraph" w:styleId="51">
    <w:name w:val="index 2"/>
    <w:basedOn w:val="1"/>
    <w:next w:val="1"/>
    <w:semiHidden/>
    <w:qFormat/>
    <w:uiPriority w:val="99"/>
    <w:pPr>
      <w:ind w:left="420"/>
    </w:pPr>
  </w:style>
  <w:style w:type="paragraph" w:styleId="52">
    <w:name w:val="Title"/>
    <w:basedOn w:val="1"/>
    <w:next w:val="1"/>
    <w:link w:val="244"/>
    <w:qFormat/>
    <w:uiPriority w:val="10"/>
    <w:pPr>
      <w:spacing w:before="240" w:after="60"/>
      <w:jc w:val="center"/>
      <w:outlineLvl w:val="0"/>
    </w:pPr>
    <w:rPr>
      <w:rFonts w:ascii="Cambria" w:hAnsi="Cambria"/>
      <w:b/>
      <w:bCs/>
      <w:sz w:val="32"/>
      <w:szCs w:val="32"/>
    </w:rPr>
  </w:style>
  <w:style w:type="paragraph" w:styleId="53">
    <w:name w:val="annotation subject"/>
    <w:basedOn w:val="19"/>
    <w:next w:val="19"/>
    <w:link w:val="245"/>
    <w:semiHidden/>
    <w:qFormat/>
    <w:uiPriority w:val="99"/>
    <w:rPr>
      <w:b/>
      <w:bCs/>
    </w:rPr>
  </w:style>
  <w:style w:type="table" w:styleId="5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7">
    <w:name w:val="Strong"/>
    <w:basedOn w:val="56"/>
    <w:qFormat/>
    <w:uiPriority w:val="22"/>
    <w:rPr>
      <w:b/>
    </w:rPr>
  </w:style>
  <w:style w:type="character" w:styleId="58">
    <w:name w:val="endnote reference"/>
    <w:semiHidden/>
    <w:unhideWhenUsed/>
    <w:qFormat/>
    <w:uiPriority w:val="99"/>
    <w:rPr>
      <w:vertAlign w:val="superscript"/>
    </w:rPr>
  </w:style>
  <w:style w:type="character" w:styleId="59">
    <w:name w:val="page number"/>
    <w:qFormat/>
    <w:uiPriority w:val="0"/>
    <w:rPr>
      <w:rFonts w:cs="Times New Roman"/>
    </w:rPr>
  </w:style>
  <w:style w:type="character" w:styleId="60">
    <w:name w:val="Emphasis"/>
    <w:qFormat/>
    <w:uiPriority w:val="0"/>
    <w:rPr>
      <w:color w:val="CC0000"/>
    </w:rPr>
  </w:style>
  <w:style w:type="character" w:styleId="61">
    <w:name w:val="Hyperlink"/>
    <w:qFormat/>
    <w:uiPriority w:val="99"/>
    <w:rPr>
      <w:rFonts w:cs="Times New Roman"/>
      <w:color w:val="0000FF"/>
      <w:u w:val="single"/>
    </w:rPr>
  </w:style>
  <w:style w:type="character" w:styleId="62">
    <w:name w:val="annotation reference"/>
    <w:qFormat/>
    <w:uiPriority w:val="0"/>
    <w:rPr>
      <w:rFonts w:cs="Times New Roman"/>
      <w:sz w:val="21"/>
    </w:rPr>
  </w:style>
  <w:style w:type="character" w:styleId="63">
    <w:name w:val="footnote reference"/>
    <w:unhideWhenUsed/>
    <w:qFormat/>
    <w:uiPriority w:val="99"/>
    <w:rPr>
      <w:vertAlign w:val="superscript"/>
    </w:rPr>
  </w:style>
  <w:style w:type="character" w:customStyle="1" w:styleId="64">
    <w:name w:val="Heading 1 Char"/>
    <w:qFormat/>
    <w:uiPriority w:val="9"/>
    <w:rPr>
      <w:rFonts w:ascii="Arial" w:hAnsi="Arial" w:eastAsia="Arial" w:cs="Arial"/>
      <w:sz w:val="40"/>
      <w:szCs w:val="40"/>
    </w:rPr>
  </w:style>
  <w:style w:type="character" w:customStyle="1" w:styleId="65">
    <w:name w:val="Heading 2 Char"/>
    <w:qFormat/>
    <w:uiPriority w:val="9"/>
    <w:rPr>
      <w:rFonts w:ascii="Arial" w:hAnsi="Arial" w:eastAsia="Arial" w:cs="Arial"/>
      <w:sz w:val="34"/>
    </w:rPr>
  </w:style>
  <w:style w:type="character" w:customStyle="1" w:styleId="66">
    <w:name w:val="Heading 3 Char"/>
    <w:qFormat/>
    <w:uiPriority w:val="9"/>
    <w:rPr>
      <w:rFonts w:ascii="Arial" w:hAnsi="Arial" w:eastAsia="Arial" w:cs="Arial"/>
      <w:sz w:val="30"/>
      <w:szCs w:val="30"/>
    </w:rPr>
  </w:style>
  <w:style w:type="character" w:customStyle="1" w:styleId="67">
    <w:name w:val="Heading 4 Char"/>
    <w:qFormat/>
    <w:uiPriority w:val="9"/>
    <w:rPr>
      <w:rFonts w:ascii="Arial" w:hAnsi="Arial" w:eastAsia="Arial" w:cs="Arial"/>
      <w:b/>
      <w:bCs/>
      <w:sz w:val="26"/>
      <w:szCs w:val="26"/>
    </w:rPr>
  </w:style>
  <w:style w:type="character" w:customStyle="1" w:styleId="68">
    <w:name w:val="Heading 5 Char"/>
    <w:qFormat/>
    <w:uiPriority w:val="9"/>
    <w:rPr>
      <w:rFonts w:ascii="Arial" w:hAnsi="Arial" w:eastAsia="Arial" w:cs="Arial"/>
      <w:b/>
      <w:bCs/>
      <w:sz w:val="24"/>
      <w:szCs w:val="24"/>
    </w:rPr>
  </w:style>
  <w:style w:type="character" w:customStyle="1" w:styleId="69">
    <w:name w:val="Heading 6 Char"/>
    <w:qFormat/>
    <w:uiPriority w:val="9"/>
    <w:rPr>
      <w:rFonts w:ascii="Arial" w:hAnsi="Arial" w:eastAsia="Arial" w:cs="Arial"/>
      <w:b/>
      <w:bCs/>
      <w:sz w:val="22"/>
      <w:szCs w:val="22"/>
    </w:rPr>
  </w:style>
  <w:style w:type="character" w:customStyle="1" w:styleId="70">
    <w:name w:val="Heading 7 Char"/>
    <w:qFormat/>
    <w:uiPriority w:val="9"/>
    <w:rPr>
      <w:rFonts w:ascii="Arial" w:hAnsi="Arial" w:eastAsia="Arial" w:cs="Arial"/>
      <w:b/>
      <w:bCs/>
      <w:i/>
      <w:iCs/>
      <w:sz w:val="22"/>
      <w:szCs w:val="22"/>
    </w:rPr>
  </w:style>
  <w:style w:type="character" w:customStyle="1" w:styleId="71">
    <w:name w:val="Heading 8 Char"/>
    <w:qFormat/>
    <w:uiPriority w:val="9"/>
    <w:rPr>
      <w:rFonts w:ascii="Arial" w:hAnsi="Arial" w:eastAsia="Arial" w:cs="Arial"/>
      <w:i/>
      <w:iCs/>
      <w:sz w:val="22"/>
      <w:szCs w:val="22"/>
    </w:rPr>
  </w:style>
  <w:style w:type="character" w:customStyle="1" w:styleId="72">
    <w:name w:val="Heading 9 Char"/>
    <w:qFormat/>
    <w:uiPriority w:val="9"/>
    <w:rPr>
      <w:rFonts w:ascii="Arial" w:hAnsi="Arial" w:eastAsia="Arial" w:cs="Arial"/>
      <w:i/>
      <w:iCs/>
      <w:sz w:val="21"/>
      <w:szCs w:val="21"/>
    </w:rPr>
  </w:style>
  <w:style w:type="paragraph" w:styleId="73">
    <w:name w:val="No Spacing"/>
    <w:qFormat/>
    <w:uiPriority w:val="1"/>
    <w:pPr>
      <w:widowControl w:val="0"/>
      <w:jc w:val="both"/>
    </w:pPr>
    <w:rPr>
      <w:rFonts w:ascii="Times New Roman" w:hAnsi="Times New Roman" w:eastAsia="宋体" w:cs="Times New Roman"/>
      <w:sz w:val="21"/>
      <w:lang w:val="en-US" w:eastAsia="zh-CN" w:bidi="ar-SA"/>
    </w:rPr>
  </w:style>
  <w:style w:type="character" w:customStyle="1" w:styleId="74">
    <w:name w:val="Title Char"/>
    <w:qFormat/>
    <w:uiPriority w:val="10"/>
    <w:rPr>
      <w:sz w:val="48"/>
      <w:szCs w:val="48"/>
    </w:rPr>
  </w:style>
  <w:style w:type="character" w:customStyle="1" w:styleId="75">
    <w:name w:val="副标题 字符"/>
    <w:link w:val="39"/>
    <w:qFormat/>
    <w:uiPriority w:val="11"/>
    <w:rPr>
      <w:sz w:val="24"/>
      <w:szCs w:val="24"/>
    </w:rPr>
  </w:style>
  <w:style w:type="paragraph" w:styleId="76">
    <w:name w:val="Quote"/>
    <w:basedOn w:val="1"/>
    <w:next w:val="1"/>
    <w:link w:val="77"/>
    <w:qFormat/>
    <w:uiPriority w:val="29"/>
    <w:pPr>
      <w:ind w:left="720" w:right="720"/>
    </w:pPr>
    <w:rPr>
      <w:i/>
    </w:rPr>
  </w:style>
  <w:style w:type="character" w:customStyle="1" w:styleId="77">
    <w:name w:val="引用 字符"/>
    <w:link w:val="76"/>
    <w:qFormat/>
    <w:uiPriority w:val="29"/>
    <w:rPr>
      <w:i/>
    </w:rPr>
  </w:style>
  <w:style w:type="paragraph" w:styleId="78">
    <w:name w:val="Intense Quote"/>
    <w:basedOn w:val="1"/>
    <w:next w:val="1"/>
    <w:link w:val="7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9">
    <w:name w:val="明显引用 字符"/>
    <w:link w:val="78"/>
    <w:qFormat/>
    <w:uiPriority w:val="30"/>
    <w:rPr>
      <w:i/>
    </w:rPr>
  </w:style>
  <w:style w:type="character" w:customStyle="1" w:styleId="80">
    <w:name w:val="Header Char"/>
    <w:qFormat/>
    <w:uiPriority w:val="99"/>
  </w:style>
  <w:style w:type="character" w:customStyle="1" w:styleId="81">
    <w:name w:val="Footer Char"/>
    <w:qFormat/>
    <w:uiPriority w:val="99"/>
  </w:style>
  <w:style w:type="character" w:customStyle="1" w:styleId="82">
    <w:name w:val="Caption Char"/>
    <w:qFormat/>
    <w:uiPriority w:val="99"/>
  </w:style>
  <w:style w:type="table" w:customStyle="1" w:styleId="8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4">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5">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6">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6">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4">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1">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8">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5">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9">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3">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8">
    <w:name w:val="脚注文本 字符"/>
    <w:link w:val="40"/>
    <w:qFormat/>
    <w:uiPriority w:val="99"/>
    <w:rPr>
      <w:sz w:val="18"/>
    </w:rPr>
  </w:style>
  <w:style w:type="character" w:customStyle="1" w:styleId="209">
    <w:name w:val="尾注文本 字符"/>
    <w:link w:val="31"/>
    <w:qFormat/>
    <w:uiPriority w:val="99"/>
    <w:rPr>
      <w:sz w:val="20"/>
    </w:rPr>
  </w:style>
  <w:style w:type="paragraph" w:customStyle="1" w:styleId="210">
    <w:name w:val="TOC Heading"/>
    <w:basedOn w:val="2"/>
    <w:next w:val="1"/>
    <w:qFormat/>
    <w:uiPriority w:val="39"/>
    <w:pPr>
      <w:keepLines/>
      <w:widowControl/>
      <w:tabs>
        <w:tab w:val="clear" w:pos="1440"/>
        <w:tab w:val="clear" w:pos="5670"/>
      </w:tabs>
      <w:spacing w:before="480" w:after="0" w:line="276" w:lineRule="auto"/>
      <w:jc w:val="left"/>
      <w:outlineLvl w:val="9"/>
    </w:pPr>
    <w:rPr>
      <w:rFonts w:ascii="Cambria" w:hAnsi="Cambria" w:eastAsia="宋体"/>
      <w:bCs/>
      <w:color w:val="365F91"/>
      <w:szCs w:val="28"/>
    </w:rPr>
  </w:style>
  <w:style w:type="character" w:customStyle="1" w:styleId="211">
    <w:name w:val="标题 1 字符"/>
    <w:link w:val="2"/>
    <w:qFormat/>
    <w:uiPriority w:val="0"/>
    <w:rPr>
      <w:rFonts w:ascii="黑体" w:eastAsia="黑体"/>
      <w:b/>
      <w:sz w:val="28"/>
    </w:rPr>
  </w:style>
  <w:style w:type="character" w:customStyle="1" w:styleId="212">
    <w:name w:val="标题 2 字符1"/>
    <w:link w:val="3"/>
    <w:qFormat/>
    <w:uiPriority w:val="99"/>
    <w:rPr>
      <w:rFonts w:ascii="Cambria" w:hAnsi="Cambria"/>
      <w:b/>
      <w:bCs/>
      <w:sz w:val="32"/>
      <w:szCs w:val="32"/>
    </w:rPr>
  </w:style>
  <w:style w:type="character" w:customStyle="1" w:styleId="213">
    <w:name w:val="标题 3 字符"/>
    <w:link w:val="4"/>
    <w:qFormat/>
    <w:uiPriority w:val="99"/>
    <w:rPr>
      <w:b/>
      <w:bCs/>
      <w:sz w:val="32"/>
      <w:szCs w:val="32"/>
    </w:rPr>
  </w:style>
  <w:style w:type="character" w:customStyle="1" w:styleId="214">
    <w:name w:val="标题 4 字符"/>
    <w:link w:val="5"/>
    <w:qFormat/>
    <w:uiPriority w:val="99"/>
    <w:rPr>
      <w:rFonts w:ascii="Cambria" w:hAnsi="Cambria"/>
      <w:b/>
      <w:bCs/>
      <w:sz w:val="28"/>
      <w:szCs w:val="28"/>
    </w:rPr>
  </w:style>
  <w:style w:type="character" w:customStyle="1" w:styleId="215">
    <w:name w:val="标题 5 字符"/>
    <w:link w:val="6"/>
    <w:qFormat/>
    <w:uiPriority w:val="99"/>
    <w:rPr>
      <w:b/>
      <w:bCs/>
      <w:sz w:val="28"/>
      <w:szCs w:val="28"/>
    </w:rPr>
  </w:style>
  <w:style w:type="character" w:customStyle="1" w:styleId="216">
    <w:name w:val="正文缩进 字符"/>
    <w:link w:val="7"/>
    <w:qFormat/>
    <w:uiPriority w:val="0"/>
    <w:rPr>
      <w:rFonts w:eastAsia="宋体" w:cs="Times New Roman"/>
      <w:sz w:val="21"/>
      <w:lang w:val="en-US" w:eastAsia="zh-CN" w:bidi="ar-SA"/>
    </w:rPr>
  </w:style>
  <w:style w:type="character" w:customStyle="1" w:styleId="217">
    <w:name w:val="正文文本缩进 字符"/>
    <w:link w:val="8"/>
    <w:semiHidden/>
    <w:qFormat/>
    <w:uiPriority w:val="99"/>
    <w:rPr>
      <w:rFonts w:cs="Times New Roman"/>
      <w:sz w:val="20"/>
      <w:szCs w:val="20"/>
    </w:rPr>
  </w:style>
  <w:style w:type="character" w:customStyle="1" w:styleId="218">
    <w:name w:val="标题 6 字符"/>
    <w:link w:val="9"/>
    <w:qFormat/>
    <w:uiPriority w:val="99"/>
    <w:rPr>
      <w:rFonts w:ascii="Cambria" w:hAnsi="Cambria"/>
      <w:b/>
      <w:bCs/>
      <w:sz w:val="24"/>
      <w:szCs w:val="24"/>
    </w:rPr>
  </w:style>
  <w:style w:type="character" w:customStyle="1" w:styleId="219">
    <w:name w:val="标题 7 字符"/>
    <w:link w:val="10"/>
    <w:qFormat/>
    <w:uiPriority w:val="99"/>
    <w:rPr>
      <w:b/>
      <w:bCs/>
      <w:sz w:val="24"/>
      <w:szCs w:val="24"/>
    </w:rPr>
  </w:style>
  <w:style w:type="character" w:customStyle="1" w:styleId="220">
    <w:name w:val="标题 8 字符"/>
    <w:link w:val="11"/>
    <w:qFormat/>
    <w:uiPriority w:val="99"/>
    <w:rPr>
      <w:rFonts w:ascii="Cambria" w:hAnsi="Cambria"/>
      <w:sz w:val="24"/>
      <w:szCs w:val="24"/>
    </w:rPr>
  </w:style>
  <w:style w:type="character" w:customStyle="1" w:styleId="221">
    <w:name w:val="标题 9 字符"/>
    <w:link w:val="12"/>
    <w:qFormat/>
    <w:uiPriority w:val="99"/>
    <w:rPr>
      <w:rFonts w:ascii="Cambria" w:hAnsi="Cambria"/>
      <w:sz w:val="21"/>
      <w:szCs w:val="21"/>
    </w:rPr>
  </w:style>
  <w:style w:type="paragraph" w:customStyle="1" w:styleId="222">
    <w:name w:val="目录 71"/>
    <w:basedOn w:val="1"/>
    <w:next w:val="1"/>
    <w:semiHidden/>
    <w:qFormat/>
    <w:uiPriority w:val="99"/>
    <w:pPr>
      <w:ind w:left="1260"/>
      <w:jc w:val="left"/>
    </w:pPr>
    <w:rPr>
      <w:sz w:val="18"/>
    </w:rPr>
  </w:style>
  <w:style w:type="character" w:customStyle="1" w:styleId="223">
    <w:name w:val="文档结构图 字符"/>
    <w:link w:val="18"/>
    <w:semiHidden/>
    <w:qFormat/>
    <w:uiPriority w:val="99"/>
    <w:rPr>
      <w:rFonts w:cs="Times New Roman"/>
      <w:sz w:val="2"/>
    </w:rPr>
  </w:style>
  <w:style w:type="character" w:customStyle="1" w:styleId="224">
    <w:name w:val="批注文字 字符"/>
    <w:link w:val="19"/>
    <w:qFormat/>
    <w:uiPriority w:val="0"/>
    <w:rPr>
      <w:rFonts w:cs="Times New Roman"/>
      <w:sz w:val="20"/>
      <w:szCs w:val="20"/>
    </w:rPr>
  </w:style>
  <w:style w:type="character" w:customStyle="1" w:styleId="225">
    <w:name w:val="正文文本 3 字符"/>
    <w:link w:val="21"/>
    <w:semiHidden/>
    <w:qFormat/>
    <w:uiPriority w:val="99"/>
    <w:rPr>
      <w:rFonts w:cs="Times New Roman"/>
      <w:sz w:val="16"/>
      <w:szCs w:val="16"/>
    </w:rPr>
  </w:style>
  <w:style w:type="character" w:customStyle="1" w:styleId="226">
    <w:name w:val="正文文本 字符"/>
    <w:link w:val="22"/>
    <w:semiHidden/>
    <w:qFormat/>
    <w:uiPriority w:val="99"/>
    <w:rPr>
      <w:rFonts w:cs="Times New Roman"/>
      <w:sz w:val="20"/>
      <w:szCs w:val="20"/>
    </w:rPr>
  </w:style>
  <w:style w:type="paragraph" w:customStyle="1" w:styleId="227">
    <w:name w:val="目录 51"/>
    <w:basedOn w:val="1"/>
    <w:next w:val="1"/>
    <w:semiHidden/>
    <w:qFormat/>
    <w:uiPriority w:val="99"/>
    <w:pPr>
      <w:ind w:left="840"/>
      <w:jc w:val="left"/>
    </w:pPr>
    <w:rPr>
      <w:sz w:val="18"/>
    </w:rPr>
  </w:style>
  <w:style w:type="paragraph" w:customStyle="1" w:styleId="228">
    <w:name w:val="目录 31"/>
    <w:basedOn w:val="1"/>
    <w:next w:val="1"/>
    <w:semiHidden/>
    <w:qFormat/>
    <w:uiPriority w:val="99"/>
    <w:pPr>
      <w:ind w:left="420"/>
      <w:jc w:val="left"/>
    </w:pPr>
    <w:rPr>
      <w:i/>
      <w:sz w:val="20"/>
    </w:rPr>
  </w:style>
  <w:style w:type="character" w:customStyle="1" w:styleId="229">
    <w:name w:val="纯文本 字符"/>
    <w:link w:val="26"/>
    <w:qFormat/>
    <w:uiPriority w:val="0"/>
    <w:rPr>
      <w:rFonts w:ascii="宋体" w:hAnsi="Courier New" w:cs="Courier New"/>
      <w:sz w:val="21"/>
      <w:szCs w:val="21"/>
    </w:rPr>
  </w:style>
  <w:style w:type="paragraph" w:customStyle="1" w:styleId="230">
    <w:name w:val="目录 81"/>
    <w:basedOn w:val="1"/>
    <w:next w:val="1"/>
    <w:semiHidden/>
    <w:qFormat/>
    <w:uiPriority w:val="99"/>
    <w:pPr>
      <w:ind w:left="1470"/>
      <w:jc w:val="left"/>
    </w:pPr>
    <w:rPr>
      <w:sz w:val="18"/>
    </w:rPr>
  </w:style>
  <w:style w:type="character" w:customStyle="1" w:styleId="231">
    <w:name w:val="日期 字符"/>
    <w:link w:val="29"/>
    <w:semiHidden/>
    <w:qFormat/>
    <w:uiPriority w:val="99"/>
    <w:rPr>
      <w:rFonts w:cs="Times New Roman"/>
      <w:sz w:val="20"/>
      <w:szCs w:val="20"/>
    </w:rPr>
  </w:style>
  <w:style w:type="character" w:customStyle="1" w:styleId="232">
    <w:name w:val="正文文本缩进 2 字符"/>
    <w:link w:val="30"/>
    <w:semiHidden/>
    <w:qFormat/>
    <w:uiPriority w:val="99"/>
    <w:rPr>
      <w:rFonts w:cs="Times New Roman"/>
      <w:sz w:val="20"/>
      <w:szCs w:val="20"/>
    </w:rPr>
  </w:style>
  <w:style w:type="character" w:customStyle="1" w:styleId="233">
    <w:name w:val="批注框文本 字符"/>
    <w:link w:val="32"/>
    <w:semiHidden/>
    <w:qFormat/>
    <w:uiPriority w:val="99"/>
    <w:rPr>
      <w:sz w:val="18"/>
      <w:szCs w:val="18"/>
    </w:rPr>
  </w:style>
  <w:style w:type="character" w:customStyle="1" w:styleId="234">
    <w:name w:val="页脚 字符"/>
    <w:link w:val="33"/>
    <w:qFormat/>
    <w:uiPriority w:val="99"/>
    <w:rPr>
      <w:rFonts w:eastAsia="宋体" w:cs="Times New Roman"/>
      <w:sz w:val="18"/>
      <w:lang w:val="en-US" w:eastAsia="zh-CN" w:bidi="ar-SA"/>
    </w:rPr>
  </w:style>
  <w:style w:type="character" w:customStyle="1" w:styleId="235">
    <w:name w:val="页眉 字符"/>
    <w:link w:val="34"/>
    <w:semiHidden/>
    <w:qFormat/>
    <w:uiPriority w:val="99"/>
    <w:rPr>
      <w:rFonts w:eastAsia="宋体" w:cs="Times New Roman"/>
      <w:sz w:val="18"/>
      <w:lang w:val="en-US" w:eastAsia="zh-CN" w:bidi="ar-SA"/>
    </w:rPr>
  </w:style>
  <w:style w:type="paragraph" w:customStyle="1" w:styleId="236">
    <w:name w:val="目录 11"/>
    <w:basedOn w:val="1"/>
    <w:next w:val="1"/>
    <w:qFormat/>
    <w:uiPriority w:val="39"/>
    <w:pPr>
      <w:spacing w:before="120" w:after="120"/>
      <w:jc w:val="left"/>
    </w:pPr>
    <w:rPr>
      <w:b/>
      <w:caps/>
      <w:sz w:val="20"/>
    </w:rPr>
  </w:style>
  <w:style w:type="paragraph" w:customStyle="1" w:styleId="237">
    <w:name w:val="目录 41"/>
    <w:basedOn w:val="1"/>
    <w:next w:val="1"/>
    <w:semiHidden/>
    <w:qFormat/>
    <w:uiPriority w:val="99"/>
    <w:pPr>
      <w:ind w:left="630"/>
      <w:jc w:val="left"/>
    </w:pPr>
    <w:rPr>
      <w:sz w:val="18"/>
    </w:rPr>
  </w:style>
  <w:style w:type="paragraph" w:customStyle="1" w:styleId="238">
    <w:name w:val="目录 61"/>
    <w:basedOn w:val="1"/>
    <w:next w:val="1"/>
    <w:semiHidden/>
    <w:qFormat/>
    <w:uiPriority w:val="99"/>
    <w:pPr>
      <w:ind w:left="1050"/>
      <w:jc w:val="left"/>
    </w:pPr>
    <w:rPr>
      <w:sz w:val="18"/>
    </w:rPr>
  </w:style>
  <w:style w:type="character" w:customStyle="1" w:styleId="239">
    <w:name w:val="正文文本缩进 3 字符"/>
    <w:link w:val="42"/>
    <w:semiHidden/>
    <w:qFormat/>
    <w:uiPriority w:val="99"/>
    <w:rPr>
      <w:rFonts w:cs="Times New Roman"/>
      <w:sz w:val="16"/>
      <w:szCs w:val="16"/>
    </w:rPr>
  </w:style>
  <w:style w:type="paragraph" w:customStyle="1" w:styleId="240">
    <w:name w:val="目录 21"/>
    <w:basedOn w:val="1"/>
    <w:next w:val="1"/>
    <w:qFormat/>
    <w:uiPriority w:val="39"/>
    <w:pPr>
      <w:ind w:left="210"/>
      <w:jc w:val="left"/>
    </w:pPr>
    <w:rPr>
      <w:smallCaps/>
      <w:sz w:val="20"/>
    </w:rPr>
  </w:style>
  <w:style w:type="paragraph" w:customStyle="1" w:styleId="241">
    <w:name w:val="目录 91"/>
    <w:basedOn w:val="1"/>
    <w:next w:val="1"/>
    <w:semiHidden/>
    <w:qFormat/>
    <w:uiPriority w:val="99"/>
    <w:pPr>
      <w:ind w:left="1680"/>
      <w:jc w:val="left"/>
    </w:pPr>
    <w:rPr>
      <w:sz w:val="18"/>
    </w:rPr>
  </w:style>
  <w:style w:type="character" w:customStyle="1" w:styleId="242">
    <w:name w:val="正文文本 2 字符"/>
    <w:link w:val="48"/>
    <w:semiHidden/>
    <w:qFormat/>
    <w:uiPriority w:val="99"/>
    <w:rPr>
      <w:rFonts w:cs="Times New Roman"/>
      <w:sz w:val="20"/>
      <w:szCs w:val="20"/>
    </w:rPr>
  </w:style>
  <w:style w:type="character" w:customStyle="1" w:styleId="243">
    <w:name w:val="HTML 预设格式 字符"/>
    <w:link w:val="49"/>
    <w:semiHidden/>
    <w:uiPriority w:val="99"/>
    <w:rPr>
      <w:rFonts w:ascii="Courier New" w:hAnsi="Courier New" w:cs="Courier New"/>
      <w:sz w:val="20"/>
      <w:szCs w:val="20"/>
    </w:rPr>
  </w:style>
  <w:style w:type="character" w:customStyle="1" w:styleId="244">
    <w:name w:val="标题 字符"/>
    <w:link w:val="52"/>
    <w:qFormat/>
    <w:uiPriority w:val="10"/>
    <w:rPr>
      <w:rFonts w:ascii="Cambria" w:hAnsi="Cambria" w:cs="Times New Roman"/>
      <w:b/>
      <w:bCs/>
      <w:sz w:val="32"/>
      <w:szCs w:val="32"/>
    </w:rPr>
  </w:style>
  <w:style w:type="character" w:customStyle="1" w:styleId="245">
    <w:name w:val="批注主题 字符"/>
    <w:link w:val="53"/>
    <w:semiHidden/>
    <w:qFormat/>
    <w:uiPriority w:val="99"/>
    <w:rPr>
      <w:rFonts w:cs="Times New Roman"/>
      <w:b/>
      <w:bCs/>
      <w:sz w:val="20"/>
      <w:szCs w:val="20"/>
    </w:rPr>
  </w:style>
  <w:style w:type="paragraph" w:customStyle="1" w:styleId="246">
    <w:name w:val="正文首行缩进1"/>
    <w:basedOn w:val="22"/>
    <w:link w:val="247"/>
    <w:qFormat/>
    <w:uiPriority w:val="99"/>
    <w:pPr>
      <w:spacing w:after="120"/>
      <w:ind w:firstLine="420"/>
    </w:pPr>
    <w:rPr>
      <w:sz w:val="21"/>
      <w:szCs w:val="24"/>
    </w:rPr>
  </w:style>
  <w:style w:type="character" w:customStyle="1" w:styleId="247">
    <w:name w:val="正文首行缩进 Char"/>
    <w:link w:val="246"/>
    <w:semiHidden/>
    <w:qFormat/>
    <w:uiPriority w:val="99"/>
  </w:style>
  <w:style w:type="character" w:customStyle="1" w:styleId="248">
    <w:name w:val="已访问的超链接1"/>
    <w:qFormat/>
    <w:uiPriority w:val="99"/>
    <w:rPr>
      <w:rFonts w:cs="Times New Roman"/>
      <w:color w:val="800080"/>
      <w:u w:val="single"/>
    </w:rPr>
  </w:style>
  <w:style w:type="paragraph" w:customStyle="1" w:styleId="249">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50">
    <w:name w:val="列出段落"/>
    <w:basedOn w:val="1"/>
    <w:qFormat/>
    <w:uiPriority w:val="99"/>
    <w:pPr>
      <w:ind w:firstLine="420"/>
    </w:pPr>
    <w:rPr>
      <w:rFonts w:ascii="Calibri" w:hAnsi="Calibri"/>
      <w:szCs w:val="22"/>
    </w:rPr>
  </w:style>
  <w:style w:type="paragraph" w:customStyle="1" w:styleId="251">
    <w:name w:val="一级条标题"/>
    <w:basedOn w:val="252"/>
    <w:next w:val="25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52">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53">
    <w:name w:val="段"/>
    <w:basedOn w:val="1"/>
    <w:next w:val="1"/>
    <w:qFormat/>
    <w:uiPriority w:val="0"/>
    <w:pPr>
      <w:widowControl/>
      <w:ind w:firstLine="200"/>
    </w:pPr>
    <w:rPr>
      <w:rFonts w:hint="eastAsia" w:ascii="宋体"/>
    </w:rPr>
  </w:style>
  <w:style w:type="character" w:customStyle="1" w:styleId="254">
    <w:name w:val="标题 3 Char"/>
    <w:qFormat/>
    <w:uiPriority w:val="99"/>
    <w:rPr>
      <w:rFonts w:ascii="宋体" w:hAnsi="宋体" w:eastAsia="宋体" w:cs="Times New Roman"/>
      <w:b/>
      <w:bCs/>
      <w:sz w:val="32"/>
      <w:szCs w:val="32"/>
      <w:lang w:val="en-US" w:eastAsia="zh-CN" w:bidi="ar-SA"/>
    </w:rPr>
  </w:style>
  <w:style w:type="character" w:customStyle="1" w:styleId="255">
    <w:name w:val="para_small"/>
    <w:qFormat/>
    <w:uiPriority w:val="99"/>
    <w:rPr>
      <w:rFonts w:cs="Times New Roman"/>
    </w:rPr>
  </w:style>
  <w:style w:type="character" w:customStyle="1" w:styleId="256">
    <w:name w:val="point_normal1"/>
    <w:qFormat/>
    <w:uiPriority w:val="99"/>
    <w:rPr>
      <w:rFonts w:ascii="Arial" w:hAnsi="Arial" w:cs="Arial"/>
      <w:sz w:val="18"/>
      <w:szCs w:val="18"/>
    </w:rPr>
  </w:style>
  <w:style w:type="character" w:customStyle="1" w:styleId="257">
    <w:name w:val="纯文本 Char1"/>
    <w:qFormat/>
    <w:uiPriority w:val="0"/>
    <w:rPr>
      <w:rFonts w:ascii="宋体" w:hAnsi="Courier New" w:eastAsia="宋体"/>
      <w:sz w:val="21"/>
      <w:lang w:val="en-US" w:eastAsia="zh-CN" w:bidi="ar-SA"/>
    </w:rPr>
  </w:style>
  <w:style w:type="character" w:customStyle="1" w:styleId="258">
    <w:name w:val="二级目录 Char"/>
    <w:link w:val="259"/>
    <w:qFormat/>
    <w:uiPriority w:val="99"/>
    <w:rPr>
      <w:b/>
      <w:sz w:val="30"/>
      <w:szCs w:val="28"/>
      <w:lang w:val="en-US" w:eastAsia="zh-CN" w:bidi="ar-SA"/>
    </w:rPr>
  </w:style>
  <w:style w:type="paragraph" w:customStyle="1" w:styleId="259">
    <w:name w:val="二级目录"/>
    <w:next w:val="1"/>
    <w:link w:val="258"/>
    <w:qFormat/>
    <w:uiPriority w:val="99"/>
    <w:pPr>
      <w:numPr>
        <w:ilvl w:val="0"/>
        <w:numId w:val="2"/>
      </w:numPr>
      <w:tabs>
        <w:tab w:val="left" w:pos="720"/>
      </w:tabs>
      <w:outlineLvl w:val="1"/>
    </w:pPr>
    <w:rPr>
      <w:rFonts w:ascii="Times New Roman" w:hAnsi="Times New Roman" w:eastAsia="宋体" w:cs="Times New Roman"/>
      <w:b/>
      <w:sz w:val="30"/>
      <w:szCs w:val="28"/>
      <w:lang w:val="en-US" w:eastAsia="zh-CN" w:bidi="ar-SA"/>
    </w:rPr>
  </w:style>
  <w:style w:type="character" w:customStyle="1" w:styleId="260">
    <w:name w:val="正文2 Char"/>
    <w:link w:val="261"/>
    <w:qFormat/>
    <w:uiPriority w:val="0"/>
    <w:rPr>
      <w:sz w:val="24"/>
    </w:rPr>
  </w:style>
  <w:style w:type="paragraph" w:customStyle="1" w:styleId="261">
    <w:name w:val="正文2"/>
    <w:basedOn w:val="1"/>
    <w:link w:val="260"/>
    <w:qFormat/>
    <w:uiPriority w:val="0"/>
    <w:pPr>
      <w:spacing w:before="156" w:line="360" w:lineRule="auto"/>
      <w:ind w:firstLine="510"/>
    </w:pPr>
    <w:rPr>
      <w:sz w:val="24"/>
    </w:rPr>
  </w:style>
  <w:style w:type="paragraph" w:customStyle="1" w:styleId="262">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color w:val="000000"/>
      <w:sz w:val="20"/>
    </w:rPr>
  </w:style>
  <w:style w:type="paragraph" w:customStyle="1" w:styleId="263">
    <w:name w:val="丁华标题2"/>
    <w:basedOn w:val="3"/>
    <w:next w:val="264"/>
    <w:qFormat/>
    <w:uiPriority w:val="99"/>
    <w:pPr>
      <w:numPr>
        <w:numId w:val="2"/>
      </w:numPr>
      <w:tabs>
        <w:tab w:val="left" w:pos="567"/>
        <w:tab w:val="left" w:pos="1004"/>
      </w:tabs>
      <w:spacing w:line="415" w:lineRule="auto"/>
    </w:pPr>
    <w:rPr>
      <w:rFonts w:ascii="Arial" w:hAnsi="Arial" w:eastAsia="黑体"/>
      <w:b w:val="0"/>
      <w:sz w:val="28"/>
      <w:szCs w:val="20"/>
    </w:rPr>
  </w:style>
  <w:style w:type="paragraph" w:customStyle="1" w:styleId="264">
    <w:name w:val="丁华正文"/>
    <w:basedOn w:val="42"/>
    <w:qFormat/>
    <w:uiPriority w:val="99"/>
    <w:pPr>
      <w:spacing w:line="360" w:lineRule="auto"/>
      <w:ind w:left="0" w:firstLine="510"/>
    </w:pPr>
    <w:rPr>
      <w:color w:val="000000"/>
      <w:sz w:val="24"/>
    </w:rPr>
  </w:style>
  <w:style w:type="paragraph" w:customStyle="1" w:styleId="265">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b/>
      <w:bCs/>
      <w:color w:val="000000"/>
      <w:sz w:val="20"/>
    </w:rPr>
  </w:style>
  <w:style w:type="paragraph" w:customStyle="1" w:styleId="266">
    <w:name w:val="列表段落1"/>
    <w:basedOn w:val="1"/>
    <w:next w:val="19"/>
    <w:qFormat/>
    <w:uiPriority w:val="99"/>
    <w:pPr>
      <w:ind w:firstLine="420"/>
    </w:pPr>
  </w:style>
  <w:style w:type="paragraph" w:customStyle="1" w:styleId="267">
    <w:name w:val="Bullets L1"/>
    <w:basedOn w:val="1"/>
    <w:uiPriority w:val="99"/>
    <w:pPr>
      <w:widowControl/>
      <w:numPr>
        <w:ilvl w:val="0"/>
        <w:numId w:val="3"/>
      </w:numPr>
      <w:spacing w:before="60" w:after="60"/>
      <w:jc w:val="left"/>
    </w:pPr>
    <w:rPr>
      <w:rFonts w:ascii="Arial" w:hAnsi="Arial"/>
      <w:sz w:val="20"/>
    </w:rPr>
  </w:style>
  <w:style w:type="paragraph" w:customStyle="1" w:styleId="268">
    <w:name w:val="xl107"/>
    <w:basedOn w:val="1"/>
    <w:qFormat/>
    <w:uiPriority w:val="0"/>
    <w:pPr>
      <w:widowControl/>
      <w:spacing w:before="100" w:beforeAutospacing="1" w:after="100" w:afterAutospacing="1"/>
      <w:jc w:val="left"/>
    </w:pPr>
    <w:rPr>
      <w:rFonts w:ascii="Arial" w:hAnsi="Arial" w:cs="Arial"/>
      <w:sz w:val="20"/>
    </w:rPr>
  </w:style>
  <w:style w:type="paragraph" w:customStyle="1" w:styleId="269">
    <w:name w:val="xl1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color w:val="000000"/>
      <w:sz w:val="20"/>
    </w:rPr>
  </w:style>
  <w:style w:type="paragraph" w:customStyle="1" w:styleId="270">
    <w:name w:val="font7"/>
    <w:basedOn w:val="1"/>
    <w:qFormat/>
    <w:uiPriority w:val="0"/>
    <w:pPr>
      <w:widowControl/>
      <w:spacing w:before="100" w:beforeAutospacing="1" w:after="100" w:afterAutospacing="1"/>
      <w:jc w:val="left"/>
    </w:pPr>
    <w:rPr>
      <w:rFonts w:ascii="Arial" w:hAnsi="Arial" w:cs="Arial"/>
      <w:color w:val="000000"/>
      <w:sz w:val="20"/>
    </w:rPr>
  </w:style>
  <w:style w:type="paragraph" w:customStyle="1" w:styleId="271">
    <w:name w:val="retrait3"/>
    <w:basedOn w:val="1"/>
    <w:qFormat/>
    <w:uiPriority w:val="99"/>
    <w:pPr>
      <w:widowControl/>
      <w:spacing w:before="20" w:after="20"/>
      <w:ind w:left="851"/>
      <w:jc w:val="left"/>
    </w:pPr>
    <w:rPr>
      <w:rFonts w:ascii="Arial" w:hAnsi="Arial"/>
      <w:sz w:val="24"/>
    </w:rPr>
  </w:style>
  <w:style w:type="paragraph" w:customStyle="1" w:styleId="272">
    <w:name w:val="默认段落字体 Para Char"/>
    <w:basedOn w:val="1"/>
    <w:qFormat/>
    <w:uiPriority w:val="99"/>
    <w:rPr>
      <w:sz w:val="24"/>
      <w:szCs w:val="24"/>
    </w:rPr>
  </w:style>
  <w:style w:type="paragraph" w:customStyle="1" w:styleId="273">
    <w:name w:val="丁华标题3"/>
    <w:basedOn w:val="263"/>
    <w:next w:val="264"/>
    <w:qFormat/>
    <w:uiPriority w:val="99"/>
    <w:pPr>
      <w:numPr>
        <w:numId w:val="0"/>
      </w:numPr>
      <w:tabs>
        <w:tab w:val="left" w:pos="1470"/>
        <w:tab w:val="left" w:pos="1980"/>
      </w:tabs>
      <w:spacing w:after="0"/>
      <w:ind w:left="1980" w:hanging="420"/>
      <w:outlineLvl w:val="2"/>
    </w:pPr>
    <w:rPr>
      <w:sz w:val="24"/>
    </w:rPr>
  </w:style>
  <w:style w:type="paragraph" w:customStyle="1" w:styleId="274">
    <w:name w:val="xl116"/>
    <w:basedOn w:val="1"/>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0"/>
    </w:rPr>
  </w:style>
  <w:style w:type="paragraph" w:customStyle="1" w:styleId="275">
    <w:name w:val="段落"/>
    <w:basedOn w:val="1"/>
    <w:qFormat/>
    <w:uiPriority w:val="99"/>
    <w:pPr>
      <w:spacing w:line="460" w:lineRule="exact"/>
      <w:ind w:firstLine="480"/>
    </w:pPr>
    <w:rPr>
      <w:sz w:val="24"/>
    </w:rPr>
  </w:style>
  <w:style w:type="paragraph" w:customStyle="1" w:styleId="276">
    <w:name w:val="msolistparagraph"/>
    <w:basedOn w:val="1"/>
    <w:qFormat/>
    <w:uiPriority w:val="99"/>
    <w:pPr>
      <w:ind w:firstLine="420"/>
    </w:pPr>
    <w:rPr>
      <w:rFonts w:ascii="Calibri" w:hAnsi="Calibri"/>
      <w:szCs w:val="22"/>
    </w:rPr>
  </w:style>
  <w:style w:type="paragraph" w:customStyle="1" w:styleId="277">
    <w:name w:val="Char Char Char Char Char Char Char Char Char Char Char Char Char"/>
    <w:basedOn w:val="18"/>
    <w:qFormat/>
    <w:uiPriority w:val="99"/>
    <w:rPr>
      <w:rFonts w:ascii="Tahoma" w:hAnsi="Tahoma"/>
      <w:sz w:val="24"/>
      <w:szCs w:val="24"/>
    </w:rPr>
  </w:style>
  <w:style w:type="paragraph" w:customStyle="1" w:styleId="278">
    <w:name w:val="论文正文"/>
    <w:basedOn w:val="30"/>
    <w:qFormat/>
    <w:uiPriority w:val="99"/>
    <w:pPr>
      <w:spacing w:line="360" w:lineRule="auto"/>
      <w:ind w:left="0" w:firstLine="200"/>
      <w:jc w:val="left"/>
    </w:pPr>
    <w:rPr>
      <w:sz w:val="28"/>
      <w:szCs w:val="24"/>
    </w:rPr>
  </w:style>
  <w:style w:type="paragraph" w:customStyle="1" w:styleId="279">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rPr>
  </w:style>
  <w:style w:type="paragraph" w:customStyle="1" w:styleId="280">
    <w:name w:val="列出段落3"/>
    <w:basedOn w:val="1"/>
    <w:qFormat/>
    <w:uiPriority w:val="34"/>
    <w:pPr>
      <w:ind w:firstLine="420"/>
    </w:pPr>
  </w:style>
  <w:style w:type="paragraph" w:customStyle="1" w:styleId="281">
    <w:name w:val="p0"/>
    <w:basedOn w:val="1"/>
    <w:qFormat/>
    <w:uiPriority w:val="99"/>
    <w:pPr>
      <w:widowControl/>
    </w:pPr>
    <w:rPr>
      <w:szCs w:val="21"/>
    </w:rPr>
  </w:style>
  <w:style w:type="paragraph" w:styleId="282">
    <w:name w:val="List Paragraph"/>
    <w:basedOn w:val="1"/>
    <w:qFormat/>
    <w:uiPriority w:val="34"/>
    <w:pPr>
      <w:ind w:firstLine="420"/>
    </w:pPr>
  </w:style>
  <w:style w:type="paragraph" w:customStyle="1" w:styleId="283">
    <w:name w:val="Char"/>
    <w:basedOn w:val="1"/>
    <w:qFormat/>
    <w:uiPriority w:val="0"/>
    <w:rPr>
      <w:rFonts w:ascii="Tahoma" w:hAnsi="Tahoma" w:cs="仿宋_GB2312"/>
      <w:sz w:val="24"/>
      <w:szCs w:val="28"/>
    </w:rPr>
  </w:style>
  <w:style w:type="paragraph" w:customStyle="1" w:styleId="284">
    <w:name w:val="xl1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color w:val="000000"/>
      <w:sz w:val="20"/>
    </w:rPr>
  </w:style>
  <w:style w:type="paragraph" w:customStyle="1" w:styleId="285">
    <w:name w:val="font6"/>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286">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rPr>
  </w:style>
  <w:style w:type="paragraph" w:customStyle="1" w:styleId="287">
    <w:name w:val="Char1"/>
    <w:basedOn w:val="1"/>
    <w:qFormat/>
    <w:uiPriority w:val="99"/>
    <w:pPr>
      <w:widowControl/>
      <w:spacing w:after="160" w:line="240" w:lineRule="exact"/>
      <w:jc w:val="left"/>
    </w:pPr>
    <w:rPr>
      <w:rFonts w:ascii="Verdana" w:hAnsi="Verdana" w:eastAsia="仿宋_GB2312"/>
      <w:sz w:val="24"/>
      <w:lang w:eastAsia="en-US"/>
    </w:rPr>
  </w:style>
  <w:style w:type="paragraph" w:customStyle="1" w:styleId="288">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289">
    <w:name w:val="xl25"/>
    <w:basedOn w:val="1"/>
    <w:qFormat/>
    <w:uiPriority w:val="99"/>
    <w:pPr>
      <w:widowControl/>
      <w:pBdr>
        <w:right w:val="single" w:color="000000" w:sz="4" w:space="0"/>
      </w:pBdr>
      <w:spacing w:before="100" w:beforeAutospacing="1" w:after="100" w:afterAutospacing="1"/>
      <w:jc w:val="center"/>
    </w:pPr>
    <w:rPr>
      <w:szCs w:val="21"/>
    </w:rPr>
  </w:style>
  <w:style w:type="paragraph" w:customStyle="1" w:styleId="290">
    <w:name w:val="Char Char Char Char Char Char Char Char Char Char Char1 Char Char Char1"/>
    <w:basedOn w:val="1"/>
    <w:semiHidden/>
    <w:qFormat/>
    <w:uiPriority w:val="99"/>
    <w:pPr>
      <w:ind w:firstLine="200"/>
      <w:jc w:val="left"/>
    </w:pPr>
    <w:rPr>
      <w:rFonts w:ascii="Tahoma" w:hAnsi="Tahoma"/>
      <w:sz w:val="24"/>
      <w:szCs w:val="24"/>
    </w:rPr>
  </w:style>
  <w:style w:type="paragraph" w:customStyle="1" w:styleId="291">
    <w:name w:val="默认段落字体 Para Char Char Char Char Char Char Char"/>
    <w:basedOn w:val="1"/>
    <w:qFormat/>
    <w:uiPriority w:val="99"/>
  </w:style>
  <w:style w:type="paragraph" w:customStyle="1" w:styleId="292">
    <w:name w:val="Char Char Char Char"/>
    <w:basedOn w:val="18"/>
    <w:qFormat/>
    <w:uiPriority w:val="99"/>
    <w:pPr>
      <w:spacing w:line="360" w:lineRule="auto"/>
    </w:pPr>
    <w:rPr>
      <w:rFonts w:ascii="Tahoma" w:hAnsi="Tahoma"/>
      <w:sz w:val="24"/>
      <w:szCs w:val="24"/>
    </w:rPr>
  </w:style>
  <w:style w:type="paragraph" w:customStyle="1" w:styleId="293">
    <w:name w:val="Item Step in Table"/>
    <w:qFormat/>
    <w:uiPriority w:val="99"/>
    <w:pPr>
      <w:numPr>
        <w:ilvl w:val="0"/>
        <w:numId w:val="4"/>
      </w:numPr>
      <w:spacing w:before="40" w:after="40"/>
      <w:jc w:val="both"/>
    </w:pPr>
    <w:rPr>
      <w:rFonts w:ascii="Arial" w:hAnsi="Arial" w:eastAsia="宋体" w:cs="Arial"/>
      <w:sz w:val="18"/>
      <w:szCs w:val="18"/>
      <w:lang w:val="en-US" w:eastAsia="zh-CN" w:bidi="ar-SA"/>
    </w:rPr>
  </w:style>
  <w:style w:type="paragraph" w:customStyle="1" w:styleId="294">
    <w:name w:val="模板正文"/>
    <w:basedOn w:val="1"/>
    <w:qFormat/>
    <w:uiPriority w:val="0"/>
    <w:pPr>
      <w:spacing w:before="120" w:line="360" w:lineRule="auto"/>
      <w:ind w:firstLine="200"/>
    </w:pPr>
    <w:rPr>
      <w:rFonts w:eastAsia="仿宋_GB2312"/>
      <w:sz w:val="24"/>
      <w:szCs w:val="21"/>
    </w:rPr>
  </w:style>
  <w:style w:type="paragraph" w:customStyle="1" w:styleId="295">
    <w:name w:val="表格1"/>
    <w:basedOn w:val="1"/>
    <w:qFormat/>
    <w:uiPriority w:val="99"/>
    <w:rPr>
      <w:rFonts w:ascii="宋体"/>
      <w:szCs w:val="21"/>
    </w:rPr>
  </w:style>
  <w:style w:type="paragraph" w:customStyle="1" w:styleId="296">
    <w:name w:val="tableau"/>
    <w:basedOn w:val="1"/>
    <w:qFormat/>
    <w:uiPriority w:val="99"/>
    <w:pPr>
      <w:widowControl/>
      <w:spacing w:before="20" w:after="20"/>
      <w:jc w:val="center"/>
    </w:pPr>
    <w:rPr>
      <w:rFonts w:ascii="Arial" w:hAnsi="Arial"/>
      <w:sz w:val="16"/>
      <w:lang w:eastAsia="en-US"/>
    </w:rPr>
  </w:style>
  <w:style w:type="paragraph" w:customStyle="1" w:styleId="297">
    <w:name w:val="样式"/>
    <w:basedOn w:val="1"/>
    <w:next w:val="22"/>
    <w:qFormat/>
    <w:uiPriority w:val="99"/>
    <w:rPr>
      <w:rFonts w:ascii="楷体_GB2312" w:hAnsi="Arial" w:eastAsia="楷体_GB2312"/>
      <w:sz w:val="28"/>
    </w:rPr>
  </w:style>
  <w:style w:type="paragraph" w:customStyle="1" w:styleId="298">
    <w:name w:val="普通正文"/>
    <w:basedOn w:val="1"/>
    <w:qFormat/>
    <w:uiPriority w:val="0"/>
    <w:pPr>
      <w:spacing w:before="120" w:after="120" w:line="360" w:lineRule="auto"/>
      <w:ind w:firstLine="480"/>
      <w:jc w:val="left"/>
    </w:pPr>
    <w:rPr>
      <w:rFonts w:ascii="Arial" w:hAnsi="Arial" w:cs="Arial"/>
      <w:sz w:val="24"/>
      <w:szCs w:val="24"/>
    </w:rPr>
  </w:style>
  <w:style w:type="paragraph" w:customStyle="1" w:styleId="299">
    <w:name w:val="列出段落1"/>
    <w:basedOn w:val="1"/>
    <w:qFormat/>
    <w:uiPriority w:val="99"/>
    <w:pPr>
      <w:widowControl/>
      <w:ind w:left="720"/>
      <w:contextualSpacing/>
      <w:jc w:val="left"/>
    </w:pPr>
    <w:rPr>
      <w:rFonts w:ascii="Arial" w:hAnsi="Arial" w:eastAsia="黑体"/>
      <w:sz w:val="24"/>
      <w:szCs w:val="24"/>
      <w:lang w:eastAsia="en-US"/>
    </w:rPr>
  </w:style>
  <w:style w:type="paragraph" w:customStyle="1" w:styleId="300">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01">
    <w:name w:val="列出段落2"/>
    <w:basedOn w:val="1"/>
    <w:qFormat/>
    <w:uiPriority w:val="34"/>
    <w:pPr>
      <w:ind w:firstLine="420"/>
    </w:pPr>
  </w:style>
  <w:style w:type="paragraph" w:customStyle="1" w:styleId="302">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rPr>
  </w:style>
  <w:style w:type="paragraph" w:customStyle="1" w:styleId="303">
    <w:name w:val="List Paragraph1"/>
    <w:basedOn w:val="1"/>
    <w:qFormat/>
    <w:uiPriority w:val="99"/>
    <w:pPr>
      <w:ind w:firstLine="420"/>
    </w:pPr>
    <w:rPr>
      <w:szCs w:val="24"/>
    </w:rPr>
  </w:style>
  <w:style w:type="paragraph" w:customStyle="1" w:styleId="304">
    <w:name w:val="Char Char2 Char Char"/>
    <w:basedOn w:val="18"/>
    <w:qFormat/>
    <w:uiPriority w:val="99"/>
    <w:pPr>
      <w:spacing w:line="436" w:lineRule="exact"/>
    </w:pPr>
    <w:rPr>
      <w:rFonts w:ascii="Tahoma" w:hAnsi="Tahoma"/>
      <w:sz w:val="24"/>
    </w:rPr>
  </w:style>
  <w:style w:type="paragraph" w:customStyle="1" w:styleId="305">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06">
    <w:name w:val="Char Char Char"/>
    <w:basedOn w:val="18"/>
    <w:qFormat/>
    <w:uiPriority w:val="99"/>
    <w:pPr>
      <w:spacing w:line="436" w:lineRule="exact"/>
    </w:pPr>
    <w:rPr>
      <w:szCs w:val="24"/>
    </w:rPr>
  </w:style>
  <w:style w:type="paragraph" w:customStyle="1" w:styleId="307">
    <w:name w:val="丁华标题1"/>
    <w:basedOn w:val="2"/>
    <w:next w:val="264"/>
    <w:qFormat/>
    <w:uiPriority w:val="99"/>
    <w:pPr>
      <w:keepLines/>
      <w:numPr>
        <w:numId w:val="0"/>
      </w:numPr>
      <w:spacing w:before="0" w:line="578" w:lineRule="auto"/>
      <w:ind w:left="567"/>
      <w:jc w:val="left"/>
    </w:pPr>
    <w:rPr>
      <w:rFonts w:ascii="Times New Roman"/>
      <w:b w:val="0"/>
      <w:sz w:val="32"/>
    </w:rPr>
  </w:style>
  <w:style w:type="paragraph" w:customStyle="1" w:styleId="308">
    <w:name w:val="标题6"/>
    <w:basedOn w:val="6"/>
    <w:qFormat/>
    <w:uiPriority w:val="99"/>
    <w:pPr>
      <w:keepLines/>
      <w:numPr>
        <w:ilvl w:val="0"/>
        <w:numId w:val="5"/>
      </w:numPr>
    </w:pPr>
    <w:rPr>
      <w:b w:val="0"/>
      <w:color w:val="000000"/>
      <w:sz w:val="24"/>
    </w:rPr>
  </w:style>
  <w:style w:type="paragraph" w:customStyle="1" w:styleId="309">
    <w:name w:val="_Style 193"/>
    <w:basedOn w:val="1"/>
    <w:next w:val="250"/>
    <w:qFormat/>
    <w:uiPriority w:val="34"/>
    <w:pPr>
      <w:ind w:firstLine="420"/>
    </w:pPr>
    <w:rPr>
      <w:rFonts w:ascii="Calibri" w:hAnsi="Calibri"/>
    </w:rPr>
  </w:style>
  <w:style w:type="paragraph" w:customStyle="1" w:styleId="310">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311">
    <w:name w:val="Revision"/>
    <w:unhideWhenUsed/>
    <w:qFormat/>
    <w:uiPriority w:val="99"/>
    <w:rPr>
      <w:rFonts w:ascii="Times New Roman" w:hAnsi="Times New Roman" w:eastAsia="宋体" w:cs="Times New Roman"/>
      <w:sz w:val="21"/>
      <w:lang w:val="en-US" w:eastAsia="zh-CN" w:bidi="ar-SA"/>
    </w:rPr>
  </w:style>
  <w:style w:type="paragraph" w:customStyle="1" w:styleId="312">
    <w:name w:val="Default"/>
    <w:basedOn w:val="1"/>
    <w:qFormat/>
    <w:uiPriority w:val="0"/>
    <w:pPr>
      <w:jc w:val="left"/>
    </w:pPr>
    <w:rPr>
      <w:rFonts w:ascii="宋体" w:cs="宋体"/>
      <w:color w:val="000000"/>
      <w:sz w:val="24"/>
      <w:szCs w:val="24"/>
    </w:rPr>
  </w:style>
  <w:style w:type="character" w:customStyle="1" w:styleId="313">
    <w:name w:val="font31"/>
    <w:basedOn w:val="56"/>
    <w:qFormat/>
    <w:uiPriority w:val="0"/>
    <w:rPr>
      <w:rFonts w:hint="eastAsia" w:ascii="宋体" w:hAnsi="宋体" w:eastAsia="宋体" w:cs="宋体"/>
      <w:color w:val="000000"/>
      <w:sz w:val="21"/>
      <w:szCs w:val="21"/>
      <w:u w:val="none"/>
    </w:rPr>
  </w:style>
  <w:style w:type="paragraph" w:customStyle="1" w:styleId="314">
    <w:name w:val="列表段落11"/>
    <w:basedOn w:val="1"/>
    <w:qFormat/>
    <w:uiPriority w:val="0"/>
    <w:pPr>
      <w:ind w:firstLine="420"/>
    </w:pPr>
  </w:style>
  <w:style w:type="character" w:customStyle="1" w:styleId="315">
    <w:name w:val="标题 2 字符"/>
    <w:link w:val="316"/>
    <w:qFormat/>
    <w:uiPriority w:val="0"/>
    <w:rPr>
      <w:rFonts w:ascii="Cambria" w:hAnsi="Cambria"/>
      <w:b/>
      <w:bCs/>
      <w:sz w:val="32"/>
      <w:szCs w:val="32"/>
    </w:rPr>
  </w:style>
  <w:style w:type="paragraph" w:customStyle="1" w:styleId="316">
    <w:name w:val="标题 21"/>
    <w:basedOn w:val="1"/>
    <w:link w:val="315"/>
    <w:qFormat/>
    <w:uiPriority w:val="0"/>
    <w:pPr>
      <w:keepNext/>
      <w:keepLines/>
      <w:spacing w:before="120" w:after="120"/>
      <w:ind w:left="709"/>
      <w:jc w:val="left"/>
      <w:outlineLvl w:val="1"/>
    </w:pPr>
    <w:rPr>
      <w:rFonts w:ascii="Cambria" w:hAnsi="Cambria"/>
      <w:b/>
      <w:bCs/>
      <w:sz w:val="32"/>
      <w:szCs w:val="32"/>
    </w:rPr>
  </w:style>
  <w:style w:type="paragraph" w:customStyle="1" w:styleId="317">
    <w:name w:val="页脚1"/>
    <w:basedOn w:val="1"/>
    <w:qFormat/>
    <w:uiPriority w:val="0"/>
    <w:pPr>
      <w:tabs>
        <w:tab w:val="center" w:pos="4153"/>
        <w:tab w:val="right" w:pos="8306"/>
      </w:tabs>
      <w:jc w:val="left"/>
    </w:pPr>
    <w:rPr>
      <w:sz w:val="18"/>
    </w:rPr>
  </w:style>
  <w:style w:type="paragraph" w:customStyle="1" w:styleId="318">
    <w:name w:val="首行缩进"/>
    <w:basedOn w:val="1"/>
    <w:qFormat/>
    <w:uiPriority w:val="0"/>
    <w:pPr>
      <w:spacing w:line="360" w:lineRule="auto"/>
      <w:ind w:firstLine="480"/>
    </w:pPr>
    <w:rPr>
      <w:rFonts w:ascii="宋体" w:hAnsi="宋体" w:cs="宋体"/>
      <w:sz w:val="24"/>
    </w:rPr>
  </w:style>
  <w:style w:type="paragraph" w:customStyle="1" w:styleId="319">
    <w:name w:val="Blockquote"/>
    <w:basedOn w:val="1"/>
    <w:qFormat/>
    <w:uiPriority w:val="0"/>
    <w:pPr>
      <w:autoSpaceDE w:val="0"/>
      <w:autoSpaceDN w:val="0"/>
      <w:adjustRightInd w:val="0"/>
      <w:spacing w:before="100" w:after="100"/>
      <w:ind w:left="360" w:right="360"/>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Company>
  <Pages>72</Pages>
  <Words>11598</Words>
  <Characters>12422</Characters>
  <Lines>344</Lines>
  <Paragraphs>96</Paragraphs>
  <TotalTime>13</TotalTime>
  <ScaleCrop>false</ScaleCrop>
  <LinksUpToDate>false</LinksUpToDate>
  <CharactersWithSpaces>12581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2026-06-03T05:21:00Z</dcterms:created>
  <dc:creator>wh</dc:creator>
  <cp:lastModifiedBy>sugussss</cp:lastModifiedBy>
  <dcterms:modified xsi:type="dcterms:W3CDTF">2026-06-16T08:12:31Z</dcterms:modified>
  <dc:title>竞争性谈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eyJoZGlkIjoiYTc2ZGZiNzZiNDVlOGViOWVmM2JhOTY0NGJkNjUyYzgiLCJ1c2VySWQiOiIxMTQ0NDg0NzI4In0=</vt:lpwstr>
  </property>
  <property fmtid="{D5CDD505-2E9C-101B-9397-08002B2CF9AE}" pid="3" name="KSOProductBuildVer">
    <vt:lpwstr>2052-12.1.0.26895</vt:lpwstr>
  </property>
  <property fmtid="{D5CDD505-2E9C-101B-9397-08002B2CF9AE}" pid="4" name="ICV">
    <vt:lpwstr>BEABFA0A493447869E1306928CA1F23A_13</vt:lpwstr>
  </property>
</Properties>
</file>