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990" w:right="994"/>
        <w:jc w:val="center"/>
        <w:spacing w:line="440" w:lineRule="exact"/>
        <w:rPr>
          <w:rFonts w:ascii="仿宋" w:hAnsi="仿宋" w:eastAsia="仿宋" w:cs="仿宋"/>
          <w:bCs/>
          <w:color w:val="auto"/>
          <w:sz w:val="44"/>
          <w:szCs w:val="44"/>
          <w:highlight w:val="none"/>
          <w:lang w:val="en-US"/>
        </w:rPr>
      </w:pPr>
      <w:r/>
      <w:bookmarkStart w:id="63" w:name="_GoBack"/>
      <w:r/>
      <w:r/>
    </w:p>
    <w:p>
      <w:pPr>
        <w:ind w:right="-906"/>
        <w:jc w:val="center"/>
        <w:spacing w:line="480" w:lineRule="auto"/>
        <w:rPr>
          <w:rFonts w:hint="eastAsia" w:ascii="仿宋" w:hAnsi="仿宋" w:eastAsia="仿宋" w:cs="仿宋"/>
          <w:b/>
          <w:color w:val="auto"/>
          <w:sz w:val="44"/>
          <w:szCs w:val="44"/>
          <w:highlight w:val="none"/>
          <w:lang w:val="en-US" w:eastAsia="zh-CN"/>
        </w:rPr>
      </w:pPr>
      <w:r/>
      <w:bookmarkStart w:id="0" w:name="OLE_LINK1"/>
      <w:r>
        <w:rPr>
          <w:rFonts w:hint="eastAsia" w:ascii="仿宋" w:hAnsi="仿宋" w:eastAsia="仿宋" w:cs="仿宋"/>
          <w:b/>
          <w:color w:val="auto"/>
          <w:sz w:val="44"/>
          <w:szCs w:val="44"/>
          <w:highlight w:val="none"/>
          <w:lang w:val="en-US"/>
        </w:rPr>
        <w:t xml:space="preserve">仪征市人民医院</w:t>
      </w:r>
      <w:r>
        <w:rPr>
          <w:rFonts w:hint="eastAsia" w:ascii="仿宋" w:hAnsi="仿宋" w:eastAsia="仿宋" w:cs="仿宋"/>
          <w:b/>
          <w:color w:val="auto"/>
          <w:sz w:val="44"/>
          <w:szCs w:val="44"/>
          <w:highlight w:val="none"/>
          <w:lang w:val="en-US" w:eastAsia="zh-CN"/>
        </w:rPr>
        <w:t xml:space="preserve">电子显微镜</w:t>
      </w:r>
      <w:r/>
    </w:p>
    <w:p>
      <w:pPr>
        <w:ind w:right="-906"/>
        <w:jc w:val="center"/>
        <w:spacing w:line="480" w:lineRule="auto"/>
        <w:rPr>
          <w:rFonts w:ascii="仿宋" w:hAnsi="仿宋" w:eastAsia="仿宋" w:cs="仿宋"/>
          <w:b/>
          <w:color w:val="auto"/>
          <w:sz w:val="44"/>
          <w:szCs w:val="44"/>
          <w:highlight w:val="none"/>
          <w:lang w:val="en-US"/>
        </w:rPr>
      </w:pPr>
      <w:r>
        <w:rPr>
          <w:rFonts w:hint="eastAsia" w:ascii="仿宋" w:hAnsi="仿宋" w:eastAsia="仿宋" w:cs="仿宋"/>
          <w:b/>
          <w:color w:val="auto"/>
          <w:sz w:val="44"/>
          <w:szCs w:val="44"/>
          <w:highlight w:val="none"/>
          <w:lang w:val="en-US"/>
        </w:rPr>
        <w:t xml:space="preserve">采购项目</w:t>
      </w:r>
      <w:bookmarkEnd w:id="0"/>
      <w:r/>
    </w:p>
    <w:p>
      <w:pPr>
        <w:ind w:left="817" w:right="994" w:hanging="106"/>
        <w:jc w:val="center"/>
        <w:spacing w:line="480" w:lineRule="auto"/>
        <w:rPr>
          <w:rFonts w:ascii="仿宋" w:hAnsi="仿宋" w:eastAsia="仿宋" w:cs="仿宋"/>
          <w:bCs/>
          <w:color w:val="auto"/>
          <w:sz w:val="28"/>
          <w:szCs w:val="28"/>
          <w:highlight w:val="none"/>
          <w:lang w:val="en-US"/>
        </w:rPr>
      </w:pPr>
      <w:r>
        <w:rPr>
          <w:rFonts w:ascii="仿宋" w:hAnsi="仿宋" w:eastAsia="仿宋" w:cs="仿宋"/>
          <w:bCs/>
          <w:color w:val="auto"/>
          <w:sz w:val="28"/>
          <w:szCs w:val="28"/>
          <w:highlight w:val="none"/>
          <w:lang w:val="en-US"/>
        </w:rPr>
      </w:r>
      <w:r/>
    </w:p>
    <w:p>
      <w:pPr>
        <w:pStyle w:val="753"/>
        <w:spacing w:line="480" w:lineRule="auto"/>
        <w:tabs>
          <w:tab w:val="left" w:pos="6947" w:leader="none"/>
        </w:tabs>
        <w:rPr>
          <w:rFonts w:ascii="仿宋" w:hAnsi="仿宋" w:eastAsia="仿宋" w:cs="仿宋"/>
          <w:bCs/>
          <w:color w:val="auto"/>
          <w:sz w:val="28"/>
          <w:szCs w:val="28"/>
          <w:highlight w:val="none"/>
          <w:lang w:val="en-US"/>
        </w:rPr>
      </w:pPr>
      <w:r>
        <w:rPr>
          <w:rFonts w:hint="eastAsia" w:ascii="仿宋" w:hAnsi="仿宋" w:eastAsia="仿宋" w:cs="仿宋"/>
          <w:bCs/>
          <w:color w:val="auto"/>
          <w:sz w:val="28"/>
          <w:szCs w:val="28"/>
          <w:highlight w:val="none"/>
          <w:lang w:val="en-US"/>
        </w:rPr>
        <w:tab/>
      </w:r>
      <w:r/>
    </w:p>
    <w:p>
      <w:pPr>
        <w:ind w:left="-425" w:right="-482"/>
        <w:jc w:val="center"/>
        <w:spacing w:line="480" w:lineRule="auto"/>
        <w:rPr>
          <w:rFonts w:ascii="仿宋" w:hAnsi="仿宋" w:eastAsia="仿宋" w:cs="仿宋"/>
          <w:bCs/>
          <w:color w:val="auto"/>
          <w:sz w:val="72"/>
          <w:szCs w:val="72"/>
          <w:highlight w:val="none"/>
          <w:lang w:val="en-US"/>
        </w:rPr>
      </w:pPr>
      <w:r>
        <w:rPr>
          <w:rFonts w:hint="eastAsia" w:ascii="仿宋" w:hAnsi="仿宋" w:eastAsia="仿宋" w:cs="仿宋"/>
          <w:bCs/>
          <w:color w:val="auto"/>
          <w:sz w:val="72"/>
          <w:szCs w:val="72"/>
          <w:highlight w:val="none"/>
          <w:lang w:val="en-US"/>
        </w:rPr>
        <w:t xml:space="preserve">招标文件</w:t>
      </w:r>
      <w:r/>
    </w:p>
    <w:p>
      <w:pPr>
        <w:ind w:left="-425" w:right="-482"/>
        <w:jc w:val="center"/>
        <w:spacing w:line="480" w:lineRule="auto"/>
        <w:rPr>
          <w:rFonts w:ascii="仿宋" w:hAnsi="仿宋" w:eastAsia="仿宋" w:cs="仿宋"/>
          <w:bCs/>
          <w:color w:val="auto"/>
          <w:sz w:val="36"/>
          <w:szCs w:val="36"/>
          <w:highlight w:val="none"/>
          <w:lang w:val="en-US"/>
        </w:rPr>
      </w:pPr>
      <w:r>
        <w:rPr>
          <w:rFonts w:ascii="仿宋" w:hAnsi="仿宋" w:eastAsia="仿宋" w:cs="仿宋"/>
          <w:bCs/>
          <w:color w:val="auto"/>
          <w:sz w:val="36"/>
          <w:szCs w:val="36"/>
          <w:highlight w:val="none"/>
          <w:lang w:val="en-US"/>
        </w:rPr>
      </w:r>
      <w:r/>
    </w:p>
    <w:p>
      <w:pPr>
        <w:ind w:left="-425" w:right="-482"/>
        <w:jc w:val="center"/>
        <w:spacing w:line="480" w:lineRule="auto"/>
        <w:rPr>
          <w:rFonts w:hint="eastAsia"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 xml:space="preserve">项目编号：JSZC-321081-JSHY-G2026-0090</w:t>
      </w:r>
      <w:r/>
    </w:p>
    <w:p>
      <w:pPr>
        <w:ind w:left="-425" w:right="-482"/>
        <w:jc w:val="center"/>
        <w:spacing w:line="480" w:lineRule="auto"/>
        <w:rPr>
          <w:rFonts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 xml:space="preserve">代理机构编号：1009-2641HOLLY25F</w:t>
      </w:r>
      <w:r/>
    </w:p>
    <w:p>
      <w:pPr>
        <w:ind w:left="-623" w:right="-906" w:hanging="226"/>
        <w:jc w:val="center"/>
        <w:spacing w:line="480" w:lineRule="auto"/>
        <w:rPr>
          <w:rFonts w:ascii="仿宋" w:hAnsi="仿宋" w:eastAsia="仿宋" w:cs="仿宋"/>
          <w:bCs/>
          <w:color w:val="auto"/>
          <w:sz w:val="28"/>
          <w:szCs w:val="28"/>
          <w:highlight w:val="none"/>
          <w:lang w:val="en-US"/>
        </w:rPr>
      </w:pPr>
      <w:r>
        <w:rPr>
          <w:rFonts w:ascii="仿宋" w:hAnsi="仿宋" w:eastAsia="仿宋" w:cs="仿宋"/>
          <w:bCs/>
          <w:color w:val="auto"/>
          <w:sz w:val="28"/>
          <w:szCs w:val="28"/>
          <w:highlight w:val="none"/>
          <w:lang w:val="en-US"/>
        </w:rPr>
      </w:r>
      <w:r/>
    </w:p>
    <w:p>
      <w:pPr>
        <w:ind w:right="-906"/>
        <w:spacing w:line="480" w:lineRule="auto"/>
        <w:rPr>
          <w:rFonts w:ascii="仿宋" w:hAnsi="仿宋" w:eastAsia="仿宋" w:cs="仿宋"/>
          <w:bCs/>
          <w:color w:val="auto"/>
          <w:sz w:val="28"/>
          <w:szCs w:val="28"/>
          <w:highlight w:val="none"/>
          <w:lang w:val="en-US"/>
        </w:rPr>
      </w:pPr>
      <w:r>
        <w:rPr>
          <w:rFonts w:ascii="仿宋" w:hAnsi="仿宋" w:eastAsia="仿宋" w:cs="仿宋"/>
          <w:bCs/>
          <w:color w:val="auto"/>
          <w:sz w:val="28"/>
          <w:szCs w:val="28"/>
          <w:highlight w:val="none"/>
          <w:lang w:val="en-US"/>
        </w:rPr>
      </w:r>
      <w:r/>
    </w:p>
    <w:p>
      <w:pPr>
        <w:ind w:left="-312" w:right="-906" w:hanging="537"/>
        <w:spacing w:line="480" w:lineRule="auto"/>
        <w:rPr>
          <w:rFonts w:ascii="仿宋" w:hAnsi="仿宋" w:eastAsia="仿宋" w:cs="仿宋"/>
          <w:bCs/>
          <w:color w:val="auto"/>
          <w:sz w:val="28"/>
          <w:szCs w:val="28"/>
          <w:highlight w:val="none"/>
          <w:lang w:val="en-US"/>
        </w:rPr>
      </w:pPr>
      <w:r>
        <w:rPr>
          <w:rFonts w:ascii="仿宋" w:hAnsi="仿宋" w:eastAsia="仿宋" w:cs="仿宋"/>
          <w:bCs/>
          <w:color w:val="auto"/>
          <w:sz w:val="28"/>
          <w:szCs w:val="28"/>
          <w:highlight w:val="none"/>
          <w:lang w:val="en-US"/>
        </w:rPr>
      </w:r>
      <w:r/>
    </w:p>
    <w:p>
      <w:pPr>
        <w:ind w:right="-906"/>
        <w:jc w:val="both"/>
        <w:spacing w:line="480" w:lineRule="auto"/>
        <w:rPr>
          <w:rFonts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 xml:space="preserve">采购人：仪征市人民医院</w:t>
      </w:r>
      <w:r/>
    </w:p>
    <w:p>
      <w:pPr>
        <w:ind w:left="658" w:right="-906" w:hanging="673"/>
        <w:spacing w:line="480" w:lineRule="auto"/>
        <w:rPr>
          <w:rFonts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 xml:space="preserve">采购代理机构：江苏弘业国际技术工程有限公司</w:t>
      </w:r>
      <w:r/>
    </w:p>
    <w:p>
      <w:pPr>
        <w:ind w:left="658" w:right="-906" w:hanging="673"/>
        <w:spacing w:line="480" w:lineRule="auto"/>
        <w:rPr>
          <w:rFonts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 xml:space="preserve">日期：二〇二六年</w:t>
      </w:r>
      <w:r>
        <w:rPr>
          <w:rFonts w:hint="eastAsia" w:ascii="仿宋" w:hAnsi="仿宋" w:eastAsia="仿宋" w:cs="仿宋"/>
          <w:bCs/>
          <w:color w:val="auto"/>
          <w:sz w:val="36"/>
          <w:szCs w:val="36"/>
          <w:highlight w:val="none"/>
          <w:lang w:val="en-US" w:eastAsia="zh-CN"/>
        </w:rPr>
        <w:t xml:space="preserve">五</w:t>
      </w:r>
      <w:r>
        <w:rPr>
          <w:rFonts w:hint="eastAsia" w:ascii="仿宋" w:hAnsi="仿宋" w:eastAsia="仿宋" w:cs="仿宋"/>
          <w:bCs/>
          <w:color w:val="auto"/>
          <w:sz w:val="36"/>
          <w:szCs w:val="36"/>
          <w:highlight w:val="none"/>
          <w:lang w:val="en-US"/>
        </w:rPr>
        <w:t xml:space="preserve">月</w:t>
      </w:r>
      <w:r/>
    </w:p>
    <w:p>
      <w:pPr>
        <w:spacing w:line="480" w:lineRule="auto"/>
        <w:widowControl/>
        <w:rPr>
          <w:rFonts w:ascii="仿宋" w:hAnsi="仿宋" w:eastAsia="仿宋" w:cs="仿宋"/>
          <w:b/>
          <w:color w:val="auto"/>
          <w:sz w:val="36"/>
          <w:szCs w:val="36"/>
          <w:highlight w:val="none"/>
          <w:lang w:val="en-US"/>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
          <w:b/>
          <w:color w:val="auto"/>
          <w:sz w:val="36"/>
          <w:szCs w:val="36"/>
          <w:highlight w:val="none"/>
          <w:lang w:val="en-US"/>
        </w:rPr>
      </w:r>
      <w:r/>
    </w:p>
    <w:p>
      <w:pPr>
        <w:pStyle w:val="756"/>
        <w:ind w:left="1540" w:right="1540"/>
        <w:jc w:val="center"/>
        <w:spacing w:line="360" w:lineRule="auto"/>
        <w:rPr>
          <w:rFonts w:ascii="仿宋" w:hAnsi="仿宋" w:eastAsia="仿宋" w:cs="仿宋"/>
          <w:b/>
          <w:color w:val="auto"/>
          <w:sz w:val="40"/>
          <w:szCs w:val="40"/>
          <w:highlight w:val="none"/>
          <w:lang w:val="en-US"/>
        </w:rPr>
      </w:pPr>
      <w:r>
        <w:rPr>
          <w:rFonts w:hint="eastAsia" w:ascii="仿宋" w:hAnsi="仿宋" w:eastAsia="仿宋" w:cs="仿宋"/>
          <w:b/>
          <w:color w:val="auto"/>
          <w:sz w:val="40"/>
          <w:szCs w:val="40"/>
          <w:highlight w:val="none"/>
          <w:lang w:val="en-US"/>
        </w:rPr>
        <w:t xml:space="preserve">目录</w:t>
      </w:r>
      <w:r/>
    </w:p>
    <w:p>
      <w:pPr>
        <w:pStyle w:val="756"/>
        <w:ind w:left="1540" w:right="1540"/>
        <w:jc w:val="center"/>
        <w:spacing w:line="440" w:lineRule="exact"/>
        <w:rPr>
          <w:rFonts w:ascii="仿宋" w:hAnsi="仿宋" w:eastAsia="仿宋" w:cs="仿宋"/>
          <w:b/>
          <w:color w:val="auto"/>
          <w:sz w:val="28"/>
          <w:szCs w:val="28"/>
          <w:highlight w:val="none"/>
          <w:lang w:val="en-US"/>
        </w:rPr>
      </w:pPr>
      <w:r>
        <w:rPr>
          <w:rFonts w:ascii="仿宋" w:hAnsi="仿宋" w:eastAsia="仿宋" w:cs="仿宋"/>
          <w:b/>
          <w:color w:val="auto"/>
          <w:sz w:val="28"/>
          <w:szCs w:val="28"/>
          <w:highlight w:val="none"/>
          <w:lang w:val="en-US"/>
        </w:rPr>
      </w:r>
      <w:r/>
    </w:p>
    <w:p>
      <w:pPr>
        <w:jc w:val="center"/>
        <w:rPr>
          <w:rFonts w:ascii="仿宋" w:hAnsi="仿宋" w:eastAsia="仿宋" w:cs="仿宋"/>
          <w:color w:val="auto"/>
          <w:highlight w:val="none"/>
        </w:rPr>
      </w:pPr>
      <w:r>
        <w:rPr>
          <w:rFonts w:ascii="仿宋" w:hAnsi="仿宋" w:eastAsia="仿宋" w:cs="仿宋"/>
          <w:color w:val="auto"/>
          <w:highlight w:val="none"/>
        </w:rPr>
      </w:r>
      <w:r/>
    </w:p>
    <w:p>
      <w:pPr>
        <w:pStyle w:val="764"/>
        <w:tabs>
          <w:tab w:val="right" w:pos="8306" w:leader="dot"/>
        </w:tabs>
        <w:rPr>
          <w:color w:val="auto"/>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"1-1" \h \u </w:instrText>
      </w:r>
      <w:r>
        <w:rPr>
          <w:rFonts w:hint="eastAsia" w:ascii="仿宋" w:hAnsi="仿宋" w:eastAsia="仿宋" w:cs="仿宋"/>
          <w:color w:val="auto"/>
          <w:sz w:val="28"/>
          <w:szCs w:val="28"/>
          <w:highlight w:val="none"/>
        </w:rPr>
        <w:fldChar w:fldCharType="separate"/>
      </w:r>
      <w:r>
        <w:rPr>
          <w:color w:val="auto"/>
          <w:highlight w:val="none"/>
        </w:rPr>
        <w:fldChar w:fldCharType="begin"/>
      </w:r>
      <w:r>
        <w:rPr>
          <w:color w:val="auto"/>
          <w:highlight w:val="none"/>
        </w:rPr>
        <w:instrText xml:space="preserve"> HYPERLINK \l "_Toc8593" </w:instrText>
      </w:r>
      <w:r>
        <w:rPr>
          <w:color w:val="auto"/>
          <w:highlight w:val="none"/>
        </w:rPr>
        <w:fldChar w:fldCharType="separate"/>
      </w:r>
      <w:r>
        <w:rPr>
          <w:rFonts w:ascii="仿宋" w:hAnsi="仿宋" w:eastAsia="仿宋" w:cs="仿宋"/>
          <w:color w:val="auto"/>
          <w:highlight w:val="none"/>
        </w:rPr>
        <w:t xml:space="preserve">第一章 </w:t>
      </w:r>
      <w:r>
        <w:rPr>
          <w:rFonts w:hint="eastAsia" w:ascii="仿宋" w:hAnsi="仿宋" w:eastAsia="仿宋" w:cs="仿宋"/>
          <w:color w:val="auto"/>
          <w:highlight w:val="none"/>
        </w:rPr>
        <w:t xml:space="preserve">招标公告</w:t>
      </w:r>
      <w:r>
        <w:rPr>
          <w:color w:val="auto"/>
          <w:highlight w:val="none"/>
        </w:rPr>
        <w:tab/>
      </w:r>
      <w:r>
        <w:rPr>
          <w:rFonts w:hint="eastAsia"/>
          <w:color w:val="auto"/>
          <w:highlight w:val="none"/>
          <w:lang w:val="en-US"/>
        </w:rPr>
        <w:t xml:space="preserve">1</w:t>
      </w:r>
      <w:r>
        <w:rPr>
          <w:rFonts w:hint="eastAsia"/>
          <w:color w:val="auto"/>
          <w:highlight w:val="none"/>
          <w:lang w:val="en-US"/>
        </w:rPr>
        <w:fldChar w:fldCharType="end"/>
      </w:r>
      <w:r/>
    </w:p>
    <w:p>
      <w:pPr>
        <w:pStyle w:val="764"/>
        <w:tabs>
          <w:tab w:val="right" w:pos="8306" w:leader="dot"/>
        </w:tabs>
        <w:rPr>
          <w:color w:val="auto"/>
          <w:highlight w:val="none"/>
        </w:rPr>
      </w:pPr>
      <w:r>
        <w:rPr>
          <w:color w:val="auto"/>
          <w:highlight w:val="none"/>
        </w:rPr>
        <w:fldChar w:fldCharType="begin"/>
      </w:r>
      <w:r>
        <w:rPr>
          <w:color w:val="auto"/>
          <w:highlight w:val="none"/>
        </w:rPr>
        <w:instrText xml:space="preserve"> HYPERLINK \l "_Toc9541" </w:instrText>
      </w:r>
      <w:r>
        <w:rPr>
          <w:color w:val="auto"/>
          <w:highlight w:val="none"/>
        </w:rPr>
        <w:fldChar w:fldCharType="separate"/>
      </w:r>
      <w:r>
        <w:rPr>
          <w:rFonts w:ascii="仿宋" w:hAnsi="仿宋" w:eastAsia="仿宋" w:cs="仿宋"/>
          <w:color w:val="auto"/>
          <w:highlight w:val="none"/>
        </w:rPr>
        <w:t xml:space="preserve">第二章 </w:t>
      </w:r>
      <w:r>
        <w:rPr>
          <w:rFonts w:hint="eastAsia" w:ascii="仿宋" w:hAnsi="仿宋" w:eastAsia="仿宋" w:cs="仿宋"/>
          <w:color w:val="auto"/>
          <w:highlight w:val="none"/>
        </w:rPr>
        <w:t xml:space="preserve">投标人须知</w:t>
      </w:r>
      <w:r>
        <w:rPr>
          <w:color w:val="auto"/>
          <w:highlight w:val="none"/>
        </w:rPr>
        <w:tab/>
      </w:r>
      <w:r>
        <w:rPr>
          <w:rFonts w:hint="eastAsia"/>
          <w:color w:val="auto"/>
          <w:highlight w:val="none"/>
          <w:lang w:val="en-US"/>
        </w:rPr>
        <w:t xml:space="preserve">5</w:t>
      </w:r>
      <w:r>
        <w:rPr>
          <w:rFonts w:hint="eastAsia"/>
          <w:color w:val="auto"/>
          <w:highlight w:val="none"/>
          <w:lang w:val="en-US"/>
        </w:rPr>
        <w:fldChar w:fldCharType="end"/>
      </w:r>
      <w:r/>
    </w:p>
    <w:p>
      <w:pPr>
        <w:pStyle w:val="764"/>
        <w:tabs>
          <w:tab w:val="right" w:pos="8306" w:leader="dot"/>
        </w:tabs>
        <w:rPr>
          <w:color w:val="auto"/>
          <w:highlight w:val="none"/>
        </w:rPr>
      </w:pPr>
      <w:r>
        <w:rPr>
          <w:color w:val="auto"/>
          <w:highlight w:val="none"/>
        </w:rPr>
        <w:fldChar w:fldCharType="begin"/>
      </w:r>
      <w:r>
        <w:rPr>
          <w:color w:val="auto"/>
          <w:highlight w:val="none"/>
        </w:rPr>
        <w:instrText xml:space="preserve"> HYPERLINK \l "_Toc30241" </w:instrText>
      </w:r>
      <w:r>
        <w:rPr>
          <w:color w:val="auto"/>
          <w:highlight w:val="none"/>
        </w:rPr>
        <w:fldChar w:fldCharType="separate"/>
      </w:r>
      <w:r>
        <w:rPr>
          <w:rFonts w:ascii="仿宋" w:hAnsi="仿宋" w:eastAsia="仿宋" w:cs="仿宋"/>
          <w:color w:val="auto"/>
          <w:highlight w:val="none"/>
        </w:rPr>
        <w:t xml:space="preserve">第三章 </w:t>
      </w:r>
      <w:r>
        <w:rPr>
          <w:rFonts w:hint="eastAsia" w:ascii="仿宋" w:hAnsi="仿宋" w:eastAsia="仿宋" w:cs="仿宋"/>
          <w:color w:val="auto"/>
          <w:highlight w:val="none"/>
        </w:rPr>
        <w:t xml:space="preserve">评标办法</w:t>
      </w:r>
      <w:r>
        <w:rPr>
          <w:color w:val="auto"/>
          <w:highlight w:val="none"/>
        </w:rPr>
        <w:tab/>
      </w:r>
      <w:r>
        <w:rPr>
          <w:color w:val="auto"/>
          <w:highlight w:val="none"/>
        </w:rPr>
        <w:fldChar w:fldCharType="begin"/>
      </w:r>
      <w:r>
        <w:rPr>
          <w:color w:val="auto"/>
          <w:highlight w:val="none"/>
        </w:rPr>
        <w:instrText xml:space="preserve"> PAGEREF _Toc30241 \h </w:instrText>
      </w:r>
      <w:r>
        <w:rPr>
          <w:color w:val="auto"/>
          <w:highlight w:val="none"/>
        </w:rPr>
        <w:fldChar w:fldCharType="separate"/>
      </w:r>
      <w:r>
        <w:rPr>
          <w:color w:val="auto"/>
          <w:highlight w:val="none"/>
        </w:rPr>
        <w:t xml:space="preserve">2</w:t>
      </w:r>
      <w:r>
        <w:rPr>
          <w:rFonts w:hint="eastAsia"/>
          <w:color w:val="auto"/>
          <w:highlight w:val="none"/>
          <w:lang w:val="en-US" w:eastAsia="zh-CN"/>
        </w:rPr>
        <w:t xml:space="preserve">6</w:t>
      </w:r>
      <w:r>
        <w:rPr>
          <w:color w:val="auto"/>
          <w:highlight w:val="none"/>
        </w:rPr>
        <w:fldChar w:fldCharType="end"/>
      </w:r>
      <w:r>
        <w:rPr>
          <w:color w:val="auto"/>
          <w:highlight w:val="none"/>
        </w:rPr>
        <w:fldChar w:fldCharType="end"/>
      </w:r>
      <w:r/>
    </w:p>
    <w:p>
      <w:pPr>
        <w:pStyle w:val="764"/>
        <w:tabs>
          <w:tab w:val="right" w:pos="8306" w:leader="dot"/>
        </w:tabs>
        <w:rPr>
          <w:color w:val="auto"/>
          <w:highlight w:val="none"/>
          <w:lang w:val="en-US"/>
        </w:rPr>
      </w:pPr>
      <w:r>
        <w:rPr>
          <w:color w:val="auto"/>
          <w:highlight w:val="none"/>
        </w:rPr>
        <w:fldChar w:fldCharType="begin"/>
      </w:r>
      <w:r>
        <w:rPr>
          <w:color w:val="auto"/>
          <w:highlight w:val="none"/>
        </w:rPr>
        <w:instrText xml:space="preserve"> HYPERLINK \l "_Toc1682" </w:instrText>
      </w:r>
      <w:r>
        <w:rPr>
          <w:color w:val="auto"/>
          <w:highlight w:val="none"/>
        </w:rPr>
        <w:fldChar w:fldCharType="separate"/>
      </w:r>
      <w:r>
        <w:rPr>
          <w:rFonts w:ascii="仿宋" w:hAnsi="仿宋" w:eastAsia="仿宋" w:cs="仿宋"/>
          <w:color w:val="auto"/>
          <w:highlight w:val="none"/>
        </w:rPr>
        <w:t xml:space="preserve">第四章 </w:t>
      </w:r>
      <w:r>
        <w:rPr>
          <w:rFonts w:hint="eastAsia" w:ascii="仿宋" w:hAnsi="仿宋" w:eastAsia="仿宋" w:cs="仿宋"/>
          <w:color w:val="auto"/>
          <w:highlight w:val="none"/>
        </w:rPr>
        <w:t xml:space="preserve">合同条款</w:t>
      </w:r>
      <w:r>
        <w:rPr>
          <w:color w:val="auto"/>
          <w:highlight w:val="none"/>
        </w:rPr>
        <w:tab/>
      </w:r>
      <w:r>
        <w:rPr>
          <w:rFonts w:hint="eastAsia"/>
          <w:color w:val="auto"/>
          <w:highlight w:val="none"/>
          <w:lang w:val="en-US"/>
        </w:rPr>
        <w:t xml:space="preserve">3</w:t>
      </w:r>
      <w:r>
        <w:rPr>
          <w:rFonts w:hint="eastAsia"/>
          <w:color w:val="auto"/>
          <w:highlight w:val="none"/>
          <w:lang w:val="en-US" w:eastAsia="zh-CN"/>
        </w:rPr>
        <w:t xml:space="preserve">2</w:t>
      </w:r>
      <w:r>
        <w:rPr>
          <w:rFonts w:hint="eastAsia"/>
          <w:color w:val="auto"/>
          <w:highlight w:val="none"/>
          <w:lang w:val="en-US"/>
        </w:rPr>
        <w:fldChar w:fldCharType="end"/>
      </w:r>
      <w:r/>
    </w:p>
    <w:p>
      <w:pPr>
        <w:pStyle w:val="764"/>
        <w:tabs>
          <w:tab w:val="right" w:pos="8306" w:leader="dot"/>
        </w:tabs>
        <w:rPr>
          <w:color w:val="auto"/>
          <w:highlight w:val="none"/>
        </w:rPr>
      </w:pPr>
      <w:r>
        <w:rPr>
          <w:color w:val="auto"/>
          <w:highlight w:val="none"/>
        </w:rPr>
        <w:fldChar w:fldCharType="begin"/>
      </w:r>
      <w:r>
        <w:rPr>
          <w:color w:val="auto"/>
          <w:highlight w:val="none"/>
        </w:rPr>
        <w:instrText xml:space="preserve"> HYPERLINK \l "_Toc32004" </w:instrText>
      </w:r>
      <w:r>
        <w:rPr>
          <w:color w:val="auto"/>
          <w:highlight w:val="none"/>
        </w:rPr>
        <w:fldChar w:fldCharType="separate"/>
      </w:r>
      <w:r>
        <w:rPr>
          <w:rFonts w:ascii="仿宋" w:hAnsi="仿宋" w:eastAsia="仿宋" w:cs="仿宋"/>
          <w:color w:val="auto"/>
          <w:highlight w:val="none"/>
        </w:rPr>
        <w:t xml:space="preserve">第五章 </w:t>
      </w:r>
      <w:r>
        <w:rPr>
          <w:rFonts w:hint="eastAsia" w:ascii="仿宋" w:hAnsi="仿宋" w:eastAsia="仿宋" w:cs="仿宋"/>
          <w:color w:val="auto"/>
          <w:highlight w:val="none"/>
        </w:rPr>
        <w:t xml:space="preserve">技术标准及要求</w:t>
      </w:r>
      <w:r>
        <w:rPr>
          <w:color w:val="auto"/>
          <w:highlight w:val="none"/>
        </w:rPr>
        <w:tab/>
      </w:r>
      <w:r>
        <w:rPr>
          <w:color w:val="auto"/>
          <w:highlight w:val="none"/>
        </w:rPr>
        <w:fldChar w:fldCharType="begin"/>
      </w:r>
      <w:r>
        <w:rPr>
          <w:color w:val="auto"/>
          <w:highlight w:val="none"/>
        </w:rPr>
        <w:instrText xml:space="preserve"> PAGEREF _Toc32004 \h </w:instrText>
      </w:r>
      <w:r>
        <w:rPr>
          <w:color w:val="auto"/>
          <w:highlight w:val="none"/>
        </w:rPr>
        <w:fldChar w:fldCharType="separate"/>
      </w:r>
      <w:r>
        <w:rPr>
          <w:color w:val="auto"/>
          <w:highlight w:val="none"/>
        </w:rPr>
        <w:t xml:space="preserve">3</w:t>
      </w:r>
      <w:r>
        <w:rPr>
          <w:rFonts w:hint="eastAsia"/>
          <w:color w:val="auto"/>
          <w:highlight w:val="none"/>
          <w:lang w:val="en-US" w:eastAsia="zh-CN"/>
        </w:rPr>
        <w:t xml:space="preserve">8</w:t>
      </w:r>
      <w:r>
        <w:rPr>
          <w:color w:val="auto"/>
          <w:highlight w:val="none"/>
        </w:rPr>
        <w:fldChar w:fldCharType="end"/>
      </w:r>
      <w:r>
        <w:rPr>
          <w:color w:val="auto"/>
          <w:highlight w:val="none"/>
        </w:rPr>
        <w:fldChar w:fldCharType="end"/>
      </w:r>
      <w:r/>
    </w:p>
    <w:p>
      <w:pPr>
        <w:pStyle w:val="764"/>
        <w:tabs>
          <w:tab w:val="right" w:pos="8306" w:leader="dot"/>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"_Toc18592" </w:instrText>
      </w:r>
      <w:r>
        <w:rPr>
          <w:color w:val="auto"/>
          <w:highlight w:val="none"/>
        </w:rPr>
        <w:fldChar w:fldCharType="separate"/>
      </w:r>
      <w:r>
        <w:rPr>
          <w:rFonts w:ascii="仿宋" w:hAnsi="仿宋" w:eastAsia="仿宋" w:cs="仿宋"/>
          <w:color w:val="auto"/>
          <w:szCs w:val="40"/>
          <w:highlight w:val="none"/>
        </w:rPr>
        <w:t xml:space="preserve">第六章 </w:t>
      </w:r>
      <w:r>
        <w:rPr>
          <w:rFonts w:hint="eastAsia" w:ascii="仿宋" w:hAnsi="仿宋" w:eastAsia="仿宋" w:cs="仿宋"/>
          <w:color w:val="auto"/>
          <w:szCs w:val="40"/>
          <w:highlight w:val="none"/>
        </w:rPr>
        <w:t xml:space="preserve">投标文件格式</w:t>
      </w:r>
      <w:r>
        <w:rPr>
          <w:color w:val="auto"/>
          <w:highlight w:val="none"/>
        </w:rPr>
        <w:tab/>
      </w:r>
      <w:r>
        <w:rPr>
          <w:color w:val="auto"/>
          <w:highlight w:val="none"/>
        </w:rPr>
        <w:fldChar w:fldCharType="end"/>
      </w:r>
      <w:r>
        <w:rPr>
          <w:rFonts w:hint="eastAsia"/>
          <w:color w:val="auto"/>
          <w:highlight w:val="none"/>
          <w:lang w:val="en-US" w:eastAsia="zh-CN"/>
        </w:rPr>
        <w:t xml:space="preserve">40</w:t>
      </w:r>
      <w:r/>
    </w:p>
    <w:p>
      <w:pPr>
        <w:spacing w:line="440" w:lineRule="exact"/>
        <w:rPr>
          <w:rFonts w:ascii="仿宋" w:hAnsi="仿宋" w:eastAsia="仿宋" w:cs="仿宋"/>
          <w:color w:val="auto"/>
          <w:sz w:val="28"/>
          <w:szCs w:val="28"/>
          <w:highlight w:val="none"/>
        </w:rPr>
      </w:pPr>
      <w:r>
        <w:rPr>
          <w:rFonts w:hint="eastAsia" w:ascii="仿宋" w:hAnsi="仿宋" w:eastAsia="仿宋" w:cs="仿宋"/>
          <w:color w:val="auto"/>
          <w:szCs w:val="28"/>
          <w:highlight w:val="none"/>
        </w:rPr>
        <w:fldChar w:fldCharType="end"/>
      </w:r>
      <w:r/>
    </w:p>
    <w:p>
      <w:pPr>
        <w:widowControl/>
        <w:rPr>
          <w:rFonts w:ascii="仿宋" w:hAnsi="仿宋" w:eastAsia="仿宋" w:cs="仿宋"/>
          <w:b/>
          <w:color w:val="auto"/>
          <w:sz w:val="28"/>
          <w:szCs w:val="28"/>
          <w:highlight w:val="none"/>
        </w:rPr>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ascii="仿宋" w:hAnsi="仿宋" w:eastAsia="仿宋" w:cs="仿宋"/>
          <w:b/>
          <w:color w:val="auto"/>
          <w:sz w:val="28"/>
          <w:szCs w:val="28"/>
          <w:highlight w:val="none"/>
        </w:rPr>
      </w:r>
      <w:r/>
    </w:p>
    <w:p>
      <w:pPr>
        <w:pStyle w:val="741"/>
        <w:numPr>
          <w:ilvl w:val="0"/>
          <w:numId w:val="1"/>
        </w:numPr>
        <w:jc w:val="center"/>
        <w:spacing w:before="0" w:after="0" w:line="360" w:lineRule="auto"/>
        <w:rPr>
          <w:rFonts w:ascii="仿宋" w:hAnsi="仿宋" w:eastAsia="仿宋" w:cs="仿宋"/>
          <w:color w:val="auto"/>
          <w:highlight w:val="none"/>
        </w:rPr>
      </w:pPr>
      <w:r/>
      <w:bookmarkStart w:id="1" w:name="_Toc8593"/>
      <w:r>
        <w:rPr>
          <w:rFonts w:hint="eastAsia" w:ascii="仿宋" w:hAnsi="仿宋" w:eastAsia="仿宋" w:cs="仿宋"/>
          <w:color w:val="auto"/>
          <w:highlight w:val="none"/>
        </w:rPr>
        <w:t xml:space="preserve">招标公告</w:t>
      </w:r>
      <w:bookmarkEnd w:id="1"/>
      <w:r/>
      <w:r/>
    </w:p>
    <w:tbl>
      <w:tblPr>
        <w:tblStyle w:val="7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137"/>
        </w:trPr>
        <w:tc>
          <w:tcPr>
            <w:tcBorders>
              <w:top w:val="single" w:color="auto" w:sz="4" w:space="0"/>
              <w:left w:val="single" w:color="auto" w:sz="4" w:space="0"/>
              <w:bottom w:val="single" w:color="auto" w:sz="4" w:space="0"/>
              <w:right w:val="single" w:color="auto" w:sz="4" w:space="0"/>
            </w:tcBorders>
            <w:tcW w:w="8522" w:type="dxa"/>
            <w:textDirection w:val="lrTb"/>
            <w:noWrap w:val="false"/>
          </w:tcPr>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项目概况</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u w:val="single"/>
                <w:lang w:val="en-US" w:bidi="ar-SA"/>
              </w:rPr>
              <w:t xml:space="preserve">仪征市人民医院</w:t>
            </w:r>
            <w:r>
              <w:rPr>
                <w:rFonts w:hint="eastAsia" w:ascii="仿宋" w:hAnsi="仿宋" w:eastAsia="仿宋" w:cs="仿宋"/>
                <w:color w:val="auto"/>
                <w:sz w:val="24"/>
                <w:szCs w:val="24"/>
                <w:highlight w:val="none"/>
                <w:u w:val="single"/>
                <w:lang w:val="en-US" w:eastAsia="zh-CN" w:bidi="ar-SA"/>
              </w:rPr>
              <w:t xml:space="preserve">电子显微镜</w:t>
            </w:r>
            <w:r>
              <w:rPr>
                <w:rFonts w:hint="eastAsia" w:ascii="仿宋" w:hAnsi="仿宋" w:eastAsia="仿宋" w:cs="仿宋"/>
                <w:color w:val="auto"/>
                <w:sz w:val="24"/>
                <w:szCs w:val="24"/>
                <w:highlight w:val="none"/>
                <w:u w:val="single"/>
                <w:lang w:val="en-US" w:bidi="ar-SA"/>
              </w:rPr>
              <w:t xml:space="preserve">采购项目</w:t>
            </w:r>
            <w:r>
              <w:rPr>
                <w:rFonts w:hint="eastAsia" w:ascii="仿宋" w:hAnsi="仿宋" w:eastAsia="仿宋" w:cs="仿宋"/>
                <w:color w:val="auto"/>
                <w:sz w:val="24"/>
                <w:szCs w:val="24"/>
                <w:highlight w:val="none"/>
                <w:lang w:val="en-US" w:bidi="ar-SA"/>
              </w:rPr>
              <w:t xml:space="preserve">的潜在投标人应在江苏政府采购网、扬州市政府采购网上获取招标文件，并于</w:t>
            </w:r>
            <w:r>
              <w:rPr>
                <w:rFonts w:hint="eastAsia" w:ascii="仿宋" w:hAnsi="仿宋" w:eastAsia="仿宋" w:cs="仿宋"/>
                <w:color w:val="auto"/>
                <w:sz w:val="24"/>
                <w:szCs w:val="24"/>
                <w:highlight w:val="none"/>
                <w:lang w:val="en-US" w:bidi="ar-SA"/>
              </w:rPr>
              <w:t xml:space="preserve">2026年</w:t>
            </w: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en-US" w:bidi="ar-SA"/>
              </w:rPr>
              <w:t xml:space="preserve">月</w:t>
            </w: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en-US" w:bidi="ar-SA"/>
              </w:rPr>
              <w:t xml:space="preserve">日</w:t>
            </w:r>
            <w:r>
              <w:rPr>
                <w:rFonts w:hint="eastAsia" w:ascii="仿宋" w:hAnsi="仿宋" w:eastAsia="仿宋" w:cs="仿宋"/>
                <w:color w:val="auto"/>
                <w:sz w:val="24"/>
                <w:szCs w:val="24"/>
                <w:highlight w:val="none"/>
                <w:lang w:val="en-US" w:eastAsia="zh-CN" w:bidi="ar-SA"/>
              </w:rPr>
              <w:t xml:space="preserve">10</w:t>
            </w:r>
            <w:r>
              <w:rPr>
                <w:rFonts w:hint="eastAsia" w:ascii="仿宋" w:hAnsi="仿宋" w:eastAsia="仿宋" w:cs="仿宋"/>
                <w:color w:val="auto"/>
                <w:sz w:val="24"/>
                <w:szCs w:val="24"/>
                <w:highlight w:val="none"/>
                <w:lang w:val="en-US" w:bidi="ar-SA"/>
              </w:rPr>
              <w:t xml:space="preserve">时</w:t>
            </w:r>
            <w:r>
              <w:rPr>
                <w:rFonts w:hint="eastAsia" w:ascii="仿宋" w:hAnsi="仿宋" w:eastAsia="仿宋" w:cs="仿宋"/>
                <w:color w:val="auto"/>
                <w:sz w:val="24"/>
                <w:szCs w:val="24"/>
                <w:highlight w:val="none"/>
                <w:lang w:val="en-US" w:eastAsia="zh-CN" w:bidi="ar-SA"/>
              </w:rPr>
              <w:t xml:space="preserve">00</w:t>
            </w:r>
            <w:r>
              <w:rPr>
                <w:rFonts w:hint="eastAsia" w:ascii="仿宋" w:hAnsi="仿宋" w:eastAsia="仿宋" w:cs="仿宋"/>
                <w:color w:val="auto"/>
                <w:sz w:val="24"/>
                <w:szCs w:val="24"/>
                <w:highlight w:val="none"/>
                <w:lang w:val="en-US" w:bidi="ar-SA"/>
              </w:rPr>
              <w:t xml:space="preserve">分</w:t>
            </w:r>
            <w:r>
              <w:rPr>
                <w:rFonts w:hint="eastAsia" w:ascii="仿宋" w:hAnsi="仿宋" w:eastAsia="仿宋" w:cs="仿宋"/>
                <w:color w:val="auto"/>
                <w:sz w:val="24"/>
                <w:szCs w:val="24"/>
                <w:highlight w:val="none"/>
                <w:lang w:val="en-US" w:bidi="ar-SA"/>
              </w:rPr>
              <w:t xml:space="preserve">（北京时间）前递交投标文件。</w:t>
            </w:r>
            <w:r/>
          </w:p>
        </w:tc>
      </w:tr>
    </w:tbl>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一、项目基本情况  </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项目名称：仪征市人民医院</w:t>
      </w:r>
      <w:r>
        <w:rPr>
          <w:rFonts w:hint="eastAsia" w:ascii="仿宋" w:hAnsi="仿宋" w:eastAsia="仿宋" w:cs="仿宋"/>
          <w:color w:val="auto"/>
          <w:sz w:val="24"/>
          <w:szCs w:val="24"/>
          <w:highlight w:val="none"/>
          <w:lang w:val="en-US" w:eastAsia="zh-CN" w:bidi="ar-SA"/>
        </w:rPr>
        <w:t xml:space="preserve">电子显微镜</w:t>
      </w:r>
      <w:r>
        <w:rPr>
          <w:rFonts w:hint="eastAsia" w:ascii="仿宋" w:hAnsi="仿宋" w:eastAsia="仿宋" w:cs="仿宋"/>
          <w:color w:val="auto"/>
          <w:sz w:val="24"/>
          <w:szCs w:val="24"/>
          <w:highlight w:val="none"/>
          <w:lang w:val="en-US" w:bidi="ar-SA"/>
        </w:rPr>
        <w:t xml:space="preserve">采购项目</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项目编号：JSZC-321081-JSHY-G2026-0090</w:t>
      </w:r>
      <w:r/>
    </w:p>
    <w:tbl>
      <w:tblPr>
        <w:tblStyle w:val="747"/>
        <w:tblpPr w:horzAnchor="page" w:tblpX="1862" w:vertAnchor="text" w:tblpY="52" w:leftFromText="180" w:topFromText="0" w:rightFromText="180" w:bottomFromText="0"/>
        <w:tblW w:w="84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091"/>
        <w:gridCol w:w="1500"/>
        <w:gridCol w:w="1716"/>
        <w:gridCol w:w="2364"/>
      </w:tblGrid>
      <w:tr>
        <w:trPr>
          <w:trHeight w:val="625"/>
        </w:trPr>
        <w:tc>
          <w:tcPr>
            <w:tcBorders>
              <w:top w:val="single" w:color="auto" w:sz="4" w:space="0"/>
              <w:left w:val="single" w:color="auto" w:sz="4" w:space="0"/>
              <w:bottom w:val="single" w:color="auto" w:sz="4" w:space="0"/>
              <w:right w:val="single" w:color="auto" w:sz="4" w:space="0"/>
            </w:tcBorders>
            <w:tcW w:w="759" w:type="dxa"/>
            <w:vAlign w:val="center"/>
            <w:textDirection w:val="lrTb"/>
            <w:noWrap/>
          </w:tcPr>
          <w:p>
            <w:pPr>
              <w:jc w:val="cente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包号</w:t>
            </w:r>
            <w:r/>
          </w:p>
        </w:tc>
        <w:tc>
          <w:tcPr>
            <w:tcBorders>
              <w:top w:val="single" w:color="auto" w:sz="4" w:space="0"/>
              <w:left w:val="single" w:color="auto" w:sz="4" w:space="0"/>
              <w:bottom w:val="single" w:color="auto" w:sz="4" w:space="0"/>
              <w:right w:val="single" w:color="auto" w:sz="4" w:space="0"/>
            </w:tcBorders>
            <w:tcW w:w="2091" w:type="dxa"/>
            <w:vAlign w:val="center"/>
            <w:textDirection w:val="lrTb"/>
            <w:noWrap/>
          </w:tcPr>
          <w:p>
            <w:pPr>
              <w:jc w:val="cente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名称</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tcPr>
          <w:p>
            <w:pPr>
              <w:jc w:val="cente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数量</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cente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预算</w:t>
            </w:r>
            <w:r/>
          </w:p>
        </w:tc>
        <w:tc>
          <w:tcPr>
            <w:tcBorders>
              <w:top w:val="single" w:color="auto" w:sz="4" w:space="0"/>
              <w:left w:val="single" w:color="auto" w:sz="4" w:space="0"/>
              <w:bottom w:val="single" w:color="auto" w:sz="4" w:space="0"/>
              <w:right w:val="single" w:color="auto" w:sz="4" w:space="0"/>
            </w:tcBorders>
            <w:tcW w:w="2364" w:type="dxa"/>
            <w:vAlign w:val="center"/>
            <w:textDirection w:val="lrTb"/>
            <w:noWrap/>
          </w:tcPr>
          <w:p>
            <w:pPr>
              <w:jc w:val="cente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是否接受进口产品</w:t>
            </w:r>
            <w:r/>
          </w:p>
        </w:tc>
      </w:tr>
      <w:tr>
        <w:trPr>
          <w:trHeight w:val="908"/>
        </w:trPr>
        <w:tc>
          <w:tcPr>
            <w:tcBorders>
              <w:left w:val="single" w:color="auto" w:sz="4" w:space="0"/>
              <w:bottom w:val="single" w:color="auto" w:sz="4" w:space="0"/>
              <w:right w:val="single" w:color="auto" w:sz="4" w:space="0"/>
            </w:tcBorders>
            <w:tcW w:w="759" w:type="dxa"/>
            <w:vAlign w:val="center"/>
            <w:textDirection w:val="lrTb"/>
            <w:noWrap/>
          </w:tcPr>
          <w:p>
            <w:pPr>
              <w:jc w:val="center"/>
              <w:spacing w:line="440" w:lineRule="exact"/>
              <w:rPr>
                <w:color w:val="auto"/>
                <w:highlight w:val="none"/>
                <w:lang w:val="en-US"/>
              </w:rPr>
            </w:pPr>
            <w:r>
              <w:rPr>
                <w:rFonts w:hint="eastAsia"/>
                <w:color w:val="auto"/>
                <w:highlight w:val="none"/>
                <w:lang w:val="en-US"/>
              </w:rPr>
              <w:t xml:space="preserve">01</w:t>
            </w:r>
            <w:r/>
          </w:p>
        </w:tc>
        <w:tc>
          <w:tcPr>
            <w:tcBorders>
              <w:left w:val="single" w:color="auto" w:sz="4" w:space="0"/>
              <w:bottom w:val="single" w:color="auto" w:sz="4" w:space="0"/>
              <w:right w:val="single" w:color="auto" w:sz="4" w:space="0"/>
            </w:tcBorders>
            <w:tcW w:w="2091" w:type="dxa"/>
            <w:vAlign w:val="center"/>
            <w:textDirection w:val="lrTb"/>
            <w:noWrap/>
          </w:tcPr>
          <w:p>
            <w:pPr>
              <w:jc w:val="center"/>
              <w:widowControl/>
              <w:rPr>
                <w:rFonts w:hint="eastAsia" w:eastAsia="宋体"/>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电子显微镜</w:t>
            </w:r>
            <w:r/>
          </w:p>
        </w:tc>
        <w:tc>
          <w:tcPr>
            <w:tcBorders>
              <w:left w:val="single" w:color="auto" w:sz="4" w:space="0"/>
              <w:bottom w:val="single" w:color="auto" w:sz="4" w:space="0"/>
              <w:right w:val="single" w:color="auto" w:sz="4" w:space="0"/>
            </w:tcBorders>
            <w:tcW w:w="1500" w:type="dxa"/>
            <w:vAlign w:val="center"/>
            <w:textDirection w:val="lrTb"/>
            <w:noWrap/>
          </w:tcPr>
          <w:p>
            <w:pPr>
              <w:jc w:val="center"/>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1套</w:t>
            </w:r>
            <w:r/>
          </w:p>
        </w:tc>
        <w:tc>
          <w:tcPr>
            <w:tcBorders>
              <w:left w:val="single" w:color="auto" w:sz="4" w:space="0"/>
              <w:bottom w:val="single" w:color="auto" w:sz="4" w:space="0"/>
              <w:right w:val="single" w:color="auto" w:sz="4" w:space="0"/>
            </w:tcBorders>
            <w:tcW w:w="1716" w:type="dxa"/>
            <w:vAlign w:val="center"/>
            <w:textDirection w:val="lrTb"/>
            <w:noWrap/>
          </w:tcPr>
          <w:p>
            <w:pPr>
              <w:jc w:val="center"/>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260万</w:t>
            </w:r>
            <w:r/>
          </w:p>
        </w:tc>
        <w:tc>
          <w:tcPr>
            <w:tcBorders>
              <w:left w:val="single" w:color="auto" w:sz="4" w:space="0"/>
              <w:bottom w:val="single" w:color="auto" w:sz="4" w:space="0"/>
              <w:right w:val="single" w:color="auto" w:sz="4" w:space="0"/>
            </w:tcBorders>
            <w:tcW w:w="2364" w:type="dxa"/>
            <w:vAlign w:val="center"/>
            <w:textDirection w:val="lrTb"/>
            <w:noWrap/>
          </w:tcPr>
          <w:p>
            <w:pPr>
              <w:jc w:val="center"/>
              <w:spacing w:line="440" w:lineRule="exact"/>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是</w:t>
            </w:r>
            <w:r/>
          </w:p>
        </w:tc>
      </w:tr>
    </w:tbl>
    <w:p>
      <w:pPr>
        <w:ind w:firstLine="24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本项目不接受联合体投标。</w:t>
      </w:r>
      <w:r/>
    </w:p>
    <w:p>
      <w:pPr>
        <w:numPr>
          <w:ilvl w:val="0"/>
          <w:numId w:val="2"/>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投标人的资格要求：</w:t>
      </w:r>
      <w:r/>
    </w:p>
    <w:p>
      <w:pPr>
        <w:pStyle w:val="753"/>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    本项目采用资格后审，应提供以下材料</w:t>
      </w:r>
      <w:r/>
    </w:p>
    <w:p>
      <w:pPr>
        <w:ind w:firstLine="240"/>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1.满足《中华人民共和国政府采购法》第二十二条规定：</w:t>
      </w:r>
      <w:r/>
    </w:p>
    <w:p>
      <w:pPr>
        <w:ind w:firstLine="480"/>
        <w:spacing w:line="440" w:lineRule="exact"/>
        <w:rPr>
          <w:rFonts w:ascii="仿宋" w:hAnsi="仿宋" w:eastAsia="仿宋" w:cs="仿宋"/>
          <w:b/>
          <w:bCs/>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1）具有独立承担民事责任的能力</w:t>
      </w:r>
      <w:r>
        <w:rPr>
          <w:rFonts w:hint="eastAsia" w:ascii="仿宋" w:hAnsi="仿宋" w:eastAsia="仿宋" w:cs="仿宋"/>
          <w:b/>
          <w:bCs/>
          <w:i/>
          <w:iCs/>
          <w:color w:val="auto"/>
          <w:sz w:val="24"/>
          <w:szCs w:val="24"/>
          <w:highlight w:val="none"/>
          <w:u w:val="single"/>
          <w:lang w:val="en-US" w:bidi="ar-SA"/>
        </w:rPr>
        <w:t xml:space="preserve">（提供法人或者其他组织的营业执照；供应商为自然人的，提供其身份证）；</w:t>
      </w:r>
      <w:r/>
    </w:p>
    <w:p>
      <w:pPr>
        <w:ind w:firstLine="480"/>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2）具有良好的商业信誉和健全的财务会计制度</w:t>
      </w:r>
      <w:r>
        <w:rPr>
          <w:rFonts w:hint="eastAsia" w:ascii="仿宋" w:hAnsi="仿宋" w:eastAsia="仿宋" w:cs="仿宋"/>
          <w:b/>
          <w:bCs/>
          <w:i/>
          <w:iCs/>
          <w:color w:val="auto"/>
          <w:sz w:val="24"/>
          <w:szCs w:val="24"/>
          <w:highlight w:val="none"/>
          <w:u w:val="single"/>
          <w:lang w:val="en-US" w:bidi="ar-SA"/>
        </w:rPr>
        <w:t xml:space="preserve">（提供2024年度财务报告或2025年度财务报告，至少包含资产负债表、利润表，或投标截止时间前六个月内银行出具的资信证明，或财政部门认可的政府采购专业担保机构出具的投标担保函；成立不满一年的无需提供）；</w:t>
      </w:r>
      <w:r/>
    </w:p>
    <w:p>
      <w:pPr>
        <w:ind w:firstLine="480"/>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（3）具有履行合同所必需的设备和专业技术能力</w:t>
      </w:r>
      <w:r>
        <w:rPr>
          <w:rFonts w:hint="eastAsia" w:ascii="仿宋" w:hAnsi="仿宋" w:eastAsia="仿宋" w:cs="仿宋"/>
          <w:b/>
          <w:bCs/>
          <w:i/>
          <w:iCs/>
          <w:color w:val="auto"/>
          <w:sz w:val="24"/>
          <w:szCs w:val="24"/>
          <w:highlight w:val="none"/>
          <w:u w:val="single"/>
          <w:lang w:val="en-US" w:bidi="ar-SA"/>
        </w:rPr>
        <w:t xml:space="preserve">（供应商根据履行采购项目合同需要，提供履行合同所必需的设备和专业技术能力的声明函或证明材料）；</w:t>
      </w:r>
      <w:r/>
    </w:p>
    <w:p>
      <w:pPr>
        <w:ind w:firstLine="480"/>
        <w:spacing w:line="440" w:lineRule="exact"/>
        <w:rPr>
          <w:rFonts w:ascii="仿宋" w:hAnsi="仿宋" w:eastAsia="仿宋" w:cs="仿宋"/>
          <w:b/>
          <w:bCs/>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（4）有依法缴纳税收和社会保障资金的良好记录</w:t>
      </w:r>
      <w:r>
        <w:rPr>
          <w:rFonts w:hint="eastAsia" w:ascii="仿宋" w:hAnsi="仿宋" w:eastAsia="仿宋" w:cs="仿宋"/>
          <w:b/>
          <w:bCs/>
          <w:i/>
          <w:iCs/>
          <w:color w:val="auto"/>
          <w:sz w:val="24"/>
          <w:szCs w:val="24"/>
          <w:highlight w:val="none"/>
          <w:u w:val="single"/>
          <w:lang w:val="en-US" w:bidi="ar-SA"/>
        </w:rPr>
        <w:t xml:space="preserve">（提供2025年8月至今）中任一月份的依法缴纳税收和社会保险费的相关材料（提供相关主管部门证明或银行代扣证明的复印件，根据国家相关政策免缴或迟缴的需提供相关证明材料）；</w:t>
      </w:r>
      <w:r/>
    </w:p>
    <w:p>
      <w:pPr>
        <w:ind w:firstLine="480"/>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（5）参加政府采购活动前三年内，在经营活动中没有重大违法记录</w:t>
      </w:r>
      <w:r>
        <w:rPr>
          <w:rFonts w:hint="eastAsia" w:ascii="仿宋" w:hAnsi="仿宋" w:eastAsia="仿宋" w:cs="仿宋"/>
          <w:b/>
          <w:bCs/>
          <w:i/>
          <w:iCs/>
          <w:color w:val="auto"/>
          <w:sz w:val="24"/>
          <w:szCs w:val="24"/>
          <w:highlight w:val="none"/>
          <w:u w:val="single"/>
          <w:lang w:val="en-US" w:bidi="ar-SA"/>
        </w:rPr>
        <w:t xml:space="preserve">（提供承诺书）</w:t>
      </w:r>
      <w:r>
        <w:rPr>
          <w:rFonts w:hint="eastAsia" w:ascii="仿宋" w:hAnsi="仿宋" w:eastAsia="仿宋" w:cs="仿宋"/>
          <w:i/>
          <w:iCs/>
          <w:color w:val="auto"/>
          <w:sz w:val="24"/>
          <w:szCs w:val="24"/>
          <w:highlight w:val="none"/>
          <w:u w:val="single"/>
          <w:lang w:val="en-US" w:bidi="ar-SA"/>
        </w:rPr>
        <w:t xml:space="preserve">；</w:t>
      </w:r>
      <w:r/>
    </w:p>
    <w:p>
      <w:pPr>
        <w:ind w:firstLine="480"/>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（6）法律、行政法规规定的其他条件：无</w:t>
      </w:r>
      <w:r/>
    </w:p>
    <w:p>
      <w:pPr>
        <w:ind w:firstLine="240"/>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2.本项目的特定资格要求：</w:t>
      </w:r>
      <w:r/>
    </w:p>
    <w:p>
      <w:pPr>
        <w:pStyle w:val="753"/>
        <w:ind w:firstLine="480"/>
        <w:spacing w:after="0"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1）投标产品按国家规定须医疗器械注册证的，投标人须提供投标产品的《医疗器械注册证》（复印件加盖公章）；</w:t>
      </w:r>
      <w:r/>
    </w:p>
    <w:p>
      <w:pPr>
        <w:pStyle w:val="753"/>
        <w:ind w:firstLine="480"/>
        <w:spacing w:after="0"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2）投标人为医疗器械经营企业的，须根据投标产品的类别，提供投标人的《医疗器械经营许可证》或者《二类医疗器械经营备案凭证》（复印件加盖公章）；</w:t>
      </w:r>
      <w:r/>
    </w:p>
    <w:p>
      <w:pPr>
        <w:pStyle w:val="753"/>
        <w:ind w:firstLine="480"/>
        <w:spacing w:after="0"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3）医疗器械生产企业投标本企业产品的，须提供《医疗器械生产许可证》（复印件加盖公章）；</w:t>
      </w:r>
      <w:r/>
    </w:p>
    <w:p>
      <w:pPr>
        <w:pStyle w:val="753"/>
        <w:ind w:firstLine="480"/>
        <w:spacing w:after="0"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4）投标货物如为进口产品，投标人须提供下列授权文件之一</w:t>
      </w:r>
      <w:r/>
    </w:p>
    <w:p>
      <w:pPr>
        <w:pStyle w:val="753"/>
        <w:ind w:firstLine="480"/>
        <w:spacing w:after="0"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a.供应商须提供进口产品制造商出具的授权函加盖公章；</w:t>
      </w:r>
      <w:r/>
    </w:p>
    <w:p>
      <w:pPr>
        <w:pStyle w:val="753"/>
        <w:ind w:firstLine="480"/>
        <w:spacing w:after="0"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b.进口产品制造商对授权的区域代理商出具的授权函扫描件及该区域代理商对投标人出具的授权函扫描件加盖公章；</w:t>
      </w:r>
      <w:r/>
    </w:p>
    <w:p>
      <w:pPr>
        <w:pStyle w:val="753"/>
        <w:ind w:firstLine="480"/>
        <w:spacing w:after="0"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c.投标人取得的进口产品代理证书扫描件加盖公章。</w:t>
      </w:r>
      <w:r/>
    </w:p>
    <w:p>
      <w:pPr>
        <w:pStyle w:val="753"/>
        <w:ind w:firstLine="480"/>
        <w:spacing w:after="0" w:line="440" w:lineRule="exact"/>
        <w:rPr>
          <w:color w:val="auto"/>
          <w:highlight w:val="none"/>
          <w:lang w:val="en-US"/>
        </w:rPr>
      </w:pPr>
      <w:r>
        <w:rPr>
          <w:rFonts w:hint="eastAsia" w:ascii="仿宋" w:hAnsi="仿宋" w:eastAsia="仿宋" w:cs="仿宋"/>
          <w:i/>
          <w:iCs/>
          <w:color w:val="auto"/>
          <w:sz w:val="24"/>
          <w:szCs w:val="24"/>
          <w:highlight w:val="none"/>
          <w:u w:val="single"/>
          <w:lang w:val="en-US" w:bidi="ar-SA"/>
        </w:rPr>
        <w:t xml:space="preserve">6）拒绝被“信用中国”（www.creditchina.gov.cn）、“中国政府采购网”(www.ccgp.gov.cn）、“信用江苏（http://credit.jiangsu.gov.cn/）列入失信被执行人、重大税收违法案件当事人、政府采购严重失信行为的投标人参加投标。</w:t>
      </w:r>
      <w:r/>
    </w:p>
    <w:p>
      <w:pPr>
        <w:pStyle w:val="887"/>
        <w:ind w:firstLine="480"/>
        <w:spacing w:line="360" w:lineRule="auto"/>
        <w:rPr>
          <w:color w:val="auto"/>
          <w:highlight w:val="none"/>
        </w:rPr>
        <w:outlineLvl w:val="0"/>
      </w:pPr>
      <w:r>
        <w:rPr>
          <w:rFonts w:hint="eastAsia" w:ascii="仿宋" w:hAnsi="仿宋" w:eastAsia="仿宋" w:cs="仿宋"/>
          <w:color w:val="auto"/>
          <w:sz w:val="24"/>
          <w:szCs w:val="24"/>
          <w:highlight w:val="none"/>
        </w:rPr>
        <w:t xml:space="preserve">注：单位负责人为同一人或者存在直接控股、管理关系的不同供应商，不得参加同一合同项下的采购活动。除单一来源采购项目外，为采购项目提供整体设计、规范编制或者项目管理、监理、检测等服务的供应商，不得再参加该采购项目的其他采购活动。</w:t>
      </w:r>
      <w:r/>
    </w:p>
    <w:p>
      <w:pPr>
        <w:ind w:firstLine="24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3.落实政府采购政策满足的资格要求： </w:t>
      </w:r>
      <w:r/>
    </w:p>
    <w:p>
      <w:pPr>
        <w:ind w:firstLine="480"/>
        <w:spacing w:line="440" w:lineRule="exact"/>
        <w:rPr>
          <w:rFonts w:ascii="仿宋" w:hAnsi="仿宋" w:eastAsia="仿宋" w:cs="仿宋"/>
          <w:color w:val="auto"/>
          <w:sz w:val="24"/>
          <w:szCs w:val="24"/>
          <w:highlight w:val="none"/>
          <w:lang w:val="en-US" w:bidi="ar-SA"/>
        </w:rPr>
      </w:pPr>
      <w:r/>
      <w:bookmarkStart w:id="2" w:name="OLE_LINK23"/>
      <w:r>
        <w:rPr>
          <w:rFonts w:hint="eastAsia" w:ascii="仿宋" w:hAnsi="仿宋" w:eastAsia="仿宋" w:cs="仿宋"/>
          <w:color w:val="auto"/>
          <w:sz w:val="24"/>
          <w:szCs w:val="24"/>
          <w:highlight w:val="none"/>
          <w:lang w:val="en-US" w:bidi="ar-SA"/>
        </w:rPr>
        <w:t xml:space="preserve">1.</w:t>
      </w:r>
      <w:bookmarkStart w:id="3" w:name="OLE_LINK12"/>
      <w:r>
        <w:rPr>
          <w:rFonts w:hint="eastAsia" w:ascii="仿宋" w:hAnsi="仿宋" w:eastAsia="仿宋" w:cs="仿宋"/>
          <w:color w:val="auto"/>
          <w:sz w:val="24"/>
          <w:szCs w:val="24"/>
          <w:highlight w:val="none"/>
          <w:lang w:val="en-US" w:bidi="ar-SA"/>
        </w:rPr>
        <w:t xml:space="preserve">本项目属于货物类采购。根据《政府采购促进中小企业发展管理办法》（财库[2020]46号）、(苏财购[2022]45号)的要求，本项目小型、微型企业在评标时享受20%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bookmarkEnd w:id="3"/>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w:t>
      </w:r>
      <w:bookmarkStart w:id="4" w:name="OLE_LINK24"/>
      <w:r>
        <w:rPr>
          <w:rFonts w:hint="eastAsia" w:ascii="仿宋" w:hAnsi="仿宋" w:eastAsia="仿宋" w:cs="仿宋"/>
          <w:color w:val="auto"/>
          <w:sz w:val="24"/>
          <w:szCs w:val="24"/>
          <w:highlight w:val="none"/>
          <w:lang w:val="en-US" w:bidi="ar-SA"/>
        </w:rPr>
        <w:t xml:space="preserve">中小微企业划型标准请对照《关于印发中小企业划型标准规定的通知》（工信部联企业〔2011〕300号）（详见格式）。本项目采购标的对应的行业主要为工业。</w:t>
      </w:r>
      <w:bookmarkEnd w:id="2"/>
      <w:r/>
      <w:bookmarkEnd w:id="4"/>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三、获取招标文件</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1.时间：自招标文件公告发布之日起5个工作日。</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2.获取方式：本项目采用网上注册登记方式。</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3.潜在供应商访问政府采购管理交易系统（苏采云）的网络地址和方法：</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（2）“CA数字证书”的获取：供应商需办理CA锁，“苏采云”系统目前仅支持“苏采云”系统下的政务CA，省内各地区办理的“苏采云”系统下的政务CA全省通用。</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（3）“CA数字证书”的办理材料以及供应商操作手册详见：</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http://zfcg.yangzhou.gov.cn/zfcg/xzzx/202309/4d7de1f7865f4a2894fc22bc452f94d8.shtml。</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（4）潜在供应商访问“苏采云”系统的网络地址和方法：“苏采云”系统的网址：http://jszfcg.jsczt.cn/。</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（5）采购文件（后缀名为“.kedt”）、供应商操作手册及政府采购客户端工具也可通过“苏采云”系统--已报名项目--报名详情页面内相应链接进行下载。</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（6）招标代理机构（采购代理机构）将数据电文形式的采购文件加载至“苏采云”系统，供潜在供应商下载或者查阅。     </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（7）苏采云系统使用谷歌浏览器参与不见面开标。</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四、提交投标文件截止时间、开标时间和地点</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2026年</w:t>
      </w: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en-US" w:bidi="ar-SA"/>
        </w:rPr>
        <w:t xml:space="preserve">月</w:t>
      </w: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en-US" w:bidi="ar-SA"/>
        </w:rPr>
        <w:t xml:space="preserve">日</w:t>
      </w:r>
      <w:r>
        <w:rPr>
          <w:rFonts w:hint="eastAsia" w:ascii="仿宋" w:hAnsi="仿宋" w:eastAsia="仿宋" w:cs="仿宋"/>
          <w:color w:val="auto"/>
          <w:sz w:val="24"/>
          <w:szCs w:val="24"/>
          <w:highlight w:val="none"/>
          <w:lang w:val="en-US" w:eastAsia="zh-CN" w:bidi="ar-SA"/>
        </w:rPr>
        <w:t xml:space="preserve">10</w:t>
      </w:r>
      <w:r>
        <w:rPr>
          <w:rFonts w:hint="eastAsia" w:ascii="仿宋" w:hAnsi="仿宋" w:eastAsia="仿宋" w:cs="仿宋"/>
          <w:color w:val="auto"/>
          <w:sz w:val="24"/>
          <w:szCs w:val="24"/>
          <w:highlight w:val="none"/>
          <w:lang w:val="en-US" w:bidi="ar-SA"/>
        </w:rPr>
        <w:t xml:space="preserve">时</w:t>
      </w:r>
      <w:r>
        <w:rPr>
          <w:rFonts w:hint="eastAsia" w:ascii="仿宋" w:hAnsi="仿宋" w:eastAsia="仿宋" w:cs="仿宋"/>
          <w:color w:val="auto"/>
          <w:sz w:val="24"/>
          <w:szCs w:val="24"/>
          <w:highlight w:val="none"/>
          <w:lang w:val="en-US" w:eastAsia="zh-CN" w:bidi="ar-SA"/>
        </w:rPr>
        <w:t xml:space="preserve">00</w:t>
      </w:r>
      <w:r>
        <w:rPr>
          <w:rFonts w:hint="eastAsia" w:ascii="仿宋" w:hAnsi="仿宋" w:eastAsia="仿宋" w:cs="仿宋"/>
          <w:color w:val="auto"/>
          <w:sz w:val="24"/>
          <w:szCs w:val="24"/>
          <w:highlight w:val="none"/>
          <w:lang w:val="en-US" w:bidi="ar-SA"/>
        </w:rPr>
        <w:t xml:space="preserve">分</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地点：“苏采云”系统（网址：http://jszfcg.jsczt.cn/）“开标大厅”。</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五、公告期限</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自本公告发布之日起5个工作日。</w:t>
      </w:r>
      <w:r/>
    </w:p>
    <w:p>
      <w:pPr>
        <w:numPr>
          <w:ilvl w:val="0"/>
          <w:numId w:val="3"/>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其他补充事宜：无</w:t>
      </w:r>
      <w:r/>
    </w:p>
    <w:p>
      <w:pPr>
        <w:numPr>
          <w:ilvl w:val="0"/>
          <w:numId w:val="3"/>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对本次招标提出询问，请按以下方式联系。</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1.采购人信息</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名称：仪征市人民医院</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地址：仪征市东园南路61号</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联系人：张老师 电话：0514-83450109</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2.采购代理机构信息</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名称：江苏弘业国际技术工程有限公司 </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地址：南京市中华路50号弘业大厦</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联系方式：025-52278371</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传  真：025-52278761</w:t>
      </w:r>
      <w:r/>
    </w:p>
    <w:p>
      <w:pPr>
        <w:ind w:firstLine="480"/>
        <w:spacing w:line="440" w:lineRule="exact"/>
        <w:rPr>
          <w:rFonts w:ascii="仿宋" w:hAnsi="仿宋" w:eastAsia="仿宋" w:cs="仿宋"/>
          <w:color w:val="auto"/>
          <w:sz w:val="24"/>
          <w:szCs w:val="24"/>
          <w:highlight w:val="none"/>
          <w:u w:val="single"/>
          <w:lang w:val="en-US" w:bidi="ar-SA"/>
        </w:rPr>
      </w:pPr>
      <w:r>
        <w:rPr>
          <w:rFonts w:hint="eastAsia" w:ascii="仿宋" w:hAnsi="仿宋" w:eastAsia="仿宋" w:cs="仿宋"/>
          <w:color w:val="auto"/>
          <w:sz w:val="24"/>
          <w:szCs w:val="24"/>
          <w:highlight w:val="none"/>
          <w:lang w:val="en-US" w:bidi="ar-SA"/>
        </w:rPr>
        <w:t xml:space="preserve">邮箱：</w:t>
      </w:r>
      <w:r>
        <w:rPr>
          <w:color w:val="auto"/>
          <w:highlight w:val="none"/>
        </w:rPr>
        <w:fldChar w:fldCharType="begin"/>
      </w:r>
      <w:r>
        <w:rPr>
          <w:color w:val="auto"/>
          <w:highlight w:val="none"/>
        </w:rPr>
        <w:instrText xml:space="preserve"> HYPERLINK "mailto:hollyzbzy@artall.com" </w:instrText>
      </w:r>
      <w:r>
        <w:rPr>
          <w:color w:val="auto"/>
          <w:highlight w:val="none"/>
        </w:rPr>
        <w:fldChar w:fldCharType="separate"/>
      </w:r>
      <w:r>
        <w:rPr>
          <w:rFonts w:hint="eastAsia" w:ascii="仿宋" w:hAnsi="仿宋" w:eastAsia="仿宋" w:cs="仿宋"/>
          <w:color w:val="auto"/>
          <w:sz w:val="24"/>
          <w:szCs w:val="24"/>
          <w:highlight w:val="none"/>
          <w:u w:val="single"/>
          <w:lang w:val="en-US" w:bidi="ar-SA"/>
        </w:rPr>
        <w:t xml:space="preserve">hollyzbzy@artall.com</w:t>
      </w:r>
      <w:r>
        <w:rPr>
          <w:rFonts w:hint="eastAsia" w:ascii="仿宋" w:hAnsi="仿宋" w:eastAsia="仿宋" w:cs="仿宋"/>
          <w:color w:val="auto"/>
          <w:sz w:val="24"/>
          <w:szCs w:val="24"/>
          <w:highlight w:val="none"/>
          <w:u w:val="single"/>
          <w:lang w:val="en-US" w:bidi="ar-SA"/>
        </w:rPr>
        <w:fldChar w:fldCharType="end"/>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项目联系方式</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项目联系人：宋瞰尘</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电话：025-52278371</w:t>
      </w:r>
      <w:r/>
    </w:p>
    <w:p>
      <w:pPr>
        <w:spacing w:line="440" w:lineRule="exact"/>
        <w:rPr>
          <w:rFonts w:ascii="仿宋" w:hAnsi="仿宋" w:eastAsia="仿宋" w:cs="仿宋"/>
          <w:color w:val="auto"/>
          <w:sz w:val="24"/>
          <w:szCs w:val="24"/>
          <w:highlight w:val="none"/>
          <w:lang w:val="en-US" w:bidi="ar-SA"/>
        </w:rPr>
      </w:pPr>
      <w:r>
        <w:rPr>
          <w:rFonts w:ascii="仿宋" w:hAnsi="仿宋" w:eastAsia="仿宋" w:cs="仿宋"/>
          <w:color w:val="auto"/>
          <w:sz w:val="24"/>
          <w:szCs w:val="24"/>
          <w:highlight w:val="none"/>
          <w:lang w:val="en-US" w:bidi="ar-SA"/>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440" w:lineRule="exact"/>
        <w:rPr>
          <w:rFonts w:ascii="仿宋" w:hAnsi="仿宋" w:eastAsia="仿宋" w:cs="仿宋"/>
          <w:color w:val="auto"/>
          <w:sz w:val="24"/>
          <w:szCs w:val="24"/>
          <w:highlight w:val="none"/>
          <w:lang w:val="en-US" w:bidi="ar-SA"/>
        </w:rPr>
      </w:pPr>
      <w:r>
        <w:rPr>
          <w:rFonts w:ascii="仿宋" w:hAnsi="仿宋" w:eastAsia="仿宋" w:cs="仿宋"/>
          <w:color w:val="auto"/>
          <w:sz w:val="24"/>
          <w:szCs w:val="24"/>
          <w:highlight w:val="none"/>
          <w:lang w:val="en-US" w:bidi="ar-SA"/>
        </w:rPr>
        <w:t xml:space="preserve">九、其他</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2.供应商如确定参加投标，可自行下载招标文件及有关资料，按照《操作手册》进行注册，领取CA和办理电子签章，并按《操作手册》要求制作、上传电子投标文件，技术支持联系方式：13813140731。</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w:t>
      </w:r>
      <w:r>
        <w:rPr>
          <w:rFonts w:ascii="仿宋" w:hAnsi="仿宋" w:eastAsia="仿宋" w:cs="仿宋"/>
          <w:color w:val="auto"/>
          <w:sz w:val="24"/>
          <w:szCs w:val="24"/>
          <w:highlight w:val="none"/>
          <w:lang w:val="en-US" w:bidi="ar-SA"/>
        </w:rPr>
        <w:t xml:space="preserve">、本次招标不收取投标保证金。</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w:t>
      </w:r>
      <w:r>
        <w:rPr>
          <w:rFonts w:ascii="仿宋" w:hAnsi="仿宋" w:eastAsia="仿宋" w:cs="仿宋"/>
          <w:color w:val="auto"/>
          <w:sz w:val="24"/>
          <w:szCs w:val="24"/>
          <w:highlight w:val="none"/>
          <w:lang w:val="en-US" w:bidi="ar-SA"/>
        </w:rPr>
        <w:t xml:space="preserve">、有关本次招标的事项若存在变动或修改，敬请及时关注“扬州市政府采购网”、“江苏省政府采购网”发布的信息。</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5</w:t>
      </w:r>
      <w:r>
        <w:rPr>
          <w:rFonts w:ascii="仿宋" w:hAnsi="仿宋" w:eastAsia="仿宋" w:cs="仿宋"/>
          <w:color w:val="auto"/>
          <w:sz w:val="24"/>
          <w:szCs w:val="24"/>
          <w:highlight w:val="none"/>
          <w:lang w:val="en-US" w:bidi="ar-SA"/>
        </w:rPr>
        <w:t xml:space="preserve">、</w:t>
      </w:r>
      <w:r>
        <w:rPr>
          <w:rFonts w:ascii="仿宋" w:hAnsi="仿宋" w:eastAsia="仿宋" w:cs="仿宋"/>
          <w:i/>
          <w:iCs/>
          <w:color w:val="auto"/>
          <w:sz w:val="24"/>
          <w:szCs w:val="24"/>
          <w:highlight w:val="none"/>
          <w:u w:val="single"/>
          <w:lang w:val="en-US" w:bidi="ar-SA"/>
        </w:rPr>
        <w:t xml:space="preserve">本项目招标文件中所有斜体下划线部分为实质性条款，如不满足，则为无效投标。</w:t>
      </w:r>
      <w:r/>
    </w:p>
    <w:p>
      <w:pPr>
        <w:ind w:firstLine="480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江苏弘业国际技术工程有限公司</w:t>
      </w:r>
      <w:r>
        <w:rPr>
          <w:rFonts w:hint="eastAsia" w:ascii="仿宋" w:hAnsi="仿宋" w:eastAsia="仿宋" w:cs="仿宋"/>
          <w:color w:val="auto"/>
          <w:sz w:val="24"/>
          <w:szCs w:val="24"/>
          <w:highlight w:val="none"/>
          <w:lang w:val="en-US" w:bidi="ar-SA"/>
        </w:rPr>
        <w:br w:type="page" w:clear="all"/>
      </w:r>
      <w:r/>
    </w:p>
    <w:p>
      <w:pPr>
        <w:pStyle w:val="741"/>
        <w:numPr>
          <w:ilvl w:val="0"/>
          <w:numId w:val="1"/>
        </w:numPr>
        <w:jc w:val="center"/>
        <w:spacing w:before="0" w:after="0" w:line="360" w:lineRule="auto"/>
        <w:rPr>
          <w:rFonts w:ascii="仿宋" w:hAnsi="仿宋" w:eastAsia="仿宋" w:cs="仿宋"/>
          <w:color w:val="auto"/>
          <w:highlight w:val="none"/>
        </w:rPr>
      </w:pPr>
      <w:r/>
      <w:bookmarkStart w:id="5" w:name="_Toc9541"/>
      <w:r>
        <w:rPr>
          <w:rFonts w:hint="eastAsia" w:ascii="仿宋" w:hAnsi="仿宋" w:eastAsia="仿宋" w:cs="仿宋"/>
          <w:color w:val="auto"/>
          <w:highlight w:val="none"/>
        </w:rPr>
        <w:t xml:space="preserve">投标人须知</w:t>
      </w:r>
      <w:bookmarkEnd w:id="5"/>
      <w:r/>
      <w:r/>
    </w:p>
    <w:p>
      <w:pPr>
        <w:ind w:left="-427" w:right="-475"/>
        <w:jc w:val="center"/>
        <w:spacing w:line="440" w:lineRule="exact"/>
        <w:tabs>
          <w:tab w:val="left" w:pos="10915" w:leader="none"/>
        </w:tabs>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rPr>
        <w:t xml:space="preserve">投标人须知前附表</w:t>
      </w:r>
      <w:r/>
    </w:p>
    <w:tbl>
      <w:tblPr>
        <w:tblStyle w:val="747"/>
        <w:tblpPr w:horzAnchor="margin" w:tblpXSpec="center" w:vertAnchor="text" w:tblpY="353" w:leftFromText="180" w:topFromText="0" w:rightFromText="180" w:bottomFromText="0"/>
        <w:tblW w:w="95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6"/>
        <w:gridCol w:w="1948"/>
        <w:gridCol w:w="6393"/>
      </w:tblGrid>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pStyle w:val="806"/>
              <w:ind w:right="65"/>
              <w:jc w:val="center"/>
              <w:spacing w:line="42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条目号</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pStyle w:val="806"/>
              <w:ind w:right="88"/>
              <w:jc w:val="center"/>
              <w:spacing w:line="42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条目名称</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806"/>
              <w:ind w:right="-111"/>
              <w:jc w:val="center"/>
              <w:spacing w:line="42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编列</w:t>
            </w:r>
            <w:r>
              <w:rPr>
                <w:rFonts w:hint="eastAsia" w:ascii="仿宋" w:hAnsi="仿宋" w:eastAsia="仿宋" w:cs="仿宋"/>
                <w:b/>
                <w:bCs/>
                <w:color w:val="auto"/>
                <w:sz w:val="24"/>
                <w:szCs w:val="24"/>
                <w:highlight w:val="none"/>
                <w:lang w:val="en-US"/>
              </w:rPr>
              <w:t xml:space="preserve">内</w:t>
            </w:r>
            <w:r>
              <w:rPr>
                <w:rFonts w:hint="eastAsia" w:ascii="仿宋" w:hAnsi="仿宋" w:eastAsia="仿宋" w:cs="仿宋"/>
                <w:b/>
                <w:bCs/>
                <w:color w:val="auto"/>
                <w:sz w:val="24"/>
                <w:szCs w:val="24"/>
                <w:highlight w:val="none"/>
              </w:rPr>
              <w:t xml:space="preserve">容</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1</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采购人</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名称：仪征市人民医院</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地址：仪征市东园南路61号</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联系人：张老师 电话：0514-83450109</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2</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采购代理机构</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名称：江苏弘业国际技术工程有限公司 </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地址：南京市中华路50号弘业大厦</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联系人：宋瞰尘</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电话：025-52278371   </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电子邮箱：hollyzbzy@artall.com </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3</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项目名称</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仪征市人民医院</w:t>
            </w:r>
            <w:r>
              <w:rPr>
                <w:rFonts w:hint="eastAsia" w:ascii="仿宋" w:hAnsi="仿宋" w:eastAsia="仿宋" w:cs="仿宋"/>
                <w:color w:val="auto"/>
                <w:sz w:val="24"/>
                <w:szCs w:val="24"/>
                <w:highlight w:val="none"/>
                <w:lang w:val="en-US" w:eastAsia="zh-CN" w:bidi="ar-SA"/>
              </w:rPr>
              <w:t xml:space="preserve">电子显微镜</w:t>
            </w:r>
            <w:r>
              <w:rPr>
                <w:rFonts w:hint="eastAsia" w:ascii="仿宋" w:hAnsi="仿宋" w:eastAsia="仿宋" w:cs="仿宋"/>
                <w:color w:val="auto"/>
                <w:sz w:val="24"/>
                <w:szCs w:val="24"/>
                <w:highlight w:val="none"/>
                <w:lang w:val="en-US" w:bidi="ar-SA"/>
              </w:rPr>
              <w:t xml:space="preserve">采购项目</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4</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实施地点</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采购人指定地点</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招标规模</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详见采购需求</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6</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招标范围</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bidi="ar-SA"/>
              </w:rPr>
              <w:t xml:space="preserve">仪征市人民医院</w:t>
            </w:r>
            <w:r>
              <w:rPr>
                <w:rFonts w:hint="eastAsia" w:ascii="仿宋" w:hAnsi="仿宋" w:eastAsia="仿宋" w:cs="仿宋"/>
                <w:color w:val="auto"/>
                <w:sz w:val="24"/>
                <w:szCs w:val="24"/>
                <w:highlight w:val="none"/>
                <w:lang w:val="en-US" w:eastAsia="zh-CN" w:bidi="ar-SA"/>
              </w:rPr>
              <w:t xml:space="preserve">电子显微镜</w:t>
            </w:r>
            <w:r>
              <w:rPr>
                <w:rFonts w:hint="eastAsia" w:ascii="仿宋" w:hAnsi="仿宋" w:eastAsia="仿宋" w:cs="仿宋"/>
                <w:color w:val="auto"/>
                <w:sz w:val="24"/>
                <w:szCs w:val="24"/>
                <w:highlight w:val="none"/>
                <w:lang w:val="en-US" w:bidi="ar-SA"/>
              </w:rPr>
              <w:t xml:space="preserve">采购项目，具体内容详见招标文件。</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7</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最高限价</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260万元</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投标总价超过最高限价，均将导致投标无效。</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计价方式</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报价为一次报价。不接受备选的投标方案或有选择的报价，只允许有一个报价。投标报价内容包括：设备本身、安装调试费、人工费、服务费、税金以及交付使用过程中涉及到的其他一切费用。</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9</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质量要求</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符合国家相关标准或国家建设安装质量规范要求、招标文件要求并经采购人验收合格。 </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10</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资金来源</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自筹。</w:t>
            </w:r>
            <w:r/>
          </w:p>
        </w:tc>
      </w:tr>
      <w:tr>
        <w:trPr>
          <w:trHeight w:val="423"/>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11</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资金落实</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bidi="ar-SA"/>
              </w:rPr>
              <w:t xml:space="preserve">已落实。</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12</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项目交货期</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合同签定后90天内。</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13</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质量保证期</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自验收报告签字确认日起，开始进入免费质保期，质保期≥5年。</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14</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培训</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技术培训的内容包括但不限于操作培训、设备和系统维护培训。</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对采购人相关工作人员进行培训，需要有培训计划和点检表，确保被培训人员具有独立操作、独立解决中小故障的能力。</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15</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投标人资格要求</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见招标公告内容。</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16</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投标有效期</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jc w:val="both"/>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不少于90个日历天（从投标截止之日起算）。</w:t>
            </w:r>
            <w:r/>
          </w:p>
        </w:tc>
      </w:tr>
      <w:tr>
        <w:trPr>
          <w:trHeight w:val="90"/>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17</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是否允许递交备选投标方案</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不允许。</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18</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招标项目是否允许分包</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不允许。</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19</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构成招标文件的其他资料</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招标文件的澄清及补充等。</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20</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是否接受联合体投标</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807"/>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本次招标不接受联合体投标。</w:t>
            </w:r>
            <w:r/>
          </w:p>
        </w:tc>
      </w:tr>
      <w:tr>
        <w:trPr>
          <w:trHeight w:val="1324"/>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21</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踏勘现场</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jc w:val="both"/>
              <w:spacing w:line="42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本次项目不组织统一的现场踏勘，如有需要购买招标文件后投标人自行踏勘。</w:t>
            </w:r>
            <w:r/>
          </w:p>
          <w:p>
            <w:pPr>
              <w:pStyle w:val="753"/>
              <w:spacing w:after="0" w:line="42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地点：</w:t>
            </w:r>
            <w:r>
              <w:rPr>
                <w:rFonts w:hint="eastAsia" w:ascii="仿宋" w:hAnsi="仿宋" w:eastAsia="仿宋" w:cs="仿宋"/>
                <w:color w:val="auto"/>
                <w:sz w:val="24"/>
                <w:szCs w:val="24"/>
                <w:highlight w:val="none"/>
                <w:lang w:val="en-US" w:bidi="ar-SA"/>
              </w:rPr>
              <w:t xml:space="preserve">仪征市东园南路61号</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22</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投标预备会</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jc w:val="both"/>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本次项目不召开。 </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23</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招标文件的澄清、补充、修改的时间</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澄清、补充、修改的内容影响投标文件编制的，采购人将在投标截止时间15日前发布，不足15日的，采购人将顺延递交投标文件的截止时间。</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24</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投标人自行关注公告</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潜在投标人应自行关注江苏政府采购网、扬州市政府采购网公告，采购人不再一一通知。投标人因自身贻误行为导致投标失败的，责任自负。</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25</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构成投标文件的其他资料</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必须严格按照第六章《投标文件格式》的内容逐页编写，并加上投标人自认为需要提供的其他材料。</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26</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投标地点及截止时间</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地点：“苏采云”系统（网址：http://jszfcg.jsczt.cn/）“开标大厅”。</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时间：</w:t>
            </w:r>
            <w:r>
              <w:rPr>
                <w:rFonts w:hint="eastAsia" w:ascii="仿宋" w:hAnsi="仿宋" w:eastAsia="仿宋" w:cs="仿宋"/>
                <w:color w:val="auto"/>
                <w:sz w:val="24"/>
                <w:szCs w:val="24"/>
                <w:highlight w:val="none"/>
                <w:lang w:val="en-US" w:bidi="ar-SA"/>
              </w:rPr>
              <w:t xml:space="preserve">2026年</w:t>
            </w: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en-US" w:bidi="ar-SA"/>
              </w:rPr>
              <w:t xml:space="preserve">月</w:t>
            </w: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en-US" w:bidi="ar-SA"/>
              </w:rPr>
              <w:t xml:space="preserve">日</w:t>
            </w:r>
            <w:r>
              <w:rPr>
                <w:rFonts w:hint="eastAsia" w:ascii="仿宋" w:hAnsi="仿宋" w:eastAsia="仿宋" w:cs="仿宋"/>
                <w:color w:val="auto"/>
                <w:sz w:val="24"/>
                <w:szCs w:val="24"/>
                <w:highlight w:val="none"/>
                <w:lang w:val="en-US" w:eastAsia="zh-CN" w:bidi="ar-SA"/>
              </w:rPr>
              <w:t xml:space="preserve">10</w:t>
            </w:r>
            <w:r>
              <w:rPr>
                <w:rFonts w:hint="eastAsia" w:ascii="仿宋" w:hAnsi="仿宋" w:eastAsia="仿宋" w:cs="仿宋"/>
                <w:color w:val="auto"/>
                <w:sz w:val="24"/>
                <w:szCs w:val="24"/>
                <w:highlight w:val="none"/>
                <w:lang w:val="en-US" w:bidi="ar-SA"/>
              </w:rPr>
              <w:t xml:space="preserve">时</w:t>
            </w:r>
            <w:r>
              <w:rPr>
                <w:rFonts w:hint="eastAsia" w:ascii="仿宋" w:hAnsi="仿宋" w:eastAsia="仿宋" w:cs="仿宋"/>
                <w:color w:val="auto"/>
                <w:sz w:val="24"/>
                <w:szCs w:val="24"/>
                <w:highlight w:val="none"/>
                <w:lang w:val="en-US" w:eastAsia="zh-CN" w:bidi="ar-SA"/>
              </w:rPr>
              <w:t xml:space="preserve">00</w:t>
            </w:r>
            <w:r>
              <w:rPr>
                <w:rFonts w:hint="eastAsia" w:ascii="仿宋" w:hAnsi="仿宋" w:eastAsia="仿宋" w:cs="仿宋"/>
                <w:color w:val="auto"/>
                <w:sz w:val="24"/>
                <w:szCs w:val="24"/>
                <w:highlight w:val="none"/>
                <w:lang w:val="en-US" w:bidi="ar-SA"/>
              </w:rPr>
              <w:t xml:space="preserve">分</w:t>
            </w:r>
            <w:r>
              <w:rPr>
                <w:rFonts w:hint="eastAsia" w:ascii="仿宋" w:hAnsi="仿宋" w:eastAsia="仿宋" w:cs="仿宋"/>
                <w:color w:val="auto"/>
                <w:sz w:val="24"/>
                <w:szCs w:val="24"/>
                <w:highlight w:val="none"/>
                <w:lang w:val="en-US" w:bidi="ar-SA"/>
              </w:rPr>
              <w:t xml:space="preserve">（北京时间）。</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27</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投标报价的其他要求</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关于仪征市人民医院</w:t>
            </w:r>
            <w:r>
              <w:rPr>
                <w:rFonts w:hint="eastAsia" w:ascii="仿宋" w:hAnsi="仿宋" w:eastAsia="仿宋" w:cs="仿宋"/>
                <w:color w:val="auto"/>
                <w:sz w:val="24"/>
                <w:szCs w:val="24"/>
                <w:highlight w:val="none"/>
                <w:lang w:val="en-US" w:eastAsia="zh-CN" w:bidi="ar-SA"/>
              </w:rPr>
              <w:t xml:space="preserve">电子显微镜</w:t>
            </w:r>
            <w:r>
              <w:rPr>
                <w:rFonts w:hint="eastAsia" w:ascii="仿宋" w:hAnsi="仿宋" w:eastAsia="仿宋" w:cs="仿宋"/>
                <w:color w:val="auto"/>
                <w:sz w:val="24"/>
                <w:szCs w:val="24"/>
                <w:highlight w:val="none"/>
                <w:lang w:val="en-US" w:bidi="ar-SA"/>
              </w:rPr>
              <w:t xml:space="preserve">采购项目，请各位投标人认真阅读如下内容，并在报价时充分考虑。</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 报价为一次报价，于开标会议当场宣读。</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 本项目不接受备选的投标方案或有选择的报价，只允许有一个报价。投标报价内容包括：</w:t>
            </w:r>
            <w:bookmarkStart w:id="6" w:name="EB54dd097a55df4796bd5f9b6bdf2ddc40"/>
            <w:r>
              <w:rPr>
                <w:rFonts w:hint="eastAsia" w:ascii="仿宋" w:hAnsi="仿宋" w:eastAsia="仿宋" w:cs="仿宋"/>
                <w:color w:val="auto"/>
                <w:sz w:val="24"/>
                <w:szCs w:val="24"/>
                <w:highlight w:val="none"/>
                <w:lang w:val="en-US" w:bidi="ar-SA"/>
              </w:rPr>
              <w:t xml:space="preserve">设备本身、安装调试费、人工费、服务费、税金以及交付使用过程中涉及到的其他一切费用。</w:t>
            </w:r>
            <w:bookmarkEnd w:id="6"/>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 报价注意事项：</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 价格一律以人民币计算，以元为单位标准；</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5. 投标人报价时应充分考虑所有可能影响到报价的因素，一旦评标结束最终中标，如发生漏、缺、少项，都将被认为是中标人的报价让利行为，损失自负。</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28</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投标保证金</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807"/>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无</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29</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投标保证金不予退还的情形</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807"/>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本条不适用</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30</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开标时间、开标地点</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40" w:lineRule="exact"/>
              <w:rPr>
                <w:rFonts w:ascii="仿宋" w:hAnsi="仿宋" w:eastAsia="仿宋" w:cs="仿宋"/>
                <w:strike/>
                <w:color w:val="auto"/>
                <w:sz w:val="24"/>
                <w:szCs w:val="24"/>
                <w:highlight w:val="none"/>
                <w:lang w:val="en-US" w:bidi="ar-SA"/>
              </w:rPr>
            </w:pPr>
            <w:r>
              <w:rPr>
                <w:rFonts w:hint="eastAsia" w:ascii="仿宋" w:hAnsi="仿宋" w:eastAsia="仿宋" w:cs="仿宋"/>
                <w:color w:val="auto"/>
                <w:sz w:val="24"/>
                <w:szCs w:val="24"/>
                <w:highlight w:val="none"/>
                <w:lang w:val="en-US"/>
              </w:rPr>
              <w:t xml:space="preserve">开标时间</w:t>
            </w:r>
            <w:r>
              <w:rPr>
                <w:rFonts w:hint="eastAsia" w:ascii="仿宋" w:hAnsi="仿宋" w:eastAsia="仿宋" w:cs="仿宋"/>
                <w:color w:val="auto"/>
                <w:sz w:val="24"/>
                <w:szCs w:val="24"/>
                <w:highlight w:val="none"/>
                <w:lang w:val="en-US" w:bidi="ar-SA"/>
              </w:rPr>
              <w:t xml:space="preserve">：</w:t>
            </w:r>
            <w:r>
              <w:rPr>
                <w:rFonts w:hint="eastAsia" w:ascii="仿宋" w:hAnsi="仿宋" w:eastAsia="仿宋" w:cs="仿宋"/>
                <w:color w:val="auto"/>
                <w:sz w:val="24"/>
                <w:szCs w:val="24"/>
                <w:highlight w:val="none"/>
                <w:lang w:val="en-US" w:bidi="ar-SA"/>
              </w:rPr>
              <w:t xml:space="preserve">2026年</w:t>
            </w: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en-US" w:bidi="ar-SA"/>
              </w:rPr>
              <w:t xml:space="preserve">月</w:t>
            </w: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en-US" w:bidi="ar-SA"/>
              </w:rPr>
              <w:t xml:space="preserve">日</w:t>
            </w:r>
            <w:r>
              <w:rPr>
                <w:rFonts w:hint="eastAsia" w:ascii="仿宋" w:hAnsi="仿宋" w:eastAsia="仿宋" w:cs="仿宋"/>
                <w:color w:val="auto"/>
                <w:sz w:val="24"/>
                <w:szCs w:val="24"/>
                <w:highlight w:val="none"/>
                <w:lang w:val="en-US" w:eastAsia="zh-CN" w:bidi="ar-SA"/>
              </w:rPr>
              <w:t xml:space="preserve">10</w:t>
            </w:r>
            <w:r>
              <w:rPr>
                <w:rFonts w:hint="eastAsia" w:ascii="仿宋" w:hAnsi="仿宋" w:eastAsia="仿宋" w:cs="仿宋"/>
                <w:color w:val="auto"/>
                <w:sz w:val="24"/>
                <w:szCs w:val="24"/>
                <w:highlight w:val="none"/>
                <w:lang w:val="en-US" w:bidi="ar-SA"/>
              </w:rPr>
              <w:t xml:space="preserve">时</w:t>
            </w:r>
            <w:r>
              <w:rPr>
                <w:rFonts w:hint="eastAsia" w:ascii="仿宋" w:hAnsi="仿宋" w:eastAsia="仿宋" w:cs="仿宋"/>
                <w:color w:val="auto"/>
                <w:sz w:val="24"/>
                <w:szCs w:val="24"/>
                <w:highlight w:val="none"/>
                <w:lang w:val="en-US" w:eastAsia="zh-CN" w:bidi="ar-SA"/>
              </w:rPr>
              <w:t xml:space="preserve">00</w:t>
            </w:r>
            <w:r>
              <w:rPr>
                <w:rFonts w:hint="eastAsia" w:ascii="仿宋" w:hAnsi="仿宋" w:eastAsia="仿宋" w:cs="仿宋"/>
                <w:color w:val="auto"/>
                <w:sz w:val="24"/>
                <w:szCs w:val="24"/>
                <w:highlight w:val="none"/>
                <w:lang w:val="en-US" w:bidi="ar-SA"/>
              </w:rPr>
              <w:t xml:space="preserve">分</w:t>
            </w:r>
            <w:r/>
          </w:p>
          <w:p>
            <w:pPr>
              <w:pStyle w:val="807"/>
              <w:ind w:firstLine="0"/>
              <w:jc w:val="both"/>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开标地点：“苏采云”系统（网址：http://jszfcg.jsczt.cn/）“开标大厅” </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31</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评标委员会</w:t>
            </w:r>
            <w:r/>
          </w:p>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的组建</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807"/>
              <w:numPr>
                <w:ilvl w:val="0"/>
                <w:numId w:val="4"/>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评标委员会成员构成：随机抽取。</w:t>
            </w:r>
            <w:r/>
          </w:p>
          <w:p>
            <w:pPr>
              <w:pStyle w:val="807"/>
              <w:numPr>
                <w:ilvl w:val="0"/>
                <w:numId w:val="4"/>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评标委员会成员共5人。</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32</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评标办法及资料要求</w:t>
            </w:r>
            <w:r/>
          </w:p>
          <w:p>
            <w:pPr>
              <w:jc w:val="center"/>
              <w:spacing w:line="420" w:lineRule="exact"/>
              <w:rPr>
                <w:rFonts w:ascii="仿宋" w:hAnsi="仿宋" w:eastAsia="仿宋" w:cs="仿宋"/>
                <w:color w:val="auto"/>
                <w:sz w:val="24"/>
                <w:szCs w:val="24"/>
                <w:highlight w:val="none"/>
                <w:lang w:val="en-US" w:bidi="ar-SA"/>
              </w:rPr>
            </w:pPr>
            <w:r>
              <w:rPr>
                <w:rFonts w:ascii="仿宋" w:hAnsi="仿宋" w:eastAsia="仿宋" w:cs="仿宋"/>
                <w:color w:val="auto"/>
                <w:sz w:val="24"/>
                <w:szCs w:val="24"/>
                <w:highlight w:val="none"/>
                <w:lang w:val="en-US" w:bidi="ar-SA"/>
              </w:rPr>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807"/>
              <w:numPr>
                <w:ilvl w:val="0"/>
                <w:numId w:val="5"/>
              </w:numPr>
              <w:jc w:val="both"/>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综合评分，详见第三章《评标办法》。</w:t>
            </w:r>
            <w:r/>
          </w:p>
          <w:p>
            <w:pPr>
              <w:pStyle w:val="807"/>
              <w:numPr>
                <w:ilvl w:val="0"/>
                <w:numId w:val="5"/>
              </w:numPr>
              <w:jc w:val="both"/>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rPr>
              <w:t xml:space="preserve">评审涉及证书（均应在有效期内，已在有效期外尚在办理延期过程中的视为无效），资料应在投标文件中附复印件，并加盖投标人公章。</w:t>
            </w:r>
            <w:r/>
          </w:p>
          <w:p>
            <w:pPr>
              <w:pStyle w:val="807"/>
              <w:numPr>
                <w:ilvl w:val="0"/>
                <w:numId w:val="5"/>
              </w:numPr>
              <w:jc w:val="both"/>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涉及到原件备查的，要求见评标办法，密封要求见本投标人须知前附表第32条。</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33</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否决投标的情形</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807"/>
              <w:ind w:left="55" w:firstLine="0"/>
              <w:spacing w:line="420" w:lineRule="exact"/>
              <w:tabs>
                <w:tab w:val="left" w:pos="668"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SA"/>
              </w:rPr>
              <w:t xml:space="preserve">投标文件存在不满足以下情形之一的，由评标委员会审核并经过询标程序，其投标文件将被否决： </w:t>
            </w:r>
            <w:r/>
          </w:p>
          <w:p>
            <w:pPr>
              <w:pStyle w:val="807"/>
              <w:numPr>
                <w:ilvl w:val="0"/>
                <w:numId w:val="6"/>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资格性审查</w:t>
            </w:r>
            <w:r/>
          </w:p>
          <w:p>
            <w:pPr>
              <w:pStyle w:val="807"/>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1）具有独立承担民事责任的能力（提供法人或者其他组织的营业执照；供应商为自然人的，提供其身份证）；</w:t>
            </w:r>
            <w:r/>
          </w:p>
          <w:p>
            <w:pPr>
              <w:pStyle w:val="807"/>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具有良好的商业信誉和健全的财务会计制度（提供2024年度财务报告或2025年度财务报告，至少包含资产负债表、利润表，或投标截止时间前六个月内银行出具的资信证明，或财政部门认可的政府采购专业担保机构出具的投标担保函；成立不满一年的无需提供）；</w:t>
            </w:r>
            <w:r/>
          </w:p>
          <w:p>
            <w:pPr>
              <w:pStyle w:val="807"/>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（3）具有履行合同所必需的设备和专业技术能力（供应商根据履行采购项目合同需要，提供履行合同所必需的设备和专业技术能力的声明函或证明材料）；</w:t>
            </w:r>
            <w:r/>
          </w:p>
          <w:p>
            <w:pPr>
              <w:pStyle w:val="807"/>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有依法缴纳税收和社会保障资金的良好记录（提供2025年8月至今）中任一月份的依法缴纳税收和社会保险费的相关材料（提供相关主管部门证明或银行代扣证明的复印件，根据国家相关政策免缴或迟缴的需提供相关证明材料）；</w:t>
            </w:r>
            <w:r/>
          </w:p>
          <w:p>
            <w:pPr>
              <w:pStyle w:val="807"/>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（5）参加政府采购活动前三年内，在经营活动中没有重大违法记录（提供承诺书）；</w:t>
            </w:r>
            <w:r/>
          </w:p>
          <w:p>
            <w:pPr>
              <w:pStyle w:val="807"/>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（6）法律、行政法规规定的其他条件：无</w:t>
            </w:r>
            <w:r/>
          </w:p>
          <w:p>
            <w:pPr>
              <w:pStyle w:val="807"/>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2.本项目的特定资格要求：</w:t>
            </w:r>
            <w:r/>
          </w:p>
          <w:p>
            <w:pPr>
              <w:pStyle w:val="807"/>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1）投标产品按国家规定须医疗器械注册证的，投标人须提供投标产品的《医疗器械注册证》（复印件加盖公章）；</w:t>
            </w:r>
            <w:r/>
          </w:p>
          <w:p>
            <w:pPr>
              <w:pStyle w:val="807"/>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2）投标人为医疗器械经营企业的，须根据投标产品的类别，提供投标人的《医疗器械经营许可证》或者《二类医疗器械经营备案凭证》（复印件加盖公章）；</w:t>
            </w:r>
            <w:r/>
          </w:p>
          <w:p>
            <w:pPr>
              <w:pStyle w:val="807"/>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3）医疗器械生产企业投标本企业产品的，须提供《医疗器械生产许可证》（复印件加盖公章）；</w:t>
            </w:r>
            <w:r/>
          </w:p>
          <w:p>
            <w:pPr>
              <w:pStyle w:val="807"/>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4）投标货物如为进口产品，投标人须提供下列授权文件之一</w:t>
            </w:r>
            <w:r/>
          </w:p>
          <w:p>
            <w:pPr>
              <w:pStyle w:val="807"/>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a.供应商须提供进口产品制造商出具的授权函加盖公章；</w:t>
            </w:r>
            <w:r/>
          </w:p>
          <w:p>
            <w:pPr>
              <w:pStyle w:val="807"/>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b.进口产品制造商对授权的区域代理商出具的授权函扫描件及该区域代理商对投标人出具的授权函扫描件加盖公章；</w:t>
            </w:r>
            <w:r/>
          </w:p>
          <w:p>
            <w:pPr>
              <w:pStyle w:val="807"/>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c.投标人取得的进口产品代理证书扫描件加盖公章。</w:t>
            </w:r>
            <w:r/>
          </w:p>
          <w:p>
            <w:pPr>
              <w:pStyle w:val="807"/>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6）拒绝被“信用中国”（www.creditchina.gov.cn）、“中国政府采购网”(www.ccgp.gov.cn）、“信用江苏（http://credit.jiangsu.gov.cn/）列入失信被执行人、重大税收违法案件当事人、政府采购严重失信行为的投标人参加投标。</w:t>
            </w:r>
            <w:r/>
          </w:p>
          <w:p>
            <w:pPr>
              <w:pStyle w:val="887"/>
              <w:ind w:firstLine="480"/>
              <w:spacing w:line="360" w:lineRule="auto"/>
              <w:rPr>
                <w:rFonts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注：单位负责人为同一人或者存在直接控股、管理关系的不同供应商，不得参加同一合同项下的采购活动。除单一来源采购项目外，为采购项目提供整体设计、规范编制或者项目管理、监理、检测等服务的供应商，不得再参加该采购项目的其他采购活动。</w:t>
            </w:r>
            <w:r/>
          </w:p>
          <w:p>
            <w:pPr>
              <w:pStyle w:val="807"/>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2.符合性审查</w:t>
            </w:r>
            <w:r/>
          </w:p>
          <w:p>
            <w:pPr>
              <w:pStyle w:val="807"/>
              <w:ind w:firstLine="48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未按招标文件的要求加盖投标单位印章，或投标人的法定代表人（或其委托代理人）未按招标文件要求签字或盖章的，或委托代理人签字盖章但无有效的委托授权书的；  </w:t>
            </w:r>
            <w:r/>
          </w:p>
          <w:p>
            <w:pPr>
              <w:pStyle w:val="807"/>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投标函及投标函附录载明的项目完成期不响应招标文件要求的； </w:t>
            </w:r>
            <w:r/>
          </w:p>
          <w:p>
            <w:pPr>
              <w:pStyle w:val="807"/>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投标人不以自己的名义或未按招标文件要求提供投标保证金，或提供的投标保证金有缺陷而不能接受的； </w:t>
            </w:r>
            <w:r/>
          </w:p>
          <w:p>
            <w:pPr>
              <w:pStyle w:val="807"/>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投标报价高于招标文件设定的最高投标限价的； </w:t>
            </w:r>
            <w:r/>
          </w:p>
          <w:p>
            <w:pPr>
              <w:pStyle w:val="807"/>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同一投标人提交两个以上不同的投标文件或者投标报价的； </w:t>
            </w:r>
            <w:r/>
          </w:p>
          <w:p>
            <w:pPr>
              <w:pStyle w:val="807"/>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投标文件载明的投标报价或其它关键内容字迹模糊或无法分辨的；</w:t>
            </w:r>
            <w:r/>
          </w:p>
          <w:p>
            <w:pPr>
              <w:pStyle w:val="807"/>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对招标文件合同条款出现任何负偏离的；</w:t>
            </w:r>
            <w:r/>
          </w:p>
          <w:p>
            <w:pPr>
              <w:pStyle w:val="807"/>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采用的验收标准和方法、主要技术指标达不到国家强制性标准的或要求的；</w:t>
            </w:r>
            <w:r/>
          </w:p>
          <w:p>
            <w:pPr>
              <w:pStyle w:val="807"/>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未按招标文件中所列投标文件格式及投标文件组成编制投标文件；</w:t>
            </w:r>
            <w:r/>
          </w:p>
          <w:p>
            <w:pPr>
              <w:pStyle w:val="807"/>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技术条款中 “★”负偏离的和商务条款中任何负偏离的。</w:t>
            </w:r>
            <w:r/>
          </w:p>
          <w:p>
            <w:pPr>
              <w:pStyle w:val="807"/>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3.其他</w:t>
            </w:r>
            <w:r/>
          </w:p>
          <w:p>
            <w:pPr>
              <w:pStyle w:val="807"/>
              <w:numPr>
                <w:ilvl w:val="0"/>
                <w:numId w:val="8"/>
              </w:numPr>
              <w:ind w:firstLine="48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提供备选方案的；</w:t>
            </w:r>
            <w:r/>
          </w:p>
          <w:p>
            <w:pPr>
              <w:pStyle w:val="807"/>
              <w:numPr>
                <w:ilvl w:val="0"/>
                <w:numId w:val="8"/>
              </w:numPr>
              <w:ind w:firstLine="48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投标文件有采购人不能接受的条件的；</w:t>
            </w:r>
            <w:r/>
          </w:p>
          <w:p>
            <w:pPr>
              <w:pStyle w:val="807"/>
              <w:numPr>
                <w:ilvl w:val="0"/>
                <w:numId w:val="8"/>
              </w:numPr>
              <w:ind w:firstLine="48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未采用人民币报价的；</w:t>
            </w:r>
            <w:r/>
          </w:p>
          <w:p>
            <w:pPr>
              <w:pStyle w:val="807"/>
              <w:numPr>
                <w:ilvl w:val="0"/>
                <w:numId w:val="8"/>
              </w:numPr>
              <w:ind w:firstLine="48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招标文件中规定的其他要求。</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34</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确定中标人</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807"/>
              <w:numPr>
                <w:ilvl w:val="0"/>
                <w:numId w:val="9"/>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采购人不授权评标委员会确定中标人。</w:t>
            </w:r>
            <w:r/>
          </w:p>
          <w:p>
            <w:pPr>
              <w:pStyle w:val="807"/>
              <w:numPr>
                <w:ilvl w:val="0"/>
                <w:numId w:val="9"/>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评标委员会推荐前三名为中标候选人。</w:t>
            </w:r>
            <w:r/>
          </w:p>
          <w:p>
            <w:pPr>
              <w:pStyle w:val="807"/>
              <w:numPr>
                <w:ilvl w:val="0"/>
                <w:numId w:val="9"/>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采购人确定中标人前，有权组织对评标委员会推荐的中标候选人提供的完成本项目法定需要的资证原件进行审查，上述证件凡一项核验不合格的，取消其中标资格，采购人将按照评标委员会提出的中标候选人名单排序依次确定其他中标候选人为中标人，也可以重新招标。 </w:t>
            </w:r>
            <w:r/>
          </w:p>
          <w:p>
            <w:pPr>
              <w:pStyle w:val="807"/>
              <w:numPr>
                <w:ilvl w:val="0"/>
                <w:numId w:val="9"/>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35</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履约担保</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807"/>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无。</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36</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不再招标的情形</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重新招标后投标人仍少于3个的，经原审批或核准部门批准后不再进行招标。 </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37</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质疑与投诉</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投标人认为采购文件、采购过程和中标结果使自己的权益受到损害的，可以在知道或者应知其权益受到损害之日起七个工作日内（具体起算时间见本条款第（2）条），将质疑函以书面形式由法定代表人或法人授权代表送达采购代理机构或采购单位。质疑超出采购机构代理范围的，供应商应当向采购人提出。</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供应商应在法定质疑期内一次性提出针对同一采购程序环节的质疑。供应商质疑实行实名制，其质疑应当有具体的质疑事项及事实根据，并配合采购人、采购代理机构处理质疑。</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（2）供应商应知其权益受到损害之日，是指：</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1）对本项目采购文件提出质疑的，为采购文件公告期限届满之日；</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2）对本项目采购过程提出质疑的，为各采购程序环节结束之日；</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3）对本项目中标或者成交结果提出质疑的，为中标或者成交结果公告期限届满之日。</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（3）投标人委托代理质疑的，应当向代理人提交授权委托书，并载明委托代理的具体权限和事项。 </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（4）质疑函的必备内容</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1）质疑函必须注明质疑人单位名称、详细地址、邮编、单位和法定代表人电话号码、联系人及电话；</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2）所参加项目的具体质疑事项及事实依据；</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3）认为自己合法权益受到损害或可能受到损害的相关证据材料；</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4）提起质疑的日期； </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5）质疑函必须由法定代表人签字并加盖公章（委托代理质疑的还应按本条款第（3）条规定提供授权委托书）。 </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（5）质疑应符合下列条件：</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1）质疑人是参与所质疑项目的投标人；</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2）质疑函内容符合相关的规定；</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3）在规定的有效期限内提起质疑；</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4）国务院财政部门规定的其他条件。</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6）招标采购单位在收到质疑函后，认为质疑函内容、格式等不符合本规定的，告知质疑人进行补正。质疑人应当在法定质疑期限内进行补正并重新提交质疑函，拒不补正或者超过法定期限后未重新提交质疑函的，为无效质疑。</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7）招标采购单位在收到投标人的书面质疑后七个工作日内作出答复，采购人、采购代理机构可以组织原评标委员会协助答复质疑，并以书面形式通知质疑投标人和其他有关人员，但答复的内容不涉及商业秘密。</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（8）提出质疑的投标人对答复不满意的，或者采购人、采购代理机构未在规定期限内作出答复的，可以在答复期满后十五个工作日内向同级政府采购监督管理部门投诉。</w:t>
            </w:r>
            <w:r/>
          </w:p>
          <w:p>
            <w:pPr>
              <w:spacing w:line="420" w:lineRule="exact"/>
              <w:rPr>
                <w:rFonts w:ascii="仿宋" w:hAnsi="仿宋" w:eastAsia="仿宋" w:cs="仿宋"/>
                <w:color w:val="auto"/>
                <w:sz w:val="24"/>
                <w:szCs w:val="24"/>
                <w:highlight w:val="none"/>
                <w:lang w:val="en-US" w:bidi="ar-SA"/>
              </w:rPr>
            </w:pPr>
            <w:r/>
            <w:bookmarkStart w:id="7" w:name="EB8439d347654149b8973a575299810d6b"/>
            <w:r>
              <w:rPr>
                <w:rFonts w:hint="eastAsia" w:ascii="仿宋" w:hAnsi="仿宋" w:eastAsia="仿宋" w:cs="仿宋"/>
                <w:color w:val="auto"/>
                <w:sz w:val="24"/>
                <w:szCs w:val="24"/>
                <w:highlight w:val="none"/>
                <w:lang w:val="en-US" w:bidi="ar-SA"/>
              </w:rPr>
              <w:t xml:space="preserve">（9）对虚假、恶意质疑投诉、举报将予以驳回，并记录诚信管理档案，降低诚信等级。供应商捏造事实、提供虚假材料或者以非法手段取得证材料进行投诉的，报请财政部门列入不良行为记录名单，禁止其1至3年内参加政府采购活动。</w:t>
            </w:r>
            <w:bookmarkEnd w:id="7"/>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38</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代理费收费标准</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 xml:space="preserve">根据采购人与代理机构的代理协议约定，</w:t>
            </w:r>
            <w:r>
              <w:rPr>
                <w:rFonts w:hint="eastAsia" w:ascii="仿宋" w:hAnsi="仿宋" w:eastAsia="仿宋" w:cs="仿宋"/>
                <w:color w:val="auto"/>
                <w:sz w:val="24"/>
                <w:szCs w:val="24"/>
                <w:highlight w:val="none"/>
                <w:lang w:val="en-US" w:bidi="ar-SA"/>
              </w:rPr>
              <w:t xml:space="preserve">本项目采购代理服务费参照招标代理服务收费管理暂行办法[计价格 ［2002］1980号]文的40％收取，应在领取成交通知书前缴纳。</w:t>
            </w:r>
            <w:r/>
          </w:p>
          <w:p>
            <w:pPr>
              <w:spacing w:line="42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本项目预算包含代理服务费，采购人不额外支付，供应商投标报价需包含该费用。</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账户信息：</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ab/>
            </w:r>
            <w:r>
              <w:rPr>
                <w:rFonts w:hint="eastAsia" w:ascii="仿宋" w:hAnsi="仿宋" w:eastAsia="仿宋" w:cs="仿宋"/>
                <w:color w:val="auto"/>
                <w:sz w:val="24"/>
                <w:szCs w:val="24"/>
                <w:highlight w:val="none"/>
                <w:lang w:val="en-US" w:bidi="ar-SA"/>
              </w:rPr>
              <w:t xml:space="preserve">户    名：江苏弘业国际技术工程有限公司</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ab/>
            </w:r>
            <w:r>
              <w:rPr>
                <w:rFonts w:hint="eastAsia" w:ascii="仿宋" w:hAnsi="仿宋" w:eastAsia="仿宋" w:cs="仿宋"/>
                <w:color w:val="auto"/>
                <w:sz w:val="24"/>
                <w:szCs w:val="24"/>
                <w:highlight w:val="none"/>
                <w:lang w:val="en-US" w:bidi="ar-SA"/>
              </w:rPr>
              <w:t xml:space="preserve">开户银行：中国银行南京市中华路支行   </w:t>
            </w:r>
            <w:r/>
          </w:p>
          <w:p>
            <w:pPr>
              <w:spacing w:line="42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bidi="ar-SA"/>
              </w:rPr>
              <w:tab/>
            </w:r>
            <w:r>
              <w:rPr>
                <w:rFonts w:hint="eastAsia" w:ascii="仿宋" w:hAnsi="仿宋" w:eastAsia="仿宋" w:cs="仿宋"/>
                <w:color w:val="auto"/>
                <w:sz w:val="24"/>
                <w:szCs w:val="24"/>
                <w:highlight w:val="none"/>
                <w:lang w:val="en-US" w:bidi="ar-SA"/>
              </w:rPr>
              <w:t xml:space="preserve">账    号：527460884999</w:t>
            </w:r>
            <w:r/>
          </w:p>
        </w:tc>
      </w:tr>
      <w:tr>
        <w:trPr>
          <w:trHeight w:val="846"/>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39</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采购标的所属行业</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807"/>
              <w:ind w:firstLine="0"/>
              <w:spacing w:line="42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bidi="ar-SA"/>
              </w:rPr>
              <w:t xml:space="preserve">本项目采购标的对应的行业主要为</w:t>
            </w:r>
            <w:r>
              <w:rPr>
                <w:rFonts w:hint="eastAsia" w:ascii="仿宋" w:hAnsi="仿宋" w:eastAsia="仿宋" w:cs="仿宋"/>
                <w:color w:val="auto"/>
                <w:sz w:val="24"/>
                <w:szCs w:val="24"/>
                <w:highlight w:val="none"/>
                <w:u w:val="single"/>
                <w:lang w:val="en-US" w:bidi="ar-SA"/>
              </w:rPr>
              <w:t xml:space="preserve">工业</w:t>
            </w:r>
            <w:r>
              <w:rPr>
                <w:rFonts w:hint="eastAsia" w:ascii="仿宋" w:hAnsi="仿宋" w:eastAsia="仿宋" w:cs="仿宋"/>
                <w:color w:val="auto"/>
                <w:sz w:val="24"/>
                <w:szCs w:val="24"/>
                <w:highlight w:val="none"/>
                <w:lang w:val="en-US" w:bidi="ar-SA"/>
              </w:rPr>
              <w:t xml:space="preserve">。</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40</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特别说明</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b/>
                <w:bCs/>
                <w:color w:val="auto"/>
                <w:sz w:val="24"/>
                <w:szCs w:val="24"/>
                <w:highlight w:val="none"/>
                <w:lang w:val="en-US" w:bidi="ar-SA"/>
              </w:rPr>
              <w:t xml:space="preserve">投标人须知与投标人须知前附表不一致时，以投标人须知前附表为准。</w:t>
            </w:r>
            <w:r/>
          </w:p>
        </w:tc>
      </w:tr>
    </w:tbl>
    <w:p>
      <w:pPr>
        <w:pStyle w:val="756"/>
        <w:ind w:left="0" w:right="1540"/>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left="-427" w:right="-475"/>
        <w:jc w:val="center"/>
        <w:spacing w:line="440" w:lineRule="exact"/>
        <w:tabs>
          <w:tab w:val="left" w:pos="10915" w:leader="none"/>
        </w:tabs>
        <w:rPr>
          <w:rFonts w:ascii="仿宋" w:hAnsi="仿宋" w:eastAsia="仿宋" w:cs="仿宋"/>
          <w:b/>
          <w:bCs/>
          <w:color w:val="auto"/>
          <w:sz w:val="36"/>
          <w:szCs w:val="36"/>
          <w:highlight w:val="none"/>
          <w:lang w:val="en-US"/>
        </w:rPr>
      </w:pPr>
      <w:r>
        <w:rPr>
          <w:rFonts w:hint="eastAsia" w:ascii="仿宋" w:hAnsi="仿宋" w:eastAsia="仿宋" w:cs="仿宋"/>
          <w:b/>
          <w:bCs/>
          <w:color w:val="auto"/>
          <w:sz w:val="36"/>
          <w:szCs w:val="36"/>
          <w:highlight w:val="none"/>
          <w:lang w:val="en-US"/>
        </w:rPr>
        <w:br w:type="page" w:clear="all"/>
      </w:r>
      <w:r>
        <w:rPr>
          <w:rFonts w:hint="eastAsia" w:ascii="仿宋" w:hAnsi="仿宋" w:eastAsia="仿宋" w:cs="仿宋"/>
          <w:b/>
          <w:bCs/>
          <w:color w:val="auto"/>
          <w:sz w:val="36"/>
          <w:szCs w:val="36"/>
          <w:highlight w:val="none"/>
          <w:lang w:val="en-US"/>
        </w:rPr>
        <w:t xml:space="preserve">投标人须知</w:t>
      </w:r>
      <w:r/>
    </w:p>
    <w:p>
      <w:pPr>
        <w:pStyle w:val="807"/>
        <w:numPr>
          <w:ilvl w:val="0"/>
          <w:numId w:val="10"/>
        </w:numPr>
        <w:ind w:hanging="2469"/>
        <w:spacing w:line="440" w:lineRule="exact"/>
        <w:tabs>
          <w:tab w:val="left" w:pos="426" w:leader="none"/>
        </w:tabs>
        <w:rPr>
          <w:rFonts w:ascii="仿宋" w:hAnsi="仿宋" w:eastAsia="仿宋" w:cs="仿宋"/>
          <w:bCs/>
          <w:color w:val="auto"/>
          <w:spacing w:val="14"/>
          <w:highlight w:val="none"/>
        </w:rPr>
      </w:pPr>
      <w:r>
        <w:rPr>
          <w:rFonts w:hint="eastAsia" w:ascii="仿宋" w:hAnsi="仿宋" w:eastAsia="仿宋" w:cs="仿宋"/>
          <w:bCs/>
          <w:color w:val="auto"/>
          <w:highlight w:val="none"/>
        </w:rPr>
        <w:t xml:space="preserve">总则 </w:t>
      </w:r>
      <w:r/>
    </w:p>
    <w:p>
      <w:pPr>
        <w:pStyle w:val="744"/>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z w:val="22"/>
          <w:szCs w:val="22"/>
          <w:highlight w:val="none"/>
        </w:rPr>
      </w:pPr>
      <w:r/>
      <w:bookmarkStart w:id="8" w:name="1.1_项目概况"/>
      <w:r/>
      <w:bookmarkEnd w:id="8"/>
      <w:r>
        <w:rPr>
          <w:rFonts w:hint="eastAsia" w:ascii="仿宋" w:hAnsi="仿宋" w:eastAsia="仿宋" w:cs="仿宋"/>
          <w:b w:val="0"/>
          <w:color w:val="auto"/>
          <w:spacing w:val="14"/>
          <w:sz w:val="22"/>
          <w:szCs w:val="22"/>
          <w:highlight w:val="none"/>
        </w:rPr>
        <w:t xml:space="preserve">项目概况</w:t>
      </w:r>
      <w:r/>
    </w:p>
    <w:p>
      <w:pPr>
        <w:pStyle w:val="807"/>
        <w:numPr>
          <w:ilvl w:val="2"/>
          <w:numId w:val="10"/>
        </w:numPr>
        <w:ind w:left="426" w:right="-477" w:hanging="852"/>
        <w:spacing w:line="440" w:lineRule="exact"/>
        <w:rPr>
          <w:rFonts w:ascii="仿宋" w:hAnsi="仿宋" w:eastAsia="仿宋" w:cs="仿宋"/>
          <w:bCs/>
          <w:color w:val="auto"/>
          <w:spacing w:val="14"/>
          <w:highlight w:val="none"/>
        </w:rPr>
      </w:pPr>
      <w:r>
        <w:rPr>
          <w:rFonts w:hint="eastAsia" w:ascii="仿宋" w:hAnsi="仿宋" w:eastAsia="仿宋" w:cs="仿宋"/>
          <w:color w:val="auto"/>
          <w:highlight w:val="none"/>
          <w:lang w:bidi="ar-SA"/>
        </w:rPr>
        <w:t xml:space="preserve">根据《</w:t>
      </w:r>
      <w:r>
        <w:rPr>
          <w:rFonts w:hint="eastAsia" w:ascii="仿宋" w:hAnsi="仿宋" w:eastAsia="仿宋" w:cs="仿宋"/>
          <w:color w:val="auto"/>
          <w:highlight w:val="none"/>
          <w:lang w:val="en-US" w:bidi="ar-SA"/>
        </w:rPr>
        <w:t xml:space="preserve">中华人民共和国</w:t>
      </w:r>
      <w:r>
        <w:rPr>
          <w:rFonts w:hint="eastAsia" w:ascii="仿宋" w:hAnsi="仿宋" w:eastAsia="仿宋" w:cs="仿宋"/>
          <w:color w:val="auto"/>
          <w:highlight w:val="none"/>
          <w:lang w:bidi="ar-SA"/>
        </w:rPr>
        <w:t xml:space="preserve">政府采购法》、《</w:t>
      </w:r>
      <w:r>
        <w:rPr>
          <w:rFonts w:hint="eastAsia" w:ascii="仿宋" w:hAnsi="仿宋" w:eastAsia="仿宋" w:cs="仿宋"/>
          <w:color w:val="auto"/>
          <w:highlight w:val="none"/>
          <w:lang w:val="en-US" w:bidi="ar-SA"/>
        </w:rPr>
        <w:t xml:space="preserve">中华人民共和国</w:t>
      </w:r>
      <w:r>
        <w:rPr>
          <w:rFonts w:hint="eastAsia" w:ascii="仿宋" w:hAnsi="仿宋" w:eastAsia="仿宋" w:cs="仿宋"/>
          <w:color w:val="auto"/>
          <w:highlight w:val="none"/>
          <w:lang w:bidi="ar-SA"/>
        </w:rPr>
        <w:t xml:space="preserve">政府采购法实施条例》、《</w:t>
      </w:r>
      <w:r>
        <w:rPr>
          <w:rFonts w:hint="eastAsia" w:ascii="仿宋" w:hAnsi="仿宋" w:eastAsia="仿宋" w:cs="仿宋"/>
          <w:color w:val="auto"/>
          <w:highlight w:val="none"/>
          <w:lang w:val="en-US" w:bidi="ar-SA"/>
        </w:rPr>
        <w:t xml:space="preserve">中华人民共和国</w:t>
      </w:r>
      <w:r>
        <w:rPr>
          <w:rFonts w:hint="eastAsia" w:ascii="仿宋" w:hAnsi="仿宋" w:eastAsia="仿宋" w:cs="仿宋"/>
          <w:color w:val="auto"/>
          <w:highlight w:val="none"/>
          <w:lang w:bidi="ar-SA"/>
        </w:rPr>
        <w:t xml:space="preserve">民法典》、《</w:t>
      </w:r>
      <w:r>
        <w:rPr>
          <w:rFonts w:hint="eastAsia" w:ascii="仿宋" w:hAnsi="仿宋" w:eastAsia="仿宋" w:cs="仿宋"/>
          <w:color w:val="auto"/>
          <w:highlight w:val="none"/>
          <w:lang w:val="en-US" w:bidi="ar-SA"/>
        </w:rPr>
        <w:t xml:space="preserve">中华人民共和国</w:t>
      </w:r>
      <w:r>
        <w:rPr>
          <w:rFonts w:hint="eastAsia" w:ascii="仿宋" w:hAnsi="仿宋" w:eastAsia="仿宋" w:cs="仿宋"/>
          <w:color w:val="auto"/>
          <w:highlight w:val="none"/>
          <w:lang w:bidi="ar-SA"/>
        </w:rPr>
        <w:t xml:space="preserve">刑法》和《</w:t>
      </w:r>
      <w:r>
        <w:rPr>
          <w:rFonts w:hint="eastAsia" w:ascii="仿宋" w:hAnsi="仿宋" w:eastAsia="仿宋" w:cs="仿宋"/>
          <w:color w:val="auto"/>
          <w:highlight w:val="none"/>
          <w:lang w:val="en-US" w:bidi="ar-SA"/>
        </w:rPr>
        <w:t xml:space="preserve">中华人民共和国</w:t>
      </w:r>
      <w:r>
        <w:rPr>
          <w:rFonts w:hint="eastAsia" w:ascii="仿宋" w:hAnsi="仿宋" w:eastAsia="仿宋" w:cs="仿宋"/>
          <w:color w:val="auto"/>
          <w:highlight w:val="none"/>
          <w:lang w:bidi="ar-SA"/>
        </w:rPr>
        <w:t xml:space="preserve">反不正当竞争法》等有关法律、法规和规章的规定，本项目已具备招标条件，现对</w:t>
      </w:r>
      <w:r>
        <w:rPr>
          <w:rFonts w:hint="eastAsia" w:ascii="仿宋" w:hAnsi="仿宋" w:eastAsia="仿宋" w:cs="仿宋"/>
          <w:color w:val="auto"/>
          <w:highlight w:val="none"/>
          <w:lang w:val="en-US" w:bidi="ar-SA"/>
        </w:rPr>
        <w:t xml:space="preserve">本项目二个</w:t>
      </w:r>
      <w:r>
        <w:rPr>
          <w:rFonts w:hint="eastAsia" w:ascii="仿宋" w:hAnsi="仿宋" w:eastAsia="仿宋" w:cs="仿宋"/>
          <w:color w:val="auto"/>
          <w:highlight w:val="none"/>
          <w:lang w:bidi="ar-SA"/>
        </w:rPr>
        <w:t xml:space="preserve">标段进行招标。</w:t>
      </w:r>
      <w:r/>
    </w:p>
    <w:p>
      <w:pPr>
        <w:pStyle w:val="807"/>
        <w:numPr>
          <w:ilvl w:val="2"/>
          <w:numId w:val="10"/>
        </w:numPr>
        <w:ind w:left="426" w:right="-477" w:hanging="852"/>
        <w:spacing w:line="440" w:lineRule="exact"/>
        <w:rPr>
          <w:rFonts w:ascii="仿宋" w:hAnsi="仿宋" w:eastAsia="仿宋" w:cs="仿宋"/>
          <w:bCs/>
          <w:color w:val="auto"/>
          <w:spacing w:val="-18"/>
          <w:highlight w:val="none"/>
        </w:rPr>
      </w:pPr>
      <w:r>
        <w:rPr>
          <w:rFonts w:hint="eastAsia" w:ascii="仿宋" w:hAnsi="仿宋" w:eastAsia="仿宋" w:cs="仿宋"/>
          <w:color w:val="auto"/>
          <w:highlight w:val="none"/>
          <w:lang w:bidi="ar-SA"/>
        </w:rPr>
        <w:t xml:space="preserve">本招标项目采购人：</w:t>
      </w:r>
      <w:r>
        <w:rPr>
          <w:rFonts w:hint="eastAsia" w:ascii="仿宋" w:hAnsi="仿宋" w:eastAsia="仿宋" w:cs="仿宋"/>
          <w:color w:val="auto"/>
          <w:highlight w:val="none"/>
          <w:lang w:val="en-US" w:bidi="ar-SA"/>
        </w:rPr>
        <w:t xml:space="preserve">仪征市人民医院</w:t>
      </w:r>
      <w:r>
        <w:rPr>
          <w:rFonts w:hint="eastAsia" w:ascii="仿宋" w:hAnsi="仿宋" w:eastAsia="仿宋" w:cs="仿宋"/>
          <w:color w:val="auto"/>
          <w:highlight w:val="none"/>
          <w:lang w:bidi="ar-SA"/>
        </w:rPr>
        <w:t xml:space="preserve">。</w:t>
      </w:r>
      <w:r/>
    </w:p>
    <w:p>
      <w:pPr>
        <w:pStyle w:val="807"/>
        <w:numPr>
          <w:ilvl w:val="2"/>
          <w:numId w:val="10"/>
        </w:numPr>
        <w:ind w:left="426" w:right="-477" w:hanging="852"/>
        <w:spacing w:line="440" w:lineRule="exact"/>
        <w:tabs>
          <w:tab w:val="left" w:pos="440" w:leader="none"/>
        </w:tabs>
        <w:rPr>
          <w:rFonts w:ascii="仿宋" w:hAnsi="仿宋" w:eastAsia="仿宋" w:cs="仿宋"/>
          <w:color w:val="auto"/>
          <w:highlight w:val="none"/>
          <w:lang w:val="en-US" w:bidi="ar-SA"/>
        </w:rPr>
      </w:pPr>
      <w:r>
        <w:rPr>
          <w:rFonts w:hint="eastAsia" w:ascii="仿宋" w:hAnsi="仿宋" w:eastAsia="仿宋" w:cs="仿宋"/>
          <w:color w:val="auto"/>
          <w:highlight w:val="none"/>
          <w:lang w:bidi="ar-SA"/>
        </w:rPr>
        <w:t xml:space="preserve">本招标项目采购代理机构：</w:t>
      </w:r>
      <w:r>
        <w:rPr>
          <w:rFonts w:hint="eastAsia" w:ascii="仿宋" w:hAnsi="仿宋" w:eastAsia="仿宋" w:cs="仿宋"/>
          <w:color w:val="auto"/>
          <w:highlight w:val="none"/>
          <w:lang w:val="en-US" w:bidi="ar-SA"/>
        </w:rPr>
        <w:t xml:space="preserve">江苏弘业国际技术工程有限公司。</w:t>
      </w:r>
      <w:r/>
    </w:p>
    <w:p>
      <w:pPr>
        <w:pStyle w:val="807"/>
        <w:numPr>
          <w:ilvl w:val="2"/>
          <w:numId w:val="10"/>
        </w:numPr>
        <w:ind w:left="426" w:right="-477" w:hanging="852"/>
        <w:spacing w:line="440" w:lineRule="exact"/>
        <w:tabs>
          <w:tab w:val="left" w:pos="440" w:leader="none"/>
        </w:tabs>
        <w:rPr>
          <w:rFonts w:ascii="仿宋" w:hAnsi="仿宋" w:eastAsia="仿宋" w:cs="仿宋"/>
          <w:color w:val="auto"/>
          <w:highlight w:val="none"/>
          <w:lang w:val="en-US" w:bidi="ar-SA"/>
        </w:rPr>
      </w:pPr>
      <w:r>
        <w:rPr>
          <w:rFonts w:hint="eastAsia" w:ascii="仿宋" w:hAnsi="仿宋" w:eastAsia="仿宋" w:cs="仿宋"/>
          <w:color w:val="auto"/>
          <w:highlight w:val="none"/>
          <w:lang w:val="en-US" w:bidi="ar-SA"/>
        </w:rPr>
        <w:t xml:space="preserve">本招标项目名称：仪征市人民医院</w:t>
      </w:r>
      <w:r>
        <w:rPr>
          <w:rFonts w:hint="eastAsia" w:ascii="仿宋" w:hAnsi="仿宋" w:eastAsia="仿宋" w:cs="仿宋"/>
          <w:color w:val="auto"/>
          <w:highlight w:val="none"/>
          <w:lang w:val="en-US" w:eastAsia="zh-CN" w:bidi="ar-SA"/>
        </w:rPr>
        <w:t xml:space="preserve">电子显微镜</w:t>
      </w:r>
      <w:r>
        <w:rPr>
          <w:rFonts w:hint="eastAsia" w:ascii="仿宋" w:hAnsi="仿宋" w:eastAsia="仿宋" w:cs="仿宋"/>
          <w:color w:val="auto"/>
          <w:highlight w:val="none"/>
          <w:lang w:val="en-US" w:bidi="ar-SA"/>
        </w:rPr>
        <w:t xml:space="preserve">采购项目。 </w:t>
      </w:r>
      <w:r/>
    </w:p>
    <w:p>
      <w:pPr>
        <w:pStyle w:val="807"/>
        <w:numPr>
          <w:ilvl w:val="2"/>
          <w:numId w:val="10"/>
        </w:numPr>
        <w:ind w:left="426" w:right="-477" w:hanging="852"/>
        <w:spacing w:line="440" w:lineRule="exact"/>
        <w:tabs>
          <w:tab w:val="left" w:pos="440" w:leader="none"/>
        </w:tabs>
        <w:rPr>
          <w:rFonts w:ascii="仿宋" w:hAnsi="仿宋" w:eastAsia="仿宋" w:cs="仿宋"/>
          <w:color w:val="auto"/>
          <w:highlight w:val="none"/>
          <w:lang w:val="en-US" w:bidi="ar-SA"/>
        </w:rPr>
      </w:pPr>
      <w:r>
        <w:rPr>
          <w:rFonts w:hint="eastAsia" w:ascii="仿宋" w:hAnsi="仿宋" w:eastAsia="仿宋" w:cs="仿宋"/>
          <w:color w:val="auto"/>
          <w:highlight w:val="none"/>
          <w:lang w:val="en-US" w:bidi="ar-SA"/>
        </w:rPr>
        <w:t xml:space="preserve">本招标项目地点：仪征市东园南路61号</w:t>
      </w:r>
      <w:r/>
    </w:p>
    <w:p>
      <w:pPr>
        <w:pStyle w:val="744"/>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pacing w:val="14"/>
          <w:sz w:val="22"/>
          <w:szCs w:val="22"/>
          <w:highlight w:val="none"/>
        </w:rPr>
      </w:pPr>
      <w:r/>
      <w:bookmarkStart w:id="9" w:name="1.2_资金来源和落实情况"/>
      <w:r/>
      <w:bookmarkEnd w:id="9"/>
      <w:r>
        <w:rPr>
          <w:rFonts w:hint="eastAsia" w:ascii="仿宋" w:hAnsi="仿宋" w:eastAsia="仿宋" w:cs="仿宋"/>
          <w:b w:val="0"/>
          <w:color w:val="auto"/>
          <w:spacing w:val="14"/>
          <w:sz w:val="22"/>
          <w:szCs w:val="22"/>
          <w:highlight w:val="none"/>
        </w:rPr>
        <w:t xml:space="preserve">资金来源和落实情况</w:t>
      </w:r>
      <w:r/>
    </w:p>
    <w:p>
      <w:pPr>
        <w:pStyle w:val="807"/>
        <w:numPr>
          <w:ilvl w:val="2"/>
          <w:numId w:val="10"/>
        </w:numPr>
        <w:ind w:left="426" w:right="-477" w:hanging="852"/>
        <w:spacing w:line="440" w:lineRule="exact"/>
        <w:rPr>
          <w:rFonts w:ascii="仿宋" w:hAnsi="仿宋" w:eastAsia="仿宋" w:cs="仿宋"/>
          <w:color w:val="auto"/>
          <w:highlight w:val="none"/>
          <w:lang w:bidi="ar-SA"/>
        </w:rPr>
      </w:pPr>
      <w:r>
        <w:rPr>
          <w:rFonts w:hint="eastAsia" w:ascii="仿宋" w:hAnsi="仿宋" w:eastAsia="仿宋" w:cs="仿宋"/>
          <w:color w:val="auto"/>
          <w:highlight w:val="none"/>
          <w:lang w:bidi="ar-SA"/>
        </w:rPr>
        <w:t xml:space="preserve">本招标项目的资金来源：见投标人须知前附表。</w:t>
      </w:r>
      <w:r/>
    </w:p>
    <w:p>
      <w:pPr>
        <w:pStyle w:val="807"/>
        <w:numPr>
          <w:ilvl w:val="2"/>
          <w:numId w:val="10"/>
        </w:numPr>
        <w:ind w:left="426" w:right="-477" w:hanging="852"/>
        <w:spacing w:line="440" w:lineRule="exact"/>
        <w:rPr>
          <w:rFonts w:ascii="仿宋" w:hAnsi="仿宋" w:eastAsia="仿宋" w:cs="仿宋"/>
          <w:bCs/>
          <w:color w:val="auto"/>
          <w:spacing w:val="14"/>
          <w:highlight w:val="none"/>
        </w:rPr>
      </w:pPr>
      <w:r>
        <w:rPr>
          <w:rFonts w:hint="eastAsia" w:ascii="仿宋" w:hAnsi="仿宋" w:eastAsia="仿宋" w:cs="仿宋"/>
          <w:color w:val="auto"/>
          <w:highlight w:val="none"/>
          <w:lang w:bidi="ar-SA"/>
        </w:rPr>
        <w:t xml:space="preserve">本招标项目的资金落实情况：见投标人须知前附表</w:t>
      </w:r>
      <w:r>
        <w:rPr>
          <w:rFonts w:hint="eastAsia" w:ascii="仿宋" w:hAnsi="仿宋" w:eastAsia="仿宋" w:cs="仿宋"/>
          <w:bCs/>
          <w:color w:val="auto"/>
          <w:spacing w:val="14"/>
          <w:highlight w:val="none"/>
        </w:rPr>
        <w:t xml:space="preserve">。</w:t>
      </w:r>
      <w:r/>
    </w:p>
    <w:p>
      <w:pPr>
        <w:pStyle w:val="744"/>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pacing w:val="14"/>
          <w:sz w:val="22"/>
          <w:szCs w:val="22"/>
          <w:highlight w:val="none"/>
        </w:rPr>
      </w:pPr>
      <w:r/>
      <w:bookmarkStart w:id="10" w:name="1.3_招标范围及计划服务期"/>
      <w:r/>
      <w:bookmarkEnd w:id="10"/>
      <w:r>
        <w:rPr>
          <w:rFonts w:hint="eastAsia" w:ascii="仿宋" w:hAnsi="仿宋" w:eastAsia="仿宋" w:cs="仿宋"/>
          <w:b w:val="0"/>
          <w:color w:val="auto"/>
          <w:spacing w:val="14"/>
          <w:sz w:val="22"/>
          <w:szCs w:val="22"/>
          <w:highlight w:val="none"/>
        </w:rPr>
        <w:t xml:space="preserve">招标范围及计划服务期</w:t>
      </w:r>
      <w:r/>
    </w:p>
    <w:p>
      <w:pPr>
        <w:pStyle w:val="807"/>
        <w:numPr>
          <w:ilvl w:val="2"/>
          <w:numId w:val="10"/>
        </w:numPr>
        <w:ind w:left="426" w:right="-477" w:hanging="852"/>
        <w:spacing w:line="440" w:lineRule="exact"/>
        <w:rPr>
          <w:rFonts w:ascii="仿宋" w:hAnsi="仿宋" w:eastAsia="仿宋" w:cs="仿宋"/>
          <w:color w:val="auto"/>
          <w:highlight w:val="none"/>
          <w:lang w:bidi="ar-SA"/>
        </w:rPr>
      </w:pPr>
      <w:r>
        <w:rPr>
          <w:rFonts w:hint="eastAsia" w:ascii="仿宋" w:hAnsi="仿宋" w:eastAsia="仿宋" w:cs="仿宋"/>
          <w:color w:val="auto"/>
          <w:highlight w:val="none"/>
          <w:lang w:bidi="ar-SA"/>
        </w:rPr>
        <w:t xml:space="preserve">本次招标范围：见投标人须知前附表。</w:t>
      </w:r>
      <w:r/>
    </w:p>
    <w:p>
      <w:pPr>
        <w:pStyle w:val="807"/>
        <w:numPr>
          <w:ilvl w:val="2"/>
          <w:numId w:val="10"/>
        </w:numPr>
        <w:ind w:left="426" w:right="-477" w:hanging="852"/>
        <w:spacing w:line="440" w:lineRule="exact"/>
        <w:rPr>
          <w:rFonts w:ascii="仿宋" w:hAnsi="仿宋" w:eastAsia="仿宋" w:cs="仿宋"/>
          <w:color w:val="auto"/>
          <w:highlight w:val="none"/>
          <w:lang w:bidi="ar-SA"/>
        </w:rPr>
      </w:pPr>
      <w:r>
        <w:rPr>
          <w:rFonts w:hint="eastAsia" w:ascii="仿宋" w:hAnsi="仿宋" w:eastAsia="仿宋" w:cs="仿宋"/>
          <w:color w:val="auto"/>
          <w:highlight w:val="none"/>
          <w:lang w:bidi="ar-SA"/>
        </w:rPr>
        <w:t xml:space="preserve">本招标项目的</w:t>
      </w:r>
      <w:r>
        <w:rPr>
          <w:rFonts w:hint="eastAsia" w:ascii="仿宋" w:hAnsi="仿宋" w:eastAsia="仿宋" w:cs="仿宋"/>
          <w:color w:val="auto"/>
          <w:highlight w:val="none"/>
          <w:lang w:val="en-US" w:bidi="ar-SA"/>
        </w:rPr>
        <w:t xml:space="preserve">完成</w:t>
      </w:r>
      <w:r>
        <w:rPr>
          <w:rFonts w:hint="eastAsia" w:ascii="仿宋" w:hAnsi="仿宋" w:eastAsia="仿宋" w:cs="仿宋"/>
          <w:color w:val="auto"/>
          <w:highlight w:val="none"/>
          <w:lang w:bidi="ar-SA"/>
        </w:rPr>
        <w:t xml:space="preserve">期：见投标人须知前附表。</w:t>
      </w:r>
      <w:r/>
    </w:p>
    <w:p>
      <w:pPr>
        <w:pStyle w:val="744"/>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投标人资格要求</w:t>
      </w:r>
      <w:r/>
    </w:p>
    <w:p>
      <w:pPr>
        <w:pStyle w:val="807"/>
        <w:numPr>
          <w:ilvl w:val="2"/>
          <w:numId w:val="10"/>
        </w:numPr>
        <w:ind w:left="2943" w:hanging="3369"/>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spacing w:val="-1"/>
          <w:highlight w:val="none"/>
        </w:rPr>
        <w:t xml:space="preserve">投标人应具备承担本标段的资格条件、要求。</w:t>
      </w:r>
      <w:r/>
    </w:p>
    <w:p>
      <w:pPr>
        <w:pStyle w:val="807"/>
        <w:numPr>
          <w:ilvl w:val="2"/>
          <w:numId w:val="10"/>
        </w:numPr>
        <w:ind w:left="426" w:right="-95" w:hanging="852"/>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spacing w:val="-1"/>
          <w:highlight w:val="none"/>
          <w:lang w:val="en-US"/>
        </w:rPr>
        <w:t xml:space="preserve">本项目不接受联合体投标。</w:t>
      </w:r>
      <w:r/>
    </w:p>
    <w:p>
      <w:pPr>
        <w:pStyle w:val="807"/>
        <w:numPr>
          <w:ilvl w:val="2"/>
          <w:numId w:val="10"/>
        </w:numPr>
        <w:ind w:right="-475" w:hanging="2228"/>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投标人不得存在下列情形之一： </w:t>
      </w:r>
      <w:r/>
    </w:p>
    <w:p>
      <w:pPr>
        <w:pStyle w:val="807"/>
        <w:ind w:left="1392" w:hanging="1819"/>
        <w:spacing w:line="440" w:lineRule="exact"/>
        <w:tabs>
          <w:tab w:val="left" w:pos="2885" w:leader="none"/>
        </w:tabs>
        <w:rPr>
          <w:rFonts w:ascii="仿宋" w:hAnsi="仿宋" w:eastAsia="仿宋" w:cs="仿宋"/>
          <w:bCs/>
          <w:color w:val="auto"/>
          <w:highlight w:val="none"/>
        </w:rPr>
      </w:pPr>
      <w:r>
        <w:rPr>
          <w:rFonts w:hint="eastAsia" w:ascii="仿宋" w:hAnsi="仿宋" w:eastAsia="仿宋" w:cs="仿宋"/>
          <w:bCs/>
          <w:color w:val="auto"/>
          <w:highlight w:val="none"/>
          <w:lang w:val="en-US"/>
        </w:rPr>
        <w:t xml:space="preserve">1.4.3.1 </w:t>
      </w:r>
      <w:r>
        <w:rPr>
          <w:rFonts w:hint="eastAsia" w:ascii="仿宋" w:hAnsi="仿宋" w:eastAsia="仿宋" w:cs="仿宋"/>
          <w:bCs/>
          <w:color w:val="auto"/>
          <w:highlight w:val="none"/>
        </w:rPr>
        <w:t xml:space="preserve">为采购人不具有独立法人资格的附属机构（单位）；</w:t>
      </w:r>
      <w:r/>
    </w:p>
    <w:p>
      <w:pPr>
        <w:pStyle w:val="807"/>
        <w:ind w:left="1392" w:hanging="1819"/>
        <w:spacing w:line="440" w:lineRule="exact"/>
        <w:tabs>
          <w:tab w:val="left" w:pos="2885" w:leader="none"/>
        </w:tabs>
        <w:rPr>
          <w:rFonts w:ascii="仿宋" w:hAnsi="仿宋" w:eastAsia="仿宋" w:cs="仿宋"/>
          <w:bCs/>
          <w:color w:val="auto"/>
          <w:highlight w:val="none"/>
          <w:lang w:val="en-US"/>
        </w:rPr>
      </w:pPr>
      <w:r>
        <w:rPr>
          <w:rFonts w:hint="eastAsia" w:ascii="仿宋" w:hAnsi="仿宋" w:eastAsia="仿宋" w:cs="仿宋"/>
          <w:bCs/>
          <w:color w:val="auto"/>
          <w:highlight w:val="none"/>
          <w:lang w:val="en-US"/>
        </w:rPr>
        <w:t xml:space="preserve">1.4.3.2 为本标段提供招标代理服务或其分支机构；</w:t>
      </w:r>
      <w:r/>
    </w:p>
    <w:p>
      <w:pPr>
        <w:pStyle w:val="807"/>
        <w:ind w:left="433" w:hanging="860"/>
        <w:spacing w:line="440" w:lineRule="exact"/>
        <w:tabs>
          <w:tab w:val="left" w:pos="2885" w:leader="none"/>
        </w:tabs>
        <w:rPr>
          <w:rFonts w:ascii="仿宋" w:hAnsi="仿宋" w:eastAsia="仿宋" w:cs="仿宋"/>
          <w:bCs/>
          <w:color w:val="auto"/>
          <w:highlight w:val="none"/>
          <w:lang w:val="en-US"/>
        </w:rPr>
      </w:pPr>
      <w:r>
        <w:rPr>
          <w:rFonts w:hint="eastAsia" w:ascii="仿宋" w:hAnsi="仿宋" w:eastAsia="仿宋" w:cs="仿宋"/>
          <w:bCs/>
          <w:color w:val="auto"/>
          <w:highlight w:val="none"/>
          <w:lang w:val="en-US"/>
        </w:rPr>
        <w:t xml:space="preserve">1.4.3.3 单位负责人或实际控制人为同一人或者存在控股、管理关系的不同单位，同时参加本项目投标的；</w:t>
      </w:r>
      <w:r/>
    </w:p>
    <w:p>
      <w:pPr>
        <w:pStyle w:val="807"/>
        <w:ind w:left="420" w:hanging="847"/>
        <w:spacing w:line="440" w:lineRule="exact"/>
        <w:tabs>
          <w:tab w:val="left" w:pos="2885" w:leader="none"/>
        </w:tabs>
        <w:rPr>
          <w:rFonts w:ascii="仿宋" w:hAnsi="仿宋" w:eastAsia="仿宋" w:cs="仿宋"/>
          <w:bCs/>
          <w:color w:val="auto"/>
          <w:highlight w:val="none"/>
        </w:rPr>
      </w:pPr>
      <w:r>
        <w:rPr>
          <w:rFonts w:hint="eastAsia" w:ascii="仿宋" w:hAnsi="仿宋" w:eastAsia="仿宋" w:cs="仿宋"/>
          <w:bCs/>
          <w:color w:val="auto"/>
          <w:highlight w:val="none"/>
          <w:lang w:val="en-US"/>
        </w:rPr>
        <w:t xml:space="preserve">1.4.3.4 </w:t>
      </w:r>
      <w:r>
        <w:rPr>
          <w:rFonts w:hint="eastAsia" w:ascii="仿宋" w:hAnsi="仿宋" w:eastAsia="仿宋" w:cs="仿宋"/>
          <w:bCs/>
          <w:color w:val="auto"/>
          <w:spacing w:val="-1"/>
          <w:highlight w:val="none"/>
        </w:rPr>
        <w:t xml:space="preserve">投标人及其法定代表人控股的其他公司，同时参加本标段投标的；</w:t>
      </w:r>
      <w:r/>
    </w:p>
    <w:p>
      <w:pPr>
        <w:pStyle w:val="807"/>
        <w:ind w:left="438" w:hanging="865"/>
        <w:spacing w:line="440" w:lineRule="exact"/>
        <w:tabs>
          <w:tab w:val="left" w:pos="2885" w:leader="none"/>
        </w:tabs>
        <w:rPr>
          <w:rFonts w:ascii="仿宋" w:hAnsi="仿宋" w:eastAsia="仿宋" w:cs="仿宋"/>
          <w:bCs/>
          <w:color w:val="auto"/>
          <w:highlight w:val="none"/>
        </w:rPr>
      </w:pPr>
      <w:r>
        <w:rPr>
          <w:rFonts w:hint="eastAsia" w:ascii="仿宋" w:hAnsi="仿宋" w:eastAsia="仿宋" w:cs="仿宋"/>
          <w:bCs/>
          <w:color w:val="auto"/>
          <w:spacing w:val="-1"/>
          <w:highlight w:val="none"/>
        </w:rPr>
        <w:t xml:space="preserve">1.4.3.5</w:t>
      </w:r>
      <w:r>
        <w:rPr>
          <w:rFonts w:hint="eastAsia" w:ascii="仿宋" w:hAnsi="仿宋" w:eastAsia="仿宋" w:cs="仿宋"/>
          <w:bCs/>
          <w:color w:val="auto"/>
          <w:highlight w:val="none"/>
        </w:rPr>
        <w:t xml:space="preserve">与采购人存在利害关系可能影响招标公正性的法人、其他组织或者个</w:t>
      </w:r>
      <w:r>
        <w:rPr>
          <w:rFonts w:hint="eastAsia" w:ascii="仿宋" w:hAnsi="仿宋" w:eastAsia="仿宋" w:cs="仿宋"/>
          <w:bCs/>
          <w:color w:val="auto"/>
          <w:highlight w:val="none"/>
          <w:lang w:val="en-US"/>
        </w:rPr>
        <w:t xml:space="preserve">人；</w:t>
      </w:r>
      <w:r/>
    </w:p>
    <w:p>
      <w:pPr>
        <w:pStyle w:val="807"/>
        <w:ind w:left="-426" w:firstLine="0"/>
        <w:spacing w:line="440" w:lineRule="exact"/>
        <w:tabs>
          <w:tab w:val="left" w:pos="2885" w:leader="none"/>
        </w:tabs>
        <w:rPr>
          <w:rFonts w:ascii="仿宋" w:hAnsi="仿宋" w:eastAsia="仿宋" w:cs="仿宋"/>
          <w:bCs/>
          <w:color w:val="auto"/>
          <w:highlight w:val="none"/>
          <w:lang w:val="en-US"/>
        </w:rPr>
      </w:pPr>
      <w:r>
        <w:rPr>
          <w:rFonts w:hint="eastAsia" w:ascii="仿宋" w:hAnsi="仿宋" w:eastAsia="仿宋" w:cs="仿宋"/>
          <w:bCs/>
          <w:color w:val="auto"/>
          <w:highlight w:val="none"/>
          <w:lang w:val="en-US"/>
        </w:rPr>
        <w:t xml:space="preserve">1.4.3.6 被责令停业的； </w:t>
      </w:r>
      <w:r/>
    </w:p>
    <w:p>
      <w:pPr>
        <w:pStyle w:val="807"/>
        <w:ind w:left="-426" w:firstLine="0"/>
        <w:spacing w:line="440" w:lineRule="exact"/>
        <w:tabs>
          <w:tab w:val="left" w:pos="2885" w:leader="none"/>
        </w:tabs>
        <w:rPr>
          <w:rFonts w:ascii="仿宋" w:hAnsi="仿宋" w:eastAsia="仿宋" w:cs="仿宋"/>
          <w:bCs/>
          <w:color w:val="auto"/>
          <w:highlight w:val="none"/>
          <w:lang w:val="en-US"/>
        </w:rPr>
      </w:pPr>
      <w:r>
        <w:rPr>
          <w:rFonts w:hint="eastAsia" w:ascii="仿宋" w:hAnsi="仿宋" w:eastAsia="仿宋" w:cs="仿宋"/>
          <w:bCs/>
          <w:color w:val="auto"/>
          <w:highlight w:val="none"/>
          <w:lang w:val="en-US"/>
        </w:rPr>
        <w:t xml:space="preserve">1.4.3.7 被暂停或取消投标资格的；</w:t>
      </w:r>
      <w:r/>
    </w:p>
    <w:p>
      <w:pPr>
        <w:pStyle w:val="807"/>
        <w:ind w:left="264" w:hanging="704"/>
        <w:spacing w:line="440" w:lineRule="exact"/>
        <w:tabs>
          <w:tab w:val="left" w:pos="2885" w:leader="none"/>
        </w:tabs>
        <w:rPr>
          <w:rFonts w:ascii="仿宋" w:hAnsi="仿宋" w:eastAsia="仿宋" w:cs="仿宋"/>
          <w:bCs/>
          <w:color w:val="auto"/>
          <w:highlight w:val="none"/>
          <w:lang w:val="en-US"/>
        </w:rPr>
      </w:pPr>
      <w:r>
        <w:rPr>
          <w:rFonts w:hint="eastAsia" w:ascii="仿宋" w:hAnsi="仿宋" w:eastAsia="仿宋" w:cs="仿宋"/>
          <w:bCs/>
          <w:color w:val="auto"/>
          <w:highlight w:val="none"/>
          <w:lang w:val="en-US"/>
        </w:rPr>
        <w:t xml:space="preserve">1.4.3.8 处于财产被接管、冻结和破产状态，以及投标资格被暂停且在暂停期内的。</w:t>
      </w:r>
      <w:r/>
    </w:p>
    <w:p>
      <w:pPr>
        <w:pStyle w:val="744"/>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费用承担</w:t>
      </w:r>
      <w:r/>
    </w:p>
    <w:p>
      <w:pPr>
        <w:pStyle w:val="753"/>
        <w:ind w:left="427"/>
        <w:spacing w:after="0"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投标人应承担其编制投标文件与递交投标文件所涉及的一切费用。不论投标结果如何，采购人在任何情况下无义务和也无责任承担这些费用。 </w:t>
      </w:r>
      <w:r/>
    </w:p>
    <w:p>
      <w:pPr>
        <w:pStyle w:val="744"/>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保密</w:t>
      </w:r>
      <w:r/>
    </w:p>
    <w:p>
      <w:pPr>
        <w:pStyle w:val="753"/>
        <w:ind w:left="427"/>
        <w:spacing w:after="0"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参与招标投标活动的各方应对招标文件和投标文件中的商业和技术等秘密保密，违者应对由此造成的后果承担法律责任。  </w:t>
      </w:r>
      <w:r/>
    </w:p>
    <w:p>
      <w:pPr>
        <w:pStyle w:val="744"/>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语言文字</w:t>
      </w:r>
      <w:r/>
    </w:p>
    <w:p>
      <w:pPr>
        <w:pStyle w:val="753"/>
        <w:ind w:left="427"/>
        <w:spacing w:after="0"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除专用术语外，与招标投标有关的语言均使用中文。投标文件构成资料为非中文时应提供中文译版，并以中文为准，否则可视为未提供。 </w:t>
      </w:r>
      <w:r/>
    </w:p>
    <w:p>
      <w:pPr>
        <w:pStyle w:val="744"/>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bookmarkStart w:id="11" w:name="1.8_计量单位"/>
      <w:r/>
      <w:bookmarkEnd w:id="11"/>
      <w:r>
        <w:rPr>
          <w:rFonts w:hint="eastAsia" w:ascii="仿宋" w:hAnsi="仿宋" w:eastAsia="仿宋" w:cs="仿宋"/>
          <w:b w:val="0"/>
          <w:color w:val="auto"/>
          <w:spacing w:val="14"/>
          <w:sz w:val="22"/>
          <w:szCs w:val="22"/>
          <w:highlight w:val="none"/>
        </w:rPr>
        <w:t xml:space="preserve">计量单位</w:t>
      </w:r>
      <w:r/>
    </w:p>
    <w:p>
      <w:pPr>
        <w:pStyle w:val="753"/>
        <w:ind w:left="427"/>
        <w:spacing w:after="0"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所有计量均采用中华人民共和国法定计量单位。 </w:t>
      </w:r>
      <w:r/>
    </w:p>
    <w:p>
      <w:pPr>
        <w:pStyle w:val="744"/>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踏勘现场</w:t>
      </w:r>
      <w:r/>
    </w:p>
    <w:p>
      <w:pPr>
        <w:pStyle w:val="807"/>
        <w:numPr>
          <w:ilvl w:val="2"/>
          <w:numId w:val="10"/>
        </w:numPr>
        <w:ind w:left="426" w:right="-96" w:hanging="852"/>
        <w:spacing w:line="440" w:lineRule="exact"/>
        <w:tabs>
          <w:tab w:val="left" w:pos="440" w:leader="none"/>
        </w:tabs>
        <w:rPr>
          <w:rFonts w:ascii="仿宋" w:hAnsi="仿宋" w:eastAsia="仿宋" w:cs="仿宋"/>
          <w:bCs/>
          <w:color w:val="auto"/>
          <w:highlight w:val="none"/>
        </w:rPr>
      </w:pPr>
      <w:r>
        <w:rPr>
          <w:rFonts w:hint="eastAsia" w:ascii="仿宋" w:hAnsi="仿宋" w:eastAsia="仿宋" w:cs="仿宋"/>
          <w:bCs/>
          <w:color w:val="auto"/>
          <w:spacing w:val="-5"/>
          <w:highlight w:val="none"/>
        </w:rPr>
        <w:t xml:space="preserve">投标人须知前附表规定组织踏勘现场的，采购人按投标人须知前附表规定的时间、地点组织投标人踏勘项目现场。</w:t>
      </w:r>
      <w:r/>
    </w:p>
    <w:p>
      <w:pPr>
        <w:pStyle w:val="807"/>
        <w:numPr>
          <w:ilvl w:val="2"/>
          <w:numId w:val="10"/>
        </w:numPr>
        <w:ind w:left="426" w:right="-96" w:hanging="852"/>
        <w:spacing w:line="440" w:lineRule="exact"/>
        <w:tabs>
          <w:tab w:val="left" w:pos="440" w:leader="none"/>
        </w:tabs>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投标人踏勘现场发生的费用自理。</w:t>
      </w:r>
      <w:r/>
    </w:p>
    <w:p>
      <w:pPr>
        <w:pStyle w:val="807"/>
        <w:numPr>
          <w:ilvl w:val="2"/>
          <w:numId w:val="10"/>
        </w:numPr>
        <w:ind w:left="426" w:right="-96" w:hanging="852"/>
        <w:spacing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除采购人的原因外，投标人自行负责在踏勘现场中所发生的人员伤亡和财产损失。 </w:t>
      </w:r>
      <w:r/>
    </w:p>
    <w:p>
      <w:pPr>
        <w:pStyle w:val="807"/>
        <w:numPr>
          <w:ilvl w:val="2"/>
          <w:numId w:val="10"/>
        </w:numPr>
        <w:ind w:left="426" w:right="-96" w:hanging="852"/>
        <w:spacing w:line="440" w:lineRule="exact"/>
        <w:tabs>
          <w:tab w:val="left" w:pos="440" w:leader="none"/>
        </w:tabs>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采购人在踏勘现场中介绍的场地和相关的周边环境情况，供投标人在编制投标文件时参考，采购人不对投标人据此作出的判断和决策负责。 </w:t>
      </w:r>
      <w:r/>
    </w:p>
    <w:p>
      <w:pPr>
        <w:pStyle w:val="807"/>
        <w:numPr>
          <w:ilvl w:val="2"/>
          <w:numId w:val="10"/>
        </w:numPr>
        <w:ind w:left="426" w:right="-96" w:hanging="852"/>
        <w:spacing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采购人提供的本项目的相关参考资料，并不构成合同文件的组成部分，投标人应对上述资料的解释、推论和应用负责，采购人不对投标人据此作出的判断和决策承担任何责任。</w:t>
      </w:r>
      <w:r/>
    </w:p>
    <w:p>
      <w:pPr>
        <w:pStyle w:val="744"/>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z w:val="22"/>
          <w:szCs w:val="22"/>
          <w:highlight w:val="none"/>
        </w:rPr>
      </w:pPr>
      <w:r>
        <w:rPr>
          <w:rFonts w:hint="eastAsia" w:ascii="仿宋" w:hAnsi="仿宋" w:eastAsia="仿宋" w:cs="仿宋"/>
          <w:b w:val="0"/>
          <w:color w:val="auto"/>
          <w:spacing w:val="14"/>
          <w:sz w:val="22"/>
          <w:szCs w:val="22"/>
          <w:highlight w:val="none"/>
        </w:rPr>
        <w:t xml:space="preserve">投标预备会</w:t>
      </w:r>
      <w:r/>
    </w:p>
    <w:p>
      <w:pPr>
        <w:ind w:left="599" w:hanging="159"/>
        <w:spacing w:line="440" w:lineRule="exact"/>
        <w:rPr>
          <w:rFonts w:ascii="仿宋" w:hAnsi="仿宋" w:eastAsia="仿宋" w:cs="仿宋"/>
          <w:bCs/>
          <w:color w:val="auto"/>
          <w:spacing w:val="-5"/>
          <w:highlight w:val="none"/>
          <w:lang w:val="en-US"/>
        </w:rPr>
      </w:pPr>
      <w:r>
        <w:rPr>
          <w:rFonts w:hint="eastAsia" w:ascii="仿宋" w:hAnsi="仿宋" w:eastAsia="仿宋" w:cs="仿宋"/>
          <w:bCs/>
          <w:color w:val="auto"/>
          <w:spacing w:val="-5"/>
          <w:highlight w:val="none"/>
          <w:lang w:val="en-US"/>
        </w:rPr>
        <w:t xml:space="preserve">本项目不适用</w:t>
      </w:r>
      <w:r/>
    </w:p>
    <w:p>
      <w:pPr>
        <w:pStyle w:val="744"/>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分包</w:t>
      </w:r>
      <w:r>
        <w:rPr>
          <w:rFonts w:hint="eastAsia" w:ascii="仿宋" w:hAnsi="仿宋" w:eastAsia="仿宋" w:cs="仿宋"/>
          <w:b w:val="0"/>
          <w:color w:val="auto"/>
          <w:spacing w:val="14"/>
          <w:sz w:val="22"/>
          <w:szCs w:val="22"/>
          <w:highlight w:val="none"/>
          <w:lang w:val="en-US"/>
        </w:rPr>
        <w:t xml:space="preserve">和转包</w:t>
      </w:r>
      <w:r/>
    </w:p>
    <w:p>
      <w:pPr>
        <w:pStyle w:val="807"/>
        <w:ind w:left="426" w:right="-96" w:firstLine="0"/>
        <w:spacing w:line="440" w:lineRule="exact"/>
        <w:tabs>
          <w:tab w:val="left" w:pos="2885" w:leader="none"/>
        </w:tabs>
        <w:rPr>
          <w:rFonts w:ascii="仿宋" w:hAnsi="仿宋" w:eastAsia="仿宋" w:cs="仿宋"/>
          <w:bCs/>
          <w:color w:val="auto"/>
          <w:highlight w:val="none"/>
          <w:lang w:val="en-US"/>
        </w:rPr>
      </w:pPr>
      <w:r>
        <w:rPr>
          <w:rFonts w:hint="eastAsia" w:ascii="仿宋" w:hAnsi="仿宋" w:eastAsia="仿宋" w:cs="仿宋"/>
          <w:bCs/>
          <w:color w:val="auto"/>
          <w:highlight w:val="none"/>
          <w:lang w:val="en-US"/>
        </w:rPr>
        <w:t xml:space="preserve">合格的投标人必须符合招标文件相关规定，且具备独立完成本项目的能力。中标后不允许分包、转包。</w:t>
      </w:r>
      <w:r/>
    </w:p>
    <w:p>
      <w:pPr>
        <w:pStyle w:val="744"/>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偏离</w:t>
      </w:r>
      <w:r/>
    </w:p>
    <w:p>
      <w:pPr>
        <w:pStyle w:val="807"/>
        <w:ind w:left="426" w:right="-50" w:firstLine="0"/>
        <w:spacing w:line="440" w:lineRule="exact"/>
        <w:tabs>
          <w:tab w:val="left" w:pos="2885"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投标人须知前附表允许投标文件偏离招标文件某些要求的，偏离应当符合招标文件规定的偏离范围和幅度。 </w:t>
      </w:r>
      <w:r/>
    </w:p>
    <w:p>
      <w:pPr>
        <w:pStyle w:val="807"/>
        <w:numPr>
          <w:ilvl w:val="0"/>
          <w:numId w:val="10"/>
        </w:numPr>
        <w:ind w:hanging="2469"/>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招标文件</w:t>
      </w:r>
      <w:r/>
    </w:p>
    <w:p>
      <w:pPr>
        <w:pStyle w:val="744"/>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招标文件组成包括：</w:t>
      </w:r>
      <w:r/>
    </w:p>
    <w:p>
      <w:pPr>
        <w:ind w:firstLine="389"/>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本招标文件包括</w:t>
      </w:r>
      <w:r/>
    </w:p>
    <w:p>
      <w:pPr>
        <w:pStyle w:val="807"/>
        <w:numPr>
          <w:ilvl w:val="0"/>
          <w:numId w:val="11"/>
        </w:numPr>
        <w:ind w:hanging="2383"/>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招标公告 </w:t>
      </w:r>
      <w:r/>
    </w:p>
    <w:p>
      <w:pPr>
        <w:pStyle w:val="807"/>
        <w:numPr>
          <w:ilvl w:val="0"/>
          <w:numId w:val="11"/>
        </w:numPr>
        <w:ind w:hanging="2383"/>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投标人须知</w:t>
      </w:r>
      <w:r/>
    </w:p>
    <w:p>
      <w:pPr>
        <w:pStyle w:val="807"/>
        <w:numPr>
          <w:ilvl w:val="0"/>
          <w:numId w:val="11"/>
        </w:numPr>
        <w:ind w:hanging="2383"/>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评标办法</w:t>
      </w:r>
      <w:r/>
    </w:p>
    <w:p>
      <w:pPr>
        <w:pStyle w:val="807"/>
        <w:numPr>
          <w:ilvl w:val="0"/>
          <w:numId w:val="11"/>
        </w:numPr>
        <w:ind w:hanging="2383"/>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合同条款</w:t>
      </w:r>
      <w:r/>
    </w:p>
    <w:p>
      <w:pPr>
        <w:pStyle w:val="807"/>
        <w:numPr>
          <w:ilvl w:val="0"/>
          <w:numId w:val="11"/>
        </w:numPr>
        <w:ind w:hanging="2383"/>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技术标准及要求 </w:t>
      </w:r>
      <w:r/>
    </w:p>
    <w:p>
      <w:pPr>
        <w:pStyle w:val="807"/>
        <w:numPr>
          <w:ilvl w:val="0"/>
          <w:numId w:val="11"/>
        </w:numPr>
        <w:ind w:hanging="2383"/>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投标文件格式</w:t>
      </w:r>
      <w:r/>
    </w:p>
    <w:p>
      <w:pPr>
        <w:pStyle w:val="753"/>
        <w:ind w:left="425" w:right="46" w:firstLine="10"/>
        <w:spacing w:after="0" w:line="440" w:lineRule="exact"/>
        <w:rPr>
          <w:rFonts w:ascii="仿宋" w:hAnsi="仿宋" w:eastAsia="仿宋" w:cs="仿宋"/>
          <w:b/>
          <w:bCs/>
          <w:color w:val="auto"/>
          <w:spacing w:val="14"/>
          <w:highlight w:val="none"/>
        </w:rPr>
      </w:pPr>
      <w:r>
        <w:rPr>
          <w:rFonts w:hint="eastAsia" w:ascii="仿宋" w:hAnsi="仿宋" w:eastAsia="仿宋" w:cs="仿宋"/>
          <w:b/>
          <w:bCs/>
          <w:color w:val="auto"/>
          <w:spacing w:val="14"/>
          <w:highlight w:val="none"/>
        </w:rPr>
        <w:t xml:space="preserve">对招标文件所作的澄清、修改，构成招标文件的组成部分。 </w:t>
      </w:r>
      <w:r/>
    </w:p>
    <w:p>
      <w:pPr>
        <w:pStyle w:val="753"/>
        <w:ind w:left="425" w:right="46" w:firstLine="10"/>
        <w:spacing w:after="0" w:line="440" w:lineRule="exact"/>
        <w:rPr>
          <w:rFonts w:ascii="仿宋" w:hAnsi="仿宋" w:eastAsia="仿宋" w:cs="仿宋"/>
          <w:b/>
          <w:bCs/>
          <w:color w:val="auto"/>
          <w:spacing w:val="14"/>
          <w:highlight w:val="none"/>
        </w:rPr>
      </w:pPr>
      <w:r>
        <w:rPr>
          <w:rFonts w:hint="eastAsia" w:ascii="仿宋" w:hAnsi="仿宋" w:eastAsia="仿宋" w:cs="仿宋"/>
          <w:b/>
          <w:bCs/>
          <w:color w:val="auto"/>
          <w:spacing w:val="14"/>
          <w:highlight w:val="none"/>
        </w:rPr>
        <w:t xml:space="preserve">招标文件、招标文件的澄清或修改等在同一内容的表述上不一致时，以最后发出的书面文件为准。</w:t>
      </w:r>
      <w:r/>
    </w:p>
    <w:p>
      <w:pPr>
        <w:pStyle w:val="744"/>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招标文件的澄清</w:t>
      </w:r>
      <w:r/>
    </w:p>
    <w:p>
      <w:pPr>
        <w:pStyle w:val="807"/>
        <w:numPr>
          <w:ilvl w:val="2"/>
          <w:numId w:val="10"/>
        </w:numPr>
        <w:ind w:left="426" w:right="46" w:hanging="852"/>
        <w:spacing w:line="440" w:lineRule="exact"/>
        <w:tabs>
          <w:tab w:val="left" w:pos="440" w:leader="none"/>
          <w:tab w:val="left" w:pos="8789" w:leader="none"/>
        </w:tabs>
        <w:rPr>
          <w:rFonts w:ascii="仿宋" w:hAnsi="仿宋" w:eastAsia="仿宋" w:cs="仿宋"/>
          <w:bCs/>
          <w:color w:val="auto"/>
          <w:highlight w:val="none"/>
        </w:rPr>
      </w:pPr>
      <w:r>
        <w:rPr>
          <w:rFonts w:hint="eastAsia" w:ascii="仿宋" w:hAnsi="仿宋" w:eastAsia="仿宋" w:cs="仿宋"/>
          <w:bCs/>
          <w:color w:val="auto"/>
          <w:spacing w:val="-5"/>
          <w:highlight w:val="none"/>
        </w:rPr>
        <w:t xml:space="preserve">投标人应仔细阅读和检查招标文件的全部内容。如发现缺页或附件不</w:t>
      </w:r>
      <w:r>
        <w:rPr>
          <w:rFonts w:hint="eastAsia" w:ascii="仿宋" w:hAnsi="仿宋" w:eastAsia="仿宋" w:cs="仿宋"/>
          <w:bCs/>
          <w:color w:val="auto"/>
          <w:spacing w:val="-10"/>
          <w:highlight w:val="none"/>
        </w:rPr>
        <w:t xml:space="preserve">全，应及时向采购人提出，以便补齐。如有疑问，应在投标人须知前附表规定的时间前以书面形式</w:t>
      </w:r>
      <w:r>
        <w:rPr>
          <w:rFonts w:hint="eastAsia" w:ascii="仿宋" w:hAnsi="仿宋" w:eastAsia="仿宋" w:cs="仿宋"/>
          <w:bCs/>
          <w:color w:val="auto"/>
          <w:spacing w:val="-1"/>
          <w:highlight w:val="none"/>
        </w:rPr>
        <w:t xml:space="preserve">，要求采购人对招标文件予以澄清。</w:t>
      </w:r>
      <w:r/>
    </w:p>
    <w:p>
      <w:pPr>
        <w:pStyle w:val="807"/>
        <w:numPr>
          <w:ilvl w:val="2"/>
          <w:numId w:val="10"/>
        </w:numPr>
        <w:ind w:left="426" w:right="46" w:hanging="852"/>
        <w:spacing w:line="440" w:lineRule="exact"/>
        <w:tabs>
          <w:tab w:val="left" w:pos="440" w:leader="none"/>
        </w:tabs>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招标文件的澄清将在投标人须知前附表规定的投标截止时间 </w:t>
      </w:r>
      <w:r>
        <w:rPr>
          <w:rFonts w:hint="eastAsia" w:ascii="仿宋" w:hAnsi="仿宋" w:eastAsia="仿宋" w:cs="仿宋"/>
          <w:bCs/>
          <w:color w:val="auto"/>
          <w:spacing w:val="-5"/>
          <w:highlight w:val="none"/>
          <w:lang w:val="en-US"/>
        </w:rPr>
        <w:t xml:space="preserve">15 </w:t>
      </w:r>
      <w:r>
        <w:rPr>
          <w:rFonts w:hint="eastAsia" w:ascii="仿宋" w:hAnsi="仿宋" w:eastAsia="仿宋" w:cs="仿宋"/>
          <w:bCs/>
          <w:color w:val="auto"/>
          <w:spacing w:val="-5"/>
          <w:highlight w:val="none"/>
        </w:rPr>
        <w:t xml:space="preserve">天前以书面形式发给所有购买招标文件的投标人，但不指明澄清问题的来源。如果澄清发出的时间距投标截止时间不足 </w:t>
      </w:r>
      <w:r>
        <w:rPr>
          <w:rFonts w:hint="eastAsia" w:ascii="仿宋" w:hAnsi="仿宋" w:eastAsia="仿宋" w:cs="仿宋"/>
          <w:bCs/>
          <w:color w:val="auto"/>
          <w:spacing w:val="-5"/>
          <w:highlight w:val="none"/>
          <w:lang w:val="en-US"/>
        </w:rPr>
        <w:t xml:space="preserve">15 </w:t>
      </w:r>
      <w:r>
        <w:rPr>
          <w:rFonts w:hint="eastAsia" w:ascii="仿宋" w:hAnsi="仿宋" w:eastAsia="仿宋" w:cs="仿宋"/>
          <w:bCs/>
          <w:color w:val="auto"/>
          <w:spacing w:val="-5"/>
          <w:highlight w:val="none"/>
        </w:rPr>
        <w:t xml:space="preserve">天，相应延长投标截止时间。 </w:t>
      </w:r>
      <w:r/>
    </w:p>
    <w:p>
      <w:pPr>
        <w:pStyle w:val="807"/>
        <w:numPr>
          <w:ilvl w:val="2"/>
          <w:numId w:val="10"/>
        </w:numPr>
        <w:ind w:left="426" w:right="46" w:hanging="852"/>
        <w:spacing w:line="440" w:lineRule="exact"/>
        <w:tabs>
          <w:tab w:val="left" w:pos="440" w:leader="none"/>
          <w:tab w:val="left" w:pos="8789" w:leader="none"/>
        </w:tabs>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投标人在收到澄清后，应在投标人须知前附表规定的时间内以书面形式通知采购人，确认己收到该澄清，</w:t>
      </w:r>
      <w:r>
        <w:rPr>
          <w:rFonts w:hint="eastAsia" w:ascii="仿宋" w:hAnsi="仿宋" w:eastAsia="仿宋" w:cs="仿宋"/>
          <w:bCs/>
          <w:color w:val="auto"/>
          <w:spacing w:val="-5"/>
          <w:highlight w:val="none"/>
          <w:lang w:val="en-US"/>
        </w:rPr>
        <w:t xml:space="preserve">在发出澄清的一个工作日内未回复的，视为已收到澄清</w:t>
      </w:r>
      <w:r>
        <w:rPr>
          <w:rFonts w:hint="eastAsia" w:ascii="仿宋" w:hAnsi="仿宋" w:eastAsia="仿宋" w:cs="仿宋"/>
          <w:bCs/>
          <w:color w:val="auto"/>
          <w:spacing w:val="-5"/>
          <w:highlight w:val="none"/>
        </w:rPr>
        <w:t xml:space="preserve">。 </w:t>
      </w:r>
      <w:r/>
    </w:p>
    <w:p>
      <w:pPr>
        <w:pStyle w:val="744"/>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招标文件的修改</w:t>
      </w:r>
      <w:r/>
    </w:p>
    <w:p>
      <w:pPr>
        <w:pStyle w:val="807"/>
        <w:numPr>
          <w:ilvl w:val="2"/>
          <w:numId w:val="10"/>
        </w:numPr>
        <w:ind w:left="426" w:right="46" w:hanging="852"/>
        <w:spacing w:line="440" w:lineRule="exact"/>
        <w:tabs>
          <w:tab w:val="left" w:pos="440" w:leader="none"/>
        </w:tabs>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在投标截止时间15天前，采购人可以书面形式修改招标文件，并通知所有已购买招标文件的投标人。如果修改招标文件的时间距投标截止时间不足15天，相应延长投标截止时间。 </w:t>
      </w:r>
      <w:r/>
    </w:p>
    <w:p>
      <w:pPr>
        <w:pStyle w:val="807"/>
        <w:numPr>
          <w:ilvl w:val="2"/>
          <w:numId w:val="10"/>
        </w:numPr>
        <w:ind w:left="426" w:right="46" w:hanging="852"/>
        <w:spacing w:line="440" w:lineRule="exact"/>
        <w:tabs>
          <w:tab w:val="left" w:pos="440" w:leader="none"/>
        </w:tabs>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投标人收到修改内容后，应在投标人须知前附表规定的时间内以书面形式通知采购人，确认己收到该修改，</w:t>
      </w:r>
      <w:r>
        <w:rPr>
          <w:rFonts w:hint="eastAsia" w:ascii="仿宋" w:hAnsi="仿宋" w:eastAsia="仿宋" w:cs="仿宋"/>
          <w:bCs/>
          <w:color w:val="auto"/>
          <w:spacing w:val="-5"/>
          <w:highlight w:val="none"/>
          <w:lang w:val="en-US"/>
        </w:rPr>
        <w:t xml:space="preserve">在发出修改的一个工作日内未回复的，视为已收到修改</w:t>
      </w:r>
      <w:r>
        <w:rPr>
          <w:rFonts w:hint="eastAsia" w:ascii="仿宋" w:hAnsi="仿宋" w:eastAsia="仿宋" w:cs="仿宋"/>
          <w:bCs/>
          <w:color w:val="auto"/>
          <w:spacing w:val="-5"/>
          <w:highlight w:val="none"/>
        </w:rPr>
        <w:t xml:space="preserve">。</w:t>
      </w:r>
      <w:r/>
    </w:p>
    <w:p>
      <w:pPr>
        <w:pStyle w:val="807"/>
        <w:numPr>
          <w:ilvl w:val="0"/>
          <w:numId w:val="10"/>
        </w:numPr>
        <w:ind w:hanging="2469"/>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投标文件 </w:t>
      </w:r>
      <w:r/>
    </w:p>
    <w:p>
      <w:pPr>
        <w:pStyle w:val="744"/>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投标文件的组成</w:t>
      </w:r>
      <w:r/>
    </w:p>
    <w:p>
      <w:pPr>
        <w:pStyle w:val="807"/>
        <w:ind w:left="426" w:right="46" w:firstLine="0"/>
        <w:spacing w:line="440" w:lineRule="exact"/>
        <w:tabs>
          <w:tab w:val="left" w:pos="2884" w:leader="none"/>
          <w:tab w:val="left" w:pos="8789" w:leader="none"/>
        </w:tabs>
        <w:rPr>
          <w:rFonts w:ascii="仿宋" w:hAnsi="仿宋" w:eastAsia="仿宋" w:cs="仿宋"/>
          <w:bCs/>
          <w:color w:val="auto"/>
          <w:highlight w:val="none"/>
          <w:lang w:val="en-US"/>
        </w:rPr>
      </w:pPr>
      <w:r>
        <w:rPr>
          <w:rFonts w:hint="eastAsia" w:ascii="仿宋" w:hAnsi="仿宋" w:eastAsia="仿宋" w:cs="仿宋"/>
          <w:bCs/>
          <w:color w:val="auto"/>
          <w:spacing w:val="-5"/>
          <w:highlight w:val="none"/>
        </w:rPr>
        <w:t xml:space="preserve">投标人编写的投标文件应包括下列部分：内容及格式详见第六章“投标文件格式”。</w:t>
      </w:r>
      <w:r/>
    </w:p>
    <w:p>
      <w:pPr>
        <w:pStyle w:val="744"/>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投标报价</w:t>
      </w:r>
      <w:r/>
    </w:p>
    <w:p>
      <w:pPr>
        <w:pStyle w:val="807"/>
        <w:numPr>
          <w:ilvl w:val="2"/>
          <w:numId w:val="10"/>
        </w:numPr>
        <w:ind w:left="426" w:hanging="852"/>
        <w:spacing w:line="440" w:lineRule="exact"/>
        <w:rPr>
          <w:rFonts w:ascii="仿宋" w:hAnsi="仿宋" w:eastAsia="仿宋" w:cs="仿宋"/>
          <w:bCs/>
          <w:color w:val="auto"/>
          <w:highlight w:val="none"/>
        </w:rPr>
      </w:pPr>
      <w:r>
        <w:rPr>
          <w:rFonts w:hint="eastAsia" w:ascii="仿宋" w:hAnsi="仿宋" w:eastAsia="仿宋" w:cs="仿宋"/>
          <w:bCs/>
          <w:color w:val="auto"/>
          <w:spacing w:val="-2"/>
          <w:highlight w:val="none"/>
        </w:rPr>
        <w:t xml:space="preserve">投标人应按本招标文件中“投标文件格式”的要求填写相应表格。</w:t>
      </w:r>
      <w:r/>
    </w:p>
    <w:p>
      <w:pPr>
        <w:pStyle w:val="807"/>
        <w:numPr>
          <w:ilvl w:val="2"/>
          <w:numId w:val="10"/>
        </w:numPr>
        <w:ind w:left="426" w:hanging="852"/>
        <w:spacing w:line="440" w:lineRule="exact"/>
        <w:rPr>
          <w:rFonts w:ascii="仿宋" w:hAnsi="仿宋" w:eastAsia="仿宋" w:cs="仿宋"/>
          <w:bCs/>
          <w:color w:val="auto"/>
          <w:highlight w:val="none"/>
        </w:rPr>
      </w:pPr>
      <w:r>
        <w:rPr>
          <w:rFonts w:hint="eastAsia" w:ascii="仿宋" w:hAnsi="仿宋" w:eastAsia="仿宋" w:cs="仿宋"/>
          <w:bCs/>
          <w:color w:val="auto"/>
          <w:spacing w:val="-2"/>
          <w:highlight w:val="none"/>
        </w:rPr>
        <w:t xml:space="preserve">投标人在投标截止时间前修改投标函中的投标总报价，应同时修改本招标文件中“投标文件格式”中的相应报价。此修改须符合本</w:t>
      </w:r>
      <w:r>
        <w:rPr>
          <w:rFonts w:hint="eastAsia" w:ascii="仿宋" w:hAnsi="仿宋" w:eastAsia="仿宋" w:cs="仿宋"/>
          <w:bCs/>
          <w:color w:val="auto"/>
          <w:spacing w:val="-13"/>
          <w:highlight w:val="none"/>
        </w:rPr>
        <w:t xml:space="preserve">章第 </w:t>
      </w:r>
      <w:r>
        <w:rPr>
          <w:rFonts w:hint="eastAsia" w:ascii="仿宋" w:hAnsi="仿宋" w:eastAsia="仿宋" w:cs="仿宋"/>
          <w:bCs/>
          <w:color w:val="auto"/>
          <w:highlight w:val="none"/>
        </w:rPr>
        <w:t xml:space="preserve">4.3</w:t>
      </w:r>
      <w:r>
        <w:rPr>
          <w:rFonts w:hint="eastAsia" w:ascii="仿宋" w:hAnsi="仿宋" w:eastAsia="仿宋" w:cs="仿宋"/>
          <w:bCs/>
          <w:color w:val="auto"/>
          <w:spacing w:val="-12"/>
          <w:highlight w:val="none"/>
        </w:rPr>
        <w:t xml:space="preserve">款的有关要求。 </w:t>
      </w:r>
      <w:r/>
    </w:p>
    <w:p>
      <w:pPr>
        <w:pStyle w:val="807"/>
        <w:numPr>
          <w:ilvl w:val="2"/>
          <w:numId w:val="10"/>
        </w:numPr>
        <w:ind w:left="426" w:hanging="852"/>
        <w:spacing w:line="440" w:lineRule="exact"/>
        <w:tabs>
          <w:tab w:val="left" w:pos="440" w:leader="none"/>
        </w:tabs>
        <w:rPr>
          <w:rFonts w:ascii="仿宋" w:hAnsi="仿宋" w:eastAsia="仿宋" w:cs="仿宋"/>
          <w:bCs/>
          <w:color w:val="auto"/>
          <w:highlight w:val="none"/>
        </w:rPr>
      </w:pPr>
      <w:r>
        <w:rPr>
          <w:rFonts w:hint="eastAsia" w:ascii="仿宋" w:hAnsi="仿宋" w:eastAsia="仿宋" w:cs="仿宋"/>
          <w:bCs/>
          <w:color w:val="auto"/>
          <w:spacing w:val="-3"/>
          <w:highlight w:val="none"/>
        </w:rPr>
        <w:t xml:space="preserve">采购人设有最高限价的，投标人的投标报价不得超过最高限价</w:t>
      </w:r>
      <w:r>
        <w:rPr>
          <w:rFonts w:hint="eastAsia" w:ascii="仿宋" w:hAnsi="仿宋" w:eastAsia="仿宋" w:cs="仿宋"/>
          <w:bCs/>
          <w:color w:val="auto"/>
          <w:spacing w:val="-4"/>
          <w:highlight w:val="none"/>
        </w:rPr>
        <w:t xml:space="preserve">，</w:t>
      </w:r>
      <w:r>
        <w:rPr>
          <w:rFonts w:hint="eastAsia" w:ascii="仿宋" w:hAnsi="仿宋" w:eastAsia="仿宋" w:cs="仿宋"/>
          <w:bCs/>
          <w:color w:val="auto"/>
          <w:spacing w:val="-3"/>
          <w:highlight w:val="none"/>
        </w:rPr>
        <w:t xml:space="preserve">最高限价</w:t>
      </w:r>
      <w:r>
        <w:rPr>
          <w:rFonts w:hint="eastAsia" w:ascii="仿宋" w:hAnsi="仿宋" w:eastAsia="仿宋" w:cs="仿宋"/>
          <w:bCs/>
          <w:color w:val="auto"/>
          <w:spacing w:val="-4"/>
          <w:highlight w:val="none"/>
        </w:rPr>
        <w:t xml:space="preserve">详见投标人须知前附表。</w:t>
      </w:r>
      <w:r/>
    </w:p>
    <w:p>
      <w:pPr>
        <w:pStyle w:val="807"/>
        <w:numPr>
          <w:ilvl w:val="2"/>
          <w:numId w:val="10"/>
        </w:numPr>
        <w:ind w:left="426" w:hanging="852"/>
        <w:spacing w:line="440" w:lineRule="exact"/>
        <w:tabs>
          <w:tab w:val="left" w:pos="440" w:leader="none"/>
        </w:tabs>
        <w:rPr>
          <w:rFonts w:ascii="仿宋" w:hAnsi="仿宋" w:eastAsia="仿宋" w:cs="仿宋"/>
          <w:bCs/>
          <w:color w:val="auto"/>
          <w:highlight w:val="none"/>
        </w:rPr>
      </w:pPr>
      <w:r>
        <w:rPr>
          <w:rFonts w:hint="eastAsia" w:ascii="仿宋" w:hAnsi="仿宋" w:eastAsia="仿宋" w:cs="仿宋"/>
          <w:bCs/>
          <w:color w:val="auto"/>
          <w:spacing w:val="-1"/>
          <w:highlight w:val="none"/>
        </w:rPr>
        <w:t xml:space="preserve">投标报价的其他要求详见投标人须知前附表。</w:t>
      </w:r>
      <w:r/>
    </w:p>
    <w:p>
      <w:pPr>
        <w:pStyle w:val="807"/>
        <w:numPr>
          <w:ilvl w:val="2"/>
          <w:numId w:val="10"/>
        </w:numPr>
        <w:ind w:left="426" w:hanging="852"/>
        <w:spacing w:line="440" w:lineRule="exact"/>
        <w:tabs>
          <w:tab w:val="left" w:pos="440"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投标人的报价不仅应包括招标文件提供的技术条款上所标明的，还应包括任何未明确标出的，全套系统安装后保证正常安全运行所不可缺少的配件及附件的全部费用。</w:t>
      </w:r>
      <w:r/>
    </w:p>
    <w:p>
      <w:pPr>
        <w:pStyle w:val="807"/>
        <w:numPr>
          <w:ilvl w:val="2"/>
          <w:numId w:val="10"/>
        </w:numPr>
        <w:ind w:left="426" w:hanging="852"/>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投标人的投标报价，应是完成</w:t>
      </w:r>
      <w:r>
        <w:rPr>
          <w:rFonts w:hint="eastAsia" w:ascii="仿宋" w:hAnsi="仿宋" w:eastAsia="仿宋" w:cs="仿宋"/>
          <w:bCs/>
          <w:color w:val="auto"/>
          <w:highlight w:val="none"/>
          <w:lang w:val="en-US"/>
        </w:rPr>
        <w:t xml:space="preserve">本文件</w:t>
      </w:r>
      <w:r>
        <w:rPr>
          <w:rFonts w:hint="eastAsia" w:ascii="仿宋" w:hAnsi="仿宋" w:eastAsia="仿宋" w:cs="仿宋"/>
          <w:bCs/>
          <w:color w:val="auto"/>
          <w:highlight w:val="none"/>
        </w:rPr>
        <w:t xml:space="preserve">所列招标</w:t>
      </w:r>
      <w:r>
        <w:rPr>
          <w:rFonts w:hint="eastAsia" w:ascii="仿宋" w:hAnsi="仿宋" w:eastAsia="仿宋" w:cs="仿宋"/>
          <w:bCs/>
          <w:color w:val="auto"/>
          <w:highlight w:val="none"/>
          <w:lang w:val="en-US"/>
        </w:rPr>
        <w:t xml:space="preserve">项目</w:t>
      </w:r>
      <w:r>
        <w:rPr>
          <w:rFonts w:hint="eastAsia" w:ascii="仿宋" w:hAnsi="仿宋" w:eastAsia="仿宋" w:cs="仿宋"/>
          <w:bCs/>
          <w:color w:val="auto"/>
          <w:highlight w:val="none"/>
        </w:rPr>
        <w:t xml:space="preserve">范围及</w:t>
      </w:r>
      <w:r>
        <w:rPr>
          <w:rFonts w:hint="eastAsia" w:ascii="仿宋" w:hAnsi="仿宋" w:eastAsia="仿宋" w:cs="仿宋"/>
          <w:bCs/>
          <w:color w:val="auto"/>
          <w:highlight w:val="none"/>
          <w:lang w:val="en-US"/>
        </w:rPr>
        <w:t xml:space="preserve">项目完成期</w:t>
      </w:r>
      <w:r>
        <w:rPr>
          <w:rFonts w:hint="eastAsia" w:ascii="仿宋" w:hAnsi="仿宋" w:eastAsia="仿宋" w:cs="仿宋"/>
          <w:bCs/>
          <w:color w:val="auto"/>
          <w:highlight w:val="none"/>
        </w:rPr>
        <w:t xml:space="preserve">的全部，</w:t>
      </w:r>
      <w:r>
        <w:rPr>
          <w:rFonts w:hint="eastAsia" w:ascii="仿宋" w:hAnsi="仿宋" w:eastAsia="仿宋" w:cs="仿宋"/>
          <w:bCs/>
          <w:color w:val="auto"/>
          <w:highlight w:val="none"/>
          <w:lang w:val="en-US"/>
        </w:rPr>
        <w:t xml:space="preserve">除招标文件中规定的可调整内容外，</w:t>
      </w:r>
      <w:r>
        <w:rPr>
          <w:rFonts w:hint="eastAsia" w:ascii="仿宋" w:hAnsi="仿宋" w:eastAsia="仿宋" w:cs="仿宋"/>
          <w:bCs/>
          <w:color w:val="auto"/>
          <w:highlight w:val="none"/>
        </w:rPr>
        <w:t xml:space="preserve">不得以任何理由予以</w:t>
      </w:r>
      <w:r>
        <w:rPr>
          <w:rFonts w:hint="eastAsia" w:ascii="仿宋" w:hAnsi="仿宋" w:eastAsia="仿宋" w:cs="仿宋"/>
          <w:bCs/>
          <w:color w:val="auto"/>
          <w:highlight w:val="none"/>
          <w:lang w:val="en-US"/>
        </w:rPr>
        <w:t xml:space="preserve">调整</w:t>
      </w:r>
      <w:r>
        <w:rPr>
          <w:rFonts w:hint="eastAsia" w:ascii="仿宋" w:hAnsi="仿宋" w:eastAsia="仿宋" w:cs="仿宋"/>
          <w:bCs/>
          <w:color w:val="auto"/>
          <w:highlight w:val="none"/>
        </w:rPr>
        <w:t xml:space="preserve">，作为投标人计算单价或总价的依据。</w:t>
      </w:r>
      <w:r/>
    </w:p>
    <w:p>
      <w:pPr>
        <w:pStyle w:val="807"/>
        <w:numPr>
          <w:ilvl w:val="2"/>
          <w:numId w:val="10"/>
        </w:numPr>
        <w:ind w:left="426" w:hanging="852"/>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采购人</w:t>
      </w:r>
      <w:r>
        <w:rPr>
          <w:rFonts w:hint="eastAsia" w:ascii="仿宋" w:hAnsi="仿宋" w:eastAsia="仿宋" w:cs="仿宋"/>
          <w:bCs/>
          <w:color w:val="auto"/>
          <w:highlight w:val="none"/>
          <w:lang w:val="en-US"/>
        </w:rPr>
        <w:t xml:space="preserve">仅</w:t>
      </w:r>
      <w:r>
        <w:rPr>
          <w:rFonts w:hint="eastAsia" w:ascii="仿宋" w:hAnsi="仿宋" w:eastAsia="仿宋" w:cs="仿宋"/>
          <w:bCs/>
          <w:color w:val="auto"/>
          <w:highlight w:val="none"/>
        </w:rPr>
        <w:t xml:space="preserve">提供设备存放场地。</w:t>
      </w:r>
      <w:r>
        <w:rPr>
          <w:rFonts w:hint="eastAsia" w:ascii="仿宋" w:hAnsi="仿宋" w:eastAsia="仿宋" w:cs="仿宋"/>
          <w:bCs/>
          <w:color w:val="auto"/>
          <w:highlight w:val="none"/>
          <w:lang w:val="en-US"/>
        </w:rPr>
        <w:t xml:space="preserve">投标人应考虑</w:t>
      </w:r>
      <w:r>
        <w:rPr>
          <w:rFonts w:hint="eastAsia" w:ascii="仿宋" w:hAnsi="仿宋" w:eastAsia="仿宋" w:cs="仿宋"/>
          <w:bCs/>
          <w:color w:val="auto"/>
          <w:highlight w:val="none"/>
        </w:rPr>
        <w:t xml:space="preserve">设备装卸、安装时所需的水电、脚手架、墙体开孔（含修复）及其他所需费用，全部包括在投标报价内。</w:t>
      </w:r>
      <w:r/>
    </w:p>
    <w:p>
      <w:pPr>
        <w:pStyle w:val="807"/>
        <w:numPr>
          <w:ilvl w:val="2"/>
          <w:numId w:val="10"/>
        </w:numPr>
        <w:ind w:left="426" w:hanging="852"/>
        <w:spacing w:line="440" w:lineRule="exact"/>
        <w:tabs>
          <w:tab w:val="left" w:pos="440"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安装调试过程中所需的材料、设备等由中标人自行解决，相关费用包含在投标报价中。</w:t>
      </w:r>
      <w:r/>
    </w:p>
    <w:p>
      <w:pPr>
        <w:pStyle w:val="807"/>
        <w:numPr>
          <w:ilvl w:val="2"/>
          <w:numId w:val="10"/>
        </w:numPr>
        <w:ind w:left="426" w:hanging="852"/>
        <w:spacing w:line="440" w:lineRule="exact"/>
        <w:tabs>
          <w:tab w:val="left" w:pos="440"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《开标一览表》作为投标人投标报价的依据，投标人对《开标一览表》、《</w:t>
      </w:r>
      <w:r>
        <w:rPr>
          <w:rFonts w:hint="eastAsia" w:ascii="仿宋" w:hAnsi="仿宋" w:eastAsia="仿宋" w:cs="仿宋"/>
          <w:bCs/>
          <w:color w:val="auto"/>
          <w:highlight w:val="none"/>
          <w:lang w:val="en-US"/>
        </w:rPr>
        <w:t xml:space="preserve">明细报价表</w:t>
      </w:r>
      <w:r>
        <w:rPr>
          <w:rFonts w:hint="eastAsia" w:ascii="仿宋" w:hAnsi="仿宋" w:eastAsia="仿宋" w:cs="仿宋"/>
          <w:bCs/>
          <w:color w:val="auto"/>
          <w:highlight w:val="none"/>
        </w:rPr>
        <w:t xml:space="preserve">》中所列的项目名称、计量单位、数量均不能更改，否则视为不响应招标文件，作无效标处理。 </w:t>
      </w:r>
      <w:r/>
    </w:p>
    <w:p>
      <w:pPr>
        <w:pStyle w:val="807"/>
        <w:numPr>
          <w:ilvl w:val="2"/>
          <w:numId w:val="10"/>
        </w:numPr>
        <w:ind w:left="426" w:hanging="852"/>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投标人应按招标文件要求在《</w:t>
      </w:r>
      <w:r>
        <w:rPr>
          <w:rFonts w:hint="eastAsia" w:ascii="仿宋" w:hAnsi="仿宋" w:eastAsia="仿宋" w:cs="仿宋"/>
          <w:bCs/>
          <w:color w:val="auto"/>
          <w:highlight w:val="none"/>
          <w:lang w:val="en-US"/>
        </w:rPr>
        <w:t xml:space="preserve">明细报价表</w:t>
      </w:r>
      <w:r>
        <w:rPr>
          <w:rFonts w:hint="eastAsia" w:ascii="仿宋" w:hAnsi="仿宋" w:eastAsia="仿宋" w:cs="仿宋"/>
          <w:bCs/>
          <w:color w:val="auto"/>
          <w:highlight w:val="none"/>
        </w:rPr>
        <w:t xml:space="preserve">》中列出的项目填报单价和合价。每一项目只允许有一个报价，任何有选择的报价将不予接受，投标人未填单价或合价的项目，在实施后，采购人将不予以支付，并视作该项费用已包括在其它有价款的单价或合价内。</w:t>
      </w:r>
      <w:r/>
    </w:p>
    <w:p>
      <w:pPr>
        <w:pStyle w:val="807"/>
        <w:numPr>
          <w:ilvl w:val="2"/>
          <w:numId w:val="10"/>
        </w:numPr>
        <w:ind w:left="426" w:hanging="852"/>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《明细报价表》由投标人根据招标文件要求、投标人拟优化方案及自身经验，自行填报。投标人按要求应列入而未列入的设施设备、措施服务等，均认为已含在本表中。</w:t>
      </w:r>
      <w:r/>
    </w:p>
    <w:p>
      <w:pPr>
        <w:pStyle w:val="744"/>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bookmarkStart w:id="12" w:name="3.3_投标有效期"/>
      <w:r/>
      <w:bookmarkEnd w:id="12"/>
      <w:r>
        <w:rPr>
          <w:rFonts w:hint="eastAsia" w:ascii="仿宋" w:hAnsi="仿宋" w:eastAsia="仿宋" w:cs="仿宋"/>
          <w:b w:val="0"/>
          <w:color w:val="auto"/>
          <w:spacing w:val="14"/>
          <w:sz w:val="22"/>
          <w:szCs w:val="22"/>
          <w:highlight w:val="none"/>
        </w:rPr>
        <w:t xml:space="preserve">投标有效期</w:t>
      </w:r>
      <w:r/>
    </w:p>
    <w:p>
      <w:pPr>
        <w:pStyle w:val="807"/>
        <w:numPr>
          <w:ilvl w:val="2"/>
          <w:numId w:val="10"/>
        </w:numPr>
        <w:ind w:left="426" w:right="-96" w:hanging="852"/>
        <w:spacing w:line="440" w:lineRule="exact"/>
        <w:rPr>
          <w:rFonts w:ascii="仿宋" w:hAnsi="仿宋" w:eastAsia="仿宋" w:cs="仿宋"/>
          <w:bCs/>
          <w:color w:val="auto"/>
          <w:highlight w:val="none"/>
        </w:rPr>
      </w:pPr>
      <w:r>
        <w:rPr>
          <w:rFonts w:hint="eastAsia" w:ascii="仿宋" w:hAnsi="仿宋" w:eastAsia="仿宋" w:cs="仿宋"/>
          <w:bCs/>
          <w:color w:val="auto"/>
          <w:spacing w:val="-5"/>
          <w:highlight w:val="none"/>
        </w:rPr>
        <w:t xml:space="preserve">在投标人须知前附表规定的投标有效期内，投标人不得撤销其投标文件。 </w:t>
      </w:r>
      <w:r/>
    </w:p>
    <w:p>
      <w:pPr>
        <w:pStyle w:val="807"/>
        <w:numPr>
          <w:ilvl w:val="2"/>
          <w:numId w:val="10"/>
        </w:numPr>
        <w:ind w:left="426" w:right="-96" w:hanging="852"/>
        <w:spacing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  </w:t>
      </w:r>
      <w:r/>
    </w:p>
    <w:p>
      <w:pPr>
        <w:pStyle w:val="744"/>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bookmarkStart w:id="13" w:name="3.4_投标保证金"/>
      <w:r/>
      <w:bookmarkEnd w:id="13"/>
      <w:r>
        <w:rPr>
          <w:rFonts w:hint="eastAsia" w:ascii="仿宋" w:hAnsi="仿宋" w:eastAsia="仿宋" w:cs="仿宋"/>
          <w:b w:val="0"/>
          <w:color w:val="auto"/>
          <w:spacing w:val="14"/>
          <w:sz w:val="22"/>
          <w:szCs w:val="22"/>
          <w:highlight w:val="none"/>
        </w:rPr>
        <w:t xml:space="preserve">投标保证金</w:t>
      </w:r>
      <w:r/>
    </w:p>
    <w:p>
      <w:pPr>
        <w:pStyle w:val="807"/>
        <w:numPr>
          <w:ilvl w:val="2"/>
          <w:numId w:val="10"/>
        </w:numPr>
        <w:ind w:left="425" w:right="-96" w:hanging="852"/>
        <w:spacing w:line="440" w:lineRule="exact"/>
        <w:rPr>
          <w:rFonts w:ascii="仿宋" w:hAnsi="仿宋" w:eastAsia="仿宋" w:cs="仿宋"/>
          <w:bCs/>
          <w:color w:val="auto"/>
          <w:highlight w:val="none"/>
        </w:rPr>
      </w:pPr>
      <w:r>
        <w:rPr>
          <w:rFonts w:hint="eastAsia" w:ascii="仿宋" w:hAnsi="仿宋" w:eastAsia="仿宋" w:cs="仿宋"/>
          <w:bCs/>
          <w:color w:val="auto"/>
          <w:spacing w:val="-5"/>
          <w:highlight w:val="none"/>
        </w:rPr>
        <w:t xml:space="preserve">本项目不收取</w:t>
      </w:r>
      <w:r>
        <w:rPr>
          <w:rFonts w:hint="eastAsia" w:ascii="仿宋" w:hAnsi="仿宋" w:eastAsia="仿宋" w:cs="仿宋"/>
          <w:bCs/>
          <w:color w:val="auto"/>
          <w:spacing w:val="-3"/>
          <w:highlight w:val="none"/>
        </w:rPr>
        <w:t xml:space="preserve">投标保证金。  </w:t>
      </w:r>
      <w:r/>
    </w:p>
    <w:p>
      <w:pPr>
        <w:pStyle w:val="744"/>
        <w:numPr>
          <w:ilvl w:val="1"/>
          <w:numId w:val="10"/>
        </w:numPr>
        <w:ind w:left="425"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资格审查资料</w:t>
      </w:r>
      <w:r/>
    </w:p>
    <w:p>
      <w:pPr>
        <w:pStyle w:val="807"/>
        <w:numPr>
          <w:ilvl w:val="2"/>
          <w:numId w:val="10"/>
        </w:numPr>
        <w:ind w:left="425" w:right="-96" w:hanging="852"/>
        <w:spacing w:line="440" w:lineRule="exact"/>
        <w:rPr>
          <w:rFonts w:ascii="仿宋" w:hAnsi="仿宋" w:eastAsia="仿宋" w:cs="仿宋"/>
          <w:bCs/>
          <w:color w:val="auto"/>
          <w:highlight w:val="none"/>
        </w:rPr>
      </w:pPr>
      <w:r>
        <w:rPr>
          <w:rFonts w:hint="eastAsia" w:ascii="仿宋" w:hAnsi="仿宋" w:eastAsia="仿宋" w:cs="仿宋"/>
          <w:bCs/>
          <w:color w:val="auto"/>
          <w:spacing w:val="-5"/>
          <w:highlight w:val="none"/>
        </w:rPr>
        <w:t xml:space="preserve">“投标人基本情况表”应附投标人营业执照副本、资质证书副本等材料的复印件。 </w:t>
      </w:r>
      <w:r/>
    </w:p>
    <w:p>
      <w:pPr>
        <w:pStyle w:val="807"/>
        <w:numPr>
          <w:ilvl w:val="2"/>
          <w:numId w:val="10"/>
        </w:numPr>
        <w:ind w:left="425" w:right="-96" w:hanging="852"/>
        <w:spacing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投标单位应本着诚实信用的原则，提供真实可信的资格审查资料。若投标单位提供虚假资料，一经查实，除按否决投标处理外，其投标保证金不予退还。 </w:t>
      </w:r>
      <w:r/>
    </w:p>
    <w:p>
      <w:pPr>
        <w:pStyle w:val="807"/>
        <w:numPr>
          <w:ilvl w:val="2"/>
          <w:numId w:val="10"/>
        </w:numPr>
        <w:ind w:left="425" w:right="-96" w:hanging="852"/>
        <w:spacing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实质性响应招标文件及评审打分资料详见投标人须知前附表。 </w:t>
      </w:r>
      <w:r/>
    </w:p>
    <w:p>
      <w:pPr>
        <w:pStyle w:val="744"/>
        <w:numPr>
          <w:ilvl w:val="1"/>
          <w:numId w:val="10"/>
        </w:numPr>
        <w:ind w:left="425"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bookmarkStart w:id="14" w:name="3.6备选投标方案"/>
      <w:r/>
      <w:bookmarkEnd w:id="14"/>
      <w:r>
        <w:rPr>
          <w:rFonts w:hint="eastAsia" w:ascii="仿宋" w:hAnsi="仿宋" w:eastAsia="仿宋" w:cs="仿宋"/>
          <w:b w:val="0"/>
          <w:color w:val="auto"/>
          <w:spacing w:val="14"/>
          <w:sz w:val="22"/>
          <w:szCs w:val="22"/>
          <w:highlight w:val="none"/>
        </w:rPr>
        <w:t xml:space="preserve">备选投标方案</w:t>
      </w:r>
      <w:r/>
    </w:p>
    <w:p>
      <w:pPr>
        <w:pStyle w:val="753"/>
        <w:ind w:left="425" w:right="-96"/>
        <w:spacing w:after="0" w:line="440" w:lineRule="exact"/>
        <w:rPr>
          <w:rFonts w:ascii="仿宋" w:hAnsi="仿宋" w:eastAsia="仿宋" w:cs="仿宋"/>
          <w:bCs/>
          <w:color w:val="auto"/>
          <w:highlight w:val="none"/>
        </w:rPr>
      </w:pPr>
      <w:r>
        <w:rPr>
          <w:rFonts w:hint="eastAsia" w:ascii="仿宋" w:hAnsi="仿宋" w:eastAsia="仿宋" w:cs="仿宋"/>
          <w:bCs/>
          <w:color w:val="auto"/>
          <w:spacing w:val="-6"/>
          <w:highlight w:val="none"/>
        </w:rPr>
        <w:t xml:space="preserve">投标人不得递交备选投标方案。</w:t>
      </w:r>
      <w:r/>
    </w:p>
    <w:p>
      <w:pPr>
        <w:pStyle w:val="744"/>
        <w:numPr>
          <w:ilvl w:val="1"/>
          <w:numId w:val="10"/>
        </w:numPr>
        <w:ind w:left="425"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投标文件的编制</w:t>
      </w:r>
      <w:r/>
    </w:p>
    <w:p>
      <w:pPr>
        <w:pStyle w:val="807"/>
        <w:numPr>
          <w:ilvl w:val="2"/>
          <w:numId w:val="10"/>
        </w:numPr>
        <w:ind w:left="425" w:right="-96" w:hanging="852"/>
        <w:spacing w:line="440" w:lineRule="exact"/>
        <w:tabs>
          <w:tab w:val="left" w:pos="440" w:leader="none"/>
          <w:tab w:val="left" w:pos="8222" w:leader="none"/>
        </w:tabs>
        <w:rPr>
          <w:rFonts w:ascii="仿宋" w:hAnsi="仿宋" w:eastAsia="仿宋" w:cs="仿宋"/>
          <w:bCs/>
          <w:color w:val="auto"/>
          <w:highlight w:val="none"/>
        </w:rPr>
      </w:pPr>
      <w:r>
        <w:rPr>
          <w:rFonts w:hint="eastAsia" w:ascii="仿宋" w:hAnsi="仿宋" w:eastAsia="仿宋" w:cs="仿宋"/>
          <w:bCs/>
          <w:color w:val="auto"/>
          <w:spacing w:val="-4"/>
          <w:highlight w:val="none"/>
        </w:rPr>
        <w:t xml:space="preserve">投标文件应按第六章“投标文件格式”进行编写，如有必要，可以增</w:t>
      </w:r>
      <w:r>
        <w:rPr>
          <w:rFonts w:hint="eastAsia" w:ascii="仿宋" w:hAnsi="仿宋" w:eastAsia="仿宋" w:cs="仿宋"/>
          <w:bCs/>
          <w:color w:val="auto"/>
          <w:spacing w:val="-11"/>
          <w:highlight w:val="none"/>
        </w:rPr>
        <w:t xml:space="preserve">加附页，作为投标文件的组成部分。其中，投标函在满足招标文件实质性要求的基础上，可以提出比招标文件要求更有利于采购人的承诺。</w:t>
      </w:r>
      <w:r/>
    </w:p>
    <w:p>
      <w:pPr>
        <w:pStyle w:val="807"/>
        <w:numPr>
          <w:ilvl w:val="2"/>
          <w:numId w:val="10"/>
        </w:numPr>
        <w:ind w:left="426" w:right="-96" w:hanging="852"/>
        <w:spacing w:line="440" w:lineRule="exact"/>
        <w:tabs>
          <w:tab w:val="left" w:pos="440" w:leader="none"/>
        </w:tabs>
        <w:rPr>
          <w:rFonts w:ascii="仿宋" w:hAnsi="仿宋" w:eastAsia="仿宋" w:cs="仿宋"/>
          <w:bCs/>
          <w:color w:val="auto"/>
          <w:spacing w:val="-4"/>
          <w:highlight w:val="none"/>
        </w:rPr>
      </w:pPr>
      <w:r>
        <w:rPr>
          <w:rFonts w:hint="eastAsia" w:ascii="仿宋" w:hAnsi="仿宋" w:eastAsia="仿宋" w:cs="仿宋"/>
          <w:bCs/>
          <w:color w:val="auto"/>
          <w:spacing w:val="-4"/>
          <w:highlight w:val="none"/>
          <w:lang w:val="en-US"/>
        </w:rPr>
        <w:t xml:space="preserve">投标文件组成：</w:t>
      </w:r>
      <w:r/>
    </w:p>
    <w:p>
      <w:pPr>
        <w:pStyle w:val="807"/>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评分索引表</w:t>
      </w:r>
      <w:r/>
    </w:p>
    <w:p>
      <w:pPr>
        <w:pStyle w:val="807"/>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投标书</w:t>
      </w:r>
      <w:r/>
    </w:p>
    <w:p>
      <w:pPr>
        <w:pStyle w:val="807"/>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开标一览表</w:t>
      </w:r>
      <w:r/>
    </w:p>
    <w:p>
      <w:pPr>
        <w:pStyle w:val="807"/>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报价明细表</w:t>
      </w:r>
      <w:r/>
    </w:p>
    <w:p>
      <w:pPr>
        <w:pStyle w:val="807"/>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中小企业声明函</w:t>
      </w:r>
      <w:r>
        <w:rPr>
          <w:rFonts w:hint="eastAsia" w:ascii="仿宋" w:hAnsi="仿宋" w:eastAsia="仿宋" w:cs="仿宋"/>
          <w:color w:val="auto"/>
          <w:highlight w:val="none"/>
          <w:lang w:val="en-US"/>
        </w:rPr>
        <w:t xml:space="preserve">或监狱企业或</w:t>
      </w:r>
      <w:r>
        <w:rPr>
          <w:rFonts w:hint="eastAsia" w:ascii="仿宋" w:hAnsi="仿宋" w:eastAsia="仿宋" w:cs="仿宋"/>
          <w:color w:val="auto"/>
          <w:highlight w:val="none"/>
        </w:rPr>
        <w:t xml:space="preserve">残疾人福利性单位声明函</w:t>
      </w:r>
      <w:r/>
    </w:p>
    <w:p>
      <w:pPr>
        <w:pStyle w:val="807"/>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供应商信用承诺书</w:t>
      </w:r>
      <w:r/>
    </w:p>
    <w:p>
      <w:pPr>
        <w:pStyle w:val="807"/>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资格证明文件</w:t>
      </w:r>
      <w:r/>
    </w:p>
    <w:p>
      <w:pPr>
        <w:pStyle w:val="807"/>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法定代表人身份证明书</w:t>
      </w:r>
      <w:r/>
    </w:p>
    <w:p>
      <w:pPr>
        <w:pStyle w:val="807"/>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授权委托书</w:t>
      </w:r>
      <w:r/>
    </w:p>
    <w:p>
      <w:pPr>
        <w:pStyle w:val="807"/>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类似业绩情况一览表</w:t>
      </w:r>
      <w:r/>
    </w:p>
    <w:p>
      <w:pPr>
        <w:pStyle w:val="807"/>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技术条款响应表</w:t>
      </w:r>
      <w:r/>
    </w:p>
    <w:p>
      <w:pPr>
        <w:pStyle w:val="807"/>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商务条款响应表</w:t>
      </w:r>
      <w:r/>
    </w:p>
    <w:p>
      <w:pPr>
        <w:pStyle w:val="807"/>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投标设备说明</w:t>
      </w:r>
      <w:r/>
    </w:p>
    <w:p>
      <w:pPr>
        <w:pStyle w:val="807"/>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项目方案</w:t>
      </w:r>
      <w:r/>
    </w:p>
    <w:p>
      <w:pPr>
        <w:pStyle w:val="807"/>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投入本项目的技术人员数量及技术等级</w:t>
      </w:r>
      <w:r/>
    </w:p>
    <w:p>
      <w:pPr>
        <w:pStyle w:val="807"/>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投标人可供选择的备品、配套零部件、易损易耗件价格表（免费质保期满后价格）</w:t>
      </w:r>
      <w:r/>
    </w:p>
    <w:p>
      <w:pPr>
        <w:pStyle w:val="807"/>
        <w:numPr>
          <w:ilvl w:val="0"/>
          <w:numId w:val="12"/>
        </w:numPr>
        <w:spacing w:line="440" w:lineRule="exact"/>
        <w:tabs>
          <w:tab w:val="left" w:pos="426" w:leader="none"/>
        </w:tabs>
        <w:rPr>
          <w:rFonts w:ascii="仿宋" w:hAnsi="仿宋" w:eastAsia="仿宋" w:cs="仿宋"/>
          <w:bCs/>
          <w:color w:val="auto"/>
          <w:highlight w:val="none"/>
        </w:rPr>
      </w:pPr>
      <w:r>
        <w:rPr>
          <w:rFonts w:hint="eastAsia" w:ascii="仿宋" w:hAnsi="仿宋" w:eastAsia="仿宋" w:cs="仿宋"/>
          <w:color w:val="auto"/>
          <w:highlight w:val="none"/>
        </w:rPr>
        <w:t xml:space="preserve">投标人认为应该提交的其他资料</w:t>
      </w:r>
      <w:r/>
    </w:p>
    <w:p>
      <w:pPr>
        <w:pStyle w:val="807"/>
        <w:numPr>
          <w:ilvl w:val="0"/>
          <w:numId w:val="10"/>
        </w:numPr>
        <w:ind w:hanging="2469"/>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投标 </w:t>
      </w:r>
      <w:r/>
    </w:p>
    <w:p>
      <w:pPr>
        <w:pStyle w:val="744"/>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z w:val="22"/>
          <w:szCs w:val="22"/>
          <w:highlight w:val="none"/>
        </w:rPr>
      </w:pPr>
      <w:r/>
      <w:bookmarkStart w:id="15" w:name="4.1_投标文件的密封和标记"/>
      <w:r/>
      <w:bookmarkEnd w:id="15"/>
      <w:r>
        <w:rPr>
          <w:rFonts w:hint="eastAsia" w:ascii="仿宋" w:hAnsi="仿宋" w:eastAsia="仿宋" w:cs="仿宋"/>
          <w:b w:val="0"/>
          <w:color w:val="auto"/>
          <w:spacing w:val="5"/>
          <w:sz w:val="22"/>
          <w:szCs w:val="22"/>
          <w:highlight w:val="none"/>
        </w:rPr>
        <w:t xml:space="preserve">电子投标文件的递交投标人应当按照《操作手册》规定，在投标截止时间前制作并上传电子投标文件。</w:t>
      </w:r>
      <w:r/>
    </w:p>
    <w:p>
      <w:pPr>
        <w:pStyle w:val="744"/>
        <w:numPr>
          <w:ilvl w:val="1"/>
          <w:numId w:val="10"/>
        </w:numPr>
        <w:ind w:left="426" w:hanging="852"/>
        <w:keepLines w:val="0"/>
        <w:keepNext w:val="0"/>
        <w:spacing w:before="0" w:after="0" w:line="440" w:lineRule="exact"/>
        <w:rPr>
          <w:rFonts w:ascii="仿宋" w:hAnsi="仿宋" w:eastAsia="仿宋" w:cs="仿宋"/>
          <w:b w:val="0"/>
          <w:color w:val="auto"/>
          <w:highlight w:val="none"/>
        </w:rPr>
      </w:pPr>
      <w:r/>
      <w:bookmarkStart w:id="16" w:name="4.2_投标文件的递交"/>
      <w:r/>
      <w:bookmarkEnd w:id="16"/>
      <w:r>
        <w:rPr>
          <w:rFonts w:hint="eastAsia" w:ascii="仿宋" w:hAnsi="仿宋" w:eastAsia="仿宋" w:cs="仿宋"/>
          <w:b w:val="0"/>
          <w:color w:val="auto"/>
          <w:spacing w:val="5"/>
          <w:sz w:val="22"/>
          <w:szCs w:val="22"/>
          <w:highlight w:val="none"/>
        </w:rPr>
        <w:t xml:space="preserve">政府采购管理交易系统（苏采云）相关要求是本招标文件的组成部分。</w:t>
      </w:r>
      <w:r/>
    </w:p>
    <w:p>
      <w:pPr>
        <w:pStyle w:val="744"/>
        <w:numPr>
          <w:ilvl w:val="1"/>
          <w:numId w:val="10"/>
        </w:numPr>
        <w:ind w:left="426" w:hanging="852"/>
        <w:keepLines w:val="0"/>
        <w:keepNext w:val="0"/>
        <w:spacing w:before="0" w:after="0" w:line="440" w:lineRule="exact"/>
        <w:rPr>
          <w:rFonts w:ascii="仿宋" w:hAnsi="仿宋" w:eastAsia="仿宋" w:cs="仿宋"/>
          <w:b w:val="0"/>
          <w:color w:val="auto"/>
          <w:spacing w:val="5"/>
          <w:sz w:val="22"/>
          <w:szCs w:val="22"/>
          <w:highlight w:val="none"/>
        </w:rPr>
      </w:pPr>
      <w:r>
        <w:rPr>
          <w:rFonts w:hint="eastAsia" w:ascii="仿宋" w:hAnsi="仿宋" w:eastAsia="仿宋" w:cs="仿宋"/>
          <w:b w:val="0"/>
          <w:color w:val="auto"/>
          <w:spacing w:val="5"/>
          <w:sz w:val="22"/>
          <w:szCs w:val="22"/>
          <w:highlight w:val="none"/>
        </w:rPr>
        <w:t xml:space="preserve">投标人应对 CA 证书妥善保管，如被他人盗用投标，因此带来的结果均由投标人自行承担。</w:t>
      </w:r>
      <w:r/>
    </w:p>
    <w:p>
      <w:pPr>
        <w:pStyle w:val="744"/>
        <w:numPr>
          <w:ilvl w:val="1"/>
          <w:numId w:val="10"/>
        </w:numPr>
        <w:ind w:left="426" w:hanging="852"/>
        <w:keepLines w:val="0"/>
        <w:keepNext w:val="0"/>
        <w:spacing w:before="0" w:after="0" w:line="440" w:lineRule="exact"/>
        <w:rPr>
          <w:rFonts w:ascii="仿宋" w:hAnsi="仿宋" w:eastAsia="仿宋" w:cs="仿宋"/>
          <w:b w:val="0"/>
          <w:color w:val="auto"/>
          <w:spacing w:val="5"/>
          <w:sz w:val="22"/>
          <w:szCs w:val="22"/>
          <w:highlight w:val="none"/>
        </w:rPr>
      </w:pPr>
      <w:r>
        <w:rPr>
          <w:rFonts w:hint="eastAsia" w:ascii="仿宋" w:hAnsi="仿宋" w:eastAsia="仿宋" w:cs="仿宋"/>
          <w:b w:val="0"/>
          <w:color w:val="auto"/>
          <w:spacing w:val="5"/>
          <w:sz w:val="22"/>
          <w:szCs w:val="22"/>
          <w:highlight w:val="none"/>
        </w:rPr>
        <w:t xml:space="preserve">投标人应当对招标文件提出的要求和条件作出实质性响应，并在电子投标系统逐条应答。</w:t>
      </w:r>
      <w:r/>
    </w:p>
    <w:p>
      <w:pPr>
        <w:pStyle w:val="744"/>
        <w:numPr>
          <w:ilvl w:val="1"/>
          <w:numId w:val="10"/>
        </w:numPr>
        <w:ind w:left="426" w:hanging="852"/>
        <w:keepLines w:val="0"/>
        <w:keepNext w:val="0"/>
        <w:spacing w:before="0" w:after="0" w:line="440" w:lineRule="exact"/>
        <w:rPr>
          <w:rFonts w:ascii="仿宋" w:hAnsi="仿宋" w:eastAsia="仿宋" w:cs="仿宋"/>
          <w:b w:val="0"/>
          <w:color w:val="auto"/>
          <w:spacing w:val="5"/>
          <w:sz w:val="22"/>
          <w:szCs w:val="22"/>
          <w:highlight w:val="none"/>
        </w:rPr>
      </w:pPr>
      <w:r>
        <w:rPr>
          <w:rFonts w:hint="eastAsia" w:ascii="仿宋" w:hAnsi="仿宋" w:eastAsia="仿宋" w:cs="仿宋"/>
          <w:b w:val="0"/>
          <w:color w:val="auto"/>
          <w:spacing w:val="5"/>
          <w:sz w:val="22"/>
          <w:szCs w:val="22"/>
          <w:highlight w:val="none"/>
        </w:rPr>
        <w:t xml:space="preserve">投标人应对要求提供的资格证明文件（如资质证书、资格证书）、技术资料（如白皮书、彩页、手册、检测报告等）扫描上传至投标系统。</w:t>
      </w:r>
      <w:r/>
    </w:p>
    <w:p>
      <w:pPr>
        <w:pStyle w:val="744"/>
        <w:numPr>
          <w:ilvl w:val="1"/>
          <w:numId w:val="10"/>
        </w:numPr>
        <w:ind w:left="426" w:hanging="852"/>
        <w:keepLines w:val="0"/>
        <w:keepNext w:val="0"/>
        <w:spacing w:before="0" w:after="0" w:line="440" w:lineRule="exact"/>
        <w:rPr>
          <w:rFonts w:ascii="仿宋" w:hAnsi="仿宋" w:eastAsia="仿宋" w:cs="仿宋"/>
          <w:b w:val="0"/>
          <w:color w:val="auto"/>
          <w:spacing w:val="5"/>
          <w:sz w:val="22"/>
          <w:szCs w:val="22"/>
          <w:highlight w:val="none"/>
        </w:rPr>
      </w:pPr>
      <w:r>
        <w:rPr>
          <w:rFonts w:hint="eastAsia" w:ascii="仿宋" w:hAnsi="仿宋" w:eastAsia="仿宋" w:cs="仿宋"/>
          <w:b w:val="0"/>
          <w:color w:val="auto"/>
          <w:spacing w:val="5"/>
          <w:sz w:val="22"/>
          <w:szCs w:val="22"/>
          <w:highlight w:val="none"/>
        </w:rPr>
        <w:t xml:space="preserve">投标人应当在招标文件要求提交投标文件的截止时间前，将投标文件提交至“苏采云”系统，逾期提交的投标文件，“苏采云”系统将自动拒收。</w:t>
      </w:r>
      <w:r/>
    </w:p>
    <w:p>
      <w:pPr>
        <w:pStyle w:val="744"/>
        <w:numPr>
          <w:ilvl w:val="1"/>
          <w:numId w:val="10"/>
        </w:numPr>
        <w:ind w:left="426" w:hanging="852"/>
        <w:keepLines w:val="0"/>
        <w:keepNext w:val="0"/>
        <w:spacing w:before="0" w:after="0" w:line="440" w:lineRule="exact"/>
        <w:rPr>
          <w:rFonts w:ascii="仿宋" w:hAnsi="仿宋" w:eastAsia="仿宋" w:cs="仿宋"/>
          <w:b w:val="0"/>
          <w:color w:val="auto"/>
          <w:spacing w:val="5"/>
          <w:sz w:val="22"/>
          <w:szCs w:val="22"/>
          <w:highlight w:val="none"/>
        </w:rPr>
      </w:pPr>
      <w:r>
        <w:rPr>
          <w:rFonts w:hint="eastAsia" w:ascii="仿宋" w:hAnsi="仿宋" w:eastAsia="仿宋" w:cs="仿宋"/>
          <w:b w:val="0"/>
          <w:color w:val="auto"/>
          <w:spacing w:val="5"/>
          <w:sz w:val="22"/>
          <w:szCs w:val="22"/>
          <w:highlight w:val="none"/>
        </w:rPr>
        <w:t xml:space="preserve">各投标人应在规定时间内凭CA证书进行网上解密。</w:t>
      </w:r>
      <w:r/>
    </w:p>
    <w:p>
      <w:pPr>
        <w:pStyle w:val="807"/>
        <w:numPr>
          <w:ilvl w:val="0"/>
          <w:numId w:val="10"/>
        </w:numPr>
        <w:ind w:hanging="2469"/>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开标程序 </w:t>
      </w:r>
      <w:r/>
    </w:p>
    <w:p>
      <w:pPr>
        <w:pStyle w:val="744"/>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z w:val="22"/>
          <w:szCs w:val="22"/>
          <w:highlight w:val="none"/>
        </w:rPr>
      </w:pPr>
      <w:r/>
      <w:bookmarkStart w:id="17" w:name="5.1_开标时间和地点、参加开标会议的要求"/>
      <w:r/>
      <w:bookmarkEnd w:id="17"/>
      <w:r>
        <w:rPr>
          <w:rFonts w:hint="eastAsia" w:ascii="仿宋" w:hAnsi="仿宋" w:eastAsia="仿宋" w:cs="仿宋"/>
          <w:b w:val="0"/>
          <w:color w:val="auto"/>
          <w:sz w:val="22"/>
          <w:szCs w:val="22"/>
          <w:highlight w:val="none"/>
        </w:rPr>
        <w:t xml:space="preserve">开标时间和地点、参加开标会议的要求</w:t>
      </w:r>
      <w:r/>
    </w:p>
    <w:p>
      <w:pPr>
        <w:pStyle w:val="753"/>
        <w:ind w:left="426" w:right="-96"/>
        <w:spacing w:after="0" w:line="440" w:lineRule="exact"/>
        <w:tabs>
          <w:tab w:val="left" w:pos="8222"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采购人在投标人须知前附表第</w:t>
      </w:r>
      <w:r>
        <w:rPr>
          <w:rFonts w:hint="eastAsia" w:ascii="仿宋" w:hAnsi="仿宋" w:eastAsia="仿宋" w:cs="仿宋"/>
          <w:bCs/>
          <w:color w:val="auto"/>
          <w:highlight w:val="none"/>
          <w:lang w:val="en-US"/>
        </w:rPr>
        <w:t xml:space="preserve">27条</w:t>
      </w:r>
      <w:r>
        <w:rPr>
          <w:rFonts w:hint="eastAsia" w:ascii="仿宋" w:hAnsi="仿宋" w:eastAsia="仿宋" w:cs="仿宋"/>
          <w:bCs/>
          <w:color w:val="auto"/>
          <w:highlight w:val="none"/>
        </w:rPr>
        <w:t xml:space="preserve">规定的投标截止时间（开标时间）和投标人须知前附表规定的地点公开开标，参加开标会议的要求见投标人须知前附表。 </w:t>
      </w:r>
      <w:r/>
    </w:p>
    <w:p>
      <w:pPr>
        <w:pStyle w:val="744"/>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z w:val="22"/>
          <w:szCs w:val="22"/>
          <w:highlight w:val="none"/>
        </w:rPr>
      </w:pPr>
      <w:r/>
      <w:bookmarkStart w:id="18" w:name="5.2开标"/>
      <w:r/>
      <w:bookmarkEnd w:id="18"/>
      <w:r>
        <w:rPr>
          <w:rFonts w:hint="eastAsia" w:ascii="仿宋" w:hAnsi="仿宋" w:eastAsia="仿宋" w:cs="仿宋"/>
          <w:b w:val="0"/>
          <w:color w:val="auto"/>
          <w:sz w:val="22"/>
          <w:szCs w:val="22"/>
          <w:highlight w:val="none"/>
        </w:rPr>
        <w:t xml:space="preserve">开标</w:t>
      </w:r>
      <w:r/>
    </w:p>
    <w:p>
      <w:pPr>
        <w:pStyle w:val="807"/>
        <w:numPr>
          <w:ilvl w:val="0"/>
          <w:numId w:val="13"/>
        </w:numPr>
        <w:ind w:left="1276" w:hanging="850"/>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代理机构将在招标公告中规定的时间和地点组织公开开标。投标人应当按照《操作手册》规定，参加开标活动。投标人未参加开标的，视同认可开标结果。</w:t>
      </w:r>
      <w:r/>
    </w:p>
    <w:p>
      <w:pPr>
        <w:pStyle w:val="807"/>
        <w:numPr>
          <w:ilvl w:val="0"/>
          <w:numId w:val="13"/>
        </w:numPr>
        <w:ind w:left="1276" w:hanging="850"/>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投标人不足3家的，不得开标。 </w:t>
      </w:r>
      <w:r/>
    </w:p>
    <w:p>
      <w:pPr>
        <w:pStyle w:val="807"/>
        <w:numPr>
          <w:ilvl w:val="0"/>
          <w:numId w:val="13"/>
        </w:numPr>
        <w:ind w:left="1276" w:hanging="850"/>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开标仪式由代理机构主持。“政府采购管理交易系统（苏采云）”将自动对项目进行开标，并宣读各投标人的《开标一览表》。 </w:t>
      </w:r>
      <w:r/>
    </w:p>
    <w:p>
      <w:pPr>
        <w:pStyle w:val="807"/>
        <w:numPr>
          <w:ilvl w:val="0"/>
          <w:numId w:val="13"/>
        </w:numPr>
        <w:ind w:left="1276" w:hanging="850"/>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投标人在开标过程中涉及到的投标文件解密、开标结果确认等工作，应按照《操作手册》规定执行。</w:t>
      </w:r>
      <w:r/>
    </w:p>
    <w:p>
      <w:pPr>
        <w:pStyle w:val="744"/>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pacing w:val="-1"/>
          <w:sz w:val="22"/>
          <w:szCs w:val="22"/>
          <w:highlight w:val="none"/>
        </w:rPr>
      </w:pPr>
      <w:r/>
      <w:bookmarkStart w:id="19" w:name="5.3_开标异议"/>
      <w:r/>
      <w:bookmarkEnd w:id="19"/>
      <w:r>
        <w:rPr>
          <w:rFonts w:hint="eastAsia" w:ascii="仿宋" w:hAnsi="仿宋" w:eastAsia="仿宋" w:cs="仿宋"/>
          <w:b w:val="0"/>
          <w:color w:val="auto"/>
          <w:spacing w:val="-1"/>
          <w:sz w:val="22"/>
          <w:szCs w:val="22"/>
          <w:highlight w:val="none"/>
        </w:rPr>
        <w:t xml:space="preserve">开标异议</w:t>
      </w:r>
      <w:r/>
    </w:p>
    <w:p>
      <w:pPr>
        <w:pStyle w:val="753"/>
        <w:ind w:left="426" w:right="-96"/>
        <w:spacing w:after="0" w:line="440" w:lineRule="exact"/>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投标人对开标有异议的，应当在开标现场提出，采购人当场作出答复，并制作记录。 </w:t>
      </w:r>
      <w:r/>
    </w:p>
    <w:p>
      <w:pPr>
        <w:pStyle w:val="807"/>
        <w:numPr>
          <w:ilvl w:val="0"/>
          <w:numId w:val="10"/>
        </w:numPr>
        <w:ind w:hanging="2469"/>
        <w:spacing w:line="440" w:lineRule="exact"/>
        <w:tabs>
          <w:tab w:val="left" w:pos="426" w:leader="none"/>
        </w:tabs>
        <w:rPr>
          <w:rFonts w:ascii="仿宋" w:hAnsi="仿宋" w:eastAsia="仿宋" w:cs="仿宋"/>
          <w:bCs/>
          <w:color w:val="auto"/>
          <w:spacing w:val="-1"/>
          <w:highlight w:val="none"/>
        </w:rPr>
      </w:pPr>
      <w:r/>
      <w:bookmarkStart w:id="20" w:name="6._评标"/>
      <w:r/>
      <w:bookmarkEnd w:id="20"/>
      <w:r>
        <w:rPr>
          <w:rFonts w:hint="eastAsia" w:ascii="仿宋" w:hAnsi="仿宋" w:eastAsia="仿宋" w:cs="仿宋"/>
          <w:bCs/>
          <w:color w:val="auto"/>
          <w:spacing w:val="-1"/>
          <w:highlight w:val="none"/>
        </w:rPr>
        <w:t xml:space="preserve">评标 </w:t>
      </w:r>
      <w:r/>
    </w:p>
    <w:p>
      <w:pPr>
        <w:pStyle w:val="744"/>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pacing w:val="-1"/>
          <w:sz w:val="22"/>
          <w:szCs w:val="22"/>
          <w:highlight w:val="none"/>
        </w:rPr>
      </w:pPr>
      <w:r/>
      <w:bookmarkStart w:id="21" w:name="6.1_评标委员会"/>
      <w:r/>
      <w:bookmarkEnd w:id="21"/>
      <w:r>
        <w:rPr>
          <w:rFonts w:hint="eastAsia" w:ascii="仿宋" w:hAnsi="仿宋" w:eastAsia="仿宋" w:cs="仿宋"/>
          <w:b w:val="0"/>
          <w:color w:val="auto"/>
          <w:spacing w:val="-1"/>
          <w:sz w:val="22"/>
          <w:szCs w:val="22"/>
          <w:highlight w:val="none"/>
        </w:rPr>
        <w:t xml:space="preserve">评标委员会</w:t>
      </w:r>
      <w:r/>
    </w:p>
    <w:p>
      <w:pPr>
        <w:pStyle w:val="807"/>
        <w:ind w:left="426" w:firstLine="0"/>
        <w:spacing w:line="440" w:lineRule="exact"/>
        <w:tabs>
          <w:tab w:val="left" w:pos="127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评标由采购人依法组建的评标委员会负责。评标委员会成员人数以及技术、经济等方面专家的确定方式见投标人须知前附表。</w:t>
      </w:r>
      <w:r/>
    </w:p>
    <w:p>
      <w:pPr>
        <w:pStyle w:val="807"/>
        <w:numPr>
          <w:ilvl w:val="2"/>
          <w:numId w:val="10"/>
        </w:numPr>
        <w:ind w:left="426" w:hanging="852"/>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评标委员会成员有下列情形之一的，应当回避： </w:t>
      </w:r>
      <w:r/>
    </w:p>
    <w:p>
      <w:pPr>
        <w:pStyle w:val="807"/>
        <w:numPr>
          <w:ilvl w:val="0"/>
          <w:numId w:val="14"/>
        </w:numPr>
        <w:ind w:left="959" w:hanging="534"/>
        <w:spacing w:line="440" w:lineRule="exact"/>
        <w:tabs>
          <w:tab w:val="left" w:pos="880" w:leader="none"/>
        </w:tabs>
        <w:rPr>
          <w:rFonts w:ascii="仿宋" w:hAnsi="仿宋" w:eastAsia="仿宋" w:cs="仿宋"/>
          <w:bCs/>
          <w:color w:val="auto"/>
          <w:highlight w:val="none"/>
        </w:rPr>
      </w:pPr>
      <w:r>
        <w:rPr>
          <w:rFonts w:hint="eastAsia" w:ascii="仿宋" w:hAnsi="仿宋" w:eastAsia="仿宋" w:cs="仿宋"/>
          <w:bCs/>
          <w:color w:val="auto"/>
          <w:spacing w:val="-1"/>
          <w:highlight w:val="none"/>
        </w:rPr>
        <w:t xml:space="preserve">采购人或投标人的主要负责人的近亲属；</w:t>
      </w:r>
      <w:r/>
    </w:p>
    <w:p>
      <w:pPr>
        <w:pStyle w:val="807"/>
        <w:numPr>
          <w:ilvl w:val="0"/>
          <w:numId w:val="14"/>
        </w:numPr>
        <w:ind w:left="959" w:hanging="534"/>
        <w:spacing w:line="440" w:lineRule="exact"/>
        <w:tabs>
          <w:tab w:val="left" w:pos="440"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项目主管部门或者行政监督部门的人员； </w:t>
      </w:r>
      <w:r/>
    </w:p>
    <w:p>
      <w:pPr>
        <w:pStyle w:val="807"/>
        <w:numPr>
          <w:ilvl w:val="0"/>
          <w:numId w:val="14"/>
        </w:numPr>
        <w:ind w:left="959" w:hanging="534"/>
        <w:spacing w:line="440" w:lineRule="exact"/>
        <w:tabs>
          <w:tab w:val="left" w:pos="880"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与投标人有经济利益关系，可能影响对投标公正评审的； </w:t>
      </w:r>
      <w:r/>
    </w:p>
    <w:p>
      <w:pPr>
        <w:pStyle w:val="807"/>
        <w:numPr>
          <w:ilvl w:val="0"/>
          <w:numId w:val="14"/>
        </w:numPr>
        <w:ind w:left="959" w:hanging="534"/>
        <w:spacing w:line="440" w:lineRule="exact"/>
        <w:tabs>
          <w:tab w:val="left" w:pos="880"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曾因在招标、评标以及其他与招标投标有关活动中从事违法行为而受过行政处罚或刑事处罚的；</w:t>
      </w:r>
      <w:r/>
    </w:p>
    <w:p>
      <w:pPr>
        <w:pStyle w:val="807"/>
        <w:numPr>
          <w:ilvl w:val="0"/>
          <w:numId w:val="14"/>
        </w:numPr>
        <w:ind w:left="959" w:hanging="534"/>
        <w:spacing w:line="440" w:lineRule="exact"/>
        <w:tabs>
          <w:tab w:val="left" w:pos="880"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lang w:val="en-US"/>
        </w:rPr>
        <w:t xml:space="preserve">法律法规规定的相关情形。</w:t>
      </w:r>
      <w:r/>
    </w:p>
    <w:p>
      <w:pPr>
        <w:pStyle w:val="744"/>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pacing w:val="-2"/>
          <w:sz w:val="22"/>
          <w:szCs w:val="22"/>
          <w:highlight w:val="none"/>
        </w:rPr>
      </w:pPr>
      <w:r/>
      <w:bookmarkStart w:id="22" w:name="6.2_评标原则"/>
      <w:r/>
      <w:bookmarkEnd w:id="22"/>
      <w:r>
        <w:rPr>
          <w:rFonts w:hint="eastAsia" w:ascii="仿宋" w:hAnsi="仿宋" w:eastAsia="仿宋" w:cs="仿宋"/>
          <w:b w:val="0"/>
          <w:color w:val="auto"/>
          <w:spacing w:val="-2"/>
          <w:sz w:val="22"/>
          <w:szCs w:val="22"/>
          <w:highlight w:val="none"/>
        </w:rPr>
        <w:t xml:space="preserve">评标原则</w:t>
      </w:r>
      <w:r>
        <w:rPr>
          <w:rFonts w:hint="eastAsia" w:ascii="仿宋" w:hAnsi="仿宋" w:eastAsia="仿宋" w:cs="仿宋"/>
          <w:b w:val="0"/>
          <w:color w:val="auto"/>
          <w:spacing w:val="-2"/>
          <w:sz w:val="22"/>
          <w:szCs w:val="22"/>
          <w:highlight w:val="none"/>
        </w:rPr>
        <w:tab/>
      </w:r>
      <w:r/>
    </w:p>
    <w:p>
      <w:pPr>
        <w:pStyle w:val="753"/>
        <w:ind w:left="427"/>
        <w:spacing w:after="0" w:line="440" w:lineRule="exact"/>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评标活动遵循公平、公正、科学和择优的原则。 </w:t>
      </w:r>
      <w:r/>
    </w:p>
    <w:p>
      <w:pPr>
        <w:pStyle w:val="744"/>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pacing w:val="-2"/>
          <w:sz w:val="22"/>
          <w:szCs w:val="22"/>
          <w:highlight w:val="none"/>
        </w:rPr>
      </w:pPr>
      <w:r/>
      <w:bookmarkStart w:id="23" w:name="6.3_评标"/>
      <w:r/>
      <w:bookmarkEnd w:id="23"/>
      <w:r>
        <w:rPr>
          <w:rFonts w:hint="eastAsia" w:ascii="仿宋" w:hAnsi="仿宋" w:eastAsia="仿宋" w:cs="仿宋"/>
          <w:b w:val="0"/>
          <w:color w:val="auto"/>
          <w:spacing w:val="-2"/>
          <w:sz w:val="22"/>
          <w:szCs w:val="22"/>
          <w:highlight w:val="none"/>
        </w:rPr>
        <w:t xml:space="preserve">评标</w:t>
      </w:r>
      <w:r/>
    </w:p>
    <w:p>
      <w:pPr>
        <w:pStyle w:val="753"/>
        <w:ind w:left="426" w:right="-96" w:firstLine="14"/>
        <w:spacing w:after="0" w:line="440" w:lineRule="exact"/>
        <w:tabs>
          <w:tab w:val="left" w:pos="8222" w:leader="none"/>
        </w:tabs>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评标办法见投标人须知前附表，评标委员会按照招标文件规定的评标标准和方法，客观、公正地对投标文件提出评审意见。招标文件没有规定的评标标准和方法，不作为评标依据。 </w:t>
      </w:r>
      <w:r/>
    </w:p>
    <w:p>
      <w:pPr>
        <w:pStyle w:val="744"/>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pacing w:val="-2"/>
          <w:sz w:val="22"/>
          <w:szCs w:val="22"/>
          <w:highlight w:val="none"/>
        </w:rPr>
      </w:pPr>
      <w:r/>
      <w:bookmarkStart w:id="24" w:name="6.4中标候选人公示媒介"/>
      <w:r/>
      <w:bookmarkEnd w:id="24"/>
      <w:r>
        <w:rPr>
          <w:rFonts w:hint="eastAsia" w:ascii="仿宋" w:hAnsi="仿宋" w:eastAsia="仿宋" w:cs="仿宋"/>
          <w:b w:val="0"/>
          <w:color w:val="auto"/>
          <w:spacing w:val="-2"/>
          <w:sz w:val="22"/>
          <w:szCs w:val="22"/>
          <w:highlight w:val="none"/>
          <w:lang w:val="en-US"/>
        </w:rPr>
        <w:t xml:space="preserve">结果公告</w:t>
      </w:r>
      <w:r>
        <w:rPr>
          <w:rFonts w:hint="eastAsia" w:ascii="仿宋" w:hAnsi="仿宋" w:eastAsia="仿宋" w:cs="仿宋"/>
          <w:b w:val="0"/>
          <w:color w:val="auto"/>
          <w:spacing w:val="-2"/>
          <w:sz w:val="22"/>
          <w:szCs w:val="22"/>
          <w:highlight w:val="none"/>
        </w:rPr>
        <w:t xml:space="preserve">媒介</w:t>
      </w:r>
      <w:r/>
    </w:p>
    <w:p>
      <w:pPr>
        <w:pStyle w:val="753"/>
        <w:ind w:left="426" w:right="-96" w:firstLine="14"/>
        <w:spacing w:after="0" w:line="440" w:lineRule="exact"/>
        <w:tabs>
          <w:tab w:val="left" w:pos="8222" w:leader="none"/>
        </w:tabs>
        <w:rPr>
          <w:rFonts w:ascii="仿宋" w:hAnsi="仿宋" w:eastAsia="仿宋" w:cs="仿宋"/>
          <w:bCs/>
          <w:color w:val="auto"/>
          <w:spacing w:val="-2"/>
          <w:highlight w:val="none"/>
          <w:lang w:val="en-US"/>
        </w:rPr>
      </w:pPr>
      <w:r>
        <w:rPr>
          <w:rFonts w:hint="eastAsia" w:ascii="仿宋" w:hAnsi="仿宋" w:eastAsia="仿宋" w:cs="仿宋"/>
          <w:bCs/>
          <w:color w:val="auto"/>
          <w:spacing w:val="-2"/>
          <w:highlight w:val="none"/>
        </w:rPr>
        <w:t xml:space="preserve">见投标人须知前附表。 </w:t>
      </w:r>
      <w:r/>
    </w:p>
    <w:p>
      <w:pPr>
        <w:pStyle w:val="807"/>
        <w:numPr>
          <w:ilvl w:val="0"/>
          <w:numId w:val="10"/>
        </w:numPr>
        <w:ind w:hanging="2469"/>
        <w:spacing w:line="440" w:lineRule="exact"/>
        <w:tabs>
          <w:tab w:val="left" w:pos="426" w:leader="none"/>
        </w:tabs>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合同授予 </w:t>
      </w:r>
      <w:r/>
    </w:p>
    <w:p>
      <w:pPr>
        <w:pStyle w:val="744"/>
        <w:numPr>
          <w:ilvl w:val="1"/>
          <w:numId w:val="10"/>
        </w:numPr>
        <w:ind w:left="440" w:hanging="852"/>
        <w:keepLines w:val="0"/>
        <w:keepNext w:val="0"/>
        <w:spacing w:before="0" w:after="0" w:line="440" w:lineRule="exact"/>
        <w:tabs>
          <w:tab w:val="left" w:pos="-426" w:leader="none"/>
        </w:tabs>
        <w:rPr>
          <w:rFonts w:ascii="仿宋" w:hAnsi="仿宋" w:eastAsia="仿宋" w:cs="仿宋"/>
          <w:b w:val="0"/>
          <w:color w:val="auto"/>
          <w:spacing w:val="-2"/>
          <w:sz w:val="22"/>
          <w:szCs w:val="22"/>
          <w:highlight w:val="none"/>
        </w:rPr>
      </w:pPr>
      <w:r>
        <w:rPr>
          <w:rFonts w:hint="eastAsia" w:ascii="仿宋" w:hAnsi="仿宋" w:eastAsia="仿宋" w:cs="仿宋"/>
          <w:b w:val="0"/>
          <w:color w:val="auto"/>
          <w:spacing w:val="-2"/>
          <w:sz w:val="22"/>
          <w:szCs w:val="22"/>
          <w:highlight w:val="none"/>
        </w:rPr>
        <w:t xml:space="preserve">中标人确定方式</w:t>
      </w:r>
      <w:r/>
    </w:p>
    <w:p>
      <w:pPr>
        <w:pStyle w:val="753"/>
        <w:ind w:left="426" w:right="-96" w:firstLine="14"/>
        <w:spacing w:after="0" w:line="440" w:lineRule="exact"/>
        <w:tabs>
          <w:tab w:val="left" w:pos="8222" w:leader="none"/>
        </w:tabs>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采购人依据评标委员会推荐的中标候选人确定中标人，评标委员会推荐中标候选人的人数及定标方式见投标人须知前附表。 </w:t>
      </w:r>
      <w:r/>
    </w:p>
    <w:p>
      <w:pPr>
        <w:pStyle w:val="744"/>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2"/>
          <w:sz w:val="22"/>
          <w:szCs w:val="22"/>
          <w:highlight w:val="none"/>
        </w:rPr>
      </w:pPr>
      <w:r/>
      <w:bookmarkStart w:id="25" w:name="7.2中标公示"/>
      <w:r/>
      <w:bookmarkEnd w:id="25"/>
      <w:r>
        <w:rPr>
          <w:rFonts w:hint="eastAsia" w:ascii="仿宋" w:hAnsi="仿宋" w:eastAsia="仿宋" w:cs="仿宋"/>
          <w:b w:val="0"/>
          <w:color w:val="auto"/>
          <w:spacing w:val="-2"/>
          <w:sz w:val="22"/>
          <w:szCs w:val="22"/>
          <w:highlight w:val="none"/>
        </w:rPr>
        <w:t xml:space="preserve">中标</w:t>
      </w:r>
      <w:r/>
    </w:p>
    <w:p>
      <w:pPr>
        <w:pStyle w:val="753"/>
        <w:ind w:left="426" w:right="-96" w:firstLine="14"/>
        <w:spacing w:after="0" w:line="440" w:lineRule="exact"/>
        <w:tabs>
          <w:tab w:val="left" w:pos="8222" w:leader="none"/>
        </w:tabs>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采购人自确定中标候选人之日起，应在与发布招标公告一致的媒介上发布</w:t>
      </w:r>
      <w:r>
        <w:rPr>
          <w:rFonts w:hint="eastAsia" w:ascii="仿宋" w:hAnsi="仿宋" w:eastAsia="仿宋" w:cs="仿宋"/>
          <w:bCs/>
          <w:color w:val="auto"/>
          <w:spacing w:val="-2"/>
          <w:highlight w:val="none"/>
          <w:lang w:val="en-US"/>
        </w:rPr>
        <w:t xml:space="preserve">结果公告</w:t>
      </w:r>
      <w:r>
        <w:rPr>
          <w:rFonts w:hint="eastAsia" w:ascii="仿宋" w:hAnsi="仿宋" w:eastAsia="仿宋" w:cs="仿宋"/>
          <w:bCs/>
          <w:color w:val="auto"/>
          <w:spacing w:val="-2"/>
          <w:highlight w:val="none"/>
        </w:rPr>
        <w:t xml:space="preserve">，公示期为</w:t>
      </w:r>
      <w:r>
        <w:rPr>
          <w:rFonts w:hint="eastAsia" w:ascii="仿宋" w:hAnsi="仿宋" w:eastAsia="仿宋" w:cs="仿宋"/>
          <w:bCs/>
          <w:color w:val="auto"/>
          <w:spacing w:val="-2"/>
          <w:highlight w:val="none"/>
          <w:lang w:val="en-US"/>
        </w:rPr>
        <w:t xml:space="preserve">1个工作日</w:t>
      </w:r>
      <w:r>
        <w:rPr>
          <w:rFonts w:hint="eastAsia" w:ascii="仿宋" w:hAnsi="仿宋" w:eastAsia="仿宋" w:cs="仿宋"/>
          <w:bCs/>
          <w:color w:val="auto"/>
          <w:spacing w:val="-2"/>
          <w:highlight w:val="none"/>
        </w:rPr>
        <w:t xml:space="preserve">。 </w:t>
      </w:r>
      <w:r/>
    </w:p>
    <w:p>
      <w:pPr>
        <w:pStyle w:val="744"/>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2"/>
          <w:sz w:val="22"/>
          <w:szCs w:val="22"/>
          <w:highlight w:val="none"/>
        </w:rPr>
      </w:pPr>
      <w:r/>
      <w:bookmarkStart w:id="26" w:name="7.3_中标通知"/>
      <w:r/>
      <w:bookmarkEnd w:id="26"/>
      <w:r>
        <w:rPr>
          <w:rFonts w:hint="eastAsia" w:ascii="仿宋" w:hAnsi="仿宋" w:eastAsia="仿宋" w:cs="仿宋"/>
          <w:b w:val="0"/>
          <w:color w:val="auto"/>
          <w:spacing w:val="-2"/>
          <w:sz w:val="22"/>
          <w:szCs w:val="22"/>
          <w:highlight w:val="none"/>
        </w:rPr>
        <w:t xml:space="preserve">中标通知</w:t>
      </w:r>
      <w:r/>
    </w:p>
    <w:p>
      <w:pPr>
        <w:pStyle w:val="807"/>
        <w:numPr>
          <w:ilvl w:val="2"/>
          <w:numId w:val="10"/>
        </w:numPr>
        <w:ind w:left="426" w:right="-96" w:hanging="852"/>
        <w:spacing w:line="440" w:lineRule="exact"/>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中标人确定后，采购人将在投标有效期内以书面形式向中标人发出中标通知书。 </w:t>
      </w:r>
      <w:r/>
    </w:p>
    <w:p>
      <w:pPr>
        <w:pStyle w:val="744"/>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2"/>
          <w:sz w:val="22"/>
          <w:szCs w:val="22"/>
          <w:highlight w:val="none"/>
        </w:rPr>
      </w:pPr>
      <w:r/>
      <w:bookmarkStart w:id="27" w:name="7.4_履约担保"/>
      <w:r/>
      <w:bookmarkEnd w:id="27"/>
      <w:r>
        <w:rPr>
          <w:rFonts w:hint="eastAsia" w:ascii="仿宋" w:hAnsi="仿宋" w:eastAsia="仿宋" w:cs="仿宋"/>
          <w:b w:val="0"/>
          <w:color w:val="auto"/>
          <w:spacing w:val="-2"/>
          <w:sz w:val="22"/>
          <w:szCs w:val="22"/>
          <w:highlight w:val="none"/>
        </w:rPr>
        <w:t xml:space="preserve">履约担保</w:t>
      </w:r>
      <w:r/>
    </w:p>
    <w:p>
      <w:pPr>
        <w:pStyle w:val="807"/>
        <w:numPr>
          <w:ilvl w:val="2"/>
          <w:numId w:val="10"/>
        </w:numPr>
        <w:ind w:left="426" w:right="-96" w:hanging="852"/>
        <w:spacing w:line="440" w:lineRule="exact"/>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在签订合同前，中标人应按投标人须知前附表规定的金额、担保形式向采购人提交履约担保。 </w:t>
      </w:r>
      <w:r/>
    </w:p>
    <w:p>
      <w:pPr>
        <w:pStyle w:val="807"/>
        <w:numPr>
          <w:ilvl w:val="2"/>
          <w:numId w:val="10"/>
        </w:numPr>
        <w:ind w:left="426" w:right="-96" w:hanging="852"/>
        <w:spacing w:line="440" w:lineRule="exact"/>
        <w:rPr>
          <w:rFonts w:ascii="仿宋" w:hAnsi="仿宋" w:eastAsia="仿宋" w:cs="仿宋"/>
          <w:bCs/>
          <w:color w:val="auto"/>
          <w:spacing w:val="-4"/>
          <w:highlight w:val="none"/>
        </w:rPr>
      </w:pPr>
      <w:r>
        <w:rPr>
          <w:rFonts w:hint="eastAsia" w:ascii="仿宋" w:hAnsi="仿宋" w:eastAsia="仿宋" w:cs="仿宋"/>
          <w:bCs/>
          <w:color w:val="auto"/>
          <w:spacing w:val="-2"/>
          <w:highlight w:val="none"/>
        </w:rPr>
        <w:t xml:space="preserve">中标人不能按本章第 7.4.1 项要求提交履约担保的，视为放弃中标，其投标保证金不予退还，给采购人造成的损失超过投标保证金数额的，中标人还应当对超过部分予以赔偿。</w:t>
      </w:r>
      <w:r/>
    </w:p>
    <w:p>
      <w:pPr>
        <w:pStyle w:val="744"/>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bookmarkStart w:id="28" w:name="7.5_签订合同"/>
      <w:r/>
      <w:bookmarkEnd w:id="28"/>
      <w:r>
        <w:rPr>
          <w:rFonts w:hint="eastAsia" w:ascii="仿宋" w:hAnsi="仿宋" w:eastAsia="仿宋" w:cs="仿宋"/>
          <w:b w:val="0"/>
          <w:color w:val="auto"/>
          <w:spacing w:val="14"/>
          <w:sz w:val="22"/>
          <w:szCs w:val="22"/>
          <w:highlight w:val="none"/>
        </w:rPr>
        <w:t xml:space="preserve">签订合同</w:t>
      </w:r>
      <w:r/>
    </w:p>
    <w:p>
      <w:pPr>
        <w:pStyle w:val="807"/>
        <w:numPr>
          <w:ilvl w:val="2"/>
          <w:numId w:val="10"/>
        </w:numPr>
        <w:ind w:left="426" w:right="-96" w:hanging="852"/>
        <w:spacing w:line="440" w:lineRule="exact"/>
        <w:tabs>
          <w:tab w:val="left" w:pos="440" w:leader="none"/>
        </w:tabs>
        <w:rPr>
          <w:rFonts w:ascii="仿宋" w:hAnsi="仿宋" w:eastAsia="仿宋" w:cs="仿宋"/>
          <w:bCs/>
          <w:color w:val="auto"/>
          <w:highlight w:val="none"/>
        </w:rPr>
      </w:pPr>
      <w:r>
        <w:rPr>
          <w:rFonts w:hint="eastAsia" w:ascii="仿宋" w:hAnsi="仿宋" w:eastAsia="仿宋" w:cs="仿宋"/>
          <w:bCs/>
          <w:color w:val="auto"/>
          <w:spacing w:val="-2"/>
          <w:highlight w:val="none"/>
        </w:rPr>
        <w:t xml:space="preserve">采购人和中标人应在中标通知书规定的时间内，根据招标文件和中标</w:t>
      </w:r>
      <w:r>
        <w:rPr>
          <w:rFonts w:hint="eastAsia" w:ascii="仿宋" w:hAnsi="仿宋" w:eastAsia="仿宋" w:cs="仿宋"/>
          <w:bCs/>
          <w:color w:val="auto"/>
          <w:spacing w:val="-8"/>
          <w:highlight w:val="none"/>
        </w:rPr>
        <w:t xml:space="preserve">人的投标文件订立书面合同。中标人无正当理由拒签合同的，采购人取消其中标</w:t>
      </w:r>
      <w:r>
        <w:rPr>
          <w:rFonts w:hint="eastAsia" w:ascii="仿宋" w:hAnsi="仿宋" w:eastAsia="仿宋" w:cs="仿宋"/>
          <w:bCs/>
          <w:color w:val="auto"/>
          <w:spacing w:val="-10"/>
          <w:highlight w:val="none"/>
        </w:rPr>
        <w:t xml:space="preserve">资格，其投标保证金不予退还；给采购人造成的损失超过投标保证金数额的，中标人还应当对超过部分予以赔偿。</w:t>
      </w:r>
      <w:r/>
    </w:p>
    <w:p>
      <w:pPr>
        <w:pStyle w:val="807"/>
        <w:numPr>
          <w:ilvl w:val="2"/>
          <w:numId w:val="10"/>
        </w:numPr>
        <w:ind w:left="426" w:right="-96" w:hanging="852"/>
        <w:spacing w:line="440" w:lineRule="exact"/>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发出中标通知书后，采购人无正当理由拒签合同的，采购人向中标人退还投标保证金；给中标人造成损失的，还应当赔偿损失。 </w:t>
      </w:r>
      <w:r/>
    </w:p>
    <w:p>
      <w:pPr>
        <w:pStyle w:val="807"/>
        <w:numPr>
          <w:ilvl w:val="0"/>
          <w:numId w:val="10"/>
        </w:numPr>
        <w:ind w:hanging="2469"/>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重新招标和不再招标 </w:t>
      </w:r>
      <w:r/>
    </w:p>
    <w:p>
      <w:pPr>
        <w:pStyle w:val="744"/>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z w:val="22"/>
          <w:szCs w:val="22"/>
          <w:highlight w:val="none"/>
        </w:rPr>
      </w:pPr>
      <w:r>
        <w:rPr>
          <w:rFonts w:hint="eastAsia" w:ascii="仿宋" w:hAnsi="仿宋" w:eastAsia="仿宋" w:cs="仿宋"/>
          <w:b w:val="0"/>
          <w:color w:val="auto"/>
          <w:spacing w:val="14"/>
          <w:sz w:val="22"/>
          <w:szCs w:val="22"/>
          <w:highlight w:val="none"/>
        </w:rPr>
        <w:t xml:space="preserve">重新招标</w:t>
      </w:r>
      <w:r/>
    </w:p>
    <w:p>
      <w:pPr>
        <w:pStyle w:val="753"/>
        <w:ind w:left="427"/>
        <w:spacing w:after="0"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有下列情形之一的，采购人将重新招标： </w:t>
      </w:r>
      <w:r/>
    </w:p>
    <w:p>
      <w:pPr>
        <w:pStyle w:val="807"/>
        <w:numPr>
          <w:ilvl w:val="0"/>
          <w:numId w:val="15"/>
        </w:numPr>
        <w:ind w:left="665" w:hanging="240"/>
        <w:spacing w:line="440" w:lineRule="exact"/>
        <w:tabs>
          <w:tab w:val="left" w:pos="660" w:leader="none"/>
        </w:tabs>
        <w:rPr>
          <w:rFonts w:ascii="仿宋" w:hAnsi="仿宋" w:eastAsia="仿宋" w:cs="仿宋"/>
          <w:bCs/>
          <w:color w:val="auto"/>
          <w:highlight w:val="none"/>
        </w:rPr>
      </w:pPr>
      <w:r>
        <w:rPr>
          <w:rFonts w:hint="eastAsia" w:ascii="仿宋" w:hAnsi="仿宋" w:eastAsia="仿宋" w:cs="仿宋"/>
          <w:bCs/>
          <w:color w:val="auto"/>
          <w:spacing w:val="-5"/>
          <w:highlight w:val="none"/>
        </w:rPr>
        <w:t xml:space="preserve">投标截止时间止，投标人少于 </w:t>
      </w:r>
      <w:r>
        <w:rPr>
          <w:rFonts w:hint="eastAsia" w:ascii="仿宋" w:hAnsi="仿宋" w:eastAsia="仿宋" w:cs="仿宋"/>
          <w:bCs/>
          <w:color w:val="auto"/>
          <w:highlight w:val="none"/>
        </w:rPr>
        <w:t xml:space="preserve">3</w:t>
      </w:r>
      <w:r>
        <w:rPr>
          <w:rFonts w:hint="eastAsia" w:ascii="仿宋" w:hAnsi="仿宋" w:eastAsia="仿宋" w:cs="仿宋"/>
          <w:bCs/>
          <w:color w:val="auto"/>
          <w:spacing w:val="-15"/>
          <w:highlight w:val="none"/>
        </w:rPr>
        <w:t xml:space="preserve"> 个的； </w:t>
      </w:r>
      <w:r/>
    </w:p>
    <w:p>
      <w:pPr>
        <w:pStyle w:val="807"/>
        <w:numPr>
          <w:ilvl w:val="0"/>
          <w:numId w:val="15"/>
        </w:numPr>
        <w:ind w:left="665" w:hanging="240"/>
        <w:spacing w:line="440" w:lineRule="exact"/>
        <w:tabs>
          <w:tab w:val="left" w:pos="660" w:leader="none"/>
        </w:tabs>
        <w:rPr>
          <w:rFonts w:ascii="仿宋" w:hAnsi="仿宋" w:eastAsia="仿宋" w:cs="仿宋"/>
          <w:bCs/>
          <w:color w:val="auto"/>
          <w:highlight w:val="none"/>
        </w:rPr>
      </w:pPr>
      <w:r>
        <w:rPr>
          <w:rFonts w:hint="eastAsia" w:ascii="仿宋" w:hAnsi="仿宋" w:eastAsia="仿宋" w:cs="仿宋"/>
          <w:bCs/>
          <w:color w:val="auto"/>
          <w:spacing w:val="-1"/>
          <w:highlight w:val="none"/>
        </w:rPr>
        <w:t xml:space="preserve">经评标委员会评审后否决所有投标的。</w:t>
      </w:r>
      <w:r/>
    </w:p>
    <w:p>
      <w:pPr>
        <w:pStyle w:val="744"/>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pacing w:val="-5"/>
          <w:sz w:val="22"/>
          <w:szCs w:val="22"/>
          <w:highlight w:val="none"/>
        </w:rPr>
      </w:pPr>
      <w:r/>
      <w:bookmarkStart w:id="29" w:name="8.2_不再招标"/>
      <w:r/>
      <w:bookmarkEnd w:id="29"/>
      <w:r>
        <w:rPr>
          <w:rFonts w:hint="eastAsia" w:ascii="仿宋" w:hAnsi="仿宋" w:eastAsia="仿宋" w:cs="仿宋"/>
          <w:b w:val="0"/>
          <w:color w:val="auto"/>
          <w:spacing w:val="-5"/>
          <w:sz w:val="22"/>
          <w:szCs w:val="22"/>
          <w:highlight w:val="none"/>
        </w:rPr>
        <w:t xml:space="preserve">不再招标</w:t>
      </w:r>
      <w:r/>
    </w:p>
    <w:p>
      <w:pPr>
        <w:pStyle w:val="753"/>
        <w:ind w:left="442" w:right="-96" w:hanging="16"/>
        <w:spacing w:after="0"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重新招标后投标人仍少于</w:t>
      </w:r>
      <w:r>
        <w:rPr>
          <w:rFonts w:hint="eastAsia" w:ascii="仿宋" w:hAnsi="仿宋" w:eastAsia="仿宋" w:cs="仿宋"/>
          <w:bCs/>
          <w:color w:val="auto"/>
          <w:spacing w:val="-5"/>
          <w:highlight w:val="none"/>
          <w:lang w:val="en-US"/>
        </w:rPr>
        <w:t xml:space="preserve">3</w:t>
      </w:r>
      <w:r>
        <w:rPr>
          <w:rFonts w:hint="eastAsia" w:ascii="仿宋" w:hAnsi="仿宋" w:eastAsia="仿宋" w:cs="仿宋"/>
          <w:bCs/>
          <w:color w:val="auto"/>
          <w:spacing w:val="-5"/>
          <w:highlight w:val="none"/>
        </w:rPr>
        <w:t xml:space="preserve">个的，经原审批或核准部门批准后不再进行招标。 </w:t>
      </w:r>
      <w:r/>
    </w:p>
    <w:p>
      <w:pPr>
        <w:pStyle w:val="807"/>
        <w:numPr>
          <w:ilvl w:val="0"/>
          <w:numId w:val="10"/>
        </w:numPr>
        <w:ind w:hanging="2469"/>
        <w:spacing w:line="440" w:lineRule="exact"/>
        <w:tabs>
          <w:tab w:val="left" w:pos="426" w:leader="none"/>
        </w:tabs>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纪律和监督 </w:t>
      </w:r>
      <w:r/>
    </w:p>
    <w:p>
      <w:pPr>
        <w:pStyle w:val="744"/>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pacing w:val="-5"/>
          <w:sz w:val="22"/>
          <w:szCs w:val="22"/>
          <w:highlight w:val="none"/>
        </w:rPr>
      </w:pPr>
      <w:r/>
      <w:bookmarkStart w:id="30" w:name="9.1_对招标人的纪律要求"/>
      <w:r/>
      <w:bookmarkEnd w:id="30"/>
      <w:r>
        <w:rPr>
          <w:rFonts w:hint="eastAsia" w:ascii="仿宋" w:hAnsi="仿宋" w:eastAsia="仿宋" w:cs="仿宋"/>
          <w:b w:val="0"/>
          <w:color w:val="auto"/>
          <w:spacing w:val="-5"/>
          <w:sz w:val="22"/>
          <w:szCs w:val="22"/>
          <w:highlight w:val="none"/>
        </w:rPr>
        <w:t xml:space="preserve">对采购人的纪律要求</w:t>
      </w:r>
      <w:r/>
    </w:p>
    <w:p>
      <w:pPr>
        <w:pStyle w:val="753"/>
        <w:ind w:left="426" w:right="-96"/>
        <w:spacing w:after="0"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采购人不得泄漏招标投标活动中应当保密的情况和资料，不得与投标人串通损害国家利益、社会公共利益或者他人合法权益。</w:t>
      </w:r>
      <w:r/>
    </w:p>
    <w:p>
      <w:pPr>
        <w:pStyle w:val="744"/>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pacing w:val="-5"/>
          <w:sz w:val="22"/>
          <w:szCs w:val="22"/>
          <w:highlight w:val="none"/>
        </w:rPr>
      </w:pPr>
      <w:r/>
      <w:bookmarkStart w:id="31" w:name="9.2_对投标人的纪律要求"/>
      <w:r/>
      <w:bookmarkEnd w:id="31"/>
      <w:r>
        <w:rPr>
          <w:rFonts w:hint="eastAsia" w:ascii="仿宋" w:hAnsi="仿宋" w:eastAsia="仿宋" w:cs="仿宋"/>
          <w:b w:val="0"/>
          <w:color w:val="auto"/>
          <w:spacing w:val="-5"/>
          <w:sz w:val="22"/>
          <w:szCs w:val="22"/>
          <w:highlight w:val="none"/>
        </w:rPr>
        <w:t xml:space="preserve">对投标人的纪律要求</w:t>
      </w:r>
      <w:r/>
    </w:p>
    <w:p>
      <w:pPr>
        <w:pStyle w:val="753"/>
        <w:ind w:left="426" w:right="-96"/>
        <w:spacing w:after="0"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投标人不得相互串通投标或者与采购人串通投标，不得向采购人或者评标委员会成员行贿谋取中标，不得以他人名义投标或者以其他方式弄虚作假骗取中标；投标人不得以任何方式干扰、影响评标工作。 </w:t>
      </w:r>
      <w:r/>
    </w:p>
    <w:p>
      <w:pPr>
        <w:pStyle w:val="744"/>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pacing w:val="-5"/>
          <w:sz w:val="22"/>
          <w:szCs w:val="22"/>
          <w:highlight w:val="none"/>
        </w:rPr>
      </w:pPr>
      <w:r/>
      <w:bookmarkStart w:id="32" w:name="9.3_对评标委员会成员的纪律要求"/>
      <w:r/>
      <w:bookmarkEnd w:id="32"/>
      <w:r>
        <w:rPr>
          <w:rFonts w:hint="eastAsia" w:ascii="仿宋" w:hAnsi="仿宋" w:eastAsia="仿宋" w:cs="仿宋"/>
          <w:b w:val="0"/>
          <w:color w:val="auto"/>
          <w:spacing w:val="-5"/>
          <w:sz w:val="22"/>
          <w:szCs w:val="22"/>
          <w:highlight w:val="none"/>
        </w:rPr>
        <w:t xml:space="preserve">对评标委员会成员的纪律要求</w:t>
      </w:r>
      <w:r/>
    </w:p>
    <w:p>
      <w:pPr>
        <w:pStyle w:val="753"/>
        <w:ind w:left="426" w:right="-96"/>
        <w:spacing w:after="0"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 </w:t>
      </w:r>
      <w:r/>
    </w:p>
    <w:p>
      <w:pPr>
        <w:pStyle w:val="744"/>
        <w:numPr>
          <w:ilvl w:val="1"/>
          <w:numId w:val="10"/>
        </w:numPr>
        <w:ind w:left="426" w:hanging="852"/>
        <w:keepLines w:val="0"/>
        <w:keepNext w:val="0"/>
        <w:spacing w:before="0" w:after="0" w:line="440" w:lineRule="exact"/>
        <w:rPr>
          <w:rFonts w:ascii="仿宋" w:hAnsi="仿宋" w:eastAsia="仿宋" w:cs="仿宋"/>
          <w:b w:val="0"/>
          <w:color w:val="auto"/>
          <w:spacing w:val="-5"/>
          <w:sz w:val="22"/>
          <w:szCs w:val="22"/>
          <w:highlight w:val="none"/>
        </w:rPr>
      </w:pPr>
      <w:r/>
      <w:bookmarkStart w:id="33" w:name="9.4_对与评标活动有关的工作人员的纪律要求"/>
      <w:r/>
      <w:bookmarkEnd w:id="33"/>
      <w:r>
        <w:rPr>
          <w:rFonts w:hint="eastAsia" w:ascii="仿宋" w:hAnsi="仿宋" w:eastAsia="仿宋" w:cs="仿宋"/>
          <w:b w:val="0"/>
          <w:color w:val="auto"/>
          <w:spacing w:val="-5"/>
          <w:sz w:val="22"/>
          <w:szCs w:val="22"/>
          <w:highlight w:val="none"/>
        </w:rPr>
        <w:t xml:space="preserve">对与评标活动有关的工作人员的纪律要求</w:t>
      </w:r>
      <w:r/>
    </w:p>
    <w:p>
      <w:pPr>
        <w:pStyle w:val="753"/>
        <w:ind w:left="426" w:right="-96"/>
        <w:spacing w:after="0"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 </w:t>
      </w:r>
      <w:r/>
    </w:p>
    <w:p>
      <w:pPr>
        <w:pStyle w:val="807"/>
        <w:numPr>
          <w:ilvl w:val="0"/>
          <w:numId w:val="10"/>
        </w:numPr>
        <w:ind w:left="426" w:hanging="852"/>
        <w:spacing w:line="440" w:lineRule="exact"/>
        <w:tabs>
          <w:tab w:val="left" w:pos="440" w:leader="none"/>
        </w:tabs>
        <w:rPr>
          <w:rFonts w:ascii="仿宋" w:hAnsi="仿宋" w:eastAsia="仿宋" w:cs="仿宋"/>
          <w:bCs/>
          <w:color w:val="auto"/>
          <w:spacing w:val="-5"/>
          <w:highlight w:val="none"/>
        </w:rPr>
      </w:pPr>
      <w:r/>
      <w:bookmarkStart w:id="34" w:name="10._需要补充的其他内容"/>
      <w:r/>
      <w:bookmarkEnd w:id="34"/>
      <w:r/>
      <w:bookmarkStart w:id="35" w:name="9.5异议与投诉"/>
      <w:r/>
      <w:bookmarkEnd w:id="35"/>
      <w:r>
        <w:rPr>
          <w:rFonts w:hint="eastAsia" w:ascii="仿宋" w:hAnsi="仿宋" w:eastAsia="仿宋" w:cs="仿宋"/>
          <w:bCs/>
          <w:color w:val="auto"/>
          <w:spacing w:val="-5"/>
          <w:highlight w:val="none"/>
          <w:lang w:val="en-US"/>
        </w:rPr>
        <w:t xml:space="preserve">质疑与投诉</w:t>
      </w:r>
      <w:r/>
    </w:p>
    <w:p>
      <w:pPr>
        <w:pStyle w:val="807"/>
        <w:numPr>
          <w:ilvl w:val="1"/>
          <w:numId w:val="10"/>
        </w:numPr>
        <w:ind w:left="443" w:hanging="869"/>
        <w:spacing w:line="440" w:lineRule="exact"/>
        <w:tabs>
          <w:tab w:val="left" w:pos="426" w:leader="none"/>
        </w:tabs>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投标人认为采购文件、采购过程和中标结果使自己的权益受到损害的，可以在知道或者应知其权益受到损害之日起七个工作日内（具体起算时间见</w:t>
      </w:r>
      <w:r>
        <w:rPr>
          <w:rFonts w:hint="eastAsia" w:ascii="仿宋" w:hAnsi="仿宋" w:eastAsia="仿宋" w:cs="仿宋"/>
          <w:bCs/>
          <w:color w:val="auto"/>
          <w:spacing w:val="-5"/>
          <w:highlight w:val="none"/>
          <w:lang w:val="en-US"/>
        </w:rPr>
        <w:t xml:space="preserve">10</w:t>
      </w:r>
      <w:r>
        <w:rPr>
          <w:rFonts w:hint="eastAsia" w:ascii="仿宋" w:hAnsi="仿宋" w:eastAsia="仿宋" w:cs="仿宋"/>
          <w:bCs/>
          <w:color w:val="auto"/>
          <w:spacing w:val="-5"/>
          <w:highlight w:val="none"/>
        </w:rPr>
        <w:t xml:space="preserve">.</w:t>
      </w:r>
      <w:r>
        <w:rPr>
          <w:rFonts w:hint="eastAsia" w:ascii="仿宋" w:hAnsi="仿宋" w:eastAsia="仿宋" w:cs="仿宋"/>
          <w:bCs/>
          <w:color w:val="auto"/>
          <w:spacing w:val="-5"/>
          <w:highlight w:val="none"/>
          <w:lang w:val="en-US"/>
        </w:rPr>
        <w:t xml:space="preserve">4</w:t>
      </w:r>
      <w:r>
        <w:rPr>
          <w:rFonts w:hint="eastAsia" w:ascii="仿宋" w:hAnsi="仿宋" w:eastAsia="仿宋" w:cs="仿宋"/>
          <w:bCs/>
          <w:color w:val="auto"/>
          <w:spacing w:val="-5"/>
          <w:highlight w:val="none"/>
        </w:rPr>
        <w:t xml:space="preserve">），将质疑函以书面形式由法定代表人或法人授权代表送达采购代理机构或采购单位。质疑超出采购机构代理范围的，供应商应当向采购人提出。</w:t>
      </w:r>
      <w:r/>
    </w:p>
    <w:p>
      <w:pPr>
        <w:pStyle w:val="807"/>
        <w:numPr>
          <w:ilvl w:val="1"/>
          <w:numId w:val="10"/>
        </w:numPr>
        <w:ind w:left="443" w:hanging="86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5"/>
          <w:highlight w:val="none"/>
        </w:rPr>
        <w:t xml:space="preserve">供应商应在法定</w:t>
      </w:r>
      <w:r>
        <w:rPr>
          <w:rFonts w:hint="eastAsia" w:ascii="仿宋" w:hAnsi="仿宋" w:eastAsia="仿宋" w:cs="仿宋"/>
          <w:bCs/>
          <w:color w:val="auto"/>
          <w:spacing w:val="-1"/>
          <w:highlight w:val="none"/>
        </w:rPr>
        <w:t xml:space="preserve">质疑期内一次性提出针对同一采购程序环节的质疑。</w:t>
      </w:r>
      <w:r/>
    </w:p>
    <w:p>
      <w:pPr>
        <w:pStyle w:val="807"/>
        <w:numPr>
          <w:ilvl w:val="1"/>
          <w:numId w:val="10"/>
        </w:numPr>
        <w:ind w:left="443" w:hanging="86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供应商质疑实行实名制，其质疑应当有具体的质疑事项及事实根据，并配合采购人、采购代理机构处理质疑。</w:t>
      </w:r>
      <w:r/>
    </w:p>
    <w:p>
      <w:pPr>
        <w:pStyle w:val="807"/>
        <w:numPr>
          <w:ilvl w:val="1"/>
          <w:numId w:val="10"/>
        </w:numPr>
        <w:ind w:hanging="324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供应商应知其权益受到损害之日，是指：</w:t>
      </w:r>
      <w:r/>
    </w:p>
    <w:p>
      <w:pPr>
        <w:pStyle w:val="807"/>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（1）对本项目采购文件提出质疑的，为采购文件公告期限届满之日；</w:t>
      </w:r>
      <w:r/>
    </w:p>
    <w:p>
      <w:pPr>
        <w:pStyle w:val="807"/>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（2）对本项目采购过程提出质疑的，为各采购程序环节结束之日；</w:t>
      </w:r>
      <w:r/>
    </w:p>
    <w:p>
      <w:pPr>
        <w:pStyle w:val="807"/>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（3）对本项目中标或者成交结果提出质疑的，为中标或者成交结果公告期限届满之日。</w:t>
      </w:r>
      <w:r/>
    </w:p>
    <w:p>
      <w:pPr>
        <w:pStyle w:val="807"/>
        <w:numPr>
          <w:ilvl w:val="1"/>
          <w:numId w:val="10"/>
        </w:numPr>
        <w:ind w:left="443" w:hanging="86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投标人委托代理质疑的，应当向代理人提交授权委托书，并载明委托代理的具体权限和事项。 </w:t>
      </w:r>
      <w:r/>
    </w:p>
    <w:p>
      <w:pPr>
        <w:pStyle w:val="807"/>
        <w:numPr>
          <w:ilvl w:val="1"/>
          <w:numId w:val="10"/>
        </w:numPr>
        <w:ind w:hanging="324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质疑函的必备内容</w:t>
      </w:r>
      <w:r/>
    </w:p>
    <w:p>
      <w:pPr>
        <w:pStyle w:val="807"/>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（1）质疑函必须注明质疑人单位名称、详细地址、邮编、单位和法定代表人电话号码、联系人及电话；</w:t>
      </w:r>
      <w:r/>
    </w:p>
    <w:p>
      <w:pPr>
        <w:pStyle w:val="807"/>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（2）所参加项目的具体质疑事项及事实依据；</w:t>
      </w:r>
      <w:r/>
    </w:p>
    <w:p>
      <w:pPr>
        <w:pStyle w:val="807"/>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（3）认为自己合法权益受到损害或可能受到损害的相关证据材料；</w:t>
      </w:r>
      <w:r/>
    </w:p>
    <w:p>
      <w:pPr>
        <w:pStyle w:val="807"/>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（4）提起质疑的日期； </w:t>
      </w:r>
      <w:r/>
    </w:p>
    <w:p>
      <w:pPr>
        <w:pStyle w:val="807"/>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（5）质疑函必须由法定代表人签字并加盖公章（委托代理质疑的还应按</w:t>
      </w:r>
      <w:r>
        <w:rPr>
          <w:rFonts w:hint="eastAsia" w:ascii="仿宋" w:hAnsi="仿宋" w:eastAsia="仿宋" w:cs="仿宋"/>
          <w:bCs/>
          <w:color w:val="auto"/>
          <w:spacing w:val="-1"/>
          <w:highlight w:val="none"/>
          <w:lang w:val="en-US"/>
        </w:rPr>
        <w:t xml:space="preserve">10</w:t>
      </w:r>
      <w:r>
        <w:rPr>
          <w:rFonts w:hint="eastAsia" w:ascii="仿宋" w:hAnsi="仿宋" w:eastAsia="仿宋" w:cs="仿宋"/>
          <w:bCs/>
          <w:color w:val="auto"/>
          <w:spacing w:val="-1"/>
          <w:highlight w:val="none"/>
        </w:rPr>
        <w:t xml:space="preserve">.3条规定提供授权委托书）。 </w:t>
      </w:r>
      <w:r/>
    </w:p>
    <w:p>
      <w:pPr>
        <w:pStyle w:val="807"/>
        <w:numPr>
          <w:ilvl w:val="1"/>
          <w:numId w:val="10"/>
        </w:numPr>
        <w:ind w:hanging="324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质疑应符合下列条件：</w:t>
      </w:r>
      <w:r/>
    </w:p>
    <w:p>
      <w:pPr>
        <w:pStyle w:val="807"/>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（1）质疑人是参与所质疑项目的投标人；</w:t>
      </w:r>
      <w:r/>
    </w:p>
    <w:p>
      <w:pPr>
        <w:pStyle w:val="807"/>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（2）质疑函内容符合相关的规定；</w:t>
      </w:r>
      <w:r/>
    </w:p>
    <w:p>
      <w:pPr>
        <w:pStyle w:val="807"/>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（3）在规定的有效期限内提起质疑；</w:t>
      </w:r>
      <w:r/>
    </w:p>
    <w:p>
      <w:pPr>
        <w:pStyle w:val="807"/>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（4）国务院财政部门规定的其他条件。</w:t>
      </w:r>
      <w:r/>
    </w:p>
    <w:p>
      <w:pPr>
        <w:pStyle w:val="807"/>
        <w:numPr>
          <w:ilvl w:val="1"/>
          <w:numId w:val="10"/>
        </w:numPr>
        <w:ind w:left="443" w:hanging="86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lang w:val="en-US"/>
        </w:rPr>
        <w:t xml:space="preserve">采购代理机构或采购人</w:t>
      </w:r>
      <w:r>
        <w:rPr>
          <w:rFonts w:hint="eastAsia" w:ascii="仿宋" w:hAnsi="仿宋" w:eastAsia="仿宋" w:cs="仿宋"/>
          <w:bCs/>
          <w:color w:val="auto"/>
          <w:spacing w:val="-1"/>
          <w:highlight w:val="none"/>
        </w:rPr>
        <w:t xml:space="preserve">在收到质疑函后，认为质疑函内容、格式等不符合本规定的，告知质疑人进行补正。质疑人应当在法定质疑期限内进行补正并重新提交质疑函，拒不补正或者超过法定期限后未重新提交质疑函的，为无效质疑。</w:t>
      </w:r>
      <w:r/>
    </w:p>
    <w:p>
      <w:pPr>
        <w:pStyle w:val="807"/>
        <w:numPr>
          <w:ilvl w:val="1"/>
          <w:numId w:val="10"/>
        </w:numPr>
        <w:ind w:left="443" w:hanging="86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lang w:val="en-US"/>
        </w:rPr>
        <w:t xml:space="preserve">采购代理机构或采购人</w:t>
      </w:r>
      <w:r>
        <w:rPr>
          <w:rFonts w:hint="eastAsia" w:ascii="仿宋" w:hAnsi="仿宋" w:eastAsia="仿宋" w:cs="仿宋"/>
          <w:bCs/>
          <w:color w:val="auto"/>
          <w:spacing w:val="-1"/>
          <w:highlight w:val="none"/>
        </w:rPr>
        <w:t xml:space="preserve">在收到投标人的书面质疑后七个工作日内作出答复，采购人、采购代理机构可以组织原评标委员会协助答复质疑，并以书面形式通知质疑投标人和其他有关人员，但答复的内容不涉及商业秘密。</w:t>
      </w:r>
      <w:r/>
    </w:p>
    <w:p>
      <w:pPr>
        <w:pStyle w:val="807"/>
        <w:numPr>
          <w:ilvl w:val="1"/>
          <w:numId w:val="10"/>
        </w:numPr>
        <w:ind w:left="443" w:hanging="86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提出质疑的投标人对答复不满意的，或者采购人、采购代理机构未在规定期限内作出答复的，可以在答复期满后十五个工作日内向同级政府采购监督管理部门投诉。</w:t>
      </w:r>
      <w:r/>
    </w:p>
    <w:p>
      <w:pPr>
        <w:pStyle w:val="807"/>
        <w:numPr>
          <w:ilvl w:val="1"/>
          <w:numId w:val="10"/>
        </w:numPr>
        <w:ind w:left="443" w:hanging="869"/>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spacing w:val="-1"/>
          <w:highlight w:val="none"/>
        </w:rPr>
        <w:t xml:space="preserve">对虚假、恶意质疑投诉、举报将予以驳回，并记录诚信管理档案，降低诚信等级。供应商捏造事实、提供虚假材料或者以非法手段取得证明材料进行投诉的，报请财政部门列入不良行为记录名单，禁止其1至3年内参加政府采购活动。</w:t>
      </w:r>
      <w:r/>
    </w:p>
    <w:p>
      <w:pPr>
        <w:pStyle w:val="807"/>
        <w:numPr>
          <w:ilvl w:val="0"/>
          <w:numId w:val="10"/>
        </w:numPr>
        <w:ind w:left="426" w:hanging="852"/>
        <w:spacing w:line="440" w:lineRule="exact"/>
        <w:tabs>
          <w:tab w:val="left" w:pos="440"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需要补充的其他内容 </w:t>
      </w:r>
      <w:r/>
    </w:p>
    <w:p>
      <w:pPr>
        <w:pStyle w:val="807"/>
        <w:numPr>
          <w:ilvl w:val="1"/>
          <w:numId w:val="10"/>
        </w:numPr>
        <w:ind w:hanging="3249"/>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spacing w:val="-1"/>
          <w:highlight w:val="none"/>
        </w:rPr>
        <w:t xml:space="preserve">否决投标的情形见投标人须知前附表</w:t>
      </w:r>
      <w:r>
        <w:rPr>
          <w:rFonts w:hint="eastAsia" w:ascii="仿宋" w:hAnsi="仿宋" w:eastAsia="仿宋" w:cs="仿宋"/>
          <w:bCs/>
          <w:color w:val="auto"/>
          <w:highlight w:val="none"/>
        </w:rPr>
        <w:t xml:space="preserve"> 。</w:t>
      </w:r>
      <w:r/>
    </w:p>
    <w:p>
      <w:pPr>
        <w:pStyle w:val="807"/>
        <w:numPr>
          <w:ilvl w:val="1"/>
          <w:numId w:val="10"/>
        </w:numPr>
        <w:ind w:hanging="3249"/>
        <w:spacing w:line="440" w:lineRule="exact"/>
        <w:tabs>
          <w:tab w:val="left" w:pos="426" w:leader="none"/>
        </w:tabs>
        <w:rPr>
          <w:rFonts w:ascii="仿宋" w:hAnsi="仿宋" w:eastAsia="仿宋" w:cs="仿宋"/>
          <w:b/>
          <w:color w:val="auto"/>
          <w:highlight w:val="none"/>
        </w:rPr>
      </w:pPr>
      <w:r>
        <w:rPr>
          <w:rFonts w:hint="eastAsia" w:ascii="仿宋" w:hAnsi="仿宋" w:eastAsia="仿宋" w:cs="仿宋"/>
          <w:b/>
          <w:color w:val="auto"/>
          <w:spacing w:val="-1"/>
          <w:highlight w:val="none"/>
        </w:rPr>
        <w:t xml:space="preserve">特别说明见投标人须知前附表。</w:t>
      </w:r>
      <w:r/>
    </w:p>
    <w:p>
      <w:pPr>
        <w:pStyle w:val="807"/>
        <w:numPr>
          <w:ilvl w:val="1"/>
          <w:numId w:val="10"/>
        </w:numPr>
        <w:ind w:hanging="3249"/>
        <w:spacing w:line="440" w:lineRule="exact"/>
        <w:tabs>
          <w:tab w:val="left" w:pos="426" w:leader="none"/>
        </w:tabs>
        <w:rPr>
          <w:rFonts w:ascii="仿宋" w:hAnsi="仿宋" w:eastAsia="仿宋" w:cs="仿宋"/>
          <w:color w:val="auto"/>
          <w:highlight w:val="none"/>
        </w:rPr>
      </w:pPr>
      <w:r>
        <w:rPr>
          <w:rFonts w:hint="eastAsia" w:ascii="仿宋" w:hAnsi="仿宋" w:eastAsia="仿宋" w:cs="仿宋"/>
          <w:bCs/>
          <w:color w:val="auto"/>
          <w:spacing w:val="-1"/>
          <w:highlight w:val="none"/>
          <w:lang w:val="en-US"/>
        </w:rPr>
        <w:t xml:space="preserve">错误的修正</w:t>
      </w:r>
      <w:r/>
    </w:p>
    <w:p>
      <w:pPr>
        <w:pStyle w:val="807"/>
        <w:ind w:left="261" w:hanging="701"/>
        <w:spacing w:line="440" w:lineRule="exact"/>
        <w:rPr>
          <w:rFonts w:ascii="仿宋" w:hAnsi="仿宋" w:eastAsia="仿宋" w:cs="仿宋"/>
          <w:color w:val="auto"/>
          <w:highlight w:val="none"/>
        </w:rPr>
      </w:pPr>
      <w:r>
        <w:rPr>
          <w:rFonts w:hint="eastAsia" w:ascii="仿宋" w:hAnsi="仿宋" w:eastAsia="仿宋" w:cs="仿宋"/>
          <w:color w:val="auto"/>
          <w:highlight w:val="none"/>
          <w:lang w:val="en-US"/>
        </w:rPr>
        <w:t xml:space="preserve">11.3.1 </w:t>
      </w:r>
      <w:r>
        <w:rPr>
          <w:rFonts w:hint="eastAsia" w:ascii="仿宋" w:hAnsi="仿宋" w:eastAsia="仿宋" w:cs="仿宋"/>
          <w:color w:val="auto"/>
          <w:highlight w:val="none"/>
        </w:rPr>
        <w:t xml:space="preserve">评标委员会将对确定为实质上响应招标文件要求的投标文件进行校核，看其是否有计算上、累计上或表达上的错误，修正错误的原则如下:</w:t>
      </w:r>
      <w:r/>
    </w:p>
    <w:p>
      <w:pPr>
        <w:pStyle w:val="807"/>
        <w:ind w:left="440" w:firstLine="0"/>
        <w:spacing w:line="440" w:lineRule="exact"/>
        <w:tabs>
          <w:tab w:val="left" w:pos="440" w:leader="none"/>
        </w:tabs>
        <w:rPr>
          <w:rFonts w:ascii="仿宋" w:hAnsi="仿宋" w:eastAsia="仿宋" w:cs="仿宋"/>
          <w:color w:val="auto"/>
          <w:highlight w:val="none"/>
        </w:rPr>
      </w:pPr>
      <w:r>
        <w:rPr>
          <w:rFonts w:hint="eastAsia" w:ascii="仿宋" w:hAnsi="仿宋" w:eastAsia="仿宋" w:cs="仿宋"/>
          <w:color w:val="auto"/>
          <w:highlight w:val="none"/>
        </w:rPr>
        <w:t xml:space="preserve">（1）投标文件中开标一览表（报价表）内容与投标文件中相应内容不一致的，以开标一览表（报价表）为准；</w:t>
      </w:r>
      <w:r/>
    </w:p>
    <w:p>
      <w:pPr>
        <w:pStyle w:val="807"/>
        <w:ind w:left="440" w:firstLine="0"/>
        <w:spacing w:line="440" w:lineRule="exact"/>
        <w:tabs>
          <w:tab w:val="left" w:pos="440" w:leader="none"/>
        </w:tabs>
        <w:rPr>
          <w:rFonts w:ascii="仿宋" w:hAnsi="仿宋" w:eastAsia="仿宋" w:cs="仿宋"/>
          <w:color w:val="auto"/>
          <w:highlight w:val="none"/>
        </w:rPr>
      </w:pPr>
      <w:r>
        <w:rPr>
          <w:rFonts w:hint="eastAsia" w:ascii="仿宋" w:hAnsi="仿宋" w:eastAsia="仿宋" w:cs="仿宋"/>
          <w:color w:val="auto"/>
          <w:highlight w:val="none"/>
        </w:rPr>
        <w:t xml:space="preserve">（2）如果数字表示的金额和用文字表示的金额不一致时，应以文字表示的金额为准；</w:t>
      </w:r>
      <w:r/>
    </w:p>
    <w:p>
      <w:pPr>
        <w:pStyle w:val="807"/>
        <w:ind w:left="440" w:firstLine="0"/>
        <w:spacing w:line="440" w:lineRule="exact"/>
        <w:tabs>
          <w:tab w:val="left" w:pos="440" w:leader="none"/>
        </w:tabs>
        <w:rPr>
          <w:rFonts w:ascii="仿宋" w:hAnsi="仿宋" w:eastAsia="仿宋" w:cs="仿宋"/>
          <w:color w:val="auto"/>
          <w:highlight w:val="none"/>
        </w:rPr>
      </w:pPr>
      <w:r>
        <w:rPr>
          <w:rFonts w:hint="eastAsia" w:ascii="仿宋" w:hAnsi="仿宋" w:eastAsia="仿宋" w:cs="仿宋"/>
          <w:color w:val="auto"/>
          <w:highlight w:val="none"/>
        </w:rPr>
        <w:t xml:space="preserve">（3）当单价与数量的乘积与合价不一致时，以单价为准，</w:t>
      </w:r>
      <w:r>
        <w:rPr>
          <w:rFonts w:hint="eastAsia" w:ascii="仿宋" w:hAnsi="仿宋" w:eastAsia="仿宋" w:cs="仿宋"/>
          <w:color w:val="auto"/>
          <w:highlight w:val="none"/>
          <w:lang w:val="en-US"/>
        </w:rPr>
        <w:t xml:space="preserve">修正合价。</w:t>
      </w:r>
      <w:r>
        <w:rPr>
          <w:rFonts w:hint="eastAsia" w:ascii="仿宋" w:hAnsi="仿宋" w:eastAsia="仿宋" w:cs="仿宋"/>
          <w:color w:val="auto"/>
          <w:highlight w:val="none"/>
        </w:rPr>
        <w:t xml:space="preserve">除非评标委员会认为单价有明显的小数点错误，此时应以标出的合价为准，并修改单价；</w:t>
      </w:r>
      <w:r/>
    </w:p>
    <w:p>
      <w:pPr>
        <w:pStyle w:val="807"/>
        <w:ind w:left="440" w:firstLine="0"/>
        <w:spacing w:line="440" w:lineRule="exact"/>
        <w:tabs>
          <w:tab w:val="left" w:pos="440" w:leader="none"/>
        </w:tabs>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rPr>
        <w:t xml:space="preserve">4</w:t>
      </w:r>
      <w:r>
        <w:rPr>
          <w:rFonts w:hint="eastAsia" w:ascii="仿宋" w:hAnsi="仿宋" w:eastAsia="仿宋" w:cs="仿宋"/>
          <w:color w:val="auto"/>
          <w:highlight w:val="none"/>
        </w:rPr>
        <w:t xml:space="preserve">）合计累计金额与小计金额不一致的，以合计累计金额为准，并修改小计金额，总投标价不变。</w:t>
      </w:r>
      <w:r/>
    </w:p>
    <w:p>
      <w:pPr>
        <w:pStyle w:val="807"/>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11.3.2 </w:t>
      </w:r>
      <w:r>
        <w:rPr>
          <w:rFonts w:hint="eastAsia" w:ascii="仿宋" w:hAnsi="仿宋" w:eastAsia="仿宋" w:cs="仿宋"/>
          <w:color w:val="auto"/>
          <w:highlight w:val="none"/>
        </w:rPr>
        <w:t xml:space="preserve">按上述修正错误的原则及方法调整或修正投标文件的投标报价，投标人同意后，调整后的投标报价对投标人起约束作用。同时出现两种以上不一致的，按照前款规定的顺序修正。如果投标人不接受修正后的报价，则其投标</w:t>
      </w:r>
      <w:r>
        <w:rPr>
          <w:rFonts w:hint="eastAsia" w:ascii="仿宋" w:hAnsi="仿宋" w:eastAsia="仿宋" w:cs="仿宋"/>
          <w:color w:val="auto"/>
          <w:highlight w:val="none"/>
          <w:lang w:val="en-US"/>
        </w:rPr>
        <w:t xml:space="preserve">无效</w:t>
      </w:r>
      <w:r>
        <w:rPr>
          <w:rFonts w:hint="eastAsia" w:ascii="仿宋" w:hAnsi="仿宋" w:eastAsia="仿宋" w:cs="仿宋"/>
          <w:color w:val="auto"/>
          <w:highlight w:val="none"/>
        </w:rPr>
        <w:t xml:space="preserve">并且其投标保证金或投标保函也将被没收，并不影响</w:t>
      </w:r>
      <w:r>
        <w:rPr>
          <w:rFonts w:hint="eastAsia" w:ascii="仿宋" w:hAnsi="仿宋" w:eastAsia="仿宋" w:cs="仿宋"/>
          <w:color w:val="auto"/>
          <w:highlight w:val="none"/>
          <w:lang w:val="en-US"/>
        </w:rPr>
        <w:t xml:space="preserve">对其他投标人的</w:t>
      </w:r>
      <w:r>
        <w:rPr>
          <w:rFonts w:hint="eastAsia" w:ascii="仿宋" w:hAnsi="仿宋" w:eastAsia="仿宋" w:cs="仿宋"/>
          <w:color w:val="auto"/>
          <w:highlight w:val="none"/>
        </w:rPr>
        <w:t xml:space="preserve">评标工作。</w:t>
      </w:r>
      <w:r/>
    </w:p>
    <w:p>
      <w:pPr>
        <w:pStyle w:val="807"/>
        <w:ind w:left="264" w:hanging="704"/>
        <w:spacing w:line="440" w:lineRule="exact"/>
        <w:tabs>
          <w:tab w:val="left" w:pos="426" w:leader="none"/>
        </w:tabs>
        <w:rPr>
          <w:rFonts w:ascii="仿宋" w:hAnsi="仿宋" w:eastAsia="仿宋" w:cs="仿宋"/>
          <w:b/>
          <w:bCs/>
          <w:color w:val="auto"/>
          <w:highlight w:val="none"/>
        </w:rPr>
      </w:pPr>
      <w:r>
        <w:rPr>
          <w:rFonts w:hint="eastAsia" w:ascii="仿宋" w:hAnsi="仿宋" w:eastAsia="仿宋" w:cs="仿宋"/>
          <w:color w:val="auto"/>
          <w:highlight w:val="none"/>
          <w:lang w:val="en-US"/>
        </w:rPr>
        <w:t xml:space="preserve">11.4  </w:t>
      </w:r>
      <w:r>
        <w:rPr>
          <w:rFonts w:hint="eastAsia" w:ascii="仿宋" w:hAnsi="仿宋" w:eastAsia="仿宋" w:cs="仿宋"/>
          <w:b/>
          <w:bCs/>
          <w:color w:val="auto"/>
          <w:highlight w:val="none"/>
        </w:rPr>
        <w:t xml:space="preserve">政府采购政策功能落实</w:t>
      </w:r>
      <w:bookmarkStart w:id="36" w:name="EBd9bc59d5f2ed4fb8a64ee2e373d8cc72"/>
      <w:r/>
      <w:bookmarkEnd w:id="36"/>
      <w:r/>
    </w:p>
    <w:p>
      <w:pPr>
        <w:pStyle w:val="807"/>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11.4.1</w:t>
      </w:r>
      <w:r>
        <w:rPr>
          <w:rFonts w:hint="eastAsia" w:ascii="仿宋" w:hAnsi="仿宋" w:eastAsia="仿宋" w:cs="仿宋"/>
          <w:color w:val="auto"/>
          <w:highlight w:val="none"/>
        </w:rPr>
        <w:t xml:space="preserve"> 政府采购促进中小企业发展，在政府采购活动中，供应商提供的货物、工程或者服务符合下列情形的，享受中小企业扶持政策：</w:t>
      </w:r>
      <w:r/>
    </w:p>
    <w:p>
      <w:pPr>
        <w:pStyle w:val="807"/>
        <w:ind w:left="264" w:hanging="4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pStyle w:val="807"/>
        <w:ind w:left="264" w:hanging="4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pStyle w:val="807"/>
        <w:ind w:left="264" w:hanging="4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供应商参加政府</w:t>
      </w:r>
      <w:r>
        <w:rPr>
          <w:rFonts w:hint="eastAsia" w:ascii="仿宋" w:hAnsi="仿宋" w:eastAsia="仿宋" w:cs="仿宋"/>
          <w:color w:val="auto"/>
          <w:highlight w:val="none"/>
        </w:rPr>
        <w:t xml:space="preserve">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07"/>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w:t>
      </w:r>
      <w:r>
        <w:rPr>
          <w:rFonts w:hint="eastAsia" w:ascii="仿宋" w:hAnsi="仿宋" w:eastAsia="仿宋" w:cs="仿宋"/>
          <w:color w:val="auto"/>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pStyle w:val="807"/>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11.4.3 </w:t>
      </w:r>
      <w:r>
        <w:rPr>
          <w:rFonts w:hint="eastAsia" w:ascii="仿宋" w:hAnsi="仿宋" w:eastAsia="仿宋" w:cs="仿宋"/>
          <w:color w:val="auto"/>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pStyle w:val="807"/>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11.4.4</w:t>
      </w:r>
      <w:r>
        <w:rPr>
          <w:rFonts w:hint="eastAsia" w:ascii="仿宋" w:hAnsi="仿宋" w:eastAsia="仿宋" w:cs="仿宋"/>
          <w:color w:val="auto"/>
          <w:highlight w:val="none"/>
        </w:rPr>
        <w:t xml:space="preserve">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pStyle w:val="807"/>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11.4.5 </w:t>
      </w:r>
      <w:r>
        <w:rPr>
          <w:rFonts w:hint="eastAsia" w:ascii="仿宋" w:hAnsi="仿宋" w:eastAsia="仿宋" w:cs="仿宋"/>
          <w:color w:val="auto"/>
          <w:highlight w:val="none"/>
        </w:rPr>
        <w:t xml:space="preserve">提供的产品属于信息安全产品的，供应商应当选择经国家认证的信息安全产品投标，并提供由中国信息安全认证中心按国家标准认证颁发的有效认证证书复印件。</w:t>
      </w:r>
      <w:r/>
    </w:p>
    <w:p>
      <w:pPr>
        <w:pStyle w:val="807"/>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11.4.6</w:t>
      </w:r>
      <w:r>
        <w:rPr>
          <w:rFonts w:hint="eastAsia" w:ascii="仿宋" w:hAnsi="仿宋" w:eastAsia="仿宋" w:cs="仿宋"/>
          <w:color w:val="auto"/>
          <w:highlight w:val="none"/>
        </w:rPr>
        <w:t xml:space="preserve"> 提供的产品属于政府强制采购节能产品的，供应商应当选择依据国家标准中二级能效（水效）指标认证的节能产品投标，并提供有效的节能产品认证证书复印件。</w:t>
      </w:r>
      <w:r/>
    </w:p>
    <w:p>
      <w:pPr>
        <w:pStyle w:val="807"/>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11.4.7 </w:t>
      </w:r>
      <w:r>
        <w:rPr>
          <w:rFonts w:hint="eastAsia" w:ascii="仿宋" w:hAnsi="仿宋" w:eastAsia="仿宋" w:cs="仿宋"/>
          <w:color w:val="auto"/>
          <w:highlight w:val="none"/>
        </w:rPr>
        <w:t xml:space="preserve">提供的产品属于环境标志产品的,供应商应当选择依据相关标准的最新版本认证的环境标志产品投标,并提供有效的环境标志产品认证证书复印件。 </w:t>
      </w:r>
      <w:r/>
    </w:p>
    <w:p>
      <w:pPr>
        <w:pStyle w:val="807"/>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11.4.8 </w:t>
      </w:r>
      <w:r>
        <w:rPr>
          <w:rFonts w:hint="eastAsia" w:ascii="仿宋" w:hAnsi="仿宋" w:eastAsia="仿宋" w:cs="仿宋"/>
          <w:color w:val="auto"/>
          <w:highlight w:val="none"/>
        </w:rPr>
        <w:t xml:space="preserve">进口产品政策</w:t>
      </w:r>
      <w:r/>
    </w:p>
    <w:p>
      <w:pPr>
        <w:pStyle w:val="807"/>
        <w:ind w:left="264" w:hanging="4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（1）除招标公告载明接受进口产品参加外，不允许进口产品参加。进口产品认定依照《财政部关于政府采购进口产品管理有关问题的通知》（财办库〔2008〕248号）的规定。</w:t>
      </w:r>
      <w:r/>
    </w:p>
    <w:p>
      <w:pPr>
        <w:pStyle w:val="807"/>
        <w:ind w:left="264" w:hanging="4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（2）允许进口产品参加的，满足需求的国内产品可以参加。</w:t>
      </w:r>
      <w:r/>
    </w:p>
    <w:p>
      <w:pPr>
        <w:pStyle w:val="807"/>
        <w:ind w:left="264" w:hanging="4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（3）允许进口产品参加的，优先采购向我国企业转让技术、与我国企业签订消化吸收再创新方案的供应商的进口产品。</w:t>
      </w:r>
      <w:r/>
    </w:p>
    <w:p>
      <w:pPr>
        <w:pStyle w:val="807"/>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11.4.9 </w:t>
      </w:r>
      <w:r>
        <w:rPr>
          <w:rFonts w:hint="eastAsia" w:ascii="仿宋" w:hAnsi="仿宋" w:eastAsia="仿宋" w:cs="仿宋"/>
          <w:color w:val="auto"/>
          <w:highlight w:val="none"/>
        </w:rPr>
        <w:t xml:space="preserve">落实政府采购《商品包装政府采购需求标准(试行)》、《快递包装政府采购需求标准（试行）》（财办库〔2020〕123号〕、《绿色数据中心政府采购需求标准（试行）》（财库〔2023]7号）等需求标准。</w:t>
      </w:r>
      <w:r/>
    </w:p>
    <w:p>
      <w:pPr>
        <w:pStyle w:val="807"/>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11.4.10 </w:t>
      </w:r>
      <w:r>
        <w:rPr>
          <w:rFonts w:hint="eastAsia"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pStyle w:val="807"/>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11.4.11</w:t>
      </w:r>
      <w:r>
        <w:rPr>
          <w:rFonts w:hint="eastAsia" w:ascii="仿宋" w:hAnsi="仿宋" w:eastAsia="仿宋" w:cs="仿宋"/>
          <w:color w:val="auto"/>
          <w:highlight w:val="none"/>
        </w:rPr>
        <w:t xml:space="preserve"> 支持乡村产业振兴管理：落实《关于运用政府采购政策支持乡村产业振兴的通知》（财库〔2021〕19号）有关要求。</w:t>
      </w:r>
      <w:r/>
    </w:p>
    <w:p>
      <w:pPr>
        <w:pStyle w:val="807"/>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11.4.12 </w:t>
      </w:r>
      <w:r>
        <w:rPr>
          <w:rFonts w:hint="eastAsia" w:ascii="仿宋" w:hAnsi="仿宋" w:eastAsia="仿宋" w:cs="仿宋"/>
          <w:color w:val="auto"/>
          <w:highlight w:val="none"/>
        </w:rPr>
        <w:t xml:space="preserve">涉及</w:t>
      </w:r>
      <w:r>
        <w:rPr>
          <w:rFonts w:hint="eastAsia" w:ascii="仿宋" w:hAnsi="仿宋" w:eastAsia="仿宋" w:cs="仿宋"/>
          <w:color w:val="auto"/>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高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807"/>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11.4.13 </w:t>
      </w:r>
      <w:r>
        <w:rPr>
          <w:rFonts w:hint="eastAsia" w:ascii="仿宋" w:hAnsi="仿宋" w:eastAsia="仿宋" w:cs="仿宋"/>
          <w:color w:val="auto"/>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807"/>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11.4.14</w:t>
      </w:r>
      <w:r>
        <w:rPr>
          <w:rFonts w:hint="eastAsia" w:ascii="仿宋" w:hAnsi="仿宋" w:eastAsia="仿宋" w:cs="仿宋"/>
          <w:color w:val="auto"/>
          <w:highlight w:val="none"/>
        </w:rPr>
        <w:t xml:space="preserve">创新产品采购</w:t>
      </w:r>
      <w:r/>
    </w:p>
    <w:p>
      <w:pPr>
        <w:pStyle w:val="807"/>
        <w:ind w:left="220" w:firstLine="0"/>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pStyle w:val="807"/>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11.4.15 </w:t>
      </w:r>
      <w:r>
        <w:rPr>
          <w:rFonts w:hint="eastAsia" w:ascii="仿宋" w:hAnsi="仿宋" w:eastAsia="仿宋" w:cs="仿宋"/>
          <w:color w:val="auto"/>
          <w:highlight w:val="none"/>
        </w:rPr>
        <w:t xml:space="preserve">网络产品、市场准入类产品采购</w:t>
      </w:r>
      <w:r/>
    </w:p>
    <w:p>
      <w:pPr>
        <w:pStyle w:val="807"/>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11.4.16 </w:t>
      </w:r>
      <w:r>
        <w:rPr>
          <w:rFonts w:hint="eastAsia" w:ascii="仿宋" w:hAnsi="仿宋" w:eastAsia="仿宋" w:cs="仿宋"/>
          <w:color w:val="auto"/>
          <w:highlight w:val="none"/>
        </w:rPr>
        <w:t xml:space="preserve">本项目</w:t>
      </w:r>
      <w:r>
        <w:rPr>
          <w:rFonts w:hint="eastAsia" w:ascii="仿宋" w:hAnsi="仿宋" w:eastAsia="仿宋" w:cs="仿宋"/>
          <w:color w:val="auto"/>
          <w:highlight w:val="non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pStyle w:val="807"/>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11.4.17 </w:t>
      </w:r>
      <w:r>
        <w:rPr>
          <w:rFonts w:hint="eastAsia" w:ascii="仿宋" w:hAnsi="仿宋" w:eastAsia="仿宋" w:cs="仿宋"/>
          <w:color w:val="auto"/>
          <w:highlight w:val="none"/>
        </w:rPr>
        <w:t xml:space="preserve">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pStyle w:val="807"/>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11.4.18 </w:t>
      </w:r>
      <w:r>
        <w:rPr>
          <w:rFonts w:hint="eastAsia" w:ascii="仿宋" w:hAnsi="仿宋" w:eastAsia="仿宋" w:cs="仿宋"/>
          <w:color w:val="auto"/>
          <w:highlight w:val="none"/>
        </w:rPr>
        <w:t xml:space="preserve">落实《关于在全省政府采购领域推行电子履约保函（保险）的通知》（苏财购〔2023〕15号）。</w:t>
      </w:r>
      <w:r/>
    </w:p>
    <w:p>
      <w:pPr>
        <w:pStyle w:val="807"/>
        <w:ind w:left="264" w:hanging="704"/>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11.4.19 政府采购中实施本国产品标准及相关政策</w:t>
      </w:r>
      <w:r/>
    </w:p>
    <w:p>
      <w:pPr>
        <w:pStyle w:val="807"/>
        <w:ind w:left="264" w:hanging="44"/>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1.本项目对采购本国产品给予政策支持。</w:t>
      </w:r>
      <w:r/>
    </w:p>
    <w:p>
      <w:pPr>
        <w:pStyle w:val="807"/>
        <w:ind w:left="264" w:hanging="44"/>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07"/>
        <w:ind w:left="264" w:hanging="44"/>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07"/>
        <w:ind w:firstLine="0"/>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11.4.20 根据财库〔2026〕2号文件，评审委员会启动异常低价投标审查的情形和具体要求，包括：</w:t>
      </w:r>
      <w:r/>
    </w:p>
    <w:p>
      <w:pPr>
        <w:pStyle w:val="807"/>
        <w:ind w:left="264" w:hanging="264"/>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（一）1.投标报价低于全部通过符合性审查供应商投标报价平均值50%的，即投标报价&lt;全部通过符合性审查供应商投标报价平均值×50%；</w:t>
      </w:r>
      <w:r/>
    </w:p>
    <w:p>
      <w:pPr>
        <w:pStyle w:val="807"/>
        <w:ind w:left="660" w:hanging="220"/>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2.投标报价低于通过符合性审查的次低报价供应商投标报价50%的，即投标报价&lt;通过符合性审查的次低报价供应商投标报价×50%；</w:t>
      </w:r>
      <w:r/>
    </w:p>
    <w:p>
      <w:pPr>
        <w:pStyle w:val="807"/>
        <w:ind w:firstLine="440"/>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3.投标报价低于采购项目最高限价45%的，即投标报价&lt;采购项目最高限价×45%；</w:t>
      </w:r>
      <w:r/>
    </w:p>
    <w:p>
      <w:pPr>
        <w:pStyle w:val="807"/>
        <w:ind w:left="660" w:hanging="220"/>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4.评审委员会基于专业判断，认为供应商报价过低，有可能影响产品质量或者不能诚信履约的其他情形。</w:t>
      </w:r>
      <w:r/>
    </w:p>
    <w:p>
      <w:pPr>
        <w:pStyle w:val="807"/>
        <w:ind w:left="264" w:hanging="704"/>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pStyle w:val="807"/>
        <w:ind w:left="264" w:hanging="44"/>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807"/>
        <w:ind w:left="264" w:hanging="44"/>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07"/>
        <w:ind w:firstLine="220"/>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异常低价投标审查的启动原因、审查意见和审查结果应当在评审报告中记录，并随供应商提供的相关书面说明及证明材料，以及评审委员会有关互联网浏览、查询历史一并归档。</w:t>
      </w:r>
      <w:r/>
    </w:p>
    <w:p>
      <w:pPr>
        <w:pStyle w:val="807"/>
        <w:ind w:left="264" w:hanging="704"/>
        <w:spacing w:line="440" w:lineRule="exact"/>
        <w:tabs>
          <w:tab w:val="left" w:pos="426" w:leader="none"/>
        </w:tabs>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11.4.20 未按要求提供相关材料的，不享受相关政策。</w:t>
      </w:r>
      <w:r/>
    </w:p>
    <w:p>
      <w:pPr>
        <w:pStyle w:val="807"/>
        <w:ind w:left="264" w:hanging="704"/>
        <w:spacing w:line="440" w:lineRule="exact"/>
        <w:tabs>
          <w:tab w:val="left" w:pos="426" w:leader="none"/>
        </w:tabs>
        <w:rPr>
          <w:rFonts w:ascii="宋体" w:hAnsi="宋体"/>
          <w:color w:val="auto"/>
          <w:highlight w:val="none"/>
        </w:rPr>
      </w:pPr>
      <w:r>
        <w:rPr>
          <w:rFonts w:hint="eastAsia" w:ascii="仿宋" w:hAnsi="仿宋" w:eastAsia="仿宋" w:cs="仿宋"/>
          <w:color w:val="auto"/>
          <w:highlight w:val="none"/>
          <w:lang w:val="en-US"/>
        </w:rPr>
        <w:t xml:space="preserve">11.4.21 在本项目政府采购活动过程中，如果所执行的标准有更新的，按照最新标准执行。</w:t>
      </w:r>
      <w:r/>
    </w:p>
    <w:p>
      <w:pPr>
        <w:pStyle w:val="741"/>
        <w:numPr>
          <w:ilvl w:val="0"/>
          <w:numId w:val="1"/>
        </w:numPr>
        <w:jc w:val="center"/>
        <w:spacing w:before="0" w:after="0" w:line="360" w:lineRule="auto"/>
        <w:rPr>
          <w:rFonts w:ascii="仿宋" w:hAnsi="仿宋" w:eastAsia="仿宋" w:cs="仿宋"/>
          <w:color w:val="auto"/>
          <w:highlight w:val="none"/>
        </w:rPr>
      </w:pPr>
      <w:r>
        <w:rPr>
          <w:rFonts w:hint="eastAsia" w:ascii="仿宋" w:hAnsi="仿宋" w:eastAsia="仿宋" w:cs="仿宋"/>
          <w:color w:val="auto"/>
          <w:highlight w:val="none"/>
        </w:rPr>
        <w:br w:type="page" w:clear="all"/>
      </w:r>
      <w:bookmarkStart w:id="37" w:name="_Toc30241"/>
      <w:r>
        <w:rPr>
          <w:rFonts w:hint="eastAsia" w:ascii="仿宋" w:hAnsi="仿宋" w:eastAsia="仿宋" w:cs="仿宋"/>
          <w:color w:val="auto"/>
          <w:highlight w:val="none"/>
        </w:rPr>
        <w:t xml:space="preserve">评标办法</w:t>
      </w:r>
      <w:bookmarkEnd w:id="37"/>
      <w:r/>
      <w:r/>
    </w:p>
    <w:p>
      <w:pPr>
        <w:pStyle w:val="753"/>
        <w:ind w:right="-96" w:firstLine="448"/>
        <w:spacing w:after="0" w:line="440" w:lineRule="exact"/>
        <w:rPr>
          <w:rFonts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t xml:space="preserve">根据《中华人民共和国政府采购法》、《中华人民共和国政府采购法实施条例》等有关规定，制定本办法。 </w:t>
      </w:r>
      <w:r/>
    </w:p>
    <w:p>
      <w:pPr>
        <w:pStyle w:val="753"/>
        <w:numPr>
          <w:ilvl w:val="0"/>
          <w:numId w:val="16"/>
        </w:numPr>
        <w:ind w:left="655" w:right="-96" w:hanging="655"/>
        <w:spacing w:after="0" w:line="440" w:lineRule="exact"/>
        <w:rPr>
          <w:rFonts w:ascii="仿宋" w:hAnsi="仿宋" w:eastAsia="仿宋" w:cs="仿宋"/>
          <w:b/>
          <w:color w:val="auto"/>
          <w:spacing w:val="-8"/>
          <w:sz w:val="24"/>
          <w:szCs w:val="24"/>
          <w:highlight w:val="none"/>
        </w:rPr>
      </w:pPr>
      <w:r>
        <w:rPr>
          <w:rFonts w:hint="eastAsia" w:ascii="仿宋" w:hAnsi="仿宋" w:eastAsia="仿宋" w:cs="仿宋"/>
          <w:b/>
          <w:color w:val="auto"/>
          <w:spacing w:val="6"/>
          <w:sz w:val="24"/>
          <w:szCs w:val="24"/>
          <w:highlight w:val="none"/>
        </w:rPr>
        <w:t xml:space="preserve">评标原则</w:t>
      </w:r>
      <w:r/>
    </w:p>
    <w:p>
      <w:pPr>
        <w:ind w:right="-96" w:firstLine="476"/>
        <w:spacing w:line="44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评标应遵循公平、公正、科学、择优的原则。</w:t>
      </w:r>
      <w:r/>
    </w:p>
    <w:p>
      <w:pPr>
        <w:pStyle w:val="753"/>
        <w:numPr>
          <w:ilvl w:val="0"/>
          <w:numId w:val="16"/>
        </w:numPr>
        <w:ind w:left="655" w:right="-96" w:hanging="655"/>
        <w:spacing w:after="0" w:line="440" w:lineRule="exact"/>
        <w:rPr>
          <w:rFonts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评标组织 </w:t>
      </w:r>
      <w:r/>
    </w:p>
    <w:p>
      <w:pPr>
        <w:pStyle w:val="753"/>
        <w:ind w:right="-96" w:firstLine="480"/>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评标工作由采购人依法组建的评标委员会负责，评标委员会的组建见投标人须知前附表，评标委员会成员</w:t>
      </w:r>
      <w:r>
        <w:rPr>
          <w:rFonts w:hint="eastAsia" w:ascii="仿宋" w:hAnsi="仿宋" w:eastAsia="仿宋" w:cs="仿宋"/>
          <w:color w:val="auto"/>
          <w:sz w:val="24"/>
          <w:szCs w:val="24"/>
          <w:highlight w:val="none"/>
          <w:lang w:val="en-US"/>
        </w:rPr>
        <w:t xml:space="preserve">5</w:t>
      </w:r>
      <w:r>
        <w:rPr>
          <w:rFonts w:hint="eastAsia" w:ascii="仿宋" w:hAnsi="仿宋" w:eastAsia="仿宋" w:cs="仿宋"/>
          <w:color w:val="auto"/>
          <w:sz w:val="24"/>
          <w:szCs w:val="24"/>
          <w:highlight w:val="none"/>
        </w:rPr>
        <w:t xml:space="preserve">人。 </w:t>
      </w:r>
      <w:r/>
    </w:p>
    <w:p>
      <w:pPr>
        <w:pStyle w:val="753"/>
        <w:ind w:right="-96" w:firstLine="480"/>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应推举产生评标委员会负责人（采购人代表不得担任评标委员会负责人），评标委员会负责人负责组织评标、掌握评标进程、主持询标、编写评标报告等工作，评标委员会负责人与其他成员具有同等的权利。评标委员会成员对所提出的评审意见承担个人责任。 </w:t>
      </w:r>
      <w:r/>
    </w:p>
    <w:p>
      <w:pPr>
        <w:pStyle w:val="753"/>
        <w:ind w:right="-96" w:firstLine="480"/>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评标委员会应当按照招标文件确定的评标标准和方法，客观、公正对投标文件进行评审和比较，招标文件没有规定的评标标准和方法不得作为评标的依据。 </w:t>
      </w:r>
      <w:r/>
    </w:p>
    <w:p>
      <w:pPr>
        <w:pStyle w:val="753"/>
        <w:ind w:right="-96" w:firstLine="480"/>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评标委员会对投标文件作出的评审结论，应当符合有关法律、法规、规章和招标文件的规定。 </w:t>
      </w:r>
      <w:r/>
    </w:p>
    <w:p>
      <w:pPr>
        <w:pStyle w:val="753"/>
        <w:numPr>
          <w:ilvl w:val="0"/>
          <w:numId w:val="16"/>
        </w:numPr>
        <w:ind w:left="655" w:right="-96" w:hanging="600"/>
        <w:spacing w:after="0" w:line="440" w:lineRule="exact"/>
        <w:rPr>
          <w:rFonts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评标程序和内容 </w:t>
      </w:r>
      <w:r/>
    </w:p>
    <w:p>
      <w:pPr>
        <w:pStyle w:val="753"/>
        <w:numPr>
          <w:ilvl w:val="0"/>
          <w:numId w:val="17"/>
        </w:numPr>
        <w:ind w:firstLine="6"/>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熟悉招标文件和评标办法； </w:t>
      </w:r>
      <w:r/>
    </w:p>
    <w:p>
      <w:pPr>
        <w:pStyle w:val="753"/>
        <w:numPr>
          <w:ilvl w:val="0"/>
          <w:numId w:val="17"/>
        </w:numPr>
        <w:ind w:firstLine="6"/>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投标文件的资格性</w:t>
      </w:r>
      <w:r>
        <w:rPr>
          <w:rFonts w:hint="eastAsia" w:ascii="仿宋" w:hAnsi="仿宋" w:eastAsia="仿宋" w:cs="仿宋"/>
          <w:color w:val="auto"/>
          <w:sz w:val="24"/>
          <w:szCs w:val="24"/>
          <w:highlight w:val="none"/>
          <w:lang w:val="en-US"/>
        </w:rPr>
        <w:t xml:space="preserve">审查</w:t>
      </w:r>
      <w:r>
        <w:rPr>
          <w:rFonts w:hint="eastAsia" w:ascii="仿宋" w:hAnsi="仿宋" w:eastAsia="仿宋" w:cs="仿宋"/>
          <w:color w:val="auto"/>
          <w:sz w:val="24"/>
          <w:szCs w:val="24"/>
          <w:highlight w:val="none"/>
        </w:rPr>
        <w:t xml:space="preserve">；</w:t>
      </w:r>
      <w:r/>
    </w:p>
    <w:p>
      <w:pPr>
        <w:pStyle w:val="753"/>
        <w:numPr>
          <w:ilvl w:val="0"/>
          <w:numId w:val="17"/>
        </w:numPr>
        <w:ind w:firstLine="6"/>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投标文件的符合性</w:t>
      </w:r>
      <w:r>
        <w:rPr>
          <w:rFonts w:hint="eastAsia" w:ascii="仿宋" w:hAnsi="仿宋" w:eastAsia="仿宋" w:cs="仿宋"/>
          <w:color w:val="auto"/>
          <w:sz w:val="24"/>
          <w:szCs w:val="24"/>
          <w:highlight w:val="none"/>
          <w:lang w:val="en-US"/>
        </w:rPr>
        <w:t xml:space="preserve">审查</w:t>
      </w:r>
      <w:r>
        <w:rPr>
          <w:rFonts w:hint="eastAsia" w:ascii="仿宋" w:hAnsi="仿宋" w:eastAsia="仿宋" w:cs="仿宋"/>
          <w:color w:val="auto"/>
          <w:sz w:val="24"/>
          <w:szCs w:val="24"/>
          <w:highlight w:val="none"/>
        </w:rPr>
        <w:t xml:space="preserve">；  </w:t>
      </w:r>
      <w:r/>
    </w:p>
    <w:p>
      <w:pPr>
        <w:pStyle w:val="753"/>
        <w:numPr>
          <w:ilvl w:val="0"/>
          <w:numId w:val="17"/>
        </w:numPr>
        <w:ind w:firstLine="6"/>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投标文件的技术</w:t>
      </w:r>
      <w:r>
        <w:rPr>
          <w:rFonts w:hint="eastAsia" w:ascii="仿宋" w:hAnsi="仿宋" w:eastAsia="仿宋" w:cs="仿宋"/>
          <w:color w:val="auto"/>
          <w:sz w:val="24"/>
          <w:szCs w:val="24"/>
          <w:highlight w:val="none"/>
          <w:lang w:val="en-US"/>
        </w:rPr>
        <w:t xml:space="preserve">及商务</w:t>
      </w:r>
      <w:r>
        <w:rPr>
          <w:rFonts w:hint="eastAsia" w:ascii="仿宋" w:hAnsi="仿宋" w:eastAsia="仿宋" w:cs="仿宋"/>
          <w:color w:val="auto"/>
          <w:sz w:val="24"/>
          <w:szCs w:val="24"/>
          <w:highlight w:val="none"/>
        </w:rPr>
        <w:t xml:space="preserve">评审； </w:t>
      </w:r>
      <w:r/>
    </w:p>
    <w:p>
      <w:pPr>
        <w:pStyle w:val="753"/>
        <w:numPr>
          <w:ilvl w:val="0"/>
          <w:numId w:val="17"/>
        </w:numPr>
        <w:ind w:left="1276" w:hanging="850"/>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必要时对投标文件中的问题进行询标，包括</w:t>
      </w:r>
      <w:r>
        <w:rPr>
          <w:rFonts w:hint="eastAsia" w:ascii="仿宋" w:hAnsi="仿宋" w:eastAsia="仿宋" w:cs="仿宋"/>
          <w:color w:val="auto"/>
          <w:sz w:val="24"/>
          <w:szCs w:val="24"/>
          <w:highlight w:val="none"/>
          <w:lang w:val="en-US"/>
        </w:rPr>
        <w:t xml:space="preserve">但不限于</w:t>
      </w:r>
      <w:r>
        <w:rPr>
          <w:rFonts w:hint="eastAsia" w:ascii="仿宋" w:hAnsi="仿宋" w:eastAsia="仿宋" w:cs="仿宋"/>
          <w:color w:val="auto"/>
          <w:sz w:val="24"/>
          <w:szCs w:val="24"/>
          <w:highlight w:val="none"/>
        </w:rPr>
        <w:t xml:space="preserve">拟作出否决投标决定前对相关投标人进行的询问核实； </w:t>
      </w:r>
      <w:r/>
    </w:p>
    <w:p>
      <w:pPr>
        <w:pStyle w:val="753"/>
        <w:numPr>
          <w:ilvl w:val="0"/>
          <w:numId w:val="17"/>
        </w:numPr>
        <w:ind w:firstLine="6"/>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根据评标办法和标准对投标文件进行综合评分、排序； </w:t>
      </w:r>
      <w:r/>
    </w:p>
    <w:p>
      <w:pPr>
        <w:pStyle w:val="753"/>
        <w:numPr>
          <w:ilvl w:val="0"/>
          <w:numId w:val="17"/>
        </w:numPr>
        <w:ind w:firstLine="6"/>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完成评标报告，推荐中标候选人。</w:t>
      </w:r>
      <w:r/>
    </w:p>
    <w:p>
      <w:pPr>
        <w:pStyle w:val="753"/>
        <w:numPr>
          <w:ilvl w:val="0"/>
          <w:numId w:val="16"/>
        </w:numPr>
        <w:ind w:left="655" w:right="-96" w:hanging="600"/>
        <w:spacing w:after="0" w:line="440" w:lineRule="exact"/>
        <w:rPr>
          <w:rFonts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评审细则 </w:t>
      </w:r>
      <w:r/>
    </w:p>
    <w:p>
      <w:pPr>
        <w:pStyle w:val="753"/>
        <w:ind w:right="-96" w:firstLine="480"/>
        <w:jc w:val="both"/>
        <w:spacing w:after="0"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1、资格性审查及符合性审查详见投标人须知前附表</w:t>
      </w:r>
      <w:r/>
    </w:p>
    <w:p>
      <w:pPr>
        <w:pStyle w:val="753"/>
        <w:ind w:right="-96" w:firstLine="480"/>
        <w:jc w:val="both"/>
        <w:spacing w:after="0"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2、评分细则</w:t>
      </w:r>
      <w:r/>
    </w:p>
    <w:p>
      <w:pP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br w:type="page" w:clear="all"/>
      </w:r>
      <w:r/>
    </w:p>
    <w:tbl>
      <w:tblPr>
        <w:tblStyle w:val="747"/>
        <w:tblW w:w="5559" w:type="pct"/>
        <w:tblInd w:w="-4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727"/>
        <w:gridCol w:w="6957"/>
        <w:gridCol w:w="891"/>
      </w:tblGrid>
      <w:tr>
        <w:trPr>
          <w:trHeight w:val="502"/>
        </w:trPr>
        <w:tc>
          <w:tcPr>
            <w:tcW w:w="388" w:type="pct"/>
            <w:vAlign w:val="center"/>
            <w:textDirection w:val="lrTb"/>
            <w:noWrap/>
          </w:tcPr>
          <w:p>
            <w:pPr>
              <w:jc w:val="center"/>
              <w:spacing w:line="360" w:lineRule="exact"/>
              <w:rPr>
                <w:color w:val="auto"/>
                <w:sz w:val="24"/>
                <w:szCs w:val="24"/>
                <w:highlight w:val="none"/>
              </w:rPr>
            </w:pPr>
            <w:r>
              <w:rPr>
                <w:rFonts w:hint="eastAsia"/>
                <w:color w:val="auto"/>
                <w:sz w:val="24"/>
                <w:szCs w:val="24"/>
                <w:highlight w:val="none"/>
              </w:rPr>
              <w:t xml:space="preserve">序号</w:t>
            </w:r>
            <w:r/>
          </w:p>
        </w:tc>
        <w:tc>
          <w:tcPr>
            <w:tcW w:w="832" w:type="pct"/>
            <w:vAlign w:val="center"/>
            <w:textDirection w:val="lrTb"/>
            <w:noWrap/>
          </w:tcPr>
          <w:p>
            <w:pPr>
              <w:spacing w:line="360" w:lineRule="exact"/>
              <w:rPr>
                <w:color w:val="auto"/>
                <w:sz w:val="24"/>
                <w:szCs w:val="24"/>
                <w:highlight w:val="none"/>
              </w:rPr>
            </w:pPr>
            <w:r>
              <w:rPr>
                <w:rFonts w:hint="eastAsia"/>
                <w:color w:val="auto"/>
                <w:sz w:val="24"/>
                <w:szCs w:val="24"/>
                <w:highlight w:val="none"/>
              </w:rPr>
              <w:t xml:space="preserve">评审内容</w:t>
            </w:r>
            <w:r/>
          </w:p>
        </w:tc>
        <w:tc>
          <w:tcPr>
            <w:tcW w:w="3351" w:type="pct"/>
            <w:vAlign w:val="center"/>
            <w:textDirection w:val="lrTb"/>
            <w:noWrap/>
          </w:tcPr>
          <w:p>
            <w:pPr>
              <w:jc w:val="center"/>
              <w:spacing w:line="360" w:lineRule="exact"/>
              <w:rPr>
                <w:color w:val="auto"/>
                <w:sz w:val="24"/>
                <w:szCs w:val="24"/>
                <w:highlight w:val="none"/>
              </w:rPr>
            </w:pPr>
            <w:r>
              <w:rPr>
                <w:rFonts w:hint="eastAsia"/>
                <w:color w:val="auto"/>
                <w:sz w:val="24"/>
                <w:szCs w:val="24"/>
                <w:highlight w:val="none"/>
              </w:rPr>
              <w:t xml:space="preserve">评分细则</w:t>
            </w:r>
            <w:r/>
          </w:p>
        </w:tc>
        <w:tc>
          <w:tcPr>
            <w:tcW w:w="429" w:type="pct"/>
            <w:vAlign w:val="center"/>
            <w:textDirection w:val="lrTb"/>
            <w:noWrap/>
          </w:tcPr>
          <w:p>
            <w:pPr>
              <w:spacing w:line="360" w:lineRule="exact"/>
              <w:rPr>
                <w:color w:val="auto"/>
                <w:sz w:val="24"/>
                <w:szCs w:val="24"/>
                <w:highlight w:val="none"/>
              </w:rPr>
            </w:pPr>
            <w:r>
              <w:rPr>
                <w:rFonts w:hint="eastAsia"/>
                <w:color w:val="auto"/>
                <w:sz w:val="24"/>
                <w:szCs w:val="24"/>
                <w:highlight w:val="none"/>
              </w:rPr>
              <w:t xml:space="preserve">分值</w:t>
            </w:r>
            <w:r/>
          </w:p>
        </w:tc>
      </w:tr>
      <w:tr>
        <w:trPr>
          <w:trHeight w:val="732"/>
        </w:trPr>
        <w:tc>
          <w:tcPr>
            <w:tcW w:w="388" w:type="pct"/>
            <w:vAlign w:val="center"/>
            <w:textDirection w:val="lrTb"/>
            <w:noWrap/>
          </w:tcPr>
          <w:p>
            <w:pPr>
              <w:jc w:val="center"/>
              <w:spacing w:line="360" w:lineRule="exact"/>
              <w:rPr>
                <w:color w:val="auto"/>
                <w:sz w:val="24"/>
                <w:szCs w:val="24"/>
                <w:highlight w:val="none"/>
                <w:lang w:val="en-US"/>
              </w:rPr>
            </w:pPr>
            <w:r>
              <w:rPr>
                <w:rFonts w:hint="eastAsia"/>
                <w:color w:val="auto"/>
                <w:sz w:val="24"/>
                <w:szCs w:val="24"/>
                <w:highlight w:val="none"/>
                <w:lang w:val="en-US"/>
              </w:rPr>
              <w:t xml:space="preserve">1</w:t>
            </w:r>
            <w:r/>
          </w:p>
        </w:tc>
        <w:tc>
          <w:tcPr>
            <w:tcW w:w="832" w:type="pct"/>
            <w:vAlign w:val="center"/>
            <w:textDirection w:val="lrTb"/>
            <w:noWrap/>
          </w:tcPr>
          <w:p>
            <w:pPr>
              <w:jc w:val="center"/>
              <w:spacing w:line="360" w:lineRule="exact"/>
              <w:rPr>
                <w:color w:val="auto"/>
                <w:sz w:val="24"/>
                <w:szCs w:val="24"/>
                <w:highlight w:val="none"/>
                <w:lang w:val="en-US"/>
              </w:rPr>
            </w:pPr>
            <w:r>
              <w:rPr>
                <w:rFonts w:hint="eastAsia"/>
                <w:color w:val="auto"/>
                <w:sz w:val="24"/>
                <w:szCs w:val="24"/>
                <w:highlight w:val="none"/>
                <w:lang w:val="en-US"/>
              </w:rPr>
              <w:t xml:space="preserve">价格分</w:t>
            </w:r>
            <w:r/>
          </w:p>
        </w:tc>
        <w:tc>
          <w:tcPr>
            <w:tcW w:w="3351" w:type="pct"/>
            <w:vAlign w:val="center"/>
            <w:textDirection w:val="lrTb"/>
            <w:noWrap/>
          </w:tcPr>
          <w:p>
            <w:pPr>
              <w:spacing w:line="360" w:lineRule="exact"/>
              <w:rPr>
                <w:color w:val="auto"/>
                <w:sz w:val="24"/>
                <w:szCs w:val="24"/>
                <w:highlight w:val="none"/>
              </w:rPr>
            </w:pPr>
            <w:r>
              <w:rPr>
                <w:rFonts w:hint="eastAsia"/>
                <w:color w:val="auto"/>
                <w:sz w:val="24"/>
                <w:szCs w:val="24"/>
                <w:highlight w:val="none"/>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w:t>
            </w:r>
            <w:r>
              <w:rPr>
                <w:rFonts w:hint="eastAsia"/>
                <w:color w:val="auto"/>
                <w:sz w:val="24"/>
                <w:szCs w:val="24"/>
                <w:highlight w:val="none"/>
                <w:lang w:val="en-US"/>
              </w:rPr>
              <w:t xml:space="preserve">2</w:t>
            </w:r>
            <w:r>
              <w:rPr>
                <w:rFonts w:hint="eastAsia"/>
                <w:color w:val="auto"/>
                <w:sz w:val="24"/>
                <w:szCs w:val="24"/>
                <w:highlight w:val="none"/>
              </w:rPr>
              <w:t xml:space="preserve">位。</w:t>
            </w:r>
            <w:r/>
          </w:p>
        </w:tc>
        <w:tc>
          <w:tcPr>
            <w:tcW w:w="429" w:type="pct"/>
            <w:vAlign w:val="center"/>
            <w:textDirection w:val="lrTb"/>
            <w:noWrap/>
          </w:tcPr>
          <w:p>
            <w:pPr>
              <w:jc w:val="center"/>
              <w:spacing w:line="360" w:lineRule="exact"/>
              <w:rPr>
                <w:color w:val="auto"/>
                <w:sz w:val="24"/>
                <w:szCs w:val="24"/>
                <w:highlight w:val="none"/>
                <w:lang w:val="en-US"/>
              </w:rPr>
            </w:pPr>
            <w:r>
              <w:rPr>
                <w:rFonts w:hint="eastAsia"/>
                <w:color w:val="auto"/>
                <w:sz w:val="24"/>
                <w:szCs w:val="24"/>
                <w:highlight w:val="none"/>
                <w:lang w:val="en-US"/>
              </w:rPr>
              <w:t xml:space="preserve">30</w:t>
            </w:r>
            <w:r/>
          </w:p>
        </w:tc>
      </w:tr>
      <w:tr>
        <w:trPr>
          <w:trHeight w:val="732"/>
        </w:trPr>
        <w:tc>
          <w:tcPr>
            <w:tcW w:w="388" w:type="pct"/>
            <w:vAlign w:val="center"/>
            <w:textDirection w:val="lrTb"/>
            <w:noWrap/>
          </w:tcPr>
          <w:p>
            <w:pPr>
              <w:jc w:val="center"/>
              <w:spacing w:line="360" w:lineRule="exact"/>
              <w:rPr>
                <w:color w:val="auto"/>
                <w:sz w:val="24"/>
                <w:szCs w:val="24"/>
                <w:highlight w:val="none"/>
              </w:rPr>
            </w:pPr>
            <w:r>
              <w:rPr>
                <w:rFonts w:hint="eastAsia"/>
                <w:color w:val="auto"/>
                <w:sz w:val="24"/>
                <w:szCs w:val="24"/>
                <w:highlight w:val="none"/>
                <w:lang w:val="en-US"/>
              </w:rPr>
              <w:t xml:space="preserve">2</w:t>
            </w:r>
            <w:r/>
          </w:p>
        </w:tc>
        <w:tc>
          <w:tcPr>
            <w:tcW w:w="832" w:type="pct"/>
            <w:vAlign w:val="center"/>
            <w:textDirection w:val="lrTb"/>
            <w:noWrap/>
          </w:tcPr>
          <w:p>
            <w:pPr>
              <w:jc w:val="center"/>
              <w:spacing w:line="360" w:lineRule="exact"/>
              <w:rPr>
                <w:color w:val="auto"/>
                <w:sz w:val="24"/>
                <w:szCs w:val="24"/>
                <w:highlight w:val="none"/>
                <w:lang w:val="en-US"/>
              </w:rPr>
            </w:pPr>
            <w:r>
              <w:rPr>
                <w:rFonts w:hint="eastAsia"/>
                <w:color w:val="auto"/>
                <w:sz w:val="24"/>
                <w:szCs w:val="24"/>
                <w:highlight w:val="none"/>
              </w:rPr>
              <w:t xml:space="preserve">投标产品</w:t>
            </w:r>
            <w:r>
              <w:rPr>
                <w:rFonts w:hint="eastAsia"/>
                <w:color w:val="auto"/>
                <w:sz w:val="24"/>
                <w:szCs w:val="24"/>
                <w:highlight w:val="none"/>
              </w:rPr>
              <w:t xml:space="preserve">技术参数要求</w:t>
            </w:r>
            <w:r/>
          </w:p>
        </w:tc>
        <w:tc>
          <w:tcPr>
            <w:tcW w:w="3351" w:type="pct"/>
            <w:vAlign w:val="center"/>
            <w:textDirection w:val="lrTb"/>
            <w:noWrap/>
          </w:tcPr>
          <w:p>
            <w:pPr>
              <w:spacing w:line="360" w:lineRule="exact"/>
              <w:rPr>
                <w:color w:val="auto"/>
                <w:sz w:val="24"/>
                <w:szCs w:val="24"/>
                <w:highlight w:val="none"/>
              </w:rPr>
            </w:pPr>
            <w:r>
              <w:rPr>
                <w:rFonts w:hint="eastAsia"/>
                <w:color w:val="auto"/>
                <w:sz w:val="24"/>
                <w:szCs w:val="24"/>
                <w:highlight w:val="none"/>
              </w:rPr>
              <w:t xml:space="preserve">根据</w:t>
            </w:r>
            <w:r>
              <w:rPr>
                <w:rFonts w:hint="eastAsia"/>
                <w:color w:val="auto"/>
                <w:sz w:val="24"/>
                <w:szCs w:val="24"/>
                <w:highlight w:val="none"/>
                <w:lang w:val="en-US"/>
              </w:rPr>
              <w:t xml:space="preserve">整体项目技术参数</w:t>
            </w:r>
            <w:r>
              <w:rPr>
                <w:rFonts w:hint="eastAsia"/>
                <w:color w:val="auto"/>
                <w:sz w:val="24"/>
                <w:szCs w:val="24"/>
                <w:highlight w:val="none"/>
              </w:rPr>
              <w:t xml:space="preserve">与技术标准是否完全满足招标文件要求，根据与招标文件技术指标以及技术标准偏离情况逐条进行评分；基本分</w:t>
            </w:r>
            <w:r>
              <w:rPr>
                <w:rFonts w:hint="eastAsia"/>
                <w:color w:val="auto"/>
                <w:sz w:val="24"/>
                <w:szCs w:val="24"/>
                <w:highlight w:val="none"/>
                <w:lang w:val="en-US"/>
              </w:rPr>
              <w:t xml:space="preserve">36</w:t>
            </w:r>
            <w:r>
              <w:rPr>
                <w:rFonts w:hint="eastAsia"/>
                <w:color w:val="auto"/>
                <w:sz w:val="24"/>
                <w:szCs w:val="24"/>
                <w:highlight w:val="none"/>
              </w:rPr>
              <w:t xml:space="preserve">分。存在负偏离或缺漏项的在基本分上作扣分处理，</w:t>
            </w:r>
            <w:r>
              <w:rPr>
                <w:rFonts w:hint="eastAsia"/>
                <w:color w:val="auto"/>
                <w:sz w:val="24"/>
                <w:szCs w:val="24"/>
                <w:highlight w:val="none"/>
                <w:lang w:val="en-US"/>
              </w:rPr>
              <w:t xml:space="preserve">打“</w:t>
            </w:r>
            <w:r>
              <w:rPr>
                <w:rFonts w:hint="eastAsia"/>
                <w:color w:val="auto"/>
                <w:sz w:val="24"/>
                <w:szCs w:val="24"/>
                <w:highlight w:val="none"/>
              </w:rPr>
              <w:t xml:space="preserve">▲</w:t>
            </w:r>
            <w:r>
              <w:rPr>
                <w:rFonts w:hint="eastAsia"/>
                <w:color w:val="auto"/>
                <w:sz w:val="24"/>
                <w:szCs w:val="24"/>
                <w:highlight w:val="none"/>
                <w:lang w:val="en-US"/>
              </w:rPr>
              <w:t xml:space="preserve">”</w:t>
            </w:r>
            <w:r>
              <w:rPr>
                <w:rFonts w:hint="eastAsia"/>
                <w:color w:val="auto"/>
                <w:sz w:val="24"/>
                <w:szCs w:val="24"/>
                <w:highlight w:val="none"/>
              </w:rPr>
              <w:t xml:space="preserve">每负偏离或缺漏项一项扣</w:t>
            </w:r>
            <w:r>
              <w:rPr>
                <w:rFonts w:hint="eastAsia"/>
                <w:color w:val="auto"/>
                <w:sz w:val="24"/>
                <w:szCs w:val="24"/>
                <w:highlight w:val="none"/>
                <w:lang w:val="en-US"/>
              </w:rPr>
              <w:t xml:space="preserve">3</w:t>
            </w:r>
            <w:r>
              <w:rPr>
                <w:rFonts w:hint="eastAsia"/>
                <w:color w:val="auto"/>
                <w:sz w:val="24"/>
                <w:szCs w:val="24"/>
                <w:highlight w:val="none"/>
              </w:rPr>
              <w:t xml:space="preserve">分，</w:t>
            </w:r>
            <w:r>
              <w:rPr>
                <w:rFonts w:hint="eastAsia"/>
                <w:color w:val="auto"/>
                <w:sz w:val="24"/>
                <w:szCs w:val="24"/>
                <w:highlight w:val="none"/>
                <w:lang w:val="en-US"/>
              </w:rPr>
              <w:t xml:space="preserve">其余</w:t>
            </w:r>
            <w:r>
              <w:rPr>
                <w:rFonts w:hint="eastAsia"/>
                <w:color w:val="auto"/>
                <w:sz w:val="24"/>
                <w:szCs w:val="24"/>
                <w:highlight w:val="none"/>
              </w:rPr>
              <w:t xml:space="preserve">每负偏离或缺漏项一项扣</w:t>
            </w:r>
            <w:r>
              <w:rPr>
                <w:rFonts w:hint="eastAsia"/>
                <w:color w:val="auto"/>
                <w:sz w:val="24"/>
                <w:szCs w:val="24"/>
                <w:highlight w:val="none"/>
                <w:lang w:val="en-US"/>
              </w:rPr>
              <w:t xml:space="preserve">2</w:t>
            </w:r>
            <w:r>
              <w:rPr>
                <w:rFonts w:hint="eastAsia"/>
                <w:color w:val="auto"/>
                <w:sz w:val="24"/>
                <w:szCs w:val="24"/>
                <w:highlight w:val="none"/>
              </w:rPr>
              <w:t xml:space="preserve">分，扣完为止。</w:t>
            </w:r>
            <w:r/>
          </w:p>
          <w:p>
            <w:pPr>
              <w:spacing w:line="360" w:lineRule="exact"/>
              <w:rPr>
                <w:color w:val="auto"/>
                <w:sz w:val="24"/>
                <w:szCs w:val="24"/>
                <w:highlight w:val="none"/>
              </w:rPr>
            </w:pPr>
            <w:r>
              <w:rPr>
                <w:rFonts w:hint="eastAsia"/>
                <w:color w:val="auto"/>
                <w:sz w:val="24"/>
                <w:szCs w:val="24"/>
                <w:highlight w:val="none"/>
              </w:rPr>
              <w:t xml:space="preserve">注：如有偏离，必须在技术偏离表中进行详细对比说明并注明正、负偏离。</w:t>
            </w:r>
            <w:r/>
          </w:p>
        </w:tc>
        <w:tc>
          <w:tcPr>
            <w:tcW w:w="429" w:type="pct"/>
            <w:vAlign w:val="center"/>
            <w:textDirection w:val="lrTb"/>
            <w:noWrap/>
          </w:tcPr>
          <w:p>
            <w:pPr>
              <w:jc w:val="center"/>
              <w:spacing w:line="360" w:lineRule="exact"/>
              <w:rPr>
                <w:color w:val="auto"/>
                <w:sz w:val="24"/>
                <w:szCs w:val="24"/>
                <w:highlight w:val="none"/>
                <w:lang w:val="en-US"/>
              </w:rPr>
            </w:pPr>
            <w:r>
              <w:rPr>
                <w:rFonts w:hint="eastAsia"/>
                <w:color w:val="auto"/>
                <w:sz w:val="24"/>
                <w:szCs w:val="24"/>
                <w:highlight w:val="none"/>
                <w:lang w:val="en-US"/>
              </w:rPr>
              <w:t xml:space="preserve">36</w:t>
            </w:r>
            <w:r/>
          </w:p>
        </w:tc>
      </w:tr>
      <w:tr>
        <w:trPr>
          <w:trHeight w:val="1048"/>
        </w:trPr>
        <w:tc>
          <w:tcPr>
            <w:tcW w:w="388" w:type="pct"/>
            <w:vAlign w:val="center"/>
            <w:textDirection w:val="lrTb"/>
            <w:noWrap/>
          </w:tcPr>
          <w:p>
            <w:pPr>
              <w:jc w:val="center"/>
              <w:spacing w:line="360" w:lineRule="exact"/>
              <w:rPr>
                <w:color w:val="auto"/>
                <w:sz w:val="24"/>
                <w:szCs w:val="24"/>
                <w:highlight w:val="none"/>
              </w:rPr>
            </w:pPr>
            <w:r>
              <w:rPr>
                <w:rFonts w:hint="eastAsia"/>
                <w:color w:val="auto"/>
                <w:sz w:val="24"/>
                <w:szCs w:val="24"/>
                <w:highlight w:val="none"/>
                <w:lang w:val="en-US"/>
              </w:rPr>
              <w:t xml:space="preserve">3</w:t>
            </w:r>
            <w:r/>
          </w:p>
        </w:tc>
        <w:tc>
          <w:tcPr>
            <w:tcW w:w="832" w:type="pct"/>
            <w:vAlign w:val="center"/>
            <w:textDirection w:val="lrTb"/>
            <w:noWrap/>
          </w:tcPr>
          <w:p>
            <w:pPr>
              <w:jc w:val="center"/>
              <w:spacing w:line="360" w:lineRule="exact"/>
              <w:rPr>
                <w:color w:val="auto"/>
                <w:sz w:val="24"/>
                <w:szCs w:val="24"/>
                <w:highlight w:val="none"/>
                <w:lang w:val="en-US" w:bidi="ar-SA"/>
              </w:rPr>
            </w:pPr>
            <w:r>
              <w:rPr>
                <w:rFonts w:hint="eastAsia"/>
                <w:color w:val="auto"/>
                <w:sz w:val="24"/>
                <w:szCs w:val="24"/>
                <w:highlight w:val="none"/>
                <w:lang w:val="en-US" w:bidi="ar-SA"/>
              </w:rPr>
              <w:t xml:space="preserve">项目</w:t>
            </w:r>
            <w:r/>
          </w:p>
          <w:p>
            <w:pPr>
              <w:jc w:val="center"/>
              <w:spacing w:line="360" w:lineRule="exact"/>
              <w:rPr>
                <w:color w:val="auto"/>
                <w:sz w:val="24"/>
                <w:szCs w:val="24"/>
                <w:highlight w:val="none"/>
                <w:lang w:val="en-US" w:bidi="ar-SA"/>
              </w:rPr>
            </w:pPr>
            <w:r>
              <w:rPr>
                <w:rFonts w:hint="eastAsia"/>
                <w:color w:val="auto"/>
                <w:sz w:val="24"/>
                <w:szCs w:val="24"/>
                <w:highlight w:val="none"/>
                <w:lang w:val="en-US" w:bidi="ar-SA"/>
              </w:rPr>
              <w:t xml:space="preserve">业绩</w:t>
            </w:r>
            <w:r/>
          </w:p>
        </w:tc>
        <w:tc>
          <w:tcPr>
            <w:tcW w:w="3351" w:type="pct"/>
            <w:vAlign w:val="center"/>
            <w:textDirection w:val="lrTb"/>
            <w:noWrap/>
          </w:tcPr>
          <w:p>
            <w:pPr>
              <w:spacing w:line="360" w:lineRule="exact"/>
              <w:rPr>
                <w:color w:val="auto"/>
                <w:sz w:val="24"/>
                <w:szCs w:val="24"/>
                <w:highlight w:val="none"/>
                <w:lang w:val="en-US" w:bidi="ar-SA"/>
              </w:rPr>
            </w:pPr>
            <w:r>
              <w:rPr>
                <w:rFonts w:hint="eastAsia"/>
                <w:color w:val="auto"/>
                <w:sz w:val="24"/>
                <w:szCs w:val="24"/>
                <w:highlight w:val="none"/>
                <w:lang w:val="en-US" w:bidi="ar-SA"/>
              </w:rPr>
              <w:t xml:space="preserve">投标人提供2023年1月1日（含）以来（以合同签订时间为准）承担过类似项目业绩的，每提供一个得2分，最高得6分。商务技术文件中需提供合同扫描件，否则不得分。</w:t>
            </w:r>
            <w:r/>
          </w:p>
        </w:tc>
        <w:tc>
          <w:tcPr>
            <w:tcW w:w="429" w:type="pct"/>
            <w:vAlign w:val="center"/>
            <w:textDirection w:val="lrTb"/>
            <w:noWrap/>
          </w:tcPr>
          <w:p>
            <w:pPr>
              <w:jc w:val="center"/>
              <w:spacing w:line="360" w:lineRule="exact"/>
              <w:rPr>
                <w:color w:val="auto"/>
                <w:sz w:val="24"/>
                <w:szCs w:val="24"/>
                <w:highlight w:val="none"/>
              </w:rPr>
            </w:pPr>
            <w:r>
              <w:rPr>
                <w:rFonts w:hint="eastAsia"/>
                <w:color w:val="auto"/>
                <w:sz w:val="24"/>
                <w:szCs w:val="24"/>
                <w:highlight w:val="none"/>
                <w:lang w:val="en-US"/>
              </w:rPr>
              <w:t xml:space="preserve">6</w:t>
            </w:r>
            <w:r/>
          </w:p>
        </w:tc>
      </w:tr>
      <w:tr>
        <w:trPr>
          <w:trHeight w:val="411"/>
        </w:trPr>
        <w:tc>
          <w:tcPr>
            <w:tcW w:w="388" w:type="pct"/>
            <w:vAlign w:val="center"/>
            <w:textDirection w:val="lrTb"/>
            <w:noWrap/>
          </w:tcPr>
          <w:p>
            <w:pPr>
              <w:jc w:val="center"/>
              <w:spacing w:line="360" w:lineRule="exact"/>
              <w:rPr>
                <w:color w:val="auto"/>
                <w:sz w:val="24"/>
                <w:szCs w:val="24"/>
                <w:highlight w:val="none"/>
                <w:lang w:val="en-US"/>
              </w:rPr>
            </w:pPr>
            <w:r>
              <w:rPr>
                <w:rFonts w:hint="eastAsia"/>
                <w:color w:val="auto"/>
                <w:sz w:val="24"/>
                <w:szCs w:val="24"/>
                <w:highlight w:val="none"/>
                <w:lang w:val="en-US"/>
              </w:rPr>
              <w:t xml:space="preserve">4</w:t>
            </w:r>
            <w:r/>
          </w:p>
        </w:tc>
        <w:tc>
          <w:tcPr>
            <w:tcW w:w="832" w:type="pct"/>
            <w:vAlign w:val="center"/>
            <w:textDirection w:val="lrTb"/>
            <w:noWrap/>
          </w:tcPr>
          <w:p>
            <w:pPr>
              <w:spacing w:line="360" w:lineRule="exact"/>
              <w:rPr>
                <w:color w:val="auto"/>
                <w:sz w:val="24"/>
                <w:szCs w:val="24"/>
                <w:highlight w:val="none"/>
                <w:lang w:val="en-US"/>
              </w:rPr>
            </w:pPr>
            <w:r>
              <w:rPr>
                <w:rFonts w:hint="eastAsia"/>
                <w:color w:val="auto"/>
                <w:sz w:val="24"/>
                <w:szCs w:val="24"/>
                <w:highlight w:val="none"/>
              </w:rPr>
              <w:t xml:space="preserve">项目实施方案</w:t>
            </w:r>
            <w:r/>
          </w:p>
        </w:tc>
        <w:tc>
          <w:tcPr>
            <w:tcW w:w="3351" w:type="pct"/>
            <w:vAlign w:val="center"/>
            <w:textDirection w:val="lrTb"/>
            <w:noWrap/>
          </w:tcPr>
          <w:p>
            <w:pPr>
              <w:spacing w:line="360" w:lineRule="exact"/>
              <w:rPr>
                <w:color w:val="auto"/>
                <w:sz w:val="24"/>
                <w:szCs w:val="24"/>
                <w:highlight w:val="none"/>
                <w:lang w:val="en-US" w:bidi="ar-SA"/>
              </w:rPr>
            </w:pPr>
            <w:r>
              <w:rPr>
                <w:rFonts w:hint="eastAsia"/>
                <w:color w:val="auto"/>
                <w:sz w:val="24"/>
                <w:szCs w:val="24"/>
                <w:highlight w:val="none"/>
                <w:lang w:val="en-US" w:bidi="ar-SA"/>
              </w:rPr>
              <w:t xml:space="preserve">根据各投标人提供的项目实施方案内容（包括但不限于a项目整体管理方案、b投标人与上游供应链及终端用户沟通渠道保障、c项目整体实施进度计划及推进方案、d项目整体安全保障措施等）的完备程度及针对性、合理性进行评审：</w:t>
            </w:r>
            <w:r/>
          </w:p>
          <w:p>
            <w:pPr>
              <w:spacing w:line="360" w:lineRule="exact"/>
              <w:rPr>
                <w:color w:val="auto"/>
                <w:sz w:val="24"/>
                <w:szCs w:val="24"/>
                <w:highlight w:val="none"/>
                <w:lang w:val="en-US" w:bidi="ar-SA"/>
              </w:rPr>
            </w:pPr>
            <w:r>
              <w:rPr>
                <w:rFonts w:hint="eastAsia"/>
                <w:color w:val="auto"/>
                <w:sz w:val="24"/>
                <w:szCs w:val="24"/>
                <w:highlight w:val="none"/>
                <w:lang w:val="en-US" w:bidi="ar-SA"/>
              </w:rPr>
              <w:t xml:space="preserve">完全涵盖以上4项内容最多得8分；包含任意1项最多得2分。 </w:t>
            </w:r>
            <w:r/>
          </w:p>
          <w:p>
            <w:pPr>
              <w:spacing w:line="360" w:lineRule="exact"/>
              <w:rPr>
                <w:color w:val="auto"/>
                <w:sz w:val="24"/>
                <w:szCs w:val="24"/>
                <w:highlight w:val="none"/>
                <w:lang w:val="en-US" w:bidi="ar-SA"/>
              </w:rPr>
            </w:pPr>
            <w:r>
              <w:rPr>
                <w:rFonts w:hint="eastAsia"/>
                <w:color w:val="auto"/>
                <w:sz w:val="24"/>
                <w:szCs w:val="24"/>
                <w:highlight w:val="none"/>
                <w:lang w:val="en-US" w:bidi="ar-SA"/>
              </w:rPr>
              <w:t xml:space="preserve">注：评标委员会根据各供应商的对应响应方案按照以下量化评审因素指标对各项要求进行满足性判断：</w:t>
            </w:r>
            <w:r/>
          </w:p>
          <w:p>
            <w:pPr>
              <w:spacing w:line="360" w:lineRule="exact"/>
              <w:rPr>
                <w:color w:val="auto"/>
                <w:sz w:val="24"/>
                <w:szCs w:val="24"/>
                <w:highlight w:val="none"/>
                <w:lang w:val="en-US" w:bidi="ar-SA"/>
              </w:rPr>
            </w:pPr>
            <w:r>
              <w:rPr>
                <w:rFonts w:hint="eastAsia"/>
                <w:color w:val="auto"/>
                <w:sz w:val="24"/>
                <w:szCs w:val="24"/>
                <w:highlight w:val="none"/>
                <w:lang w:val="en-US" w:bidi="ar-SA"/>
              </w:rPr>
              <w:t xml:space="preserve">1、方案内容完整清晰、安排合理、完全针对采购人需求优化设计的，得2分；</w:t>
            </w:r>
            <w:r/>
          </w:p>
          <w:p>
            <w:pPr>
              <w:spacing w:line="360" w:lineRule="exact"/>
              <w:rPr>
                <w:color w:val="auto"/>
                <w:sz w:val="24"/>
                <w:szCs w:val="24"/>
                <w:highlight w:val="none"/>
                <w:lang w:val="en-US" w:bidi="ar-SA"/>
              </w:rPr>
            </w:pPr>
            <w:r>
              <w:rPr>
                <w:rFonts w:hint="eastAsia"/>
                <w:color w:val="auto"/>
                <w:sz w:val="24"/>
                <w:szCs w:val="24"/>
                <w:highlight w:val="none"/>
                <w:lang w:val="en-US" w:bidi="ar-SA"/>
              </w:rPr>
              <w:t xml:space="preserve">2、方案内容不够完整清晰、安排合理性不足、未针对采购人需求设计的，得1分；</w:t>
            </w:r>
            <w:r/>
          </w:p>
          <w:p>
            <w:pPr>
              <w:spacing w:line="360" w:lineRule="exact"/>
              <w:rPr>
                <w:color w:val="auto"/>
                <w:sz w:val="24"/>
                <w:szCs w:val="24"/>
                <w:highlight w:val="none"/>
                <w:lang w:val="en-US" w:bidi="ar-SA"/>
              </w:rPr>
            </w:pPr>
            <w:r>
              <w:rPr>
                <w:rFonts w:hint="eastAsia"/>
                <w:color w:val="auto"/>
                <w:sz w:val="24"/>
                <w:szCs w:val="24"/>
                <w:highlight w:val="none"/>
                <w:lang w:val="en-US" w:bidi="ar-SA"/>
              </w:rPr>
              <w:t xml:space="preserve">3、未提供或者经评标委员会认定完全不具备可行性的不得分。</w:t>
            </w:r>
            <w:r/>
          </w:p>
        </w:tc>
        <w:tc>
          <w:tcPr>
            <w:tcW w:w="429" w:type="pct"/>
            <w:vAlign w:val="center"/>
            <w:textDirection w:val="lrTb"/>
            <w:noWrap/>
          </w:tcPr>
          <w:p>
            <w:pPr>
              <w:jc w:val="center"/>
              <w:spacing w:line="360" w:lineRule="exact"/>
              <w:rPr>
                <w:color w:val="auto"/>
                <w:sz w:val="24"/>
                <w:szCs w:val="24"/>
                <w:highlight w:val="none"/>
                <w:lang w:val="en-US"/>
              </w:rPr>
            </w:pPr>
            <w:r>
              <w:rPr>
                <w:rFonts w:hint="eastAsia"/>
                <w:color w:val="auto"/>
                <w:sz w:val="24"/>
                <w:szCs w:val="24"/>
                <w:highlight w:val="none"/>
                <w:lang w:val="en-US"/>
              </w:rPr>
              <w:t xml:space="preserve">8</w:t>
            </w:r>
            <w:r/>
          </w:p>
        </w:tc>
      </w:tr>
      <w:tr>
        <w:trPr>
          <w:trHeight w:val="410"/>
        </w:trPr>
        <w:tc>
          <w:tcPr>
            <w:tcW w:w="388" w:type="pct"/>
            <w:vAlign w:val="center"/>
            <w:textDirection w:val="lrTb"/>
            <w:noWrap/>
          </w:tcPr>
          <w:p>
            <w:pPr>
              <w:jc w:val="center"/>
              <w:spacing w:line="360" w:lineRule="exact"/>
              <w:rPr>
                <w:color w:val="auto"/>
                <w:sz w:val="24"/>
                <w:szCs w:val="24"/>
                <w:highlight w:val="none"/>
              </w:rPr>
            </w:pPr>
            <w:r>
              <w:rPr>
                <w:rFonts w:hint="eastAsia"/>
                <w:color w:val="auto"/>
                <w:sz w:val="24"/>
                <w:szCs w:val="24"/>
                <w:highlight w:val="none"/>
                <w:lang w:val="en-US"/>
              </w:rPr>
              <w:t xml:space="preserve">5</w:t>
            </w:r>
            <w:r/>
          </w:p>
        </w:tc>
        <w:tc>
          <w:tcPr>
            <w:tcW w:w="832" w:type="pct"/>
            <w:vAlign w:val="center"/>
            <w:textDirection w:val="lrTb"/>
            <w:noWrap/>
          </w:tcPr>
          <w:p>
            <w:pPr>
              <w:spacing w:line="360" w:lineRule="exact"/>
              <w:rPr>
                <w:color w:val="auto"/>
                <w:sz w:val="24"/>
                <w:szCs w:val="24"/>
                <w:highlight w:val="none"/>
              </w:rPr>
            </w:pPr>
            <w:r>
              <w:rPr>
                <w:rFonts w:hint="eastAsia"/>
                <w:bCs/>
                <w:color w:val="auto"/>
                <w:sz w:val="24"/>
                <w:highlight w:val="none"/>
              </w:rPr>
              <w:t xml:space="preserve">运输安装调试方案</w:t>
            </w:r>
            <w:r/>
          </w:p>
        </w:tc>
        <w:tc>
          <w:tcPr>
            <w:tcW w:w="3351" w:type="pct"/>
            <w:vAlign w:val="center"/>
            <w:textDirection w:val="lrTb"/>
            <w:noWrap/>
          </w:tcPr>
          <w:p>
            <w:pPr>
              <w:spacing w:line="360" w:lineRule="exact"/>
              <w:rPr>
                <w:rFonts w:hint="eastAsia"/>
                <w:color w:val="auto"/>
                <w:sz w:val="24"/>
                <w:szCs w:val="24"/>
                <w:highlight w:val="none"/>
                <w:lang w:val="en-US" w:bidi="ar-SA"/>
              </w:rPr>
            </w:pPr>
            <w:r>
              <w:rPr>
                <w:rFonts w:hint="eastAsia"/>
                <w:color w:val="auto"/>
                <w:sz w:val="24"/>
                <w:szCs w:val="24"/>
                <w:highlight w:val="none"/>
                <w:lang w:val="en-US" w:bidi="ar-SA"/>
              </w:rPr>
              <w:t xml:space="preserve">根据各投标人针对本项目拟定的运输安装调试方案（包括但不限于a设备出厂、运输及装卸保障措施、b设备安装及初始化调试、c设备验收检查流程、d技术人员配置及各流程交接方案等）进行评审：</w:t>
            </w:r>
            <w:r/>
          </w:p>
          <w:p>
            <w:pPr>
              <w:spacing w:line="360" w:lineRule="exact"/>
              <w:rPr>
                <w:color w:val="auto"/>
                <w:sz w:val="24"/>
                <w:szCs w:val="24"/>
                <w:highlight w:val="none"/>
                <w:lang w:val="en-US" w:bidi="ar-SA"/>
              </w:rPr>
            </w:pPr>
            <w:r>
              <w:rPr>
                <w:rFonts w:hint="eastAsia"/>
                <w:color w:val="auto"/>
                <w:sz w:val="24"/>
                <w:szCs w:val="24"/>
                <w:highlight w:val="none"/>
                <w:lang w:val="en-US" w:bidi="ar-SA"/>
              </w:rPr>
              <w:t xml:space="preserve">完全涵盖以上</w:t>
            </w:r>
            <w:r>
              <w:rPr>
                <w:color w:val="auto"/>
                <w:sz w:val="24"/>
                <w:szCs w:val="24"/>
                <w:highlight w:val="none"/>
                <w:lang w:val="en-US" w:bidi="ar-SA"/>
              </w:rPr>
              <w:t xml:space="preserve">4项内容最多得8分；包含任意1项最多得2分。 </w:t>
            </w:r>
            <w:r/>
          </w:p>
          <w:p>
            <w:pPr>
              <w:spacing w:line="360" w:lineRule="exact"/>
              <w:rPr>
                <w:color w:val="auto"/>
                <w:sz w:val="24"/>
                <w:szCs w:val="24"/>
                <w:highlight w:val="none"/>
                <w:lang w:val="en-US" w:bidi="ar-SA"/>
              </w:rPr>
            </w:pPr>
            <w:r>
              <w:rPr>
                <w:rFonts w:hint="eastAsia"/>
                <w:color w:val="auto"/>
                <w:sz w:val="24"/>
                <w:szCs w:val="24"/>
                <w:highlight w:val="none"/>
                <w:lang w:val="en-US" w:bidi="ar-SA"/>
              </w:rPr>
              <w:t xml:space="preserve">注：评标委员会根据各供应商的对应响应方案按照以下量化评审因素指标对各项要求进行满足性判断：</w:t>
            </w:r>
            <w:r/>
          </w:p>
          <w:p>
            <w:pPr>
              <w:spacing w:line="360" w:lineRule="exact"/>
              <w:rPr>
                <w:color w:val="auto"/>
                <w:sz w:val="24"/>
                <w:szCs w:val="24"/>
                <w:highlight w:val="none"/>
                <w:lang w:val="en-US" w:bidi="ar-SA"/>
              </w:rPr>
            </w:pPr>
            <w:r>
              <w:rPr>
                <w:color w:val="auto"/>
                <w:sz w:val="24"/>
                <w:szCs w:val="24"/>
                <w:highlight w:val="none"/>
                <w:lang w:val="en-US" w:bidi="ar-SA"/>
              </w:rPr>
              <w:t xml:space="preserve">1、安装调试方案完整详尽，专业性、可行性强，考虑周全，思路特别清晰，符合项目需求，得2分；</w:t>
            </w:r>
            <w:r/>
          </w:p>
          <w:p>
            <w:pPr>
              <w:spacing w:line="360" w:lineRule="exact"/>
              <w:rPr>
                <w:color w:val="auto"/>
                <w:sz w:val="24"/>
                <w:szCs w:val="24"/>
                <w:highlight w:val="none"/>
                <w:lang w:val="en-US" w:bidi="ar-SA"/>
              </w:rPr>
            </w:pPr>
            <w:r>
              <w:rPr>
                <w:color w:val="auto"/>
                <w:sz w:val="24"/>
                <w:szCs w:val="24"/>
                <w:highlight w:val="none"/>
                <w:lang w:val="en-US" w:bidi="ar-SA"/>
              </w:rPr>
              <w:t xml:space="preserve">2、对项目执行有一定认识，方案较为完整，思路基本清晰，基本符合项目需求，该项得1分；</w:t>
            </w:r>
            <w:r/>
          </w:p>
          <w:p>
            <w:pPr>
              <w:spacing w:line="360" w:lineRule="exact"/>
              <w:rPr>
                <w:color w:val="auto"/>
                <w:sz w:val="24"/>
                <w:szCs w:val="24"/>
                <w:highlight w:val="none"/>
                <w:lang w:val="en-US" w:bidi="ar-SA"/>
              </w:rPr>
            </w:pPr>
            <w:r>
              <w:rPr>
                <w:color w:val="auto"/>
                <w:sz w:val="24"/>
                <w:szCs w:val="24"/>
                <w:highlight w:val="none"/>
                <w:lang w:val="en-US" w:bidi="ar-SA"/>
              </w:rPr>
              <w:t xml:space="preserve">3、未提供或者经评标委员会认定完全不具备可行性的不得分。</w:t>
            </w:r>
            <w:r/>
          </w:p>
        </w:tc>
        <w:tc>
          <w:tcPr>
            <w:tcW w:w="429" w:type="pct"/>
            <w:vAlign w:val="center"/>
            <w:textDirection w:val="lrTb"/>
            <w:noWrap/>
          </w:tcPr>
          <w:p>
            <w:pPr>
              <w:jc w:val="center"/>
              <w:spacing w:line="360" w:lineRule="exact"/>
              <w:rPr>
                <w:color w:val="auto"/>
                <w:sz w:val="24"/>
                <w:szCs w:val="24"/>
                <w:highlight w:val="none"/>
              </w:rPr>
            </w:pPr>
            <w:r>
              <w:rPr>
                <w:rFonts w:hint="eastAsia"/>
                <w:color w:val="auto"/>
                <w:sz w:val="24"/>
                <w:szCs w:val="24"/>
                <w:highlight w:val="none"/>
                <w:lang w:val="en-US"/>
              </w:rPr>
              <w:t xml:space="preserve">8</w:t>
            </w:r>
            <w:r/>
          </w:p>
        </w:tc>
      </w:tr>
      <w:tr>
        <w:trPr>
          <w:trHeight w:val="385"/>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spacing w:line="360" w:lineRule="exact"/>
              <w:rPr>
                <w:color w:val="auto"/>
                <w:sz w:val="24"/>
                <w:szCs w:val="24"/>
                <w:highlight w:val="none"/>
              </w:rPr>
            </w:pPr>
            <w:r>
              <w:rPr>
                <w:rFonts w:hint="eastAsia"/>
                <w:color w:val="auto"/>
                <w:sz w:val="24"/>
                <w:szCs w:val="24"/>
                <w:highlight w:val="none"/>
                <w:lang w:val="en-US"/>
              </w:rPr>
              <w:t xml:space="preserve">6</w:t>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tcPr>
          <w:p>
            <w:pPr>
              <w:jc w:val="center"/>
              <w:spacing w:line="360" w:lineRule="exact"/>
              <w:rPr>
                <w:color w:val="auto"/>
                <w:sz w:val="24"/>
                <w:szCs w:val="24"/>
                <w:highlight w:val="none"/>
              </w:rPr>
            </w:pPr>
            <w:r>
              <w:rPr>
                <w:rFonts w:hint="eastAsia"/>
                <w:bCs/>
                <w:color w:val="auto"/>
                <w:sz w:val="24"/>
                <w:highlight w:val="none"/>
              </w:rPr>
              <w:t xml:space="preserve">售后服务方案</w:t>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tcPr>
          <w:p>
            <w:pPr>
              <w:spacing w:line="360" w:lineRule="exact"/>
              <w:rPr>
                <w:color w:val="auto"/>
                <w:sz w:val="24"/>
                <w:szCs w:val="24"/>
                <w:highlight w:val="none"/>
                <w:lang w:val="en-US" w:bidi="ar-SA"/>
              </w:rPr>
            </w:pPr>
            <w:r>
              <w:rPr>
                <w:rFonts w:hint="eastAsia"/>
                <w:color w:val="auto"/>
                <w:sz w:val="24"/>
                <w:szCs w:val="24"/>
                <w:highlight w:val="none"/>
                <w:lang w:val="en-US" w:bidi="ar-SA"/>
              </w:rPr>
              <w:t xml:space="preserve">根据各投标人针对本项目拟定的售后服务方案（包括但不限于a日常维护、巡检、保养方案、维修响应时间及方式、b应急维修应对措施、c零配件和维修备品备件的供应保障措施、d技术服务人员及场地配置情况）进行评审：</w:t>
            </w:r>
            <w:r/>
          </w:p>
          <w:p>
            <w:pPr>
              <w:spacing w:line="360" w:lineRule="exact"/>
              <w:rPr>
                <w:color w:val="auto"/>
                <w:sz w:val="24"/>
                <w:szCs w:val="24"/>
                <w:highlight w:val="none"/>
                <w:lang w:val="en-US" w:bidi="ar-SA"/>
              </w:rPr>
            </w:pPr>
            <w:r>
              <w:rPr>
                <w:rFonts w:hint="eastAsia"/>
                <w:color w:val="auto"/>
                <w:sz w:val="24"/>
                <w:szCs w:val="24"/>
                <w:highlight w:val="none"/>
                <w:lang w:val="en-US" w:bidi="ar-SA"/>
              </w:rPr>
              <w:t xml:space="preserve">完全涵盖以上4项内容最多得6分；包含任意1项最多得1.5分。 </w:t>
            </w:r>
            <w:r/>
          </w:p>
          <w:p>
            <w:pPr>
              <w:spacing w:line="360" w:lineRule="exact"/>
              <w:rPr>
                <w:color w:val="auto"/>
                <w:sz w:val="24"/>
                <w:szCs w:val="24"/>
                <w:highlight w:val="none"/>
                <w:lang w:val="en-US" w:bidi="ar-SA"/>
              </w:rPr>
            </w:pPr>
            <w:r>
              <w:rPr>
                <w:rFonts w:hint="eastAsia"/>
                <w:color w:val="auto"/>
                <w:sz w:val="24"/>
                <w:szCs w:val="24"/>
                <w:highlight w:val="none"/>
                <w:lang w:val="en-US" w:bidi="ar-SA"/>
              </w:rPr>
              <w:t xml:space="preserve">注：评标委员会根据各供应商的对应响应方案按照以下量化评审因素指标对各项要求进行满足性判断：</w:t>
            </w:r>
            <w:r/>
          </w:p>
          <w:p>
            <w:pPr>
              <w:spacing w:line="360" w:lineRule="exact"/>
              <w:rPr>
                <w:color w:val="auto"/>
                <w:sz w:val="24"/>
                <w:szCs w:val="24"/>
                <w:highlight w:val="none"/>
                <w:lang w:val="en-US" w:bidi="ar-SA"/>
              </w:rPr>
            </w:pPr>
            <w:r>
              <w:rPr>
                <w:rFonts w:hint="eastAsia"/>
                <w:color w:val="auto"/>
                <w:sz w:val="24"/>
                <w:szCs w:val="24"/>
                <w:highlight w:val="none"/>
                <w:lang w:val="en-US" w:bidi="ar-SA"/>
              </w:rPr>
              <w:t xml:space="preserve">1、售后方案完整详尽，专业性、可行性强，考虑周全，思路特别清晰，符合项目需求，得1.5分；</w:t>
            </w:r>
            <w:r/>
          </w:p>
          <w:p>
            <w:pPr>
              <w:spacing w:line="360" w:lineRule="exact"/>
              <w:rPr>
                <w:color w:val="auto"/>
                <w:sz w:val="24"/>
                <w:szCs w:val="24"/>
                <w:highlight w:val="none"/>
                <w:lang w:val="en-US" w:bidi="ar-SA"/>
              </w:rPr>
            </w:pPr>
            <w:r>
              <w:rPr>
                <w:rFonts w:hint="eastAsia"/>
                <w:color w:val="auto"/>
                <w:sz w:val="24"/>
                <w:szCs w:val="24"/>
                <w:highlight w:val="none"/>
                <w:lang w:val="en-US" w:bidi="ar-SA"/>
              </w:rPr>
              <w:t xml:space="preserve">2、对项目执行有一定认识，方案较为完整，思路基本清晰，基本符合项目需求，该项得0.5分；</w:t>
            </w:r>
            <w:r/>
          </w:p>
          <w:p>
            <w:pPr>
              <w:spacing w:line="360" w:lineRule="exact"/>
              <w:rPr>
                <w:color w:val="auto"/>
                <w:sz w:val="24"/>
                <w:szCs w:val="24"/>
                <w:highlight w:val="none"/>
                <w:lang w:val="en-US" w:bidi="ar-SA"/>
              </w:rPr>
            </w:pPr>
            <w:r>
              <w:rPr>
                <w:rFonts w:hint="eastAsia"/>
                <w:color w:val="auto"/>
                <w:sz w:val="24"/>
                <w:szCs w:val="24"/>
                <w:highlight w:val="none"/>
                <w:lang w:val="en-US" w:bidi="ar-SA"/>
              </w:rPr>
              <w:t xml:space="preserve">3、未提供或者经评标委员会认定完全不具备可行性的不得分。</w:t>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tcPr>
          <w:p>
            <w:pPr>
              <w:jc w:val="center"/>
              <w:spacing w:line="360" w:lineRule="exact"/>
              <w:rPr>
                <w:color w:val="auto"/>
                <w:sz w:val="24"/>
                <w:szCs w:val="24"/>
                <w:highlight w:val="none"/>
              </w:rPr>
            </w:pPr>
            <w:r>
              <w:rPr>
                <w:rFonts w:hint="eastAsia"/>
                <w:color w:val="auto"/>
                <w:sz w:val="24"/>
                <w:szCs w:val="24"/>
                <w:highlight w:val="none"/>
                <w:lang w:val="en-US"/>
              </w:rPr>
              <w:t xml:space="preserve">6</w:t>
            </w:r>
            <w:r/>
          </w:p>
        </w:tc>
      </w:tr>
      <w:tr>
        <w:trPr>
          <w:trHeight w:val="664"/>
        </w:trPr>
        <w:tc>
          <w:tcPr>
            <w:tcBorders>
              <w:top w:val="single" w:color="auto" w:sz="4" w:space="0"/>
              <w:left w:val="single" w:color="auto" w:sz="4" w:space="0"/>
              <w:bottom w:val="single" w:color="auto" w:sz="4" w:space="0"/>
              <w:right w:val="single" w:color="auto" w:sz="4" w:space="0"/>
            </w:tcBorders>
            <w:tcW w:w="388" w:type="pct"/>
            <w:vAlign w:val="center"/>
            <w:textDirection w:val="lrTb"/>
            <w:noWrap/>
          </w:tcPr>
          <w:p>
            <w:pPr>
              <w:jc w:val="center"/>
              <w:spacing w:line="360" w:lineRule="exact"/>
              <w:rPr>
                <w:color w:val="auto"/>
                <w:sz w:val="24"/>
                <w:szCs w:val="24"/>
                <w:highlight w:val="none"/>
              </w:rPr>
            </w:pPr>
            <w:r>
              <w:rPr>
                <w:rFonts w:hint="eastAsia"/>
                <w:color w:val="auto"/>
                <w:sz w:val="24"/>
                <w:szCs w:val="24"/>
                <w:highlight w:val="none"/>
                <w:lang w:val="en-US"/>
              </w:rPr>
              <w:t xml:space="preserve">7</w:t>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tcPr>
          <w:p>
            <w:pPr>
              <w:jc w:val="center"/>
              <w:spacing w:line="360" w:lineRule="exact"/>
              <w:rPr>
                <w:color w:val="auto"/>
                <w:sz w:val="24"/>
                <w:szCs w:val="24"/>
                <w:highlight w:val="none"/>
              </w:rPr>
            </w:pPr>
            <w:r>
              <w:rPr>
                <w:rFonts w:hint="eastAsia"/>
                <w:color w:val="auto"/>
                <w:sz w:val="24"/>
                <w:szCs w:val="24"/>
                <w:highlight w:val="none"/>
              </w:rPr>
              <w:t xml:space="preserve">培训计划</w:t>
            </w:r>
            <w:r/>
          </w:p>
        </w:tc>
        <w:tc>
          <w:tcPr>
            <w:tcBorders>
              <w:top w:val="single" w:color="auto" w:sz="4" w:space="0"/>
              <w:left w:val="single" w:color="auto" w:sz="4" w:space="0"/>
              <w:bottom w:val="single" w:color="auto" w:sz="4" w:space="0"/>
              <w:right w:val="single" w:color="auto" w:sz="4" w:space="0"/>
            </w:tcBorders>
            <w:tcW w:w="3351" w:type="pct"/>
            <w:textDirection w:val="lrTb"/>
            <w:noWrap/>
          </w:tcPr>
          <w:p>
            <w:pPr>
              <w:spacing w:line="360" w:lineRule="exact"/>
              <w:rPr>
                <w:color w:val="auto"/>
                <w:sz w:val="24"/>
                <w:szCs w:val="24"/>
                <w:highlight w:val="none"/>
                <w:lang w:val="en-US" w:bidi="ar-SA"/>
              </w:rPr>
            </w:pPr>
            <w:r>
              <w:rPr>
                <w:rFonts w:hint="eastAsia"/>
                <w:color w:val="auto"/>
                <w:sz w:val="24"/>
                <w:szCs w:val="24"/>
                <w:highlight w:val="none"/>
                <w:lang w:val="en-US" w:bidi="ar-SA"/>
              </w:rPr>
              <w:t xml:space="preserve">根据各投标人针对本项目拟定的培训方案（包括但不限于a日常操作及维护保养培训、b更新功能使用培训、c培训计划及师资安排等）进行评审：</w:t>
            </w:r>
            <w:r/>
          </w:p>
          <w:p>
            <w:pPr>
              <w:spacing w:line="360" w:lineRule="exact"/>
              <w:rPr>
                <w:color w:val="auto"/>
                <w:sz w:val="24"/>
                <w:szCs w:val="24"/>
                <w:highlight w:val="none"/>
                <w:lang w:val="en-US" w:bidi="ar-SA"/>
              </w:rPr>
            </w:pPr>
            <w:r>
              <w:rPr>
                <w:rFonts w:hint="eastAsia"/>
                <w:color w:val="auto"/>
                <w:sz w:val="24"/>
                <w:szCs w:val="24"/>
                <w:highlight w:val="none"/>
                <w:lang w:val="en-US" w:bidi="ar-SA"/>
              </w:rPr>
              <w:t xml:space="preserve">完全涵盖以上3项内容最多得6分；包含任意1项最多得2分。 </w:t>
            </w:r>
            <w:r/>
          </w:p>
          <w:p>
            <w:pPr>
              <w:spacing w:line="360" w:lineRule="exact"/>
              <w:rPr>
                <w:color w:val="auto"/>
                <w:sz w:val="24"/>
                <w:szCs w:val="24"/>
                <w:highlight w:val="none"/>
                <w:lang w:val="en-US" w:bidi="ar-SA"/>
              </w:rPr>
            </w:pPr>
            <w:r>
              <w:rPr>
                <w:rFonts w:hint="eastAsia"/>
                <w:color w:val="auto"/>
                <w:sz w:val="24"/>
                <w:szCs w:val="24"/>
                <w:highlight w:val="none"/>
                <w:lang w:val="en-US" w:bidi="ar-SA"/>
              </w:rPr>
              <w:t xml:space="preserve">注：评标委员会根据各供应商的对应响应方案按照以下量化评审因素指标对各项要求进行满足性判断：</w:t>
            </w:r>
            <w:r/>
          </w:p>
          <w:p>
            <w:pPr>
              <w:spacing w:line="360" w:lineRule="exact"/>
              <w:rPr>
                <w:color w:val="auto"/>
                <w:sz w:val="24"/>
                <w:szCs w:val="24"/>
                <w:highlight w:val="none"/>
                <w:lang w:val="en-US" w:bidi="ar-SA"/>
              </w:rPr>
            </w:pPr>
            <w:r>
              <w:rPr>
                <w:rFonts w:hint="eastAsia"/>
                <w:color w:val="auto"/>
                <w:sz w:val="24"/>
                <w:szCs w:val="24"/>
                <w:highlight w:val="none"/>
                <w:lang w:val="en-US" w:bidi="ar-SA"/>
              </w:rPr>
              <w:t xml:space="preserve">1、培训方案完整详尽，专业性、可行性强，考虑周全，思路特别清晰，符合项目需求，得2分；</w:t>
            </w:r>
            <w:r/>
          </w:p>
          <w:p>
            <w:pPr>
              <w:spacing w:line="360" w:lineRule="exact"/>
              <w:rPr>
                <w:color w:val="auto"/>
                <w:sz w:val="24"/>
                <w:szCs w:val="24"/>
                <w:highlight w:val="none"/>
                <w:lang w:val="en-US" w:bidi="ar-SA"/>
              </w:rPr>
            </w:pPr>
            <w:r>
              <w:rPr>
                <w:rFonts w:hint="eastAsia"/>
                <w:color w:val="auto"/>
                <w:sz w:val="24"/>
                <w:szCs w:val="24"/>
                <w:highlight w:val="none"/>
                <w:lang w:val="en-US" w:bidi="ar-SA"/>
              </w:rPr>
              <w:t xml:space="preserve">2、对项目执行有一定认识，方案较为完整，思路基本清晰，基本符合项目需求，该项得1分；</w:t>
            </w:r>
            <w:r/>
          </w:p>
          <w:p>
            <w:pPr>
              <w:spacing w:line="360" w:lineRule="exact"/>
              <w:rPr>
                <w:color w:val="auto"/>
                <w:sz w:val="24"/>
                <w:szCs w:val="24"/>
                <w:highlight w:val="none"/>
                <w:lang w:val="en-US" w:bidi="ar-SA"/>
              </w:rPr>
            </w:pPr>
            <w:r>
              <w:rPr>
                <w:rFonts w:hint="eastAsia"/>
                <w:color w:val="auto"/>
                <w:sz w:val="24"/>
                <w:szCs w:val="24"/>
                <w:highlight w:val="none"/>
                <w:lang w:val="en-US" w:bidi="ar-SA"/>
              </w:rPr>
              <w:t xml:space="preserve">3、未提供或者经评标委员会认定完全不具备可行性的不得分。</w:t>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tcPr>
          <w:p>
            <w:pPr>
              <w:jc w:val="center"/>
              <w:spacing w:line="360" w:lineRule="exact"/>
              <w:rPr>
                <w:color w:val="auto"/>
                <w:sz w:val="24"/>
                <w:szCs w:val="24"/>
                <w:highlight w:val="none"/>
              </w:rPr>
            </w:pPr>
            <w:r>
              <w:rPr>
                <w:rFonts w:hint="eastAsia"/>
                <w:color w:val="auto"/>
                <w:sz w:val="24"/>
                <w:szCs w:val="24"/>
                <w:highlight w:val="none"/>
                <w:lang w:val="en-US"/>
              </w:rPr>
              <w:t xml:space="preserve">6</w:t>
            </w:r>
            <w:r/>
          </w:p>
        </w:tc>
      </w:tr>
    </w:tbl>
    <w:p>
      <w:pPr>
        <w:ind w:right="-10" w:firstLine="440"/>
        <w:spacing w:line="360" w:lineRule="auto"/>
        <w:rPr>
          <w:color w:val="auto"/>
          <w:highlight w:val="none"/>
        </w:rPr>
      </w:pPr>
      <w:r>
        <w:rPr>
          <w:rFonts w:hint="eastAsia"/>
          <w:color w:val="auto"/>
          <w:highlight w:val="none"/>
        </w:rPr>
        <w:t xml:space="preserve">说明：</w:t>
      </w:r>
      <w:r/>
    </w:p>
    <w:p>
      <w:pPr>
        <w:ind w:right="-10" w:firstLine="440"/>
        <w:spacing w:line="360" w:lineRule="auto"/>
        <w:rPr>
          <w:color w:val="auto"/>
          <w:highlight w:val="none"/>
        </w:rPr>
      </w:pPr>
      <w:r>
        <w:rPr>
          <w:rFonts w:hint="eastAsia"/>
          <w:color w:val="auto"/>
          <w:highlight w:val="none"/>
        </w:rPr>
        <w:t xml:space="preserve">（1）小微企业的价格扣除</w:t>
      </w:r>
      <w:r/>
    </w:p>
    <w:p>
      <w:pPr>
        <w:ind w:right="-10" w:firstLine="440"/>
        <w:spacing w:line="360" w:lineRule="auto"/>
        <w:rPr>
          <w:color w:val="auto"/>
          <w:highlight w:val="none"/>
        </w:rPr>
      </w:pPr>
      <w:r>
        <w:rPr>
          <w:rFonts w:hint="eastAsia"/>
          <w:color w:val="auto"/>
          <w:highlight w:val="none"/>
        </w:rPr>
        <w:t xml:space="preserve">（1.1）对于未预留份额专门面向中小企业采购的采购项目或预留份额项目中的非预留部分采购包，给予小微企业报价20%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20%的价格扣除。</w:t>
      </w:r>
      <w:r/>
    </w:p>
    <w:p>
      <w:pPr>
        <w:ind w:right="-10" w:firstLine="440"/>
        <w:spacing w:line="360" w:lineRule="auto"/>
        <w:rPr>
          <w:color w:val="auto"/>
          <w:highlight w:val="none"/>
        </w:rPr>
      </w:pPr>
      <w:r>
        <w:rPr>
          <w:rFonts w:hint="eastAsia"/>
          <w:color w:val="auto"/>
          <w:highlight w:val="none"/>
        </w:rPr>
        <w:t xml:space="preserve">（1.2）价格扣除比例或者价格分加分比例对小型企业和微型企业同等对待，不作区分。</w:t>
      </w:r>
      <w:r/>
    </w:p>
    <w:p>
      <w:pPr>
        <w:ind w:right="-10" w:firstLine="440"/>
        <w:spacing w:line="360" w:lineRule="auto"/>
        <w:rPr>
          <w:color w:val="auto"/>
          <w:highlight w:val="none"/>
        </w:rPr>
      </w:pPr>
      <w:r>
        <w:rPr>
          <w:rFonts w:hint="eastAsia"/>
          <w:color w:val="auto"/>
          <w:highlight w:val="none"/>
        </w:rPr>
        <w:t xml:space="preserve">（2）监狱和戒毒企业的价格扣除</w:t>
      </w:r>
      <w:r/>
    </w:p>
    <w:p>
      <w:pPr>
        <w:ind w:right="-10" w:firstLine="440"/>
        <w:spacing w:line="360" w:lineRule="auto"/>
        <w:rPr>
          <w:color w:val="auto"/>
          <w:highlight w:val="none"/>
        </w:rPr>
      </w:pPr>
      <w:r>
        <w:rPr>
          <w:rFonts w:hint="eastAsia"/>
          <w:color w:val="auto"/>
          <w:highlight w:val="none"/>
        </w:rPr>
        <w:t xml:space="preserve">（2.1）本项目对监狱和戒毒企业（简称监狱企业），给予20%的价格扣除，用扣除后的价格参与评审。</w:t>
      </w:r>
      <w:r/>
    </w:p>
    <w:p>
      <w:pPr>
        <w:ind w:right="-10" w:firstLine="440"/>
        <w:spacing w:line="360" w:lineRule="auto"/>
        <w:rPr>
          <w:color w:val="auto"/>
          <w:highlight w:val="none"/>
        </w:rPr>
      </w:pPr>
      <w:r>
        <w:rPr>
          <w:rFonts w:hint="eastAsia"/>
          <w:color w:val="auto"/>
          <w:highlight w:val="none"/>
        </w:rPr>
        <w:t xml:space="preserve">（2.2）监狱企业需提供由省级以上监狱管理局、戒毒管理局（含新疆生产建设兵团）出具的属于监狱企业的证明文件。</w:t>
      </w:r>
      <w:r/>
    </w:p>
    <w:p>
      <w:pPr>
        <w:ind w:right="-10" w:firstLine="440"/>
        <w:spacing w:line="360" w:lineRule="auto"/>
        <w:rPr>
          <w:color w:val="auto"/>
          <w:highlight w:val="none"/>
        </w:rPr>
      </w:pPr>
      <w:r>
        <w:rPr>
          <w:rFonts w:hint="eastAsia"/>
          <w:color w:val="auto"/>
          <w:highlight w:val="none"/>
        </w:rPr>
        <w:t xml:space="preserve">（2.3）监狱企业标准请参照《关于政府采购支持监狱企业发展有关问题的通知》（财库[2014]68号）。</w:t>
      </w:r>
      <w:r/>
    </w:p>
    <w:p>
      <w:pPr>
        <w:ind w:right="-10" w:firstLine="440"/>
        <w:spacing w:line="360" w:lineRule="auto"/>
        <w:rPr>
          <w:color w:val="auto"/>
          <w:highlight w:val="none"/>
        </w:rPr>
      </w:pPr>
      <w:r>
        <w:rPr>
          <w:rFonts w:hint="eastAsia"/>
          <w:color w:val="auto"/>
          <w:highlight w:val="none"/>
        </w:rPr>
        <w:t xml:space="preserve">（3）残疾人福利性单位的价格扣除</w:t>
      </w:r>
      <w:r/>
    </w:p>
    <w:p>
      <w:pPr>
        <w:ind w:right="-10" w:firstLine="440"/>
        <w:spacing w:line="360" w:lineRule="auto"/>
        <w:rPr>
          <w:color w:val="auto"/>
          <w:highlight w:val="none"/>
        </w:rPr>
      </w:pPr>
      <w:r>
        <w:rPr>
          <w:rFonts w:hint="eastAsia"/>
          <w:color w:val="auto"/>
          <w:highlight w:val="none"/>
        </w:rPr>
        <w:t xml:space="preserve">（3.1）本项目对残疾人福利性单位，给予20%的价格扣除，用扣除后的价格参与评审。</w:t>
      </w:r>
      <w:r/>
    </w:p>
    <w:p>
      <w:pPr>
        <w:ind w:right="-10" w:firstLine="440"/>
        <w:spacing w:line="360" w:lineRule="auto"/>
        <w:rPr>
          <w:color w:val="auto"/>
          <w:highlight w:val="none"/>
        </w:rPr>
      </w:pPr>
      <w:r>
        <w:rPr>
          <w:rFonts w:hint="eastAsia"/>
          <w:color w:val="auto"/>
          <w:highlight w:val="none"/>
        </w:rPr>
        <w:t xml:space="preserve">（3.2）残疾人福利单位需按照招标文件的要求提供《残疾人福利性单位声明函》。</w:t>
      </w:r>
      <w:r/>
    </w:p>
    <w:p>
      <w:pPr>
        <w:ind w:right="-10" w:firstLine="440"/>
        <w:spacing w:line="360" w:lineRule="auto"/>
        <w:rPr>
          <w:color w:val="auto"/>
          <w:highlight w:val="none"/>
        </w:rPr>
      </w:pPr>
      <w:r>
        <w:rPr>
          <w:rFonts w:hint="eastAsia"/>
          <w:color w:val="auto"/>
          <w:highlight w:val="none"/>
        </w:rPr>
        <w:t xml:space="preserve">（3.3）残疾人福利单位标准请参照《关于促进残疾人就业政府采购政策的通知》（财库〔2017〕141号）。</w:t>
      </w:r>
      <w:r/>
    </w:p>
    <w:p>
      <w:pPr>
        <w:ind w:right="-10" w:firstLine="440"/>
        <w:spacing w:line="360" w:lineRule="auto"/>
        <w:rPr>
          <w:color w:val="auto"/>
          <w:highlight w:val="none"/>
        </w:rPr>
      </w:pPr>
      <w:r>
        <w:rPr>
          <w:rFonts w:hint="eastAsia"/>
          <w:color w:val="auto"/>
          <w:highlight w:val="none"/>
        </w:rPr>
        <w:t xml:space="preserve">（4）监狱企业、残疾人福利单位属于小型、微型企业的，不重复享受政策。</w:t>
      </w:r>
      <w:r/>
    </w:p>
    <w:p>
      <w:pPr>
        <w:ind w:right="-10" w:firstLine="440"/>
        <w:spacing w:line="360" w:lineRule="auto"/>
        <w:rPr>
          <w:color w:val="auto"/>
          <w:highlight w:val="none"/>
        </w:rPr>
      </w:pPr>
      <w:r>
        <w:rPr>
          <w:rFonts w:hint="eastAsia"/>
          <w:color w:val="auto"/>
          <w:highlight w:val="none"/>
        </w:rPr>
        <w:t xml:space="preserve">（</w:t>
      </w:r>
      <w:r>
        <w:rPr>
          <w:rFonts w:hint="eastAsia"/>
          <w:color w:val="auto"/>
          <w:highlight w:val="none"/>
          <w:lang w:val="en-US"/>
        </w:rPr>
        <w:t xml:space="preserve">5）</w:t>
      </w:r>
      <w:r>
        <w:rPr>
          <w:rFonts w:hint="eastAsia"/>
          <w:color w:val="auto"/>
          <w:highlight w:val="none"/>
        </w:rPr>
        <w:t xml:space="preserve">节能环保产品价格扣除</w:t>
      </w:r>
      <w:r/>
    </w:p>
    <w:p>
      <w:pPr>
        <w:ind w:right="-10" w:firstLine="440"/>
        <w:spacing w:line="360" w:lineRule="auto"/>
        <w:rPr>
          <w:color w:val="auto"/>
          <w:highlight w:val="none"/>
        </w:rPr>
      </w:pPr>
      <w:r>
        <w:rPr>
          <w:rFonts w:hint="eastAsia"/>
          <w:color w:val="auto"/>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ind w:right="-10" w:firstLine="440"/>
        <w:spacing w:line="360" w:lineRule="auto"/>
        <w:rPr>
          <w:color w:val="auto"/>
          <w:highlight w:val="none"/>
        </w:rPr>
      </w:pPr>
      <w:r>
        <w:rPr>
          <w:rFonts w:hint="eastAsia"/>
          <w:color w:val="auto"/>
          <w:highlight w:val="none"/>
        </w:rPr>
        <w:t xml:space="preserve">（2）投标人须提供：</w:t>
      </w:r>
      <w:r/>
    </w:p>
    <w:p>
      <w:pPr>
        <w:ind w:right="-10" w:firstLine="440"/>
        <w:spacing w:line="360" w:lineRule="auto"/>
        <w:rPr>
          <w:color w:val="auto"/>
          <w:highlight w:val="none"/>
        </w:rPr>
      </w:pPr>
      <w:r>
        <w:rPr>
          <w:rFonts w:hint="eastAsia"/>
          <w:color w:val="auto"/>
          <w:highlight w:val="none"/>
        </w:rPr>
        <w:t xml:space="preserve">① 国家认可的节能/环境标志产品认证证书；</w:t>
      </w:r>
      <w:r/>
    </w:p>
    <w:p>
      <w:pPr>
        <w:ind w:right="-10" w:firstLine="440"/>
        <w:spacing w:line="360" w:lineRule="auto"/>
        <w:rPr>
          <w:color w:val="auto"/>
          <w:highlight w:val="none"/>
        </w:rPr>
      </w:pPr>
      <w:r>
        <w:rPr>
          <w:rFonts w:hint="eastAsia"/>
          <w:color w:val="auto"/>
          <w:highlight w:val="none"/>
        </w:rPr>
        <w:t xml:space="preserve">② 产品在最新政府采购清单中的截图或官方查询结果。</w:t>
      </w:r>
      <w:r/>
    </w:p>
    <w:p>
      <w:pPr>
        <w:ind w:right="-10" w:firstLine="440"/>
        <w:spacing w:line="360" w:lineRule="auto"/>
        <w:rPr>
          <w:color w:val="auto"/>
          <w:highlight w:val="none"/>
        </w:rPr>
      </w:pPr>
      <w:r>
        <w:rPr>
          <w:rFonts w:hint="eastAsia"/>
          <w:color w:val="auto"/>
          <w:highlight w:val="none"/>
        </w:rPr>
        <w:t xml:space="preserve">（</w:t>
      </w:r>
      <w:r>
        <w:rPr>
          <w:rFonts w:hint="eastAsia"/>
          <w:color w:val="auto"/>
          <w:highlight w:val="none"/>
          <w:lang w:val="en-US"/>
        </w:rPr>
        <w:t xml:space="preserve">6）</w:t>
      </w:r>
      <w:r>
        <w:rPr>
          <w:rFonts w:hint="eastAsia"/>
          <w:color w:val="auto"/>
          <w:highlight w:val="none"/>
        </w:rPr>
        <w:t xml:space="preserve">采购本国产品的支持政策</w:t>
      </w:r>
      <w:r/>
    </w:p>
    <w:p>
      <w:pPr>
        <w:ind w:right="-10" w:firstLine="440"/>
        <w:spacing w:line="360" w:lineRule="auto"/>
        <w:rPr>
          <w:color w:val="auto"/>
          <w:highlight w:val="none"/>
        </w:rPr>
      </w:pPr>
      <w:r>
        <w:rPr>
          <w:rFonts w:hint="eastAsia"/>
          <w:color w:val="auto"/>
          <w:highlight w:val="none"/>
          <w:lang w:val="en-US"/>
        </w:rPr>
        <w:t xml:space="preserve">6</w:t>
      </w:r>
      <w:r>
        <w:rPr>
          <w:rFonts w:hint="eastAsia"/>
          <w:color w:val="auto"/>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40"/>
        <w:spacing w:line="360" w:lineRule="auto"/>
        <w:rPr>
          <w:color w:val="auto"/>
          <w:highlight w:val="none"/>
        </w:rPr>
      </w:pPr>
      <w:r>
        <w:rPr>
          <w:rFonts w:hint="eastAsia"/>
          <w:color w:val="auto"/>
          <w:highlight w:val="none"/>
          <w:lang w:val="en-US"/>
        </w:rPr>
        <w:t xml:space="preserve">6</w:t>
      </w:r>
      <w:r>
        <w:rPr>
          <w:rFonts w:hint="eastAsia"/>
          <w:color w:val="auto"/>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40"/>
        <w:spacing w:line="360" w:lineRule="auto"/>
        <w:rPr>
          <w:color w:val="auto"/>
          <w:highlight w:val="none"/>
        </w:rPr>
      </w:pPr>
      <w:r>
        <w:rPr>
          <w:rFonts w:hint="eastAsia"/>
          <w:color w:val="auto"/>
          <w:highlight w:val="none"/>
          <w:lang w:val="en-US"/>
        </w:rPr>
        <w:t xml:space="preserve">6</w:t>
      </w:r>
      <w:r>
        <w:rPr>
          <w:rFonts w:hint="eastAsia"/>
          <w:color w:val="auto"/>
          <w:highlight w:val="none"/>
        </w:rPr>
        <w:t xml:space="preserve">.3 供应商需按照招标文件的要求提供《关于符合本国产品标准的声明函》（以下简称《声明函》），如不提供将不享受本国产品价格评审优惠。</w:t>
      </w:r>
      <w:r/>
    </w:p>
    <w:p>
      <w:pPr>
        <w:ind w:right="-10" w:firstLine="440"/>
        <w:spacing w:line="360" w:lineRule="auto"/>
        <w:rPr>
          <w:color w:val="auto"/>
          <w:highlight w:val="none"/>
        </w:rPr>
      </w:pPr>
      <w:r>
        <w:rPr>
          <w:rFonts w:hint="eastAsia"/>
          <w:color w:val="auto"/>
          <w:highlight w:val="none"/>
          <w:lang w:val="en-US"/>
        </w:rPr>
        <w:t xml:space="preserve">6</w:t>
      </w:r>
      <w:r>
        <w:rPr>
          <w:rFonts w:hint="eastAsia"/>
          <w:color w:val="auto"/>
          <w:highlight w:val="none"/>
        </w:rPr>
        <w:t xml:space="preserve">.4 供应商需在《声明函》中逐一、准确填写产品名称、厂名、生产厂址三项信息（《声明函》中用</w:t>
      </w:r>
      <w:r>
        <w:rPr>
          <w:rFonts w:hint="eastAsia"/>
          <w:color w:val="auto"/>
          <w:highlight w:val="none"/>
          <w:lang w:val="en-US"/>
        </w:rPr>
        <w:t xml:space="preserve">横线</w:t>
      </w:r>
      <w:r>
        <w:rPr>
          <w:rFonts w:hint="eastAsia"/>
          <w:strike/>
          <w:color w:val="auto"/>
          <w:highlight w:val="none"/>
          <w:lang w:val="en-US"/>
        </w:rPr>
        <w:t xml:space="preserve">     </w:t>
      </w:r>
      <w:r>
        <w:rPr>
          <w:rFonts w:hint="eastAsia"/>
          <w:color w:val="auto"/>
          <w:highlight w:val="none"/>
        </w:rPr>
        <w:t xml:space="preserve">划除</w:t>
      </w:r>
      <w:r>
        <w:rPr>
          <w:rFonts w:hint="eastAsia"/>
          <w:color w:val="auto"/>
          <w:highlight w:val="none"/>
        </w:rPr>
        <w:t xml:space="preserve">的地方无需填写），三项信息中任意一项未填写的视为该项产品不符合本国产品标准，不享受本国产品价格评审优惠。</w:t>
      </w:r>
      <w:r/>
    </w:p>
    <w:p>
      <w:pPr>
        <w:ind w:right="-10" w:firstLine="440"/>
        <w:spacing w:line="360" w:lineRule="auto"/>
        <w:rPr>
          <w:color w:val="auto"/>
          <w:highlight w:val="none"/>
        </w:rPr>
      </w:pPr>
      <w:r>
        <w:rPr>
          <w:rFonts w:hint="eastAsia"/>
          <w:color w:val="auto"/>
          <w:highlight w:val="none"/>
          <w:lang w:val="en-US"/>
        </w:rPr>
        <w:t xml:space="preserve">6</w:t>
      </w:r>
      <w:r>
        <w:rPr>
          <w:rFonts w:hint="eastAsia"/>
          <w:color w:val="auto"/>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right="-10" w:firstLine="440"/>
        <w:spacing w:line="360" w:lineRule="auto"/>
        <w:rPr>
          <w:color w:val="auto"/>
          <w:highlight w:val="none"/>
        </w:rPr>
      </w:pPr>
      <w:r>
        <w:rPr>
          <w:rFonts w:hint="eastAsia"/>
          <w:color w:val="auto"/>
          <w:highlight w:val="none"/>
        </w:rPr>
        <w:t xml:space="preserve">（</w:t>
      </w:r>
      <w:r>
        <w:rPr>
          <w:rFonts w:hint="eastAsia"/>
          <w:color w:val="auto"/>
          <w:highlight w:val="none"/>
          <w:lang w:val="en-US"/>
        </w:rPr>
        <w:t xml:space="preserve">7</w:t>
      </w:r>
      <w:r>
        <w:rPr>
          <w:rFonts w:hint="eastAsia"/>
          <w:color w:val="auto"/>
          <w:highlight w:val="none"/>
        </w:rPr>
        <w:t xml:space="preserve">）根据财库〔2026〕2号文件，评审委员会启动异常低价投标审查的情形和具体要求，包括：</w:t>
      </w:r>
      <w:r/>
    </w:p>
    <w:p>
      <w:pPr>
        <w:ind w:right="-10" w:firstLine="440"/>
        <w:spacing w:line="360" w:lineRule="auto"/>
        <w:rPr>
          <w:color w:val="auto"/>
          <w:highlight w:val="none"/>
        </w:rPr>
      </w:pPr>
      <w:r>
        <w:rPr>
          <w:rFonts w:hint="eastAsia"/>
          <w:color w:val="auto"/>
          <w:highlight w:val="none"/>
        </w:rPr>
        <w:t xml:space="preserve">（一）1.投标报价低于全部通过符合性审查供应商投标报价平均值50%的，即投标报价&lt;全部通过符合性审查供应商投标报价平均值×50%；</w:t>
      </w:r>
      <w:r/>
    </w:p>
    <w:p>
      <w:pPr>
        <w:ind w:right="-10" w:firstLine="440"/>
        <w:spacing w:line="360" w:lineRule="auto"/>
        <w:rPr>
          <w:color w:val="auto"/>
          <w:highlight w:val="none"/>
        </w:rPr>
      </w:pPr>
      <w:r>
        <w:rPr>
          <w:rFonts w:hint="eastAsia"/>
          <w:color w:val="auto"/>
          <w:highlight w:val="none"/>
        </w:rPr>
        <w:t xml:space="preserve">2.投标报价低于通过符合性审查的次低报价供应商投标报价50%的，即投标报价&lt;通过符合性审查的次低报价供应商投标报价×50%；</w:t>
      </w:r>
      <w:r/>
    </w:p>
    <w:p>
      <w:pPr>
        <w:ind w:right="-10" w:firstLine="440"/>
        <w:spacing w:line="360" w:lineRule="auto"/>
        <w:rPr>
          <w:color w:val="auto"/>
          <w:highlight w:val="none"/>
        </w:rPr>
      </w:pPr>
      <w:r>
        <w:rPr>
          <w:rFonts w:hint="eastAsia"/>
          <w:color w:val="auto"/>
          <w:highlight w:val="none"/>
        </w:rPr>
        <w:t xml:space="preserve">3.投标报价低于采购项目最高限价45%的，即投标报价&lt;采购项目最高限价×45%；</w:t>
      </w:r>
      <w:r/>
    </w:p>
    <w:p>
      <w:pPr>
        <w:ind w:right="-10" w:firstLine="440"/>
        <w:spacing w:line="360" w:lineRule="auto"/>
        <w:rPr>
          <w:color w:val="auto"/>
          <w:highlight w:val="none"/>
        </w:rPr>
      </w:pPr>
      <w:r>
        <w:rPr>
          <w:rFonts w:hint="eastAsia"/>
          <w:color w:val="auto"/>
          <w:highlight w:val="none"/>
        </w:rPr>
        <w:t xml:space="preserve">4.评审委员会基于专业判断，认为供应商报价过低，有可能影响产品质量或者不能诚信履约的其他情形。</w:t>
      </w:r>
      <w:r/>
    </w:p>
    <w:p>
      <w:pPr>
        <w:ind w:right="-10" w:firstLine="440"/>
        <w:spacing w:line="360" w:lineRule="auto"/>
        <w:rPr>
          <w:color w:val="auto"/>
          <w:highlight w:val="none"/>
        </w:rPr>
      </w:pPr>
      <w:r>
        <w:rPr>
          <w:rFonts w:hint="eastAsia"/>
          <w:color w:val="auto"/>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right="-10" w:firstLine="440"/>
        <w:spacing w:line="360" w:lineRule="auto"/>
        <w:rPr>
          <w:color w:val="auto"/>
          <w:highlight w:val="none"/>
        </w:rPr>
      </w:pPr>
      <w:r>
        <w:rPr>
          <w:rFonts w:hint="eastAsia"/>
          <w:color w:val="auto"/>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right="-10" w:firstLine="440"/>
        <w:spacing w:line="360" w:lineRule="auto"/>
        <w:rPr>
          <w:color w:val="auto"/>
          <w:highlight w:val="none"/>
        </w:rPr>
      </w:pPr>
      <w:r>
        <w:rPr>
          <w:rFonts w:hint="eastAsia"/>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right="-10" w:firstLine="440"/>
        <w:spacing w:line="360" w:lineRule="auto"/>
        <w:rPr>
          <w:color w:val="auto"/>
          <w:highlight w:val="none"/>
        </w:rPr>
      </w:pPr>
      <w:r>
        <w:rPr>
          <w:rFonts w:hint="eastAsia"/>
          <w:color w:val="auto"/>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left="722" w:right="-10" w:hanging="220"/>
        <w:spacing w:line="360" w:lineRule="auto"/>
        <w:rPr>
          <w:color w:val="auto"/>
          <w:highlight w:val="none"/>
        </w:rPr>
      </w:pPr>
      <w:r>
        <w:rPr>
          <w:rFonts w:hint="eastAsia"/>
          <w:color w:val="auto"/>
          <w:highlight w:val="none"/>
        </w:rPr>
        <w:t xml:space="preserve">（</w:t>
      </w:r>
      <w:r>
        <w:rPr>
          <w:rFonts w:hint="eastAsia"/>
          <w:color w:val="auto"/>
          <w:highlight w:val="none"/>
          <w:lang w:val="en-US"/>
        </w:rPr>
        <w:t xml:space="preserve">8</w:t>
      </w:r>
      <w:r>
        <w:rPr>
          <w:rFonts w:hint="eastAsia"/>
          <w:color w:val="auto"/>
          <w:highlight w:val="none"/>
        </w:rPr>
        <w:t xml:space="preserve">）</w:t>
      </w:r>
      <w:r>
        <w:rPr>
          <w:rFonts w:hint="eastAsia"/>
          <w:b/>
          <w:bCs/>
          <w:color w:val="auto"/>
          <w:highlight w:val="none"/>
        </w:rPr>
        <w:t xml:space="preserve">所有认证、证明和业绩均以复印件加盖公章作为依据（文件中明确要求原件的除外），原件标后备查</w:t>
      </w:r>
      <w:r>
        <w:rPr>
          <w:rFonts w:hint="eastAsia"/>
          <w:color w:val="auto"/>
          <w:highlight w:val="none"/>
        </w:rPr>
        <w:t xml:space="preserve">。</w:t>
      </w:r>
      <w:r/>
    </w:p>
    <w:p>
      <w:pPr>
        <w:pStyle w:val="753"/>
        <w:ind w:right="-96"/>
        <w:spacing w:before="36" w:after="0"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投标文件</w:t>
      </w:r>
      <w:r>
        <w:rPr>
          <w:rFonts w:hint="eastAsia" w:ascii="仿宋" w:hAnsi="仿宋" w:eastAsia="仿宋" w:cs="仿宋"/>
          <w:b/>
          <w:color w:val="auto"/>
          <w:highlight w:val="none"/>
          <w:lang w:val="en-US"/>
        </w:rPr>
        <w:t xml:space="preserve">根据上述评分细则</w:t>
      </w:r>
      <w:r>
        <w:rPr>
          <w:rFonts w:hint="eastAsia" w:ascii="仿宋" w:hAnsi="仿宋" w:eastAsia="仿宋" w:cs="仿宋"/>
          <w:b/>
          <w:color w:val="auto"/>
          <w:highlight w:val="none"/>
        </w:rPr>
        <w:t xml:space="preserve">综合评分，</w:t>
      </w:r>
      <w:r>
        <w:rPr>
          <w:rFonts w:hint="eastAsia" w:ascii="仿宋" w:hAnsi="仿宋" w:eastAsia="仿宋" w:cs="仿宋"/>
          <w:b/>
          <w:color w:val="auto"/>
          <w:highlight w:val="none"/>
          <w:lang w:val="en-US"/>
        </w:rPr>
        <w:t xml:space="preserve">得分为评分点</w:t>
      </w:r>
      <w:r>
        <w:rPr>
          <w:rFonts w:hint="eastAsia" w:ascii="仿宋" w:hAnsi="仿宋" w:eastAsia="仿宋" w:cs="仿宋"/>
          <w:b/>
          <w:color w:val="auto"/>
          <w:highlight w:val="none"/>
        </w:rPr>
        <w:t xml:space="preserve">的总和 </w:t>
      </w:r>
      <w:r/>
    </w:p>
    <w:p>
      <w:pPr>
        <w:pStyle w:val="753"/>
        <w:numPr>
          <w:ilvl w:val="0"/>
          <w:numId w:val="18"/>
        </w:numPr>
        <w:ind w:left="440" w:right="-96"/>
        <w:spacing w:before="36" w:after="0"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对投标人进行排序，推荐中标候选人 </w:t>
      </w:r>
      <w:r/>
    </w:p>
    <w:p>
      <w:pPr>
        <w:pStyle w:val="753"/>
        <w:numPr>
          <w:ilvl w:val="0"/>
          <w:numId w:val="19"/>
        </w:numPr>
        <w:ind w:left="880" w:right="-96"/>
        <w:spacing w:after="0"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评标委员会根据综合评分对进入评分</w:t>
      </w:r>
      <w:r>
        <w:rPr>
          <w:rFonts w:hint="eastAsia" w:ascii="仿宋" w:hAnsi="仿宋" w:eastAsia="仿宋" w:cs="仿宋"/>
          <w:color w:val="auto"/>
          <w:highlight w:val="none"/>
          <w:lang w:val="en-US"/>
        </w:rPr>
        <w:t xml:space="preserve">环节</w:t>
      </w:r>
      <w:r>
        <w:rPr>
          <w:rFonts w:hint="eastAsia" w:ascii="仿宋" w:hAnsi="仿宋" w:eastAsia="仿宋" w:cs="仿宋"/>
          <w:color w:val="auto"/>
          <w:highlight w:val="none"/>
        </w:rPr>
        <w:t xml:space="preserve">的投标文件按最终得分由高到</w:t>
      </w:r>
      <w:r>
        <w:rPr>
          <w:rFonts w:hint="eastAsia" w:ascii="仿宋" w:hAnsi="仿宋" w:eastAsia="仿宋" w:cs="仿宋"/>
          <w:color w:val="auto"/>
          <w:spacing w:val="-7"/>
          <w:highlight w:val="none"/>
        </w:rPr>
        <w:t xml:space="preserve">低进行排序，评分相同时，报价低者优先；评分、报价均相同时，技术得分高优</w:t>
      </w:r>
      <w:r>
        <w:rPr>
          <w:rFonts w:hint="eastAsia" w:ascii="仿宋" w:hAnsi="仿宋" w:eastAsia="仿宋" w:cs="仿宋"/>
          <w:color w:val="auto"/>
          <w:spacing w:val="-17"/>
          <w:highlight w:val="none"/>
        </w:rPr>
        <w:t xml:space="preserve">先；评分、报价、技术得分均相同时，由评标委员会通过抽签</w:t>
      </w:r>
      <w:r>
        <w:rPr>
          <w:rFonts w:hint="eastAsia" w:ascii="仿宋" w:hAnsi="仿宋" w:eastAsia="仿宋" w:cs="仿宋"/>
          <w:color w:val="auto"/>
          <w:highlight w:val="none"/>
        </w:rPr>
        <w:t xml:space="preserve">方式排序。 </w:t>
      </w:r>
      <w:r/>
    </w:p>
    <w:p>
      <w:pPr>
        <w:pStyle w:val="753"/>
        <w:numPr>
          <w:ilvl w:val="0"/>
          <w:numId w:val="19"/>
        </w:numPr>
        <w:ind w:left="880" w:right="-96"/>
        <w:spacing w:after="0"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评标委员会根据投标人须知前附表</w:t>
      </w:r>
      <w:r>
        <w:rPr>
          <w:rFonts w:hint="eastAsia" w:ascii="仿宋" w:hAnsi="仿宋" w:eastAsia="仿宋" w:cs="仿宋"/>
          <w:color w:val="auto"/>
          <w:highlight w:val="none"/>
          <w:lang w:val="en-US"/>
        </w:rPr>
        <w:t xml:space="preserve">第42条</w:t>
      </w:r>
      <w:r>
        <w:rPr>
          <w:rFonts w:hint="eastAsia" w:ascii="仿宋" w:hAnsi="仿宋" w:eastAsia="仿宋" w:cs="仿宋"/>
          <w:color w:val="auto"/>
          <w:highlight w:val="none"/>
        </w:rPr>
        <w:t xml:space="preserve">规定，推荐中标候选人。 </w:t>
      </w:r>
      <w:r/>
    </w:p>
    <w:p>
      <w:pPr>
        <w:pStyle w:val="753"/>
        <w:numPr>
          <w:ilvl w:val="0"/>
          <w:numId w:val="16"/>
        </w:numPr>
        <w:ind w:left="655" w:right="-96" w:hanging="600"/>
        <w:spacing w:before="36" w:after="0" w:line="440" w:lineRule="exact"/>
        <w:rPr>
          <w:rFonts w:ascii="仿宋" w:hAnsi="仿宋" w:eastAsia="仿宋" w:cs="仿宋"/>
          <w:b/>
          <w:color w:val="auto"/>
          <w:spacing w:val="6"/>
          <w:highlight w:val="none"/>
        </w:rPr>
      </w:pPr>
      <w:r>
        <w:rPr>
          <w:rFonts w:hint="eastAsia" w:ascii="仿宋" w:hAnsi="仿宋" w:eastAsia="仿宋" w:cs="仿宋"/>
          <w:b/>
          <w:color w:val="auto"/>
          <w:spacing w:val="6"/>
          <w:highlight w:val="none"/>
        </w:rPr>
        <w:t xml:space="preserve">完成评标报告 </w:t>
      </w:r>
      <w:r/>
    </w:p>
    <w:p>
      <w:pPr>
        <w:pStyle w:val="753"/>
        <w:ind w:right="-50" w:firstLine="442"/>
        <w:jc w:val="both"/>
        <w:spacing w:before="8" w:line="440" w:lineRule="exact"/>
        <w:rPr>
          <w:rFonts w:ascii="仿宋" w:hAnsi="仿宋" w:eastAsia="仿宋" w:cs="仿宋"/>
          <w:color w:val="auto"/>
          <w:highlight w:val="none"/>
        </w:rPr>
      </w:pPr>
      <w:r>
        <w:rPr>
          <w:rFonts w:hint="eastAsia" w:ascii="仿宋" w:hAnsi="仿宋" w:eastAsia="仿宋" w:cs="仿宋"/>
          <w:b/>
          <w:bCs/>
          <w:color w:val="auto"/>
          <w:highlight w:val="none"/>
        </w:rPr>
        <w:t xml:space="preserve">评标委员会应当向采购人提交书面评标报告：</w:t>
      </w:r>
      <w:r>
        <w:rPr>
          <w:rFonts w:hint="eastAsia" w:ascii="仿宋" w:hAnsi="仿宋" w:eastAsia="仿宋" w:cs="仿宋"/>
          <w:color w:val="auto"/>
          <w:highlight w:val="none"/>
        </w:rPr>
        <w:t xml:space="preserve">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br w:type="page" w:clear="all"/>
      </w:r>
      <w:r/>
    </w:p>
    <w:p>
      <w:pPr>
        <w:pStyle w:val="741"/>
        <w:numPr>
          <w:ilvl w:val="0"/>
          <w:numId w:val="1"/>
        </w:numPr>
        <w:jc w:val="center"/>
        <w:spacing w:before="0" w:after="0" w:line="360" w:lineRule="auto"/>
        <w:rPr>
          <w:rFonts w:ascii="仿宋" w:hAnsi="仿宋" w:eastAsia="仿宋" w:cs="仿宋"/>
          <w:color w:val="auto"/>
          <w:highlight w:val="none"/>
        </w:rPr>
      </w:pPr>
      <w:r/>
      <w:bookmarkStart w:id="38" w:name="_Toc4651"/>
      <w:r/>
      <w:bookmarkStart w:id="39" w:name="_Toc1682"/>
      <w:r>
        <w:rPr>
          <w:rFonts w:hint="eastAsia" w:ascii="仿宋" w:hAnsi="仿宋" w:eastAsia="仿宋" w:cs="仿宋"/>
          <w:color w:val="auto"/>
          <w:highlight w:val="none"/>
        </w:rPr>
        <w:t xml:space="preserve">合同条款</w:t>
      </w:r>
      <w:bookmarkEnd w:id="38"/>
      <w:r/>
      <w:bookmarkEnd w:id="39"/>
      <w:r/>
      <w:r/>
    </w:p>
    <w:p>
      <w:pPr>
        <w:ind w:firstLine="602"/>
        <w:jc w:val="center"/>
        <w:rPr>
          <w:b/>
          <w:color w:val="auto"/>
          <w:sz w:val="30"/>
          <w:szCs w:val="30"/>
          <w:highlight w:val="none"/>
        </w:rPr>
        <w:outlineLvl w:val="0"/>
      </w:pPr>
      <w:r/>
      <w:bookmarkStart w:id="40" w:name="_Toc18272"/>
      <w:r/>
      <w:bookmarkStart w:id="41" w:name="_Toc17550"/>
      <w:r/>
      <w:bookmarkStart w:id="42" w:name="_Toc32004"/>
      <w:r>
        <w:rPr>
          <w:rFonts w:hint="eastAsia" w:cs="仿宋"/>
          <w:b/>
          <w:bCs/>
          <w:color w:val="auto"/>
          <w:sz w:val="30"/>
          <w:szCs w:val="30"/>
          <w:highlight w:val="none"/>
        </w:rPr>
        <w:t xml:space="preserve">政府采购合同（货物）</w:t>
      </w:r>
      <w:bookmarkEnd w:id="40"/>
      <w:r/>
      <w:r/>
    </w:p>
    <w:p>
      <w:pPr>
        <w:pStyle w:val="885"/>
        <w:ind w:firstLine="480"/>
        <w:spacing w:before="120" w:after="12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项目名称：</w:t>
      </w:r>
      <w:r>
        <w:rPr>
          <w:rFonts w:asciiTheme="minorEastAsia" w:hAnsiTheme="minorEastAsia" w:eastAsiaTheme="minorEastAsia"/>
          <w:color w:val="auto"/>
          <w:sz w:val="24"/>
          <w:szCs w:val="24"/>
          <w:highlight w:val="none"/>
        </w:rPr>
        <w:t xml:space="preserve">_________</w:t>
      </w:r>
      <w:r/>
    </w:p>
    <w:p>
      <w:pPr>
        <w:pStyle w:val="885"/>
        <w:ind w:firstLine="480"/>
        <w:spacing w:before="120" w:after="120"/>
        <w:rPr>
          <w:rFonts w:cs="仿宋" w:asciiTheme="minorEastAsia" w:hAnsiTheme="minorEastAsia" w:eastAsiaTheme="minorEastAsia"/>
          <w:color w:val="auto"/>
          <w:sz w:val="24"/>
          <w:szCs w:val="24"/>
          <w:highlight w:val="none"/>
          <w:u w:val="single"/>
        </w:rPr>
      </w:pPr>
      <w:r>
        <w:rPr>
          <w:rFonts w:hint="eastAsia" w:cs="仿宋" w:asciiTheme="minorEastAsia" w:hAnsiTheme="minorEastAsia" w:eastAsiaTheme="minorEastAsia"/>
          <w:color w:val="auto"/>
          <w:sz w:val="24"/>
          <w:szCs w:val="24"/>
          <w:highlight w:val="none"/>
        </w:rPr>
        <w:t xml:space="preserve">编号：</w:t>
      </w:r>
      <w:r>
        <w:rPr>
          <w:rFonts w:asciiTheme="minorEastAsia" w:hAnsiTheme="minorEastAsia" w:eastAsiaTheme="minorEastAsia"/>
          <w:color w:val="auto"/>
          <w:sz w:val="24"/>
          <w:szCs w:val="24"/>
          <w:highlight w:val="none"/>
        </w:rPr>
        <w:t xml:space="preserve">_________</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甲方（采购人/买方）：</w:t>
      </w:r>
      <w:r>
        <w:rPr>
          <w:rFonts w:hint="eastAsia" w:cs="仿宋" w:asciiTheme="minorEastAsia" w:hAnsiTheme="minorEastAsia" w:eastAsiaTheme="minorEastAsia"/>
          <w:color w:val="auto"/>
          <w:sz w:val="24"/>
          <w:szCs w:val="24"/>
          <w:highlight w:val="none"/>
          <w:u w:val="single"/>
          <w:lang w:val="en-US"/>
        </w:rPr>
        <w:t xml:space="preserve">仪征市人民医院</w:t>
      </w:r>
      <w:r/>
    </w:p>
    <w:p>
      <w:pPr>
        <w:pStyle w:val="885"/>
        <w:ind w:firstLine="480"/>
        <w:spacing w:before="120" w:after="120"/>
        <w:rPr>
          <w:rFonts w:cs="仿宋" w:asciiTheme="minorEastAsia" w:hAnsiTheme="minorEastAsia" w:eastAsiaTheme="minorEastAsia"/>
          <w:color w:val="auto"/>
          <w:sz w:val="24"/>
          <w:szCs w:val="24"/>
          <w:highlight w:val="none"/>
          <w:u w:val="single"/>
        </w:rPr>
      </w:pPr>
      <w:r>
        <w:rPr>
          <w:rFonts w:hint="eastAsia" w:cs="仿宋" w:asciiTheme="minorEastAsia" w:hAnsiTheme="minorEastAsia" w:eastAsiaTheme="minorEastAsia"/>
          <w:color w:val="auto"/>
          <w:sz w:val="24"/>
          <w:szCs w:val="24"/>
          <w:highlight w:val="none"/>
        </w:rPr>
        <w:t xml:space="preserve">乙方（供应商/卖方）：</w:t>
      </w:r>
      <w:r>
        <w:rPr>
          <w:rFonts w:asciiTheme="minorEastAsia" w:hAnsiTheme="minorEastAsia" w:eastAsiaTheme="minorEastAsia"/>
          <w:color w:val="auto"/>
          <w:sz w:val="24"/>
          <w:szCs w:val="24"/>
          <w:highlight w:val="none"/>
        </w:rPr>
        <w:t xml:space="preserve">_________</w:t>
      </w:r>
      <w:r/>
    </w:p>
    <w:p>
      <w:pPr>
        <w:pStyle w:val="885"/>
        <w:ind w:firstLine="480"/>
        <w:spacing w:before="120" w:after="12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见证方：</w:t>
      </w:r>
      <w:r>
        <w:rPr>
          <w:rFonts w:asciiTheme="minorEastAsia" w:hAnsiTheme="minorEastAsia" w:eastAsiaTheme="minorEastAsia"/>
          <w:color w:val="auto"/>
          <w:sz w:val="24"/>
          <w:szCs w:val="24"/>
          <w:highlight w:val="none"/>
        </w:rPr>
        <w:t xml:space="preserve">_________</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根据《中华人民共和国政府采购法》、《中华人民共和国民法典》等法律法规的规定，甲乙双方按照</w:t>
      </w:r>
      <w:r>
        <w:rPr>
          <w:rFonts w:hint="eastAsia" w:cs="仿宋" w:asciiTheme="minorEastAsia" w:hAnsiTheme="minorEastAsia" w:eastAsiaTheme="minorEastAsia"/>
          <w:color w:val="auto"/>
          <w:sz w:val="24"/>
          <w:szCs w:val="24"/>
          <w:highlight w:val="none"/>
          <w:u w:val="single"/>
        </w:rPr>
        <w:t xml:space="preserve">              </w:t>
      </w:r>
      <w:r>
        <w:rPr>
          <w:rFonts w:hint="eastAsia" w:cs="仿宋" w:asciiTheme="minorEastAsia" w:hAnsiTheme="minorEastAsia" w:eastAsiaTheme="minorEastAsia"/>
          <w:color w:val="auto"/>
          <w:sz w:val="24"/>
          <w:szCs w:val="24"/>
          <w:highlight w:val="none"/>
        </w:rPr>
        <w:t xml:space="preserve">关于本项目招标结果签订本合同。</w:t>
      </w:r>
      <w:r/>
    </w:p>
    <w:p>
      <w:pPr>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 xml:space="preserve">1、合同标的</w:t>
      </w:r>
      <w:r/>
    </w:p>
    <w:p>
      <w:pPr>
        <w:ind w:firstLine="480"/>
        <w:rPr>
          <w:rFonts w:cs="仿宋" w:asciiTheme="minorEastAsia" w:hAnsiTheme="minorEastAsia" w:eastAsiaTheme="minorEastAsia"/>
          <w:b/>
          <w:color w:val="auto"/>
          <w:sz w:val="24"/>
          <w:szCs w:val="24"/>
          <w:highlight w:val="none"/>
        </w:rPr>
      </w:pPr>
      <w:r>
        <w:rPr>
          <w:rFonts w:hint="eastAsia" w:cs="仿宋" w:asciiTheme="minorEastAsia" w:hAnsiTheme="minorEastAsia" w:eastAsiaTheme="minorEastAsia"/>
          <w:color w:val="auto"/>
          <w:sz w:val="24"/>
          <w:szCs w:val="24"/>
          <w:highlight w:val="none"/>
        </w:rPr>
        <w:t xml:space="preserve">乙方根据甲方需求，提供下列货物：</w:t>
      </w:r>
      <w:r>
        <w:rPr>
          <w:rFonts w:cs="仿宋" w:asciiTheme="minorEastAsia" w:hAnsiTheme="minorEastAsia" w:eastAsiaTheme="minorEastAsia"/>
          <w:color w:val="auto"/>
          <w:sz w:val="24"/>
          <w:szCs w:val="24"/>
          <w:highlight w:val="none"/>
        </w:rPr>
        <w:t xml:space="preserve">________</w:t>
      </w:r>
      <w:r>
        <w:rPr>
          <w:rFonts w:hint="eastAsia" w:cs="仿宋" w:asciiTheme="minorEastAsia" w:hAnsiTheme="minorEastAsia" w:eastAsiaTheme="minorEastAsia"/>
          <w:color w:val="auto"/>
          <w:sz w:val="24"/>
          <w:szCs w:val="24"/>
          <w:highlight w:val="none"/>
        </w:rPr>
        <w:t xml:space="preserve">(货物名称、规格及数量等)。</w:t>
      </w:r>
      <w:r/>
    </w:p>
    <w:p>
      <w:pPr>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 xml:space="preserve">2、合同总金额</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2.1 本合同金额为（大写）：</w:t>
      </w:r>
      <w:r>
        <w:rPr>
          <w:rFonts w:cs="仿宋" w:asciiTheme="minorEastAsia" w:hAnsiTheme="minorEastAsia" w:eastAsiaTheme="minorEastAsia"/>
          <w:color w:val="auto"/>
          <w:sz w:val="24"/>
          <w:szCs w:val="24"/>
          <w:highlight w:val="none"/>
        </w:rPr>
        <w:t xml:space="preserve">________</w:t>
      </w:r>
      <w:r>
        <w:rPr>
          <w:rFonts w:hint="eastAsia" w:cs="仿宋" w:asciiTheme="minorEastAsia" w:hAnsiTheme="minorEastAsia" w:eastAsiaTheme="minorEastAsia"/>
          <w:color w:val="auto"/>
          <w:sz w:val="24"/>
          <w:szCs w:val="24"/>
          <w:highlight w:val="none"/>
        </w:rPr>
        <w:t xml:space="preserve">圆</w:t>
      </w:r>
      <w:r>
        <w:rPr>
          <w:rFonts w:cs="仿宋" w:asciiTheme="minorEastAsia" w:hAnsiTheme="minorEastAsia" w:eastAsiaTheme="minorEastAsia"/>
          <w:color w:val="auto"/>
          <w:sz w:val="24"/>
          <w:szCs w:val="24"/>
          <w:highlight w:val="none"/>
        </w:rPr>
        <w:t xml:space="preserve">（________元）人民币。</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2.2 本合同总金额包括所有乙方提供货物的产品费用、安装费、验收费、维护费用、税金及其他有关的为完成本项目发生的所有费用，招标文件中另有规定的除外。</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2.3 在招标文件未列明，而乙方认为履行本合同必需的费用也包含在合同总金额中。</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2.4 本合同总金额还包含乙方提供的伴随服务/售后服务费用。</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2.5 本合同签订后：甲方需追加与合同标的相同的货物，在不改变合同其他条款的前提下，可以与乙方协商签订补充合同，但所有补充合同的增加的金额不超过原合同金额的10%；甲方若由于各种客观原因，必须对采购项目所牵涉的货物进行适当的减少时，在与乙方协商一致后，可以按照招标采购时的价格水平做相应的调减，并据此签订补充合同；除上述情况外，本合同执行期间合同总金额不变。</w:t>
      </w:r>
      <w:r/>
    </w:p>
    <w:p>
      <w:pPr>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 xml:space="preserve">3、组成本合同的有关文件</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3.1乙方应按招标文件规定的时间向甲方提供使用货物的有关技术资料。</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3.3 关于本项目政府采购的招投标文件或与本次采购活动方式相适应的文件及有关附件是本合同不可分割的组成部分，这些文件包括但不限于：</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 （1）投标响应文件；               （2）投标产品配置与报价文件；</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 （3）供货一览表；                 （4）技术参数响应表；</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 （5）服务承诺；                   （6）中标通知书；</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 （7）甲乙双方补充协议；           （8）乙方投标时提供的响应文件。</w:t>
      </w:r>
      <w:r/>
    </w:p>
    <w:p>
      <w:pPr>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 xml:space="preserve">4、知识产权保证</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乙方保证甲方在使用、接受本合同货物或其任何一部分时，不受第三方提出侵犯其专利权、版权、商标权和工业设计权等知识产权的起诉。一旦出现侵权，由乙方负全部责任。</w:t>
      </w:r>
      <w:r/>
    </w:p>
    <w:p>
      <w:pPr>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 xml:space="preserve">5、产权保证</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乙方保证所交付的货物的所有权无任何抵押、查封等权利瑕疵。</w:t>
      </w:r>
      <w:r/>
    </w:p>
    <w:p>
      <w:pPr>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 xml:space="preserve">6、履约保证金</w:t>
      </w:r>
      <w:r>
        <w:rPr>
          <w:rFonts w:hint="eastAsia" w:cs="仿宋" w:asciiTheme="minorEastAsia" w:hAnsiTheme="minorEastAsia" w:eastAsiaTheme="minorEastAsia"/>
          <w:color w:val="auto"/>
          <w:sz w:val="24"/>
          <w:szCs w:val="24"/>
          <w:highlight w:val="none"/>
          <w:lang w:val="en-US"/>
        </w:rPr>
        <w:t xml:space="preserve">：无。</w:t>
      </w:r>
      <w:r/>
    </w:p>
    <w:p>
      <w:pPr>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 xml:space="preserve">7、转包或分包</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7.1 本合同禁止转包，本合同范围的货物，应由乙方直接供应的，不得转让他人供应。</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7.2 如有特殊情况，经甲方书面同意，乙方可以依法采取分包方式履行合同，但是分包方式履行的，乙方应就采购项目向甲方负全责。</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7.3 如有转让和未经甲方同意的分包行为，甲方有权给予解除合同并要求乙方承担违约金（合同金额10%）</w:t>
      </w:r>
      <w:r>
        <w:rPr>
          <w:rFonts w:hint="eastAsia" w:cs="仿宋" w:asciiTheme="minorEastAsia" w:hAnsiTheme="minorEastAsia" w:eastAsiaTheme="minorEastAsia"/>
          <w:color w:val="auto"/>
          <w:sz w:val="24"/>
          <w:szCs w:val="24"/>
          <w:highlight w:val="none"/>
        </w:rPr>
        <w:t xml:space="preserve">。</w:t>
      </w:r>
      <w:r/>
    </w:p>
    <w:p>
      <w:pPr>
        <w:ind w:firstLine="47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 xml:space="preserve">8、质保期</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8.1 免费保修期: </w:t>
      </w:r>
      <w:r>
        <w:rPr>
          <w:rFonts w:hint="eastAsia" w:cs="仿宋" w:asciiTheme="minorEastAsia" w:hAnsiTheme="minorEastAsia" w:eastAsiaTheme="minorEastAsia"/>
          <w:color w:val="auto"/>
          <w:sz w:val="24"/>
          <w:szCs w:val="24"/>
          <w:highlight w:val="none"/>
          <w:u w:val="single"/>
        </w:rPr>
        <w:t xml:space="preserve">  </w:t>
      </w:r>
      <w:r>
        <w:rPr>
          <w:rFonts w:hint="eastAsia" w:cs="仿宋" w:asciiTheme="minorEastAsia" w:hAnsiTheme="minorEastAsia" w:eastAsiaTheme="minorEastAsia"/>
          <w:color w:val="auto"/>
          <w:sz w:val="24"/>
          <w:szCs w:val="24"/>
          <w:highlight w:val="none"/>
        </w:rPr>
        <w:t xml:space="preserve">年</w:t>
      </w:r>
      <w:r>
        <w:rPr>
          <w:rFonts w:hint="eastAsia" w:asciiTheme="minorEastAsia" w:hAnsiTheme="minorEastAsia" w:eastAsiaTheme="minorEastAsia"/>
          <w:color w:val="auto"/>
          <w:sz w:val="24"/>
          <w:szCs w:val="24"/>
          <w:highlight w:val="none"/>
        </w:rPr>
        <w:t xml:space="preserve">。</w:t>
      </w:r>
      <w:r>
        <w:rPr>
          <w:rFonts w:hint="eastAsia" w:cs="仿宋" w:asciiTheme="minorEastAsia" w:hAnsiTheme="minorEastAsia" w:eastAsiaTheme="minorEastAsia"/>
          <w:color w:val="auto"/>
          <w:sz w:val="24"/>
          <w:szCs w:val="24"/>
          <w:highlight w:val="none"/>
        </w:rPr>
        <w:t xml:space="preserve">（自交付验收合格之日起计）</w:t>
      </w:r>
      <w:r/>
    </w:p>
    <w:p>
      <w:pPr>
        <w:ind w:firstLine="482"/>
        <w:rPr>
          <w:rFonts w:cs="仿宋" w:asciiTheme="minorEastAsia" w:hAnsiTheme="minorEastAsia" w:eastAsiaTheme="minorEastAsia"/>
          <w:b/>
          <w:bCs/>
          <w:color w:val="auto"/>
          <w:sz w:val="24"/>
          <w:szCs w:val="24"/>
          <w:highlight w:val="none"/>
          <w:lang w:val="en-US"/>
        </w:rPr>
      </w:pPr>
      <w:r>
        <w:rPr>
          <w:rFonts w:hint="eastAsia" w:cs="仿宋" w:asciiTheme="minorEastAsia" w:hAnsiTheme="minorEastAsia" w:eastAsiaTheme="minorEastAsia"/>
          <w:b/>
          <w:bCs/>
          <w:color w:val="auto"/>
          <w:sz w:val="24"/>
          <w:szCs w:val="24"/>
          <w:highlight w:val="none"/>
          <w:lang w:val="en-US"/>
        </w:rPr>
        <w:t xml:space="preserve">9、项目完成期、实施地点</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9.1交付期:合同签订后</w:t>
      </w:r>
      <w:r>
        <w:rPr>
          <w:rFonts w:hint="eastAsia" w:cs="仿宋" w:asciiTheme="minorEastAsia" w:hAnsiTheme="minorEastAsia" w:eastAsiaTheme="minorEastAsia"/>
          <w:color w:val="auto"/>
          <w:sz w:val="24"/>
          <w:szCs w:val="24"/>
          <w:highlight w:val="none"/>
          <w:u w:val="single"/>
        </w:rPr>
        <w:t xml:space="preserve">  </w:t>
      </w:r>
      <w:r>
        <w:rPr>
          <w:rFonts w:hint="eastAsia" w:cs="仿宋" w:asciiTheme="minorEastAsia" w:hAnsiTheme="minorEastAsia" w:eastAsiaTheme="minorEastAsia"/>
          <w:color w:val="auto"/>
          <w:sz w:val="24"/>
          <w:szCs w:val="24"/>
          <w:highlight w:val="none"/>
        </w:rPr>
        <w:t xml:space="preserve">日内按甲方需求将设备送达指定地点并完成调试,乙方负责运输和装卸、安装及使用培训等，并承担由此产生的一切费用。</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9.2 实施地点：仪征市东园南路61号</w:t>
      </w:r>
      <w:r/>
    </w:p>
    <w:p>
      <w:pPr>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 xml:space="preserve">10、货款支付</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10.1 本合同项下所有款项均以人民币支付。 </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10.2 本合同项下的采购资金由甲方支付，每笔款项支付前，乙方必须提供收款单位与本合同签订单位一致的正规、等额、合法、有效的发票。</w:t>
      </w:r>
      <w:r/>
    </w:p>
    <w:p>
      <w:pPr>
        <w:ind w:firstLine="480"/>
        <w:jc w:val="both"/>
        <w:rPr>
          <w:rFonts w:cs="仿宋" w:asciiTheme="minorEastAsia" w:hAnsiTheme="minorEastAsia" w:eastAsiaTheme="minorEastAsia"/>
          <w:color w:val="auto"/>
          <w:sz w:val="24"/>
          <w:szCs w:val="24"/>
          <w:highlight w:val="none"/>
          <w:lang w:val="en-US"/>
        </w:rPr>
      </w:pPr>
      <w:r>
        <w:rPr>
          <w:rFonts w:hint="eastAsia" w:cs="仿宋" w:asciiTheme="minorEastAsia" w:hAnsiTheme="minorEastAsia" w:eastAsiaTheme="minorEastAsia"/>
          <w:color w:val="auto"/>
          <w:sz w:val="24"/>
          <w:szCs w:val="24"/>
          <w:highlight w:val="none"/>
        </w:rPr>
        <w:t xml:space="preserve">10.3 </w:t>
      </w:r>
      <w:r>
        <w:rPr>
          <w:rFonts w:hint="eastAsia" w:cs="仿宋" w:asciiTheme="minorEastAsia" w:hAnsiTheme="minorEastAsia" w:eastAsiaTheme="minorEastAsia"/>
          <w:color w:val="auto"/>
          <w:sz w:val="24"/>
          <w:szCs w:val="24"/>
          <w:highlight w:val="none"/>
          <w:lang w:val="en-US"/>
        </w:rPr>
        <w:t xml:space="preserve">付款方式：</w:t>
      </w:r>
      <w:r/>
    </w:p>
    <w:p>
      <w:pPr>
        <w:ind w:firstLine="480"/>
        <w:rPr>
          <w:rFonts w:cs="仿宋" w:asciiTheme="minorEastAsia" w:hAnsiTheme="minorEastAsia" w:eastAsiaTheme="minorEastAsia"/>
          <w:color w:val="auto"/>
          <w:sz w:val="24"/>
          <w:szCs w:val="24"/>
          <w:highlight w:val="none"/>
          <w:u w:val="single"/>
          <w:lang w:val="en-US"/>
        </w:rPr>
      </w:pPr>
      <w:r>
        <w:rPr>
          <w:rFonts w:hint="eastAsia" w:cs="仿宋" w:asciiTheme="minorEastAsia" w:hAnsiTheme="minorEastAsia" w:eastAsiaTheme="minorEastAsia"/>
          <w:color w:val="auto"/>
          <w:sz w:val="24"/>
          <w:szCs w:val="24"/>
          <w:highlight w:val="none"/>
          <w:u w:val="single"/>
          <w:lang w:val="en-US"/>
        </w:rPr>
        <w:t xml:space="preserve">合同签订后，甲方自收到乙方发票10</w:t>
      </w:r>
      <w:r>
        <w:rPr>
          <w:rFonts w:cs="仿宋" w:asciiTheme="minorEastAsia" w:hAnsiTheme="minorEastAsia" w:eastAsiaTheme="minorEastAsia"/>
          <w:color w:val="auto"/>
          <w:sz w:val="24"/>
          <w:szCs w:val="24"/>
          <w:highlight w:val="none"/>
          <w:u w:val="single"/>
          <w:lang w:val="en-US"/>
        </w:rPr>
        <w:t xml:space="preserve">日内</w:t>
      </w:r>
      <w:r>
        <w:rPr>
          <w:rFonts w:hint="eastAsia" w:cs="仿宋" w:asciiTheme="minorEastAsia" w:hAnsiTheme="minorEastAsia" w:eastAsiaTheme="minorEastAsia"/>
          <w:color w:val="auto"/>
          <w:sz w:val="24"/>
          <w:szCs w:val="24"/>
          <w:highlight w:val="none"/>
          <w:u w:val="single"/>
          <w:lang w:val="en-US"/>
        </w:rPr>
        <w:t xml:space="preserve">支付合同总价的30%；验收合格后支付合同总价的60%；验收合格一年后付清尾款（自交付验收合格之日起计）。</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10.4对于按合同条款应当扣除的违约金、赔偿金，甲方有权从应付款中予以扣除;对于设备有缺陷或其他质量、数量问题，在未修理、更换之前，甲方有权停止付款，待问题解决后再行支付。</w:t>
      </w:r>
      <w:r/>
    </w:p>
    <w:p>
      <w:pPr>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 xml:space="preserve">11、税费</w:t>
      </w:r>
      <w:r/>
    </w:p>
    <w:p>
      <w:pPr>
        <w:ind w:firstLine="480"/>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color w:val="auto"/>
          <w:sz w:val="24"/>
          <w:szCs w:val="24"/>
          <w:highlight w:val="none"/>
        </w:rPr>
        <w:t xml:space="preserve">本合同执行中相关的一切税费均由乙方负担。</w:t>
      </w:r>
      <w:r/>
    </w:p>
    <w:p>
      <w:pPr>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 xml:space="preserve">12、质量保证及售后服务</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12.1 乙方应按招标文件规定及响应文件承诺的货物性能、技术要求、质量标准向甲方提供未经使用的全新产品；若技术性能无特殊说明，则按国家有关部门最新颁布的标准及规范为准。</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12.3 乙方提供的货物在质保期内因货物本身的质量问题发生故障，乙方应负责免费更换。对达不到技术要求者，根据实际情况，经双方协商，可按以下办法处理：</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⑴更换：由乙方承担所发生的全部费用。</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⑵贬值处理：由甲乙双方合议定价。</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⑶退货处理：乙方应退还甲方支付的合同款，同时应承担该货物的直接费用（运输、保险、检验、货款利息及银行手续费等）。</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12.4 如在使用过程中发生质量问题，乙方在接到甲方通知后在</w:t>
      </w:r>
      <w:r>
        <w:rPr>
          <w:rFonts w:hint="eastAsia" w:cs="仿宋" w:asciiTheme="minorEastAsia" w:hAnsiTheme="minorEastAsia" w:eastAsiaTheme="minorEastAsia"/>
          <w:color w:val="auto"/>
          <w:sz w:val="24"/>
          <w:szCs w:val="24"/>
          <w:highlight w:val="none"/>
          <w:u w:val="single"/>
        </w:rPr>
        <w:t xml:space="preserve">   </w:t>
      </w:r>
      <w:r>
        <w:rPr>
          <w:rFonts w:hint="eastAsia" w:cs="仿宋" w:asciiTheme="minorEastAsia" w:hAnsiTheme="minorEastAsia" w:eastAsiaTheme="minorEastAsia"/>
          <w:color w:val="auto"/>
          <w:sz w:val="24"/>
          <w:szCs w:val="24"/>
          <w:highlight w:val="none"/>
        </w:rPr>
        <w:t xml:space="preserve">小时内到达甲方现场。</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12.5 在质保期内，乙方应对货物出现的质量及安全问题负责处理解决并承担一切费用。</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12.6上述的货物免费保修期，因人为因素出现的故障不在免费保修范围内。超过保修期的机器设备，终生维修，维修时只收部件成本费。</w:t>
      </w:r>
      <w:r/>
    </w:p>
    <w:p>
      <w:pPr>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 xml:space="preserve">13、交付、调试和验收</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13.1 乙方应当在合同生效后</w:t>
      </w:r>
      <w:r>
        <w:rPr>
          <w:rFonts w:hint="eastAsia" w:cs="仿宋" w:asciiTheme="minorEastAsia" w:hAnsiTheme="minorEastAsia" w:eastAsiaTheme="minorEastAsia"/>
          <w:color w:val="auto"/>
          <w:sz w:val="24"/>
          <w:szCs w:val="24"/>
          <w:highlight w:val="none"/>
          <w:u w:val="single"/>
        </w:rPr>
        <w:t xml:space="preserve">  </w:t>
      </w:r>
      <w:r>
        <w:rPr>
          <w:rFonts w:hint="eastAsia" w:cs="仿宋" w:asciiTheme="minorEastAsia" w:hAnsiTheme="minorEastAsia" w:eastAsiaTheme="minorEastAsia"/>
          <w:color w:val="auto"/>
          <w:sz w:val="24"/>
          <w:szCs w:val="24"/>
          <w:highlight w:val="none"/>
        </w:rPr>
        <w:t xml:space="preserve">天内将货物交付甲方，地点由甲方指定，招标文件有约定的，从其约定。在发货前，乙方应对服务或产品作出全面检查和对验收文件进行整理，并列出清单，作为甲方收货初验收和使用的技术条件依据，检验的结果应随货物交甲方。逾期交付时间达15天，甲方可以选择解除合同并要求乙方承担违约责任。</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13.2 甲方对乙方提交的货物依据招标文件上的技术规格要求和国家有关质量标准进行现场初步验收，外观、说明书、包装符合招标文件技术要求的，给予签收，初步验收不合格的不予签收。交付后，甲方需在五个工作日内验收。</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13.3甲方对乙方提供的货物在使用前进行调试时，乙方需负责安装并培训甲方的使用操作人员，并协助甲方一起调试，直到符合技术要求，甲方才做最终验收。</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13.4 对技术复杂的货物，甲方可请国家认可的专业检测机构参与初步验收及最终验收，并由其出具质量检测报告。验收时乙方必须在现场，验收完毕后作出验收结果报告；若聘请第三方中立机构验收，验收费用由乙方负责。</w:t>
      </w:r>
      <w:r/>
    </w:p>
    <w:p>
      <w:pPr>
        <w:ind w:firstLine="480"/>
        <w:rPr>
          <w:rFonts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13.5 甲乙双方关于调试和验收的其他约定：</w:t>
      </w:r>
      <w:r>
        <w:rPr>
          <w:rFonts w:hint="eastAsia" w:cs="仿宋" w:asciiTheme="minorEastAsia" w:hAnsiTheme="minorEastAsia" w:eastAsiaTheme="minorEastAsia"/>
          <w:color w:val="auto"/>
          <w:sz w:val="24"/>
          <w:szCs w:val="24"/>
          <w:highlight w:val="none"/>
          <w:u w:val="single"/>
          <w:lang w:val="en-US"/>
        </w:rPr>
        <w:t xml:space="preserve">/</w:t>
      </w:r>
      <w:r>
        <w:rPr>
          <w:rFonts w:hint="eastAsia" w:cs="仿宋" w:asciiTheme="minorEastAsia" w:hAnsiTheme="minorEastAsia" w:eastAsiaTheme="minorEastAsia"/>
          <w:color w:val="auto"/>
          <w:sz w:val="24"/>
          <w:szCs w:val="24"/>
          <w:highlight w:val="none"/>
        </w:rPr>
        <w:t xml:space="preserve">。</w:t>
      </w:r>
      <w:r/>
    </w:p>
    <w:p>
      <w:pPr>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 xml:space="preserve">14、货物包装、发运及运输</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14.1 乙方应在货物发运前对其进行满足运输距离、防潮、防震、防锈和防破损装卸等要求包装，以保证货物安全运达甲方指定地点。</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14.2 乙方发货时，产品使用说明书、检验证明书、随配附件和工具以及清单一并附于货物内。</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14.4货物在交付甲方前发生的风险均由乙方负责。</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14.5 货物在规定的交付期限内由乙方送达甲方指定的地点，经初步验收即视为货物交付。</w:t>
      </w:r>
      <w:r/>
    </w:p>
    <w:p>
      <w:pPr>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 xml:space="preserve">15、违约责任</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15.1 甲方无正当理由拒绝初验收和终验收货物的，甲方应按未付货款金额每日万分之五向乙方支付违约金。</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15.2 甲方无故逾期验收和无故逾期办理货款支付手续的,甲方应按逾期付款金额每日万分之五向乙方支付违约金。</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15.3乙方违约（如逾期交付等），在消除违约情形前，应按货款总额每日万分之五向甲方支付违约金，甲方可以从待付货款中扣除。</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15.4乙方因逾期交付或因其他违约行为，导致甲方解除合同的，乙方应向甲方退还已支付的全部合同款，且支付本合同总值10%的违约金，如造成甲方损失超过违约金的，超出部分由乙方继续承担赔偿责任。</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15.5 乙方所交的货物全部或部分品种、型号格、技术参数、质量不符合合同规定及招标文件规定标准的，甲方可以要求乙方更换或重新提供合格产品，乙方拒绝重新提供或更换产品的，甲方可选择解除本合同，并可追究乙方的违约责任。乙方更换货物但逾期交付的，按乙方逾期交付处理；</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15.6合同生效后，发现乙方投标属虚假承诺，或经权威部门监测提供的货物不能满足招标文件要求，造成合同无法继续履行的，乙方应向甲方支付不少于合同总价30%违约金。</w:t>
      </w:r>
      <w:r/>
    </w:p>
    <w:p>
      <w:pPr>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 xml:space="preserve">16、不可抗力事件处理</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 xml:space="preserve">17、争议解决</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17.1 因货物的质量问题发生争议的，可在国家认可的质量检测机构对货物质量进行鉴定。货物符合标准的，鉴定费由甲方承担；货物不符合质量标准的，鉴定费由乙方承担。</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17.2 因履行本合同引起的或与本合同有关的争议，甲、乙双方应首先通过友好协商解决；如果协商不能解决争议，可向合同签订地法院起诉，合同签订地在此约定为江苏省仪征市。</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17.3 若甲乙双方任何一方都没有选择</w:t>
      </w:r>
      <w:r>
        <w:rPr>
          <w:rFonts w:hint="eastAsia" w:cs="Courier New" w:asciiTheme="minorEastAsia" w:hAnsiTheme="minorEastAsia" w:eastAsiaTheme="minorEastAsia"/>
          <w:color w:val="auto"/>
          <w:sz w:val="24"/>
          <w:szCs w:val="24"/>
          <w:highlight w:val="none"/>
          <w:lang w:val="en-US" w:bidi="ar-SA"/>
        </w:rPr>
        <w:t xml:space="preserve">解除合同的，为避免</w:t>
      </w:r>
      <w:r>
        <w:rPr>
          <w:rFonts w:hint="eastAsia" w:cs="仿宋" w:asciiTheme="minorEastAsia" w:hAnsiTheme="minorEastAsia" w:eastAsiaTheme="minorEastAsia"/>
          <w:color w:val="auto"/>
          <w:sz w:val="24"/>
          <w:szCs w:val="24"/>
          <w:highlight w:val="none"/>
        </w:rPr>
        <w:t xml:space="preserve">扩大损失，在诉讼期间，双方应继续履行。</w:t>
      </w:r>
      <w:r/>
    </w:p>
    <w:p>
      <w:pPr>
        <w:ind w:firstLine="482"/>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b/>
          <w:bCs/>
          <w:color w:val="auto"/>
          <w:sz w:val="24"/>
          <w:szCs w:val="24"/>
          <w:highlight w:val="none"/>
        </w:rPr>
        <w:t xml:space="preserve">18、合同其它</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18.1 乙方应诚实信用，严格按照招标文件要求和投标承诺履行合同，不向甲方进行商业贿赂或者提供不正当利益。</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18.2 合同经双方法定代表人或授权代表签字并加盖单位公章，并经见证方盖章后生效。</w:t>
      </w:r>
      <w:r/>
    </w:p>
    <w:p>
      <w:pPr>
        <w:ind w:firstLine="48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18.3本合同未尽事宜，遵照《中华人民共和国民法典》有关条文执行。</w:t>
      </w:r>
      <w:r/>
    </w:p>
    <w:p>
      <w:pPr>
        <w:ind w:firstLine="480"/>
        <w:rPr>
          <w:rFonts w:cs="仿宋" w:asciiTheme="minorEastAsia" w:hAnsiTheme="minorEastAsia" w:eastAsiaTheme="minorEastAsia"/>
          <w:color w:val="auto"/>
          <w:sz w:val="24"/>
          <w:szCs w:val="24"/>
          <w:highlight w:val="none"/>
          <w:u w:val="single"/>
        </w:rPr>
      </w:pPr>
      <w:r>
        <w:rPr>
          <w:rFonts w:hint="eastAsia" w:cs="仿宋" w:asciiTheme="minorEastAsia" w:hAnsiTheme="minorEastAsia" w:eastAsiaTheme="minorEastAsia"/>
          <w:color w:val="auto"/>
          <w:sz w:val="24"/>
          <w:szCs w:val="24"/>
          <w:highlight w:val="none"/>
        </w:rPr>
        <w:t xml:space="preserve">18.4 如需修改或补充合同内容，应经甲、乙双方协商，签署书面修改或补充协议。该协议将作为本合同不可分割的一部分。</w:t>
      </w:r>
      <w:r/>
    </w:p>
    <w:p>
      <w:pPr>
        <w:pStyle w:val="885"/>
        <w:ind w:left="484"/>
        <w:spacing w:before="120" w:after="120"/>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18.5本合同正本一式</w:t>
      </w:r>
      <w:r>
        <w:rPr>
          <w:rFonts w:hint="eastAsia" w:asciiTheme="minorEastAsia" w:hAnsiTheme="minorEastAsia" w:eastAsiaTheme="minorEastAsia"/>
          <w:color w:val="auto"/>
          <w:sz w:val="24"/>
          <w:szCs w:val="24"/>
          <w:highlight w:val="none"/>
        </w:rPr>
        <w:t xml:space="preserve">肆</w:t>
      </w:r>
      <w:r>
        <w:rPr>
          <w:rFonts w:hint="eastAsia" w:cs="仿宋" w:asciiTheme="minorEastAsia" w:hAnsiTheme="minorEastAsia" w:eastAsiaTheme="minorEastAsia"/>
          <w:color w:val="auto"/>
          <w:sz w:val="24"/>
          <w:szCs w:val="24"/>
          <w:highlight w:val="none"/>
        </w:rPr>
        <w:t xml:space="preserve">份，具有同等法律效力，甲方执叁份，乙方执壹份。</w:t>
      </w:r>
      <w:r/>
    </w:p>
    <w:p>
      <w:pPr>
        <w:pStyle w:val="885"/>
        <w:ind w:left="480" w:firstLine="480"/>
        <w:spacing w:before="120" w:after="12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spacing w:line="440" w:lineRule="exact"/>
        <w:rPr>
          <w:rFonts w:cs="仿宋" w:asciiTheme="minorEastAsia" w:hAnsiTheme="minorEastAsia" w:eastAsiaTheme="minorEastAsia"/>
          <w:color w:val="auto"/>
          <w:sz w:val="24"/>
          <w:szCs w:val="24"/>
          <w:highlight w:val="none"/>
          <w:lang w:val="en-US"/>
        </w:rPr>
      </w:pPr>
      <w:r>
        <w:rPr>
          <w:rFonts w:cs="仿宋" w:asciiTheme="minorEastAsia" w:hAnsiTheme="minorEastAsia" w:eastAsiaTheme="minorEastAsia"/>
          <w:color w:val="auto"/>
          <w:sz w:val="24"/>
          <w:szCs w:val="24"/>
          <w:highlight w:val="none"/>
          <w:lang w:val="en-US"/>
        </w:rPr>
      </w:r>
      <w:r/>
    </w:p>
    <w:p>
      <w:pPr>
        <w:ind w:firstLine="480"/>
        <w:spacing w:line="440" w:lineRule="exact"/>
        <w:rPr>
          <w:rFonts w:cs="仿宋" w:asciiTheme="minorEastAsia" w:hAnsiTheme="minorEastAsia" w:eastAsiaTheme="minorEastAsia"/>
          <w:color w:val="auto"/>
          <w:sz w:val="24"/>
          <w:szCs w:val="24"/>
          <w:highlight w:val="none"/>
        </w:rPr>
      </w:pPr>
      <w:r>
        <w:rPr>
          <w:rFonts w:cs="仿宋" w:asciiTheme="minorEastAsia" w:hAnsiTheme="minorEastAsia" w:eastAsiaTheme="minorEastAsia"/>
          <w:color w:val="auto"/>
          <w:sz w:val="24"/>
          <w:szCs w:val="24"/>
          <w:highlight w:val="none"/>
        </w:rPr>
      </w:r>
      <w:bookmarkEnd w:id="41"/>
      <w:r/>
    </w:p>
    <w:p>
      <w:pPr>
        <w:ind w:firstLine="480"/>
        <w:spacing w:after="160" w:line="278" w:lineRule="auto"/>
        <w:rPr>
          <w:rFonts w:cs="仿宋" w:asciiTheme="minorEastAsia" w:hAnsiTheme="minorEastAsia" w:eastAsiaTheme="minorEastAsia"/>
          <w:color w:val="auto"/>
          <w:sz w:val="24"/>
          <w:szCs w:val="24"/>
          <w:highlight w:val="none"/>
          <w:lang w:val="en-US" w:bidi="ar-SA"/>
        </w:rPr>
      </w:pPr>
      <w:r>
        <w:rPr>
          <w:rFonts w:hint="eastAsia" w:cs="仿宋" w:asciiTheme="minorEastAsia" w:hAnsiTheme="minorEastAsia" w:eastAsiaTheme="minorEastAsia"/>
          <w:color w:val="auto"/>
          <w:sz w:val="24"/>
          <w:szCs w:val="24"/>
          <w:highlight w:val="none"/>
          <w:lang w:val="en-US" w:bidi="ar-SA"/>
        </w:rPr>
        <w:t xml:space="preserve">甲方（盖章）：仪征市人民医院        乙方（盖章）：</w:t>
      </w:r>
      <w:r/>
    </w:p>
    <w:p>
      <w:pPr>
        <w:ind w:firstLine="480"/>
        <w:spacing w:after="160" w:line="278" w:lineRule="auto"/>
        <w:rPr>
          <w:rFonts w:cs="仿宋" w:asciiTheme="minorEastAsia" w:hAnsiTheme="minorEastAsia" w:eastAsiaTheme="minorEastAsia"/>
          <w:color w:val="auto"/>
          <w:sz w:val="24"/>
          <w:szCs w:val="24"/>
          <w:highlight w:val="none"/>
          <w:lang w:val="en-US" w:bidi="ar-SA"/>
        </w:rPr>
      </w:pPr>
      <w:r>
        <w:rPr>
          <w:rFonts w:hint="eastAsia" w:cs="仿宋" w:asciiTheme="minorEastAsia" w:hAnsiTheme="minorEastAsia" w:eastAsiaTheme="minorEastAsia"/>
          <w:color w:val="auto"/>
          <w:sz w:val="24"/>
          <w:szCs w:val="24"/>
          <w:highlight w:val="none"/>
          <w:lang w:val="en-US" w:bidi="ar-SA"/>
        </w:rPr>
        <w:t xml:space="preserve">归口管理部门负责人：　　　　　　　  乙方代表：</w:t>
      </w:r>
      <w:r/>
    </w:p>
    <w:p>
      <w:pPr>
        <w:ind w:firstLine="480"/>
        <w:spacing w:after="160" w:line="278" w:lineRule="auto"/>
        <w:rPr>
          <w:rFonts w:cs="仿宋" w:asciiTheme="minorEastAsia" w:hAnsiTheme="minorEastAsia" w:eastAsiaTheme="minorEastAsia"/>
          <w:color w:val="auto"/>
          <w:sz w:val="24"/>
          <w:szCs w:val="24"/>
          <w:highlight w:val="none"/>
          <w:lang w:val="en-US" w:bidi="ar-SA"/>
        </w:rPr>
      </w:pPr>
      <w:r>
        <w:rPr>
          <w:rFonts w:hint="eastAsia" w:cs="仿宋" w:asciiTheme="minorEastAsia" w:hAnsiTheme="minorEastAsia" w:eastAsiaTheme="minorEastAsia"/>
          <w:color w:val="auto"/>
          <w:sz w:val="24"/>
          <w:szCs w:val="24"/>
          <w:highlight w:val="none"/>
          <w:lang w:val="en-US" w:bidi="ar-SA"/>
        </w:rPr>
        <w:t xml:space="preserve">招标采购管理科负责人：　　　　　　  账户名称：</w:t>
      </w:r>
      <w:r/>
    </w:p>
    <w:p>
      <w:pPr>
        <w:ind w:firstLine="480"/>
        <w:spacing w:after="160" w:line="278" w:lineRule="auto"/>
        <w:rPr>
          <w:rFonts w:cs="仿宋" w:asciiTheme="minorEastAsia" w:hAnsiTheme="minorEastAsia" w:eastAsiaTheme="minorEastAsia"/>
          <w:color w:val="auto"/>
          <w:sz w:val="24"/>
          <w:szCs w:val="24"/>
          <w:highlight w:val="none"/>
          <w:lang w:val="en-US" w:bidi="ar-SA"/>
        </w:rPr>
      </w:pPr>
      <w:r>
        <w:rPr>
          <w:rFonts w:hint="eastAsia" w:cs="仿宋" w:asciiTheme="minorEastAsia" w:hAnsiTheme="minorEastAsia" w:eastAsiaTheme="minorEastAsia"/>
          <w:color w:val="auto"/>
          <w:sz w:val="24"/>
          <w:szCs w:val="24"/>
          <w:highlight w:val="none"/>
          <w:lang w:val="en-US" w:bidi="ar-SA"/>
        </w:rPr>
        <w:t xml:space="preserve">招采分管院领导：                    开户银行：</w:t>
      </w:r>
      <w:r/>
    </w:p>
    <w:p>
      <w:pPr>
        <w:ind w:firstLine="480"/>
        <w:spacing w:after="160" w:line="278" w:lineRule="auto"/>
        <w:rPr>
          <w:rFonts w:cs="仿宋" w:asciiTheme="minorEastAsia" w:hAnsiTheme="minorEastAsia" w:eastAsiaTheme="minorEastAsia"/>
          <w:color w:val="auto"/>
          <w:sz w:val="24"/>
          <w:szCs w:val="24"/>
          <w:highlight w:val="none"/>
          <w:lang w:val="en-US" w:bidi="ar-SA"/>
        </w:rPr>
      </w:pPr>
      <w:r>
        <w:rPr>
          <w:rFonts w:hint="eastAsia" w:cs="仿宋" w:asciiTheme="minorEastAsia" w:hAnsiTheme="minorEastAsia" w:eastAsiaTheme="minorEastAsia"/>
          <w:color w:val="auto"/>
          <w:sz w:val="24"/>
          <w:szCs w:val="24"/>
          <w:highlight w:val="none"/>
          <w:lang w:val="en-US" w:bidi="ar-SA"/>
        </w:rPr>
        <w:t xml:space="preserve">院长：                              银行账户：</w:t>
      </w:r>
      <w:r/>
    </w:p>
    <w:p>
      <w:pPr>
        <w:ind w:firstLine="480"/>
        <w:spacing w:after="160" w:line="278" w:lineRule="auto"/>
        <w:rPr>
          <w:rFonts w:cs="仿宋" w:asciiTheme="minorEastAsia" w:hAnsiTheme="minorEastAsia" w:eastAsiaTheme="minorEastAsia"/>
          <w:color w:val="auto"/>
          <w:sz w:val="24"/>
          <w:szCs w:val="24"/>
          <w:highlight w:val="none"/>
          <w:lang w:val="en-US" w:bidi="ar-SA"/>
        </w:rPr>
      </w:pPr>
      <w:r>
        <w:rPr>
          <w:rFonts w:hint="eastAsia" w:cs="仿宋" w:asciiTheme="minorEastAsia" w:hAnsiTheme="minorEastAsia" w:eastAsiaTheme="minorEastAsia"/>
          <w:color w:val="auto"/>
          <w:sz w:val="24"/>
          <w:szCs w:val="24"/>
          <w:highlight w:val="none"/>
          <w:lang w:val="en-US" w:bidi="ar-SA"/>
        </w:rPr>
        <w:t xml:space="preserve">日 期：    年   月   日             日 期：    年   月   日</w:t>
      </w:r>
      <w:r/>
    </w:p>
    <w:p>
      <w:pPr>
        <w:ind w:firstLine="480"/>
        <w:spacing w:after="160" w:line="278" w:lineRule="auto"/>
        <w:rPr>
          <w:rFonts w:cs="仿宋" w:asciiTheme="minorEastAsia" w:hAnsiTheme="minorEastAsia" w:eastAsiaTheme="minorEastAsia"/>
          <w:color w:val="auto"/>
          <w:sz w:val="24"/>
          <w:szCs w:val="24"/>
          <w:highlight w:val="none"/>
          <w:lang w:val="en-US" w:bidi="ar-SA"/>
        </w:rPr>
      </w:pPr>
      <w:r>
        <w:rPr>
          <w:rFonts w:hint="eastAsia" w:cs="仿宋" w:asciiTheme="minorEastAsia" w:hAnsiTheme="minorEastAsia" w:eastAsiaTheme="minorEastAsia"/>
          <w:color w:val="auto"/>
          <w:sz w:val="24"/>
          <w:szCs w:val="24"/>
          <w:highlight w:val="none"/>
          <w:lang w:val="en-US" w:bidi="ar-SA"/>
        </w:rPr>
        <w:t xml:space="preserve">联系电话：0514-83450109             联系电话：</w:t>
      </w:r>
      <w:r/>
    </w:p>
    <w:p>
      <w:pPr>
        <w:ind w:firstLine="440"/>
        <w:spacing w:after="160" w:line="278" w:lineRule="auto"/>
        <w:rPr>
          <w:rFonts w:cstheme="minorBidi"/>
          <w:color w:val="auto"/>
          <w:szCs w:val="24"/>
          <w:highlight w:val="none"/>
          <w:lang w:val="en-US"/>
        </w:rPr>
      </w:pPr>
      <w:r>
        <w:rPr>
          <w:rFonts w:cstheme="minorBidi"/>
          <w:color w:val="auto"/>
          <w:szCs w:val="24"/>
          <w:highlight w:val="none"/>
          <w:lang w:val="en-US"/>
        </w:rPr>
        <w:t xml:space="preserve"> </w:t>
      </w:r>
      <w:r/>
    </w:p>
    <w:p>
      <w:pPr>
        <w:ind w:firstLine="440"/>
        <w:spacing w:after="160" w:line="278" w:lineRule="auto"/>
        <w:rPr>
          <w:rFonts w:cstheme="minorBidi"/>
          <w:color w:val="auto"/>
          <w:szCs w:val="24"/>
          <w:highlight w:val="none"/>
          <w:lang w:val="en-US"/>
        </w:rPr>
      </w:pPr>
      <w:r>
        <w:rPr>
          <w:rFonts w:cstheme="minorBidi"/>
          <w:color w:val="auto"/>
          <w:szCs w:val="24"/>
          <w:highlight w:val="none"/>
          <w:lang w:val="en-US"/>
        </w:rPr>
      </w:r>
      <w:r/>
    </w:p>
    <w:p>
      <w:pPr>
        <w:ind w:firstLine="480"/>
        <w:spacing w:after="160" w:line="278" w:lineRule="auto"/>
        <w:rPr>
          <w:rFonts w:cs="仿宋" w:asciiTheme="minorEastAsia" w:hAnsiTheme="minorEastAsia" w:eastAsiaTheme="minorEastAsia"/>
          <w:color w:val="auto"/>
          <w:sz w:val="24"/>
          <w:szCs w:val="24"/>
          <w:highlight w:val="none"/>
          <w:lang w:val="en-US" w:bidi="ar-SA"/>
        </w:rPr>
      </w:pPr>
      <w:r>
        <w:rPr>
          <w:rFonts w:hint="eastAsia" w:cs="仿宋" w:asciiTheme="minorEastAsia" w:hAnsiTheme="minorEastAsia" w:eastAsiaTheme="minorEastAsia"/>
          <w:color w:val="auto"/>
          <w:sz w:val="24"/>
          <w:szCs w:val="24"/>
          <w:highlight w:val="none"/>
          <w:lang w:val="en-US" w:bidi="ar-SA"/>
        </w:rPr>
        <w:t xml:space="preserve">见证方：</w:t>
      </w:r>
      <w:r/>
    </w:p>
    <w:p>
      <w:pPr>
        <w:ind w:firstLine="480"/>
        <w:spacing w:after="160" w:line="278" w:lineRule="auto"/>
        <w:rPr>
          <w:rFonts w:cs="仿宋" w:asciiTheme="minorEastAsia" w:hAnsiTheme="minorEastAsia" w:eastAsiaTheme="minorEastAsia"/>
          <w:color w:val="auto"/>
          <w:sz w:val="24"/>
          <w:szCs w:val="24"/>
          <w:highlight w:val="none"/>
          <w:lang w:val="en-US" w:bidi="ar-SA"/>
        </w:rPr>
      </w:pPr>
      <w:r>
        <w:rPr>
          <w:rFonts w:hint="eastAsia" w:cs="仿宋" w:asciiTheme="minorEastAsia" w:hAnsiTheme="minorEastAsia" w:eastAsiaTheme="minorEastAsia"/>
          <w:color w:val="auto"/>
          <w:sz w:val="24"/>
          <w:szCs w:val="24"/>
          <w:highlight w:val="none"/>
          <w:lang w:val="en-US" w:bidi="ar-SA"/>
        </w:rPr>
        <w:t xml:space="preserve">项目经办人： </w:t>
      </w:r>
      <w:r/>
    </w:p>
    <w:p>
      <w:pPr>
        <w:ind w:firstLine="480"/>
        <w:spacing w:after="160" w:line="278" w:lineRule="auto"/>
        <w:rPr>
          <w:rFonts w:cs="仿宋" w:asciiTheme="minorEastAsia" w:hAnsiTheme="minorEastAsia" w:eastAsiaTheme="minorEastAsia"/>
          <w:color w:val="auto"/>
          <w:sz w:val="24"/>
          <w:szCs w:val="24"/>
          <w:highlight w:val="none"/>
          <w:lang w:val="en-US" w:bidi="ar-SA"/>
        </w:rPr>
      </w:pPr>
      <w:r>
        <w:rPr>
          <w:rFonts w:hint="eastAsia" w:cs="仿宋" w:asciiTheme="minorEastAsia" w:hAnsiTheme="minorEastAsia" w:eastAsiaTheme="minorEastAsia"/>
          <w:color w:val="auto"/>
          <w:sz w:val="24"/>
          <w:szCs w:val="24"/>
          <w:highlight w:val="none"/>
          <w:lang w:val="en-US" w:bidi="ar-SA"/>
        </w:rPr>
        <w:t xml:space="preserve">日期：     年   月   日</w:t>
      </w:r>
      <w:r/>
    </w:p>
    <w:p>
      <w:pPr>
        <w:ind w:firstLine="440"/>
        <w:spacing w:after="160" w:line="278" w:lineRule="auto"/>
        <w:rPr>
          <w:rFonts w:cstheme="minorBidi"/>
          <w:color w:val="auto"/>
          <w:szCs w:val="24"/>
          <w:highlight w:val="none"/>
          <w:lang w:val="en-US"/>
        </w:rPr>
      </w:pPr>
      <w:r>
        <w:rPr>
          <w:rFonts w:cstheme="minorBidi"/>
          <w:color w:val="auto"/>
          <w:szCs w:val="24"/>
          <w:highlight w:val="none"/>
          <w:lang w:val="en-US"/>
        </w:rPr>
      </w:r>
      <w:r/>
    </w:p>
    <w:p>
      <w:pPr>
        <w:ind w:firstLine="440"/>
        <w:spacing w:after="160" w:line="278" w:lineRule="auto"/>
        <w:rPr>
          <w:rFonts w:cstheme="minorBidi"/>
          <w:color w:val="auto"/>
          <w:szCs w:val="24"/>
          <w:highlight w:val="none"/>
          <w:lang w:val="en-US"/>
        </w:rPr>
      </w:pPr>
      <w:r>
        <w:rPr>
          <w:rFonts w:cstheme="minorBidi"/>
          <w:color w:val="auto"/>
          <w:szCs w:val="24"/>
          <w:highlight w:val="none"/>
          <w:lang w:val="en-US"/>
        </w:rPr>
      </w:r>
      <w:r/>
    </w:p>
    <w:p>
      <w:pPr>
        <w:ind w:firstLine="440"/>
        <w:spacing w:after="160" w:line="278" w:lineRule="auto"/>
        <w:rPr>
          <w:rFonts w:cstheme="minorBidi"/>
          <w:color w:val="auto"/>
          <w:szCs w:val="24"/>
          <w:highlight w:val="none"/>
          <w:lang w:val="en-US"/>
        </w:rPr>
      </w:pPr>
      <w:r>
        <w:rPr>
          <w:rFonts w:cstheme="minorBidi"/>
          <w:color w:val="auto"/>
          <w:szCs w:val="24"/>
          <w:highlight w:val="none"/>
          <w:lang w:val="en-US"/>
        </w:rPr>
      </w:r>
      <w:r/>
    </w:p>
    <w:p>
      <w:pPr>
        <w:pStyle w:val="753"/>
        <w:ind w:left="-567" w:firstLine="594"/>
        <w:jc w:val="center"/>
        <w:spacing w:before="270" w:line="206" w:lineRule="auto"/>
        <w:rPr>
          <w:rFonts w:ascii="黑体" w:hAnsi="黑体" w:eastAsia="黑体" w:cs="黑体"/>
          <w:b/>
          <w:bCs/>
          <w:color w:val="auto"/>
          <w:spacing w:val="-2"/>
          <w:sz w:val="43"/>
          <w:szCs w:val="43"/>
          <w:highlight w:val="none"/>
        </w:rPr>
      </w:pPr>
      <w:r>
        <w:rPr>
          <w:rFonts w:hint="eastAsia" w:ascii="黑体" w:hAnsi="黑体" w:eastAsia="黑体" w:cs="黑体"/>
          <w:b/>
          <w:bCs/>
          <w:color w:val="auto"/>
          <w:spacing w:val="-2"/>
          <w:sz w:val="43"/>
          <w:szCs w:val="43"/>
          <w:highlight w:val="none"/>
        </w:rPr>
        <w:t xml:space="preserve">医疗设备购销廉洁协议</w:t>
      </w:r>
      <w:r/>
    </w:p>
    <w:p>
      <w:pPr>
        <w:pStyle w:val="753"/>
        <w:ind w:left="-567" w:firstLine="594"/>
        <w:jc w:val="center"/>
        <w:spacing w:before="270" w:line="206" w:lineRule="auto"/>
        <w:rPr>
          <w:rFonts w:ascii="黑体" w:hAnsi="黑体" w:eastAsia="黑体" w:cs="黑体"/>
          <w:b/>
          <w:bCs/>
          <w:color w:val="auto"/>
          <w:spacing w:val="-2"/>
          <w:sz w:val="43"/>
          <w:szCs w:val="43"/>
          <w:highlight w:val="none"/>
        </w:rPr>
      </w:pPr>
      <w:r>
        <w:rPr>
          <w:rFonts w:ascii="黑体" w:hAnsi="黑体" w:eastAsia="黑体" w:cs="黑体"/>
          <w:b/>
          <w:bCs/>
          <w:color w:val="auto"/>
          <w:spacing w:val="-2"/>
          <w:sz w:val="43"/>
          <w:szCs w:val="43"/>
          <w:highlight w:val="none"/>
        </w:rPr>
      </w:r>
      <w:r/>
    </w:p>
    <w:p>
      <w:pPr>
        <w:pStyle w:val="753"/>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为了进一步加强党风廉政建设，预防业务活动中不规范和违纪违法行为的发生，根据上级有关法律法规和单位行风建设规章制度，(甲方)仪征市人民医院,(乙方)</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特订立如下协议。</w:t>
      </w:r>
      <w:r/>
    </w:p>
    <w:p>
      <w:pPr>
        <w:pStyle w:val="753"/>
        <w:ind w:firstLine="482"/>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一、甲乙双方的权利和义务</w:t>
      </w:r>
      <w:r/>
    </w:p>
    <w:p>
      <w:pPr>
        <w:pStyle w:val="753"/>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(一)双方严格遵守国家有关法律法规及党风廉政的规定。</w:t>
      </w:r>
      <w:r/>
    </w:p>
    <w:p>
      <w:pPr>
        <w:pStyle w:val="753"/>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(二)双方的业务活动坚持公开、公正、诚信、透明的原则，不得损害国家、集体和病人的利益，违反行业管理的各项规章制度。</w:t>
      </w:r>
      <w:r/>
    </w:p>
    <w:p>
      <w:pPr>
        <w:pStyle w:val="753"/>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(三)发现对方在业务活动中有违反廉政规定的行为，有及时提醒对方纠正的权利和义务。</w:t>
      </w:r>
      <w:r/>
    </w:p>
    <w:p>
      <w:pPr>
        <w:pStyle w:val="753"/>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(四)双方承诺严格遵守本协议，自觉接受双方纪检监察部门的监督。</w:t>
      </w:r>
      <w:r/>
    </w:p>
    <w:p>
      <w:pPr>
        <w:pStyle w:val="753"/>
        <w:ind w:firstLine="482"/>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二、甲方的义务</w:t>
      </w:r>
      <w:r/>
    </w:p>
    <w:p>
      <w:pPr>
        <w:pStyle w:val="753"/>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(一)甲方及其工作人员不得索要或接受乙方的钱物。</w:t>
      </w:r>
      <w:r/>
    </w:p>
    <w:p>
      <w:pPr>
        <w:pStyle w:val="753"/>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(二)甲方工作人员不得私自接受乙方承担费用的旅游、参观、学习培训等活动。</w:t>
      </w:r>
      <w:r/>
    </w:p>
    <w:p>
      <w:pPr>
        <w:pStyle w:val="753"/>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(三)甲方工作人员要秉公办事，不得营私舞弊，不得以权谋私，获得非法利益。</w:t>
      </w:r>
      <w:r/>
    </w:p>
    <w:p>
      <w:pPr>
        <w:pStyle w:val="753"/>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(四)甲方工作人员有义务宣传、告知医院已建立的行风建设制度和规定。</w:t>
      </w:r>
      <w:r/>
    </w:p>
    <w:p>
      <w:pPr>
        <w:pStyle w:val="753"/>
        <w:ind w:firstLine="482"/>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三、乙方的承诺</w:t>
      </w:r>
      <w:r/>
    </w:p>
    <w:p>
      <w:pPr>
        <w:pStyle w:val="753"/>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(一)不以现金、有价证券、实物或变相组织旅游和娱乐活动等形式贿赂本院管理及医务人员。</w:t>
      </w:r>
      <w:r/>
    </w:p>
    <w:p>
      <w:pPr>
        <w:pStyle w:val="753"/>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(二)不以任何名义为甲方工作人员报销应由个人支付的任何费用。</w:t>
      </w:r>
      <w:r/>
    </w:p>
    <w:p>
      <w:pPr>
        <w:pStyle w:val="753"/>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(三)不以任何理由安排甲方工作人员参加高消费宴请及娱乐活动。</w:t>
      </w:r>
      <w:r/>
    </w:p>
    <w:p>
      <w:pPr>
        <w:pStyle w:val="753"/>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(四)不为甲方工作人员及其家属购置或提供通讯工具、交通工具、高档办公用品和一些其他服务。</w:t>
      </w:r>
      <w:r/>
    </w:p>
    <w:p>
      <w:pPr>
        <w:pStyle w:val="753"/>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(五)不得要求医院任何部门、任何个人对药品、器械的使用情况进行统计。</w:t>
      </w:r>
      <w:r/>
    </w:p>
    <w:p>
      <w:pPr>
        <w:pStyle w:val="753"/>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(六)遵守“两指”制度。医药器械代表必须在指定时间、指定地点开展活动。</w:t>
      </w:r>
      <w:r/>
    </w:p>
    <w:p>
      <w:pPr>
        <w:pStyle w:val="753"/>
        <w:ind w:firstLine="482"/>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四、违约责任</w:t>
      </w:r>
      <w:r/>
    </w:p>
    <w:p>
      <w:pPr>
        <w:pStyle w:val="753"/>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(一)甲方及其工作人员违反本协议，按管理权限，依据有关规定给予党纪、政纪或组织处理；涉嫌犯罪的，移交司法机关追究刑事责任。</w:t>
      </w:r>
      <w:r/>
    </w:p>
    <w:p>
      <w:pPr>
        <w:pStyle w:val="753"/>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(二)乙方及其工作人员违反本协议的，按管理权限，依据有关规定，给予相应处分。实施商业贿赂行为的，将被列入商业贿赂不良记录；涉嫌犯罪的，移交司法机关追究 刑事责任。同时，甲方有权终止其业务往来。</w:t>
      </w:r>
      <w:r/>
    </w:p>
    <w:p>
      <w:pPr>
        <w:pStyle w:val="753"/>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753"/>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753"/>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753"/>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753"/>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753"/>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753"/>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甲方：仪征市人民医院          乙方 ：</w:t>
      </w:r>
      <w:r/>
    </w:p>
    <w:p>
      <w:pPr>
        <w:pStyle w:val="753"/>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代表签字：                    代表签字：</w:t>
      </w:r>
      <w:r/>
    </w:p>
    <w:p>
      <w:pPr>
        <w:pStyle w:val="753"/>
        <w:ind w:firstLine="48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日 期 ：                      日 期 ：</w:t>
      </w:r>
      <w:r/>
    </w:p>
    <w:p>
      <w:pPr>
        <w:pStyle w:val="753"/>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753"/>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仿宋" w:hAnsi="仿宋" w:eastAsia="仿宋" w:cs="仿宋"/>
          <w:color w:val="auto"/>
          <w:highlight w:val="none"/>
        </w:rPr>
      </w:pPr>
      <w:r>
        <w:rPr>
          <w:rFonts w:hint="eastAsia" w:ascii="仿宋" w:hAnsi="仿宋" w:eastAsia="仿宋" w:cs="仿宋"/>
          <w:color w:val="auto"/>
          <w:highlight w:val="none"/>
        </w:rPr>
        <w:br w:type="page" w:clear="all"/>
      </w:r>
      <w:r/>
    </w:p>
    <w:p>
      <w:pPr>
        <w:pStyle w:val="741"/>
        <w:numPr>
          <w:ilvl w:val="0"/>
          <w:numId w:val="1"/>
        </w:numPr>
        <w:jc w:val="center"/>
        <w:spacing w:before="0" w:after="0" w:line="360" w:lineRule="auto"/>
        <w:rPr>
          <w:rFonts w:ascii="仿宋" w:hAnsi="仿宋" w:eastAsia="仿宋" w:cs="仿宋"/>
          <w:color w:val="auto"/>
          <w:highlight w:val="none"/>
        </w:rPr>
      </w:pPr>
      <w:r>
        <w:rPr>
          <w:rFonts w:hint="eastAsia" w:ascii="仿宋" w:hAnsi="仿宋" w:eastAsia="仿宋" w:cs="仿宋"/>
          <w:color w:val="auto"/>
          <w:highlight w:val="none"/>
        </w:rPr>
        <w:t xml:space="preserve">技术标准及要求</w:t>
      </w:r>
      <w:bookmarkEnd w:id="42"/>
      <w:r/>
      <w:r/>
    </w:p>
    <w:p>
      <w:pPr>
        <w:spacing w:line="360" w:lineRule="auto"/>
        <w:rPr>
          <w:b/>
          <w:bCs/>
          <w:color w:val="auto"/>
          <w:sz w:val="24"/>
          <w:szCs w:val="24"/>
          <w:highlight w:val="none"/>
          <w:lang w:val="en-US"/>
        </w:rPr>
      </w:pPr>
      <w:r>
        <w:rPr>
          <w:b/>
          <w:bCs/>
          <w:color w:val="auto"/>
          <w:sz w:val="24"/>
          <w:szCs w:val="24"/>
          <w:highlight w:val="none"/>
          <w:lang w:val="en-US"/>
        </w:rPr>
      </w:r>
      <w:r/>
    </w:p>
    <w:p>
      <w:pPr>
        <w:jc w:val="both"/>
        <w:spacing w:line="360" w:lineRule="auto"/>
        <w:rPr>
          <w:b/>
          <w:color w:val="auto"/>
          <w:sz w:val="24"/>
          <w:szCs w:val="24"/>
          <w:highlight w:val="none"/>
          <w:lang w:val="en-US" w:bidi="ar-SA"/>
        </w:rPr>
      </w:pPr>
      <w:r>
        <w:rPr>
          <w:rFonts w:hint="eastAsia"/>
          <w:b/>
          <w:color w:val="auto"/>
          <w:sz w:val="24"/>
          <w:szCs w:val="24"/>
          <w:highlight w:val="none"/>
          <w:lang w:val="en-US" w:bidi="ar-SA"/>
        </w:rPr>
        <w:t xml:space="preserve">1、主镜</w:t>
      </w:r>
      <w:r/>
    </w:p>
    <w:p>
      <w:pPr>
        <w:jc w:val="both"/>
        <w:spacing w:line="360" w:lineRule="auto"/>
        <w:rPr>
          <w:color w:val="auto"/>
          <w:sz w:val="24"/>
          <w:szCs w:val="24"/>
          <w:highlight w:val="none"/>
          <w:lang w:val="en-US" w:bidi="ar-SA"/>
        </w:rPr>
      </w:pPr>
      <w:r>
        <w:rPr>
          <w:rFonts w:hint="eastAsia"/>
          <w:color w:val="auto"/>
          <w:sz w:val="24"/>
          <w:szCs w:val="24"/>
          <w:highlight w:val="none"/>
          <w:lang w:val="en-US" w:bidi="ar-SA"/>
        </w:rPr>
        <w:t xml:space="preserve">1.1双人四目，适用神经外科各类显微手术；</w:t>
      </w:r>
      <w:r/>
    </w:p>
    <w:p>
      <w:pPr>
        <w:jc w:val="both"/>
        <w:spacing w:line="360" w:lineRule="auto"/>
        <w:rPr>
          <w:color w:val="auto"/>
          <w:sz w:val="24"/>
          <w:szCs w:val="24"/>
          <w:highlight w:val="none"/>
          <w:lang w:val="en-US" w:bidi="ar-SA"/>
        </w:rPr>
      </w:pPr>
      <w:r>
        <w:rPr>
          <w:rFonts w:hint="eastAsia"/>
          <w:color w:val="auto"/>
          <w:sz w:val="24"/>
          <w:szCs w:val="24"/>
          <w:highlight w:val="none"/>
          <w:lang w:val="en-US" w:bidi="ar-SA"/>
        </w:rPr>
        <w:t xml:space="preserve">1.2触摸屏</w:t>
      </w:r>
      <w:r>
        <w:rPr>
          <w:rFonts w:hint="eastAsia"/>
          <w:b/>
          <w:color w:val="auto"/>
          <w:sz w:val="24"/>
          <w:szCs w:val="24"/>
          <w:highlight w:val="none"/>
          <w:lang w:val="en-US" w:bidi="ar-SA"/>
        </w:rPr>
        <w:t xml:space="preserve">（≥24英寸）</w:t>
      </w:r>
      <w:r>
        <w:rPr>
          <w:rFonts w:hint="eastAsia"/>
          <w:color w:val="auto"/>
          <w:sz w:val="24"/>
          <w:szCs w:val="24"/>
          <w:highlight w:val="none"/>
          <w:lang w:val="en-US" w:bidi="ar-SA"/>
        </w:rPr>
        <w:t xml:space="preserve">集中控制光学、支架、影像及照明等设置；</w:t>
      </w:r>
      <w:r/>
    </w:p>
    <w:p>
      <w:pPr>
        <w:jc w:val="both"/>
        <w:spacing w:line="360" w:lineRule="auto"/>
        <w:rPr>
          <w:color w:val="auto"/>
          <w:sz w:val="24"/>
          <w:szCs w:val="24"/>
          <w:highlight w:val="none"/>
          <w:lang w:val="en-US" w:bidi="ar-SA"/>
        </w:rPr>
      </w:pPr>
      <w:r>
        <w:rPr>
          <w:rFonts w:hint="eastAsia"/>
          <w:color w:val="auto"/>
          <w:sz w:val="24"/>
          <w:szCs w:val="24"/>
          <w:highlight w:val="none"/>
          <w:lang w:val="en-US" w:bidi="ar-SA"/>
        </w:rPr>
        <w:t xml:space="preserve">1.3全复消色差光学器件；</w:t>
      </w:r>
      <w:r>
        <w:rPr>
          <w:rFonts w:hint="eastAsia"/>
          <w:color w:val="auto"/>
          <w:sz w:val="24"/>
          <w:szCs w:val="24"/>
          <w:highlight w:val="none"/>
          <w:lang w:val="en-US" w:bidi="ar-SA"/>
        </w:rPr>
        <w:tab/>
      </w:r>
      <w:r/>
    </w:p>
    <w:p>
      <w:pPr>
        <w:jc w:val="both"/>
        <w:spacing w:line="360" w:lineRule="auto"/>
        <w:rPr>
          <w:color w:val="auto"/>
          <w:sz w:val="24"/>
          <w:szCs w:val="24"/>
          <w:highlight w:val="none"/>
          <w:lang w:val="en-US" w:bidi="ar-SA"/>
        </w:rPr>
      </w:pPr>
      <w:r>
        <w:rPr>
          <w:rFonts w:hint="eastAsia"/>
          <w:color w:val="auto"/>
          <w:sz w:val="24"/>
          <w:szCs w:val="24"/>
          <w:highlight w:val="none"/>
          <w:lang w:val="en-US" w:bidi="ar-SA"/>
        </w:rPr>
        <w:t xml:space="preserve">▲1.4放大倍数：无极变倍系统，最小放大倍率≤2X（</w:t>
      </w:r>
      <w:r>
        <w:rPr>
          <w:rFonts w:hint="eastAsia"/>
          <w:b/>
          <w:color w:val="auto"/>
          <w:sz w:val="24"/>
          <w:szCs w:val="24"/>
          <w:highlight w:val="none"/>
          <w:lang w:val="en-US" w:bidi="ar-SA"/>
        </w:rPr>
        <w:t xml:space="preserve">1.5X</w:t>
      </w:r>
      <w:r>
        <w:rPr>
          <w:rFonts w:hint="eastAsia"/>
          <w:color w:val="auto"/>
          <w:sz w:val="24"/>
          <w:szCs w:val="24"/>
          <w:highlight w:val="none"/>
          <w:lang w:val="en-US" w:bidi="ar-SA"/>
        </w:rPr>
        <w:t xml:space="preserve">） ，最大放大倍率≥15X（12.5倍目镜下）；</w:t>
      </w:r>
      <w:r/>
    </w:p>
    <w:p>
      <w:pPr>
        <w:jc w:val="both"/>
        <w:spacing w:line="360" w:lineRule="auto"/>
        <w:rPr>
          <w:color w:val="auto"/>
          <w:sz w:val="24"/>
          <w:szCs w:val="24"/>
          <w:highlight w:val="none"/>
          <w:lang w:val="en-US" w:bidi="ar-SA"/>
        </w:rPr>
      </w:pPr>
      <w:r>
        <w:rPr>
          <w:rFonts w:hint="eastAsia"/>
          <w:color w:val="auto"/>
          <w:sz w:val="24"/>
          <w:szCs w:val="24"/>
          <w:highlight w:val="none"/>
          <w:lang w:val="en-US" w:bidi="ar-SA"/>
        </w:rPr>
        <w:t xml:space="preserve">▲1.5可调物镜下，最小工作距离≤225 mm，最大工作距离≥550mm；</w:t>
      </w:r>
      <w:r>
        <w:rPr>
          <w:rFonts w:hint="eastAsia"/>
          <w:color w:val="auto"/>
          <w:sz w:val="24"/>
          <w:szCs w:val="24"/>
          <w:highlight w:val="none"/>
          <w:lang w:val="en-US" w:bidi="ar-SA"/>
        </w:rPr>
        <w:tab/>
      </w:r>
      <w:r/>
    </w:p>
    <w:p>
      <w:pPr>
        <w:jc w:val="both"/>
        <w:spacing w:line="360" w:lineRule="auto"/>
        <w:rPr>
          <w:color w:val="auto"/>
          <w:sz w:val="24"/>
          <w:szCs w:val="24"/>
          <w:highlight w:val="none"/>
          <w:lang w:val="en-US" w:bidi="ar-SA"/>
        </w:rPr>
      </w:pPr>
      <w:r>
        <w:rPr>
          <w:rFonts w:hint="eastAsia"/>
          <w:color w:val="auto"/>
          <w:sz w:val="24"/>
          <w:szCs w:val="24"/>
          <w:highlight w:val="none"/>
          <w:lang w:val="en-US" w:bidi="ar-SA"/>
        </w:rPr>
        <w:t xml:space="preserve">1.6广角目镜，屈光补偿-7D 到+5D 连续调节，眼杯高度可调；</w:t>
      </w:r>
      <w:r/>
    </w:p>
    <w:p>
      <w:pPr>
        <w:jc w:val="both"/>
        <w:spacing w:line="360" w:lineRule="auto"/>
        <w:rPr>
          <w:color w:val="auto"/>
          <w:sz w:val="24"/>
          <w:szCs w:val="24"/>
          <w:highlight w:val="none"/>
          <w:lang w:val="en-US" w:bidi="ar-SA"/>
        </w:rPr>
      </w:pPr>
      <w:r>
        <w:rPr>
          <w:rFonts w:hint="eastAsia"/>
          <w:color w:val="auto"/>
          <w:sz w:val="24"/>
          <w:szCs w:val="24"/>
          <w:highlight w:val="none"/>
          <w:lang w:val="en-US" w:bidi="ar-SA"/>
        </w:rPr>
        <w:t xml:space="preserve">1.7手柄可自由设定控制参数，如：变倍、调焦、拍照、录像、调节亮度、启动荧光、</w:t>
      </w:r>
      <w:r>
        <w:rPr>
          <w:rFonts w:hint="eastAsia"/>
          <w:b/>
          <w:color w:val="auto"/>
          <w:sz w:val="24"/>
          <w:szCs w:val="24"/>
          <w:highlight w:val="none"/>
          <w:lang w:val="en-US" w:bidi="ar-SA"/>
        </w:rPr>
        <w:t xml:space="preserve">景深控制</w:t>
      </w:r>
      <w:r>
        <w:rPr>
          <w:rFonts w:hint="eastAsia"/>
          <w:color w:val="auto"/>
          <w:sz w:val="24"/>
          <w:szCs w:val="24"/>
          <w:highlight w:val="none"/>
          <w:lang w:val="en-US" w:bidi="ar-SA"/>
        </w:rPr>
        <w:t xml:space="preserve">等功能；</w:t>
      </w:r>
      <w:r/>
    </w:p>
    <w:p>
      <w:pPr>
        <w:jc w:val="both"/>
        <w:spacing w:line="360" w:lineRule="auto"/>
        <w:rPr>
          <w:b/>
          <w:color w:val="auto"/>
          <w:sz w:val="24"/>
          <w:szCs w:val="24"/>
          <w:highlight w:val="none"/>
          <w:lang w:val="en-US" w:bidi="ar-SA"/>
        </w:rPr>
      </w:pPr>
      <w:r>
        <w:rPr>
          <w:rFonts w:hint="eastAsia"/>
          <w:b/>
          <w:color w:val="auto"/>
          <w:sz w:val="24"/>
          <w:szCs w:val="24"/>
          <w:highlight w:val="none"/>
          <w:lang w:val="en-US" w:bidi="ar-SA"/>
        </w:rPr>
        <w:t xml:space="preserve">2、助手镜</w:t>
      </w:r>
      <w:r/>
    </w:p>
    <w:p>
      <w:pPr>
        <w:jc w:val="both"/>
        <w:spacing w:line="360" w:lineRule="auto"/>
        <w:rPr>
          <w:color w:val="auto"/>
          <w:sz w:val="24"/>
          <w:szCs w:val="24"/>
          <w:highlight w:val="none"/>
          <w:lang w:val="en-US" w:bidi="ar-SA"/>
        </w:rPr>
      </w:pPr>
      <w:r>
        <w:rPr>
          <w:rFonts w:hint="eastAsia"/>
          <w:color w:val="auto"/>
          <w:sz w:val="24"/>
          <w:szCs w:val="24"/>
          <w:highlight w:val="none"/>
          <w:lang w:val="en-US" w:bidi="ar-SA"/>
        </w:rPr>
        <w:t xml:space="preserve">▲2.1 助手镜可360°旋转可调至对手镜位置，具备锁控功能；</w:t>
      </w:r>
      <w:r>
        <w:rPr>
          <w:rFonts w:hint="eastAsia"/>
          <w:color w:val="auto"/>
          <w:sz w:val="24"/>
          <w:szCs w:val="24"/>
          <w:highlight w:val="none"/>
          <w:lang w:val="en-US" w:bidi="ar-SA"/>
        </w:rPr>
        <w:tab/>
      </w:r>
      <w:r/>
    </w:p>
    <w:p>
      <w:pPr>
        <w:jc w:val="both"/>
        <w:spacing w:line="360" w:lineRule="auto"/>
        <w:rPr>
          <w:color w:val="auto"/>
          <w:sz w:val="24"/>
          <w:szCs w:val="24"/>
          <w:highlight w:val="none"/>
          <w:lang w:val="en-US" w:bidi="ar-SA"/>
        </w:rPr>
      </w:pPr>
      <w:r>
        <w:rPr>
          <w:rFonts w:hint="eastAsia"/>
          <w:color w:val="auto"/>
          <w:sz w:val="24"/>
          <w:szCs w:val="24"/>
          <w:highlight w:val="none"/>
          <w:lang w:val="en-US" w:bidi="ar-SA"/>
        </w:rPr>
        <w:t xml:space="preserve">2.2主刀镜前后调节角度时助手镜位置不变，提高手术效率；</w:t>
      </w:r>
      <w:r/>
    </w:p>
    <w:p>
      <w:pPr>
        <w:jc w:val="both"/>
        <w:spacing w:line="360" w:lineRule="auto"/>
        <w:rPr>
          <w:b/>
          <w:color w:val="auto"/>
          <w:sz w:val="24"/>
          <w:szCs w:val="24"/>
          <w:highlight w:val="none"/>
          <w:lang w:val="en-US" w:bidi="ar-SA"/>
        </w:rPr>
      </w:pPr>
      <w:r>
        <w:rPr>
          <w:rFonts w:hint="eastAsia"/>
          <w:b/>
          <w:color w:val="auto"/>
          <w:sz w:val="24"/>
          <w:szCs w:val="24"/>
          <w:highlight w:val="none"/>
          <w:lang w:val="en-US" w:bidi="ar-SA"/>
        </w:rPr>
        <w:t xml:space="preserve">3、照明系统</w:t>
      </w:r>
      <w:r>
        <w:rPr>
          <w:rFonts w:hint="eastAsia"/>
          <w:b/>
          <w:color w:val="auto"/>
          <w:sz w:val="24"/>
          <w:szCs w:val="24"/>
          <w:highlight w:val="none"/>
          <w:lang w:val="en-US" w:bidi="ar-SA"/>
        </w:rPr>
        <w:tab/>
      </w:r>
      <w:r/>
    </w:p>
    <w:p>
      <w:pPr>
        <w:jc w:val="both"/>
        <w:spacing w:line="360" w:lineRule="auto"/>
        <w:rPr>
          <w:color w:val="auto"/>
          <w:sz w:val="24"/>
          <w:szCs w:val="24"/>
          <w:highlight w:val="none"/>
          <w:lang w:val="en-US" w:bidi="ar-SA"/>
        </w:rPr>
      </w:pPr>
      <w:r>
        <w:rPr>
          <w:rFonts w:hint="eastAsia"/>
          <w:color w:val="auto"/>
          <w:sz w:val="24"/>
          <w:szCs w:val="24"/>
          <w:highlight w:val="none"/>
          <w:lang w:val="en-US" w:bidi="ar-SA"/>
        </w:rPr>
        <w:t xml:space="preserve">3.1支架上冷光源照明系统，经光纤传导至显微镜；</w:t>
      </w:r>
      <w:r>
        <w:rPr>
          <w:rFonts w:hint="eastAsia"/>
          <w:color w:val="auto"/>
          <w:sz w:val="24"/>
          <w:szCs w:val="24"/>
          <w:highlight w:val="none"/>
          <w:lang w:val="en-US" w:bidi="ar-SA"/>
        </w:rPr>
        <w:tab/>
      </w:r>
      <w:r/>
    </w:p>
    <w:p>
      <w:pPr>
        <w:jc w:val="both"/>
        <w:spacing w:line="360" w:lineRule="auto"/>
        <w:rPr>
          <w:color w:val="auto"/>
          <w:sz w:val="24"/>
          <w:szCs w:val="24"/>
          <w:highlight w:val="none"/>
          <w:lang w:val="en-US" w:bidi="ar-SA"/>
        </w:rPr>
      </w:pPr>
      <w:r>
        <w:rPr>
          <w:rFonts w:hint="eastAsia"/>
          <w:color w:val="auto"/>
          <w:sz w:val="24"/>
          <w:szCs w:val="24"/>
          <w:highlight w:val="none"/>
          <w:lang w:val="en-US" w:bidi="ar-SA"/>
        </w:rPr>
        <w:t xml:space="preserve">★3.2 照明光源：≥300W双氙灯，可一键自动切换主备用光源，有氙灯寿命显示；</w:t>
      </w:r>
      <w:r/>
    </w:p>
    <w:p>
      <w:pPr>
        <w:jc w:val="both"/>
        <w:spacing w:line="360" w:lineRule="auto"/>
        <w:rPr>
          <w:color w:val="auto"/>
          <w:sz w:val="24"/>
          <w:szCs w:val="24"/>
          <w:highlight w:val="none"/>
          <w:lang w:val="en-US" w:bidi="ar-SA"/>
        </w:rPr>
      </w:pPr>
      <w:r>
        <w:rPr>
          <w:rFonts w:hint="eastAsia"/>
          <w:color w:val="auto"/>
          <w:sz w:val="24"/>
          <w:szCs w:val="24"/>
          <w:highlight w:val="none"/>
          <w:lang w:val="en-US" w:bidi="ar-SA"/>
        </w:rPr>
        <w:t xml:space="preserve">3.3 可实现光亮度与工作距离联动，光照范围与术野联动，结合自定义照明亮度预警设置，可防止术中组织灼伤；</w:t>
      </w:r>
      <w:r/>
    </w:p>
    <w:p>
      <w:pPr>
        <w:jc w:val="both"/>
        <w:spacing w:line="360" w:lineRule="auto"/>
        <w:rPr>
          <w:b/>
          <w:color w:val="auto"/>
          <w:sz w:val="24"/>
          <w:szCs w:val="24"/>
          <w:highlight w:val="none"/>
          <w:lang w:val="en-US" w:bidi="ar-SA"/>
        </w:rPr>
      </w:pPr>
      <w:r>
        <w:rPr>
          <w:rFonts w:hint="eastAsia"/>
          <w:b/>
          <w:color w:val="auto"/>
          <w:sz w:val="24"/>
          <w:szCs w:val="24"/>
          <w:highlight w:val="none"/>
          <w:lang w:val="en-US" w:bidi="ar-SA"/>
        </w:rPr>
        <w:t xml:space="preserve">4、支架系统</w:t>
      </w:r>
      <w:r>
        <w:rPr>
          <w:rFonts w:hint="eastAsia"/>
          <w:b/>
          <w:color w:val="auto"/>
          <w:sz w:val="24"/>
          <w:szCs w:val="24"/>
          <w:highlight w:val="none"/>
          <w:lang w:val="en-US" w:bidi="ar-SA"/>
        </w:rPr>
        <w:tab/>
      </w:r>
      <w:r/>
    </w:p>
    <w:p>
      <w:pPr>
        <w:jc w:val="both"/>
        <w:spacing w:line="360" w:lineRule="auto"/>
        <w:rPr>
          <w:color w:val="auto"/>
          <w:sz w:val="24"/>
          <w:szCs w:val="24"/>
          <w:highlight w:val="none"/>
          <w:lang w:val="en-US" w:bidi="ar-SA"/>
        </w:rPr>
      </w:pPr>
      <w:r>
        <w:rPr>
          <w:rFonts w:hint="eastAsia"/>
          <w:color w:val="auto"/>
          <w:sz w:val="24"/>
          <w:szCs w:val="24"/>
          <w:highlight w:val="none"/>
          <w:lang w:val="en-US" w:bidi="ar-SA"/>
        </w:rPr>
        <w:t xml:space="preserve">▲4.1具有自动平衡功能；</w:t>
      </w:r>
      <w:r/>
    </w:p>
    <w:p>
      <w:pPr>
        <w:jc w:val="both"/>
        <w:spacing w:line="360" w:lineRule="auto"/>
        <w:rPr>
          <w:color w:val="auto"/>
          <w:sz w:val="24"/>
          <w:szCs w:val="24"/>
          <w:highlight w:val="none"/>
          <w:lang w:val="en-US" w:bidi="ar-SA"/>
        </w:rPr>
      </w:pPr>
      <w:r>
        <w:rPr>
          <w:rFonts w:hint="eastAsia"/>
          <w:color w:val="auto"/>
          <w:sz w:val="24"/>
          <w:szCs w:val="24"/>
          <w:highlight w:val="none"/>
          <w:lang w:val="en-US" w:bidi="ar-SA"/>
        </w:rPr>
        <w:t xml:space="preserve">★4.2为保证安全，显微镜底座和支架稳定性好，支架各关节有电磁锁控制，底座万向轮设计，可移动性好，不易锈蚀，带脚刹，方便固定；</w:t>
      </w:r>
      <w:r/>
    </w:p>
    <w:p>
      <w:pPr>
        <w:jc w:val="both"/>
        <w:spacing w:line="360" w:lineRule="auto"/>
        <w:rPr>
          <w:b/>
          <w:color w:val="auto"/>
          <w:sz w:val="24"/>
          <w:szCs w:val="24"/>
          <w:highlight w:val="none"/>
          <w:lang w:val="en-US" w:bidi="ar-SA"/>
        </w:rPr>
      </w:pPr>
      <w:r>
        <w:rPr>
          <w:rFonts w:hint="eastAsia"/>
          <w:b/>
          <w:color w:val="auto"/>
          <w:sz w:val="24"/>
          <w:szCs w:val="24"/>
          <w:highlight w:val="none"/>
          <w:lang w:val="en-US" w:bidi="ar-SA"/>
        </w:rPr>
        <w:t xml:space="preserve">5、摄像系统</w:t>
      </w:r>
      <w:r/>
    </w:p>
    <w:p>
      <w:pPr>
        <w:jc w:val="both"/>
        <w:spacing w:line="360" w:lineRule="auto"/>
        <w:rPr>
          <w:color w:val="auto"/>
          <w:sz w:val="24"/>
          <w:szCs w:val="24"/>
          <w:highlight w:val="none"/>
          <w:lang w:val="en-US" w:bidi="ar-SA"/>
        </w:rPr>
      </w:pPr>
      <w:r>
        <w:rPr>
          <w:rFonts w:hint="eastAsia"/>
          <w:color w:val="auto"/>
          <w:sz w:val="24"/>
          <w:szCs w:val="24"/>
          <w:highlight w:val="none"/>
          <w:lang w:val="en-US" w:bidi="ar-SA"/>
        </w:rPr>
        <w:t xml:space="preserve">5.1内置高清摄像头，像素≥1080p；</w:t>
      </w:r>
      <w:r/>
    </w:p>
    <w:p>
      <w:pPr>
        <w:jc w:val="both"/>
        <w:spacing w:line="360" w:lineRule="auto"/>
        <w:rPr>
          <w:color w:val="auto"/>
          <w:sz w:val="24"/>
          <w:szCs w:val="24"/>
          <w:highlight w:val="none"/>
          <w:lang w:val="en-US" w:bidi="ar-SA"/>
        </w:rPr>
      </w:pPr>
      <w:r>
        <w:rPr>
          <w:rFonts w:hint="eastAsia"/>
          <w:color w:val="auto"/>
          <w:sz w:val="24"/>
          <w:szCs w:val="24"/>
          <w:highlight w:val="none"/>
          <w:lang w:val="en-US" w:bidi="ar-SA"/>
        </w:rPr>
        <w:t xml:space="preserve">5.2配置≥24英寸</w:t>
      </w:r>
      <w:r>
        <w:rPr>
          <w:rFonts w:hint="eastAsia"/>
          <w:b/>
          <w:color w:val="auto"/>
          <w:sz w:val="24"/>
          <w:szCs w:val="24"/>
          <w:highlight w:val="none"/>
          <w:lang w:val="en-US" w:bidi="ar-SA"/>
        </w:rPr>
        <w:t xml:space="preserve">原厂</w:t>
      </w:r>
      <w:r>
        <w:rPr>
          <w:rFonts w:hint="eastAsia"/>
          <w:color w:val="auto"/>
          <w:sz w:val="24"/>
          <w:szCs w:val="24"/>
          <w:highlight w:val="none"/>
          <w:lang w:val="en-US" w:bidi="ar-SA"/>
        </w:rPr>
        <w:t xml:space="preserve">高清触摸屏监视器，可外接USB数据存储，且具备连接、传输、显示及存储手术显微镜视频功能；</w:t>
      </w:r>
      <w:r/>
    </w:p>
    <w:p>
      <w:pPr>
        <w:jc w:val="both"/>
        <w:spacing w:line="360" w:lineRule="auto"/>
        <w:rPr>
          <w:color w:val="auto"/>
          <w:sz w:val="24"/>
          <w:szCs w:val="24"/>
          <w:highlight w:val="none"/>
          <w:lang w:val="en-US" w:bidi="ar-SA"/>
        </w:rPr>
      </w:pPr>
      <w:r>
        <w:rPr>
          <w:rFonts w:hint="eastAsia"/>
          <w:color w:val="auto"/>
          <w:sz w:val="24"/>
          <w:szCs w:val="24"/>
          <w:highlight w:val="none"/>
          <w:lang w:val="en-US" w:bidi="ar-SA"/>
        </w:rPr>
        <w:t xml:space="preserve">5.3 照片格式：JPEG，PNG；</w:t>
      </w:r>
      <w:r/>
    </w:p>
    <w:p>
      <w:pPr>
        <w:jc w:val="both"/>
        <w:spacing w:line="360" w:lineRule="auto"/>
        <w:rPr>
          <w:b/>
          <w:color w:val="auto"/>
          <w:sz w:val="24"/>
          <w:szCs w:val="24"/>
          <w:highlight w:val="none"/>
          <w:lang w:val="en-US" w:bidi="ar-SA"/>
        </w:rPr>
      </w:pPr>
      <w:r>
        <w:rPr>
          <w:rFonts w:hint="eastAsia"/>
          <w:b/>
          <w:color w:val="auto"/>
          <w:sz w:val="24"/>
          <w:szCs w:val="24"/>
          <w:highlight w:val="none"/>
          <w:lang w:val="en-US" w:bidi="ar-SA"/>
        </w:rPr>
        <w:t xml:space="preserve">6、荧光模块</w:t>
      </w:r>
      <w:r/>
    </w:p>
    <w:p>
      <w:pPr>
        <w:jc w:val="both"/>
        <w:spacing w:line="360" w:lineRule="auto"/>
        <w:rPr>
          <w:b/>
          <w:color w:val="auto"/>
          <w:sz w:val="24"/>
          <w:szCs w:val="24"/>
          <w:highlight w:val="none"/>
          <w:lang w:val="en-US" w:bidi="ar-SA"/>
        </w:rPr>
      </w:pPr>
      <w:r>
        <w:rPr>
          <w:rFonts w:hint="eastAsia"/>
          <w:color w:val="auto"/>
          <w:sz w:val="24"/>
          <w:szCs w:val="24"/>
          <w:highlight w:val="none"/>
          <w:lang w:val="en-US" w:bidi="ar-SA"/>
        </w:rPr>
        <w:t xml:space="preserve">★6.1</w:t>
      </w:r>
      <w:r>
        <w:rPr>
          <w:rFonts w:hint="eastAsia"/>
          <w:bCs/>
          <w:color w:val="auto"/>
          <w:sz w:val="24"/>
          <w:szCs w:val="24"/>
          <w:highlight w:val="none"/>
          <w:lang w:val="en-US" w:bidi="ar-SA"/>
        </w:rPr>
        <w:t xml:space="preserve">内置全高清血管荧光造影模块</w:t>
      </w:r>
      <w:r>
        <w:rPr>
          <w:rFonts w:hint="eastAsia"/>
          <w:color w:val="auto"/>
          <w:sz w:val="24"/>
          <w:szCs w:val="24"/>
          <w:highlight w:val="none"/>
          <w:lang w:val="en-US" w:bidi="ar-SA"/>
        </w:rPr>
        <w:t xml:space="preserve">，不影响助手镜对换；</w:t>
      </w:r>
      <w:r/>
    </w:p>
    <w:p>
      <w:pPr>
        <w:jc w:val="both"/>
        <w:spacing w:line="360" w:lineRule="auto"/>
        <w:rPr>
          <w:color w:val="auto"/>
          <w:sz w:val="24"/>
          <w:szCs w:val="24"/>
          <w:highlight w:val="none"/>
          <w:lang w:val="en-US" w:bidi="ar-SA"/>
        </w:rPr>
      </w:pPr>
      <w:r>
        <w:rPr>
          <w:rFonts w:hint="eastAsia"/>
          <w:color w:val="auto"/>
          <w:sz w:val="24"/>
          <w:szCs w:val="24"/>
          <w:highlight w:val="none"/>
          <w:lang w:val="en-US" w:bidi="ar-SA"/>
        </w:rPr>
        <w:t xml:space="preserve">6.2造影剂：吲哚菁绿</w:t>
      </w:r>
      <w:r/>
    </w:p>
    <w:p>
      <w:pPr>
        <w:jc w:val="both"/>
        <w:spacing w:line="360" w:lineRule="auto"/>
        <w:rPr>
          <w:b/>
          <w:color w:val="auto"/>
          <w:sz w:val="24"/>
          <w:szCs w:val="24"/>
          <w:highlight w:val="none"/>
          <w:lang w:val="en-US" w:bidi="ar-SA"/>
        </w:rPr>
      </w:pPr>
      <w:r>
        <w:rPr>
          <w:rFonts w:hint="eastAsia"/>
          <w:b/>
          <w:color w:val="auto"/>
          <w:sz w:val="24"/>
          <w:szCs w:val="24"/>
          <w:highlight w:val="none"/>
          <w:lang w:val="en-US" w:bidi="ar-SA"/>
        </w:rPr>
        <w:t xml:space="preserve">7、质保  </w:t>
      </w:r>
      <w:r/>
    </w:p>
    <w:p>
      <w:pPr>
        <w:jc w:val="both"/>
        <w:spacing w:line="360" w:lineRule="auto"/>
        <w:rPr>
          <w:color w:val="auto"/>
          <w:sz w:val="24"/>
          <w:szCs w:val="24"/>
          <w:highlight w:val="none"/>
          <w:lang w:val="en-US" w:bidi="ar-SA"/>
        </w:rPr>
      </w:pPr>
      <w:r>
        <w:rPr>
          <w:rFonts w:hint="eastAsia"/>
          <w:color w:val="auto"/>
          <w:sz w:val="24"/>
          <w:szCs w:val="24"/>
          <w:highlight w:val="none"/>
          <w:lang w:val="en-US" w:bidi="ar-SA"/>
        </w:rPr>
        <w:t xml:space="preserve">★7.1保修要求：原厂保修，期限至少</w:t>
      </w:r>
      <w:r>
        <w:rPr>
          <w:rFonts w:hint="eastAsia"/>
          <w:color w:val="auto"/>
          <w:sz w:val="24"/>
          <w:szCs w:val="24"/>
          <w:highlight w:val="none"/>
          <w:lang w:val="en-US" w:bidi="ar-SA"/>
        </w:rPr>
        <w:t xml:space="preserve">五年</w:t>
      </w:r>
      <w:r>
        <w:rPr>
          <w:rFonts w:hint="eastAsia"/>
          <w:color w:val="auto"/>
          <w:sz w:val="24"/>
          <w:szCs w:val="24"/>
          <w:highlight w:val="none"/>
          <w:lang w:val="en-US" w:bidi="ar-SA"/>
        </w:rPr>
        <w:t xml:space="preserve">；保修期内每年工程师至少提供一次全面的保养，并提供详细的维保工单；保修期满后终身提供技术支持，维修、配件价格至少八折优惠</w:t>
      </w:r>
      <w:r>
        <w:rPr>
          <w:rFonts w:hint="eastAsia"/>
          <w:color w:val="auto"/>
          <w:sz w:val="24"/>
          <w:szCs w:val="24"/>
          <w:highlight w:val="none"/>
          <w:lang w:val="en-US" w:bidi="ar-SA"/>
        </w:rPr>
        <w:t xml:space="preserve">（提供常用设备配件清单，并标明价格)</w:t>
      </w:r>
      <w:r>
        <w:rPr>
          <w:rFonts w:hint="eastAsia"/>
          <w:color w:val="auto"/>
          <w:sz w:val="24"/>
          <w:szCs w:val="24"/>
          <w:highlight w:val="none"/>
          <w:lang w:val="en-US" w:bidi="ar-SA"/>
        </w:rPr>
        <w:t xml:space="preserve">；</w:t>
      </w:r>
      <w:r/>
    </w:p>
    <w:p>
      <w:pPr>
        <w:jc w:val="both"/>
        <w:spacing w:line="360" w:lineRule="auto"/>
        <w:rPr>
          <w:b/>
          <w:color w:val="auto"/>
          <w:sz w:val="24"/>
          <w:szCs w:val="24"/>
          <w:highlight w:val="none"/>
          <w:lang w:val="en-US" w:bidi="ar-SA"/>
        </w:rPr>
      </w:pPr>
      <w:r>
        <w:rPr>
          <w:rFonts w:hint="eastAsia"/>
          <w:b/>
          <w:color w:val="auto"/>
          <w:sz w:val="24"/>
          <w:szCs w:val="24"/>
          <w:highlight w:val="none"/>
          <w:lang w:val="en-US" w:bidi="ar-SA"/>
        </w:rPr>
        <w:t xml:space="preserve">8、其他</w:t>
      </w:r>
      <w:r/>
    </w:p>
    <w:p>
      <w:pPr>
        <w:jc w:val="both"/>
        <w:spacing w:line="360" w:lineRule="auto"/>
        <w:rPr>
          <w:color w:val="auto"/>
          <w:sz w:val="24"/>
          <w:szCs w:val="24"/>
          <w:highlight w:val="none"/>
          <w:lang w:val="en-US" w:bidi="ar-SA"/>
        </w:rPr>
      </w:pPr>
      <w:r>
        <w:rPr>
          <w:rFonts w:hint="eastAsia"/>
          <w:color w:val="auto"/>
          <w:sz w:val="24"/>
          <w:szCs w:val="24"/>
          <w:highlight w:val="none"/>
          <w:lang w:val="en-US" w:bidi="ar-SA"/>
        </w:rPr>
        <w:t xml:space="preserve">8.1使用年限：≥5年</w:t>
      </w:r>
      <w:r>
        <w:rPr>
          <w:rFonts w:hint="eastAsia"/>
          <w:color w:val="auto"/>
          <w:sz w:val="24"/>
          <w:szCs w:val="24"/>
          <w:highlight w:val="none"/>
          <w:lang w:val="en-US" w:bidi="ar-SA"/>
        </w:rPr>
        <w:t xml:space="preserve">（以铭牌为准），提供承诺函并加盖公章</w:t>
      </w:r>
      <w:r>
        <w:rPr>
          <w:rFonts w:hint="eastAsia"/>
          <w:color w:val="auto"/>
          <w:sz w:val="24"/>
          <w:szCs w:val="24"/>
          <w:highlight w:val="none"/>
          <w:lang w:val="en-US" w:bidi="ar-SA"/>
        </w:rPr>
        <w:t xml:space="preserve">；</w:t>
      </w:r>
      <w:r/>
    </w:p>
    <w:p>
      <w:pPr>
        <w:jc w:val="both"/>
        <w:spacing w:line="360" w:lineRule="auto"/>
        <w:rPr>
          <w:color w:val="auto"/>
          <w:sz w:val="24"/>
          <w:szCs w:val="24"/>
          <w:highlight w:val="none"/>
          <w:lang w:val="en-US" w:bidi="ar-SA"/>
        </w:rPr>
      </w:pPr>
      <w:r>
        <w:rPr>
          <w:rFonts w:hint="eastAsia"/>
          <w:color w:val="auto"/>
          <w:sz w:val="24"/>
          <w:szCs w:val="24"/>
          <w:highlight w:val="none"/>
          <w:lang w:val="en-US" w:bidi="ar-SA"/>
        </w:rPr>
        <w:t xml:space="preserve">8.2培训：培训效果达到无工程师在场的情况下，操作人员可独立使用；</w:t>
      </w:r>
      <w:r/>
    </w:p>
    <w:p>
      <w:pPr>
        <w:jc w:val="both"/>
        <w:spacing w:line="360" w:lineRule="auto"/>
        <w:rPr>
          <w:color w:val="auto"/>
          <w:sz w:val="24"/>
          <w:szCs w:val="24"/>
          <w:highlight w:val="none"/>
          <w:lang w:val="en-US" w:bidi="ar-SA"/>
        </w:rPr>
      </w:pPr>
      <w:r>
        <w:rPr>
          <w:rFonts w:hint="eastAsia"/>
          <w:color w:val="auto"/>
          <w:sz w:val="24"/>
          <w:szCs w:val="24"/>
          <w:highlight w:val="none"/>
          <w:lang w:val="en-US" w:bidi="ar-SA"/>
        </w:rPr>
        <w:t xml:space="preserve">8.3更新：后期如涉及院方需要对设备进行更新，价格至少八折优惠</w:t>
      </w:r>
      <w:r>
        <w:rPr>
          <w:rFonts w:hint="eastAsia"/>
          <w:color w:val="auto"/>
          <w:sz w:val="24"/>
          <w:szCs w:val="24"/>
          <w:highlight w:val="none"/>
          <w:lang w:val="en-US" w:bidi="ar-SA"/>
        </w:rPr>
        <w:t xml:space="preserve">（提供清单，并标明价格)</w:t>
      </w:r>
      <w:r>
        <w:rPr>
          <w:rFonts w:hint="eastAsia"/>
          <w:color w:val="auto"/>
          <w:sz w:val="24"/>
          <w:szCs w:val="24"/>
          <w:highlight w:val="none"/>
          <w:lang w:val="en-US" w:bidi="ar-SA"/>
        </w:rPr>
        <w:t xml:space="preserve">；</w:t>
      </w:r>
      <w:r/>
    </w:p>
    <w:p>
      <w:pPr>
        <w:jc w:val="both"/>
        <w:spacing w:line="360" w:lineRule="auto"/>
        <w:rPr>
          <w:color w:val="auto"/>
          <w:sz w:val="24"/>
          <w:szCs w:val="24"/>
          <w:highlight w:val="none"/>
          <w:lang w:val="en-US" w:bidi="ar-SA"/>
        </w:rPr>
      </w:pPr>
      <w:r>
        <w:rPr>
          <w:rFonts w:hint="eastAsia"/>
          <w:color w:val="auto"/>
          <w:sz w:val="24"/>
          <w:szCs w:val="24"/>
          <w:highlight w:val="none"/>
          <w:lang w:val="en-US" w:bidi="ar-SA"/>
        </w:rPr>
        <w:t xml:space="preserve">8.4生产日期：来院验收时国产设备要求三个月以内，进口设备要求半年以内</w:t>
      </w:r>
      <w:r>
        <w:rPr>
          <w:rFonts w:hint="eastAsia"/>
          <w:color w:val="auto"/>
          <w:sz w:val="24"/>
          <w:szCs w:val="24"/>
          <w:highlight w:val="none"/>
          <w:lang w:val="en-US" w:bidi="ar-SA"/>
        </w:rPr>
        <w:t xml:space="preserve">（以铭牌为准），提供承诺函并加盖公章</w:t>
      </w:r>
      <w:r>
        <w:rPr>
          <w:rFonts w:hint="eastAsia"/>
          <w:color w:val="auto"/>
          <w:sz w:val="24"/>
          <w:szCs w:val="24"/>
          <w:highlight w:val="none"/>
          <w:lang w:val="en-US" w:bidi="ar-SA"/>
        </w:rPr>
        <w:t xml:space="preserve">；</w:t>
      </w:r>
      <w:r/>
    </w:p>
    <w:p>
      <w:pPr>
        <w:jc w:val="both"/>
        <w:spacing w:line="360" w:lineRule="auto"/>
        <w:rPr>
          <w:color w:val="auto"/>
          <w:sz w:val="24"/>
          <w:szCs w:val="24"/>
          <w:highlight w:val="none"/>
          <w:lang w:val="en-US" w:bidi="ar-SA"/>
        </w:rPr>
      </w:pPr>
      <w:r>
        <w:rPr>
          <w:rFonts w:hint="eastAsia"/>
          <w:color w:val="auto"/>
          <w:sz w:val="24"/>
          <w:szCs w:val="24"/>
          <w:highlight w:val="none"/>
          <w:lang w:val="en-US" w:bidi="ar-SA"/>
        </w:rPr>
        <w:t xml:space="preserve">8.5售后</w:t>
      </w:r>
      <w:r>
        <w:rPr>
          <w:rFonts w:hint="eastAsia"/>
          <w:color w:val="auto"/>
          <w:sz w:val="24"/>
          <w:szCs w:val="24"/>
          <w:highlight w:val="none"/>
          <w:lang w:val="en-US"/>
        </w:rPr>
        <w:t xml:space="preserve">服务内容包括现场服务、定期巡检、故障服务等内容。维修人员保证在24小时内响应，并提供维修解决方案。</w:t>
      </w:r>
      <w:r/>
    </w:p>
    <w:p>
      <w:pPr>
        <w:spacing w:line="360" w:lineRule="auto"/>
        <w:rPr>
          <w:color w:val="auto"/>
          <w:sz w:val="24"/>
          <w:szCs w:val="24"/>
          <w:highlight w:val="none"/>
          <w:lang w:val="en-US"/>
        </w:rPr>
      </w:pPr>
      <w:r>
        <w:rPr>
          <w:rFonts w:hint="eastAsia"/>
          <w:color w:val="auto"/>
          <w:sz w:val="24"/>
          <w:szCs w:val="24"/>
          <w:highlight w:val="none"/>
          <w:lang w:val="en-US"/>
        </w:rPr>
        <w:t xml:space="preserve">8.6投标人负责完成设备安装、调试、运行和验收交付等工作。投标人应提供详细、可行的进度计划，并根据项目进度详细列出各个阶段采购人需要配合的内容。</w:t>
      </w:r>
      <w:r/>
    </w:p>
    <w:p>
      <w:pPr>
        <w:spacing w:line="360" w:lineRule="auto"/>
        <w:rPr>
          <w:color w:val="auto"/>
          <w:sz w:val="24"/>
          <w:szCs w:val="24"/>
          <w:highlight w:val="none"/>
          <w:lang w:val="en-US"/>
        </w:rPr>
      </w:pPr>
      <w:r>
        <w:rPr>
          <w:rFonts w:hint="eastAsia"/>
          <w:color w:val="auto"/>
          <w:sz w:val="24"/>
          <w:szCs w:val="24"/>
          <w:highlight w:val="none"/>
          <w:lang w:val="en-US"/>
        </w:rPr>
        <w:t xml:space="preserve">8.7提供培训计划（包括临床使用培训，工程师维修保养培训），培训内容为本设备系统操作及常见问题处理，确保临床人员具备独立工作的能力。</w:t>
      </w:r>
      <w:r/>
    </w:p>
    <w:p>
      <w:pPr>
        <w:spacing w:line="360" w:lineRule="auto"/>
        <w:rPr>
          <w:color w:val="auto"/>
          <w:sz w:val="24"/>
          <w:szCs w:val="24"/>
          <w:highlight w:val="none"/>
          <w:lang w:val="en-US"/>
        </w:rPr>
      </w:pPr>
      <w:r>
        <w:rPr>
          <w:rFonts w:hint="eastAsia"/>
          <w:b/>
          <w:bCs/>
          <w:color w:val="auto"/>
          <w:sz w:val="24"/>
          <w:szCs w:val="24"/>
          <w:highlight w:val="none"/>
        </w:rPr>
        <w:t xml:space="preserve">★</w:t>
      </w:r>
      <w:r>
        <w:rPr>
          <w:rFonts w:hint="eastAsia"/>
          <w:color w:val="auto"/>
          <w:sz w:val="24"/>
          <w:szCs w:val="24"/>
          <w:highlight w:val="none"/>
          <w:lang w:val="en-US"/>
        </w:rPr>
        <w:t xml:space="preserve">8.8付款方式：</w:t>
      </w:r>
      <w:r>
        <w:rPr>
          <w:rFonts w:hint="eastAsia"/>
          <w:color w:val="auto"/>
          <w:sz w:val="24"/>
          <w:szCs w:val="24"/>
          <w:highlight w:val="none"/>
          <w:lang w:val="en-US" w:bidi="ar-SA"/>
        </w:rPr>
        <w:t xml:space="preserve">合同签订后，甲方自收到乙方发票10日内支付合同总价的30%；验收合格后支付合同总价的60%；验收合格一年后付清尾款（自交付验收合格之日起计）。</w:t>
      </w:r>
      <w:r/>
    </w:p>
    <w:p>
      <w:pPr>
        <w:spacing w:line="360" w:lineRule="auto"/>
        <w:rPr>
          <w:color w:val="auto"/>
          <w:sz w:val="24"/>
          <w:szCs w:val="24"/>
          <w:highlight w:val="none"/>
          <w:lang w:val="en-US"/>
        </w:rPr>
      </w:pPr>
      <w:r>
        <w:rPr>
          <w:rFonts w:hint="eastAsia"/>
          <w:b/>
          <w:bCs/>
          <w:color w:val="auto"/>
          <w:sz w:val="24"/>
          <w:szCs w:val="24"/>
          <w:highlight w:val="none"/>
        </w:rPr>
        <w:t xml:space="preserve">★</w:t>
      </w:r>
      <w:r>
        <w:rPr>
          <w:rFonts w:hint="eastAsia"/>
          <w:color w:val="auto"/>
          <w:sz w:val="24"/>
          <w:szCs w:val="24"/>
          <w:highlight w:val="none"/>
          <w:lang w:val="en-US"/>
        </w:rPr>
        <w:t xml:space="preserve">8.9交货期：合同签订后90天内。</w:t>
      </w:r>
      <w:r/>
    </w:p>
    <w:p>
      <w:pPr>
        <w:spacing w:line="360" w:lineRule="auto"/>
        <w:rPr>
          <w:b/>
          <w:bCs/>
          <w:color w:val="auto"/>
          <w:sz w:val="24"/>
          <w:szCs w:val="24"/>
          <w:highlight w:val="none"/>
          <w:lang w:val="en-US"/>
        </w:rPr>
      </w:pPr>
      <w:r>
        <w:rPr>
          <w:rFonts w:hint="eastAsia"/>
          <w:b/>
          <w:bCs/>
          <w:color w:val="auto"/>
          <w:sz w:val="24"/>
          <w:szCs w:val="24"/>
          <w:highlight w:val="none"/>
          <w:lang w:val="en-US"/>
        </w:rPr>
        <w:t xml:space="preserve">注：以上</w:t>
      </w:r>
      <w:r>
        <w:rPr>
          <w:rFonts w:hint="eastAsia"/>
          <w:b/>
          <w:bCs/>
          <w:color w:val="auto"/>
          <w:sz w:val="24"/>
          <w:szCs w:val="24"/>
          <w:highlight w:val="none"/>
        </w:rPr>
        <w:t xml:space="preserve">★</w:t>
      </w:r>
      <w:r>
        <w:rPr>
          <w:rFonts w:hint="eastAsia"/>
          <w:b/>
          <w:bCs/>
          <w:color w:val="auto"/>
          <w:sz w:val="24"/>
          <w:szCs w:val="24"/>
          <w:highlight w:val="none"/>
          <w:lang w:val="en-US"/>
        </w:rPr>
        <w:t xml:space="preserve">参数为实质性要求，如有负偏离作无效投标文件处理</w:t>
      </w:r>
      <w:r/>
    </w:p>
    <w:p>
      <w:pPr>
        <w:spacing w:line="360" w:lineRule="auto"/>
        <w:rPr>
          <w:b/>
          <w:bCs/>
          <w:color w:val="auto"/>
          <w:sz w:val="24"/>
          <w:highlight w:val="none"/>
          <w:lang w:val="en-US"/>
        </w:rPr>
      </w:pPr>
      <w:r>
        <w:rPr>
          <w:b/>
          <w:bCs/>
          <w:color w:val="auto"/>
          <w:sz w:val="24"/>
          <w:highlight w:val="none"/>
          <w:lang w:val="en-US"/>
        </w:rPr>
      </w:r>
      <w:r/>
    </w:p>
    <w:p>
      <w:pPr>
        <w:rPr>
          <w:rFonts w:ascii="仿宋" w:hAnsi="仿宋" w:eastAsia="仿宋" w:cs="仿宋"/>
          <w:color w:val="auto"/>
          <w:sz w:val="40"/>
          <w:szCs w:val="40"/>
          <w:highlight w:val="none"/>
        </w:rPr>
      </w:pPr>
      <w:r/>
      <w:bookmarkStart w:id="43" w:name="_Toc18592"/>
      <w:r>
        <w:rPr>
          <w:rFonts w:hint="eastAsia" w:ascii="仿宋" w:hAnsi="仿宋" w:eastAsia="仿宋" w:cs="仿宋"/>
          <w:color w:val="auto"/>
          <w:sz w:val="40"/>
          <w:szCs w:val="40"/>
          <w:highlight w:val="none"/>
        </w:rPr>
        <w:br w:type="page" w:clear="all"/>
      </w:r>
      <w:r/>
    </w:p>
    <w:p>
      <w:pPr>
        <w:pStyle w:val="741"/>
        <w:numPr>
          <w:ilvl w:val="0"/>
          <w:numId w:val="1"/>
        </w:numPr>
        <w:jc w:val="center"/>
        <w:rPr>
          <w:rFonts w:ascii="仿宋" w:hAnsi="仿宋" w:eastAsia="仿宋" w:cs="仿宋"/>
          <w:color w:val="auto"/>
          <w:sz w:val="40"/>
          <w:szCs w:val="40"/>
          <w:highlight w:val="none"/>
        </w:rPr>
      </w:pPr>
      <w:r>
        <w:rPr>
          <w:rFonts w:hint="eastAsia" w:ascii="仿宋" w:hAnsi="仿宋" w:eastAsia="仿宋" w:cs="仿宋"/>
          <w:color w:val="auto"/>
          <w:sz w:val="40"/>
          <w:szCs w:val="40"/>
          <w:highlight w:val="none"/>
        </w:rPr>
        <w:t xml:space="preserve">投标文件格式</w:t>
      </w:r>
      <w:bookmarkEnd w:id="43"/>
      <w:r/>
      <w:r/>
    </w:p>
    <w:p>
      <w:pPr>
        <w:jc w:val="center"/>
        <w:rPr>
          <w:b/>
          <w:color w:val="auto"/>
          <w:sz w:val="72"/>
          <w:highlight w:val="none"/>
        </w:rPr>
      </w:pPr>
      <w:r>
        <w:rPr>
          <w:rFonts w:hint="eastAsia"/>
          <w:b/>
          <w:color w:val="auto"/>
          <w:sz w:val="72"/>
          <w:highlight w:val="none"/>
        </w:rPr>
        <w:t xml:space="preserve">投  标  文  件</w:t>
      </w:r>
      <w:r/>
    </w:p>
    <w:p>
      <w:pPr>
        <w:jc w:val="center"/>
        <w:rPr>
          <w:b/>
          <w:color w:val="auto"/>
          <w:sz w:val="72"/>
          <w:highlight w:val="none"/>
        </w:rPr>
      </w:pPr>
      <w:r>
        <w:rPr>
          <w:b/>
          <w:color w:val="auto"/>
          <w:sz w:val="72"/>
          <w:highlight w:val="none"/>
        </w:rPr>
      </w:r>
      <w:r/>
    </w:p>
    <w:p>
      <w:pPr>
        <w:jc w:val="center"/>
        <w:rPr>
          <w:b/>
          <w:color w:val="auto"/>
          <w:sz w:val="72"/>
          <w:highlight w:val="none"/>
        </w:rPr>
      </w:pPr>
      <w:r>
        <w:rPr>
          <w:b/>
          <w:color w:val="auto"/>
          <w:sz w:val="72"/>
          <w:highlight w:val="none"/>
        </w:rPr>
      </w:r>
      <w:r/>
    </w:p>
    <w:p>
      <w:pPr>
        <w:jc w:val="center"/>
        <w:rPr>
          <w:b/>
          <w:color w:val="auto"/>
          <w:sz w:val="36"/>
          <w:highlight w:val="none"/>
        </w:rPr>
      </w:pPr>
      <w:r>
        <w:rPr>
          <w:b/>
          <w:color w:val="auto"/>
          <w:sz w:val="36"/>
          <w:highlight w:val="none"/>
        </w:rPr>
      </w:r>
      <w:r/>
    </w:p>
    <w:p>
      <w:pPr>
        <w:jc w:val="center"/>
        <w:rPr>
          <w:b/>
          <w:color w:val="auto"/>
          <w:sz w:val="36"/>
          <w:highlight w:val="none"/>
        </w:rPr>
      </w:pPr>
      <w:r>
        <w:rPr>
          <w:b/>
          <w:color w:val="auto"/>
          <w:sz w:val="36"/>
          <w:highlight w:val="none"/>
        </w:rPr>
      </w:r>
      <w:r/>
    </w:p>
    <w:p>
      <w:pPr>
        <w:jc w:val="center"/>
        <w:rPr>
          <w:b/>
          <w:color w:val="auto"/>
          <w:sz w:val="36"/>
          <w:highlight w:val="none"/>
        </w:rPr>
      </w:pPr>
      <w:r>
        <w:rPr>
          <w:b/>
          <w:color w:val="auto"/>
          <w:sz w:val="36"/>
          <w:highlight w:val="none"/>
        </w:rPr>
      </w:r>
      <w:r/>
    </w:p>
    <w:p>
      <w:pPr>
        <w:ind w:firstLine="1084"/>
        <w:rPr>
          <w:b/>
          <w:color w:val="auto"/>
          <w:sz w:val="36"/>
          <w:highlight w:val="none"/>
        </w:rPr>
      </w:pPr>
      <w:r>
        <w:rPr>
          <w:rFonts w:hint="eastAsia"/>
          <w:b/>
          <w:color w:val="auto"/>
          <w:sz w:val="36"/>
          <w:highlight w:val="none"/>
        </w:rPr>
        <w:t xml:space="preserve">项 目 名 称：</w:t>
      </w:r>
      <w:r/>
    </w:p>
    <w:p>
      <w:pPr>
        <w:ind w:firstLine="1084"/>
        <w:rPr>
          <w:b/>
          <w:color w:val="auto"/>
          <w:sz w:val="36"/>
          <w:highlight w:val="none"/>
          <w:u w:val="single"/>
        </w:rPr>
      </w:pPr>
      <w:r>
        <w:rPr>
          <w:rFonts w:hint="eastAsia"/>
          <w:b/>
          <w:color w:val="auto"/>
          <w:sz w:val="36"/>
          <w:highlight w:val="none"/>
        </w:rPr>
        <w:t xml:space="preserve">项 目 编 号：</w:t>
      </w:r>
      <w:r/>
    </w:p>
    <w:p>
      <w:pPr>
        <w:rPr>
          <w:b/>
          <w:color w:val="auto"/>
          <w:sz w:val="36"/>
          <w:highlight w:val="none"/>
          <w:u w:val="single"/>
        </w:rPr>
      </w:pPr>
      <w:r>
        <w:rPr>
          <w:rFonts w:hint="eastAsia"/>
          <w:b/>
          <w:color w:val="auto"/>
          <w:sz w:val="36"/>
          <w:highlight w:val="none"/>
        </w:rPr>
        <w:t xml:space="preserve">      投标人名称 ：</w:t>
      </w:r>
      <w:r>
        <w:rPr>
          <w:rFonts w:hint="eastAsia"/>
          <w:b/>
          <w:color w:val="auto"/>
          <w:sz w:val="36"/>
          <w:highlight w:val="none"/>
          <w:u w:val="single"/>
        </w:rPr>
        <w:t xml:space="preserve">（加盖CA电子公章）</w:t>
      </w:r>
      <w:r/>
    </w:p>
    <w:p>
      <w:pPr>
        <w:rPr>
          <w:b/>
          <w:color w:val="auto"/>
          <w:sz w:val="36"/>
          <w:highlight w:val="none"/>
          <w:u w:val="single"/>
        </w:rPr>
      </w:pPr>
      <w:r>
        <w:rPr>
          <w:rFonts w:hint="eastAsia"/>
          <w:b/>
          <w:color w:val="auto"/>
          <w:sz w:val="36"/>
          <w:highlight w:val="none"/>
        </w:rPr>
        <w:t xml:space="preserve">      日      期 ：</w:t>
      </w:r>
      <w:r/>
    </w:p>
    <w:p>
      <w:pPr>
        <w:jc w:val="center"/>
        <w:spacing w:line="440" w:lineRule="exact"/>
        <w:rPr>
          <w:b/>
          <w:bCs/>
          <w:color w:val="auto"/>
          <w:sz w:val="32"/>
          <w:szCs w:val="32"/>
          <w:highlight w:val="none"/>
        </w:rPr>
      </w:pPr>
      <w:r>
        <w:rPr>
          <w:b/>
          <w:bCs/>
          <w:color w:val="auto"/>
          <w:sz w:val="32"/>
          <w:szCs w:val="32"/>
          <w:highlight w:val="none"/>
        </w:rPr>
      </w:r>
      <w:r/>
    </w:p>
    <w:p>
      <w:pPr>
        <w:spacing w:line="440" w:lineRule="exact"/>
        <w:rPr>
          <w:color w:val="auto"/>
          <w:highlight w:val="none"/>
        </w:rPr>
      </w:pPr>
      <w:r>
        <w:rPr>
          <w:color w:val="auto"/>
          <w:highlight w:val="none"/>
        </w:rPr>
      </w:r>
      <w:r/>
    </w:p>
    <w:p>
      <w:pPr>
        <w:ind w:firstLine="1084"/>
        <w:rPr>
          <w:b/>
          <w:bCs/>
          <w:color w:val="auto"/>
          <w:sz w:val="32"/>
          <w:szCs w:val="32"/>
          <w:highlight w:val="none"/>
        </w:rPr>
      </w:pPr>
      <w:r>
        <w:rPr>
          <w:b/>
          <w:color w:val="auto"/>
          <w:sz w:val="36"/>
          <w:highlight w:val="none"/>
          <w:u w:val="single"/>
        </w:rPr>
        <w:br w:type="page" w:clear="all"/>
      </w:r>
      <w:r/>
    </w:p>
    <w:p>
      <w:pPr>
        <w:jc w:val="center"/>
        <w:spacing w:line="440" w:lineRule="exact"/>
        <w:rPr>
          <w:b/>
          <w:bCs/>
          <w:color w:val="auto"/>
          <w:sz w:val="32"/>
          <w:szCs w:val="32"/>
          <w:highlight w:val="none"/>
        </w:rPr>
      </w:pPr>
      <w:r>
        <w:rPr>
          <w:rFonts w:hint="eastAsia"/>
          <w:b/>
          <w:bCs/>
          <w:color w:val="auto"/>
          <w:sz w:val="32"/>
          <w:szCs w:val="32"/>
          <w:highlight w:val="none"/>
        </w:rPr>
        <w:t xml:space="preserve">投标文件目录</w:t>
      </w:r>
      <w:r/>
    </w:p>
    <w:p>
      <w:pPr>
        <w:jc w:val="center"/>
        <w:spacing w:line="440" w:lineRule="exact"/>
        <w:rPr>
          <w:b/>
          <w:bCs/>
          <w:color w:val="auto"/>
          <w:sz w:val="32"/>
          <w:szCs w:val="32"/>
          <w:highlight w:val="none"/>
        </w:rPr>
      </w:pPr>
      <w:r>
        <w:rPr>
          <w:b/>
          <w:bCs/>
          <w:color w:val="auto"/>
          <w:sz w:val="32"/>
          <w:szCs w:val="32"/>
          <w:highlight w:val="none"/>
        </w:rPr>
      </w:r>
      <w:r/>
    </w:p>
    <w:p>
      <w:pPr>
        <w:ind w:firstLine="480"/>
        <w:spacing w:line="440" w:lineRule="exact"/>
        <w:rPr>
          <w:rFonts w:ascii="仿宋" w:hAnsi="仿宋" w:eastAsia="仿宋" w:cs="仿宋"/>
          <w:b/>
          <w:bCs/>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一、具有独立承担民事责任的能力</w:t>
      </w:r>
      <w:r>
        <w:rPr>
          <w:rFonts w:hint="eastAsia" w:ascii="仿宋" w:hAnsi="仿宋" w:eastAsia="仿宋" w:cs="仿宋"/>
          <w:b/>
          <w:bCs/>
          <w:i/>
          <w:iCs/>
          <w:color w:val="auto"/>
          <w:sz w:val="24"/>
          <w:szCs w:val="24"/>
          <w:highlight w:val="none"/>
          <w:u w:val="single"/>
          <w:lang w:val="en-US" w:bidi="ar-SA"/>
        </w:rPr>
        <w:t xml:space="preserve">（提供法人或者其他组织的营业执照；供应商为自然人的，提供其身份证）；</w:t>
      </w:r>
      <w:r/>
    </w:p>
    <w:p>
      <w:pPr>
        <w:ind w:firstLine="480"/>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二、具有良好的商业信誉和健全的财务会计制度</w:t>
      </w:r>
      <w:r>
        <w:rPr>
          <w:rFonts w:hint="eastAsia" w:ascii="仿宋" w:hAnsi="仿宋" w:eastAsia="仿宋" w:cs="仿宋"/>
          <w:b/>
          <w:bCs/>
          <w:i/>
          <w:iCs/>
          <w:color w:val="auto"/>
          <w:sz w:val="24"/>
          <w:szCs w:val="24"/>
          <w:highlight w:val="none"/>
          <w:u w:val="single"/>
          <w:lang w:val="en-US" w:bidi="ar-SA"/>
        </w:rPr>
        <w:t xml:space="preserve">（提供2024年度财务报告或2025年度财务报告，至少包含资产负债表、利润表，或投标截止时间前六个月内银行出具的资信证明，或财政部门认可的政府采购专业担保机构出具的投标担保函；成立不满一年的无需提供）；</w:t>
      </w:r>
      <w:r/>
    </w:p>
    <w:p>
      <w:pPr>
        <w:ind w:firstLine="480"/>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三、具有履行合同所必需的设备和专业技术能力</w:t>
      </w:r>
      <w:r>
        <w:rPr>
          <w:rFonts w:hint="eastAsia" w:ascii="仿宋" w:hAnsi="仿宋" w:eastAsia="仿宋" w:cs="仿宋"/>
          <w:b/>
          <w:bCs/>
          <w:i/>
          <w:iCs/>
          <w:color w:val="auto"/>
          <w:sz w:val="24"/>
          <w:szCs w:val="24"/>
          <w:highlight w:val="none"/>
          <w:u w:val="single"/>
          <w:lang w:val="en-US" w:bidi="ar-SA"/>
        </w:rPr>
        <w:t xml:space="preserve">（供应商根据履行采购项目合同需要，提供履行合同所必需的设备和专业技术能力的声明函或证明材料）；</w:t>
      </w:r>
      <w:r/>
    </w:p>
    <w:p>
      <w:pPr>
        <w:ind w:firstLine="480"/>
        <w:spacing w:line="440" w:lineRule="exact"/>
        <w:rPr>
          <w:rFonts w:ascii="仿宋" w:hAnsi="仿宋" w:eastAsia="仿宋" w:cs="仿宋"/>
          <w:b/>
          <w:bCs/>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四、有依法缴纳税收和社会保障资金的良好记录</w:t>
      </w:r>
      <w:r>
        <w:rPr>
          <w:rFonts w:hint="eastAsia" w:ascii="仿宋" w:hAnsi="仿宋" w:eastAsia="仿宋" w:cs="仿宋"/>
          <w:b/>
          <w:bCs/>
          <w:i/>
          <w:iCs/>
          <w:color w:val="auto"/>
          <w:sz w:val="24"/>
          <w:szCs w:val="24"/>
          <w:highlight w:val="none"/>
          <w:u w:val="single"/>
          <w:lang w:val="en-US" w:bidi="ar-SA"/>
        </w:rPr>
        <w:t xml:space="preserve">（提供2025年8月至今）中任一月份的依法缴纳税收和社会保险费的相关材料（提供相关主管部门证明或银行代扣证明的复印件，根据国家相关政策免缴或迟缴的需提供相关证明材料）；</w:t>
      </w:r>
      <w:r/>
    </w:p>
    <w:p>
      <w:pPr>
        <w:ind w:firstLine="480"/>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五、参加政府采购活动前三年内，在经营活动中没有重大违法记录</w:t>
      </w:r>
      <w:r>
        <w:rPr>
          <w:rFonts w:hint="eastAsia" w:ascii="仿宋" w:hAnsi="仿宋" w:eastAsia="仿宋" w:cs="仿宋"/>
          <w:b/>
          <w:bCs/>
          <w:i/>
          <w:iCs/>
          <w:color w:val="auto"/>
          <w:sz w:val="24"/>
          <w:szCs w:val="24"/>
          <w:highlight w:val="none"/>
          <w:u w:val="single"/>
          <w:lang w:val="en-US" w:bidi="ar-SA"/>
        </w:rPr>
        <w:t xml:space="preserve">（提供承诺书）</w:t>
      </w:r>
      <w:r>
        <w:rPr>
          <w:rFonts w:hint="eastAsia" w:ascii="仿宋" w:hAnsi="仿宋" w:eastAsia="仿宋" w:cs="仿宋"/>
          <w:i/>
          <w:iCs/>
          <w:color w:val="auto"/>
          <w:sz w:val="24"/>
          <w:szCs w:val="24"/>
          <w:highlight w:val="none"/>
          <w:u w:val="single"/>
          <w:lang w:val="en-US" w:bidi="ar-SA"/>
        </w:rPr>
        <w:t xml:space="preserve">；</w:t>
      </w:r>
      <w:r/>
    </w:p>
    <w:p>
      <w:pPr>
        <w:ind w:firstLine="480"/>
        <w:spacing w:line="440" w:lineRule="exact"/>
        <w:rPr>
          <w:i/>
          <w:color w:val="auto"/>
          <w:sz w:val="24"/>
          <w:highlight w:val="none"/>
          <w:u w:val="single"/>
        </w:rPr>
      </w:pPr>
      <w:r>
        <w:rPr>
          <w:rFonts w:hint="eastAsia"/>
          <w:i/>
          <w:color w:val="auto"/>
          <w:sz w:val="24"/>
          <w:highlight w:val="none"/>
          <w:u w:val="single"/>
        </w:rPr>
        <w:t xml:space="preserve">六、供应商信用承诺函</w:t>
      </w:r>
      <w:r/>
    </w:p>
    <w:p>
      <w:pPr>
        <w:ind w:firstLine="480"/>
        <w:spacing w:line="440" w:lineRule="exact"/>
        <w:rPr>
          <w:i/>
          <w:color w:val="auto"/>
          <w:sz w:val="24"/>
          <w:highlight w:val="none"/>
          <w:u w:val="single"/>
        </w:rPr>
      </w:pPr>
      <w:r>
        <w:rPr>
          <w:rFonts w:hint="eastAsia"/>
          <w:i/>
          <w:color w:val="auto"/>
          <w:sz w:val="24"/>
          <w:highlight w:val="none"/>
          <w:u w:val="single"/>
        </w:rPr>
        <w:t xml:space="preserve">七、特定资格要求的证明文件（如果本项目设置特定资格要求，则需要提供）</w:t>
      </w:r>
      <w:r/>
    </w:p>
    <w:p>
      <w:pPr>
        <w:ind w:firstLine="480"/>
        <w:spacing w:line="440" w:lineRule="exact"/>
        <w:rPr>
          <w:i/>
          <w:color w:val="auto"/>
          <w:sz w:val="24"/>
          <w:highlight w:val="none"/>
          <w:u w:val="single"/>
        </w:rPr>
      </w:pPr>
      <w:r>
        <w:rPr>
          <w:rFonts w:hint="eastAsia"/>
          <w:i/>
          <w:color w:val="auto"/>
          <w:sz w:val="24"/>
          <w:highlight w:val="none"/>
          <w:u w:val="single"/>
        </w:rPr>
        <w:t xml:space="preserve">八、法人授权书</w:t>
      </w:r>
      <w:r/>
    </w:p>
    <w:p>
      <w:pPr>
        <w:ind w:firstLine="480"/>
        <w:spacing w:line="440" w:lineRule="exact"/>
        <w:rPr>
          <w:i/>
          <w:color w:val="auto"/>
          <w:sz w:val="24"/>
          <w:highlight w:val="none"/>
          <w:u w:val="single"/>
        </w:rPr>
      </w:pPr>
      <w:r>
        <w:rPr>
          <w:rFonts w:hint="eastAsia"/>
          <w:i/>
          <w:color w:val="auto"/>
          <w:sz w:val="24"/>
          <w:highlight w:val="none"/>
          <w:u w:val="single"/>
        </w:rPr>
        <w:t xml:space="preserve">九、投标函</w:t>
      </w:r>
      <w:r/>
    </w:p>
    <w:p>
      <w:pPr>
        <w:ind w:firstLine="480"/>
        <w:spacing w:line="440" w:lineRule="exact"/>
        <w:rPr>
          <w:color w:val="auto"/>
          <w:sz w:val="24"/>
          <w:highlight w:val="none"/>
        </w:rPr>
      </w:pPr>
      <w:r>
        <w:rPr>
          <w:rFonts w:hint="eastAsia"/>
          <w:color w:val="auto"/>
          <w:sz w:val="24"/>
          <w:highlight w:val="none"/>
        </w:rPr>
        <w:t xml:space="preserve">十、中小企业声明函</w:t>
      </w:r>
      <w:r>
        <w:rPr>
          <w:rFonts w:hint="eastAsia"/>
          <w:color w:val="auto"/>
          <w:sz w:val="24"/>
          <w:highlight w:val="none"/>
          <w:lang w:val="en-US"/>
        </w:rPr>
        <w:t xml:space="preserve">或其他</w:t>
      </w:r>
      <w:r>
        <w:rPr>
          <w:rFonts w:hint="eastAsia"/>
          <w:color w:val="auto"/>
          <w:sz w:val="24"/>
          <w:highlight w:val="none"/>
        </w:rPr>
        <w:t xml:space="preserve">声明函</w:t>
      </w:r>
      <w:r/>
    </w:p>
    <w:p>
      <w:pPr>
        <w:ind w:firstLine="480"/>
        <w:spacing w:line="440" w:lineRule="exact"/>
        <w:rPr>
          <w:color w:val="auto"/>
          <w:sz w:val="24"/>
          <w:highlight w:val="none"/>
        </w:rPr>
      </w:pPr>
      <w:r>
        <w:rPr>
          <w:rFonts w:hint="eastAsia"/>
          <w:color w:val="auto"/>
          <w:sz w:val="24"/>
          <w:highlight w:val="none"/>
        </w:rPr>
        <w:t xml:space="preserve">十一、联合体协议</w:t>
      </w:r>
      <w:r/>
    </w:p>
    <w:p>
      <w:pPr>
        <w:ind w:firstLine="480"/>
        <w:spacing w:line="440" w:lineRule="exact"/>
        <w:rPr>
          <w:iCs/>
          <w:color w:val="auto"/>
          <w:sz w:val="24"/>
          <w:highlight w:val="none"/>
        </w:rPr>
      </w:pPr>
      <w:r>
        <w:rPr>
          <w:rFonts w:hint="eastAsia"/>
          <w:iCs/>
          <w:color w:val="auto"/>
          <w:sz w:val="24"/>
          <w:highlight w:val="none"/>
        </w:rPr>
        <w:t xml:space="preserve">十二、投标分项报价表</w:t>
      </w:r>
      <w:r/>
    </w:p>
    <w:p>
      <w:pPr>
        <w:ind w:firstLine="480"/>
        <w:spacing w:line="440" w:lineRule="exact"/>
        <w:rPr>
          <w:color w:val="auto"/>
          <w:sz w:val="24"/>
          <w:highlight w:val="none"/>
        </w:rPr>
      </w:pPr>
      <w:r>
        <w:rPr>
          <w:rFonts w:hint="eastAsia"/>
          <w:color w:val="auto"/>
          <w:sz w:val="24"/>
          <w:highlight w:val="none"/>
        </w:rPr>
        <w:t xml:space="preserve">十</w:t>
      </w:r>
      <w:r>
        <w:rPr>
          <w:rFonts w:hint="eastAsia"/>
          <w:color w:val="auto"/>
          <w:sz w:val="24"/>
          <w:highlight w:val="none"/>
          <w:lang w:val="en-US"/>
        </w:rPr>
        <w:t xml:space="preserve">三</w:t>
      </w:r>
      <w:r>
        <w:rPr>
          <w:rFonts w:hint="eastAsia"/>
          <w:color w:val="auto"/>
          <w:sz w:val="24"/>
          <w:highlight w:val="none"/>
        </w:rPr>
        <w:t xml:space="preserve">、技术要求响应及偏离表</w:t>
      </w:r>
      <w:r/>
    </w:p>
    <w:p>
      <w:pPr>
        <w:ind w:firstLine="480"/>
        <w:spacing w:line="440" w:lineRule="exact"/>
        <w:rPr>
          <w:color w:val="auto"/>
          <w:sz w:val="24"/>
          <w:highlight w:val="none"/>
        </w:rPr>
      </w:pPr>
      <w:r>
        <w:rPr>
          <w:rFonts w:hint="eastAsia"/>
          <w:color w:val="auto"/>
          <w:sz w:val="24"/>
          <w:highlight w:val="none"/>
        </w:rPr>
        <w:t xml:space="preserve">十</w:t>
      </w:r>
      <w:r>
        <w:rPr>
          <w:rFonts w:hint="eastAsia"/>
          <w:color w:val="auto"/>
          <w:sz w:val="24"/>
          <w:highlight w:val="none"/>
          <w:lang w:val="en-US"/>
        </w:rPr>
        <w:t xml:space="preserve">四</w:t>
      </w:r>
      <w:r>
        <w:rPr>
          <w:rFonts w:hint="eastAsia"/>
          <w:color w:val="auto"/>
          <w:sz w:val="24"/>
          <w:highlight w:val="none"/>
        </w:rPr>
        <w:t xml:space="preserve">、商务要求响应及偏离表</w:t>
      </w:r>
      <w:r/>
    </w:p>
    <w:p>
      <w:pPr>
        <w:ind w:firstLine="480"/>
        <w:spacing w:line="440" w:lineRule="exact"/>
        <w:rPr>
          <w:i/>
          <w:color w:val="auto"/>
          <w:sz w:val="24"/>
          <w:highlight w:val="none"/>
          <w:u w:val="single"/>
        </w:rPr>
      </w:pPr>
      <w:r>
        <w:rPr>
          <w:rFonts w:hint="eastAsia"/>
          <w:i/>
          <w:color w:val="auto"/>
          <w:sz w:val="24"/>
          <w:highlight w:val="none"/>
          <w:u w:val="single"/>
        </w:rPr>
        <w:t xml:space="preserve">十</w:t>
      </w:r>
      <w:r>
        <w:rPr>
          <w:rFonts w:hint="eastAsia"/>
          <w:i/>
          <w:color w:val="auto"/>
          <w:sz w:val="24"/>
          <w:highlight w:val="none"/>
          <w:u w:val="single"/>
          <w:lang w:val="en-US"/>
        </w:rPr>
        <w:t xml:space="preserve">五</w:t>
      </w:r>
      <w:r>
        <w:rPr>
          <w:rFonts w:hint="eastAsia"/>
          <w:i/>
          <w:color w:val="auto"/>
          <w:sz w:val="24"/>
          <w:highlight w:val="none"/>
          <w:u w:val="single"/>
        </w:rPr>
        <w:t xml:space="preserve">、开标一览表</w:t>
      </w:r>
      <w:r/>
    </w:p>
    <w:p>
      <w:pPr>
        <w:ind w:firstLine="480"/>
        <w:spacing w:line="440" w:lineRule="exact"/>
        <w:rPr>
          <w:iCs/>
          <w:color w:val="auto"/>
          <w:sz w:val="24"/>
          <w:highlight w:val="none"/>
        </w:rPr>
      </w:pPr>
      <w:r>
        <w:rPr>
          <w:rFonts w:hint="eastAsia"/>
          <w:iCs/>
          <w:color w:val="auto"/>
          <w:sz w:val="24"/>
          <w:highlight w:val="none"/>
        </w:rPr>
        <w:t xml:space="preserve">十</w:t>
      </w:r>
      <w:r>
        <w:rPr>
          <w:rFonts w:hint="eastAsia"/>
          <w:iCs/>
          <w:color w:val="auto"/>
          <w:sz w:val="24"/>
          <w:highlight w:val="none"/>
          <w:lang w:val="en-US"/>
        </w:rPr>
        <w:t xml:space="preserve">六</w:t>
      </w:r>
      <w:r>
        <w:rPr>
          <w:rFonts w:hint="eastAsia"/>
          <w:iCs/>
          <w:color w:val="auto"/>
          <w:sz w:val="24"/>
          <w:highlight w:val="none"/>
        </w:rPr>
        <w:t xml:space="preserve">、主要标的信息</w:t>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一、法人或者其他组织的营业执照等证明文件，自然人的身份证明</w:t>
      </w:r>
      <w:r/>
    </w:p>
    <w:p>
      <w:pPr>
        <w:ind w:firstLine="480"/>
        <w:spacing w:line="440" w:lineRule="exact"/>
        <w:rPr>
          <w:color w:val="auto"/>
          <w:sz w:val="24"/>
          <w:highlight w:val="none"/>
        </w:rPr>
      </w:pPr>
      <w:r>
        <w:rPr>
          <w:color w:val="auto"/>
          <w:sz w:val="24"/>
          <w:highlight w:val="non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二、具有良好的商业信誉和健全的财务会计制度</w:t>
      </w:r>
      <w:r/>
    </w:p>
    <w:p>
      <w:pPr>
        <w:ind w:firstLine="492"/>
        <w:spacing w:line="460" w:lineRule="exact"/>
        <w:rPr>
          <w:bCs/>
          <w:color w:val="auto"/>
          <w:sz w:val="24"/>
          <w:highlight w:val="none"/>
        </w:rPr>
      </w:pPr>
      <w:r/>
      <w:bookmarkStart w:id="44" w:name="_Toc120614284"/>
      <w:r>
        <w:rPr>
          <w:rFonts w:hint="eastAsia"/>
          <w:bCs/>
          <w:color w:val="auto"/>
          <w:sz w:val="24"/>
          <w:highlight w:val="none"/>
          <w:lang w:val="en-US"/>
        </w:rPr>
        <w:t xml:space="preserve">具有良好的商业信誉和健全的财务会计制度（提供2024年度或2025年度财务报告，至少包含资产负债表、利润表，或投标截止时间前六个月内银行出具的资信证明，或财政部门认可的政府采购专业担保机构出具的投标担保函；成立不满一年的无需提供）；</w:t>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lang w:val="en-US"/>
        </w:rPr>
        <w:t xml:space="preserve">三</w:t>
      </w:r>
      <w:r>
        <w:rPr>
          <w:rFonts w:hint="eastAsia" w:ascii="黑体" w:hAnsi="黑体" w:eastAsia="黑体"/>
          <w:i/>
          <w:color w:val="auto"/>
          <w:sz w:val="32"/>
          <w:szCs w:val="32"/>
          <w:highlight w:val="none"/>
          <w:u w:val="single"/>
        </w:rPr>
        <w:t xml:space="preserve">、具备履行合同所必需的设备和专业技术能力的书面声明</w:t>
      </w:r>
      <w:r/>
    </w:p>
    <w:p>
      <w:pPr>
        <w:ind w:firstLine="492"/>
        <w:spacing w:line="460" w:lineRule="exact"/>
        <w:rPr>
          <w:bCs/>
          <w:color w:val="auto"/>
          <w:sz w:val="24"/>
          <w:highlight w:val="none"/>
        </w:rPr>
      </w:pPr>
      <w:r>
        <w:rPr>
          <w:rFonts w:hint="eastAsia"/>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bCs/>
          <w:color w:val="auto"/>
          <w:sz w:val="24"/>
          <w:highlight w:val="none"/>
        </w:rPr>
      </w:pPr>
      <w:r>
        <w:rPr>
          <w:rFonts w:hint="eastAsia"/>
          <w:bCs/>
          <w:color w:val="auto"/>
          <w:sz w:val="24"/>
          <w:highlight w:val="none"/>
        </w:rPr>
        <w:t xml:space="preserve">主要设备有：。</w:t>
      </w:r>
      <w:r/>
    </w:p>
    <w:p>
      <w:pPr>
        <w:ind w:firstLine="492"/>
        <w:spacing w:line="460" w:lineRule="exact"/>
        <w:rPr>
          <w:bCs/>
          <w:color w:val="auto"/>
          <w:sz w:val="24"/>
          <w:highlight w:val="none"/>
        </w:rPr>
      </w:pPr>
      <w:r>
        <w:rPr>
          <w:rFonts w:hint="eastAsia"/>
          <w:bCs/>
          <w:color w:val="auto"/>
          <w:sz w:val="24"/>
          <w:highlight w:val="none"/>
        </w:rPr>
        <w:t xml:space="preserve">主要专业技术能力有：。</w:t>
      </w:r>
      <w:r/>
    </w:p>
    <w:p>
      <w:pPr>
        <w:spacing w:line="460" w:lineRule="exact"/>
        <w:rPr>
          <w:bCs/>
          <w:color w:val="auto"/>
          <w:sz w:val="24"/>
          <w:highlight w:val="none"/>
        </w:rPr>
      </w:pPr>
      <w:r>
        <w:rPr>
          <w:bCs/>
          <w:color w:val="auto"/>
          <w:sz w:val="24"/>
          <w:highlight w:val="non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lang w:val="en-US"/>
        </w:rPr>
        <w:t xml:space="preserve">四</w:t>
      </w:r>
      <w:r>
        <w:rPr>
          <w:rFonts w:hint="eastAsia" w:ascii="黑体" w:hAnsi="黑体" w:eastAsia="黑体"/>
          <w:i/>
          <w:color w:val="auto"/>
          <w:sz w:val="32"/>
          <w:szCs w:val="32"/>
          <w:highlight w:val="none"/>
          <w:u w:val="single"/>
        </w:rPr>
        <w:t xml:space="preserve">、依法缴纳税收和社会保障资金的相关材料</w:t>
      </w:r>
      <w:r/>
    </w:p>
    <w:p>
      <w:pPr>
        <w:ind w:firstLine="480"/>
        <w:rPr>
          <w:bCs/>
          <w:color w:val="auto"/>
          <w:sz w:val="24"/>
          <w:highlight w:val="none"/>
        </w:rPr>
      </w:pPr>
      <w:r>
        <w:rPr>
          <w:rFonts w:hint="eastAsia"/>
          <w:bCs/>
          <w:color w:val="auto"/>
          <w:sz w:val="24"/>
          <w:highlight w:val="none"/>
        </w:rPr>
        <w:t xml:space="preserve">有依法缴纳税收和社会保障资金的良好记录（提供202</w:t>
      </w:r>
      <w:r>
        <w:rPr>
          <w:rFonts w:hint="eastAsia"/>
          <w:bCs/>
          <w:color w:val="auto"/>
          <w:sz w:val="24"/>
          <w:highlight w:val="none"/>
          <w:lang w:val="en-US"/>
        </w:rPr>
        <w:t xml:space="preserve">5</w:t>
      </w:r>
      <w:r>
        <w:rPr>
          <w:rFonts w:hint="eastAsia"/>
          <w:bCs/>
          <w:color w:val="auto"/>
          <w:sz w:val="24"/>
          <w:highlight w:val="none"/>
        </w:rPr>
        <w:t xml:space="preserve">年</w:t>
      </w:r>
      <w:r>
        <w:rPr>
          <w:rFonts w:hint="eastAsia"/>
          <w:bCs/>
          <w:color w:val="auto"/>
          <w:sz w:val="24"/>
          <w:highlight w:val="none"/>
          <w:lang w:val="en-US"/>
        </w:rPr>
        <w:t xml:space="preserve">8月</w:t>
      </w:r>
      <w:r>
        <w:rPr>
          <w:rFonts w:hint="eastAsia"/>
          <w:bCs/>
          <w:color w:val="auto"/>
          <w:sz w:val="24"/>
          <w:highlight w:val="none"/>
        </w:rPr>
        <w:t xml:space="preserve">至今）中任一月份的依法缴纳税收和社会保险费的相关材料（提供相关主管部门证明或银行代扣证明的复印件，根据国家相关政策免缴或迟缴的需提供相关证明材料）；  </w:t>
      </w:r>
      <w:r/>
    </w:p>
    <w:p>
      <w:pPr>
        <w:pStyle w:val="882"/>
        <w:ind w:firstLine="0"/>
        <w:rPr>
          <w:color w:val="auto"/>
          <w:highlight w:val="none"/>
        </w:rPr>
      </w:pPr>
      <w:r>
        <w:rPr>
          <w:color w:val="auto"/>
          <w:highlight w:val="non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五、参加政府采购活动前 3 年内在经营活动中没有重大违法记录的书面声明</w:t>
      </w:r>
      <w:r/>
    </w:p>
    <w:p>
      <w:pPr>
        <w:spacing w:line="460" w:lineRule="exact"/>
        <w:rPr>
          <w:b/>
          <w:bCs/>
          <w:color w:val="auto"/>
          <w:sz w:val="44"/>
          <w:szCs w:val="44"/>
          <w:highlight w:val="none"/>
        </w:rPr>
      </w:pPr>
      <w:r>
        <w:rPr>
          <w:rFonts w:hint="eastAsia"/>
          <w:b/>
          <w:bCs/>
          <w:color w:val="auto"/>
          <w:sz w:val="44"/>
          <w:szCs w:val="44"/>
          <w:highlight w:val="none"/>
        </w:rPr>
        <w:t xml:space="preserve">                 声  明</w:t>
      </w:r>
      <w:r/>
    </w:p>
    <w:p>
      <w:pPr>
        <w:spacing w:line="460" w:lineRule="exact"/>
        <w:rPr>
          <w:bCs/>
          <w:color w:val="auto"/>
          <w:sz w:val="24"/>
          <w:highlight w:val="none"/>
        </w:rPr>
      </w:pPr>
      <w:r>
        <w:rPr>
          <w:rFonts w:hint="eastAsia"/>
          <w:bCs/>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color w:val="auto"/>
          <w:sz w:val="32"/>
          <w:szCs w:val="32"/>
          <w:highlight w:val="none"/>
          <w:u w:val="single"/>
          <w:lang w:val="en-US"/>
        </w:rPr>
      </w:pPr>
      <w:r>
        <w:rPr>
          <w:rFonts w:hint="eastAsia" w:ascii="黑体" w:hAnsi="黑体" w:eastAsia="黑体"/>
          <w:i/>
          <w:color w:val="auto"/>
          <w:sz w:val="32"/>
          <w:szCs w:val="32"/>
          <w:highlight w:val="none"/>
          <w:u w:val="single"/>
          <w:lang w:val="en-US"/>
        </w:rPr>
        <w:br w:type="page" w:clear="all"/>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lang w:val="en-US"/>
        </w:rPr>
        <w:t xml:space="preserve">六、</w:t>
      </w:r>
      <w:r>
        <w:rPr>
          <w:rFonts w:hint="eastAsia" w:ascii="黑体" w:hAnsi="黑体" w:eastAsia="黑体"/>
          <w:i/>
          <w:color w:val="auto"/>
          <w:sz w:val="32"/>
          <w:szCs w:val="32"/>
          <w:highlight w:val="none"/>
          <w:u w:val="single"/>
        </w:rPr>
        <w:t xml:space="preserve">供应商信用承诺函</w:t>
      </w:r>
      <w:r/>
    </w:p>
    <w:p>
      <w:pPr>
        <w:jc w:val="center"/>
        <w:spacing w:line="500" w:lineRule="exact"/>
        <w:rPr>
          <w:rFonts w:eastAsia="等线"/>
          <w:b/>
          <w:color w:val="auto"/>
          <w:sz w:val="24"/>
          <w:szCs w:val="24"/>
          <w:highlight w:val="none"/>
        </w:rPr>
      </w:pPr>
      <w:r>
        <w:rPr>
          <w:rFonts w:hint="eastAsia" w:eastAsia="等线"/>
          <w:b/>
          <w:color w:val="auto"/>
          <w:sz w:val="24"/>
          <w:szCs w:val="24"/>
          <w:highlight w:val="none"/>
        </w:rPr>
        <w:t xml:space="preserve">供应商信用承诺函</w:t>
      </w:r>
      <w:r/>
    </w:p>
    <w:p>
      <w:pPr>
        <w:spacing w:line="500" w:lineRule="exact"/>
        <w:rPr>
          <w:rFonts w:ascii="方正仿宋_GBK" w:hAnsi="等线" w:eastAsia="等线"/>
          <w:color w:val="auto"/>
          <w:sz w:val="24"/>
          <w:szCs w:val="24"/>
          <w:highlight w:val="none"/>
        </w:rPr>
      </w:pPr>
      <w:r>
        <w:rPr>
          <w:rFonts w:ascii="方正仿宋_GBK" w:hAnsi="等线" w:eastAsia="等线"/>
          <w:color w:val="auto"/>
          <w:sz w:val="24"/>
          <w:szCs w:val="24"/>
          <w:highlight w:val="none"/>
        </w:rPr>
      </w:r>
      <w:r/>
    </w:p>
    <w:p>
      <w:pPr>
        <w:spacing w:line="560" w:lineRule="exact"/>
        <w:rPr>
          <w:color w:val="auto"/>
          <w:sz w:val="24"/>
          <w:szCs w:val="24"/>
          <w:highlight w:val="none"/>
        </w:rPr>
      </w:pPr>
      <w:r>
        <w:rPr>
          <w:rFonts w:hint="eastAsia"/>
          <w:color w:val="auto"/>
          <w:sz w:val="24"/>
          <w:szCs w:val="24"/>
          <w:highlight w:val="none"/>
        </w:rPr>
        <w:t xml:space="preserve">承诺主体名称：</w:t>
      </w:r>
      <w:r/>
    </w:p>
    <w:p>
      <w:pPr>
        <w:spacing w:line="560" w:lineRule="exact"/>
        <w:rPr>
          <w:color w:val="auto"/>
          <w:sz w:val="24"/>
          <w:szCs w:val="24"/>
          <w:highlight w:val="none"/>
        </w:rPr>
      </w:pPr>
      <w:r>
        <w:rPr>
          <w:rFonts w:hint="eastAsia"/>
          <w:color w:val="auto"/>
          <w:sz w:val="24"/>
          <w:szCs w:val="24"/>
          <w:highlight w:val="none"/>
        </w:rPr>
        <w:t xml:space="preserve">统一社会信用代码：</w:t>
      </w:r>
      <w:r/>
    </w:p>
    <w:p>
      <w:pPr>
        <w:spacing w:line="560" w:lineRule="exact"/>
        <w:rPr>
          <w:color w:val="auto"/>
          <w:sz w:val="24"/>
          <w:szCs w:val="24"/>
          <w:highlight w:val="none"/>
        </w:rPr>
      </w:pPr>
      <w:r>
        <w:rPr>
          <w:color w:val="auto"/>
          <w:sz w:val="24"/>
          <w:szCs w:val="24"/>
          <w:highlight w:val="none"/>
        </w:rPr>
      </w:r>
      <w:r/>
    </w:p>
    <w:p>
      <w:pPr>
        <w:ind w:firstLine="420"/>
        <w:spacing w:line="560" w:lineRule="exact"/>
        <w:rPr>
          <w:color w:val="auto"/>
          <w:sz w:val="24"/>
          <w:szCs w:val="24"/>
          <w:highlight w:val="none"/>
        </w:rPr>
      </w:pPr>
      <w:r>
        <w:rPr>
          <w:rFonts w:hint="eastAsia"/>
          <w:color w:val="auto"/>
          <w:sz w:val="24"/>
          <w:szCs w:val="24"/>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color w:val="auto"/>
          <w:sz w:val="24"/>
          <w:szCs w:val="24"/>
          <w:highlight w:val="none"/>
        </w:rPr>
      </w:pPr>
      <w:r>
        <w:rPr>
          <w:rFonts w:hint="eastAsia"/>
          <w:color w:val="auto"/>
          <w:sz w:val="24"/>
          <w:szCs w:val="24"/>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color w:val="auto"/>
          <w:sz w:val="24"/>
          <w:szCs w:val="24"/>
          <w:highlight w:val="none"/>
        </w:rPr>
      </w:pPr>
      <w:r>
        <w:rPr>
          <w:rFonts w:hint="eastAsia"/>
          <w:color w:val="auto"/>
          <w:sz w:val="24"/>
          <w:szCs w:val="24"/>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color w:val="auto"/>
          <w:sz w:val="24"/>
          <w:szCs w:val="24"/>
          <w:highlight w:val="none"/>
        </w:rPr>
      </w:pPr>
      <w:r>
        <w:rPr>
          <w:rFonts w:hint="eastAsia"/>
          <w:color w:val="auto"/>
          <w:sz w:val="24"/>
          <w:szCs w:val="24"/>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color w:val="auto"/>
          <w:sz w:val="24"/>
          <w:szCs w:val="24"/>
          <w:highlight w:val="none"/>
        </w:rPr>
      </w:pPr>
      <w:r>
        <w:rPr>
          <w:rFonts w:hint="eastAsia"/>
          <w:color w:val="auto"/>
          <w:sz w:val="24"/>
          <w:szCs w:val="24"/>
          <w:highlight w:val="none"/>
        </w:rPr>
        <w:t xml:space="preserve">四、自觉接受行政管理部门、行业组织、社会公众、新闻舆论的监督；</w:t>
      </w:r>
      <w:r/>
    </w:p>
    <w:p>
      <w:pPr>
        <w:ind w:firstLine="420"/>
        <w:spacing w:line="560" w:lineRule="exact"/>
        <w:rPr>
          <w:color w:val="auto"/>
          <w:sz w:val="24"/>
          <w:szCs w:val="24"/>
          <w:highlight w:val="none"/>
        </w:rPr>
      </w:pPr>
      <w:r>
        <w:rPr>
          <w:rFonts w:hint="eastAsia"/>
          <w:color w:val="auto"/>
          <w:sz w:val="24"/>
          <w:szCs w:val="24"/>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color w:val="auto"/>
          <w:sz w:val="24"/>
          <w:szCs w:val="24"/>
          <w:highlight w:val="none"/>
        </w:rPr>
      </w:pPr>
      <w:r>
        <w:rPr>
          <w:rFonts w:hint="eastAsia"/>
          <w:color w:val="auto"/>
          <w:sz w:val="24"/>
          <w:szCs w:val="24"/>
          <w:highlight w:val="none"/>
        </w:rPr>
        <w:t xml:space="preserve">六、提出政府采购质疑和投诉坚持依法依规、诚实信用原则，在全国范围12个月内没有三次以上查无实据的政府采购投诉；</w:t>
      </w:r>
      <w:r/>
    </w:p>
    <w:p>
      <w:pPr>
        <w:ind w:firstLine="420"/>
        <w:spacing w:line="560" w:lineRule="exact"/>
        <w:rPr>
          <w:color w:val="auto"/>
          <w:sz w:val="24"/>
          <w:szCs w:val="24"/>
          <w:highlight w:val="none"/>
        </w:rPr>
      </w:pPr>
      <w:r>
        <w:rPr>
          <w:rFonts w:hint="eastAsia"/>
          <w:color w:val="auto"/>
          <w:sz w:val="24"/>
          <w:szCs w:val="24"/>
          <w:highlight w:val="none"/>
        </w:rPr>
        <w:t xml:space="preserve">七、严格遵守信用信息公示相关规定，向社会公示信用信息；</w:t>
      </w:r>
      <w:r/>
    </w:p>
    <w:p>
      <w:pPr>
        <w:ind w:firstLine="420"/>
        <w:spacing w:line="560" w:lineRule="exact"/>
        <w:rPr>
          <w:color w:val="auto"/>
          <w:sz w:val="24"/>
          <w:szCs w:val="24"/>
          <w:highlight w:val="none"/>
        </w:rPr>
      </w:pPr>
      <w:r>
        <w:rPr>
          <w:rFonts w:hint="eastAsia"/>
          <w:color w:val="auto"/>
          <w:sz w:val="24"/>
          <w:szCs w:val="24"/>
          <w:highlight w:val="none"/>
        </w:rPr>
        <w:t xml:space="preserve">八、在“信用中国”和“中国政府采购网”网站中无违法违规、较重或严重失信记录；</w:t>
      </w:r>
      <w:r/>
    </w:p>
    <w:p>
      <w:pPr>
        <w:ind w:firstLine="420"/>
        <w:spacing w:line="560" w:lineRule="exact"/>
        <w:rPr>
          <w:color w:val="auto"/>
          <w:sz w:val="24"/>
          <w:szCs w:val="24"/>
          <w:highlight w:val="none"/>
        </w:rPr>
      </w:pPr>
      <w:r>
        <w:rPr>
          <w:rFonts w:hint="eastAsia"/>
          <w:color w:val="auto"/>
          <w:sz w:val="24"/>
          <w:szCs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color w:val="auto"/>
          <w:sz w:val="24"/>
          <w:szCs w:val="24"/>
          <w:highlight w:val="none"/>
        </w:rPr>
      </w:pPr>
      <w:r>
        <w:rPr>
          <w:rFonts w:hint="eastAsia"/>
          <w:color w:val="auto"/>
          <w:sz w:val="24"/>
          <w:szCs w:val="24"/>
          <w:highlight w:val="none"/>
        </w:rPr>
        <w:t xml:space="preserve">十、本承诺书自签订之日起生效。</w:t>
      </w:r>
      <w:r/>
    </w:p>
    <w:p>
      <w:pPr>
        <w:ind w:firstLine="420"/>
        <w:spacing w:line="560" w:lineRule="exact"/>
        <w:rPr>
          <w:color w:val="auto"/>
          <w:sz w:val="24"/>
          <w:szCs w:val="24"/>
          <w:highlight w:val="none"/>
        </w:rPr>
      </w:pPr>
      <w:r>
        <w:rPr>
          <w:rFonts w:hint="eastAsia"/>
          <w:color w:val="auto"/>
          <w:sz w:val="24"/>
          <w:szCs w:val="24"/>
          <w:highlight w:val="none"/>
        </w:rPr>
        <w:t xml:space="preserve"> （注：法定代表人或负责人、主体名称发生变更的应当重新做出承诺。）</w:t>
      </w:r>
      <w:r/>
    </w:p>
    <w:p>
      <w:pPr>
        <w:spacing w:line="560" w:lineRule="exact"/>
        <w:rPr>
          <w:color w:val="auto"/>
          <w:sz w:val="24"/>
          <w:szCs w:val="24"/>
          <w:highlight w:val="none"/>
        </w:rPr>
      </w:pPr>
      <w:r>
        <w:rPr>
          <w:color w:val="auto"/>
          <w:sz w:val="24"/>
          <w:szCs w:val="24"/>
          <w:highlight w:val="none"/>
        </w:rPr>
      </w:r>
      <w:r/>
    </w:p>
    <w:p>
      <w:pPr>
        <w:jc w:val="center"/>
        <w:spacing w:line="560" w:lineRule="exact"/>
        <w:rPr>
          <w:color w:val="auto"/>
          <w:sz w:val="24"/>
          <w:szCs w:val="24"/>
          <w:highlight w:val="none"/>
        </w:rPr>
      </w:pPr>
      <w:r>
        <w:rPr>
          <w:rFonts w:hint="eastAsia"/>
          <w:color w:val="auto"/>
          <w:sz w:val="24"/>
          <w:szCs w:val="24"/>
          <w:highlight w:val="none"/>
        </w:rPr>
        <w:t xml:space="preserve">　　　　　　　　　　    承诺单位（加盖CA电子公章）：           </w:t>
      </w:r>
      <w:r/>
    </w:p>
    <w:p>
      <w:pPr>
        <w:jc w:val="center"/>
        <w:spacing w:line="560" w:lineRule="exact"/>
        <w:rPr>
          <w:color w:val="auto"/>
          <w:sz w:val="24"/>
          <w:szCs w:val="24"/>
          <w:highlight w:val="none"/>
        </w:rPr>
      </w:pPr>
      <w:r>
        <w:rPr>
          <w:rFonts w:hint="eastAsia"/>
          <w:color w:val="auto"/>
          <w:sz w:val="24"/>
          <w:szCs w:val="24"/>
          <w:highlight w:val="none"/>
        </w:rPr>
        <w:t xml:space="preserve">年    月    日</w:t>
      </w:r>
      <w:r/>
    </w:p>
    <w:p>
      <w:pPr>
        <w:spacing w:line="560" w:lineRule="exact"/>
        <w:rPr>
          <w:rFonts w:eastAsia="等线"/>
          <w:color w:val="auto"/>
          <w:highlight w:val="none"/>
        </w:rPr>
      </w:pPr>
      <w:r>
        <w:rPr>
          <w:rFonts w:eastAsia="等线"/>
          <w:color w:val="auto"/>
          <w:highlight w:val="non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七、特定资格要求的证明文件</w:t>
      </w:r>
      <w:r/>
    </w:p>
    <w:p>
      <w:pPr>
        <w:spacing w:line="460" w:lineRule="exact"/>
        <w:rPr>
          <w:bCs/>
          <w:color w:val="auto"/>
          <w:sz w:val="24"/>
          <w:highlight w:val="none"/>
        </w:rPr>
      </w:pPr>
      <w:r>
        <w:rPr>
          <w:rFonts w:hint="eastAsia"/>
          <w:color w:val="auto"/>
          <w:sz w:val="24"/>
          <w:highlight w:val="none"/>
        </w:rPr>
        <w:t xml:space="preserve">    如果本项目申请人的特定资格要求中要求提供的，必须提供。</w:t>
      </w:r>
      <w:r/>
    </w:p>
    <w:p>
      <w:pPr>
        <w:spacing w:line="460" w:lineRule="exact"/>
        <w:rPr>
          <w:bCs/>
          <w:color w:val="auto"/>
          <w:sz w:val="24"/>
          <w:highlight w:val="none"/>
        </w:rPr>
      </w:pPr>
      <w:r>
        <w:rPr>
          <w:bCs/>
          <w:color w:val="auto"/>
          <w:sz w:val="24"/>
          <w:highlight w:val="none"/>
        </w:rPr>
      </w:r>
      <w:r/>
    </w:p>
    <w:p>
      <w:pPr>
        <w:jc w:val="both"/>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八、法人授权书</w:t>
      </w:r>
      <w:r/>
    </w:p>
    <w:p>
      <w:pPr>
        <w:pStyle w:val="835"/>
        <w:ind w:firstLine="480"/>
        <w:tabs>
          <w:tab w:val="left" w:pos="360" w:leader="none"/>
        </w:tabs>
        <w:rPr>
          <w:color w:val="auto"/>
          <w:sz w:val="24"/>
          <w:szCs w:val="24"/>
          <w:highlight w:val="none"/>
        </w:rPr>
      </w:pPr>
      <w:r>
        <w:rPr>
          <w:rFonts w:hint="eastAsia"/>
          <w:color w:val="auto"/>
          <w:sz w:val="24"/>
          <w:szCs w:val="24"/>
          <w:highlight w:val="none"/>
        </w:rPr>
        <w:t xml:space="preserve">本授权书声明：____________（投标人名称）授权________________（被授权人的姓名）为我方就（</w:t>
      </w:r>
      <w:r>
        <w:rPr>
          <w:rFonts w:hint="eastAsia" w:ascii="Times New Roman" w:eastAsia="宋体"/>
          <w:color w:val="auto"/>
          <w:sz w:val="24"/>
          <w:szCs w:val="24"/>
          <w:highlight w:val="none"/>
        </w:rPr>
        <w:t xml:space="preserve">项目编号）（项目名称）</w:t>
      </w:r>
      <w:r>
        <w:rPr>
          <w:rFonts w:hint="eastAsia"/>
          <w:color w:val="auto"/>
          <w:sz w:val="24"/>
          <w:szCs w:val="24"/>
          <w:highlight w:val="none"/>
        </w:rPr>
        <w:t xml:space="preserve">采购活动的合法代理人，以本单位名义全权处理一切与该项目采购有关的事务。</w:t>
      </w:r>
      <w:r/>
    </w:p>
    <w:p>
      <w:pPr>
        <w:pStyle w:val="835"/>
        <w:ind w:firstLine="480"/>
        <w:tabs>
          <w:tab w:val="left" w:pos="360" w:leader="none"/>
        </w:tabs>
        <w:rPr>
          <w:color w:val="auto"/>
          <w:sz w:val="24"/>
          <w:szCs w:val="24"/>
          <w:highlight w:val="none"/>
        </w:rPr>
      </w:pPr>
      <w:r>
        <w:rPr>
          <w:rFonts w:hint="eastAsia"/>
          <w:color w:val="auto"/>
          <w:sz w:val="24"/>
          <w:szCs w:val="24"/>
          <w:highlight w:val="none"/>
        </w:rPr>
        <w:t xml:space="preserve">本授权书于______年____月____日起生效，特此声明。</w:t>
      </w:r>
      <w:r/>
    </w:p>
    <w:p>
      <w:pPr>
        <w:pStyle w:val="835"/>
        <w:tabs>
          <w:tab w:val="left" w:pos="360" w:leader="none"/>
        </w:tabs>
        <w:rPr>
          <w:color w:val="auto"/>
          <w:sz w:val="24"/>
          <w:szCs w:val="24"/>
          <w:highlight w:val="none"/>
          <w:u w:val="single"/>
        </w:rPr>
      </w:pPr>
      <w:r>
        <w:rPr>
          <w:rFonts w:hint="eastAsia"/>
          <w:color w:val="auto"/>
          <w:sz w:val="24"/>
          <w:szCs w:val="24"/>
          <w:highlight w:val="none"/>
        </w:rPr>
        <w:t xml:space="preserve">          被授权人身份证号码：</w:t>
      </w:r>
      <w:r/>
    </w:p>
    <w:p>
      <w:pPr>
        <w:pStyle w:val="835"/>
        <w:tabs>
          <w:tab w:val="left" w:pos="360" w:leader="none"/>
        </w:tabs>
        <w:rPr>
          <w:color w:val="auto"/>
          <w:sz w:val="24"/>
          <w:szCs w:val="24"/>
          <w:highlight w:val="none"/>
          <w:u w:val="single"/>
        </w:rPr>
      </w:pPr>
      <w:r>
        <w:rPr>
          <w:rFonts w:hint="eastAsia"/>
          <w:color w:val="auto"/>
          <w:sz w:val="24"/>
          <w:szCs w:val="24"/>
          <w:highlight w:val="none"/>
        </w:rPr>
        <w:t xml:space="preserve">          被授权人联系电话：（手机）</w:t>
      </w:r>
      <w:r/>
    </w:p>
    <w:p>
      <w:pPr>
        <w:pStyle w:val="835"/>
        <w:ind w:firstLine="1200"/>
        <w:tabs>
          <w:tab w:val="left" w:pos="360" w:leader="none"/>
        </w:tabs>
        <w:rPr>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pStyle w:val="835"/>
        <w:ind w:firstLine="480"/>
        <w:tabs>
          <w:tab w:val="left" w:pos="360" w:leader="none"/>
        </w:tabs>
        <w:rPr>
          <w:color w:val="auto"/>
          <w:sz w:val="24"/>
          <w:szCs w:val="24"/>
          <w:highlight w:val="none"/>
          <w:u w:val="single"/>
        </w:rPr>
      </w:pPr>
      <w:r>
        <w:rPr>
          <w:rFonts w:hint="eastAsia"/>
          <w:color w:val="auto"/>
          <w:sz w:val="24"/>
          <w:szCs w:val="24"/>
          <w:highlight w:val="none"/>
        </w:rPr>
        <w:t xml:space="preserve">      单位地址：</w:t>
      </w:r>
      <w:r/>
    </w:p>
    <w:p>
      <w:pPr>
        <w:pStyle w:val="835"/>
        <w:ind w:firstLine="480"/>
        <w:tabs>
          <w:tab w:val="left" w:pos="360" w:leader="none"/>
        </w:tabs>
        <w:rPr>
          <w:color w:val="auto"/>
          <w:sz w:val="24"/>
          <w:szCs w:val="24"/>
          <w:highlight w:val="none"/>
        </w:rPr>
      </w:pPr>
      <w:r>
        <w:rPr>
          <w:rFonts w:hint="eastAsia"/>
          <w:color w:val="auto"/>
          <w:sz w:val="24"/>
          <w:szCs w:val="24"/>
          <w:highlight w:val="none"/>
        </w:rPr>
        <w:t xml:space="preserve">      日期：</w:t>
      </w:r>
      <w:bookmarkStart w:id="45" w:name="_格式3__银行出具的资信证明"/>
      <w:r/>
      <w:bookmarkEnd w:id="45"/>
      <w:r/>
      <w:bookmarkStart w:id="46" w:name="_Hlt26955070"/>
      <w:r/>
      <w:bookmarkEnd w:id="46"/>
      <w:r/>
      <w:bookmarkStart w:id="47" w:name="_Hlt26671380"/>
      <w:r/>
      <w:bookmarkEnd w:id="47"/>
      <w:r/>
      <w:r/>
    </w:p>
    <w:p>
      <w:pPr>
        <w:pStyle w:val="882"/>
        <w:rPr>
          <w:i/>
          <w:color w:val="auto"/>
          <w:sz w:val="24"/>
          <w:szCs w:val="24"/>
          <w:highlight w:val="none"/>
          <w:u w:val="single"/>
        </w:rPr>
      </w:pPr>
      <w:r>
        <w:rPr>
          <w:i/>
          <w:color w:val="auto"/>
          <w:sz w:val="24"/>
          <w:szCs w:val="24"/>
          <w:highlight w:val="none"/>
          <w:u w:val="single"/>
        </w:rPr>
      </w:r>
      <w:r/>
    </w:p>
    <w:p>
      <w:pPr>
        <w:pStyle w:val="882"/>
        <w:ind w:firstLine="0"/>
        <w:rPr>
          <w:color w:val="auto"/>
          <w:highlight w:val="none"/>
        </w:rPr>
      </w:pPr>
      <w:r>
        <w:rPr>
          <w:color w:val="auto"/>
          <w:highlight w:val="none"/>
        </w:rPr>
      </w:r>
      <w:r/>
    </w:p>
    <w:p>
      <w:pPr>
        <w:spacing w:line="460" w:lineRule="exact"/>
        <w:rPr>
          <w:rFonts w:ascii="楷体" w:hAnsi="楷体" w:eastAsia="楷体"/>
          <w:bCs/>
          <w:color w:val="auto"/>
          <w:sz w:val="24"/>
          <w:szCs w:val="24"/>
          <w:highlight w:val="none"/>
        </w:rPr>
      </w:pPr>
      <w:r>
        <w:rPr>
          <w:rFonts w:ascii="楷体" w:hAnsi="楷体" w:eastAsia="楷体"/>
          <w:bCs/>
          <w:color w:val="auto"/>
          <w:sz w:val="24"/>
          <w:szCs w:val="24"/>
          <w:highlight w:val="none"/>
        </w:rPr>
      </w:r>
      <w:r/>
    </w:p>
    <w:p>
      <w:pPr>
        <w:spacing w:line="460" w:lineRule="exact"/>
        <w:rPr>
          <w:bCs/>
          <w:color w:val="auto"/>
          <w:sz w:val="24"/>
          <w:highlight w:val="none"/>
        </w:rPr>
      </w:pPr>
      <w:r>
        <w:rPr>
          <w:bCs/>
          <w:color w:val="auto"/>
          <w:sz w:val="24"/>
          <w:highlight w:val="none"/>
        </w:rPr>
      </w:r>
      <w:r/>
    </w:p>
    <w:p>
      <w:pPr>
        <w:pStyle w:val="883"/>
        <w:ind w:firstLine="3390"/>
        <w:jc w:val="both"/>
        <w:rPr>
          <w:rFonts w:ascii="黑体" w:hAnsi="黑体" w:eastAsia="黑体" w:cs="Times New Roman"/>
          <w:bCs w:val="0"/>
          <w:i/>
          <w:color w:val="auto"/>
          <w:sz w:val="32"/>
          <w:szCs w:val="32"/>
          <w:highlight w:val="none"/>
          <w:u w:val="single"/>
        </w:rPr>
      </w:pPr>
      <w:r>
        <w:rPr>
          <w:rFonts w:ascii="宋体" w:hAnsi="宋体"/>
          <w:bCs w:val="0"/>
          <w:color w:val="auto"/>
          <w:sz w:val="24"/>
          <w:highlight w:val="none"/>
        </w:rPr>
        <w:br w:type="page" w:clear="all"/>
      </w:r>
      <w:r>
        <w:rPr>
          <w:rFonts w:hint="eastAsia" w:ascii="黑体" w:hAnsi="黑体" w:eastAsia="黑体"/>
          <w:bCs w:val="0"/>
          <w:i/>
          <w:color w:val="auto"/>
          <w:sz w:val="32"/>
          <w:szCs w:val="32"/>
          <w:highlight w:val="none"/>
          <w:u w:val="single"/>
        </w:rPr>
        <w:t xml:space="preserve">九、</w:t>
      </w:r>
      <w:r>
        <w:rPr>
          <w:rFonts w:hint="eastAsia" w:ascii="黑体" w:hAnsi="黑体" w:eastAsia="黑体" w:cs="Times New Roman"/>
          <w:bCs w:val="0"/>
          <w:i/>
          <w:color w:val="auto"/>
          <w:sz w:val="32"/>
          <w:szCs w:val="32"/>
          <w:highlight w:val="none"/>
          <w:u w:val="single"/>
        </w:rPr>
        <w:t xml:space="preserve">投标函</w:t>
      </w:r>
      <w:r/>
    </w:p>
    <w:p>
      <w:pPr>
        <w:pStyle w:val="884"/>
        <w:ind w:firstLine="0"/>
        <w:spacing w:before="0" w:after="0" w:line="420" w:lineRule="exact"/>
        <w:rPr>
          <w:rFonts w:ascii="宋体" w:hAnsi="宋体"/>
          <w:color w:val="auto"/>
          <w:szCs w:val="21"/>
          <w:highlight w:val="none"/>
          <w:lang w:val="en-US"/>
        </w:rPr>
      </w:pPr>
      <w:r>
        <w:rPr>
          <w:rFonts w:hint="eastAsia" w:ascii="宋体" w:hAnsi="宋体"/>
          <w:color w:val="auto"/>
          <w:szCs w:val="21"/>
          <w:highlight w:val="none"/>
        </w:rPr>
        <w:t xml:space="preserve">致：</w:t>
      </w:r>
      <w:r>
        <w:rPr>
          <w:rFonts w:hint="eastAsia" w:ascii="宋体" w:hAnsi="宋体"/>
          <w:color w:val="auto"/>
          <w:szCs w:val="21"/>
          <w:highlight w:val="none"/>
          <w:lang w:val="en-US"/>
        </w:rPr>
        <w:t xml:space="preserve">江苏弘业国际技术工程有限公司</w:t>
      </w:r>
      <w:r/>
    </w:p>
    <w:p>
      <w:pPr>
        <w:pStyle w:val="884"/>
        <w:spacing w:before="0" w:after="0" w:line="420" w:lineRule="exact"/>
        <w:rPr>
          <w:rFonts w:ascii="宋体" w:hAnsi="宋体"/>
          <w:color w:val="auto"/>
          <w:szCs w:val="21"/>
          <w:highlight w:val="none"/>
        </w:rPr>
      </w:pPr>
      <w:r>
        <w:rPr>
          <w:rFonts w:hint="eastAsia" w:ascii="宋体" w:hAnsi="宋体"/>
          <w:color w:val="auto"/>
          <w:szCs w:val="21"/>
          <w:highlight w:val="none"/>
        </w:rPr>
        <w:t xml:space="preserve">根据贵方的号招标文件，正式授权下述签字人______(姓名)代表我方______________（投标人的名称），全权处理本次项目投标的有关事宜。</w:t>
      </w:r>
      <w:r/>
    </w:p>
    <w:p>
      <w:pPr>
        <w:pStyle w:val="884"/>
        <w:spacing w:before="0" w:after="0" w:line="420" w:lineRule="exact"/>
        <w:rPr>
          <w:rFonts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884"/>
        <w:spacing w:before="0" w:after="0" w:line="420" w:lineRule="exact"/>
        <w:rPr>
          <w:rFonts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884"/>
        <w:spacing w:before="0" w:after="0" w:line="420" w:lineRule="exact"/>
        <w:rPr>
          <w:rFonts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884"/>
        <w:spacing w:before="0" w:after="0" w:line="420" w:lineRule="exact"/>
        <w:rPr>
          <w:rFonts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884"/>
        <w:spacing w:before="0" w:after="0" w:line="420" w:lineRule="exact"/>
        <w:rPr>
          <w:rFonts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884"/>
        <w:spacing w:before="0" w:after="0" w:line="420" w:lineRule="exact"/>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884"/>
        <w:spacing w:before="0" w:after="0" w:line="420" w:lineRule="exact"/>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pStyle w:val="884"/>
        <w:spacing w:before="0" w:after="0" w:line="420" w:lineRule="exact"/>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.与本投标有关的正式通讯地址为：</w:t>
      </w:r>
      <w:r/>
    </w:p>
    <w:p>
      <w:pPr>
        <w:pStyle w:val="884"/>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地          址：</w:t>
      </w:r>
      <w:r/>
    </w:p>
    <w:p>
      <w:pPr>
        <w:pStyle w:val="884"/>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邮          编：</w:t>
      </w:r>
      <w:r/>
    </w:p>
    <w:p>
      <w:pPr>
        <w:pStyle w:val="884"/>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电          话：</w:t>
      </w:r>
      <w:r/>
    </w:p>
    <w:p>
      <w:pPr>
        <w:pStyle w:val="884"/>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传          真：</w:t>
      </w:r>
      <w:r/>
    </w:p>
    <w:p>
      <w:pPr>
        <w:pStyle w:val="884"/>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投标人开户行：</w:t>
      </w:r>
      <w:r/>
    </w:p>
    <w:p>
      <w:pPr>
        <w:pStyle w:val="884"/>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账          号： </w:t>
      </w:r>
      <w:r/>
    </w:p>
    <w:p>
      <w:pPr>
        <w:pStyle w:val="884"/>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日           期：________年____月____日</w:t>
      </w:r>
      <w:r/>
    </w:p>
    <w:p>
      <w:pPr>
        <w:ind w:firstLine="240"/>
        <w:jc w:val="center"/>
        <w:spacing w:line="560" w:lineRule="exact"/>
        <w:rPr>
          <w:bCs/>
          <w:color w:val="auto"/>
          <w:sz w:val="24"/>
          <w:highlight w:val="none"/>
        </w:rPr>
      </w:pPr>
      <w:r>
        <w:rPr>
          <w:bCs/>
          <w:color w:val="auto"/>
          <w:sz w:val="24"/>
          <w:highlight w:val="none"/>
        </w:rPr>
      </w:r>
      <w:r/>
    </w:p>
    <w:p>
      <w:pPr>
        <w:ind w:firstLine="240"/>
        <w:jc w:val="center"/>
        <w:spacing w:line="560" w:lineRule="exact"/>
        <w:rPr>
          <w:bCs/>
          <w:color w:val="auto"/>
          <w:sz w:val="24"/>
          <w:highlight w:val="none"/>
        </w:rPr>
      </w:pPr>
      <w:r>
        <w:rPr>
          <w:bCs/>
          <w:color w:val="auto"/>
          <w:sz w:val="24"/>
          <w:highlight w:val="none"/>
        </w:rPr>
      </w:r>
      <w:r/>
    </w:p>
    <w:p>
      <w:pPr>
        <w:ind w:firstLine="240"/>
        <w:jc w:val="center"/>
        <w:spacing w:line="560" w:lineRule="exact"/>
        <w:rPr>
          <w:bCs/>
          <w:color w:val="auto"/>
          <w:sz w:val="24"/>
          <w:highlight w:val="none"/>
        </w:rPr>
      </w:pPr>
      <w:r>
        <w:rPr>
          <w:bCs/>
          <w:color w:val="auto"/>
          <w:sz w:val="24"/>
          <w:highlight w:val="none"/>
        </w:rPr>
      </w:r>
      <w:r/>
    </w:p>
    <w:p>
      <w:pPr>
        <w:jc w:val="both"/>
        <w:spacing w:line="560" w:lineRule="exact"/>
        <w:rPr>
          <w:bCs/>
          <w:color w:val="auto"/>
          <w:sz w:val="24"/>
          <w:highlight w:val="none"/>
        </w:rPr>
      </w:pPr>
      <w:r>
        <w:rPr>
          <w:bCs/>
          <w:color w:val="auto"/>
          <w:sz w:val="24"/>
          <w:highlight w:val="none"/>
        </w:rPr>
      </w:r>
      <w:r/>
    </w:p>
    <w:p>
      <w:pPr>
        <w:pStyle w:val="863"/>
        <w:rPr>
          <w:rFonts w:hAnsi="宋体"/>
          <w:bCs/>
          <w:color w:val="auto"/>
          <w:highlight w:val="none"/>
        </w:rPr>
      </w:pPr>
      <w:r>
        <w:rPr>
          <w:rFonts w:hAnsi="宋体"/>
          <w:bCs/>
          <w:color w:val="auto"/>
          <w:highlight w:val="none"/>
        </w:rPr>
      </w:r>
      <w:r/>
    </w:p>
    <w:p>
      <w:pPr>
        <w:rPr>
          <w:color w:val="auto"/>
          <w:highlight w:val="none"/>
        </w:rPr>
      </w:pPr>
      <w:r>
        <w:rPr>
          <w:color w:val="auto"/>
          <w:highlight w:val="none"/>
        </w:rPr>
      </w:r>
      <w:r/>
    </w:p>
    <w:p>
      <w:pPr>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460" w:lineRule="exact"/>
        <w:rPr>
          <w:rFonts w:ascii="黑体" w:hAnsi="黑体" w:eastAsia="黑体"/>
          <w:b/>
          <w:i/>
          <w:iCs/>
          <w:color w:val="auto"/>
          <w:sz w:val="32"/>
          <w:szCs w:val="32"/>
          <w:highlight w:val="none"/>
          <w:u w:val="single"/>
        </w:rPr>
      </w:pPr>
      <w:r>
        <w:rPr>
          <w:rFonts w:hint="eastAsia" w:ascii="黑体" w:hAnsi="黑体" w:eastAsia="黑体"/>
          <w:b/>
          <w:color w:val="auto"/>
          <w:sz w:val="32"/>
          <w:szCs w:val="32"/>
          <w:highlight w:val="none"/>
        </w:rPr>
        <w:t xml:space="preserve">十、中小企业声明函（</w:t>
      </w:r>
      <w:r>
        <w:rPr>
          <w:rFonts w:hint="eastAsia" w:ascii="黑体" w:hAnsi="黑体" w:eastAsia="黑体"/>
          <w:b/>
          <w:color w:val="auto"/>
          <w:sz w:val="32"/>
          <w:szCs w:val="32"/>
          <w:highlight w:val="none"/>
          <w:lang w:val="en-US"/>
        </w:rPr>
        <w:t xml:space="preserve">货物</w:t>
      </w:r>
      <w:r>
        <w:rPr>
          <w:rFonts w:hint="eastAsia" w:ascii="黑体" w:hAnsi="黑体" w:eastAsia="黑体"/>
          <w:b/>
          <w:color w:val="auto"/>
          <w:sz w:val="32"/>
          <w:szCs w:val="32"/>
          <w:highlight w:val="none"/>
        </w:rPr>
        <w:t xml:space="preserve">）</w:t>
      </w:r>
      <w:r/>
    </w:p>
    <w:p>
      <w:pPr>
        <w:pStyle w:val="753"/>
        <w:ind w:firstLine="480"/>
        <w:spacing w:line="360" w:lineRule="auto"/>
        <w:tabs>
          <w:tab w:val="left" w:pos="709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53"/>
        <w:ind w:firstLine="480"/>
        <w:spacing w:line="360" w:lineRule="auto"/>
        <w:tabs>
          <w:tab w:val="left" w:pos="709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 （标的名称） </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（招标文件中明确的所属行业） </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pStyle w:val="753"/>
        <w:ind w:firstLine="480"/>
        <w:spacing w:line="360" w:lineRule="auto"/>
        <w:tabs>
          <w:tab w:val="left" w:pos="709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 （标的名称） </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（招标文件中明确的所属行业） </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 企业、□微型企业）</w:t>
      </w:r>
      <w:r>
        <w:rPr>
          <w:rFonts w:hint="eastAsia" w:ascii="宋体" w:hAnsi="宋体" w:cs="宋体"/>
          <w:color w:val="auto"/>
          <w:sz w:val="24"/>
          <w:szCs w:val="24"/>
          <w:highlight w:val="none"/>
        </w:rPr>
        <w:t xml:space="preserve">；</w:t>
      </w:r>
      <w:r/>
    </w:p>
    <w:p>
      <w:pPr>
        <w:pStyle w:val="753"/>
        <w:ind w:firstLine="480"/>
        <w:spacing w:line="360" w:lineRule="auto"/>
        <w:tabs>
          <w:tab w:val="left" w:pos="709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pStyle w:val="753"/>
        <w:ind w:firstLine="480"/>
        <w:spacing w:line="360" w:lineRule="auto"/>
        <w:tabs>
          <w:tab w:val="left" w:pos="709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pStyle w:val="753"/>
        <w:ind w:firstLine="480"/>
        <w:spacing w:line="360" w:lineRule="auto"/>
        <w:tabs>
          <w:tab w:val="left" w:pos="709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pStyle w:val="884"/>
        <w:spacing w:before="0" w:after="0" w:line="420" w:lineRule="exact"/>
        <w:rPr>
          <w:rFonts w:ascii="宋体" w:hAnsi="宋体"/>
          <w:color w:val="auto"/>
          <w:szCs w:val="21"/>
          <w:highlight w:val="none"/>
        </w:rPr>
      </w:pPr>
      <w:r>
        <w:rPr>
          <w:rFonts w:ascii="宋体" w:hAnsi="宋体"/>
          <w:color w:val="auto"/>
          <w:szCs w:val="21"/>
          <w:highlight w:val="none"/>
        </w:rPr>
      </w:r>
      <w:r/>
    </w:p>
    <w:p>
      <w:pPr>
        <w:pStyle w:val="884"/>
        <w:jc w:val="right"/>
        <w:spacing w:before="0" w:after="0" w:line="420" w:lineRule="exact"/>
        <w:rPr>
          <w:rFonts w:ascii="宋体" w:hAnsi="宋体"/>
          <w:color w:val="auto"/>
          <w:szCs w:val="21"/>
          <w:highlight w:val="none"/>
        </w:rPr>
      </w:pPr>
      <w:r>
        <w:rPr>
          <w:rFonts w:hint="eastAsia" w:ascii="宋体" w:hAnsi="宋体"/>
          <w:color w:val="auto"/>
          <w:szCs w:val="21"/>
          <w:highlight w:val="none"/>
        </w:rPr>
        <w:t xml:space="preserve">企业名称（加盖CA电子公章）：</w:t>
      </w:r>
      <w:r/>
    </w:p>
    <w:p>
      <w:pPr>
        <w:pStyle w:val="884"/>
        <w:jc w:val="right"/>
        <w:spacing w:before="0" w:after="0" w:line="420" w:lineRule="exact"/>
        <w:rPr>
          <w:rFonts w:ascii="宋体" w:hAnsi="宋体"/>
          <w:color w:val="auto"/>
          <w:szCs w:val="21"/>
          <w:highlight w:val="none"/>
        </w:rPr>
      </w:pPr>
      <w:r>
        <w:rPr>
          <w:rFonts w:hint="eastAsia" w:ascii="宋体" w:hAnsi="宋体"/>
          <w:color w:val="auto"/>
          <w:szCs w:val="21"/>
          <w:highlight w:val="none"/>
        </w:rPr>
        <w:t xml:space="preserve">日 期：</w:t>
      </w:r>
      <w:r/>
    </w:p>
    <w:p>
      <w:pPr>
        <w:pStyle w:val="884"/>
        <w:spacing w:before="0" w:after="0" w:line="420" w:lineRule="exact"/>
        <w:rPr>
          <w:rFonts w:ascii="宋体" w:hAnsi="宋体"/>
          <w:color w:val="auto"/>
          <w:szCs w:val="21"/>
          <w:highlight w:val="none"/>
        </w:rPr>
      </w:pPr>
      <w:r>
        <w:rPr>
          <w:rFonts w:hint="eastAsia" w:ascii="宋体" w:hAnsi="宋体"/>
          <w:color w:val="auto"/>
          <w:szCs w:val="21"/>
          <w:highlight w:val="none"/>
        </w:rPr>
        <w:t xml:space="preserve">备注：</w:t>
      </w:r>
      <w:r/>
    </w:p>
    <w:p>
      <w:pPr>
        <w:pStyle w:val="884"/>
        <w:spacing w:before="0" w:after="0" w:line="420" w:lineRule="exact"/>
        <w:rPr>
          <w:rFonts w:ascii="宋体" w:hAnsi="宋体"/>
          <w:color w:val="auto"/>
          <w:szCs w:val="21"/>
          <w:highlight w:val="none"/>
        </w:rPr>
      </w:pPr>
      <w:r>
        <w:rPr>
          <w:rFonts w:hint="eastAsia" w:ascii="宋体" w:hAnsi="宋体"/>
          <w:color w:val="auto"/>
          <w:szCs w:val="21"/>
          <w:highlight w:val="none"/>
        </w:rPr>
        <w:t xml:space="preserve">1.从业人员、营业收入、资产总额填报上一年度数据，无上一年度数据的新成立企业可不填报。</w:t>
      </w:r>
      <w:r/>
    </w:p>
    <w:p>
      <w:pPr>
        <w:pStyle w:val="884"/>
        <w:spacing w:before="0" w:after="0" w:line="420" w:lineRule="exact"/>
        <w:rPr>
          <w:rFonts w:ascii="宋体" w:hAnsi="宋体"/>
          <w:color w:val="auto"/>
          <w:szCs w:val="21"/>
          <w:highlight w:val="none"/>
        </w:rPr>
      </w:pPr>
      <w:r>
        <w:rPr>
          <w:rFonts w:hint="eastAsia" w:ascii="宋体" w:hAnsi="宋体"/>
          <w:color w:val="auto"/>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884"/>
        <w:spacing w:before="0" w:after="0" w:line="420" w:lineRule="exact"/>
        <w:rPr>
          <w:rFonts w:ascii="宋体" w:hAnsi="宋体"/>
          <w:color w:val="auto"/>
          <w:szCs w:val="21"/>
          <w:highlight w:val="none"/>
        </w:rPr>
      </w:pPr>
      <w:r>
        <w:rPr>
          <w:rFonts w:hint="eastAsia" w:ascii="宋体" w:hAnsi="宋体"/>
          <w:color w:val="auto"/>
          <w:szCs w:val="21"/>
          <w:highlight w:val="none"/>
        </w:rPr>
        <w:t xml:space="preserve">3.供应商应对照《工业和信息化部、国家统计局、国家发展和改革委员会、</w:t>
      </w:r>
      <w:r/>
    </w:p>
    <w:p>
      <w:pPr>
        <w:pStyle w:val="884"/>
        <w:spacing w:before="0" w:after="0" w:line="420" w:lineRule="exact"/>
        <w:rPr>
          <w:rFonts w:ascii="宋体" w:hAnsi="宋体"/>
          <w:color w:val="auto"/>
          <w:szCs w:val="21"/>
          <w:highlight w:val="none"/>
        </w:rPr>
      </w:pPr>
      <w:r>
        <w:rPr>
          <w:rFonts w:hint="eastAsia" w:ascii="宋体" w:hAnsi="宋体"/>
          <w:color w:val="auto"/>
          <w:szCs w:val="21"/>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  </w:t>
      </w:r>
      <w:r/>
    </w:p>
    <w:p>
      <w:pPr>
        <w:rPr>
          <w:color w:val="auto"/>
          <w:highlight w:val="none"/>
        </w:rPr>
      </w:pPr>
      <w:r>
        <w:rPr>
          <w:color w:val="auto"/>
          <w:highlight w:val="none"/>
        </w:rPr>
      </w:r>
      <w:r/>
    </w:p>
    <w:p>
      <w:pPr>
        <w:ind w:right="-68"/>
        <w:jc w:val="both"/>
        <w:spacing w:line="240" w:lineRule="atLeast"/>
        <w:rPr>
          <w:color w:val="auto"/>
          <w:sz w:val="30"/>
          <w:szCs w:val="30"/>
          <w:highlight w:val="none"/>
        </w:rPr>
        <w:outlineLvl w:val="1"/>
      </w:pPr>
      <w:r/>
      <w:bookmarkStart w:id="48" w:name="_Toc476153619"/>
      <w:r/>
      <w:r/>
    </w:p>
    <w:p>
      <w:pPr>
        <w:ind w:left="-51" w:right="-68"/>
        <w:jc w:val="center"/>
        <w:spacing w:line="240" w:lineRule="atLeast"/>
        <w:rPr>
          <w:color w:val="auto"/>
          <w:sz w:val="30"/>
          <w:szCs w:val="30"/>
          <w:highlight w:val="none"/>
        </w:rPr>
        <w:outlineLvl w:val="1"/>
      </w:pPr>
      <w:r>
        <w:rPr>
          <w:rFonts w:hint="eastAsia"/>
          <w:color w:val="auto"/>
          <w:sz w:val="30"/>
          <w:szCs w:val="30"/>
          <w:highlight w:val="none"/>
        </w:rPr>
        <w:t xml:space="preserve">中小企业划型标准</w:t>
      </w:r>
      <w:bookmarkEnd w:id="48"/>
      <w:r/>
      <w:r/>
    </w:p>
    <w:tbl>
      <w:tblPr>
        <w:tblStyle w:val="747"/>
        <w:tblW w:w="9816" w:type="dxa"/>
        <w:jc w:val="center"/>
        <w:tblLayout w:type="fixed"/>
        <w:tblCellMar>
          <w:left w:w="108" w:type="dxa"/>
          <w:top w:w="0" w:type="dxa"/>
          <w:right w:w="108" w:type="dxa"/>
          <w:bottom w:w="0" w:type="dxa"/>
        </w:tblCellMar>
        <w:tblLook w:val="04A0" w:firstRow="1" w:lastRow="0" w:firstColumn="1" w:lastColumn="0" w:noHBand="0" w:noVBand="1"/>
      </w:tblPr>
      <w:tblGrid>
        <w:gridCol w:w="331"/>
        <w:gridCol w:w="1325"/>
        <w:gridCol w:w="813"/>
        <w:gridCol w:w="626"/>
        <w:gridCol w:w="639"/>
        <w:gridCol w:w="752"/>
        <w:gridCol w:w="639"/>
        <w:gridCol w:w="678"/>
        <w:gridCol w:w="752"/>
        <w:gridCol w:w="652"/>
        <w:gridCol w:w="681"/>
        <w:gridCol w:w="752"/>
        <w:gridCol w:w="598"/>
        <w:gridCol w:w="578"/>
      </w:tblGrid>
      <w:tr>
        <w:trPr>
          <w:jc w:val="center"/>
          <w:trHeight w:val="593"/>
          <w:tblHeader/>
        </w:trPr>
        <w:tc>
          <w:tcPr>
            <w:tcBorders>
              <w:top w:val="single" w:color="auto" w:sz="4" w:space="0"/>
              <w:left w:val="single" w:color="auto" w:sz="4" w:space="0"/>
              <w:right w:val="single" w:color="auto" w:sz="4" w:space="0"/>
            </w:tcBorders>
            <w:tcW w:w="331" w:type="dxa"/>
            <w:vAlign w:val="center"/>
            <w:vMerge w:val="restart"/>
            <w:textDirection w:val="lrTb"/>
            <w:noWrap w:val="false"/>
          </w:tcPr>
          <w:p>
            <w:pPr>
              <w:ind w:left="-51" w:right="-68"/>
              <w:jc w:val="center"/>
              <w:spacing w:line="240" w:lineRule="atLeast"/>
              <w:rPr>
                <w:color w:val="auto"/>
                <w:sz w:val="20"/>
                <w:highlight w:val="none"/>
              </w:rPr>
            </w:pPr>
            <w:r>
              <w:rPr>
                <w:rFonts w:hint="eastAsia"/>
                <w:color w:val="auto"/>
                <w:sz w:val="20"/>
                <w:highlight w:val="none"/>
              </w:rPr>
              <w:t xml:space="preserve">序号</w:t>
            </w:r>
            <w:r/>
          </w:p>
        </w:tc>
        <w:tc>
          <w:tcPr>
            <w:tcBorders>
              <w:top w:val="single" w:color="auto" w:sz="4" w:space="0"/>
              <w:left w:val="none" w:color="000000" w:sz="4" w:space="0"/>
              <w:right w:val="single" w:color="auto" w:sz="4" w:space="0"/>
            </w:tcBorders>
            <w:tcW w:w="1325" w:type="dxa"/>
            <w:vAlign w:val="center"/>
            <w:vMerge w:val="restart"/>
            <w:textDirection w:val="lrTb"/>
            <w:noWrap w:val="false"/>
          </w:tcPr>
          <w:p>
            <w:pPr>
              <w:ind w:left="-51" w:right="-68"/>
              <w:jc w:val="center"/>
              <w:spacing w:line="240" w:lineRule="atLeast"/>
              <w:rPr>
                <w:color w:val="auto"/>
                <w:sz w:val="20"/>
                <w:highlight w:val="none"/>
              </w:rPr>
            </w:pPr>
            <w:r>
              <w:rPr>
                <w:rFonts w:hint="eastAsia"/>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2078" w:type="dxa"/>
            <w:vAlign w:val="center"/>
            <w:textDirection w:val="lrTb"/>
            <w:noWrap w:val="false"/>
          </w:tcPr>
          <w:p>
            <w:pPr>
              <w:ind w:left="-51" w:right="-68"/>
              <w:jc w:val="center"/>
              <w:spacing w:line="240" w:lineRule="atLeast"/>
              <w:rPr>
                <w:color w:val="auto"/>
                <w:sz w:val="20"/>
                <w:highlight w:val="none"/>
              </w:rPr>
            </w:pPr>
            <w:r>
              <w:rPr>
                <w:rFonts w:hint="eastAsia"/>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2069" w:type="dxa"/>
            <w:vAlign w:val="center"/>
            <w:textDirection w:val="lrTb"/>
            <w:noWrap w:val="false"/>
          </w:tcPr>
          <w:p>
            <w:pPr>
              <w:ind w:left="-51" w:right="-68"/>
              <w:jc w:val="center"/>
              <w:spacing w:line="240" w:lineRule="atLeast"/>
              <w:rPr>
                <w:color w:val="auto"/>
                <w:sz w:val="20"/>
                <w:highlight w:val="none"/>
              </w:rPr>
            </w:pPr>
            <w:r>
              <w:rPr>
                <w:rFonts w:hint="eastAsia"/>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2085" w:type="dxa"/>
            <w:vAlign w:val="center"/>
            <w:textDirection w:val="lrTb"/>
            <w:noWrap w:val="false"/>
          </w:tcPr>
          <w:p>
            <w:pPr>
              <w:ind w:left="-51" w:right="-68"/>
              <w:jc w:val="center"/>
              <w:spacing w:line="240" w:lineRule="atLeast"/>
              <w:rPr>
                <w:color w:val="auto"/>
                <w:sz w:val="20"/>
                <w:highlight w:val="none"/>
              </w:rPr>
            </w:pPr>
            <w:r>
              <w:rPr>
                <w:rFonts w:hint="eastAsia"/>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1928" w:type="dxa"/>
            <w:vAlign w:val="center"/>
            <w:textDirection w:val="lrTb"/>
            <w:noWrap w:val="false"/>
          </w:tcPr>
          <w:p>
            <w:pPr>
              <w:ind w:left="-51" w:right="-68"/>
              <w:jc w:val="center"/>
              <w:spacing w:line="240" w:lineRule="atLeast"/>
              <w:rPr>
                <w:color w:val="auto"/>
                <w:sz w:val="20"/>
                <w:highlight w:val="none"/>
              </w:rPr>
            </w:pPr>
            <w:r>
              <w:rPr>
                <w:rFonts w:hint="eastAsia"/>
                <w:color w:val="auto"/>
                <w:sz w:val="20"/>
                <w:highlight w:val="none"/>
              </w:rPr>
              <w:t xml:space="preserve">微型企业</w:t>
            </w:r>
            <w:r/>
          </w:p>
        </w:tc>
      </w:tr>
      <w:tr>
        <w:trPr>
          <w:jc w:val="center"/>
          <w:trHeight w:val="1131"/>
          <w:tblHeader/>
        </w:trPr>
        <w:tc>
          <w:tcPr>
            <w:tcBorders>
              <w:left w:val="single" w:color="auto" w:sz="4" w:space="0"/>
              <w:bottom w:val="single" w:color="auto" w:sz="4" w:space="0"/>
              <w:right w:val="single" w:color="auto" w:sz="4" w:space="0"/>
            </w:tcBorders>
            <w:tcW w:w="331" w:type="dxa"/>
            <w:vAlign w:val="center"/>
            <w:vMerge w:val="continue"/>
            <w:textDirection w:val="lrTb"/>
            <w:noWrap w:val="false"/>
          </w:tcPr>
          <w:p>
            <w:pPr>
              <w:ind w:left="-51" w:right="-68"/>
              <w:jc w:val="center"/>
              <w:spacing w:line="240" w:lineRule="atLeast"/>
              <w:rPr>
                <w:color w:val="auto"/>
                <w:sz w:val="20"/>
                <w:highlight w:val="none"/>
              </w:rPr>
            </w:pPr>
            <w:r>
              <w:rPr>
                <w:color w:val="auto"/>
                <w:sz w:val="20"/>
                <w:highlight w:val="none"/>
              </w:rPr>
            </w:r>
            <w:r/>
          </w:p>
        </w:tc>
        <w:tc>
          <w:tcPr>
            <w:tcBorders>
              <w:left w:val="none" w:color="000000" w:sz="4" w:space="0"/>
              <w:bottom w:val="single" w:color="auto" w:sz="4" w:space="0"/>
              <w:right w:val="single" w:color="auto" w:sz="4" w:space="0"/>
            </w:tcBorders>
            <w:tcW w:w="1325" w:type="dxa"/>
            <w:vAlign w:val="center"/>
            <w:vMerge w:val="continue"/>
            <w:textDirection w:val="lrTb"/>
            <w:noWrap w:val="false"/>
          </w:tcPr>
          <w:p>
            <w:pPr>
              <w:ind w:left="-51" w:right="-68"/>
              <w:spacing w:line="240" w:lineRule="atLeast"/>
              <w:rPr>
                <w:color w:val="auto"/>
                <w:sz w:val="20"/>
                <w:highlight w:val="none"/>
              </w:rPr>
            </w:pPr>
            <w:r>
              <w:rPr>
                <w:color w:val="auto"/>
                <w:sz w:val="20"/>
                <w:highlight w:val="none"/>
              </w:rPr>
            </w:r>
            <w:r/>
          </w:p>
        </w:tc>
        <w:tc>
          <w:tcPr>
            <w:tcBorders>
              <w:top w:val="none" w:color="000000" w:sz="4" w:space="0"/>
              <w:left w:val="none" w:color="000000" w:sz="4" w:space="0"/>
              <w:bottom w:val="single" w:color="auto" w:sz="4" w:space="0"/>
              <w:right w:val="single" w:color="auto" w:sz="4" w:space="0"/>
            </w:tcBorders>
            <w:tcW w:w="813" w:type="dxa"/>
            <w:vAlign w:val="center"/>
            <w:textDirection w:val="lrTb"/>
            <w:noWrap w:val="false"/>
          </w:tcPr>
          <w:p>
            <w:pPr>
              <w:ind w:left="-51" w:right="-68"/>
              <w:jc w:val="center"/>
              <w:spacing w:line="240" w:lineRule="atLeast"/>
              <w:rPr>
                <w:color w:val="auto"/>
                <w:sz w:val="20"/>
                <w:highlight w:val="none"/>
              </w:rPr>
            </w:pPr>
            <w:r>
              <w:rPr>
                <w:rFonts w:hint="eastAsia"/>
                <w:color w:val="auto"/>
                <w:sz w:val="20"/>
                <w:highlight w:val="none"/>
              </w:rPr>
              <w:t xml:space="preserve">营业收入</w:t>
            </w:r>
            <w:r/>
          </w:p>
          <w:p>
            <w:pPr>
              <w:ind w:left="-51" w:right="-68"/>
              <w:jc w:val="center"/>
              <w:spacing w:line="240" w:lineRule="atLeast"/>
              <w:rPr>
                <w:color w:val="auto"/>
                <w:sz w:val="20"/>
                <w:highlight w:val="none"/>
              </w:rPr>
            </w:pPr>
            <w:r>
              <w:rPr>
                <w:rFonts w:hint="eastAsia"/>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626" w:type="dxa"/>
            <w:vAlign w:val="center"/>
            <w:textDirection w:val="lrTb"/>
            <w:noWrap w:val="false"/>
          </w:tcPr>
          <w:p>
            <w:pPr>
              <w:ind w:left="-51" w:right="-68"/>
              <w:jc w:val="center"/>
              <w:spacing w:line="240" w:lineRule="atLeast"/>
              <w:rPr>
                <w:color w:val="auto"/>
                <w:sz w:val="20"/>
                <w:highlight w:val="none"/>
              </w:rPr>
            </w:pPr>
            <w:r>
              <w:rPr>
                <w:rFonts w:hint="eastAsia"/>
                <w:color w:val="auto"/>
                <w:sz w:val="20"/>
                <w:highlight w:val="none"/>
              </w:rPr>
              <w:t xml:space="preserve">从业人员</w:t>
            </w:r>
            <w:r/>
          </w:p>
          <w:p>
            <w:pPr>
              <w:ind w:left="-51" w:right="-68"/>
              <w:jc w:val="center"/>
              <w:spacing w:line="240" w:lineRule="atLeast"/>
              <w:rPr>
                <w:color w:val="auto"/>
                <w:sz w:val="20"/>
                <w:highlight w:val="none"/>
              </w:rPr>
            </w:pPr>
            <w:r>
              <w:rPr>
                <w:rFonts w:hint="eastAsia"/>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51" w:right="-68"/>
              <w:jc w:val="center"/>
              <w:spacing w:line="240" w:lineRule="atLeast"/>
              <w:rPr>
                <w:color w:val="auto"/>
                <w:sz w:val="20"/>
                <w:highlight w:val="none"/>
              </w:rPr>
            </w:pPr>
            <w:r>
              <w:rPr>
                <w:rFonts w:hint="eastAsia"/>
                <w:color w:val="auto"/>
                <w:sz w:val="20"/>
                <w:highlight w:val="none"/>
              </w:rPr>
              <w:t xml:space="preserve">总资产</w:t>
            </w:r>
            <w:r/>
          </w:p>
          <w:p>
            <w:pPr>
              <w:ind w:left="-51" w:right="-68"/>
              <w:jc w:val="center"/>
              <w:spacing w:line="240" w:lineRule="atLeast"/>
              <w:rPr>
                <w:color w:val="auto"/>
                <w:sz w:val="20"/>
                <w:highlight w:val="none"/>
              </w:rPr>
            </w:pPr>
            <w:r>
              <w:rPr>
                <w:rFonts w:hint="eastAsia"/>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ind w:left="-51" w:right="-68"/>
              <w:jc w:val="center"/>
              <w:spacing w:line="240" w:lineRule="atLeast"/>
              <w:rPr>
                <w:color w:val="auto"/>
                <w:sz w:val="20"/>
                <w:highlight w:val="none"/>
              </w:rPr>
            </w:pPr>
            <w:r>
              <w:rPr>
                <w:rFonts w:hint="eastAsia"/>
                <w:color w:val="auto"/>
                <w:sz w:val="20"/>
                <w:highlight w:val="none"/>
              </w:rPr>
              <w:t xml:space="preserve">营业收入</w:t>
            </w:r>
            <w:r/>
          </w:p>
          <w:p>
            <w:pPr>
              <w:ind w:left="-51" w:right="-68"/>
              <w:jc w:val="center"/>
              <w:spacing w:line="240" w:lineRule="atLeast"/>
              <w:rPr>
                <w:color w:val="auto"/>
                <w:sz w:val="20"/>
                <w:highlight w:val="none"/>
              </w:rPr>
            </w:pPr>
            <w:r>
              <w:rPr>
                <w:rFonts w:hint="eastAsia"/>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51" w:right="-68"/>
              <w:jc w:val="center"/>
              <w:spacing w:line="240" w:lineRule="atLeast"/>
              <w:rPr>
                <w:color w:val="auto"/>
                <w:sz w:val="20"/>
                <w:highlight w:val="none"/>
              </w:rPr>
            </w:pPr>
            <w:r>
              <w:rPr>
                <w:rFonts w:hint="eastAsia"/>
                <w:color w:val="auto"/>
                <w:sz w:val="20"/>
                <w:highlight w:val="none"/>
              </w:rPr>
              <w:t xml:space="preserve">从业人员</w:t>
            </w:r>
            <w:r/>
          </w:p>
          <w:p>
            <w:pPr>
              <w:ind w:left="-51" w:right="-68"/>
              <w:jc w:val="center"/>
              <w:spacing w:line="240" w:lineRule="atLeast"/>
              <w:rPr>
                <w:color w:val="auto"/>
                <w:sz w:val="20"/>
                <w:highlight w:val="none"/>
              </w:rPr>
            </w:pPr>
            <w:r>
              <w:rPr>
                <w:rFonts w:hint="eastAsia"/>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val="false"/>
          </w:tcPr>
          <w:p>
            <w:pPr>
              <w:ind w:left="-51" w:right="-68"/>
              <w:jc w:val="center"/>
              <w:spacing w:line="240" w:lineRule="atLeast"/>
              <w:rPr>
                <w:color w:val="auto"/>
                <w:sz w:val="20"/>
                <w:highlight w:val="none"/>
              </w:rPr>
            </w:pPr>
            <w:r>
              <w:rPr>
                <w:rFonts w:hint="eastAsia"/>
                <w:color w:val="auto"/>
                <w:sz w:val="20"/>
                <w:highlight w:val="none"/>
              </w:rPr>
              <w:t xml:space="preserve">总资产</w:t>
            </w:r>
            <w:r/>
          </w:p>
          <w:p>
            <w:pPr>
              <w:ind w:left="-51" w:right="-68"/>
              <w:jc w:val="center"/>
              <w:spacing w:line="240" w:lineRule="atLeast"/>
              <w:rPr>
                <w:color w:val="auto"/>
                <w:sz w:val="20"/>
                <w:highlight w:val="none"/>
              </w:rPr>
            </w:pPr>
            <w:r>
              <w:rPr>
                <w:rFonts w:hint="eastAsia"/>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ind w:left="-51" w:right="-68"/>
              <w:jc w:val="center"/>
              <w:spacing w:line="240" w:lineRule="atLeast"/>
              <w:rPr>
                <w:color w:val="auto"/>
                <w:sz w:val="20"/>
                <w:highlight w:val="none"/>
              </w:rPr>
            </w:pPr>
            <w:r>
              <w:rPr>
                <w:rFonts w:hint="eastAsia"/>
                <w:color w:val="auto"/>
                <w:sz w:val="20"/>
                <w:highlight w:val="none"/>
              </w:rPr>
              <w:t xml:space="preserve">营业收入</w:t>
            </w:r>
            <w:r/>
          </w:p>
          <w:p>
            <w:pPr>
              <w:ind w:left="-51" w:right="-68"/>
              <w:jc w:val="center"/>
              <w:spacing w:line="240" w:lineRule="atLeast"/>
              <w:rPr>
                <w:color w:val="auto"/>
                <w:sz w:val="20"/>
                <w:highlight w:val="none"/>
              </w:rPr>
            </w:pPr>
            <w:r>
              <w:rPr>
                <w:rFonts w:hint="eastAsia"/>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ind w:left="107" w:right="-68" w:hanging="158"/>
              <w:jc w:val="center"/>
              <w:spacing w:line="240" w:lineRule="atLeast"/>
              <w:rPr>
                <w:color w:val="auto"/>
                <w:sz w:val="20"/>
                <w:highlight w:val="none"/>
              </w:rPr>
            </w:pPr>
            <w:r>
              <w:rPr>
                <w:rFonts w:hint="eastAsia"/>
                <w:color w:val="auto"/>
                <w:sz w:val="20"/>
                <w:highlight w:val="none"/>
              </w:rPr>
              <w:t xml:space="preserve">从业人员</w:t>
            </w:r>
            <w:r/>
          </w:p>
          <w:p>
            <w:pPr>
              <w:ind w:left="-51" w:right="-68"/>
              <w:jc w:val="center"/>
              <w:spacing w:line="240" w:lineRule="atLeast"/>
              <w:rPr>
                <w:color w:val="auto"/>
                <w:sz w:val="20"/>
                <w:highlight w:val="none"/>
              </w:rPr>
            </w:pPr>
            <w:r>
              <w:rPr>
                <w:rFonts w:hint="eastAsia"/>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ind w:left="-51" w:right="-68"/>
              <w:jc w:val="center"/>
              <w:spacing w:line="240" w:lineRule="atLeast"/>
              <w:rPr>
                <w:color w:val="auto"/>
                <w:sz w:val="20"/>
                <w:highlight w:val="none"/>
              </w:rPr>
            </w:pPr>
            <w:r>
              <w:rPr>
                <w:rFonts w:hint="eastAsia"/>
                <w:color w:val="auto"/>
                <w:sz w:val="20"/>
                <w:highlight w:val="none"/>
              </w:rPr>
              <w:t xml:space="preserve">总资产</w:t>
            </w:r>
            <w:r/>
          </w:p>
          <w:p>
            <w:pPr>
              <w:ind w:left="-51" w:right="-68"/>
              <w:jc w:val="center"/>
              <w:spacing w:line="240" w:lineRule="atLeast"/>
              <w:rPr>
                <w:color w:val="auto"/>
                <w:sz w:val="20"/>
                <w:highlight w:val="none"/>
              </w:rPr>
            </w:pPr>
            <w:r>
              <w:rPr>
                <w:rFonts w:hint="eastAsia"/>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ind w:left="-51" w:right="-68"/>
              <w:jc w:val="center"/>
              <w:spacing w:line="240" w:lineRule="atLeast"/>
              <w:rPr>
                <w:color w:val="auto"/>
                <w:sz w:val="20"/>
                <w:highlight w:val="none"/>
              </w:rPr>
            </w:pPr>
            <w:r>
              <w:rPr>
                <w:rFonts w:hint="eastAsia"/>
                <w:color w:val="auto"/>
                <w:sz w:val="20"/>
                <w:highlight w:val="none"/>
              </w:rPr>
              <w:t xml:space="preserve">营业收入</w:t>
            </w:r>
            <w:r/>
          </w:p>
          <w:p>
            <w:pPr>
              <w:ind w:left="-51" w:right="-68"/>
              <w:jc w:val="center"/>
              <w:spacing w:line="240" w:lineRule="atLeast"/>
              <w:rPr>
                <w:color w:val="auto"/>
                <w:sz w:val="20"/>
                <w:highlight w:val="none"/>
              </w:rPr>
            </w:pPr>
            <w:r>
              <w:rPr>
                <w:rFonts w:hint="eastAsia"/>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598" w:type="dxa"/>
            <w:vAlign w:val="center"/>
            <w:textDirection w:val="lrTb"/>
            <w:noWrap w:val="false"/>
          </w:tcPr>
          <w:p>
            <w:pPr>
              <w:ind w:left="-51" w:right="-68"/>
              <w:jc w:val="center"/>
              <w:spacing w:line="240" w:lineRule="atLeast"/>
              <w:rPr>
                <w:color w:val="auto"/>
                <w:sz w:val="20"/>
                <w:highlight w:val="none"/>
              </w:rPr>
            </w:pPr>
            <w:r>
              <w:rPr>
                <w:rFonts w:hint="eastAsia"/>
                <w:color w:val="auto"/>
                <w:sz w:val="20"/>
                <w:highlight w:val="none"/>
              </w:rPr>
              <w:t xml:space="preserve">从业人员</w:t>
            </w:r>
            <w:r/>
          </w:p>
          <w:p>
            <w:pPr>
              <w:ind w:left="-51" w:right="-68"/>
              <w:jc w:val="center"/>
              <w:spacing w:line="240" w:lineRule="atLeast"/>
              <w:rPr>
                <w:color w:val="auto"/>
                <w:sz w:val="20"/>
                <w:highlight w:val="none"/>
              </w:rPr>
            </w:pPr>
            <w:r>
              <w:rPr>
                <w:rFonts w:hint="eastAsia"/>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578" w:type="dxa"/>
            <w:vAlign w:val="center"/>
            <w:textDirection w:val="lrTb"/>
            <w:noWrap w:val="false"/>
          </w:tcPr>
          <w:p>
            <w:pPr>
              <w:ind w:left="-51" w:right="-68"/>
              <w:jc w:val="center"/>
              <w:spacing w:line="240" w:lineRule="atLeast"/>
              <w:rPr>
                <w:color w:val="auto"/>
                <w:sz w:val="20"/>
                <w:highlight w:val="none"/>
              </w:rPr>
            </w:pPr>
            <w:r>
              <w:rPr>
                <w:rFonts w:hint="eastAsia"/>
                <w:color w:val="auto"/>
                <w:sz w:val="20"/>
                <w:highlight w:val="none"/>
              </w:rPr>
              <w:t xml:space="preserve">总资产</w:t>
            </w:r>
            <w:r/>
          </w:p>
          <w:p>
            <w:pPr>
              <w:ind w:left="-51" w:right="-68"/>
              <w:jc w:val="center"/>
              <w:spacing w:line="240" w:lineRule="atLeast"/>
              <w:rPr>
                <w:color w:val="auto"/>
                <w:sz w:val="20"/>
                <w:highlight w:val="none"/>
              </w:rPr>
            </w:pPr>
            <w:r>
              <w:rPr>
                <w:rFonts w:hint="eastAsia"/>
                <w:color w:val="auto"/>
                <w:sz w:val="20"/>
                <w:highlight w:val="none"/>
              </w:rPr>
              <w:t xml:space="preserve">(万元)</w:t>
            </w:r>
            <w:r/>
          </w:p>
        </w:tc>
      </w:tr>
      <w:tr>
        <w:trPr>
          <w:jc w:val="center"/>
          <w:trHeight w:val="570"/>
        </w:trPr>
        <w:tc>
          <w:tcPr>
            <w:tcBorders>
              <w:top w:val="single" w:color="auto" w:sz="4" w:space="0"/>
              <w:left w:val="single" w:color="auto" w:sz="4" w:space="0"/>
              <w:bottom w:val="single" w:color="auto" w:sz="4" w:space="0"/>
              <w:right w:val="single" w:color="auto" w:sz="4" w:space="0"/>
            </w:tcBorders>
            <w:tcW w:w="331" w:type="dxa"/>
            <w:vAlign w:val="center"/>
            <w:textDirection w:val="lrTb"/>
            <w:noWrap w:val="false"/>
          </w:tcPr>
          <w:p>
            <w:pPr>
              <w:ind w:left="-112" w:right="-112"/>
              <w:jc w:val="center"/>
              <w:spacing w:line="240" w:lineRule="atLeast"/>
              <w:rPr>
                <w:bCs/>
                <w:color w:val="auto"/>
                <w:sz w:val="20"/>
                <w:highlight w:val="none"/>
              </w:rPr>
            </w:pPr>
            <w:r>
              <w:rPr>
                <w:rFonts w:hint="eastAsia"/>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left="-29" w:right="-68"/>
              <w:spacing w:line="240" w:lineRule="atLeast"/>
              <w:rPr>
                <w:bCs/>
                <w:color w:val="auto"/>
                <w:sz w:val="20"/>
                <w:highlight w:val="none"/>
              </w:rPr>
            </w:pPr>
            <w:r>
              <w:rPr>
                <w:rFonts w:hint="eastAsia"/>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813"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626"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59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5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r>
      <w:tr>
        <w:trPr>
          <w:jc w:val="center"/>
          <w:trHeight w:val="442"/>
        </w:trPr>
        <w:tc>
          <w:tcPr>
            <w:tcBorders>
              <w:top w:val="none" w:color="000000" w:sz="4" w:space="0"/>
              <w:left w:val="single" w:color="auto" w:sz="4" w:space="0"/>
              <w:bottom w:val="single" w:color="auto" w:sz="4" w:space="0"/>
              <w:right w:val="single" w:color="auto" w:sz="4" w:space="0"/>
            </w:tcBorders>
            <w:tcW w:w="331" w:type="dxa"/>
            <w:vAlign w:val="center"/>
            <w:textDirection w:val="lrTb"/>
            <w:noWrap w:val="false"/>
          </w:tcPr>
          <w:p>
            <w:pPr>
              <w:ind w:left="-112" w:right="-112"/>
              <w:jc w:val="center"/>
              <w:spacing w:line="240" w:lineRule="atLeast"/>
              <w:rPr>
                <w:bCs/>
                <w:color w:val="auto"/>
                <w:sz w:val="20"/>
                <w:highlight w:val="none"/>
              </w:rPr>
            </w:pPr>
            <w:r>
              <w:rPr>
                <w:rFonts w:hint="eastAsia"/>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ind w:left="-29" w:right="-68"/>
              <w:spacing w:line="240" w:lineRule="atLeast"/>
              <w:rPr>
                <w:bCs/>
                <w:color w:val="auto"/>
                <w:sz w:val="20"/>
                <w:highlight w:val="none"/>
              </w:rPr>
            </w:pPr>
            <w:r>
              <w:rPr>
                <w:rFonts w:hint="eastAsia"/>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813"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626"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59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5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r>
      <w:tr>
        <w:trPr>
          <w:jc w:val="center"/>
          <w:trHeight w:val="570"/>
        </w:trPr>
        <w:tc>
          <w:tcPr>
            <w:tcBorders>
              <w:top w:val="none" w:color="000000" w:sz="4" w:space="0"/>
              <w:left w:val="single" w:color="auto" w:sz="4" w:space="0"/>
              <w:bottom w:val="single" w:color="auto" w:sz="4" w:space="0"/>
              <w:right w:val="single" w:color="auto" w:sz="4" w:space="0"/>
            </w:tcBorders>
            <w:tcW w:w="331" w:type="dxa"/>
            <w:vAlign w:val="center"/>
            <w:textDirection w:val="lrTb"/>
            <w:noWrap w:val="false"/>
          </w:tcPr>
          <w:p>
            <w:pPr>
              <w:ind w:left="-112" w:right="-112"/>
              <w:jc w:val="center"/>
              <w:spacing w:line="240" w:lineRule="atLeast"/>
              <w:rPr>
                <w:bCs/>
                <w:color w:val="auto"/>
                <w:sz w:val="20"/>
                <w:highlight w:val="none"/>
              </w:rPr>
            </w:pPr>
            <w:r>
              <w:rPr>
                <w:rFonts w:hint="eastAsia"/>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ind w:left="-29" w:right="-68"/>
              <w:spacing w:line="240" w:lineRule="atLeast"/>
              <w:rPr>
                <w:bCs/>
                <w:color w:val="auto"/>
                <w:sz w:val="20"/>
                <w:highlight w:val="none"/>
              </w:rPr>
            </w:pPr>
            <w:r>
              <w:rPr>
                <w:rFonts w:hint="eastAsia"/>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813"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626"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59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5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＜300</w:t>
            </w:r>
            <w:r/>
          </w:p>
        </w:tc>
      </w:tr>
      <w:tr>
        <w:trPr>
          <w:jc w:val="center"/>
          <w:trHeight w:val="442"/>
        </w:trPr>
        <w:tc>
          <w:tcPr>
            <w:tcBorders>
              <w:top w:val="none" w:color="000000" w:sz="4" w:space="0"/>
              <w:left w:val="single" w:color="auto" w:sz="4" w:space="0"/>
              <w:bottom w:val="single" w:color="auto" w:sz="4" w:space="0"/>
              <w:right w:val="single" w:color="auto" w:sz="4" w:space="0"/>
            </w:tcBorders>
            <w:tcW w:w="331" w:type="dxa"/>
            <w:vAlign w:val="center"/>
            <w:textDirection w:val="lrTb"/>
            <w:noWrap w:val="false"/>
          </w:tcPr>
          <w:p>
            <w:pPr>
              <w:ind w:left="-112" w:right="-112"/>
              <w:jc w:val="center"/>
              <w:spacing w:line="240" w:lineRule="atLeast"/>
              <w:rPr>
                <w:bCs/>
                <w:color w:val="auto"/>
                <w:sz w:val="20"/>
                <w:highlight w:val="none"/>
              </w:rPr>
            </w:pPr>
            <w:r>
              <w:rPr>
                <w:rFonts w:hint="eastAsia"/>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ind w:left="-29" w:right="-68"/>
              <w:spacing w:line="240" w:lineRule="atLeast"/>
              <w:rPr>
                <w:bCs/>
                <w:color w:val="auto"/>
                <w:sz w:val="20"/>
                <w:highlight w:val="none"/>
              </w:rPr>
            </w:pPr>
            <w:r>
              <w:rPr>
                <w:rFonts w:hint="eastAsia"/>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813"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626"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59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5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r>
      <w:tr>
        <w:trPr>
          <w:jc w:val="center"/>
          <w:trHeight w:val="442"/>
        </w:trPr>
        <w:tc>
          <w:tcPr>
            <w:tcBorders>
              <w:top w:val="none" w:color="000000" w:sz="4" w:space="0"/>
              <w:left w:val="single" w:color="auto" w:sz="4" w:space="0"/>
              <w:bottom w:val="single" w:color="auto" w:sz="4" w:space="0"/>
              <w:right w:val="single" w:color="auto" w:sz="4" w:space="0"/>
            </w:tcBorders>
            <w:tcW w:w="331" w:type="dxa"/>
            <w:vAlign w:val="center"/>
            <w:textDirection w:val="lrTb"/>
            <w:noWrap w:val="false"/>
          </w:tcPr>
          <w:p>
            <w:pPr>
              <w:ind w:left="-112" w:right="-112"/>
              <w:jc w:val="center"/>
              <w:spacing w:line="240" w:lineRule="atLeast"/>
              <w:rPr>
                <w:bCs/>
                <w:color w:val="auto"/>
                <w:sz w:val="20"/>
                <w:highlight w:val="none"/>
              </w:rPr>
            </w:pPr>
            <w:r>
              <w:rPr>
                <w:rFonts w:hint="eastAsia"/>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ind w:left="-29" w:right="-68"/>
              <w:spacing w:line="240" w:lineRule="atLeast"/>
              <w:rPr>
                <w:bCs/>
                <w:color w:val="auto"/>
                <w:sz w:val="20"/>
                <w:highlight w:val="none"/>
              </w:rPr>
            </w:pPr>
            <w:r>
              <w:rPr>
                <w:rFonts w:hint="eastAsia"/>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813"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626"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59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5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r>
      <w:tr>
        <w:trPr>
          <w:jc w:val="center"/>
          <w:trHeight w:val="442"/>
        </w:trPr>
        <w:tc>
          <w:tcPr>
            <w:tcBorders>
              <w:top w:val="none" w:color="000000" w:sz="4" w:space="0"/>
              <w:left w:val="single" w:color="auto" w:sz="4" w:space="0"/>
              <w:bottom w:val="single" w:color="auto" w:sz="4" w:space="0"/>
              <w:right w:val="single" w:color="auto" w:sz="4" w:space="0"/>
            </w:tcBorders>
            <w:tcW w:w="331" w:type="dxa"/>
            <w:vAlign w:val="center"/>
            <w:textDirection w:val="lrTb"/>
            <w:noWrap w:val="false"/>
          </w:tcPr>
          <w:p>
            <w:pPr>
              <w:ind w:left="-112" w:right="-112"/>
              <w:jc w:val="center"/>
              <w:spacing w:line="240" w:lineRule="atLeast"/>
              <w:rPr>
                <w:bCs/>
                <w:color w:val="auto"/>
                <w:sz w:val="20"/>
                <w:highlight w:val="none"/>
              </w:rPr>
            </w:pPr>
            <w:r>
              <w:rPr>
                <w:rFonts w:hint="eastAsia"/>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ind w:left="-29" w:right="-68"/>
              <w:spacing w:line="240" w:lineRule="atLeast"/>
              <w:rPr>
                <w:bCs/>
                <w:color w:val="auto"/>
                <w:sz w:val="20"/>
                <w:highlight w:val="none"/>
              </w:rPr>
            </w:pPr>
            <w:r>
              <w:rPr>
                <w:rFonts w:hint="eastAsia"/>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813"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626"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59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5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r>
      <w:tr>
        <w:trPr>
          <w:jc w:val="center"/>
          <w:trHeight w:val="442"/>
        </w:trPr>
        <w:tc>
          <w:tcPr>
            <w:tcBorders>
              <w:top w:val="none" w:color="000000" w:sz="4" w:space="0"/>
              <w:left w:val="single" w:color="auto" w:sz="4" w:space="0"/>
              <w:bottom w:val="single" w:color="auto" w:sz="4" w:space="0"/>
              <w:right w:val="single" w:color="auto" w:sz="4" w:space="0"/>
            </w:tcBorders>
            <w:tcW w:w="331" w:type="dxa"/>
            <w:vAlign w:val="center"/>
            <w:textDirection w:val="lrTb"/>
            <w:noWrap w:val="false"/>
          </w:tcPr>
          <w:p>
            <w:pPr>
              <w:ind w:left="-112" w:right="-112"/>
              <w:jc w:val="center"/>
              <w:spacing w:line="240" w:lineRule="atLeast"/>
              <w:rPr>
                <w:bCs/>
                <w:color w:val="auto"/>
                <w:sz w:val="20"/>
                <w:highlight w:val="none"/>
              </w:rPr>
            </w:pPr>
            <w:r>
              <w:rPr>
                <w:rFonts w:hint="eastAsia"/>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ind w:left="-29" w:right="-68"/>
              <w:spacing w:line="240" w:lineRule="atLeast"/>
              <w:rPr>
                <w:bCs/>
                <w:color w:val="auto"/>
                <w:sz w:val="20"/>
                <w:highlight w:val="none"/>
              </w:rPr>
            </w:pPr>
            <w:r>
              <w:rPr>
                <w:rFonts w:hint="eastAsia"/>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813"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626"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59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5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r>
      <w:tr>
        <w:trPr>
          <w:jc w:val="center"/>
          <w:trHeight w:val="442"/>
        </w:trPr>
        <w:tc>
          <w:tcPr>
            <w:tcBorders>
              <w:top w:val="none" w:color="000000" w:sz="4" w:space="0"/>
              <w:left w:val="single" w:color="auto" w:sz="4" w:space="0"/>
              <w:bottom w:val="single" w:color="auto" w:sz="4" w:space="0"/>
              <w:right w:val="single" w:color="auto" w:sz="4" w:space="0"/>
            </w:tcBorders>
            <w:tcW w:w="331" w:type="dxa"/>
            <w:vAlign w:val="center"/>
            <w:textDirection w:val="lrTb"/>
            <w:noWrap w:val="false"/>
          </w:tcPr>
          <w:p>
            <w:pPr>
              <w:ind w:left="-112" w:right="-112"/>
              <w:jc w:val="center"/>
              <w:spacing w:line="240" w:lineRule="atLeast"/>
              <w:rPr>
                <w:bCs/>
                <w:color w:val="auto"/>
                <w:sz w:val="20"/>
                <w:highlight w:val="none"/>
              </w:rPr>
            </w:pPr>
            <w:r>
              <w:rPr>
                <w:rFonts w:hint="eastAsia"/>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ind w:left="-29" w:right="-68"/>
              <w:spacing w:line="240" w:lineRule="atLeast"/>
              <w:rPr>
                <w:bCs/>
                <w:color w:val="auto"/>
                <w:sz w:val="20"/>
                <w:highlight w:val="none"/>
              </w:rPr>
            </w:pPr>
            <w:r>
              <w:rPr>
                <w:rFonts w:hint="eastAsia"/>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813"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626"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59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5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r>
      <w:tr>
        <w:trPr>
          <w:jc w:val="center"/>
          <w:trHeight w:val="442"/>
        </w:trPr>
        <w:tc>
          <w:tcPr>
            <w:tcBorders>
              <w:top w:val="none" w:color="000000" w:sz="4" w:space="0"/>
              <w:left w:val="single" w:color="auto" w:sz="4" w:space="0"/>
              <w:bottom w:val="single" w:color="auto" w:sz="4" w:space="0"/>
              <w:right w:val="single" w:color="auto" w:sz="4" w:space="0"/>
            </w:tcBorders>
            <w:tcW w:w="331" w:type="dxa"/>
            <w:vAlign w:val="center"/>
            <w:textDirection w:val="lrTb"/>
            <w:noWrap w:val="false"/>
          </w:tcPr>
          <w:p>
            <w:pPr>
              <w:ind w:left="-112" w:right="-112"/>
              <w:jc w:val="center"/>
              <w:spacing w:line="240" w:lineRule="atLeast"/>
              <w:rPr>
                <w:bCs/>
                <w:color w:val="auto"/>
                <w:sz w:val="20"/>
                <w:highlight w:val="none"/>
              </w:rPr>
            </w:pPr>
            <w:r>
              <w:rPr>
                <w:rFonts w:hint="eastAsia"/>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ind w:left="-29" w:right="-68"/>
              <w:spacing w:line="240" w:lineRule="atLeast"/>
              <w:rPr>
                <w:bCs/>
                <w:color w:val="auto"/>
                <w:sz w:val="20"/>
                <w:highlight w:val="none"/>
              </w:rPr>
            </w:pPr>
            <w:r>
              <w:rPr>
                <w:rFonts w:hint="eastAsia"/>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813"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626"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59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5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r>
      <w:tr>
        <w:trPr>
          <w:jc w:val="center"/>
          <w:trHeight w:val="442"/>
        </w:trPr>
        <w:tc>
          <w:tcPr>
            <w:tcBorders>
              <w:top w:val="none" w:color="000000" w:sz="4" w:space="0"/>
              <w:left w:val="single" w:color="auto" w:sz="4" w:space="0"/>
              <w:bottom w:val="single" w:color="auto" w:sz="4" w:space="0"/>
              <w:right w:val="single" w:color="auto" w:sz="4" w:space="0"/>
            </w:tcBorders>
            <w:tcW w:w="331" w:type="dxa"/>
            <w:vAlign w:val="center"/>
            <w:textDirection w:val="lrTb"/>
            <w:noWrap w:val="false"/>
          </w:tcPr>
          <w:p>
            <w:pPr>
              <w:ind w:left="-112" w:right="-112"/>
              <w:jc w:val="center"/>
              <w:spacing w:line="240" w:lineRule="atLeast"/>
              <w:rPr>
                <w:bCs/>
                <w:color w:val="auto"/>
                <w:sz w:val="20"/>
                <w:highlight w:val="none"/>
              </w:rPr>
            </w:pPr>
            <w:r>
              <w:rPr>
                <w:rFonts w:hint="eastAsia"/>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ind w:left="-29" w:right="-68"/>
              <w:spacing w:line="240" w:lineRule="atLeast"/>
              <w:rPr>
                <w:bCs/>
                <w:color w:val="auto"/>
                <w:sz w:val="20"/>
                <w:highlight w:val="none"/>
              </w:rPr>
            </w:pPr>
            <w:r>
              <w:rPr>
                <w:rFonts w:hint="eastAsia"/>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813"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626"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59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5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r>
      <w:tr>
        <w:trPr>
          <w:jc w:val="center"/>
          <w:trHeight w:val="442"/>
        </w:trPr>
        <w:tc>
          <w:tcPr>
            <w:tcBorders>
              <w:top w:val="none" w:color="000000" w:sz="4" w:space="0"/>
              <w:left w:val="single" w:color="auto" w:sz="4" w:space="0"/>
              <w:bottom w:val="single" w:color="auto" w:sz="4" w:space="0"/>
              <w:right w:val="single" w:color="auto" w:sz="4" w:space="0"/>
            </w:tcBorders>
            <w:tcW w:w="331"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ind w:left="-29" w:right="-68"/>
              <w:spacing w:line="240" w:lineRule="atLeast"/>
              <w:rPr>
                <w:color w:val="auto"/>
                <w:sz w:val="20"/>
                <w:highlight w:val="none"/>
              </w:rPr>
            </w:pPr>
            <w:r>
              <w:rPr>
                <w:rFonts w:hint="eastAsia"/>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813"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626"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59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5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r>
      <w:tr>
        <w:trPr>
          <w:jc w:val="center"/>
          <w:trHeight w:val="613"/>
        </w:trPr>
        <w:tc>
          <w:tcPr>
            <w:tcBorders>
              <w:top w:val="none" w:color="000000" w:sz="4" w:space="0"/>
              <w:left w:val="single" w:color="auto" w:sz="4" w:space="0"/>
              <w:bottom w:val="single" w:color="auto" w:sz="4" w:space="0"/>
              <w:right w:val="single" w:color="auto" w:sz="4" w:space="0"/>
            </w:tcBorders>
            <w:tcW w:w="331"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ind w:left="-29" w:right="-68"/>
              <w:spacing w:line="240" w:lineRule="atLeast"/>
              <w:rPr>
                <w:color w:val="auto"/>
                <w:sz w:val="20"/>
                <w:highlight w:val="none"/>
              </w:rPr>
            </w:pPr>
            <w:r>
              <w:rPr>
                <w:rFonts w:hint="eastAsia"/>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813"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626"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59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5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r>
      <w:tr>
        <w:trPr>
          <w:jc w:val="center"/>
          <w:trHeight w:val="851"/>
        </w:trPr>
        <w:tc>
          <w:tcPr>
            <w:tcBorders>
              <w:top w:val="none" w:color="000000" w:sz="4" w:space="0"/>
              <w:left w:val="single" w:color="auto" w:sz="4" w:space="0"/>
              <w:bottom w:val="single" w:color="auto" w:sz="4" w:space="0"/>
              <w:right w:val="single" w:color="auto" w:sz="4" w:space="0"/>
            </w:tcBorders>
            <w:tcW w:w="331" w:type="dxa"/>
            <w:vAlign w:val="center"/>
            <w:textDirection w:val="lrTb"/>
            <w:noWrap w:val="false"/>
          </w:tcPr>
          <w:p>
            <w:pPr>
              <w:ind w:left="-112" w:right="-112"/>
              <w:jc w:val="center"/>
              <w:spacing w:line="240" w:lineRule="atLeast"/>
              <w:rPr>
                <w:bCs/>
                <w:color w:val="auto"/>
                <w:sz w:val="20"/>
                <w:highlight w:val="none"/>
              </w:rPr>
            </w:pPr>
            <w:r>
              <w:rPr>
                <w:rFonts w:hint="eastAsia"/>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ind w:left="-29" w:right="-68"/>
              <w:spacing w:line="240" w:lineRule="atLeast"/>
              <w:rPr>
                <w:bCs/>
                <w:color w:val="auto"/>
                <w:sz w:val="20"/>
                <w:highlight w:val="none"/>
              </w:rPr>
            </w:pPr>
            <w:r>
              <w:rPr>
                <w:rFonts w:hint="eastAsia"/>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813"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626"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或,≥10000</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且,≥5000</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且,≥2000</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59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5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或,＜2000</w:t>
            </w:r>
            <w:r/>
          </w:p>
        </w:tc>
      </w:tr>
      <w:tr>
        <w:trPr>
          <w:jc w:val="center"/>
          <w:trHeight w:val="442"/>
        </w:trPr>
        <w:tc>
          <w:tcPr>
            <w:tcBorders>
              <w:top w:val="none" w:color="000000" w:sz="4" w:space="0"/>
              <w:left w:val="single" w:color="auto" w:sz="4" w:space="0"/>
              <w:bottom w:val="single" w:color="auto" w:sz="4" w:space="0"/>
              <w:right w:val="single" w:color="auto" w:sz="4" w:space="0"/>
            </w:tcBorders>
            <w:tcW w:w="331" w:type="dxa"/>
            <w:vAlign w:val="center"/>
            <w:textDirection w:val="lrTb"/>
            <w:noWrap w:val="false"/>
          </w:tcPr>
          <w:p>
            <w:pPr>
              <w:ind w:left="-112" w:right="-112"/>
              <w:jc w:val="center"/>
              <w:spacing w:line="240" w:lineRule="atLeast"/>
              <w:rPr>
                <w:bCs/>
                <w:color w:val="auto"/>
                <w:sz w:val="20"/>
                <w:highlight w:val="none"/>
              </w:rPr>
            </w:pPr>
            <w:r>
              <w:rPr>
                <w:rFonts w:hint="eastAsia"/>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ind w:left="-29" w:right="-68"/>
              <w:spacing w:line="240" w:lineRule="atLeast"/>
              <w:rPr>
                <w:bCs/>
                <w:color w:val="auto"/>
                <w:sz w:val="20"/>
                <w:highlight w:val="none"/>
              </w:rPr>
            </w:pPr>
            <w:r>
              <w:rPr>
                <w:rFonts w:hint="eastAsia"/>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813"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626"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59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5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r>
      <w:tr>
        <w:trPr>
          <w:jc w:val="center"/>
          <w:trHeight w:val="851"/>
        </w:trPr>
        <w:tc>
          <w:tcPr>
            <w:tcBorders>
              <w:top w:val="none" w:color="000000" w:sz="4" w:space="0"/>
              <w:left w:val="single" w:color="auto" w:sz="4" w:space="0"/>
              <w:bottom w:val="single" w:color="auto" w:sz="4" w:space="0"/>
              <w:right w:val="single" w:color="auto" w:sz="4" w:space="0"/>
            </w:tcBorders>
            <w:tcW w:w="331" w:type="dxa"/>
            <w:vAlign w:val="center"/>
            <w:textDirection w:val="lrTb"/>
            <w:noWrap w:val="false"/>
          </w:tcPr>
          <w:p>
            <w:pPr>
              <w:ind w:left="-112" w:right="-112"/>
              <w:jc w:val="center"/>
              <w:spacing w:line="240" w:lineRule="atLeast"/>
              <w:rPr>
                <w:bCs/>
                <w:color w:val="auto"/>
                <w:sz w:val="20"/>
                <w:highlight w:val="none"/>
              </w:rPr>
            </w:pPr>
            <w:r>
              <w:rPr>
                <w:rFonts w:hint="eastAsia"/>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ind w:left="-29" w:right="-68"/>
              <w:spacing w:line="240" w:lineRule="atLeast"/>
              <w:rPr>
                <w:bCs/>
                <w:color w:val="auto"/>
                <w:sz w:val="20"/>
                <w:highlight w:val="none"/>
              </w:rPr>
            </w:pPr>
            <w:r>
              <w:rPr>
                <w:rFonts w:hint="eastAsia"/>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813"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626"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或,≥120000</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且,≥8000</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且,≥100</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59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5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或,＜100</w:t>
            </w:r>
            <w:r/>
          </w:p>
        </w:tc>
      </w:tr>
      <w:tr>
        <w:trPr>
          <w:jc w:val="center"/>
          <w:trHeight w:val="465"/>
        </w:trPr>
        <w:tc>
          <w:tcPr>
            <w:tcBorders>
              <w:top w:val="none" w:color="000000" w:sz="4" w:space="0"/>
              <w:left w:val="single" w:color="auto" w:sz="4" w:space="0"/>
              <w:bottom w:val="single" w:color="auto" w:sz="4" w:space="0"/>
              <w:right w:val="single" w:color="auto" w:sz="4" w:space="0"/>
            </w:tcBorders>
            <w:tcW w:w="331"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ind w:left="-29" w:right="-68"/>
              <w:spacing w:line="240" w:lineRule="atLeast"/>
              <w:rPr>
                <w:color w:val="auto"/>
                <w:sz w:val="20"/>
                <w:highlight w:val="none"/>
              </w:rPr>
            </w:pPr>
            <w:r>
              <w:rPr>
                <w:rFonts w:hint="eastAsia"/>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813"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626"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639" w:type="dxa"/>
            <w:vAlign w:val="center"/>
            <w:textDirection w:val="lrTb"/>
            <w:noWrap w:val="false"/>
          </w:tcPr>
          <w:p>
            <w:pPr>
              <w:ind w:left="-112" w:right="-112"/>
              <w:jc w:val="center"/>
              <w:spacing w:line="240" w:lineRule="atLeast"/>
              <w:rPr>
                <w:color w:val="auto"/>
                <w:sz w:val="20"/>
                <w:highlight w:val="none"/>
              </w:rPr>
            </w:pPr>
            <w:r>
              <w:rPr>
                <w:rFonts w:hint="eastAsia"/>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59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578" w:type="dxa"/>
            <w:vAlign w:val="center"/>
            <w:textDirection w:val="lrTb"/>
            <w:noWrap w:val="false"/>
          </w:tcPr>
          <w:p>
            <w:pPr>
              <w:jc w:val="center"/>
              <w:spacing w:line="240" w:lineRule="atLeast"/>
              <w:rPr>
                <w:color w:val="auto"/>
                <w:sz w:val="20"/>
                <w:highlight w:val="none"/>
              </w:rPr>
            </w:pPr>
            <w:r>
              <w:rPr>
                <w:rFonts w:hint="eastAsia"/>
                <w:color w:val="auto"/>
                <w:sz w:val="20"/>
                <w:highlight w:val="none"/>
              </w:rPr>
              <w:t xml:space="preserve">　</w:t>
            </w:r>
            <w:r/>
          </w:p>
        </w:tc>
      </w:tr>
    </w:tbl>
    <w:p>
      <w:pPr>
        <w:pStyle w:val="753"/>
        <w:spacing w:line="360" w:lineRule="auto"/>
        <w:rPr>
          <w:rFonts w:ascii="宋体" w:hAnsi="宋体"/>
          <w:color w:val="auto"/>
          <w:sz w:val="20"/>
          <w:szCs w:val="20"/>
          <w:highlight w:val="none"/>
        </w:rPr>
      </w:pPr>
      <w:r>
        <w:rPr>
          <w:rStyle w:val="773"/>
          <w:rFonts w:hint="eastAsia" w:ascii="宋体" w:hAnsi="宋体" w:cs="仿宋"/>
          <w:bCs w:val="0"/>
          <w:color w:val="auto"/>
          <w:sz w:val="20"/>
          <w:szCs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53"/>
        <w:rPr>
          <w:rFonts w:ascii="宋体" w:hAnsi="宋体"/>
          <w:color w:val="auto"/>
          <w:szCs w:val="24"/>
          <w:highlight w:val="none"/>
        </w:rPr>
        <w:sectPr>
          <w:footerReference w:type="default" r:id="rId9"/>
          <w:footerReference w:type="first" r:id="rId10"/>
          <w:footnotePr/>
          <w:endnotePr/>
          <w:type w:val="nextPage"/>
          <w:pgSz w:w="11906" w:h="16838" w:orient="portrait"/>
          <w:pgMar w:top="1418" w:right="1198" w:bottom="1418" w:left="1588" w:header="851" w:footer="907" w:gutter="0"/>
          <w:pgNumType w:start="1"/>
          <w:cols w:num="1" w:sep="0" w:space="720" w:equalWidth="1"/>
          <w:docGrid w:linePitch="360"/>
          <w:titlePg/>
        </w:sectPr>
      </w:pPr>
      <w:r>
        <w:rPr>
          <w:rFonts w:ascii="宋体" w:hAnsi="宋体"/>
          <w:color w:val="auto"/>
          <w:szCs w:val="24"/>
          <w:highlight w:val="none"/>
        </w:rPr>
      </w:r>
      <w:r/>
    </w:p>
    <w:p>
      <w:pPr>
        <w:ind w:left="100"/>
        <w:spacing w:before="50" w:line="360" w:lineRule="auto"/>
        <w:rPr>
          <w:color w:val="auto"/>
          <w:highlight w:val="none"/>
        </w:rPr>
        <w:outlineLvl w:val="2"/>
      </w:pPr>
      <w:r>
        <w:rPr>
          <w:rFonts w:hint="eastAsia"/>
          <w:color w:val="auto"/>
          <w:highlight w:val="none"/>
        </w:rPr>
        <w:t xml:space="preserve">（一）残疾人福利性单位声明函格式</w:t>
      </w:r>
      <w:r/>
    </w:p>
    <w:p>
      <w:pPr>
        <w:ind w:firstLine="440"/>
        <w:jc w:val="center"/>
        <w:rPr>
          <w:color w:val="auto"/>
          <w:highlight w:val="none"/>
        </w:rPr>
      </w:pPr>
      <w:r>
        <w:rPr>
          <w:color w:val="auto"/>
          <w:highlight w:val="none"/>
        </w:rPr>
      </w:r>
      <w:r/>
    </w:p>
    <w:p>
      <w:pPr>
        <w:ind w:firstLine="440"/>
        <w:jc w:val="center"/>
        <w:rPr>
          <w:color w:val="auto"/>
          <w:highlight w:val="none"/>
        </w:rPr>
      </w:pPr>
      <w:r>
        <w:rPr>
          <w:rFonts w:hint="eastAsia"/>
          <w:color w:val="auto"/>
          <w:highlight w:val="none"/>
        </w:rPr>
        <w:t xml:space="preserve">残疾人福利性单位声明函</w:t>
      </w:r>
      <w:r/>
    </w:p>
    <w:p>
      <w:pPr>
        <w:rPr>
          <w:color w:val="auto"/>
          <w:sz w:val="21"/>
          <w:highlight w:val="none"/>
        </w:rPr>
      </w:pPr>
      <w:r>
        <w:rPr>
          <w:color w:val="auto"/>
          <w:sz w:val="21"/>
          <w:highlight w:val="none"/>
        </w:rPr>
      </w:r>
      <w:r/>
    </w:p>
    <w:p>
      <w:pPr>
        <w:ind w:firstLine="440"/>
        <w:spacing w:line="360" w:lineRule="auto"/>
        <w:rPr>
          <w:color w:val="auto"/>
          <w:highlight w:val="none"/>
        </w:rPr>
      </w:pPr>
      <w:r>
        <w:rPr>
          <w:rFonts w:hint="eastAsia"/>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highlight w:val="none"/>
          <w:u w:val="single"/>
        </w:rPr>
        <w:t xml:space="preserve">               </w:t>
      </w:r>
      <w:r>
        <w:rPr>
          <w:rFonts w:hint="eastAsia"/>
          <w:color w:val="auto"/>
          <w:highlight w:val="none"/>
        </w:rPr>
        <w:t xml:space="preserve">单位的</w:t>
      </w:r>
      <w:r>
        <w:rPr>
          <w:rFonts w:hint="eastAsia"/>
          <w:color w:val="auto"/>
          <w:highlight w:val="none"/>
          <w:u w:val="single"/>
        </w:rPr>
        <w:t xml:space="preserve">              </w:t>
      </w:r>
      <w:r>
        <w:rPr>
          <w:rFonts w:hint="eastAsia"/>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40"/>
        <w:spacing w:line="360" w:lineRule="auto"/>
        <w:rPr>
          <w:color w:val="auto"/>
          <w:highlight w:val="none"/>
        </w:rPr>
      </w:pPr>
      <w:r>
        <w:rPr>
          <w:rFonts w:hint="eastAsia"/>
          <w:color w:val="auto"/>
          <w:highlight w:val="none"/>
        </w:rPr>
        <w:t xml:space="preserve">本单位对上述声明的真实性负责。如有虚假，将依法承担相应责任。</w:t>
      </w:r>
      <w:r/>
    </w:p>
    <w:p>
      <w:pPr>
        <w:rPr>
          <w:color w:val="auto"/>
          <w:highlight w:val="none"/>
        </w:rPr>
      </w:pPr>
      <w:r>
        <w:rPr>
          <w:color w:val="auto"/>
          <w:highlight w:val="none"/>
        </w:rPr>
      </w:r>
      <w:r/>
    </w:p>
    <w:p>
      <w:pPr>
        <w:ind w:firstLine="4180"/>
        <w:rPr>
          <w:color w:val="auto"/>
          <w:highlight w:val="none"/>
        </w:rPr>
      </w:pPr>
      <w:r>
        <w:rPr>
          <w:rFonts w:hint="eastAsia"/>
          <w:color w:val="auto"/>
          <w:szCs w:val="21"/>
          <w:highlight w:val="none"/>
        </w:rPr>
        <w:t xml:space="preserve">企业名称（加盖CA电子公章）：</w:t>
      </w:r>
      <w:r>
        <w:rPr>
          <w:rFonts w:hint="eastAsia"/>
          <w:color w:val="auto"/>
          <w:highlight w:val="none"/>
        </w:rPr>
        <w:t xml:space="preserve"> </w:t>
      </w:r>
      <w:r/>
    </w:p>
    <w:p>
      <w:pPr>
        <w:ind w:firstLine="4180"/>
        <w:rPr>
          <w:color w:val="auto"/>
          <w:highlight w:val="none"/>
        </w:rPr>
      </w:pPr>
      <w:r>
        <w:rPr>
          <w:rFonts w:hint="eastAsia"/>
          <w:color w:val="auto"/>
          <w:highlight w:val="none"/>
        </w:rPr>
        <w:t xml:space="preserve">日</w:t>
      </w:r>
      <w:r>
        <w:rPr>
          <w:rFonts w:hint="eastAsia"/>
          <w:color w:val="auto"/>
          <w:highlight w:val="none"/>
        </w:rPr>
        <w:tab/>
      </w:r>
      <w:r>
        <w:rPr>
          <w:rFonts w:hint="eastAsia"/>
          <w:color w:val="auto"/>
          <w:highlight w:val="none"/>
        </w:rPr>
        <w:t xml:space="preserve">期：</w:t>
      </w:r>
      <w:r/>
    </w:p>
    <w:p>
      <w:pPr>
        <w:rPr>
          <w:color w:val="auto"/>
          <w:sz w:val="21"/>
          <w:highlight w:val="none"/>
        </w:rPr>
      </w:pPr>
      <w:r>
        <w:rPr>
          <w:color w:val="auto"/>
          <w:sz w:val="21"/>
          <w:highlight w:val="none"/>
        </w:rPr>
      </w:r>
      <w:r/>
    </w:p>
    <w:p>
      <w:pPr>
        <w:rPr>
          <w:color w:val="auto"/>
          <w:sz w:val="21"/>
          <w:highlight w:val="none"/>
        </w:rPr>
      </w:pPr>
      <w:r>
        <w:rPr>
          <w:color w:val="auto"/>
          <w:sz w:val="21"/>
          <w:highlight w:val="none"/>
        </w:rPr>
      </w:r>
      <w:r/>
    </w:p>
    <w:p>
      <w:pPr>
        <w:rPr>
          <w:color w:val="auto"/>
          <w:sz w:val="21"/>
          <w:highlight w:val="none"/>
        </w:rPr>
      </w:pPr>
      <w:r>
        <w:rPr>
          <w:color w:val="auto"/>
          <w:sz w:val="21"/>
          <w:highlight w:val="none"/>
        </w:rPr>
      </w:r>
      <w:r/>
    </w:p>
    <w:p>
      <w:pPr>
        <w:rPr>
          <w:color w:val="auto"/>
          <w:sz w:val="21"/>
          <w:highlight w:val="none"/>
        </w:rPr>
      </w:pPr>
      <w:r>
        <w:rPr>
          <w:color w:val="auto"/>
          <w:sz w:val="21"/>
          <w:highlight w:val="none"/>
        </w:rPr>
      </w:r>
      <w:r/>
    </w:p>
    <w:p>
      <w:pPr>
        <w:rPr>
          <w:color w:val="auto"/>
          <w:sz w:val="21"/>
          <w:highlight w:val="none"/>
        </w:rPr>
      </w:pPr>
      <w:r>
        <w:rPr>
          <w:color w:val="auto"/>
          <w:sz w:val="21"/>
          <w:highlight w:val="none"/>
        </w:rPr>
      </w:r>
      <w:r/>
    </w:p>
    <w:p>
      <w:pPr>
        <w:rPr>
          <w:color w:val="auto"/>
          <w:sz w:val="21"/>
          <w:highlight w:val="none"/>
        </w:rPr>
      </w:pPr>
      <w:r>
        <w:rPr>
          <w:color w:val="auto"/>
          <w:sz w:val="21"/>
          <w:highlight w:val="none"/>
        </w:rPr>
      </w:r>
      <w:r/>
    </w:p>
    <w:p>
      <w:pPr>
        <w:rPr>
          <w:color w:val="auto"/>
          <w:sz w:val="21"/>
          <w:highlight w:val="none"/>
        </w:rPr>
      </w:pPr>
      <w:r>
        <w:rPr>
          <w:color w:val="auto"/>
          <w:sz w:val="21"/>
          <w:highlight w:val="none"/>
        </w:rPr>
      </w:r>
      <w:r/>
    </w:p>
    <w:p>
      <w:pPr>
        <w:ind w:left="100"/>
        <w:spacing w:before="50" w:line="360" w:lineRule="auto"/>
        <w:rPr>
          <w:color w:val="auto"/>
          <w:highlight w:val="none"/>
        </w:rPr>
        <w:outlineLvl w:val="2"/>
      </w:pPr>
      <w:r>
        <w:rPr>
          <w:rFonts w:hint="eastAsia"/>
          <w:color w:val="auto"/>
          <w:highlight w:val="none"/>
        </w:rPr>
        <w:t xml:space="preserve">（二）属于监狱企业的证明文件</w:t>
      </w:r>
      <w:r/>
    </w:p>
    <w:p>
      <w:pPr>
        <w:ind w:firstLine="440"/>
        <w:spacing w:line="360" w:lineRule="auto"/>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ind w:firstLine="440"/>
        <w:spacing w:line="360" w:lineRule="auto"/>
        <w:rPr>
          <w:color w:val="auto"/>
          <w:highlight w:val="none"/>
        </w:rPr>
      </w:pPr>
      <w:r>
        <w:rPr>
          <w:color w:val="auto"/>
          <w:highlight w:val="none"/>
        </w:rPr>
      </w:r>
      <w:r/>
    </w:p>
    <w:p>
      <w:pPr>
        <w:ind w:left="100"/>
        <w:spacing w:before="50" w:line="360" w:lineRule="auto"/>
        <w:rPr>
          <w:color w:val="auto"/>
          <w:highlight w:val="none"/>
        </w:rPr>
        <w:outlineLvl w:val="2"/>
      </w:pPr>
      <w:r>
        <w:rPr>
          <w:rFonts w:hint="eastAsia"/>
          <w:color w:val="auto"/>
          <w:highlight w:val="none"/>
        </w:rPr>
        <w:t xml:space="preserve">（三）节能产品认证文件</w:t>
      </w:r>
      <w:r/>
    </w:p>
    <w:p>
      <w:pPr>
        <w:ind w:firstLine="440"/>
        <w:spacing w:line="360" w:lineRule="auto"/>
        <w:rPr>
          <w:color w:val="auto"/>
          <w:highlight w:val="none"/>
        </w:rPr>
      </w:pPr>
      <w:r>
        <w:rPr>
          <w:rFonts w:hint="eastAsia"/>
          <w:color w:val="auto"/>
          <w:highlight w:val="none"/>
        </w:rPr>
        <w:t xml:space="preserve">提供其投标产品在《节能产品政府采购清单》中相应的页面截图及相关证明材料</w:t>
      </w:r>
      <w:r/>
    </w:p>
    <w:p>
      <w:pPr>
        <w:ind w:firstLine="440"/>
        <w:spacing w:line="360" w:lineRule="auto"/>
        <w:rPr>
          <w:color w:val="auto"/>
          <w:highlight w:val="none"/>
        </w:rPr>
      </w:pPr>
      <w:r>
        <w:rPr>
          <w:color w:val="auto"/>
          <w:highlight w:val="none"/>
        </w:rPr>
      </w:r>
      <w:r/>
    </w:p>
    <w:p>
      <w:pPr>
        <w:ind w:left="100"/>
        <w:spacing w:before="50" w:line="360" w:lineRule="auto"/>
        <w:rPr>
          <w:color w:val="auto"/>
          <w:highlight w:val="none"/>
        </w:rPr>
        <w:outlineLvl w:val="2"/>
      </w:pPr>
      <w:r>
        <w:rPr>
          <w:rFonts w:hint="eastAsia"/>
          <w:color w:val="auto"/>
          <w:highlight w:val="none"/>
        </w:rPr>
        <w:t xml:space="preserve">（四）环境标志产品认证文件</w:t>
      </w:r>
      <w:r/>
    </w:p>
    <w:p>
      <w:pPr>
        <w:ind w:firstLine="440"/>
        <w:spacing w:line="360" w:lineRule="auto"/>
        <w:rPr>
          <w:color w:val="auto"/>
          <w:sz w:val="21"/>
          <w:highlight w:val="none"/>
        </w:rPr>
      </w:pPr>
      <w:r>
        <w:rPr>
          <w:rFonts w:hint="eastAsia"/>
          <w:color w:val="auto"/>
          <w:highlight w:val="none"/>
        </w:rPr>
        <w:t xml:space="preserve">提供其投标产品在《环境标志产品政府采购清单》中相应的页面截图及相关证明材料</w:t>
      </w:r>
      <w:r>
        <w:rPr>
          <w:color w:val="auto"/>
          <w:sz w:val="21"/>
          <w:highlight w:val="none"/>
        </w:rPr>
        <w:br w:type="page" w:clear="all"/>
      </w:r>
      <w:r/>
    </w:p>
    <w:p>
      <w:pPr>
        <w:rPr>
          <w:rFonts w:ascii="方正魏碑_GBK" w:hAnsi="方正魏碑_GBK" w:eastAsia="方正魏碑_GBK" w:cs="方正魏碑_GBK"/>
          <w:color w:val="auto"/>
          <w:sz w:val="24"/>
          <w:szCs w:val="24"/>
          <w:highlight w:val="none"/>
        </w:rPr>
      </w:pPr>
      <w:r>
        <w:rPr>
          <w:rFonts w:hint="eastAsia"/>
          <w:bCs/>
          <w:color w:val="auto"/>
          <w:highlight w:val="none"/>
        </w:rPr>
        <w:t xml:space="preserve">（</w:t>
      </w:r>
      <w:r>
        <w:rPr>
          <w:rFonts w:hint="eastAsia"/>
          <w:bCs/>
          <w:color w:val="auto"/>
          <w:highlight w:val="none"/>
          <w:lang w:val="en-US"/>
        </w:rPr>
        <w:t xml:space="preserve">五）</w:t>
      </w:r>
      <w:r>
        <w:rPr>
          <w:rFonts w:hint="eastAsia" w:ascii="方正魏碑_GBK" w:hAnsi="方正魏碑_GBK" w:eastAsia="方正魏碑_GBK" w:cs="方正魏碑_GBK"/>
          <w:b/>
          <w:color w:val="auto"/>
          <w:sz w:val="24"/>
          <w:szCs w:val="24"/>
          <w:highlight w:val="none"/>
        </w:rPr>
        <w:t xml:space="preserve">关于符合本国产品标准的声明函（采购包号：</w:t>
      </w:r>
      <w:r>
        <w:rPr>
          <w:rFonts w:hint="eastAsia" w:ascii="方正魏碑_GBK" w:hAnsi="方正魏碑_GBK" w:eastAsia="方正魏碑_GBK" w:cs="方正魏碑_GBK"/>
          <w:b/>
          <w:color w:val="auto"/>
          <w:sz w:val="24"/>
          <w:szCs w:val="24"/>
          <w:highlight w:val="none"/>
          <w:lang w:val="en-US"/>
        </w:rPr>
        <w:t xml:space="preserve">如有</w:t>
      </w:r>
      <w:r>
        <w:rPr>
          <w:rFonts w:hint="eastAsia" w:ascii="方正魏碑_GBK" w:hAnsi="方正魏碑_GBK" w:eastAsia="方正魏碑_GBK" w:cs="方正魏碑_GBK"/>
          <w:b/>
          <w:color w:val="auto"/>
          <w:sz w:val="24"/>
          <w:szCs w:val="24"/>
          <w:highlight w:val="none"/>
        </w:rPr>
        <w:t xml:space="preserve">）</w:t>
      </w:r>
      <w:r/>
    </w:p>
    <w:p>
      <w:pPr>
        <w:pStyle w:val="767"/>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67"/>
        <w:ind w:firstLine="420"/>
        <w:spacing w:before="0" w:beforeAutospacing="0" w:after="0" w:afterAutospacing="0" w:line="360" w:lineRule="exac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7"/>
        <w:numPr>
          <w:ilvl w:val="0"/>
          <w:numId w:val="20"/>
        </w:numPr>
        <w:ind w:firstLine="420"/>
        <w:spacing w:before="30" w:beforeAutospacing="0" w:after="30" w:afterAutospacing="0" w:line="360" w:lineRule="exact"/>
        <w:rPr>
          <w:rFonts w:ascii="方正魏碑_GBK" w:hAnsi="方正魏碑_GBK" w:eastAsia="方正魏碑_GBK" w:cs="方正魏碑_GBK"/>
          <w:color w:val="auto"/>
          <w:highlight w:val="none"/>
          <w:shd w:val="clear" w:color="auto" w:fill="ffffff"/>
        </w:rPr>
      </w:pPr>
      <w:r>
        <w:rPr>
          <w:rStyle w:val="776"/>
          <w:rFonts w:hint="eastAsia" w:ascii="方正魏碑_GBK" w:hAnsi="方正魏碑_GBK" w:eastAsia="方正魏碑_GBK" w:cs="方正魏碑_GBK"/>
          <w:i w:val="0"/>
          <w:color w:val="auto"/>
          <w:highlight w:val="none"/>
          <w:u w:val="single"/>
          <w:shd w:val="clear" w:color="auto" w:fill="ffffff"/>
        </w:rPr>
        <w:t xml:space="preserve">（产品名称1）</w:t>
      </w:r>
      <w:r>
        <w:rPr>
          <w:rStyle w:val="776"/>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76"/>
          <w:rFonts w:hint="eastAsia" w:ascii="方正魏碑_GBK" w:hAnsi="方正魏碑_GBK" w:eastAsia="方正魏碑_GBK" w:cs="方正魏碑_GBK"/>
          <w:i w:val="0"/>
          <w:color w:val="auto"/>
          <w:highlight w:val="none"/>
          <w:u w:val="single"/>
          <w:shd w:val="clear" w:color="auto" w:fill="ffffff"/>
        </w:rPr>
        <w:t xml:space="preserve">（厂名）</w:t>
      </w:r>
      <w:r>
        <w:rPr>
          <w:rStyle w:val="776"/>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76"/>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76"/>
          <w:rFonts w:hint="eastAsia" w:ascii="方正魏碑_GBK" w:hAnsi="方正魏碑_GBK" w:eastAsia="方正魏碑_GBK" w:cs="方正魏碑_GBK"/>
          <w:i w:val="0"/>
          <w:color w:val="auto"/>
          <w:highlight w:val="none"/>
          <w:u w:val="single"/>
          <w:shd w:val="clear" w:color="auto" w:fill="ffffff"/>
        </w:rPr>
        <w:t xml:space="preserve">（</w:t>
      </w:r>
      <w:r>
        <w:rPr>
          <w:rStyle w:val="77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76"/>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76"/>
          <w:rFonts w:hint="eastAsia" w:ascii="方正魏碑_GBK" w:hAnsi="方正魏碑_GBK" w:eastAsia="方正魏碑_GBK" w:cs="方正魏碑_GBK"/>
          <w:i w:val="0"/>
          <w:color w:val="auto"/>
          <w:highlight w:val="none"/>
          <w:u w:val="single"/>
          <w:shd w:val="clear" w:color="auto" w:fill="ffffff"/>
        </w:rPr>
        <w:t xml:space="preserve">（</w:t>
      </w:r>
      <w:r>
        <w:rPr>
          <w:rStyle w:val="776"/>
          <w:rFonts w:hint="eastAsia" w:ascii="方正魏碑_GBK" w:hAnsi="方正魏碑_GBK" w:eastAsia="方正魏碑_GBK" w:cs="方正魏碑_GBK"/>
          <w:i w:val="0"/>
          <w:strike/>
          <w:color w:val="auto"/>
          <w:highlight w:val="none"/>
          <w:u w:val="single"/>
          <w:shd w:val="clear" w:color="auto" w:fill="ffffff"/>
        </w:rPr>
        <w:t xml:space="preserve">规定</w:t>
      </w:r>
      <w:r>
        <w:rPr>
          <w:rStyle w:val="776"/>
          <w:rFonts w:ascii="方正魏碑_GBK" w:hAnsi="方正魏碑_GBK" w:eastAsia="方正魏碑_GBK" w:cs="方正魏碑_GBK"/>
          <w:i w:val="0"/>
          <w:strike/>
          <w:color w:val="auto"/>
          <w:highlight w:val="none"/>
          <w:u w:val="single"/>
          <w:shd w:val="clear" w:color="auto" w:fill="ffffff"/>
        </w:rPr>
        <w:t xml:space="preserve">比例</w:t>
      </w:r>
      <w:r>
        <w:rPr>
          <w:rStyle w:val="776"/>
          <w:rFonts w:hint="eastAsia" w:ascii="方正魏碑_GBK" w:hAnsi="方正魏碑_GBK" w:eastAsia="方正魏碑_GBK" w:cs="方正魏碑_GBK"/>
          <w:i w:val="0"/>
          <w:color w:val="auto"/>
          <w:highlight w:val="none"/>
          <w:u w:val="single"/>
          <w:shd w:val="clear" w:color="auto" w:fill="ffffff"/>
        </w:rPr>
        <w:t xml:space="preserve">）</w:t>
      </w:r>
      <w:r>
        <w:rPr>
          <w:rStyle w:val="776"/>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76"/>
          <w:rFonts w:hint="eastAsia" w:ascii="方正魏碑_GBK" w:hAnsi="方正魏碑_GBK" w:eastAsia="方正魏碑_GBK" w:cs="方正魏碑_GBK"/>
          <w:i w:val="0"/>
          <w:color w:val="auto"/>
          <w:highlight w:val="none"/>
          <w:u w:val="single"/>
          <w:shd w:val="clear" w:color="auto" w:fill="ffffff"/>
        </w:rPr>
        <w:t xml:space="preserve">（</w:t>
      </w:r>
      <w:r>
        <w:rPr>
          <w:rStyle w:val="77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7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76"/>
          <w:rFonts w:hint="eastAsia" w:ascii="方正魏碑_GBK" w:hAnsi="方正魏碑_GBK" w:eastAsia="方正魏碑_GBK" w:cs="方正魏碑_GBK"/>
          <w:i w:val="0"/>
          <w:color w:val="auto"/>
          <w:highlight w:val="none"/>
          <w:u w:val="single"/>
          <w:shd w:val="clear" w:color="auto" w:fill="ffffff"/>
        </w:rPr>
        <w:t xml:space="preserve">（</w:t>
      </w:r>
      <w:r>
        <w:rPr>
          <w:rStyle w:val="776"/>
          <w:rFonts w:hint="eastAsia" w:ascii="方正魏碑_GBK" w:hAnsi="方正魏碑_GBK" w:eastAsia="方正魏碑_GBK" w:cs="方正魏碑_GBK"/>
          <w:i w:val="0"/>
          <w:strike/>
          <w:color w:val="auto"/>
          <w:highlight w:val="none"/>
          <w:u w:val="single"/>
          <w:shd w:val="clear" w:color="auto" w:fill="ffffff"/>
        </w:rPr>
        <w:t xml:space="preserve">关键</w:t>
      </w:r>
      <w:r>
        <w:rPr>
          <w:rStyle w:val="776"/>
          <w:rFonts w:ascii="方正魏碑_GBK" w:hAnsi="方正魏碑_GBK" w:eastAsia="方正魏碑_GBK" w:cs="方正魏碑_GBK"/>
          <w:i w:val="0"/>
          <w:strike/>
          <w:color w:val="auto"/>
          <w:highlight w:val="none"/>
          <w:u w:val="single"/>
          <w:shd w:val="clear" w:color="auto" w:fill="ffffff"/>
        </w:rPr>
        <w:t xml:space="preserve">组件</w:t>
      </w:r>
      <w:r>
        <w:rPr>
          <w:rStyle w:val="776"/>
          <w:rFonts w:hint="eastAsia" w:ascii="方正魏碑_GBK" w:hAnsi="方正魏碑_GBK" w:eastAsia="方正魏碑_GBK" w:cs="方正魏碑_GBK"/>
          <w:i w:val="0"/>
          <w:color w:val="auto"/>
          <w:highlight w:val="none"/>
          <w:u w:val="single"/>
          <w:shd w:val="clear" w:color="auto" w:fill="ffffff"/>
        </w:rPr>
        <w:t xml:space="preserve">）</w:t>
      </w:r>
      <w:r>
        <w:rPr>
          <w:rStyle w:val="776"/>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76"/>
          <w:rFonts w:hint="eastAsia" w:ascii="方正魏碑_GBK" w:hAnsi="方正魏碑_GBK" w:eastAsia="方正魏碑_GBK" w:cs="方正魏碑_GBK"/>
          <w:i w:val="0"/>
          <w:color w:val="auto"/>
          <w:highlight w:val="none"/>
          <w:u w:val="single"/>
          <w:shd w:val="clear" w:color="auto" w:fill="ffffff"/>
        </w:rPr>
        <w:t xml:space="preserve">（</w:t>
      </w:r>
      <w:r>
        <w:rPr>
          <w:rStyle w:val="77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7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76"/>
          <w:rFonts w:hint="eastAsia" w:ascii="方正魏碑_GBK" w:hAnsi="方正魏碑_GBK" w:eastAsia="方正魏碑_GBK" w:cs="方正魏碑_GBK"/>
          <w:i w:val="0"/>
          <w:color w:val="auto"/>
          <w:highlight w:val="none"/>
          <w:u w:val="single"/>
          <w:shd w:val="clear" w:color="auto" w:fill="ffffff"/>
        </w:rPr>
        <w:t xml:space="preserve">（</w:t>
      </w:r>
      <w:r>
        <w:rPr>
          <w:rStyle w:val="776"/>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76"/>
          <w:rFonts w:hint="eastAsia" w:ascii="方正魏碑_GBK" w:hAnsi="方正魏碑_GBK" w:eastAsia="方正魏碑_GBK" w:cs="方正魏碑_GBK"/>
          <w:i w:val="0"/>
          <w:color w:val="auto"/>
          <w:highlight w:val="none"/>
          <w:u w:val="single"/>
          <w:shd w:val="clear" w:color="auto" w:fill="ffffff"/>
        </w:rPr>
        <w:t xml:space="preserve">）</w:t>
      </w:r>
      <w:r>
        <w:rPr>
          <w:rStyle w:val="776"/>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67"/>
        <w:numPr>
          <w:ilvl w:val="255"/>
          <w:numId w:val="0"/>
        </w:numPr>
        <w:spacing w:before="30" w:beforeAutospacing="0" w:after="30" w:afterAutospacing="0" w:line="360" w:lineRule="exact"/>
        <w:rPr>
          <w:rFonts w:ascii="方正魏碑_GBK" w:hAnsi="方正魏碑_GBK" w:eastAsia="方正魏碑_GBK" w:cs="方正魏碑_GBK"/>
          <w:color w:val="auto"/>
          <w:highlight w:val="none"/>
          <w:shd w:val="clear" w:color="auto" w:fill="ffffff"/>
        </w:rPr>
      </w:pPr>
      <w:r>
        <w:rPr>
          <w:rFonts w:ascii="方正魏碑_GBK" w:hAnsi="方正魏碑_GBK" w:eastAsia="方正魏碑_GBK" w:cs="方正魏碑_GBK"/>
          <w:color w:val="auto"/>
          <w:highlight w:val="none"/>
          <w:shd w:val="clear" w:color="auto" w:fill="ffffff"/>
        </w:rPr>
      </w:r>
      <w:r/>
    </w:p>
    <w:p>
      <w:pPr>
        <w:pStyle w:val="767"/>
        <w:ind w:firstLine="420"/>
        <w:spacing w:before="30" w:beforeAutospacing="0" w:after="30" w:afterAutospacing="0" w:line="360" w:lineRule="exac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776"/>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76"/>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76"/>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76"/>
          <w:rFonts w:hint="eastAsia" w:ascii="方正魏碑_GBK" w:hAnsi="方正魏碑_GBK" w:eastAsia="方正魏碑_GBK" w:cs="方正魏碑_GBK"/>
          <w:i w:val="0"/>
          <w:color w:val="auto"/>
          <w:highlight w:val="none"/>
          <w:u w:val="single"/>
          <w:shd w:val="clear" w:color="auto" w:fill="ffffff"/>
        </w:rPr>
        <w:t xml:space="preserve">（</w:t>
      </w:r>
      <w:r>
        <w:rPr>
          <w:rStyle w:val="776"/>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7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76"/>
          <w:rFonts w:hint="eastAsia" w:ascii="方正魏碑_GBK" w:hAnsi="方正魏碑_GBK" w:eastAsia="方正魏碑_GBK" w:cs="方正魏碑_GBK"/>
          <w:i w:val="0"/>
          <w:color w:val="auto"/>
          <w:highlight w:val="none"/>
          <w:u w:val="single"/>
          <w:shd w:val="clear" w:color="auto" w:fill="ffffff"/>
        </w:rPr>
        <w:t xml:space="preserve">（</w:t>
      </w:r>
      <w:r>
        <w:rPr>
          <w:rStyle w:val="776"/>
          <w:rFonts w:hint="eastAsia" w:ascii="方正魏碑_GBK" w:hAnsi="方正魏碑_GBK" w:eastAsia="方正魏碑_GBK" w:cs="方正魏碑_GBK"/>
          <w:i w:val="0"/>
          <w:strike/>
          <w:color w:val="auto"/>
          <w:highlight w:val="none"/>
          <w:u w:val="single"/>
          <w:shd w:val="clear" w:color="auto" w:fill="ffffff"/>
        </w:rPr>
        <w:t xml:space="preserve">规定</w:t>
      </w:r>
      <w:r>
        <w:rPr>
          <w:rStyle w:val="776"/>
          <w:rFonts w:ascii="方正魏碑_GBK" w:hAnsi="方正魏碑_GBK" w:eastAsia="方正魏碑_GBK" w:cs="方正魏碑_GBK"/>
          <w:i w:val="0"/>
          <w:strike/>
          <w:color w:val="auto"/>
          <w:highlight w:val="none"/>
          <w:u w:val="single"/>
          <w:shd w:val="clear" w:color="auto" w:fill="ffffff"/>
        </w:rPr>
        <w:t xml:space="preserve">比例</w:t>
      </w:r>
      <w:r>
        <w:rPr>
          <w:rStyle w:val="77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76"/>
          <w:rFonts w:hint="eastAsia" w:ascii="方正魏碑_GBK" w:hAnsi="方正魏碑_GBK" w:eastAsia="方正魏碑_GBK" w:cs="方正魏碑_GBK"/>
          <w:i w:val="0"/>
          <w:color w:val="auto"/>
          <w:highlight w:val="none"/>
          <w:u w:val="single"/>
          <w:shd w:val="clear" w:color="auto" w:fill="ffffff"/>
        </w:rPr>
        <w:t xml:space="preserve">（</w:t>
      </w:r>
      <w:r>
        <w:rPr>
          <w:rStyle w:val="776"/>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7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76"/>
          <w:rFonts w:hint="eastAsia" w:ascii="方正魏碑_GBK" w:hAnsi="方正魏碑_GBK" w:eastAsia="方正魏碑_GBK" w:cs="方正魏碑_GBK"/>
          <w:i w:val="0"/>
          <w:color w:val="auto"/>
          <w:highlight w:val="none"/>
          <w:u w:val="single"/>
          <w:shd w:val="clear" w:color="auto" w:fill="ffffff"/>
        </w:rPr>
        <w:t xml:space="preserve">（</w:t>
      </w:r>
      <w:r>
        <w:rPr>
          <w:rStyle w:val="776"/>
          <w:rFonts w:hint="eastAsia" w:ascii="方正魏碑_GBK" w:hAnsi="方正魏碑_GBK" w:eastAsia="方正魏碑_GBK" w:cs="方正魏碑_GBK"/>
          <w:i w:val="0"/>
          <w:strike/>
          <w:color w:val="auto"/>
          <w:highlight w:val="none"/>
          <w:u w:val="single"/>
          <w:shd w:val="clear" w:color="auto" w:fill="ffffff"/>
        </w:rPr>
        <w:t xml:space="preserve">关键</w:t>
      </w:r>
      <w:r>
        <w:rPr>
          <w:rStyle w:val="776"/>
          <w:rFonts w:ascii="方正魏碑_GBK" w:hAnsi="方正魏碑_GBK" w:eastAsia="方正魏碑_GBK" w:cs="方正魏碑_GBK"/>
          <w:i w:val="0"/>
          <w:strike/>
          <w:color w:val="auto"/>
          <w:highlight w:val="none"/>
          <w:u w:val="single"/>
          <w:shd w:val="clear" w:color="auto" w:fill="ffffff"/>
        </w:rPr>
        <w:t xml:space="preserve">组件</w:t>
      </w:r>
      <w:r>
        <w:rPr>
          <w:rStyle w:val="77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76"/>
          <w:rFonts w:hint="eastAsia" w:ascii="方正魏碑_GBK" w:hAnsi="方正魏碑_GBK" w:eastAsia="方正魏碑_GBK" w:cs="方正魏碑_GBK"/>
          <w:i w:val="0"/>
          <w:color w:val="auto"/>
          <w:highlight w:val="none"/>
          <w:u w:val="single"/>
          <w:shd w:val="clear" w:color="auto" w:fill="ffffff"/>
        </w:rPr>
        <w:t xml:space="preserve">（</w:t>
      </w:r>
      <w:r>
        <w:rPr>
          <w:rStyle w:val="77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7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76"/>
          <w:rFonts w:hint="eastAsia" w:ascii="方正魏碑_GBK" w:hAnsi="方正魏碑_GBK" w:eastAsia="方正魏碑_GBK" w:cs="方正魏碑_GBK"/>
          <w:i w:val="0"/>
          <w:color w:val="auto"/>
          <w:highlight w:val="none"/>
          <w:u w:val="single"/>
          <w:shd w:val="clear" w:color="auto" w:fill="ffffff"/>
        </w:rPr>
        <w:t xml:space="preserve">（</w:t>
      </w:r>
      <w:r>
        <w:rPr>
          <w:rStyle w:val="776"/>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7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67"/>
        <w:ind w:firstLine="420"/>
        <w:spacing w:before="30" w:beforeAutospacing="0" w:after="30" w:afterAutospacing="0" w:line="360" w:lineRule="exac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67"/>
        <w:ind w:firstLine="420"/>
        <w:spacing w:before="30" w:beforeAutospacing="0" w:after="30" w:afterAutospacing="0" w:line="360" w:lineRule="exac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67"/>
        <w:spacing w:before="30" w:beforeAutospacing="0" w:after="30" w:afterAutospacing="0" w:line="360" w:lineRule="exac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67"/>
        <w:ind w:right="480"/>
        <w:jc w:val="right"/>
        <w:spacing w:before="30" w:beforeAutospacing="0" w:after="30" w:afterAutospacing="0" w:line="360" w:lineRule="exact"/>
        <w:rPr>
          <w:rFonts w:ascii="宋体" w:hAnsi="宋体"/>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highlight w:val="none"/>
        </w:rPr>
        <w:t xml:space="preserve">（加盖CA电子公章）  </w:t>
      </w:r>
      <w:r/>
    </w:p>
    <w:p>
      <w:pPr>
        <w:pStyle w:val="767"/>
        <w:ind w:right="480" w:firstLine="3735"/>
        <w:spacing w:before="30" w:beforeAutospacing="0" w:after="30" w:afterAutospacing="0" w:line="360" w:lineRule="exact"/>
        <w:rPr>
          <w:rFonts w:ascii="宋体" w:hAnsi="宋体"/>
          <w:color w:val="auto"/>
          <w:highlight w:val="none"/>
        </w:rPr>
      </w:pPr>
      <w:r>
        <w:rPr>
          <w:rFonts w:ascii="宋体" w:hAnsi="宋体"/>
          <w:color w:val="auto"/>
          <w:highlight w:val="none"/>
        </w:rPr>
      </w:r>
      <w:r/>
    </w:p>
    <w:p>
      <w:pPr>
        <w:pStyle w:val="767"/>
        <w:jc w:val="center"/>
        <w:spacing w:before="30" w:beforeAutospacing="0" w:after="30" w:afterAutospacing="0" w:line="360" w:lineRule="exac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67"/>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67"/>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67"/>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67"/>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67"/>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67"/>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67"/>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rPr>
        <w:t xml:space="preserve">横线</w:t>
      </w:r>
      <w:r>
        <w:rPr>
          <w:rFonts w:hint="eastAsia" w:ascii="方正魏碑_GBK" w:hAnsi="方正魏碑_GBK" w:eastAsia="方正魏碑_GBK" w:cs="方正魏碑_GBK"/>
          <w:strike/>
          <w:color w:val="auto"/>
          <w:sz w:val="22"/>
          <w:highlight w:val="none"/>
          <w:shd w:val="clear" w:color="auto" w:fill="ffffff"/>
        </w:rPr>
        <w:t xml:space="preserve">     </w:t>
      </w:r>
      <w:r>
        <w:rPr>
          <w:rFonts w:hint="eastAsia" w:ascii="方正魏碑_GBK" w:hAnsi="方正魏碑_GBK" w:eastAsia="方正魏碑_GBK" w:cs="方正魏碑_GBK"/>
          <w:color w:val="auto"/>
          <w:sz w:val="22"/>
          <w:highlight w:val="none"/>
          <w:shd w:val="clear" w:color="auto" w:fill="ffffff"/>
        </w:rPr>
        <w:t xml:space="preserve">划除</w:t>
      </w:r>
      <w:r>
        <w:rPr>
          <w:rFonts w:hint="eastAsia" w:ascii="方正魏碑_GBK" w:hAnsi="方正魏碑_GBK" w:eastAsia="方正魏碑_GBK" w:cs="方正魏碑_GBK"/>
          <w:color w:val="auto"/>
          <w:sz w:val="22"/>
          <w:highlight w:val="none"/>
          <w:shd w:val="clear" w:color="auto" w:fill="ffffff"/>
        </w:rPr>
        <w:t xml:space="preserve">的地方无需填写。</w:t>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both"/>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both"/>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十</w:t>
      </w:r>
      <w:r>
        <w:rPr>
          <w:rFonts w:hint="eastAsia" w:ascii="黑体" w:hAnsi="黑体" w:eastAsia="黑体"/>
          <w:b/>
          <w:color w:val="auto"/>
          <w:sz w:val="32"/>
          <w:szCs w:val="32"/>
          <w:highlight w:val="none"/>
          <w:lang w:val="en-US"/>
        </w:rPr>
        <w:t xml:space="preserve">一</w:t>
      </w:r>
      <w:r>
        <w:rPr>
          <w:rFonts w:hint="eastAsia" w:ascii="黑体" w:hAnsi="黑体" w:eastAsia="黑体"/>
          <w:b/>
          <w:color w:val="auto"/>
          <w:sz w:val="32"/>
          <w:szCs w:val="32"/>
          <w:highlight w:val="none"/>
        </w:rPr>
        <w:t xml:space="preserve">、联合体协议（参考格式）</w:t>
      </w:r>
      <w:r/>
    </w:p>
    <w:p>
      <w:pPr>
        <w:spacing w:line="560" w:lineRule="exact"/>
        <w:rPr>
          <w:color w:val="auto"/>
          <w:sz w:val="24"/>
          <w:highlight w:val="none"/>
        </w:rPr>
      </w:pPr>
      <w:r>
        <w:rPr>
          <w:rFonts w:hint="eastAsia"/>
          <w:color w:val="auto"/>
          <w:sz w:val="24"/>
          <w:highlight w:val="none"/>
        </w:rPr>
        <w:t xml:space="preserve">（联合体中各供应商全称）在此达成以下协议：</w:t>
      </w:r>
      <w:r/>
    </w:p>
    <w:p>
      <w:pPr>
        <w:ind w:firstLine="645"/>
        <w:spacing w:line="560" w:lineRule="exact"/>
        <w:rPr>
          <w:color w:val="auto"/>
          <w:sz w:val="24"/>
          <w:highlight w:val="none"/>
        </w:rPr>
      </w:pPr>
      <w:r>
        <w:rPr>
          <w:color w:val="auto"/>
          <w:sz w:val="24"/>
          <w:highlight w:val="none"/>
        </w:rPr>
        <w:t xml:space="preserve">1</w:t>
      </w:r>
      <w:r>
        <w:rPr>
          <w:rFonts w:hint="eastAsia"/>
          <w:color w:val="auto"/>
          <w:sz w:val="24"/>
          <w:highlight w:val="none"/>
        </w:rPr>
        <w:t xml:space="preserve">、我们</w:t>
      </w:r>
      <w:r>
        <w:rPr>
          <w:rFonts w:hint="eastAsia"/>
          <w:color w:val="auto"/>
          <w:sz w:val="24"/>
          <w:highlight w:val="none"/>
          <w:u w:val="single"/>
        </w:rPr>
        <w:t xml:space="preserve"> （供应商1），（供应商2） ，</w:t>
      </w:r>
      <w:r>
        <w:rPr>
          <w:color w:val="auto"/>
          <w:sz w:val="24"/>
          <w:highlight w:val="none"/>
          <w:u w:val="single"/>
        </w:rPr>
        <w:t xml:space="preserve">……</w:t>
      </w:r>
      <w:r>
        <w:rPr>
          <w:rFonts w:hint="eastAsia"/>
          <w:color w:val="auto"/>
          <w:sz w:val="24"/>
          <w:highlight w:val="none"/>
        </w:rPr>
        <w:t xml:space="preserve">自愿组成联合体，参加</w:t>
      </w:r>
      <w:r>
        <w:rPr>
          <w:rFonts w:hint="eastAsia"/>
          <w:color w:val="auto"/>
          <w:sz w:val="24"/>
          <w:highlight w:val="none"/>
          <w:lang w:val="en-US"/>
        </w:rPr>
        <w:t xml:space="preserve">江苏弘业国际技术工程有限公司</w:t>
      </w:r>
      <w:r>
        <w:rPr>
          <w:rFonts w:hint="eastAsia"/>
          <w:color w:val="auto"/>
          <w:sz w:val="24"/>
          <w:highlight w:val="none"/>
        </w:rPr>
        <w:t xml:space="preserve">组织的采购编号为</w:t>
      </w:r>
      <w:r>
        <w:rPr>
          <w:rFonts w:hint="eastAsia"/>
          <w:color w:val="auto"/>
          <w:sz w:val="24"/>
          <w:highlight w:val="none"/>
          <w:u w:val="single"/>
        </w:rPr>
        <w:t xml:space="preserve">（编号全称），（项目全称）</w:t>
      </w:r>
      <w:r>
        <w:rPr>
          <w:rFonts w:hint="eastAsia"/>
          <w:color w:val="auto"/>
          <w:sz w:val="24"/>
          <w:highlight w:val="none"/>
        </w:rPr>
        <w:t xml:space="preserve">项目（分包号：**）的政府采购活动，我联合体指定</w:t>
      </w:r>
      <w:r>
        <w:rPr>
          <w:rFonts w:hint="eastAsia"/>
          <w:color w:val="auto"/>
          <w:sz w:val="24"/>
          <w:highlight w:val="none"/>
          <w:u w:val="single"/>
        </w:rPr>
        <w:t xml:space="preserve">（供应商*）</w:t>
      </w:r>
      <w:r>
        <w:rPr>
          <w:rFonts w:hint="eastAsia"/>
          <w:color w:val="auto"/>
          <w:sz w:val="24"/>
          <w:highlight w:val="none"/>
        </w:rPr>
        <w:t xml:space="preserve">为牵头单位（牵头单位必须为联合体成员）。</w:t>
      </w:r>
      <w:r/>
    </w:p>
    <w:p>
      <w:pPr>
        <w:ind w:firstLine="645"/>
        <w:spacing w:line="560" w:lineRule="exact"/>
        <w:rPr>
          <w:color w:val="auto"/>
          <w:sz w:val="24"/>
          <w:highlight w:val="none"/>
        </w:rPr>
      </w:pPr>
      <w:r>
        <w:rPr>
          <w:color w:val="auto"/>
          <w:sz w:val="24"/>
          <w:highlight w:val="none"/>
        </w:rPr>
        <w:t xml:space="preserve">2</w:t>
      </w:r>
      <w:r>
        <w:rPr>
          <w:rFonts w:hint="eastAsia"/>
          <w:color w:val="auto"/>
          <w:sz w:val="24"/>
          <w:highlight w:val="none"/>
        </w:rPr>
        <w:t xml:space="preserve">、若我们联合中标、成交，（供应商单位</w:t>
      </w:r>
      <w:r>
        <w:rPr>
          <w:color w:val="auto"/>
          <w:sz w:val="24"/>
          <w:highlight w:val="none"/>
        </w:rPr>
        <w:t xml:space="preserve">1</w:t>
      </w:r>
      <w:r>
        <w:rPr>
          <w:rFonts w:hint="eastAsia"/>
          <w:color w:val="auto"/>
          <w:sz w:val="24"/>
          <w:highlight w:val="none"/>
        </w:rPr>
        <w:t xml:space="preserve">全称）实施项目中（工作内容）部分工作，并承担相应的责任。（供应商单位</w:t>
      </w:r>
      <w:r>
        <w:rPr>
          <w:color w:val="auto"/>
          <w:sz w:val="24"/>
          <w:highlight w:val="none"/>
        </w:rPr>
        <w:t xml:space="preserve">2</w:t>
      </w:r>
      <w:r>
        <w:rPr>
          <w:rFonts w:hint="eastAsia"/>
          <w:color w:val="auto"/>
          <w:sz w:val="24"/>
          <w:highlight w:val="none"/>
        </w:rPr>
        <w:t xml:space="preserve">全称）实施项目中（工作内容）部分工作，并承担相应的责任……。（注：联合体中各供应商都应明示所承担的工作和相应的责任）。</w:t>
      </w:r>
      <w:r/>
    </w:p>
    <w:p>
      <w:pPr>
        <w:ind w:firstLine="645"/>
        <w:spacing w:line="560" w:lineRule="exact"/>
        <w:rPr>
          <w:color w:val="auto"/>
          <w:sz w:val="24"/>
          <w:highlight w:val="none"/>
        </w:rPr>
      </w:pPr>
      <w:r>
        <w:rPr>
          <w:color w:val="auto"/>
          <w:sz w:val="24"/>
          <w:highlight w:val="none"/>
        </w:rPr>
        <w:t xml:space="preserve">3</w:t>
      </w:r>
      <w:r>
        <w:rPr>
          <w:rFonts w:hint="eastAsia"/>
          <w:color w:val="auto"/>
          <w:sz w:val="24"/>
          <w:highlight w:val="none"/>
        </w:rPr>
        <w:t xml:space="preserve">、其中（小型、微型企业/残疾人福利性单位/监狱企业全称）为（小型、微型企业/残疾人福利性单位/监狱企业）企业，且我们约定该公司/单位所承担的合同金额将占本项目合同总金额的</w:t>
      </w:r>
      <w:r>
        <w:rPr>
          <w:color w:val="auto"/>
          <w:sz w:val="24"/>
          <w:highlight w:val="none"/>
        </w:rPr>
        <w:t xml:space="preserve"> %</w:t>
      </w:r>
      <w:r>
        <w:rPr>
          <w:rFonts w:hint="eastAsia"/>
          <w:color w:val="auto"/>
          <w:sz w:val="24"/>
          <w:highlight w:val="none"/>
        </w:rPr>
        <w:t xml:space="preserve">。</w:t>
      </w:r>
      <w:r/>
    </w:p>
    <w:p>
      <w:pPr>
        <w:ind w:firstLine="645"/>
        <w:spacing w:line="560" w:lineRule="exact"/>
        <w:rPr>
          <w:color w:val="auto"/>
          <w:sz w:val="24"/>
          <w:highlight w:val="none"/>
        </w:rPr>
      </w:pPr>
      <w:r>
        <w:rPr>
          <w:color w:val="auto"/>
          <w:sz w:val="24"/>
          <w:highlight w:val="none"/>
        </w:rPr>
      </w:r>
      <w:r/>
    </w:p>
    <w:p>
      <w:pPr>
        <w:ind w:firstLine="645"/>
        <w:spacing w:line="560" w:lineRule="exact"/>
        <w:rPr>
          <w:color w:val="auto"/>
          <w:sz w:val="24"/>
          <w:highlight w:val="none"/>
        </w:rPr>
      </w:pPr>
      <w:r>
        <w:rPr>
          <w:rFonts w:hint="eastAsia"/>
          <w:color w:val="auto"/>
          <w:sz w:val="24"/>
          <w:highlight w:val="none"/>
        </w:rPr>
        <w:t xml:space="preserve">备注：本招标文件中要求加盖CA电子签章的地方，仅需加盖牵头单位的CA电子签章。</w:t>
      </w:r>
      <w:r/>
    </w:p>
    <w:p>
      <w:pPr>
        <w:ind w:firstLine="645"/>
        <w:spacing w:line="560" w:lineRule="exact"/>
        <w:rPr>
          <w:color w:val="auto"/>
          <w:sz w:val="24"/>
          <w:highlight w:val="none"/>
        </w:rPr>
      </w:pPr>
      <w:r>
        <w:rPr>
          <w:color w:val="auto"/>
          <w:sz w:val="24"/>
          <w:highlight w:val="none"/>
        </w:rPr>
      </w:r>
      <w:r/>
    </w:p>
    <w:p>
      <w:pPr>
        <w:ind w:firstLine="645"/>
        <w:jc w:val="right"/>
        <w:spacing w:line="560" w:lineRule="exact"/>
        <w:rPr>
          <w:color w:val="auto"/>
          <w:sz w:val="24"/>
          <w:highlight w:val="none"/>
        </w:rPr>
      </w:pPr>
      <w:r>
        <w:rPr>
          <w:rFonts w:hint="eastAsia"/>
          <w:color w:val="auto"/>
          <w:sz w:val="24"/>
          <w:highlight w:val="none"/>
        </w:rPr>
        <w:t xml:space="preserve">联合体中各供应商全称（公章）：</w:t>
      </w:r>
      <w:r/>
    </w:p>
    <w:p>
      <w:pPr>
        <w:ind w:firstLine="645"/>
        <w:spacing w:line="560" w:lineRule="exact"/>
        <w:rPr>
          <w:color w:val="auto"/>
          <w:sz w:val="24"/>
          <w:highlight w:val="none"/>
        </w:rPr>
      </w:pPr>
      <w:r>
        <w:rPr>
          <w:rFonts w:hint="eastAsia"/>
          <w:color w:val="auto"/>
          <w:sz w:val="24"/>
          <w:highlight w:val="none"/>
        </w:rPr>
        <w:t xml:space="preserve">                     日期：</w:t>
      </w:r>
      <w:r/>
    </w:p>
    <w:p>
      <w:pPr>
        <w:ind w:firstLine="645"/>
        <w:spacing w:line="560" w:lineRule="exact"/>
        <w:rPr>
          <w:color w:val="auto"/>
          <w:sz w:val="24"/>
          <w:highlight w:val="none"/>
        </w:rPr>
      </w:pPr>
      <w:r>
        <w:rPr>
          <w:color w:val="auto"/>
          <w:sz w:val="24"/>
          <w:highlight w:val="none"/>
        </w:rPr>
      </w:r>
      <w:r/>
    </w:p>
    <w:p>
      <w:pPr>
        <w:spacing w:line="460" w:lineRule="exact"/>
        <w:rPr>
          <w:bCs/>
          <w:color w:val="auto"/>
          <w:sz w:val="24"/>
          <w:highlight w:val="none"/>
        </w:rPr>
      </w:pPr>
      <w:r>
        <w:rPr>
          <w:bCs/>
          <w:color w:val="auto"/>
          <w:sz w:val="24"/>
          <w:highlight w:val="none"/>
        </w:rPr>
      </w:r>
      <w:r/>
    </w:p>
    <w:p>
      <w:pPr>
        <w:spacing w:line="460" w:lineRule="exact"/>
        <w:rPr>
          <w:bCs/>
          <w:color w:val="auto"/>
          <w:sz w:val="24"/>
          <w:highlight w:val="none"/>
        </w:rPr>
      </w:pPr>
      <w:r>
        <w:rPr>
          <w:bCs/>
          <w:color w:val="auto"/>
          <w:sz w:val="24"/>
          <w:highlight w:val="none"/>
        </w:rPr>
      </w:r>
      <w:r/>
    </w:p>
    <w:p>
      <w:pPr>
        <w:spacing w:line="460" w:lineRule="exact"/>
        <w:rPr>
          <w:bCs/>
          <w:color w:val="auto"/>
          <w:sz w:val="24"/>
          <w:highlight w:val="none"/>
        </w:rPr>
      </w:pPr>
      <w:r>
        <w:rPr>
          <w:bCs/>
          <w:color w:val="auto"/>
          <w:sz w:val="24"/>
          <w:highlight w:val="none"/>
        </w:rPr>
      </w:r>
      <w:r/>
    </w:p>
    <w:p>
      <w:pPr>
        <w:spacing w:line="460" w:lineRule="exact"/>
        <w:rPr>
          <w:bCs/>
          <w:color w:val="auto"/>
          <w:sz w:val="24"/>
          <w:highlight w:val="none"/>
        </w:rPr>
      </w:pPr>
      <w:r>
        <w:rPr>
          <w:bCs/>
          <w:color w:val="auto"/>
          <w:sz w:val="24"/>
          <w:highlight w:val="none"/>
        </w:rPr>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十</w:t>
      </w:r>
      <w:r>
        <w:rPr>
          <w:rFonts w:hint="eastAsia" w:ascii="黑体" w:hAnsi="黑体" w:eastAsia="黑体"/>
          <w:b/>
          <w:color w:val="auto"/>
          <w:sz w:val="32"/>
          <w:szCs w:val="32"/>
          <w:highlight w:val="none"/>
          <w:lang w:val="en-US"/>
        </w:rPr>
        <w:t xml:space="preserve">二</w:t>
      </w:r>
      <w:r>
        <w:rPr>
          <w:rFonts w:hint="eastAsia" w:ascii="黑体" w:hAnsi="黑体" w:eastAsia="黑体"/>
          <w:b/>
          <w:color w:val="auto"/>
          <w:sz w:val="32"/>
          <w:szCs w:val="32"/>
          <w:highlight w:val="none"/>
        </w:rPr>
        <w:t xml:space="preserve">、投标分项报价表（）</w:t>
      </w:r>
      <w:r/>
    </w:p>
    <w:tbl>
      <w:tblPr>
        <w:tblStyle w:val="747"/>
        <w:tblpPr w:horzAnchor="page" w:tblpX="1365" w:vertAnchor="text" w:tblpY="297" w:leftFromText="180" w:topFromText="0" w:rightFromText="180" w:bottomFromText="0"/>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color w:val="auto"/>
                <w:sz w:val="24"/>
                <w:szCs w:val="24"/>
                <w:highlight w:val="none"/>
              </w:rPr>
            </w:pPr>
            <w:r>
              <w:rPr>
                <w:rFonts w:hint="eastAsia"/>
                <w:color w:val="auto"/>
                <w:sz w:val="24"/>
                <w:szCs w:val="24"/>
                <w:highlight w:val="none"/>
              </w:rPr>
              <w:t xml:space="preserve">序号</w:t>
            </w:r>
            <w:r/>
          </w:p>
        </w:tc>
        <w:tc>
          <w:tcPr>
            <w:tcW w:w="728" w:type="dxa"/>
            <w:vAlign w:val="center"/>
            <w:textDirection w:val="lrTb"/>
            <w:noWrap w:val="false"/>
          </w:tcPr>
          <w:p>
            <w:pPr>
              <w:jc w:val="center"/>
              <w:spacing w:line="0" w:lineRule="atLeast"/>
              <w:rPr>
                <w:color w:val="auto"/>
                <w:sz w:val="24"/>
                <w:szCs w:val="24"/>
                <w:highlight w:val="none"/>
              </w:rPr>
            </w:pPr>
            <w:r>
              <w:rPr>
                <w:rFonts w:hint="eastAsia"/>
                <w:color w:val="auto"/>
                <w:sz w:val="24"/>
                <w:szCs w:val="24"/>
                <w:highlight w:val="none"/>
              </w:rPr>
              <w:t xml:space="preserve">1</w:t>
            </w:r>
            <w:r/>
          </w:p>
        </w:tc>
        <w:tc>
          <w:tcPr>
            <w:tcW w:w="728" w:type="dxa"/>
            <w:vAlign w:val="center"/>
            <w:textDirection w:val="lrTb"/>
            <w:noWrap w:val="false"/>
          </w:tcPr>
          <w:p>
            <w:pPr>
              <w:jc w:val="center"/>
              <w:spacing w:line="0" w:lineRule="atLeast"/>
              <w:rPr>
                <w:color w:val="auto"/>
                <w:sz w:val="24"/>
                <w:szCs w:val="24"/>
                <w:highlight w:val="none"/>
              </w:rPr>
            </w:pPr>
            <w:r>
              <w:rPr>
                <w:rFonts w:hint="eastAsia"/>
                <w:color w:val="auto"/>
                <w:sz w:val="24"/>
                <w:szCs w:val="24"/>
                <w:highlight w:val="none"/>
              </w:rPr>
              <w:t xml:space="preserve">2</w:t>
            </w:r>
            <w:r/>
          </w:p>
        </w:tc>
        <w:tc>
          <w:tcPr>
            <w:tcW w:w="938" w:type="dxa"/>
            <w:vAlign w:val="center"/>
            <w:textDirection w:val="lrTb"/>
            <w:noWrap w:val="false"/>
          </w:tcPr>
          <w:p>
            <w:pPr>
              <w:jc w:val="center"/>
              <w:spacing w:line="0" w:lineRule="atLeast"/>
              <w:rPr>
                <w:color w:val="auto"/>
                <w:sz w:val="24"/>
                <w:szCs w:val="24"/>
                <w:highlight w:val="none"/>
              </w:rPr>
            </w:pPr>
            <w:r>
              <w:rPr>
                <w:rFonts w:hint="eastAsia"/>
                <w:color w:val="auto"/>
                <w:sz w:val="24"/>
                <w:szCs w:val="24"/>
                <w:highlight w:val="none"/>
              </w:rPr>
              <w:t xml:space="preserve">3</w:t>
            </w:r>
            <w:r/>
          </w:p>
        </w:tc>
        <w:tc>
          <w:tcPr>
            <w:tcW w:w="980" w:type="dxa"/>
            <w:vAlign w:val="center"/>
            <w:textDirection w:val="lrTb"/>
            <w:noWrap w:val="false"/>
          </w:tcPr>
          <w:p>
            <w:pPr>
              <w:jc w:val="center"/>
              <w:spacing w:line="0" w:lineRule="atLeast"/>
              <w:rPr>
                <w:color w:val="auto"/>
                <w:sz w:val="24"/>
                <w:szCs w:val="24"/>
                <w:highlight w:val="none"/>
              </w:rPr>
            </w:pPr>
            <w:r>
              <w:rPr>
                <w:rFonts w:hint="eastAsia"/>
                <w:color w:val="auto"/>
                <w:sz w:val="24"/>
                <w:szCs w:val="24"/>
                <w:highlight w:val="none"/>
              </w:rPr>
              <w:t xml:space="preserve">4</w:t>
            </w:r>
            <w:r/>
          </w:p>
        </w:tc>
        <w:tc>
          <w:tcPr>
            <w:tcW w:w="1106"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5</w:t>
            </w:r>
            <w:r/>
          </w:p>
        </w:tc>
        <w:tc>
          <w:tcPr>
            <w:tcW w:w="1385" w:type="dxa"/>
            <w:vAlign w:val="center"/>
            <w:textDirection w:val="lrTb"/>
            <w:noWrap w:val="false"/>
          </w:tcPr>
          <w:p>
            <w:pPr>
              <w:jc w:val="center"/>
              <w:spacing w:line="0" w:lineRule="atLeast"/>
              <w:rPr>
                <w:color w:val="auto"/>
                <w:sz w:val="24"/>
                <w:szCs w:val="24"/>
                <w:highlight w:val="none"/>
              </w:rPr>
            </w:pPr>
            <w:r>
              <w:rPr>
                <w:rFonts w:hint="eastAsia"/>
                <w:color w:val="auto"/>
                <w:sz w:val="24"/>
                <w:szCs w:val="24"/>
                <w:highlight w:val="none"/>
              </w:rPr>
              <w:t xml:space="preserve">6</w:t>
            </w:r>
            <w:r/>
          </w:p>
        </w:tc>
        <w:tc>
          <w:tcPr>
            <w:tcW w:w="924" w:type="dxa"/>
            <w:vAlign w:val="center"/>
            <w:textDirection w:val="lrTb"/>
            <w:noWrap w:val="false"/>
          </w:tcPr>
          <w:p>
            <w:pPr>
              <w:jc w:val="center"/>
              <w:spacing w:line="0" w:lineRule="atLeast"/>
              <w:rPr>
                <w:color w:val="auto"/>
                <w:sz w:val="24"/>
                <w:szCs w:val="24"/>
                <w:highlight w:val="none"/>
              </w:rPr>
            </w:pPr>
            <w:r>
              <w:rPr>
                <w:rFonts w:hint="eastAsia"/>
                <w:color w:val="auto"/>
                <w:sz w:val="24"/>
                <w:szCs w:val="24"/>
                <w:highlight w:val="none"/>
              </w:rPr>
              <w:t xml:space="preserve">7</w:t>
            </w:r>
            <w:r/>
          </w:p>
        </w:tc>
        <w:tc>
          <w:tcPr>
            <w:tcW w:w="1008" w:type="dxa"/>
            <w:vAlign w:val="center"/>
            <w:textDirection w:val="lrTb"/>
            <w:noWrap w:val="false"/>
          </w:tcPr>
          <w:p>
            <w:pPr>
              <w:jc w:val="center"/>
              <w:spacing w:line="0" w:lineRule="atLeast"/>
              <w:rPr>
                <w:color w:val="auto"/>
                <w:sz w:val="24"/>
                <w:szCs w:val="24"/>
                <w:highlight w:val="none"/>
              </w:rPr>
            </w:pPr>
            <w:r>
              <w:rPr>
                <w:rFonts w:hint="eastAsia"/>
                <w:color w:val="auto"/>
                <w:sz w:val="24"/>
                <w:szCs w:val="24"/>
                <w:highlight w:val="none"/>
              </w:rPr>
              <w:t xml:space="preserve">8</w:t>
            </w:r>
            <w:r/>
          </w:p>
        </w:tc>
        <w:tc>
          <w:tcPr>
            <w:tcW w:w="966" w:type="dxa"/>
            <w:vAlign w:val="center"/>
            <w:textDirection w:val="lrTb"/>
            <w:noWrap w:val="false"/>
          </w:tcPr>
          <w:p>
            <w:pPr>
              <w:jc w:val="center"/>
              <w:spacing w:line="0" w:lineRule="atLeast"/>
              <w:rPr>
                <w:color w:val="auto"/>
                <w:sz w:val="24"/>
                <w:szCs w:val="24"/>
                <w:highlight w:val="none"/>
              </w:rPr>
            </w:pPr>
            <w:r>
              <w:rPr>
                <w:rFonts w:hint="eastAsia"/>
                <w:color w:val="auto"/>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color w:val="auto"/>
                <w:sz w:val="24"/>
                <w:szCs w:val="24"/>
                <w:highlight w:val="none"/>
              </w:rPr>
            </w:pPr>
            <w:r>
              <w:rPr>
                <w:rFonts w:hint="eastAsia"/>
                <w:color w:val="auto"/>
                <w:sz w:val="24"/>
                <w:szCs w:val="24"/>
                <w:highlight w:val="none"/>
              </w:rPr>
              <w:t xml:space="preserve">1</w:t>
            </w:r>
            <w:r/>
          </w:p>
        </w:tc>
        <w:tc>
          <w:tcPr>
            <w:tcW w:w="728" w:type="dxa"/>
            <w:vAlign w:val="center"/>
            <w:textDirection w:val="lrTb"/>
            <w:noWrap w:val="false"/>
          </w:tcPr>
          <w:p>
            <w:pPr>
              <w:jc w:val="center"/>
              <w:spacing w:line="0" w:lineRule="atLeast"/>
              <w:rPr>
                <w:color w:val="auto"/>
                <w:sz w:val="24"/>
                <w:szCs w:val="24"/>
                <w:highlight w:val="none"/>
              </w:rPr>
            </w:pPr>
            <w:r>
              <w:rPr>
                <w:rFonts w:hint="eastAsia"/>
                <w:color w:val="auto"/>
                <w:sz w:val="24"/>
                <w:szCs w:val="24"/>
                <w:highlight w:val="none"/>
              </w:rPr>
              <w:t xml:space="preserve">产品</w:t>
            </w:r>
            <w:r/>
          </w:p>
          <w:p>
            <w:pPr>
              <w:jc w:val="center"/>
              <w:spacing w:line="0" w:lineRule="atLeast"/>
              <w:rPr>
                <w:color w:val="auto"/>
                <w:sz w:val="24"/>
                <w:szCs w:val="24"/>
                <w:highlight w:val="none"/>
              </w:rPr>
            </w:pPr>
            <w:r>
              <w:rPr>
                <w:rFonts w:hint="eastAsia"/>
                <w:color w:val="auto"/>
                <w:sz w:val="24"/>
                <w:szCs w:val="24"/>
                <w:highlight w:val="none"/>
              </w:rPr>
              <w:t xml:space="preserve">名称</w:t>
            </w:r>
            <w:r/>
          </w:p>
        </w:tc>
        <w:tc>
          <w:tcPr>
            <w:tcW w:w="728" w:type="dxa"/>
            <w:vAlign w:val="center"/>
            <w:textDirection w:val="lrTb"/>
            <w:noWrap w:val="false"/>
          </w:tcPr>
          <w:p>
            <w:pPr>
              <w:jc w:val="center"/>
              <w:spacing w:line="0" w:lineRule="atLeast"/>
              <w:rPr>
                <w:color w:val="auto"/>
                <w:sz w:val="24"/>
                <w:szCs w:val="24"/>
                <w:highlight w:val="none"/>
              </w:rPr>
            </w:pPr>
            <w:r>
              <w:rPr>
                <w:rFonts w:hint="eastAsia"/>
                <w:color w:val="auto"/>
                <w:sz w:val="24"/>
                <w:szCs w:val="24"/>
                <w:highlight w:val="none"/>
              </w:rPr>
              <w:t xml:space="preserve">品牌</w:t>
            </w:r>
            <w:r/>
          </w:p>
        </w:tc>
        <w:tc>
          <w:tcPr>
            <w:tcW w:w="938" w:type="dxa"/>
            <w:vAlign w:val="center"/>
            <w:textDirection w:val="lrTb"/>
            <w:noWrap w:val="false"/>
          </w:tcPr>
          <w:p>
            <w:pPr>
              <w:jc w:val="center"/>
              <w:spacing w:line="0" w:lineRule="atLeast"/>
              <w:rPr>
                <w:color w:val="auto"/>
                <w:sz w:val="24"/>
                <w:szCs w:val="24"/>
                <w:highlight w:val="none"/>
              </w:rPr>
            </w:pPr>
            <w:r>
              <w:rPr>
                <w:rFonts w:hint="eastAsia"/>
                <w:color w:val="auto"/>
                <w:sz w:val="24"/>
                <w:szCs w:val="24"/>
                <w:highlight w:val="none"/>
              </w:rPr>
              <w:t xml:space="preserve">规格</w:t>
            </w:r>
            <w:r/>
          </w:p>
          <w:p>
            <w:pPr>
              <w:jc w:val="center"/>
              <w:spacing w:line="0" w:lineRule="atLeast"/>
              <w:rPr>
                <w:color w:val="auto"/>
                <w:sz w:val="24"/>
                <w:szCs w:val="24"/>
                <w:highlight w:val="none"/>
              </w:rPr>
            </w:pPr>
            <w:r>
              <w:rPr>
                <w:rFonts w:hint="eastAsia"/>
                <w:color w:val="auto"/>
                <w:sz w:val="24"/>
                <w:szCs w:val="24"/>
                <w:highlight w:val="none"/>
              </w:rPr>
              <w:t xml:space="preserve">型号</w:t>
            </w:r>
            <w:r/>
          </w:p>
        </w:tc>
        <w:tc>
          <w:tcPr>
            <w:tcW w:w="980" w:type="dxa"/>
            <w:vAlign w:val="center"/>
            <w:textDirection w:val="lrTb"/>
            <w:noWrap w:val="false"/>
          </w:tcPr>
          <w:p>
            <w:pPr>
              <w:jc w:val="center"/>
              <w:spacing w:line="0" w:lineRule="atLeast"/>
              <w:rPr>
                <w:color w:val="auto"/>
                <w:sz w:val="24"/>
                <w:szCs w:val="24"/>
                <w:highlight w:val="none"/>
              </w:rPr>
            </w:pPr>
            <w:r>
              <w:rPr>
                <w:rFonts w:hint="eastAsia"/>
                <w:color w:val="auto"/>
                <w:sz w:val="24"/>
                <w:szCs w:val="24"/>
                <w:highlight w:val="none"/>
              </w:rPr>
              <w:t xml:space="preserve">制造商名称</w:t>
            </w:r>
            <w:r/>
          </w:p>
        </w:tc>
        <w:tc>
          <w:tcPr>
            <w:tcW w:w="1106" w:type="dxa"/>
            <w:vAlign w:val="center"/>
            <w:textDirection w:val="lrTb"/>
            <w:noWrap w:val="false"/>
          </w:tcPr>
          <w:p>
            <w:pPr>
              <w:jc w:val="center"/>
              <w:spacing w:line="0" w:lineRule="atLeast"/>
              <w:rPr>
                <w:color w:val="auto"/>
                <w:sz w:val="24"/>
                <w:szCs w:val="24"/>
                <w:highlight w:val="none"/>
              </w:rPr>
            </w:pPr>
            <w:r>
              <w:rPr>
                <w:rFonts w:hint="eastAsia"/>
                <w:color w:val="auto"/>
                <w:sz w:val="24"/>
                <w:szCs w:val="24"/>
                <w:highlight w:val="none"/>
              </w:rPr>
              <w:t xml:space="preserve">产地</w:t>
            </w:r>
            <w:r/>
          </w:p>
        </w:tc>
        <w:tc>
          <w:tcPr>
            <w:tcW w:w="1385" w:type="dxa"/>
            <w:vAlign w:val="center"/>
            <w:textDirection w:val="lrTb"/>
            <w:noWrap w:val="false"/>
          </w:tcPr>
          <w:p>
            <w:pPr>
              <w:jc w:val="center"/>
              <w:spacing w:line="0" w:lineRule="atLeast"/>
              <w:rPr>
                <w:color w:val="auto"/>
                <w:sz w:val="24"/>
                <w:szCs w:val="24"/>
                <w:highlight w:val="none"/>
              </w:rPr>
            </w:pPr>
            <w:r>
              <w:rPr>
                <w:rFonts w:hint="eastAsia"/>
                <w:color w:val="auto"/>
                <w:sz w:val="24"/>
                <w:szCs w:val="24"/>
                <w:highlight w:val="none"/>
              </w:rPr>
              <w:t xml:space="preserve">交付期</w:t>
            </w:r>
            <w:r/>
          </w:p>
        </w:tc>
        <w:tc>
          <w:tcPr>
            <w:tcW w:w="924" w:type="dxa"/>
            <w:vAlign w:val="center"/>
            <w:textDirection w:val="lrTb"/>
            <w:noWrap w:val="false"/>
          </w:tcPr>
          <w:p>
            <w:pPr>
              <w:jc w:val="center"/>
              <w:spacing w:line="0" w:lineRule="atLeast"/>
              <w:rPr>
                <w:color w:val="auto"/>
                <w:sz w:val="24"/>
                <w:szCs w:val="24"/>
                <w:highlight w:val="none"/>
              </w:rPr>
            </w:pPr>
            <w:r>
              <w:rPr>
                <w:rFonts w:hint="eastAsia"/>
                <w:color w:val="auto"/>
                <w:sz w:val="24"/>
                <w:szCs w:val="24"/>
                <w:highlight w:val="none"/>
              </w:rPr>
              <w:t xml:space="preserve">数量</w:t>
            </w:r>
            <w:r/>
          </w:p>
        </w:tc>
        <w:tc>
          <w:tcPr>
            <w:tcW w:w="1008" w:type="dxa"/>
            <w:vAlign w:val="center"/>
            <w:textDirection w:val="lrTb"/>
            <w:noWrap w:val="false"/>
          </w:tcPr>
          <w:p>
            <w:pPr>
              <w:jc w:val="center"/>
              <w:spacing w:line="0" w:lineRule="atLeast"/>
              <w:rPr>
                <w:color w:val="auto"/>
                <w:sz w:val="24"/>
                <w:szCs w:val="24"/>
                <w:highlight w:val="none"/>
              </w:rPr>
            </w:pPr>
            <w:r>
              <w:rPr>
                <w:rFonts w:hint="eastAsia"/>
                <w:color w:val="auto"/>
                <w:sz w:val="24"/>
                <w:szCs w:val="24"/>
                <w:highlight w:val="none"/>
              </w:rPr>
              <w:t xml:space="preserve">分项</w:t>
            </w:r>
            <w:r/>
          </w:p>
          <w:p>
            <w:pPr>
              <w:jc w:val="center"/>
              <w:spacing w:line="0" w:lineRule="atLeast"/>
              <w:rPr>
                <w:color w:val="auto"/>
                <w:sz w:val="24"/>
                <w:szCs w:val="24"/>
                <w:highlight w:val="none"/>
              </w:rPr>
            </w:pPr>
            <w:r>
              <w:rPr>
                <w:rFonts w:hint="eastAsia"/>
                <w:color w:val="auto"/>
                <w:sz w:val="24"/>
                <w:szCs w:val="24"/>
                <w:highlight w:val="none"/>
              </w:rPr>
              <w:t xml:space="preserve">单价</w:t>
            </w:r>
            <w:r/>
          </w:p>
        </w:tc>
        <w:tc>
          <w:tcPr>
            <w:tcW w:w="966" w:type="dxa"/>
            <w:vAlign w:val="center"/>
            <w:textDirection w:val="lrTb"/>
            <w:noWrap w:val="false"/>
          </w:tcPr>
          <w:p>
            <w:pPr>
              <w:jc w:val="center"/>
              <w:spacing w:line="0" w:lineRule="atLeast"/>
              <w:rPr>
                <w:color w:val="auto"/>
                <w:sz w:val="24"/>
                <w:szCs w:val="24"/>
                <w:highlight w:val="none"/>
              </w:rPr>
            </w:pPr>
            <w:r>
              <w:rPr>
                <w:rFonts w:hint="eastAsia"/>
                <w:color w:val="auto"/>
                <w:sz w:val="24"/>
                <w:szCs w:val="24"/>
                <w:highlight w:val="none"/>
              </w:rPr>
              <w:t xml:space="preserve">分项</w:t>
            </w:r>
            <w:r/>
          </w:p>
          <w:p>
            <w:pPr>
              <w:jc w:val="center"/>
              <w:spacing w:line="0" w:lineRule="atLeast"/>
              <w:rPr>
                <w:color w:val="auto"/>
                <w:sz w:val="24"/>
                <w:szCs w:val="24"/>
                <w:highlight w:val="none"/>
              </w:rPr>
            </w:pPr>
            <w:r>
              <w:rPr>
                <w:rFonts w:hint="eastAsia"/>
                <w:color w:val="auto"/>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color w:val="auto"/>
                <w:sz w:val="24"/>
                <w:szCs w:val="24"/>
                <w:highlight w:val="none"/>
              </w:rPr>
            </w:pPr>
            <w:r>
              <w:rPr>
                <w:rFonts w:hint="eastAsia"/>
                <w:color w:val="auto"/>
                <w:sz w:val="24"/>
                <w:szCs w:val="24"/>
                <w:highlight w:val="none"/>
              </w:rPr>
              <w:t xml:space="preserve">2</w:t>
            </w:r>
            <w:r/>
          </w:p>
        </w:tc>
        <w:tc>
          <w:tcPr>
            <w:tcW w:w="72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72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93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980"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106" w:type="dxa"/>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385" w:type="dxa"/>
            <w:vAlign w:val="center"/>
            <w:textDirection w:val="lrTb"/>
            <w:noWrap w:val="false"/>
          </w:tcPr>
          <w:p>
            <w:pPr>
              <w:jc w:val="center"/>
              <w:spacing w:line="0" w:lineRule="atLeast"/>
              <w:rPr>
                <w:color w:val="auto"/>
                <w:sz w:val="24"/>
                <w:szCs w:val="24"/>
                <w:highlight w:val="none"/>
                <w:u w:val="single"/>
              </w:rPr>
            </w:pPr>
            <w:r>
              <w:rPr>
                <w:rFonts w:hint="eastAsia"/>
                <w:color w:val="auto"/>
                <w:sz w:val="24"/>
                <w:szCs w:val="24"/>
                <w:highlight w:val="none"/>
              </w:rPr>
              <w:t xml:space="preserve">合同签订后日</w:t>
            </w:r>
            <w:r/>
          </w:p>
        </w:tc>
        <w:tc>
          <w:tcPr>
            <w:tcW w:w="92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00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966"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color w:val="auto"/>
                <w:sz w:val="24"/>
                <w:szCs w:val="24"/>
                <w:highlight w:val="none"/>
              </w:rPr>
            </w:pPr>
            <w:r>
              <w:rPr>
                <w:rFonts w:hint="eastAsia"/>
                <w:color w:val="auto"/>
                <w:sz w:val="24"/>
                <w:szCs w:val="24"/>
                <w:highlight w:val="none"/>
              </w:rPr>
              <w:t xml:space="preserve">3</w:t>
            </w:r>
            <w:r/>
          </w:p>
        </w:tc>
        <w:tc>
          <w:tcPr>
            <w:tcW w:w="72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72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93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980"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106" w:type="dxa"/>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385"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92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00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966"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color w:val="auto"/>
                <w:sz w:val="24"/>
                <w:szCs w:val="24"/>
                <w:highlight w:val="none"/>
              </w:rPr>
            </w:pPr>
            <w:r>
              <w:rPr>
                <w:rFonts w:hint="eastAsia"/>
                <w:color w:val="auto"/>
                <w:sz w:val="24"/>
                <w:szCs w:val="24"/>
                <w:highlight w:val="none"/>
              </w:rPr>
              <w:t xml:space="preserve">4</w:t>
            </w:r>
            <w:r/>
          </w:p>
        </w:tc>
        <w:tc>
          <w:tcPr>
            <w:tcW w:w="72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72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93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980"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106" w:type="dxa"/>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385"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92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00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966"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r>
      <w:tr>
        <w:trPr>
          <w:cantSplit/>
          <w:trHeight w:val="580"/>
        </w:trPr>
        <w:tc>
          <w:tcPr>
            <w:tcW w:w="500"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w:t>
            </w:r>
            <w:r/>
          </w:p>
        </w:tc>
        <w:tc>
          <w:tcPr>
            <w:tcW w:w="72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w:t>
            </w:r>
            <w:r/>
          </w:p>
        </w:tc>
        <w:tc>
          <w:tcPr>
            <w:tcW w:w="72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93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980"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106" w:type="dxa"/>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385"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92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00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966"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r>
      <w:tr>
        <w:trPr>
          <w:cantSplit/>
          <w:trHeight w:val="249"/>
        </w:trPr>
        <w:tc>
          <w:tcPr>
            <w:tcW w:w="500" w:type="dxa"/>
            <w:textDirection w:val="lrTb"/>
            <w:noWrap w:val="false"/>
          </w:tcPr>
          <w:p>
            <w:pPr>
              <w:jc w:val="center"/>
              <w:rPr>
                <w:color w:val="auto"/>
                <w:sz w:val="24"/>
                <w:szCs w:val="24"/>
                <w:highlight w:val="none"/>
              </w:rPr>
            </w:pPr>
            <w:r>
              <w:rPr>
                <w:color w:val="auto"/>
                <w:sz w:val="24"/>
                <w:szCs w:val="24"/>
                <w:highlight w:val="none"/>
              </w:rPr>
            </w:r>
            <w:r/>
          </w:p>
        </w:tc>
        <w:tc>
          <w:tcPr>
            <w:gridSpan w:val="8"/>
            <w:tcW w:w="7797" w:type="dxa"/>
            <w:vAlign w:val="center"/>
            <w:textDirection w:val="lrTb"/>
            <w:noWrap w:val="false"/>
          </w:tcPr>
          <w:p>
            <w:pPr>
              <w:jc w:val="center"/>
              <w:spacing w:line="0" w:lineRule="atLeast"/>
              <w:rPr>
                <w:color w:val="auto"/>
                <w:sz w:val="24"/>
                <w:szCs w:val="24"/>
                <w:highlight w:val="none"/>
              </w:rPr>
            </w:pPr>
            <w:r>
              <w:rPr>
                <w:rFonts w:hint="eastAsia"/>
                <w:color w:val="auto"/>
                <w:sz w:val="24"/>
                <w:szCs w:val="24"/>
                <w:highlight w:val="none"/>
              </w:rPr>
              <w:t xml:space="preserve">投标总报价（人民币：元）</w:t>
            </w:r>
            <w:r/>
          </w:p>
        </w:tc>
        <w:tc>
          <w:tcPr>
            <w:tcW w:w="966" w:type="dxa"/>
            <w:textDirection w:val="lrTb"/>
            <w:noWrap w:val="false"/>
          </w:tcPr>
          <w:p>
            <w:pPr>
              <w:rPr>
                <w:color w:val="auto"/>
                <w:sz w:val="24"/>
                <w:szCs w:val="24"/>
                <w:highlight w:val="none"/>
              </w:rPr>
            </w:pPr>
            <w:r>
              <w:rPr>
                <w:color w:val="auto"/>
                <w:sz w:val="24"/>
                <w:szCs w:val="24"/>
                <w:highlight w:val="none"/>
              </w:rPr>
            </w:r>
            <w:r/>
          </w:p>
        </w:tc>
      </w:tr>
      <w:tr>
        <w:trPr>
          <w:cantSplit/>
          <w:trHeight w:val="249"/>
        </w:trPr>
        <w:tc>
          <w:tcPr>
            <w:gridSpan w:val="10"/>
            <w:tcW w:w="9263" w:type="dxa"/>
            <w:textDirection w:val="lrTb"/>
            <w:noWrap w:val="false"/>
          </w:tcPr>
          <w:p>
            <w:pPr>
              <w:rPr>
                <w:color w:val="auto"/>
                <w:sz w:val="24"/>
                <w:szCs w:val="24"/>
                <w:highlight w:val="none"/>
              </w:rPr>
            </w:pPr>
            <w:r>
              <w:rPr>
                <w:rFonts w:hint="eastAsia"/>
                <w:bCs/>
                <w:color w:val="auto"/>
                <w:sz w:val="24"/>
                <w:szCs w:val="28"/>
                <w:highlight w:val="none"/>
              </w:rPr>
              <w:t xml:space="preserve">本采购包中提供的符合本国产品标准的产品成本之和占该采购包提供的全部产品成本之和的比例为***%。</w:t>
            </w:r>
            <w:r/>
          </w:p>
        </w:tc>
      </w:tr>
    </w:tbl>
    <w:p>
      <w:pPr>
        <w:ind w:firstLine="480"/>
        <w:rPr>
          <w:b/>
          <w:color w:val="auto"/>
          <w:sz w:val="24"/>
          <w:szCs w:val="24"/>
          <w:highlight w:val="none"/>
        </w:rPr>
      </w:pPr>
      <w:r>
        <w:rPr>
          <w:b/>
          <w:color w:val="auto"/>
          <w:sz w:val="24"/>
          <w:szCs w:val="24"/>
          <w:highlight w:val="none"/>
        </w:rPr>
      </w:r>
      <w:r/>
    </w:p>
    <w:p>
      <w:pPr>
        <w:spacing w:line="400" w:lineRule="exact"/>
        <w:rPr>
          <w:color w:val="auto"/>
          <w:sz w:val="24"/>
          <w:szCs w:val="24"/>
          <w:highlight w:val="none"/>
        </w:rPr>
      </w:pPr>
      <w:r>
        <w:rPr>
          <w:rFonts w:hint="eastAsia"/>
          <w:color w:val="auto"/>
          <w:sz w:val="24"/>
          <w:szCs w:val="24"/>
          <w:highlight w:val="none"/>
        </w:rPr>
        <w:t xml:space="preserve">备注：</w:t>
      </w:r>
      <w:r/>
    </w:p>
    <w:p>
      <w:pPr>
        <w:spacing w:line="400" w:lineRule="exact"/>
        <w:rPr>
          <w:color w:val="auto"/>
          <w:sz w:val="24"/>
          <w:szCs w:val="21"/>
          <w:highlight w:val="none"/>
        </w:rPr>
      </w:pPr>
      <w:r>
        <w:rPr>
          <w:rFonts w:hint="eastAsia"/>
          <w:color w:val="auto"/>
          <w:sz w:val="24"/>
          <w:szCs w:val="24"/>
          <w:highlight w:val="none"/>
        </w:rPr>
        <w:t xml:space="preserve">1.投标报价</w:t>
      </w:r>
      <w:r>
        <w:rPr>
          <w:rFonts w:hint="eastAsia"/>
          <w:color w:val="auto"/>
          <w:sz w:val="24"/>
          <w:szCs w:val="21"/>
          <w:highlight w:val="none"/>
        </w:rPr>
        <w:t xml:space="preserve">采用总承包方式，“投标总报价”应包括所投货物（包含与货物相关的服务）费用、安装调试费、测试验收费、培训费、运行维护费用、税金、国际（如果</w:t>
      </w:r>
      <w:r>
        <w:rPr>
          <w:color w:val="auto"/>
          <w:sz w:val="24"/>
          <w:szCs w:val="21"/>
          <w:highlight w:val="none"/>
        </w:rPr>
        <w:t xml:space="preserve">有</w:t>
      </w:r>
      <w:r>
        <w:rPr>
          <w:rFonts w:hint="eastAsia"/>
          <w:color w:val="auto"/>
          <w:sz w:val="24"/>
          <w:szCs w:val="21"/>
          <w:highlight w:val="none"/>
        </w:rPr>
        <w:t xml:space="preserve">）国内运输保险、报关清关（如果</w:t>
      </w:r>
      <w:r>
        <w:rPr>
          <w:color w:val="auto"/>
          <w:sz w:val="24"/>
          <w:szCs w:val="21"/>
          <w:highlight w:val="none"/>
        </w:rPr>
        <w:t xml:space="preserve">有</w:t>
      </w:r>
      <w:r>
        <w:rPr>
          <w:rFonts w:hint="eastAsia"/>
          <w:color w:val="auto"/>
          <w:sz w:val="24"/>
          <w:szCs w:val="21"/>
          <w:highlight w:val="none"/>
        </w:rPr>
        <w:t xml:space="preserve">）、开证（如果</w:t>
      </w:r>
      <w:r>
        <w:rPr>
          <w:color w:val="auto"/>
          <w:sz w:val="24"/>
          <w:szCs w:val="21"/>
          <w:highlight w:val="none"/>
        </w:rPr>
        <w:t xml:space="preserve">有</w:t>
      </w:r>
      <w:r>
        <w:rPr>
          <w:rFonts w:hint="eastAsia"/>
          <w:color w:val="auto"/>
          <w:sz w:val="24"/>
          <w:szCs w:val="21"/>
          <w:highlight w:val="none"/>
        </w:rPr>
        <w:t xml:space="preserve">）、办理全套免税手续费用（如果</w:t>
      </w:r>
      <w:r>
        <w:rPr>
          <w:color w:val="auto"/>
          <w:sz w:val="24"/>
          <w:szCs w:val="21"/>
          <w:highlight w:val="none"/>
        </w:rPr>
        <w:t xml:space="preserve">有</w:t>
      </w:r>
      <w:r>
        <w:rPr>
          <w:rFonts w:hint="eastAsia"/>
          <w:color w:val="auto"/>
          <w:sz w:val="24"/>
          <w:szCs w:val="21"/>
          <w:highlight w:val="none"/>
        </w:rPr>
        <w:t xml:space="preserve">）及其他有关的为完成本项目发生的所有费用，招标文件中另有规定的除外。</w:t>
      </w:r>
      <w:r/>
    </w:p>
    <w:p>
      <w:pPr>
        <w:spacing w:line="400" w:lineRule="exact"/>
        <w:rPr>
          <w:color w:val="auto"/>
          <w:sz w:val="24"/>
          <w:szCs w:val="21"/>
          <w:highlight w:val="none"/>
        </w:rPr>
      </w:pPr>
      <w:r>
        <w:rPr>
          <w:rFonts w:hint="eastAsia"/>
          <w:color w:val="auto"/>
          <w:sz w:val="24"/>
          <w:szCs w:val="21"/>
          <w:highlight w:val="none"/>
        </w:rPr>
        <w:t xml:space="preserve">2.</w:t>
      </w:r>
      <w:r>
        <w:rPr>
          <w:rFonts w:hint="eastAsia" w:ascii="Times New Roman" w:hAnsi="Times New Roman"/>
          <w:color w:val="auto"/>
          <w:szCs w:val="21"/>
          <w:highlight w:val="none"/>
        </w:rPr>
        <w:t xml:space="preserve">“</w:t>
      </w:r>
      <w:r>
        <w:rPr>
          <w:rFonts w:hint="eastAsia"/>
          <w:color w:val="auto"/>
          <w:sz w:val="24"/>
          <w:szCs w:val="21"/>
          <w:highlight w:val="none"/>
        </w:rPr>
        <w:t xml:space="preserve">投标分项报价表</w:t>
      </w:r>
      <w:r>
        <w:rPr>
          <w:rFonts w:hint="eastAsia" w:ascii="Times New Roman" w:hAnsi="Times New Roman"/>
          <w:color w:val="auto"/>
          <w:szCs w:val="21"/>
          <w:highlight w:val="none"/>
        </w:rPr>
        <w:t xml:space="preserve">”</w:t>
      </w:r>
      <w:r>
        <w:rPr>
          <w:rFonts w:hint="eastAsia"/>
          <w:color w:val="auto"/>
          <w:sz w:val="24"/>
          <w:szCs w:val="21"/>
          <w:highlight w:val="none"/>
        </w:rPr>
        <w:t xml:space="preserve">中“投标总报价”数额应当与“开标一览表”中“投标总报价”数额一致。</w:t>
      </w:r>
      <w:r/>
    </w:p>
    <w:p>
      <w:pPr>
        <w:spacing w:after="120" w:line="300" w:lineRule="auto"/>
        <w:tabs>
          <w:tab w:val="left" w:pos="840" w:leader="none"/>
        </w:tabs>
        <w:rPr>
          <w:b/>
          <w:i/>
          <w:iCs/>
          <w:color w:val="auto"/>
          <w:sz w:val="24"/>
          <w:szCs w:val="24"/>
          <w:highlight w:val="none"/>
        </w:rPr>
      </w:pPr>
      <w:r>
        <w:rPr>
          <w:rFonts w:hint="eastAsia"/>
          <w:b/>
          <w:i/>
          <w:iCs/>
          <w:color w:val="auto"/>
          <w:sz w:val="24"/>
          <w:szCs w:val="24"/>
          <w:highlight w:val="none"/>
          <w:lang w:val="en-US"/>
        </w:rPr>
        <w:t xml:space="preserve">3、</w:t>
      </w:r>
      <w:r>
        <w:rPr>
          <w:rFonts w:hint="eastAsia"/>
          <w:b/>
          <w:i/>
          <w:i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color w:val="auto"/>
          <w:sz w:val="24"/>
          <w:szCs w:val="21"/>
          <w:highlight w:val="none"/>
        </w:rPr>
      </w:pPr>
      <w:r>
        <w:rPr>
          <w:color w:val="auto"/>
          <w:sz w:val="24"/>
          <w:szCs w:val="21"/>
          <w:highlight w:val="none"/>
        </w:rPr>
      </w:r>
      <w:r/>
    </w:p>
    <w:p>
      <w:pPr>
        <w:widowControl/>
        <w:rPr>
          <w:rFonts w:cs="Arial"/>
          <w:b/>
          <w:bCs/>
          <w:color w:val="auto"/>
          <w:highlight w:val="none"/>
        </w:rPr>
      </w:pPr>
      <w:r>
        <w:rPr>
          <w:rFonts w:cs="Arial"/>
          <w:b/>
          <w:bCs/>
          <w:color w:val="auto"/>
          <w:highlight w:val="none"/>
        </w:rPr>
      </w:r>
      <w:r/>
    </w:p>
    <w:p>
      <w:pPr>
        <w:widowControl/>
        <w:rPr>
          <w:rFonts w:cs="Arial"/>
          <w:b/>
          <w:bCs/>
          <w:color w:val="auto"/>
          <w:highlight w:val="none"/>
        </w:rPr>
      </w:pPr>
      <w:r>
        <w:rPr>
          <w:rFonts w:cs="Arial"/>
          <w:b/>
          <w:bCs/>
          <w:color w:val="auto"/>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pStyle w:val="863"/>
        <w:rPr>
          <w:color w:val="auto"/>
          <w:highlight w:val="none"/>
        </w:rPr>
      </w:pPr>
      <w:r>
        <w:rPr>
          <w:color w:val="auto"/>
          <w:highlight w:val="none"/>
        </w:rPr>
      </w:r>
      <w:r/>
    </w:p>
    <w:p>
      <w:pPr>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十</w:t>
      </w:r>
      <w:r>
        <w:rPr>
          <w:rFonts w:hint="eastAsia" w:ascii="黑体" w:hAnsi="黑体" w:eastAsia="黑体"/>
          <w:b/>
          <w:color w:val="auto"/>
          <w:sz w:val="32"/>
          <w:szCs w:val="32"/>
          <w:highlight w:val="none"/>
          <w:lang w:val="en-US"/>
        </w:rPr>
        <w:t xml:space="preserve">三</w:t>
      </w:r>
      <w:r>
        <w:rPr>
          <w:rFonts w:hint="eastAsia" w:ascii="黑体" w:hAnsi="黑体" w:eastAsia="黑体"/>
          <w:b/>
          <w:color w:val="auto"/>
          <w:sz w:val="32"/>
          <w:szCs w:val="32"/>
          <w:highlight w:val="none"/>
        </w:rPr>
        <w:t xml:space="preserve">、技术要求响应及偏离表</w:t>
      </w:r>
      <w:r/>
    </w:p>
    <w:tbl>
      <w:tblPr>
        <w:tblStyle w:val="747"/>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序号</w:t>
            </w:r>
            <w:r/>
          </w:p>
        </w:tc>
        <w:tc>
          <w:tcPr>
            <w:tcW w:w="329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招标文件要求</w:t>
            </w:r>
            <w:r/>
          </w:p>
        </w:tc>
        <w:tc>
          <w:tcPr>
            <w:tcW w:w="2852"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投标响应情况</w:t>
            </w:r>
            <w:r/>
          </w:p>
        </w:tc>
        <w:tc>
          <w:tcPr>
            <w:tcW w:w="1308"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超出、符合或偏离</w:t>
            </w:r>
            <w:r/>
          </w:p>
        </w:tc>
        <w:tc>
          <w:tcPr>
            <w:tcW w:w="1173"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证明</w:t>
            </w:r>
            <w:r/>
          </w:p>
          <w:p>
            <w:pPr>
              <w:jc w:val="center"/>
              <w:rPr>
                <w:color w:val="auto"/>
                <w:sz w:val="24"/>
                <w:szCs w:val="24"/>
                <w:highlight w:val="none"/>
              </w:rPr>
            </w:pPr>
            <w:r>
              <w:rPr>
                <w:rFonts w:hint="eastAsia"/>
                <w:color w:val="auto"/>
                <w:sz w:val="24"/>
                <w:szCs w:val="24"/>
                <w:highlight w:val="none"/>
              </w:rPr>
              <w:t xml:space="preserve">材料</w:t>
            </w:r>
            <w:r/>
          </w:p>
        </w:tc>
      </w:tr>
      <w:tr>
        <w:trPr>
          <w:cantSplit/>
          <w:trHeight w:val="640"/>
        </w:trPr>
        <w:tc>
          <w:tcPr>
            <w:tcW w:w="545" w:type="dxa"/>
            <w:textDirection w:val="lrTb"/>
            <w:noWrap w:val="false"/>
          </w:tcPr>
          <w:p>
            <w:pPr>
              <w:jc w:val="center"/>
              <w:rPr>
                <w:color w:val="auto"/>
                <w:sz w:val="24"/>
                <w:szCs w:val="24"/>
                <w:highlight w:val="none"/>
              </w:rPr>
            </w:pPr>
            <w:r>
              <w:rPr>
                <w:color w:val="auto"/>
                <w:sz w:val="24"/>
                <w:szCs w:val="24"/>
                <w:highlight w:val="none"/>
              </w:rPr>
            </w:r>
            <w:r/>
          </w:p>
        </w:tc>
        <w:tc>
          <w:tcPr>
            <w:tcW w:w="3291" w:type="dxa"/>
            <w:textDirection w:val="lrTb"/>
            <w:noWrap w:val="false"/>
          </w:tcPr>
          <w:p>
            <w:pPr>
              <w:jc w:val="center"/>
              <w:rPr>
                <w:color w:val="auto"/>
                <w:sz w:val="24"/>
                <w:szCs w:val="24"/>
                <w:highlight w:val="none"/>
              </w:rPr>
            </w:pPr>
            <w:r>
              <w:rPr>
                <w:color w:val="auto"/>
                <w:sz w:val="24"/>
                <w:szCs w:val="24"/>
                <w:highlight w:val="none"/>
              </w:rPr>
            </w:r>
            <w:r/>
          </w:p>
        </w:tc>
        <w:tc>
          <w:tcPr>
            <w:tcW w:w="2852" w:type="dxa"/>
            <w:textDirection w:val="lrTb"/>
            <w:noWrap w:val="false"/>
          </w:tcPr>
          <w:p>
            <w:pPr>
              <w:jc w:val="center"/>
              <w:rPr>
                <w:color w:val="auto"/>
                <w:sz w:val="24"/>
                <w:szCs w:val="24"/>
                <w:highlight w:val="none"/>
              </w:rPr>
            </w:pPr>
            <w:r>
              <w:rPr>
                <w:color w:val="auto"/>
                <w:sz w:val="24"/>
                <w:szCs w:val="24"/>
                <w:highlight w:val="none"/>
              </w:rPr>
            </w:r>
            <w:r/>
          </w:p>
        </w:tc>
        <w:tc>
          <w:tcPr>
            <w:tcW w:w="1308" w:type="dxa"/>
            <w:textDirection w:val="lrTb"/>
            <w:noWrap w:val="false"/>
          </w:tcPr>
          <w:p>
            <w:pPr>
              <w:jc w:val="center"/>
              <w:rPr>
                <w:color w:val="auto"/>
                <w:sz w:val="24"/>
                <w:szCs w:val="24"/>
                <w:highlight w:val="none"/>
              </w:rPr>
            </w:pPr>
            <w:r>
              <w:rPr>
                <w:color w:val="auto"/>
                <w:sz w:val="24"/>
                <w:szCs w:val="24"/>
                <w:highlight w:val="none"/>
              </w:rPr>
            </w:r>
            <w:r/>
          </w:p>
        </w:tc>
        <w:tc>
          <w:tcPr>
            <w:tcW w:w="1173" w:type="dxa"/>
            <w:textDirection w:val="lrTb"/>
            <w:noWrap w:val="false"/>
          </w:tcPr>
          <w:p>
            <w:pPr>
              <w:jc w:val="center"/>
              <w:rPr>
                <w:color w:val="auto"/>
                <w:sz w:val="24"/>
                <w:szCs w:val="24"/>
                <w:highlight w:val="none"/>
              </w:rPr>
            </w:pPr>
            <w:r>
              <w:rPr>
                <w:color w:val="auto"/>
                <w:sz w:val="24"/>
                <w:szCs w:val="24"/>
                <w:highlight w:val="none"/>
              </w:rPr>
            </w:r>
            <w:r/>
          </w:p>
        </w:tc>
      </w:tr>
      <w:tr>
        <w:trPr>
          <w:cantSplit/>
          <w:trHeight w:val="640"/>
        </w:trPr>
        <w:tc>
          <w:tcPr>
            <w:tcW w:w="545" w:type="dxa"/>
            <w:textDirection w:val="lrTb"/>
            <w:noWrap w:val="false"/>
          </w:tcPr>
          <w:p>
            <w:pPr>
              <w:jc w:val="center"/>
              <w:rPr>
                <w:color w:val="auto"/>
                <w:sz w:val="24"/>
                <w:szCs w:val="24"/>
                <w:highlight w:val="none"/>
              </w:rPr>
            </w:pPr>
            <w:r>
              <w:rPr>
                <w:color w:val="auto"/>
                <w:sz w:val="24"/>
                <w:szCs w:val="24"/>
                <w:highlight w:val="none"/>
              </w:rPr>
            </w:r>
            <w:r/>
          </w:p>
        </w:tc>
        <w:tc>
          <w:tcPr>
            <w:tcW w:w="3291" w:type="dxa"/>
            <w:textDirection w:val="lrTb"/>
            <w:noWrap w:val="false"/>
          </w:tcPr>
          <w:p>
            <w:pPr>
              <w:jc w:val="center"/>
              <w:rPr>
                <w:color w:val="auto"/>
                <w:sz w:val="24"/>
                <w:szCs w:val="24"/>
                <w:highlight w:val="none"/>
              </w:rPr>
            </w:pPr>
            <w:r>
              <w:rPr>
                <w:color w:val="auto"/>
                <w:sz w:val="24"/>
                <w:szCs w:val="24"/>
                <w:highlight w:val="none"/>
              </w:rPr>
            </w:r>
            <w:r/>
          </w:p>
        </w:tc>
        <w:tc>
          <w:tcPr>
            <w:tcW w:w="2852" w:type="dxa"/>
            <w:textDirection w:val="lrTb"/>
            <w:noWrap w:val="false"/>
          </w:tcPr>
          <w:p>
            <w:pPr>
              <w:jc w:val="center"/>
              <w:rPr>
                <w:color w:val="auto"/>
                <w:sz w:val="24"/>
                <w:szCs w:val="24"/>
                <w:highlight w:val="none"/>
              </w:rPr>
            </w:pPr>
            <w:r>
              <w:rPr>
                <w:color w:val="auto"/>
                <w:sz w:val="24"/>
                <w:szCs w:val="24"/>
                <w:highlight w:val="none"/>
              </w:rPr>
            </w:r>
            <w:r/>
          </w:p>
        </w:tc>
        <w:tc>
          <w:tcPr>
            <w:tcW w:w="1308" w:type="dxa"/>
            <w:textDirection w:val="lrTb"/>
            <w:noWrap w:val="false"/>
          </w:tcPr>
          <w:p>
            <w:pPr>
              <w:jc w:val="center"/>
              <w:rPr>
                <w:color w:val="auto"/>
                <w:sz w:val="24"/>
                <w:szCs w:val="24"/>
                <w:highlight w:val="none"/>
              </w:rPr>
            </w:pPr>
            <w:r>
              <w:rPr>
                <w:color w:val="auto"/>
                <w:sz w:val="24"/>
                <w:szCs w:val="24"/>
                <w:highlight w:val="none"/>
              </w:rPr>
            </w:r>
            <w:r/>
          </w:p>
        </w:tc>
        <w:tc>
          <w:tcPr>
            <w:tcW w:w="1173" w:type="dxa"/>
            <w:textDirection w:val="lrTb"/>
            <w:noWrap w:val="false"/>
          </w:tcPr>
          <w:p>
            <w:pPr>
              <w:jc w:val="center"/>
              <w:rPr>
                <w:color w:val="auto"/>
                <w:sz w:val="24"/>
                <w:szCs w:val="24"/>
                <w:highlight w:val="none"/>
              </w:rPr>
            </w:pPr>
            <w:r>
              <w:rPr>
                <w:color w:val="auto"/>
                <w:sz w:val="24"/>
                <w:szCs w:val="24"/>
                <w:highlight w:val="none"/>
              </w:rPr>
            </w:r>
            <w:r/>
          </w:p>
        </w:tc>
      </w:tr>
      <w:tr>
        <w:trPr>
          <w:cantSplit/>
          <w:trHeight w:val="640"/>
        </w:trPr>
        <w:tc>
          <w:tcPr>
            <w:tcW w:w="545" w:type="dxa"/>
            <w:textDirection w:val="lrTb"/>
            <w:noWrap w:val="false"/>
          </w:tcPr>
          <w:p>
            <w:pPr>
              <w:jc w:val="center"/>
              <w:rPr>
                <w:color w:val="auto"/>
                <w:sz w:val="24"/>
                <w:szCs w:val="24"/>
                <w:highlight w:val="none"/>
              </w:rPr>
            </w:pPr>
            <w:r>
              <w:rPr>
                <w:color w:val="auto"/>
                <w:sz w:val="24"/>
                <w:szCs w:val="24"/>
                <w:highlight w:val="none"/>
              </w:rPr>
            </w:r>
            <w:r/>
          </w:p>
        </w:tc>
        <w:tc>
          <w:tcPr>
            <w:tcW w:w="3291" w:type="dxa"/>
            <w:textDirection w:val="lrTb"/>
            <w:noWrap w:val="false"/>
          </w:tcPr>
          <w:p>
            <w:pPr>
              <w:jc w:val="center"/>
              <w:rPr>
                <w:color w:val="auto"/>
                <w:sz w:val="24"/>
                <w:szCs w:val="24"/>
                <w:highlight w:val="none"/>
              </w:rPr>
            </w:pPr>
            <w:r>
              <w:rPr>
                <w:color w:val="auto"/>
                <w:sz w:val="24"/>
                <w:szCs w:val="24"/>
                <w:highlight w:val="none"/>
              </w:rPr>
            </w:r>
            <w:r/>
          </w:p>
        </w:tc>
        <w:tc>
          <w:tcPr>
            <w:tcW w:w="2852" w:type="dxa"/>
            <w:textDirection w:val="lrTb"/>
            <w:noWrap w:val="false"/>
          </w:tcPr>
          <w:p>
            <w:pPr>
              <w:jc w:val="center"/>
              <w:rPr>
                <w:color w:val="auto"/>
                <w:sz w:val="24"/>
                <w:szCs w:val="24"/>
                <w:highlight w:val="none"/>
              </w:rPr>
            </w:pPr>
            <w:r>
              <w:rPr>
                <w:color w:val="auto"/>
                <w:sz w:val="24"/>
                <w:szCs w:val="24"/>
                <w:highlight w:val="none"/>
              </w:rPr>
            </w:r>
            <w:r/>
          </w:p>
        </w:tc>
        <w:tc>
          <w:tcPr>
            <w:tcW w:w="1308" w:type="dxa"/>
            <w:textDirection w:val="lrTb"/>
            <w:noWrap w:val="false"/>
          </w:tcPr>
          <w:p>
            <w:pPr>
              <w:jc w:val="center"/>
              <w:rPr>
                <w:color w:val="auto"/>
                <w:sz w:val="24"/>
                <w:szCs w:val="24"/>
                <w:highlight w:val="none"/>
              </w:rPr>
            </w:pPr>
            <w:r>
              <w:rPr>
                <w:color w:val="auto"/>
                <w:sz w:val="24"/>
                <w:szCs w:val="24"/>
                <w:highlight w:val="none"/>
              </w:rPr>
            </w:r>
            <w:r/>
          </w:p>
        </w:tc>
        <w:tc>
          <w:tcPr>
            <w:tcW w:w="1173" w:type="dxa"/>
            <w:textDirection w:val="lrTb"/>
            <w:noWrap w:val="false"/>
          </w:tcPr>
          <w:p>
            <w:pPr>
              <w:jc w:val="center"/>
              <w:rPr>
                <w:color w:val="auto"/>
                <w:sz w:val="24"/>
                <w:szCs w:val="24"/>
                <w:highlight w:val="none"/>
              </w:rPr>
            </w:pPr>
            <w:r>
              <w:rPr>
                <w:color w:val="auto"/>
                <w:sz w:val="24"/>
                <w:szCs w:val="24"/>
                <w:highlight w:val="none"/>
              </w:rPr>
            </w:r>
            <w:r/>
          </w:p>
        </w:tc>
      </w:tr>
      <w:tr>
        <w:trPr>
          <w:cantSplit/>
          <w:trHeight w:val="640"/>
        </w:trPr>
        <w:tc>
          <w:tcPr>
            <w:tcW w:w="545" w:type="dxa"/>
            <w:textDirection w:val="lrTb"/>
            <w:noWrap w:val="false"/>
          </w:tcPr>
          <w:p>
            <w:pPr>
              <w:jc w:val="center"/>
              <w:rPr>
                <w:color w:val="auto"/>
                <w:sz w:val="24"/>
                <w:szCs w:val="24"/>
                <w:highlight w:val="none"/>
              </w:rPr>
            </w:pPr>
            <w:r>
              <w:rPr>
                <w:color w:val="auto"/>
                <w:sz w:val="24"/>
                <w:szCs w:val="24"/>
                <w:highlight w:val="none"/>
              </w:rPr>
            </w:r>
            <w:r/>
          </w:p>
        </w:tc>
        <w:tc>
          <w:tcPr>
            <w:tcW w:w="3291" w:type="dxa"/>
            <w:textDirection w:val="lrTb"/>
            <w:noWrap w:val="false"/>
          </w:tcPr>
          <w:p>
            <w:pPr>
              <w:jc w:val="center"/>
              <w:rPr>
                <w:color w:val="auto"/>
                <w:sz w:val="24"/>
                <w:szCs w:val="24"/>
                <w:highlight w:val="none"/>
              </w:rPr>
            </w:pPr>
            <w:r>
              <w:rPr>
                <w:color w:val="auto"/>
                <w:sz w:val="24"/>
                <w:szCs w:val="24"/>
                <w:highlight w:val="none"/>
              </w:rPr>
            </w:r>
            <w:r/>
          </w:p>
        </w:tc>
        <w:tc>
          <w:tcPr>
            <w:tcW w:w="2852" w:type="dxa"/>
            <w:textDirection w:val="lrTb"/>
            <w:noWrap w:val="false"/>
          </w:tcPr>
          <w:p>
            <w:pPr>
              <w:jc w:val="center"/>
              <w:rPr>
                <w:color w:val="auto"/>
                <w:sz w:val="24"/>
                <w:szCs w:val="24"/>
                <w:highlight w:val="none"/>
              </w:rPr>
            </w:pPr>
            <w:r>
              <w:rPr>
                <w:color w:val="auto"/>
                <w:sz w:val="24"/>
                <w:szCs w:val="24"/>
                <w:highlight w:val="none"/>
              </w:rPr>
            </w:r>
            <w:r/>
          </w:p>
        </w:tc>
        <w:tc>
          <w:tcPr>
            <w:tcW w:w="1308" w:type="dxa"/>
            <w:textDirection w:val="lrTb"/>
            <w:noWrap w:val="false"/>
          </w:tcPr>
          <w:p>
            <w:pPr>
              <w:jc w:val="center"/>
              <w:rPr>
                <w:color w:val="auto"/>
                <w:sz w:val="24"/>
                <w:szCs w:val="24"/>
                <w:highlight w:val="none"/>
              </w:rPr>
            </w:pPr>
            <w:r>
              <w:rPr>
                <w:color w:val="auto"/>
                <w:sz w:val="24"/>
                <w:szCs w:val="24"/>
                <w:highlight w:val="none"/>
              </w:rPr>
            </w:r>
            <w:r/>
          </w:p>
        </w:tc>
        <w:tc>
          <w:tcPr>
            <w:tcW w:w="1173" w:type="dxa"/>
            <w:textDirection w:val="lrTb"/>
            <w:noWrap w:val="false"/>
          </w:tcPr>
          <w:p>
            <w:pPr>
              <w:jc w:val="center"/>
              <w:rPr>
                <w:color w:val="auto"/>
                <w:sz w:val="24"/>
                <w:szCs w:val="24"/>
                <w:highlight w:val="none"/>
              </w:rPr>
            </w:pPr>
            <w:r>
              <w:rPr>
                <w:color w:val="auto"/>
                <w:sz w:val="24"/>
                <w:szCs w:val="24"/>
                <w:highlight w:val="none"/>
              </w:rPr>
            </w:r>
            <w:r/>
          </w:p>
        </w:tc>
      </w:tr>
      <w:tr>
        <w:trPr>
          <w:cantSplit/>
          <w:trHeight w:val="640"/>
        </w:trPr>
        <w:tc>
          <w:tcPr>
            <w:tcW w:w="545" w:type="dxa"/>
            <w:textDirection w:val="lrTb"/>
            <w:noWrap w:val="false"/>
          </w:tcPr>
          <w:p>
            <w:pPr>
              <w:jc w:val="center"/>
              <w:rPr>
                <w:color w:val="auto"/>
                <w:sz w:val="24"/>
                <w:szCs w:val="24"/>
                <w:highlight w:val="none"/>
              </w:rPr>
            </w:pPr>
            <w:r>
              <w:rPr>
                <w:color w:val="auto"/>
                <w:sz w:val="24"/>
                <w:szCs w:val="24"/>
                <w:highlight w:val="none"/>
              </w:rPr>
            </w:r>
            <w:r/>
          </w:p>
        </w:tc>
        <w:tc>
          <w:tcPr>
            <w:tcW w:w="3291" w:type="dxa"/>
            <w:textDirection w:val="lrTb"/>
            <w:noWrap w:val="false"/>
          </w:tcPr>
          <w:p>
            <w:pPr>
              <w:jc w:val="center"/>
              <w:rPr>
                <w:color w:val="auto"/>
                <w:sz w:val="24"/>
                <w:szCs w:val="24"/>
                <w:highlight w:val="none"/>
              </w:rPr>
            </w:pPr>
            <w:r>
              <w:rPr>
                <w:color w:val="auto"/>
                <w:sz w:val="24"/>
                <w:szCs w:val="24"/>
                <w:highlight w:val="none"/>
              </w:rPr>
            </w:r>
            <w:r/>
          </w:p>
        </w:tc>
        <w:tc>
          <w:tcPr>
            <w:tcW w:w="2852" w:type="dxa"/>
            <w:textDirection w:val="lrTb"/>
            <w:noWrap w:val="false"/>
          </w:tcPr>
          <w:p>
            <w:pPr>
              <w:jc w:val="center"/>
              <w:rPr>
                <w:color w:val="auto"/>
                <w:sz w:val="24"/>
                <w:szCs w:val="24"/>
                <w:highlight w:val="none"/>
              </w:rPr>
            </w:pPr>
            <w:r>
              <w:rPr>
                <w:color w:val="auto"/>
                <w:sz w:val="24"/>
                <w:szCs w:val="24"/>
                <w:highlight w:val="none"/>
              </w:rPr>
            </w:r>
            <w:r/>
          </w:p>
        </w:tc>
        <w:tc>
          <w:tcPr>
            <w:tcW w:w="1308" w:type="dxa"/>
            <w:textDirection w:val="lrTb"/>
            <w:noWrap w:val="false"/>
          </w:tcPr>
          <w:p>
            <w:pPr>
              <w:jc w:val="center"/>
              <w:rPr>
                <w:color w:val="auto"/>
                <w:sz w:val="24"/>
                <w:szCs w:val="24"/>
                <w:highlight w:val="none"/>
              </w:rPr>
            </w:pPr>
            <w:r>
              <w:rPr>
                <w:color w:val="auto"/>
                <w:sz w:val="24"/>
                <w:szCs w:val="24"/>
                <w:highlight w:val="none"/>
              </w:rPr>
            </w:r>
            <w:r/>
          </w:p>
        </w:tc>
        <w:tc>
          <w:tcPr>
            <w:tcW w:w="1173" w:type="dxa"/>
            <w:textDirection w:val="lrTb"/>
            <w:noWrap w:val="false"/>
          </w:tcPr>
          <w:p>
            <w:pPr>
              <w:jc w:val="center"/>
              <w:rPr>
                <w:color w:val="auto"/>
                <w:sz w:val="24"/>
                <w:szCs w:val="24"/>
                <w:highlight w:val="none"/>
              </w:rPr>
            </w:pPr>
            <w:r>
              <w:rPr>
                <w:color w:val="auto"/>
                <w:sz w:val="24"/>
                <w:szCs w:val="24"/>
                <w:highlight w:val="none"/>
              </w:rPr>
            </w:r>
            <w:r/>
          </w:p>
        </w:tc>
      </w:tr>
      <w:tr>
        <w:trPr>
          <w:cantSplit/>
          <w:trHeight w:val="640"/>
        </w:trPr>
        <w:tc>
          <w:tcPr>
            <w:tcW w:w="545" w:type="dxa"/>
            <w:textDirection w:val="lrTb"/>
            <w:noWrap w:val="false"/>
          </w:tcPr>
          <w:p>
            <w:pPr>
              <w:jc w:val="center"/>
              <w:rPr>
                <w:color w:val="auto"/>
                <w:sz w:val="24"/>
                <w:szCs w:val="24"/>
                <w:highlight w:val="none"/>
              </w:rPr>
            </w:pPr>
            <w:r>
              <w:rPr>
                <w:color w:val="auto"/>
                <w:sz w:val="24"/>
                <w:szCs w:val="24"/>
                <w:highlight w:val="none"/>
              </w:rPr>
            </w:r>
            <w:r/>
          </w:p>
        </w:tc>
        <w:tc>
          <w:tcPr>
            <w:tcW w:w="3291" w:type="dxa"/>
            <w:textDirection w:val="lrTb"/>
            <w:noWrap w:val="false"/>
          </w:tcPr>
          <w:p>
            <w:pPr>
              <w:jc w:val="center"/>
              <w:rPr>
                <w:color w:val="auto"/>
                <w:sz w:val="24"/>
                <w:szCs w:val="24"/>
                <w:highlight w:val="none"/>
              </w:rPr>
            </w:pPr>
            <w:r>
              <w:rPr>
                <w:color w:val="auto"/>
                <w:sz w:val="24"/>
                <w:szCs w:val="24"/>
                <w:highlight w:val="none"/>
              </w:rPr>
            </w:r>
            <w:r/>
          </w:p>
        </w:tc>
        <w:tc>
          <w:tcPr>
            <w:tcW w:w="2852" w:type="dxa"/>
            <w:textDirection w:val="lrTb"/>
            <w:noWrap w:val="false"/>
          </w:tcPr>
          <w:p>
            <w:pPr>
              <w:jc w:val="center"/>
              <w:rPr>
                <w:color w:val="auto"/>
                <w:sz w:val="24"/>
                <w:szCs w:val="24"/>
                <w:highlight w:val="none"/>
              </w:rPr>
            </w:pPr>
            <w:r>
              <w:rPr>
                <w:color w:val="auto"/>
                <w:sz w:val="24"/>
                <w:szCs w:val="24"/>
                <w:highlight w:val="none"/>
              </w:rPr>
            </w:r>
            <w:r/>
          </w:p>
        </w:tc>
        <w:tc>
          <w:tcPr>
            <w:tcW w:w="1308" w:type="dxa"/>
            <w:textDirection w:val="lrTb"/>
            <w:noWrap w:val="false"/>
          </w:tcPr>
          <w:p>
            <w:pPr>
              <w:jc w:val="center"/>
              <w:rPr>
                <w:color w:val="auto"/>
                <w:sz w:val="24"/>
                <w:szCs w:val="24"/>
                <w:highlight w:val="none"/>
              </w:rPr>
            </w:pPr>
            <w:r>
              <w:rPr>
                <w:color w:val="auto"/>
                <w:sz w:val="24"/>
                <w:szCs w:val="24"/>
                <w:highlight w:val="none"/>
              </w:rPr>
            </w:r>
            <w:r/>
          </w:p>
        </w:tc>
        <w:tc>
          <w:tcPr>
            <w:tcW w:w="1173" w:type="dxa"/>
            <w:textDirection w:val="lrTb"/>
            <w:noWrap w:val="false"/>
          </w:tcPr>
          <w:p>
            <w:pPr>
              <w:jc w:val="center"/>
              <w:rPr>
                <w:color w:val="auto"/>
                <w:sz w:val="24"/>
                <w:szCs w:val="24"/>
                <w:highlight w:val="none"/>
              </w:rPr>
            </w:pPr>
            <w:r>
              <w:rPr>
                <w:color w:val="auto"/>
                <w:sz w:val="24"/>
                <w:szCs w:val="24"/>
                <w:highlight w:val="none"/>
              </w:rPr>
            </w:r>
            <w:r/>
          </w:p>
        </w:tc>
      </w:tr>
      <w:tr>
        <w:trPr>
          <w:cantSplit/>
          <w:trHeight w:val="640"/>
        </w:trPr>
        <w:tc>
          <w:tcPr>
            <w:tcW w:w="545" w:type="dxa"/>
            <w:textDirection w:val="lrTb"/>
            <w:noWrap w:val="false"/>
          </w:tcPr>
          <w:p>
            <w:pPr>
              <w:jc w:val="center"/>
              <w:rPr>
                <w:color w:val="auto"/>
                <w:sz w:val="24"/>
                <w:szCs w:val="24"/>
                <w:highlight w:val="none"/>
              </w:rPr>
            </w:pPr>
            <w:r>
              <w:rPr>
                <w:color w:val="auto"/>
                <w:sz w:val="24"/>
                <w:szCs w:val="24"/>
                <w:highlight w:val="none"/>
              </w:rPr>
            </w:r>
            <w:r/>
          </w:p>
        </w:tc>
        <w:tc>
          <w:tcPr>
            <w:tcW w:w="3291" w:type="dxa"/>
            <w:textDirection w:val="lrTb"/>
            <w:noWrap w:val="false"/>
          </w:tcPr>
          <w:p>
            <w:pPr>
              <w:jc w:val="center"/>
              <w:rPr>
                <w:color w:val="auto"/>
                <w:sz w:val="24"/>
                <w:szCs w:val="24"/>
                <w:highlight w:val="none"/>
              </w:rPr>
            </w:pPr>
            <w:r>
              <w:rPr>
                <w:color w:val="auto"/>
                <w:sz w:val="24"/>
                <w:szCs w:val="24"/>
                <w:highlight w:val="none"/>
              </w:rPr>
            </w:r>
            <w:r/>
          </w:p>
        </w:tc>
        <w:tc>
          <w:tcPr>
            <w:tcW w:w="2852" w:type="dxa"/>
            <w:textDirection w:val="lrTb"/>
            <w:noWrap w:val="false"/>
          </w:tcPr>
          <w:p>
            <w:pPr>
              <w:jc w:val="center"/>
              <w:rPr>
                <w:color w:val="auto"/>
                <w:sz w:val="24"/>
                <w:szCs w:val="24"/>
                <w:highlight w:val="none"/>
              </w:rPr>
            </w:pPr>
            <w:r>
              <w:rPr>
                <w:color w:val="auto"/>
                <w:sz w:val="24"/>
                <w:szCs w:val="24"/>
                <w:highlight w:val="none"/>
              </w:rPr>
            </w:r>
            <w:r/>
          </w:p>
        </w:tc>
        <w:tc>
          <w:tcPr>
            <w:tcW w:w="1308" w:type="dxa"/>
            <w:textDirection w:val="lrTb"/>
            <w:noWrap w:val="false"/>
          </w:tcPr>
          <w:p>
            <w:pPr>
              <w:jc w:val="center"/>
              <w:rPr>
                <w:color w:val="auto"/>
                <w:sz w:val="24"/>
                <w:szCs w:val="24"/>
                <w:highlight w:val="none"/>
              </w:rPr>
            </w:pPr>
            <w:r>
              <w:rPr>
                <w:color w:val="auto"/>
                <w:sz w:val="24"/>
                <w:szCs w:val="24"/>
                <w:highlight w:val="none"/>
              </w:rPr>
            </w:r>
            <w:r/>
          </w:p>
        </w:tc>
        <w:tc>
          <w:tcPr>
            <w:tcW w:w="1173" w:type="dxa"/>
            <w:textDirection w:val="lrTb"/>
            <w:noWrap w:val="false"/>
          </w:tcPr>
          <w:p>
            <w:pPr>
              <w:jc w:val="center"/>
              <w:rPr>
                <w:color w:val="auto"/>
                <w:sz w:val="24"/>
                <w:szCs w:val="24"/>
                <w:highlight w:val="none"/>
              </w:rPr>
            </w:pPr>
            <w:r>
              <w:rPr>
                <w:color w:val="auto"/>
                <w:sz w:val="24"/>
                <w:szCs w:val="24"/>
                <w:highlight w:val="none"/>
              </w:rPr>
            </w:r>
            <w:r/>
          </w:p>
        </w:tc>
      </w:tr>
      <w:tr>
        <w:trPr>
          <w:cantSplit/>
          <w:trHeight w:val="640"/>
        </w:trPr>
        <w:tc>
          <w:tcPr>
            <w:tcW w:w="545" w:type="dxa"/>
            <w:textDirection w:val="lrTb"/>
            <w:noWrap w:val="false"/>
          </w:tcPr>
          <w:p>
            <w:pPr>
              <w:jc w:val="center"/>
              <w:rPr>
                <w:color w:val="auto"/>
                <w:sz w:val="24"/>
                <w:szCs w:val="24"/>
                <w:highlight w:val="none"/>
              </w:rPr>
            </w:pPr>
            <w:r>
              <w:rPr>
                <w:color w:val="auto"/>
                <w:sz w:val="24"/>
                <w:szCs w:val="24"/>
                <w:highlight w:val="none"/>
              </w:rPr>
            </w:r>
            <w:r/>
          </w:p>
        </w:tc>
        <w:tc>
          <w:tcPr>
            <w:tcW w:w="3291" w:type="dxa"/>
            <w:textDirection w:val="lrTb"/>
            <w:noWrap w:val="false"/>
          </w:tcPr>
          <w:p>
            <w:pPr>
              <w:jc w:val="center"/>
              <w:rPr>
                <w:color w:val="auto"/>
                <w:sz w:val="24"/>
                <w:szCs w:val="24"/>
                <w:highlight w:val="none"/>
              </w:rPr>
            </w:pPr>
            <w:r>
              <w:rPr>
                <w:color w:val="auto"/>
                <w:sz w:val="24"/>
                <w:szCs w:val="24"/>
                <w:highlight w:val="none"/>
              </w:rPr>
              <w:t xml:space="preserve">……</w:t>
            </w:r>
            <w:r/>
          </w:p>
        </w:tc>
        <w:tc>
          <w:tcPr>
            <w:tcW w:w="2852" w:type="dxa"/>
            <w:textDirection w:val="lrTb"/>
            <w:noWrap w:val="false"/>
          </w:tcPr>
          <w:p>
            <w:pPr>
              <w:jc w:val="center"/>
              <w:rPr>
                <w:color w:val="auto"/>
                <w:sz w:val="24"/>
                <w:szCs w:val="24"/>
                <w:highlight w:val="none"/>
              </w:rPr>
            </w:pPr>
            <w:r>
              <w:rPr>
                <w:color w:val="auto"/>
                <w:sz w:val="24"/>
                <w:szCs w:val="24"/>
                <w:highlight w:val="none"/>
              </w:rPr>
            </w:r>
            <w:r/>
          </w:p>
        </w:tc>
        <w:tc>
          <w:tcPr>
            <w:tcW w:w="1308" w:type="dxa"/>
            <w:textDirection w:val="lrTb"/>
            <w:noWrap w:val="false"/>
          </w:tcPr>
          <w:p>
            <w:pPr>
              <w:jc w:val="center"/>
              <w:rPr>
                <w:color w:val="auto"/>
                <w:sz w:val="24"/>
                <w:szCs w:val="24"/>
                <w:highlight w:val="none"/>
              </w:rPr>
            </w:pPr>
            <w:r>
              <w:rPr>
                <w:color w:val="auto"/>
                <w:sz w:val="24"/>
                <w:szCs w:val="24"/>
                <w:highlight w:val="none"/>
              </w:rPr>
            </w:r>
            <w:r/>
          </w:p>
        </w:tc>
        <w:tc>
          <w:tcPr>
            <w:tcW w:w="1173" w:type="dxa"/>
            <w:textDirection w:val="lrTb"/>
            <w:noWrap w:val="false"/>
          </w:tcPr>
          <w:p>
            <w:pPr>
              <w:jc w:val="center"/>
              <w:rPr>
                <w:color w:val="auto"/>
                <w:sz w:val="24"/>
                <w:szCs w:val="24"/>
                <w:highlight w:val="none"/>
              </w:rPr>
            </w:pPr>
            <w:r>
              <w:rPr>
                <w:color w:val="auto"/>
                <w:sz w:val="24"/>
                <w:szCs w:val="24"/>
                <w:highlight w:val="none"/>
              </w:rPr>
            </w:r>
            <w:r/>
          </w:p>
        </w:tc>
      </w:tr>
    </w:tbl>
    <w:p>
      <w:pPr>
        <w:rPr>
          <w:color w:val="auto"/>
          <w:sz w:val="24"/>
          <w:szCs w:val="24"/>
          <w:highlight w:val="none"/>
        </w:rPr>
      </w:pPr>
      <w:r>
        <w:rPr>
          <w:rFonts w:hint="eastAsia"/>
          <w:color w:val="auto"/>
          <w:sz w:val="24"/>
          <w:szCs w:val="24"/>
          <w:highlight w:val="none"/>
        </w:rPr>
        <w:t xml:space="preserve">注： 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bookmarkEnd w:id="44"/>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黑体" w:eastAsia="黑体"/>
          <w:b/>
          <w:color w:val="auto"/>
          <w:sz w:val="32"/>
          <w:szCs w:val="32"/>
          <w:highlight w:val="none"/>
        </w:rPr>
      </w:pPr>
      <w:r/>
      <w:bookmarkStart w:id="49" w:name="_Hlt26955054"/>
      <w:r/>
      <w:bookmarkEnd w:id="49"/>
      <w:r>
        <w:rPr>
          <w:rFonts w:hint="eastAsia" w:ascii="黑体" w:hAnsi="黑体" w:eastAsia="黑体"/>
          <w:b/>
          <w:color w:val="auto"/>
          <w:sz w:val="32"/>
          <w:szCs w:val="32"/>
          <w:highlight w:val="none"/>
        </w:rPr>
        <w:br w:type="page" w:clear="all"/>
      </w:r>
      <w:r/>
    </w:p>
    <w:p>
      <w:pPr>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十</w:t>
      </w:r>
      <w:r>
        <w:rPr>
          <w:rFonts w:hint="eastAsia" w:ascii="黑体" w:hAnsi="黑体" w:eastAsia="黑体"/>
          <w:b/>
          <w:color w:val="auto"/>
          <w:sz w:val="32"/>
          <w:szCs w:val="32"/>
          <w:highlight w:val="none"/>
          <w:lang w:val="en-US"/>
        </w:rPr>
        <w:t xml:space="preserve">四</w:t>
      </w:r>
      <w:r>
        <w:rPr>
          <w:rFonts w:hint="eastAsia" w:ascii="黑体" w:hAnsi="黑体" w:eastAsia="黑体"/>
          <w:b/>
          <w:color w:val="auto"/>
          <w:sz w:val="32"/>
          <w:szCs w:val="32"/>
          <w:highlight w:val="none"/>
        </w:rPr>
        <w:t xml:space="preserve">、商务要求响应及偏离表（分包号：**）</w:t>
      </w:r>
      <w:r/>
    </w:p>
    <w:tbl>
      <w:tblPr>
        <w:tblStyle w:val="747"/>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color w:val="auto"/>
                <w:sz w:val="24"/>
                <w:szCs w:val="24"/>
                <w:highlight w:val="none"/>
              </w:rPr>
            </w:pPr>
            <w:r/>
            <w:bookmarkStart w:id="50" w:name="_Hlt26955064"/>
            <w:r/>
            <w:bookmarkEnd w:id="50"/>
            <w:r/>
            <w:bookmarkStart w:id="51" w:name="_Hlt26671343"/>
            <w:r/>
            <w:bookmarkEnd w:id="51"/>
            <w:r/>
            <w:bookmarkStart w:id="52" w:name="_Hlt26671372"/>
            <w:r/>
            <w:bookmarkEnd w:id="52"/>
            <w:r/>
            <w:bookmarkStart w:id="53" w:name="_Hlt26955056"/>
            <w:r/>
            <w:bookmarkEnd w:id="53"/>
            <w:r/>
            <w:bookmarkStart w:id="54" w:name="_Hlt26580838"/>
            <w:r/>
            <w:bookmarkEnd w:id="54"/>
            <w:r/>
            <w:bookmarkStart w:id="55" w:name="_Hlt26609391"/>
            <w:r/>
            <w:bookmarkEnd w:id="55"/>
            <w:r/>
            <w:bookmarkStart w:id="56" w:name="_Hlt24879081"/>
            <w:r/>
            <w:bookmarkEnd w:id="56"/>
            <w:r/>
            <w:bookmarkStart w:id="57" w:name="_Hlt26782999"/>
            <w:r/>
            <w:bookmarkEnd w:id="57"/>
            <w:r>
              <w:rPr>
                <w:rFonts w:hint="eastAsia"/>
                <w:color w:val="auto"/>
                <w:sz w:val="24"/>
                <w:szCs w:val="24"/>
                <w:highlight w:val="none"/>
              </w:rPr>
              <w:t xml:space="preserve">序号</w:t>
            </w:r>
            <w:r/>
          </w:p>
        </w:tc>
        <w:tc>
          <w:tcPr>
            <w:tcW w:w="2688"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招标文件要求</w:t>
            </w:r>
            <w:r/>
          </w:p>
        </w:tc>
        <w:tc>
          <w:tcPr>
            <w:tcW w:w="2883"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投标响应情况</w:t>
            </w:r>
            <w:r/>
          </w:p>
        </w:tc>
        <w:tc>
          <w:tcPr>
            <w:tcW w:w="1302"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超出、符合或偏离</w:t>
            </w:r>
            <w:r/>
          </w:p>
        </w:tc>
        <w:tc>
          <w:tcPr>
            <w:tcW w:w="1614"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证明</w:t>
            </w:r>
            <w:r/>
          </w:p>
          <w:p>
            <w:pPr>
              <w:jc w:val="center"/>
              <w:rPr>
                <w:color w:val="auto"/>
                <w:sz w:val="24"/>
                <w:szCs w:val="24"/>
                <w:highlight w:val="none"/>
              </w:rPr>
            </w:pPr>
            <w:r>
              <w:rPr>
                <w:rFonts w:hint="eastAsia"/>
                <w:color w:val="auto"/>
                <w:sz w:val="24"/>
                <w:szCs w:val="24"/>
                <w:highlight w:val="none"/>
              </w:rPr>
              <w:t xml:space="preserve">材料</w:t>
            </w:r>
            <w:r/>
          </w:p>
        </w:tc>
      </w:tr>
      <w:tr>
        <w:trPr>
          <w:cantSplit/>
          <w:trHeight w:val="640"/>
        </w:trPr>
        <w:tc>
          <w:tcPr>
            <w:tcW w:w="682" w:type="dxa"/>
            <w:textDirection w:val="lrTb"/>
            <w:noWrap w:val="false"/>
          </w:tcPr>
          <w:p>
            <w:pPr>
              <w:jc w:val="center"/>
              <w:rPr>
                <w:color w:val="auto"/>
                <w:sz w:val="24"/>
                <w:szCs w:val="24"/>
                <w:highlight w:val="none"/>
              </w:rPr>
            </w:pPr>
            <w:r>
              <w:rPr>
                <w:color w:val="auto"/>
                <w:sz w:val="24"/>
                <w:szCs w:val="24"/>
                <w:highlight w:val="none"/>
              </w:rPr>
            </w:r>
            <w:r/>
          </w:p>
        </w:tc>
        <w:tc>
          <w:tcPr>
            <w:tcW w:w="2688" w:type="dxa"/>
            <w:textDirection w:val="lrTb"/>
            <w:noWrap w:val="false"/>
          </w:tcPr>
          <w:p>
            <w:pPr>
              <w:jc w:val="center"/>
              <w:rPr>
                <w:color w:val="auto"/>
                <w:sz w:val="24"/>
                <w:szCs w:val="24"/>
                <w:highlight w:val="none"/>
              </w:rPr>
            </w:pPr>
            <w:r>
              <w:rPr>
                <w:color w:val="auto"/>
                <w:sz w:val="24"/>
                <w:szCs w:val="24"/>
                <w:highlight w:val="none"/>
              </w:rPr>
            </w:r>
            <w:r/>
          </w:p>
        </w:tc>
        <w:tc>
          <w:tcPr>
            <w:tcW w:w="2883" w:type="dxa"/>
            <w:textDirection w:val="lrTb"/>
            <w:noWrap w:val="false"/>
          </w:tcPr>
          <w:p>
            <w:pPr>
              <w:jc w:val="center"/>
              <w:rPr>
                <w:color w:val="auto"/>
                <w:sz w:val="24"/>
                <w:szCs w:val="24"/>
                <w:highlight w:val="none"/>
              </w:rPr>
            </w:pPr>
            <w:r>
              <w:rPr>
                <w:color w:val="auto"/>
                <w:sz w:val="24"/>
                <w:szCs w:val="24"/>
                <w:highlight w:val="none"/>
              </w:rPr>
            </w:r>
            <w:r/>
          </w:p>
        </w:tc>
        <w:tc>
          <w:tcPr>
            <w:tcW w:w="1302" w:type="dxa"/>
            <w:textDirection w:val="lrTb"/>
            <w:noWrap w:val="false"/>
          </w:tcPr>
          <w:p>
            <w:pPr>
              <w:jc w:val="center"/>
              <w:rPr>
                <w:color w:val="auto"/>
                <w:sz w:val="24"/>
                <w:szCs w:val="24"/>
                <w:highlight w:val="none"/>
              </w:rPr>
            </w:pPr>
            <w:r>
              <w:rPr>
                <w:color w:val="auto"/>
                <w:sz w:val="24"/>
                <w:szCs w:val="24"/>
                <w:highlight w:val="none"/>
              </w:rPr>
            </w:r>
            <w:r/>
          </w:p>
        </w:tc>
        <w:tc>
          <w:tcPr>
            <w:tcW w:w="1614" w:type="dxa"/>
            <w:textDirection w:val="lrTb"/>
            <w:noWrap w:val="false"/>
          </w:tcPr>
          <w:p>
            <w:pPr>
              <w:jc w:val="center"/>
              <w:rPr>
                <w:color w:val="auto"/>
                <w:sz w:val="24"/>
                <w:szCs w:val="24"/>
                <w:highlight w:val="none"/>
              </w:rPr>
            </w:pPr>
            <w:r>
              <w:rPr>
                <w:color w:val="auto"/>
                <w:sz w:val="24"/>
                <w:szCs w:val="24"/>
                <w:highlight w:val="none"/>
              </w:rPr>
            </w:r>
            <w:r/>
          </w:p>
        </w:tc>
      </w:tr>
      <w:tr>
        <w:trPr>
          <w:cantSplit/>
          <w:trHeight w:val="640"/>
        </w:trPr>
        <w:tc>
          <w:tcPr>
            <w:tcW w:w="682" w:type="dxa"/>
            <w:textDirection w:val="lrTb"/>
            <w:noWrap w:val="false"/>
          </w:tcPr>
          <w:p>
            <w:pPr>
              <w:jc w:val="center"/>
              <w:rPr>
                <w:color w:val="auto"/>
                <w:sz w:val="24"/>
                <w:szCs w:val="24"/>
                <w:highlight w:val="none"/>
              </w:rPr>
            </w:pPr>
            <w:r>
              <w:rPr>
                <w:color w:val="auto"/>
                <w:sz w:val="24"/>
                <w:szCs w:val="24"/>
                <w:highlight w:val="none"/>
              </w:rPr>
            </w:r>
            <w:r/>
          </w:p>
        </w:tc>
        <w:tc>
          <w:tcPr>
            <w:tcW w:w="2688" w:type="dxa"/>
            <w:textDirection w:val="lrTb"/>
            <w:noWrap w:val="false"/>
          </w:tcPr>
          <w:p>
            <w:pPr>
              <w:jc w:val="center"/>
              <w:rPr>
                <w:color w:val="auto"/>
                <w:sz w:val="24"/>
                <w:szCs w:val="24"/>
                <w:highlight w:val="none"/>
              </w:rPr>
            </w:pPr>
            <w:r>
              <w:rPr>
                <w:color w:val="auto"/>
                <w:sz w:val="24"/>
                <w:szCs w:val="24"/>
                <w:highlight w:val="none"/>
              </w:rPr>
            </w:r>
            <w:r/>
          </w:p>
        </w:tc>
        <w:tc>
          <w:tcPr>
            <w:tcW w:w="2883" w:type="dxa"/>
            <w:textDirection w:val="lrTb"/>
            <w:noWrap w:val="false"/>
          </w:tcPr>
          <w:p>
            <w:pPr>
              <w:jc w:val="center"/>
              <w:rPr>
                <w:color w:val="auto"/>
                <w:sz w:val="24"/>
                <w:szCs w:val="24"/>
                <w:highlight w:val="none"/>
              </w:rPr>
            </w:pPr>
            <w:r>
              <w:rPr>
                <w:color w:val="auto"/>
                <w:sz w:val="24"/>
                <w:szCs w:val="24"/>
                <w:highlight w:val="none"/>
              </w:rPr>
            </w:r>
            <w:r/>
          </w:p>
        </w:tc>
        <w:tc>
          <w:tcPr>
            <w:tcW w:w="1302" w:type="dxa"/>
            <w:textDirection w:val="lrTb"/>
            <w:noWrap w:val="false"/>
          </w:tcPr>
          <w:p>
            <w:pPr>
              <w:jc w:val="center"/>
              <w:rPr>
                <w:color w:val="auto"/>
                <w:sz w:val="24"/>
                <w:szCs w:val="24"/>
                <w:highlight w:val="none"/>
              </w:rPr>
            </w:pPr>
            <w:r>
              <w:rPr>
                <w:color w:val="auto"/>
                <w:sz w:val="24"/>
                <w:szCs w:val="24"/>
                <w:highlight w:val="none"/>
              </w:rPr>
            </w:r>
            <w:r/>
          </w:p>
        </w:tc>
        <w:tc>
          <w:tcPr>
            <w:tcW w:w="1614" w:type="dxa"/>
            <w:textDirection w:val="lrTb"/>
            <w:noWrap w:val="false"/>
          </w:tcPr>
          <w:p>
            <w:pPr>
              <w:jc w:val="center"/>
              <w:rPr>
                <w:color w:val="auto"/>
                <w:sz w:val="24"/>
                <w:szCs w:val="24"/>
                <w:highlight w:val="none"/>
              </w:rPr>
            </w:pPr>
            <w:r>
              <w:rPr>
                <w:color w:val="auto"/>
                <w:sz w:val="24"/>
                <w:szCs w:val="24"/>
                <w:highlight w:val="none"/>
              </w:rPr>
            </w:r>
            <w:r/>
          </w:p>
        </w:tc>
      </w:tr>
      <w:tr>
        <w:trPr>
          <w:cantSplit/>
          <w:trHeight w:val="640"/>
        </w:trPr>
        <w:tc>
          <w:tcPr>
            <w:tcW w:w="682" w:type="dxa"/>
            <w:textDirection w:val="lrTb"/>
            <w:noWrap w:val="false"/>
          </w:tcPr>
          <w:p>
            <w:pPr>
              <w:jc w:val="center"/>
              <w:rPr>
                <w:color w:val="auto"/>
                <w:sz w:val="24"/>
                <w:szCs w:val="24"/>
                <w:highlight w:val="none"/>
              </w:rPr>
            </w:pPr>
            <w:r>
              <w:rPr>
                <w:color w:val="auto"/>
                <w:sz w:val="24"/>
                <w:szCs w:val="24"/>
                <w:highlight w:val="none"/>
              </w:rPr>
            </w:r>
            <w:r/>
          </w:p>
        </w:tc>
        <w:tc>
          <w:tcPr>
            <w:tcW w:w="2688" w:type="dxa"/>
            <w:textDirection w:val="lrTb"/>
            <w:noWrap w:val="false"/>
          </w:tcPr>
          <w:p>
            <w:pPr>
              <w:jc w:val="center"/>
              <w:rPr>
                <w:color w:val="auto"/>
                <w:sz w:val="24"/>
                <w:szCs w:val="24"/>
                <w:highlight w:val="none"/>
              </w:rPr>
            </w:pPr>
            <w:r>
              <w:rPr>
                <w:color w:val="auto"/>
                <w:sz w:val="24"/>
                <w:szCs w:val="24"/>
                <w:highlight w:val="none"/>
              </w:rPr>
            </w:r>
            <w:r/>
          </w:p>
        </w:tc>
        <w:tc>
          <w:tcPr>
            <w:tcW w:w="2883" w:type="dxa"/>
            <w:textDirection w:val="lrTb"/>
            <w:noWrap w:val="false"/>
          </w:tcPr>
          <w:p>
            <w:pPr>
              <w:jc w:val="center"/>
              <w:rPr>
                <w:color w:val="auto"/>
                <w:sz w:val="24"/>
                <w:szCs w:val="24"/>
                <w:highlight w:val="none"/>
              </w:rPr>
            </w:pPr>
            <w:r>
              <w:rPr>
                <w:color w:val="auto"/>
                <w:sz w:val="24"/>
                <w:szCs w:val="24"/>
                <w:highlight w:val="none"/>
              </w:rPr>
            </w:r>
            <w:r/>
          </w:p>
        </w:tc>
        <w:tc>
          <w:tcPr>
            <w:tcW w:w="1302" w:type="dxa"/>
            <w:textDirection w:val="lrTb"/>
            <w:noWrap w:val="false"/>
          </w:tcPr>
          <w:p>
            <w:pPr>
              <w:jc w:val="center"/>
              <w:rPr>
                <w:color w:val="auto"/>
                <w:sz w:val="24"/>
                <w:szCs w:val="24"/>
                <w:highlight w:val="none"/>
              </w:rPr>
            </w:pPr>
            <w:r>
              <w:rPr>
                <w:color w:val="auto"/>
                <w:sz w:val="24"/>
                <w:szCs w:val="24"/>
                <w:highlight w:val="none"/>
              </w:rPr>
            </w:r>
            <w:r/>
          </w:p>
        </w:tc>
        <w:tc>
          <w:tcPr>
            <w:tcW w:w="1614" w:type="dxa"/>
            <w:textDirection w:val="lrTb"/>
            <w:noWrap w:val="false"/>
          </w:tcPr>
          <w:p>
            <w:pPr>
              <w:jc w:val="center"/>
              <w:rPr>
                <w:color w:val="auto"/>
                <w:sz w:val="24"/>
                <w:szCs w:val="24"/>
                <w:highlight w:val="none"/>
              </w:rPr>
            </w:pPr>
            <w:r>
              <w:rPr>
                <w:color w:val="auto"/>
                <w:sz w:val="24"/>
                <w:szCs w:val="24"/>
                <w:highlight w:val="none"/>
              </w:rPr>
            </w:r>
            <w:r/>
          </w:p>
        </w:tc>
      </w:tr>
      <w:tr>
        <w:trPr>
          <w:cantSplit/>
          <w:trHeight w:val="640"/>
        </w:trPr>
        <w:tc>
          <w:tcPr>
            <w:tcW w:w="682" w:type="dxa"/>
            <w:textDirection w:val="lrTb"/>
            <w:noWrap w:val="false"/>
          </w:tcPr>
          <w:p>
            <w:pPr>
              <w:jc w:val="center"/>
              <w:rPr>
                <w:color w:val="auto"/>
                <w:sz w:val="24"/>
                <w:szCs w:val="24"/>
                <w:highlight w:val="none"/>
              </w:rPr>
            </w:pPr>
            <w:r>
              <w:rPr>
                <w:color w:val="auto"/>
                <w:sz w:val="24"/>
                <w:szCs w:val="24"/>
                <w:highlight w:val="none"/>
              </w:rPr>
            </w:r>
            <w:r/>
          </w:p>
        </w:tc>
        <w:tc>
          <w:tcPr>
            <w:tcW w:w="2688" w:type="dxa"/>
            <w:textDirection w:val="lrTb"/>
            <w:noWrap w:val="false"/>
          </w:tcPr>
          <w:p>
            <w:pPr>
              <w:jc w:val="center"/>
              <w:rPr>
                <w:color w:val="auto"/>
                <w:sz w:val="24"/>
                <w:szCs w:val="24"/>
                <w:highlight w:val="none"/>
              </w:rPr>
            </w:pPr>
            <w:r>
              <w:rPr>
                <w:color w:val="auto"/>
                <w:sz w:val="24"/>
                <w:szCs w:val="24"/>
                <w:highlight w:val="none"/>
              </w:rPr>
            </w:r>
            <w:r/>
          </w:p>
        </w:tc>
        <w:tc>
          <w:tcPr>
            <w:tcW w:w="2883" w:type="dxa"/>
            <w:textDirection w:val="lrTb"/>
            <w:noWrap w:val="false"/>
          </w:tcPr>
          <w:p>
            <w:pPr>
              <w:jc w:val="center"/>
              <w:rPr>
                <w:color w:val="auto"/>
                <w:sz w:val="24"/>
                <w:szCs w:val="24"/>
                <w:highlight w:val="none"/>
              </w:rPr>
            </w:pPr>
            <w:r>
              <w:rPr>
                <w:color w:val="auto"/>
                <w:sz w:val="24"/>
                <w:szCs w:val="24"/>
                <w:highlight w:val="none"/>
              </w:rPr>
            </w:r>
            <w:r/>
          </w:p>
        </w:tc>
        <w:tc>
          <w:tcPr>
            <w:tcW w:w="1302" w:type="dxa"/>
            <w:textDirection w:val="lrTb"/>
            <w:noWrap w:val="false"/>
          </w:tcPr>
          <w:p>
            <w:pPr>
              <w:jc w:val="center"/>
              <w:rPr>
                <w:color w:val="auto"/>
                <w:sz w:val="24"/>
                <w:szCs w:val="24"/>
                <w:highlight w:val="none"/>
              </w:rPr>
            </w:pPr>
            <w:r>
              <w:rPr>
                <w:color w:val="auto"/>
                <w:sz w:val="24"/>
                <w:szCs w:val="24"/>
                <w:highlight w:val="none"/>
              </w:rPr>
            </w:r>
            <w:r/>
          </w:p>
        </w:tc>
        <w:tc>
          <w:tcPr>
            <w:tcW w:w="1614" w:type="dxa"/>
            <w:textDirection w:val="lrTb"/>
            <w:noWrap w:val="false"/>
          </w:tcPr>
          <w:p>
            <w:pPr>
              <w:jc w:val="center"/>
              <w:rPr>
                <w:color w:val="auto"/>
                <w:sz w:val="24"/>
                <w:szCs w:val="24"/>
                <w:highlight w:val="none"/>
              </w:rPr>
            </w:pPr>
            <w:r>
              <w:rPr>
                <w:color w:val="auto"/>
                <w:sz w:val="24"/>
                <w:szCs w:val="24"/>
                <w:highlight w:val="none"/>
              </w:rPr>
            </w:r>
            <w:r/>
          </w:p>
        </w:tc>
      </w:tr>
      <w:tr>
        <w:trPr>
          <w:cantSplit/>
          <w:trHeight w:val="640"/>
        </w:trPr>
        <w:tc>
          <w:tcPr>
            <w:tcW w:w="682" w:type="dxa"/>
            <w:textDirection w:val="lrTb"/>
            <w:noWrap w:val="false"/>
          </w:tcPr>
          <w:p>
            <w:pPr>
              <w:jc w:val="center"/>
              <w:rPr>
                <w:color w:val="auto"/>
                <w:sz w:val="24"/>
                <w:szCs w:val="24"/>
                <w:highlight w:val="none"/>
              </w:rPr>
            </w:pPr>
            <w:r>
              <w:rPr>
                <w:color w:val="auto"/>
                <w:sz w:val="24"/>
                <w:szCs w:val="24"/>
                <w:highlight w:val="none"/>
              </w:rPr>
            </w:r>
            <w:r/>
          </w:p>
        </w:tc>
        <w:tc>
          <w:tcPr>
            <w:tcW w:w="2688" w:type="dxa"/>
            <w:textDirection w:val="lrTb"/>
            <w:noWrap w:val="false"/>
          </w:tcPr>
          <w:p>
            <w:pPr>
              <w:jc w:val="center"/>
              <w:rPr>
                <w:color w:val="auto"/>
                <w:sz w:val="24"/>
                <w:szCs w:val="24"/>
                <w:highlight w:val="none"/>
              </w:rPr>
            </w:pPr>
            <w:r>
              <w:rPr>
                <w:color w:val="auto"/>
                <w:sz w:val="24"/>
                <w:szCs w:val="24"/>
                <w:highlight w:val="none"/>
              </w:rPr>
            </w:r>
            <w:r/>
          </w:p>
        </w:tc>
        <w:tc>
          <w:tcPr>
            <w:tcW w:w="2883" w:type="dxa"/>
            <w:textDirection w:val="lrTb"/>
            <w:noWrap w:val="false"/>
          </w:tcPr>
          <w:p>
            <w:pPr>
              <w:jc w:val="center"/>
              <w:rPr>
                <w:color w:val="auto"/>
                <w:sz w:val="24"/>
                <w:szCs w:val="24"/>
                <w:highlight w:val="none"/>
              </w:rPr>
            </w:pPr>
            <w:r>
              <w:rPr>
                <w:color w:val="auto"/>
                <w:sz w:val="24"/>
                <w:szCs w:val="24"/>
                <w:highlight w:val="none"/>
              </w:rPr>
            </w:r>
            <w:r/>
          </w:p>
        </w:tc>
        <w:tc>
          <w:tcPr>
            <w:tcW w:w="1302" w:type="dxa"/>
            <w:textDirection w:val="lrTb"/>
            <w:noWrap w:val="false"/>
          </w:tcPr>
          <w:p>
            <w:pPr>
              <w:jc w:val="center"/>
              <w:rPr>
                <w:color w:val="auto"/>
                <w:sz w:val="24"/>
                <w:szCs w:val="24"/>
                <w:highlight w:val="none"/>
              </w:rPr>
            </w:pPr>
            <w:r>
              <w:rPr>
                <w:color w:val="auto"/>
                <w:sz w:val="24"/>
                <w:szCs w:val="24"/>
                <w:highlight w:val="none"/>
              </w:rPr>
            </w:r>
            <w:r/>
          </w:p>
        </w:tc>
        <w:tc>
          <w:tcPr>
            <w:tcW w:w="1614" w:type="dxa"/>
            <w:textDirection w:val="lrTb"/>
            <w:noWrap w:val="false"/>
          </w:tcPr>
          <w:p>
            <w:pPr>
              <w:jc w:val="center"/>
              <w:rPr>
                <w:color w:val="auto"/>
                <w:sz w:val="24"/>
                <w:szCs w:val="24"/>
                <w:highlight w:val="none"/>
              </w:rPr>
            </w:pPr>
            <w:r>
              <w:rPr>
                <w:color w:val="auto"/>
                <w:sz w:val="24"/>
                <w:szCs w:val="24"/>
                <w:highlight w:val="none"/>
              </w:rPr>
            </w:r>
            <w:r/>
          </w:p>
        </w:tc>
      </w:tr>
      <w:tr>
        <w:trPr>
          <w:cantSplit/>
          <w:trHeight w:val="640"/>
        </w:trPr>
        <w:tc>
          <w:tcPr>
            <w:tcW w:w="682" w:type="dxa"/>
            <w:textDirection w:val="lrTb"/>
            <w:noWrap w:val="false"/>
          </w:tcPr>
          <w:p>
            <w:pPr>
              <w:jc w:val="center"/>
              <w:rPr>
                <w:color w:val="auto"/>
                <w:sz w:val="24"/>
                <w:szCs w:val="24"/>
                <w:highlight w:val="none"/>
              </w:rPr>
            </w:pPr>
            <w:r>
              <w:rPr>
                <w:color w:val="auto"/>
                <w:sz w:val="24"/>
                <w:szCs w:val="24"/>
                <w:highlight w:val="none"/>
              </w:rPr>
            </w:r>
            <w:r/>
          </w:p>
        </w:tc>
        <w:tc>
          <w:tcPr>
            <w:tcW w:w="2688" w:type="dxa"/>
            <w:textDirection w:val="lrTb"/>
            <w:noWrap w:val="false"/>
          </w:tcPr>
          <w:p>
            <w:pPr>
              <w:jc w:val="center"/>
              <w:rPr>
                <w:color w:val="auto"/>
                <w:sz w:val="24"/>
                <w:szCs w:val="24"/>
                <w:highlight w:val="none"/>
              </w:rPr>
            </w:pPr>
            <w:r>
              <w:rPr>
                <w:color w:val="auto"/>
                <w:sz w:val="24"/>
                <w:szCs w:val="24"/>
                <w:highlight w:val="none"/>
              </w:rPr>
            </w:r>
            <w:r/>
          </w:p>
        </w:tc>
        <w:tc>
          <w:tcPr>
            <w:tcW w:w="2883" w:type="dxa"/>
            <w:textDirection w:val="lrTb"/>
            <w:noWrap w:val="false"/>
          </w:tcPr>
          <w:p>
            <w:pPr>
              <w:jc w:val="center"/>
              <w:rPr>
                <w:color w:val="auto"/>
                <w:sz w:val="24"/>
                <w:szCs w:val="24"/>
                <w:highlight w:val="none"/>
              </w:rPr>
            </w:pPr>
            <w:r>
              <w:rPr>
                <w:color w:val="auto"/>
                <w:sz w:val="24"/>
                <w:szCs w:val="24"/>
                <w:highlight w:val="none"/>
              </w:rPr>
            </w:r>
            <w:r/>
          </w:p>
        </w:tc>
        <w:tc>
          <w:tcPr>
            <w:tcW w:w="1302" w:type="dxa"/>
            <w:textDirection w:val="lrTb"/>
            <w:noWrap w:val="false"/>
          </w:tcPr>
          <w:p>
            <w:pPr>
              <w:jc w:val="center"/>
              <w:rPr>
                <w:color w:val="auto"/>
                <w:sz w:val="24"/>
                <w:szCs w:val="24"/>
                <w:highlight w:val="none"/>
              </w:rPr>
            </w:pPr>
            <w:r>
              <w:rPr>
                <w:color w:val="auto"/>
                <w:sz w:val="24"/>
                <w:szCs w:val="24"/>
                <w:highlight w:val="none"/>
              </w:rPr>
            </w:r>
            <w:r/>
          </w:p>
        </w:tc>
        <w:tc>
          <w:tcPr>
            <w:tcW w:w="1614" w:type="dxa"/>
            <w:textDirection w:val="lrTb"/>
            <w:noWrap w:val="false"/>
          </w:tcPr>
          <w:p>
            <w:pPr>
              <w:jc w:val="center"/>
              <w:rPr>
                <w:color w:val="auto"/>
                <w:sz w:val="24"/>
                <w:szCs w:val="24"/>
                <w:highlight w:val="none"/>
              </w:rPr>
            </w:pPr>
            <w:r>
              <w:rPr>
                <w:color w:val="auto"/>
                <w:sz w:val="24"/>
                <w:szCs w:val="24"/>
                <w:highlight w:val="none"/>
              </w:rPr>
            </w:r>
            <w:r/>
          </w:p>
        </w:tc>
      </w:tr>
      <w:tr>
        <w:trPr>
          <w:cantSplit/>
          <w:trHeight w:val="640"/>
        </w:trPr>
        <w:tc>
          <w:tcPr>
            <w:tcW w:w="682" w:type="dxa"/>
            <w:textDirection w:val="lrTb"/>
            <w:noWrap w:val="false"/>
          </w:tcPr>
          <w:p>
            <w:pPr>
              <w:jc w:val="center"/>
              <w:rPr>
                <w:color w:val="auto"/>
                <w:sz w:val="24"/>
                <w:szCs w:val="24"/>
                <w:highlight w:val="none"/>
              </w:rPr>
            </w:pPr>
            <w:r>
              <w:rPr>
                <w:color w:val="auto"/>
                <w:sz w:val="24"/>
                <w:szCs w:val="24"/>
                <w:highlight w:val="none"/>
              </w:rPr>
            </w:r>
            <w:r/>
          </w:p>
        </w:tc>
        <w:tc>
          <w:tcPr>
            <w:tcW w:w="2688" w:type="dxa"/>
            <w:textDirection w:val="lrTb"/>
            <w:noWrap w:val="false"/>
          </w:tcPr>
          <w:p>
            <w:pPr>
              <w:jc w:val="center"/>
              <w:rPr>
                <w:color w:val="auto"/>
                <w:sz w:val="24"/>
                <w:szCs w:val="24"/>
                <w:highlight w:val="none"/>
              </w:rPr>
            </w:pPr>
            <w:r>
              <w:rPr>
                <w:color w:val="auto"/>
                <w:sz w:val="24"/>
                <w:szCs w:val="24"/>
                <w:highlight w:val="none"/>
              </w:rPr>
            </w:r>
            <w:r/>
          </w:p>
        </w:tc>
        <w:tc>
          <w:tcPr>
            <w:tcW w:w="2883" w:type="dxa"/>
            <w:textDirection w:val="lrTb"/>
            <w:noWrap w:val="false"/>
          </w:tcPr>
          <w:p>
            <w:pPr>
              <w:jc w:val="center"/>
              <w:rPr>
                <w:color w:val="auto"/>
                <w:sz w:val="24"/>
                <w:szCs w:val="24"/>
                <w:highlight w:val="none"/>
              </w:rPr>
            </w:pPr>
            <w:r>
              <w:rPr>
                <w:color w:val="auto"/>
                <w:sz w:val="24"/>
                <w:szCs w:val="24"/>
                <w:highlight w:val="none"/>
              </w:rPr>
            </w:r>
            <w:r/>
          </w:p>
        </w:tc>
        <w:tc>
          <w:tcPr>
            <w:tcW w:w="1302" w:type="dxa"/>
            <w:textDirection w:val="lrTb"/>
            <w:noWrap w:val="false"/>
          </w:tcPr>
          <w:p>
            <w:pPr>
              <w:jc w:val="center"/>
              <w:rPr>
                <w:color w:val="auto"/>
                <w:sz w:val="24"/>
                <w:szCs w:val="24"/>
                <w:highlight w:val="none"/>
              </w:rPr>
            </w:pPr>
            <w:r>
              <w:rPr>
                <w:color w:val="auto"/>
                <w:sz w:val="24"/>
                <w:szCs w:val="24"/>
                <w:highlight w:val="none"/>
              </w:rPr>
            </w:r>
            <w:r/>
          </w:p>
        </w:tc>
        <w:tc>
          <w:tcPr>
            <w:tcW w:w="1614" w:type="dxa"/>
            <w:textDirection w:val="lrTb"/>
            <w:noWrap w:val="false"/>
          </w:tcPr>
          <w:p>
            <w:pPr>
              <w:jc w:val="center"/>
              <w:rPr>
                <w:color w:val="auto"/>
                <w:sz w:val="24"/>
                <w:szCs w:val="24"/>
                <w:highlight w:val="none"/>
              </w:rPr>
            </w:pPr>
            <w:r>
              <w:rPr>
                <w:color w:val="auto"/>
                <w:sz w:val="24"/>
                <w:szCs w:val="24"/>
                <w:highlight w:val="none"/>
              </w:rPr>
            </w:r>
            <w:r/>
          </w:p>
        </w:tc>
      </w:tr>
      <w:tr>
        <w:trPr>
          <w:cantSplit/>
          <w:trHeight w:val="640"/>
        </w:trPr>
        <w:tc>
          <w:tcPr>
            <w:tcW w:w="682" w:type="dxa"/>
            <w:textDirection w:val="lrTb"/>
            <w:noWrap w:val="false"/>
          </w:tcPr>
          <w:p>
            <w:pPr>
              <w:jc w:val="center"/>
              <w:rPr>
                <w:color w:val="auto"/>
                <w:sz w:val="24"/>
                <w:szCs w:val="24"/>
                <w:highlight w:val="none"/>
              </w:rPr>
            </w:pPr>
            <w:r>
              <w:rPr>
                <w:color w:val="auto"/>
                <w:sz w:val="24"/>
                <w:szCs w:val="24"/>
                <w:highlight w:val="none"/>
              </w:rPr>
            </w:r>
            <w:r/>
          </w:p>
        </w:tc>
        <w:tc>
          <w:tcPr>
            <w:tcW w:w="2688" w:type="dxa"/>
            <w:textDirection w:val="lrTb"/>
            <w:noWrap w:val="false"/>
          </w:tcPr>
          <w:p>
            <w:pPr>
              <w:jc w:val="center"/>
              <w:rPr>
                <w:color w:val="auto"/>
                <w:sz w:val="24"/>
                <w:szCs w:val="24"/>
                <w:highlight w:val="none"/>
              </w:rPr>
            </w:pPr>
            <w:r>
              <w:rPr>
                <w:color w:val="auto"/>
                <w:sz w:val="24"/>
                <w:szCs w:val="24"/>
                <w:highlight w:val="none"/>
              </w:rPr>
            </w:r>
            <w:r/>
          </w:p>
        </w:tc>
        <w:tc>
          <w:tcPr>
            <w:tcW w:w="2883" w:type="dxa"/>
            <w:textDirection w:val="lrTb"/>
            <w:noWrap w:val="false"/>
          </w:tcPr>
          <w:p>
            <w:pPr>
              <w:jc w:val="center"/>
              <w:rPr>
                <w:color w:val="auto"/>
                <w:sz w:val="24"/>
                <w:szCs w:val="24"/>
                <w:highlight w:val="none"/>
              </w:rPr>
            </w:pPr>
            <w:r>
              <w:rPr>
                <w:color w:val="auto"/>
                <w:sz w:val="24"/>
                <w:szCs w:val="24"/>
                <w:highlight w:val="none"/>
              </w:rPr>
            </w:r>
            <w:r/>
          </w:p>
        </w:tc>
        <w:tc>
          <w:tcPr>
            <w:tcW w:w="1302" w:type="dxa"/>
            <w:textDirection w:val="lrTb"/>
            <w:noWrap w:val="false"/>
          </w:tcPr>
          <w:p>
            <w:pPr>
              <w:jc w:val="center"/>
              <w:rPr>
                <w:color w:val="auto"/>
                <w:sz w:val="24"/>
                <w:szCs w:val="24"/>
                <w:highlight w:val="none"/>
              </w:rPr>
            </w:pPr>
            <w:r>
              <w:rPr>
                <w:color w:val="auto"/>
                <w:sz w:val="24"/>
                <w:szCs w:val="24"/>
                <w:highlight w:val="none"/>
              </w:rPr>
            </w:r>
            <w:r/>
          </w:p>
        </w:tc>
        <w:tc>
          <w:tcPr>
            <w:tcW w:w="1614" w:type="dxa"/>
            <w:textDirection w:val="lrTb"/>
            <w:noWrap w:val="false"/>
          </w:tcPr>
          <w:p>
            <w:pPr>
              <w:jc w:val="center"/>
              <w:rPr>
                <w:color w:val="auto"/>
                <w:sz w:val="24"/>
                <w:szCs w:val="24"/>
                <w:highlight w:val="none"/>
              </w:rPr>
            </w:pPr>
            <w:r>
              <w:rPr>
                <w:color w:val="auto"/>
                <w:sz w:val="24"/>
                <w:szCs w:val="24"/>
                <w:highlight w:val="none"/>
              </w:rPr>
            </w:r>
            <w:r/>
          </w:p>
        </w:tc>
      </w:tr>
    </w:tbl>
    <w:p>
      <w:pPr>
        <w:rPr>
          <w:color w:val="auto"/>
          <w:sz w:val="24"/>
          <w:szCs w:val="24"/>
          <w:highlight w:val="none"/>
        </w:rPr>
      </w:pPr>
      <w:r>
        <w:rPr>
          <w:rFonts w:hint="eastAsia"/>
          <w:color w:val="auto"/>
          <w:sz w:val="24"/>
          <w:szCs w:val="24"/>
          <w:highlight w:val="none"/>
        </w:rPr>
        <w:t xml:space="preserve">注： 行数不够，可自行添加。</w:t>
      </w:r>
      <w:r/>
    </w:p>
    <w:p>
      <w:pPr>
        <w:spacing w:line="480" w:lineRule="auto"/>
        <w:rPr>
          <w:color w:val="auto"/>
          <w:sz w:val="24"/>
          <w:highlight w:val="none"/>
        </w:rPr>
      </w:pPr>
      <w:r>
        <w:rPr>
          <w:color w:val="auto"/>
          <w:sz w:val="24"/>
          <w:highlight w:val="none"/>
        </w:rPr>
      </w:r>
      <w:r/>
    </w:p>
    <w:p>
      <w:pPr>
        <w:spacing w:line="480" w:lineRule="auto"/>
        <w:rPr>
          <w:rFonts w:ascii="仿宋_GB2312" w:hAnsi="Arial"/>
          <w:color w:val="auto"/>
          <w:sz w:val="30"/>
          <w:highlight w:val="none"/>
        </w:rPr>
      </w:pPr>
      <w:r>
        <w:rPr>
          <w:rFonts w:ascii="仿宋_GB2312" w:hAnsi="Arial"/>
          <w:color w:val="auto"/>
          <w:sz w:val="30"/>
          <w:highlight w:val="none"/>
        </w:rPr>
      </w:r>
      <w:r/>
    </w:p>
    <w:p>
      <w:pPr>
        <w:pStyle w:val="882"/>
        <w:ind w:firstLine="0"/>
        <w:rPr>
          <w:color w:val="auto"/>
          <w:sz w:val="24"/>
          <w:highlight w:val="none"/>
        </w:rPr>
      </w:pPr>
      <w:r/>
      <w:bookmarkStart w:id="58" w:name="_Hlt26671374"/>
      <w:r/>
      <w:bookmarkEnd w:id="58"/>
      <w:r/>
      <w:bookmarkStart w:id="59" w:name="_Hlt26609389"/>
      <w:r/>
      <w:bookmarkEnd w:id="59"/>
      <w:r/>
      <w:bookmarkStart w:id="60" w:name="_Toc462564146"/>
      <w:r/>
      <w:bookmarkEnd w:id="60"/>
      <w:r/>
      <w:bookmarkStart w:id="61" w:name="_Hlt26955066"/>
      <w:r/>
      <w:bookmarkEnd w:id="61"/>
      <w:r/>
      <w:r/>
    </w:p>
    <w:p>
      <w:pPr>
        <w:jc w:val="center"/>
        <w:rPr>
          <w:rFonts w:ascii="黑体" w:hAnsi="黑体" w:eastAsia="黑体"/>
          <w:b/>
          <w:color w:val="auto"/>
          <w:sz w:val="32"/>
          <w:szCs w:val="32"/>
          <w:highlight w:val="none"/>
        </w:rPr>
      </w:pPr>
      <w:r/>
      <w:bookmarkStart w:id="62" w:name="_格式2__法定代表人授权书"/>
      <w:r/>
      <w:bookmarkEnd w:id="62"/>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t xml:space="preserve">十</w:t>
      </w:r>
      <w:r>
        <w:rPr>
          <w:rFonts w:hint="eastAsia" w:ascii="黑体" w:hAnsi="黑体" w:eastAsia="黑体"/>
          <w:b/>
          <w:i/>
          <w:color w:val="auto"/>
          <w:sz w:val="32"/>
          <w:szCs w:val="32"/>
          <w:highlight w:val="none"/>
          <w:u w:val="single"/>
          <w:lang w:val="en-US"/>
        </w:rPr>
        <w:t xml:space="preserve">五</w:t>
      </w:r>
      <w:r>
        <w:rPr>
          <w:rFonts w:hint="eastAsia" w:ascii="黑体" w:hAnsi="黑体" w:eastAsia="黑体"/>
          <w:b/>
          <w:i/>
          <w:color w:val="auto"/>
          <w:sz w:val="32"/>
          <w:szCs w:val="32"/>
          <w:highlight w:val="none"/>
          <w:u w:val="single"/>
        </w:rPr>
        <w:t xml:space="preserve">、开标一览表</w:t>
      </w:r>
      <w:r/>
    </w:p>
    <w:p>
      <w:pPr>
        <w:ind w:firstLine="480"/>
        <w:rPr>
          <w:color w:val="auto"/>
          <w:sz w:val="24"/>
          <w:szCs w:val="24"/>
          <w:highlight w:val="none"/>
        </w:rPr>
      </w:pPr>
      <w:r>
        <w:rPr>
          <w:rFonts w:hint="eastAsia"/>
          <w:color w:val="auto"/>
          <w:sz w:val="24"/>
          <w:szCs w:val="24"/>
          <w:highlight w:val="none"/>
        </w:rPr>
        <w:t xml:space="preserve">投标人全称（加盖CA电子签章）：</w:t>
      </w:r>
      <w:r/>
    </w:p>
    <w:p>
      <w:pPr>
        <w:ind w:firstLine="480"/>
        <w:rPr>
          <w:color w:val="auto"/>
          <w:sz w:val="24"/>
          <w:szCs w:val="24"/>
          <w:highlight w:val="none"/>
        </w:rPr>
      </w:pPr>
      <w:r>
        <w:rPr>
          <w:rFonts w:hint="eastAsia"/>
          <w:color w:val="auto"/>
          <w:sz w:val="24"/>
          <w:szCs w:val="24"/>
          <w:highlight w:val="none"/>
        </w:rPr>
        <w:t xml:space="preserve">项目名称：</w:t>
      </w:r>
      <w:r/>
    </w:p>
    <w:p>
      <w:pPr>
        <w:ind w:firstLine="480"/>
        <w:rPr>
          <w:color w:val="auto"/>
          <w:sz w:val="24"/>
          <w:szCs w:val="24"/>
          <w:highlight w:val="none"/>
        </w:rPr>
      </w:pPr>
      <w:r>
        <w:rPr>
          <w:rFonts w:hint="eastAsia"/>
          <w:color w:val="auto"/>
          <w:sz w:val="24"/>
          <w:szCs w:val="24"/>
          <w:highlight w:val="none"/>
        </w:rPr>
        <w:t xml:space="preserve">项目编号：                                   分包号：</w:t>
      </w:r>
      <w:r/>
    </w:p>
    <w:tbl>
      <w:tblPr>
        <w:tblStyle w:val="747"/>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color w:val="auto"/>
                <w:sz w:val="24"/>
                <w:szCs w:val="24"/>
                <w:highlight w:val="none"/>
              </w:rPr>
            </w:pPr>
            <w:r>
              <w:rPr>
                <w:rFonts w:hint="eastAsia"/>
                <w:color w:val="auto"/>
                <w:sz w:val="24"/>
                <w:szCs w:val="24"/>
                <w:highlight w:val="none"/>
              </w:rPr>
              <w:t xml:space="preserve">投标总报价</w:t>
            </w:r>
            <w:r/>
          </w:p>
        </w:tc>
      </w:tr>
      <w:tr>
        <w:trPr>
          <w:trHeight w:val="612"/>
        </w:trPr>
        <w:tc>
          <w:tcPr>
            <w:tcW w:w="8206" w:type="dxa"/>
            <w:vAlign w:val="center"/>
            <w:vMerge w:val="restart"/>
            <w:textDirection w:val="lrTb"/>
            <w:noWrap w:val="false"/>
          </w:tcPr>
          <w:p>
            <w:pPr>
              <w:pStyle w:val="884"/>
              <w:ind w:firstLine="0"/>
              <w:spacing w:before="0" w:after="0" w:line="500" w:lineRule="exact"/>
              <w:rPr>
                <w:rFonts w:ascii="宋体" w:hAnsi="宋体"/>
                <w:color w:val="auto"/>
                <w:highlight w:val="none"/>
              </w:rPr>
            </w:pPr>
            <w:r>
              <w:rPr>
                <w:rFonts w:hint="eastAsia" w:ascii="宋体" w:hAnsi="宋体"/>
                <w:color w:val="auto"/>
                <w:highlight w:val="none"/>
              </w:rPr>
              <w:t xml:space="preserve">大写：                              （人民币：元）</w:t>
            </w:r>
            <w:r/>
          </w:p>
        </w:tc>
      </w:tr>
      <w:tr>
        <w:trPr>
          <w:cantSplit/>
          <w:trHeight w:val="612"/>
        </w:trPr>
        <w:tc>
          <w:tcPr>
            <w:tcW w:w="8206" w:type="dxa"/>
            <w:vAlign w:val="center"/>
            <w:textDirection w:val="lrTb"/>
            <w:noWrap w:val="false"/>
          </w:tcPr>
          <w:p>
            <w:pPr>
              <w:pStyle w:val="884"/>
              <w:ind w:firstLine="0"/>
              <w:spacing w:before="0" w:after="0" w:line="500" w:lineRule="exact"/>
              <w:rPr>
                <w:rFonts w:ascii="宋体" w:hAnsi="宋体"/>
                <w:color w:val="auto"/>
                <w:szCs w:val="21"/>
                <w:highlight w:val="none"/>
              </w:rPr>
            </w:pPr>
            <w:r>
              <w:rPr>
                <w:rFonts w:hint="eastAsia" w:ascii="宋体" w:hAnsi="宋体"/>
                <w:color w:val="auto"/>
                <w:highlight w:val="none"/>
              </w:rPr>
              <w:t xml:space="preserve">小写：                             （人民币：元）</w:t>
            </w:r>
            <w:r/>
          </w:p>
        </w:tc>
      </w:tr>
    </w:tbl>
    <w:p>
      <w:pPr>
        <w:rPr>
          <w:color w:val="auto"/>
          <w:sz w:val="24"/>
          <w:szCs w:val="24"/>
          <w:highlight w:val="none"/>
        </w:rPr>
      </w:pPr>
      <w:r>
        <w:rPr>
          <w:color w:val="auto"/>
          <w:sz w:val="24"/>
          <w:szCs w:val="24"/>
          <w:highlight w:val="none"/>
        </w:rPr>
      </w:r>
      <w:r/>
    </w:p>
    <w:p>
      <w:pPr>
        <w:ind w:firstLine="480"/>
        <w:rPr>
          <w:color w:val="auto"/>
          <w:sz w:val="24"/>
          <w:szCs w:val="24"/>
          <w:highlight w:val="none"/>
        </w:rPr>
      </w:pPr>
      <w:r>
        <w:rPr>
          <w:rFonts w:hint="eastAsia"/>
          <w:color w:val="auto"/>
          <w:sz w:val="24"/>
          <w:szCs w:val="24"/>
          <w:highlight w:val="none"/>
        </w:rPr>
        <w:t xml:space="preserve">                                       日期：  年月日</w:t>
      </w:r>
      <w:r/>
    </w:p>
    <w:p>
      <w:pPr>
        <w:ind w:firstLine="480"/>
        <w:rPr>
          <w:color w:val="auto"/>
          <w:sz w:val="24"/>
          <w:szCs w:val="24"/>
          <w:highlight w:val="none"/>
        </w:rPr>
      </w:pPr>
      <w:r>
        <w:rPr>
          <w:color w:val="auto"/>
          <w:sz w:val="24"/>
          <w:szCs w:val="24"/>
          <w:highlight w:val="none"/>
        </w:rPr>
      </w:r>
      <w:r/>
    </w:p>
    <w:p>
      <w:pPr>
        <w:ind w:firstLine="480"/>
        <w:rPr>
          <w:color w:val="auto"/>
          <w:sz w:val="24"/>
          <w:szCs w:val="24"/>
          <w:highlight w:val="none"/>
        </w:rPr>
      </w:pPr>
      <w:r>
        <w:rPr>
          <w:color w:val="auto"/>
          <w:sz w:val="24"/>
          <w:szCs w:val="24"/>
          <w:highlight w:val="none"/>
        </w:rPr>
      </w:r>
      <w:r/>
    </w:p>
    <w:p>
      <w:pPr>
        <w:ind w:firstLine="480"/>
        <w:rPr>
          <w:color w:val="auto"/>
          <w:sz w:val="24"/>
          <w:szCs w:val="24"/>
          <w:highlight w:val="none"/>
        </w:rPr>
      </w:pPr>
      <w:r>
        <w:rPr>
          <w:color w:val="auto"/>
          <w:sz w:val="24"/>
          <w:szCs w:val="24"/>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rPr>
          <w:rFonts w:ascii="黑体" w:hAnsi="黑体" w:eastAsia="黑体"/>
          <w:b/>
          <w:iCs/>
          <w:color w:val="auto"/>
          <w:sz w:val="32"/>
          <w:szCs w:val="32"/>
          <w:highlight w:val="none"/>
        </w:rPr>
      </w:pPr>
      <w:r>
        <w:rPr>
          <w:rFonts w:hint="eastAsia" w:ascii="黑体" w:hAnsi="黑体" w:eastAsia="黑体"/>
          <w:b/>
          <w:iCs/>
          <w:color w:val="auto"/>
          <w:sz w:val="32"/>
          <w:szCs w:val="32"/>
          <w:highlight w:val="none"/>
        </w:rPr>
        <w:t xml:space="preserve">十六、主要标的信息</w:t>
      </w:r>
      <w:r/>
    </w:p>
    <w:p>
      <w:pPr>
        <w:jc w:val="center"/>
        <w:spacing w:before="312" w:line="360" w:lineRule="auto"/>
        <w:rPr>
          <w:b/>
          <w:color w:val="auto"/>
          <w:highlight w:val="none"/>
        </w:rPr>
      </w:pPr>
      <w:r>
        <w:rPr>
          <w:rFonts w:hint="eastAsia"/>
          <w:b/>
          <w:color w:val="auto"/>
          <w:highlight w:val="none"/>
        </w:rPr>
        <w:t xml:space="preserve">主要标的信息（中标后将公示）</w:t>
      </w:r>
      <w:r/>
    </w:p>
    <w:p>
      <w:pPr>
        <w:spacing w:after="312" w:line="360" w:lineRule="auto"/>
        <w:rPr>
          <w:b/>
          <w:color w:val="auto"/>
          <w:highlight w:val="none"/>
        </w:rPr>
      </w:pPr>
      <w:r>
        <w:rPr>
          <w:rFonts w:hint="eastAsia"/>
          <w:color w:val="auto"/>
          <w:highlight w:val="none"/>
        </w:rPr>
        <w:t xml:space="preserve">投标人全称：</w:t>
      </w:r>
      <w:r/>
    </w:p>
    <w:tbl>
      <w:tblPr>
        <w:tblStyle w:val="747"/>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color w:val="auto"/>
                <w:highlight w:val="none"/>
              </w:rPr>
            </w:pPr>
            <w:r>
              <w:rPr>
                <w:rFonts w:hint="eastAsia"/>
                <w:color w:val="auto"/>
                <w:highlight w:val="none"/>
              </w:rPr>
              <w:t xml:space="preserve">货物类</w:t>
            </w:r>
            <w:r/>
          </w:p>
        </w:tc>
        <w:tc>
          <w:tcPr>
            <w:tcW w:w="3780" w:type="dxa"/>
            <w:textDirection w:val="lrTb"/>
            <w:noWrap w:val="false"/>
          </w:tcPr>
          <w:p>
            <w:pPr>
              <w:jc w:val="center"/>
              <w:rPr>
                <w:color w:val="auto"/>
                <w:highlight w:val="none"/>
              </w:rPr>
            </w:pPr>
            <w:r>
              <w:rPr>
                <w:rFonts w:hint="eastAsia"/>
                <w:color w:val="auto"/>
                <w:highlight w:val="none"/>
              </w:rPr>
              <w:t xml:space="preserve">服务类</w:t>
            </w:r>
            <w:r/>
          </w:p>
        </w:tc>
      </w:tr>
      <w:tr>
        <w:trPr>
          <w:trHeight w:val="3810"/>
        </w:trPr>
        <w:tc>
          <w:tcPr>
            <w:tcW w:w="3901" w:type="dxa"/>
            <w:textDirection w:val="lrTb"/>
            <w:noWrap w:val="false"/>
          </w:tcPr>
          <w:p>
            <w:pPr>
              <w:spacing w:line="360" w:lineRule="auto"/>
              <w:rPr>
                <w:color w:val="auto"/>
                <w:highlight w:val="none"/>
              </w:rPr>
            </w:pPr>
            <w:r>
              <w:rPr>
                <w:rFonts w:hint="eastAsia"/>
                <w:color w:val="auto"/>
                <w:highlight w:val="none"/>
              </w:rPr>
              <w:t xml:space="preserve">名称：</w:t>
            </w:r>
            <w:r/>
          </w:p>
          <w:p>
            <w:pPr>
              <w:spacing w:line="360" w:lineRule="auto"/>
              <w:rPr>
                <w:color w:val="auto"/>
                <w:highlight w:val="none"/>
              </w:rPr>
            </w:pPr>
            <w:r>
              <w:rPr>
                <w:rFonts w:hint="eastAsia"/>
                <w:color w:val="auto"/>
                <w:highlight w:val="none"/>
              </w:rPr>
              <w:t xml:space="preserve">品牌（如有）：</w:t>
            </w:r>
            <w:r/>
          </w:p>
          <w:p>
            <w:pPr>
              <w:spacing w:line="360" w:lineRule="auto"/>
              <w:rPr>
                <w:color w:val="auto"/>
                <w:highlight w:val="none"/>
              </w:rPr>
            </w:pPr>
            <w:r>
              <w:rPr>
                <w:rFonts w:hint="eastAsia"/>
                <w:color w:val="auto"/>
                <w:highlight w:val="none"/>
              </w:rPr>
              <w:t xml:space="preserve">规格型号：</w:t>
            </w:r>
            <w:r/>
          </w:p>
          <w:p>
            <w:pPr>
              <w:spacing w:line="360" w:lineRule="auto"/>
              <w:rPr>
                <w:color w:val="auto"/>
                <w:highlight w:val="none"/>
              </w:rPr>
            </w:pPr>
            <w:r>
              <w:rPr>
                <w:rFonts w:hint="eastAsia"/>
                <w:color w:val="auto"/>
                <w:highlight w:val="none"/>
              </w:rPr>
              <w:t xml:space="preserve">数量：</w:t>
            </w:r>
            <w:r/>
          </w:p>
          <w:p>
            <w:pPr>
              <w:spacing w:line="360" w:lineRule="auto"/>
              <w:rPr>
                <w:color w:val="auto"/>
                <w:highlight w:val="none"/>
              </w:rPr>
            </w:pPr>
            <w:r>
              <w:rPr>
                <w:rFonts w:hint="eastAsia"/>
                <w:color w:val="auto"/>
                <w:highlight w:val="none"/>
              </w:rPr>
              <w:t xml:space="preserve">单价：</w:t>
            </w:r>
            <w:r/>
          </w:p>
        </w:tc>
        <w:tc>
          <w:tcPr>
            <w:tcW w:w="3780" w:type="dxa"/>
            <w:textDirection w:val="lrTb"/>
            <w:noWrap w:val="false"/>
          </w:tcPr>
          <w:p>
            <w:pPr>
              <w:spacing w:line="360" w:lineRule="auto"/>
              <w:rPr>
                <w:color w:val="auto"/>
                <w:highlight w:val="none"/>
              </w:rPr>
            </w:pPr>
            <w:r>
              <w:rPr>
                <w:rFonts w:hint="eastAsia"/>
                <w:color w:val="auto"/>
                <w:highlight w:val="none"/>
              </w:rPr>
              <w:t xml:space="preserve">名称：</w:t>
            </w:r>
            <w:r/>
          </w:p>
          <w:p>
            <w:pPr>
              <w:spacing w:line="360" w:lineRule="auto"/>
              <w:rPr>
                <w:color w:val="auto"/>
                <w:highlight w:val="none"/>
              </w:rPr>
            </w:pPr>
            <w:r>
              <w:rPr>
                <w:rFonts w:hint="eastAsia"/>
                <w:color w:val="auto"/>
                <w:highlight w:val="none"/>
              </w:rPr>
              <w:t xml:space="preserve">服务范围：</w:t>
            </w:r>
            <w:r/>
          </w:p>
          <w:p>
            <w:pPr>
              <w:spacing w:line="360" w:lineRule="auto"/>
              <w:rPr>
                <w:color w:val="auto"/>
                <w:highlight w:val="none"/>
                <w:u w:val="single"/>
              </w:rPr>
            </w:pPr>
            <w:r>
              <w:rPr>
                <w:rFonts w:hint="eastAsia"/>
                <w:color w:val="auto"/>
                <w:highlight w:val="none"/>
              </w:rPr>
              <w:t xml:space="preserve">服务要求：</w:t>
            </w:r>
            <w:r/>
          </w:p>
          <w:p>
            <w:pPr>
              <w:spacing w:line="360" w:lineRule="auto"/>
              <w:rPr>
                <w:color w:val="auto"/>
                <w:highlight w:val="none"/>
                <w:u w:val="single"/>
              </w:rPr>
            </w:pPr>
            <w:r>
              <w:rPr>
                <w:rFonts w:hint="eastAsia"/>
                <w:color w:val="auto"/>
                <w:highlight w:val="none"/>
              </w:rPr>
              <w:t xml:space="preserve">服务时间：</w:t>
            </w:r>
            <w:r/>
          </w:p>
          <w:p>
            <w:pPr>
              <w:spacing w:line="360" w:lineRule="auto"/>
              <w:rPr>
                <w:color w:val="auto"/>
                <w:highlight w:val="none"/>
              </w:rPr>
            </w:pPr>
            <w:r>
              <w:rPr>
                <w:rFonts w:hint="eastAsia"/>
                <w:color w:val="auto"/>
                <w:highlight w:val="none"/>
              </w:rPr>
              <w:t xml:space="preserve">服务标准：</w:t>
            </w:r>
            <w:r/>
          </w:p>
        </w:tc>
      </w:tr>
    </w:tbl>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rPr>
          <w:rFonts w:cs="仿宋"/>
          <w:b/>
          <w:bCs/>
          <w:color w:val="auto"/>
          <w:sz w:val="32"/>
          <w:szCs w:val="32"/>
          <w:highlight w:val="none"/>
        </w:rPr>
      </w:pPr>
      <w:r>
        <w:rPr>
          <w:rFonts w:hint="eastAsia" w:cs="仿宋"/>
          <w:b/>
          <w:bCs/>
          <w:color w:val="auto"/>
          <w:sz w:val="32"/>
          <w:szCs w:val="32"/>
          <w:highlight w:val="none"/>
        </w:rPr>
        <w:br w:type="page" w:clear="all"/>
      </w:r>
      <w:r/>
    </w:p>
    <w:p>
      <w:pPr>
        <w:jc w:val="center"/>
        <w:rPr>
          <w:rFonts w:cs="仿宋"/>
          <w:b/>
          <w:bCs/>
          <w:color w:val="auto"/>
          <w:sz w:val="32"/>
          <w:szCs w:val="32"/>
          <w:highlight w:val="none"/>
        </w:rPr>
      </w:pPr>
      <w:r>
        <w:rPr>
          <w:rFonts w:hint="eastAsia" w:cs="仿宋"/>
          <w:b/>
          <w:bCs/>
          <w:color w:val="auto"/>
          <w:sz w:val="32"/>
          <w:szCs w:val="32"/>
          <w:highlight w:val="none"/>
        </w:rPr>
        <w:t xml:space="preserve">质疑函范本</w:t>
      </w:r>
      <w:r/>
    </w:p>
    <w:p>
      <w:pPr>
        <w:spacing w:before="290" w:line="360" w:lineRule="auto"/>
        <w:rPr>
          <w:rFonts w:cs="仿宋"/>
          <w:bCs/>
          <w:color w:val="auto"/>
          <w:sz w:val="24"/>
          <w:szCs w:val="24"/>
          <w:highlight w:val="none"/>
        </w:rPr>
      </w:pPr>
      <w:r>
        <w:rPr>
          <w:rFonts w:hint="eastAsia" w:cs="仿宋"/>
          <w:bCs/>
          <w:color w:val="auto"/>
          <w:sz w:val="24"/>
          <w:szCs w:val="24"/>
          <w:highlight w:val="none"/>
        </w:rPr>
        <w:t xml:space="preserve">一、质疑供应商基本信息</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质疑供应商：</w:t>
      </w:r>
      <w:r/>
    </w:p>
    <w:p>
      <w:pPr>
        <w:spacing w:line="360" w:lineRule="auto"/>
        <w:rPr>
          <w:rFonts w:cs="仿宋"/>
          <w:color w:val="auto"/>
          <w:sz w:val="24"/>
          <w:szCs w:val="24"/>
          <w:highlight w:val="none"/>
        </w:rPr>
      </w:pPr>
      <w:r>
        <w:rPr>
          <w:rFonts w:hint="eastAsia" w:cs="仿宋"/>
          <w:color w:val="auto"/>
          <w:sz w:val="24"/>
          <w:szCs w:val="24"/>
          <w:highlight w:val="none"/>
        </w:rPr>
        <w:t xml:space="preserve">地址：邮编：</w:t>
      </w:r>
      <w:r/>
    </w:p>
    <w:p>
      <w:pPr>
        <w:spacing w:line="360" w:lineRule="auto"/>
        <w:rPr>
          <w:rFonts w:cs="仿宋"/>
          <w:color w:val="auto"/>
          <w:sz w:val="24"/>
          <w:szCs w:val="24"/>
          <w:highlight w:val="none"/>
        </w:rPr>
      </w:pPr>
      <w:r>
        <w:rPr>
          <w:rFonts w:hint="eastAsia" w:cs="仿宋"/>
          <w:color w:val="auto"/>
          <w:sz w:val="24"/>
          <w:szCs w:val="24"/>
          <w:highlight w:val="none"/>
        </w:rPr>
        <w:t xml:space="preserve">联系人：联系电话：</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授权代表：</w:t>
      </w:r>
      <w:r/>
    </w:p>
    <w:p>
      <w:pPr>
        <w:spacing w:line="360" w:lineRule="auto"/>
        <w:rPr>
          <w:rFonts w:cs="仿宋"/>
          <w:color w:val="auto"/>
          <w:sz w:val="24"/>
          <w:szCs w:val="24"/>
          <w:highlight w:val="none"/>
        </w:rPr>
      </w:pPr>
      <w:r>
        <w:rPr>
          <w:rFonts w:hint="eastAsia" w:cs="仿宋"/>
          <w:color w:val="auto"/>
          <w:sz w:val="24"/>
          <w:szCs w:val="24"/>
          <w:highlight w:val="none"/>
        </w:rPr>
        <w:t xml:space="preserve">联系电话：</w:t>
      </w:r>
      <w:r/>
    </w:p>
    <w:p>
      <w:pPr>
        <w:spacing w:line="360" w:lineRule="auto"/>
        <w:rPr>
          <w:rFonts w:cs="仿宋"/>
          <w:color w:val="auto"/>
          <w:sz w:val="24"/>
          <w:szCs w:val="24"/>
          <w:highlight w:val="none"/>
        </w:rPr>
      </w:pPr>
      <w:r>
        <w:rPr>
          <w:rFonts w:hint="eastAsia" w:cs="仿宋"/>
          <w:color w:val="auto"/>
          <w:sz w:val="24"/>
          <w:szCs w:val="24"/>
          <w:highlight w:val="none"/>
        </w:rPr>
        <w:t xml:space="preserve">地址：邮编：</w:t>
      </w:r>
      <w:r/>
    </w:p>
    <w:p>
      <w:pPr>
        <w:spacing w:line="360" w:lineRule="auto"/>
        <w:rPr>
          <w:rFonts w:cs="仿宋"/>
          <w:bCs/>
          <w:color w:val="auto"/>
          <w:sz w:val="24"/>
          <w:szCs w:val="24"/>
          <w:highlight w:val="none"/>
        </w:rPr>
      </w:pPr>
      <w:r>
        <w:rPr>
          <w:rFonts w:hint="eastAsia" w:cs="仿宋"/>
          <w:bCs/>
          <w:color w:val="auto"/>
          <w:sz w:val="24"/>
          <w:szCs w:val="24"/>
          <w:highlight w:val="none"/>
        </w:rPr>
        <w:t xml:space="preserve">二、质疑项目基本情况</w:t>
      </w:r>
      <w:r/>
    </w:p>
    <w:p>
      <w:pPr>
        <w:spacing w:line="360" w:lineRule="auto"/>
        <w:rPr>
          <w:rFonts w:cs="仿宋"/>
          <w:color w:val="auto"/>
          <w:sz w:val="24"/>
          <w:szCs w:val="24"/>
          <w:highlight w:val="none"/>
        </w:rPr>
      </w:pPr>
      <w:r>
        <w:rPr>
          <w:rFonts w:hint="eastAsia" w:cs="仿宋"/>
          <w:color w:val="auto"/>
          <w:sz w:val="24"/>
          <w:szCs w:val="24"/>
          <w:highlight w:val="none"/>
        </w:rPr>
        <w:t xml:space="preserve">质疑项目的名称：</w:t>
      </w:r>
      <w:r/>
    </w:p>
    <w:p>
      <w:pPr>
        <w:spacing w:line="360" w:lineRule="auto"/>
        <w:rPr>
          <w:rFonts w:cs="仿宋"/>
          <w:color w:val="auto"/>
          <w:sz w:val="24"/>
          <w:szCs w:val="24"/>
          <w:highlight w:val="none"/>
        </w:rPr>
      </w:pPr>
      <w:r>
        <w:rPr>
          <w:rFonts w:hint="eastAsia" w:cs="仿宋"/>
          <w:color w:val="auto"/>
          <w:sz w:val="24"/>
          <w:szCs w:val="24"/>
          <w:highlight w:val="none"/>
        </w:rPr>
        <w:t xml:space="preserve">质疑项目的编号：包号：</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采购人名称：</w:t>
      </w:r>
      <w:r/>
    </w:p>
    <w:p>
      <w:pPr>
        <w:spacing w:line="360" w:lineRule="auto"/>
        <w:rPr>
          <w:rFonts w:cs="仿宋"/>
          <w:color w:val="auto"/>
          <w:sz w:val="24"/>
          <w:szCs w:val="24"/>
          <w:highlight w:val="none"/>
        </w:rPr>
      </w:pPr>
      <w:r>
        <w:rPr>
          <w:rFonts w:hint="eastAsia" w:cs="仿宋"/>
          <w:color w:val="auto"/>
          <w:sz w:val="24"/>
          <w:szCs w:val="24"/>
          <w:highlight w:val="none"/>
        </w:rPr>
        <w:t xml:space="preserve">采购文件获取日期：</w:t>
      </w:r>
      <w:r/>
    </w:p>
    <w:p>
      <w:pPr>
        <w:spacing w:line="360" w:lineRule="auto"/>
        <w:rPr>
          <w:rFonts w:cs="仿宋"/>
          <w:bCs/>
          <w:color w:val="auto"/>
          <w:sz w:val="24"/>
          <w:szCs w:val="24"/>
          <w:highlight w:val="none"/>
        </w:rPr>
      </w:pPr>
      <w:r>
        <w:rPr>
          <w:rFonts w:hint="eastAsia" w:cs="仿宋"/>
          <w:bCs/>
          <w:color w:val="auto"/>
          <w:sz w:val="24"/>
          <w:szCs w:val="24"/>
          <w:highlight w:val="none"/>
        </w:rPr>
        <w:t xml:space="preserve">三、质疑事项具体内容</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质疑事项1：</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事实依据：</w:t>
      </w:r>
      <w:r/>
    </w:p>
    <w:p>
      <w:pPr>
        <w:spacing w:line="360" w:lineRule="auto"/>
        <w:rPr>
          <w:rFonts w:cs="仿宋"/>
          <w:color w:val="auto"/>
          <w:sz w:val="24"/>
          <w:szCs w:val="24"/>
          <w:highlight w:val="none"/>
        </w:rPr>
      </w:pPr>
      <w:r>
        <w:rPr>
          <w:rFonts w:cs="仿宋"/>
          <w:color w:val="auto"/>
          <w:sz w:val="24"/>
          <w:szCs w:val="24"/>
          <w:highlight w:val="none"/>
        </w:rPr>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法律依据：</w:t>
      </w:r>
      <w:r/>
    </w:p>
    <w:p>
      <w:pPr>
        <w:spacing w:line="360" w:lineRule="auto"/>
        <w:rPr>
          <w:rFonts w:cs="仿宋"/>
          <w:color w:val="auto"/>
          <w:sz w:val="24"/>
          <w:szCs w:val="24"/>
          <w:highlight w:val="none"/>
          <w:u w:val="single"/>
        </w:rPr>
      </w:pPr>
      <w:r>
        <w:rPr>
          <w:rFonts w:cs="仿宋"/>
          <w:color w:val="auto"/>
          <w:sz w:val="24"/>
          <w:szCs w:val="24"/>
          <w:highlight w:val="none"/>
          <w:u w:val="single"/>
        </w:rPr>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质疑事项2</w:t>
      </w:r>
      <w:r/>
    </w:p>
    <w:p>
      <w:pPr>
        <w:spacing w:line="360" w:lineRule="auto"/>
        <w:rPr>
          <w:rFonts w:cs="仿宋"/>
          <w:color w:val="auto"/>
          <w:sz w:val="24"/>
          <w:szCs w:val="24"/>
          <w:highlight w:val="none"/>
        </w:rPr>
      </w:pPr>
      <w:r>
        <w:rPr>
          <w:rFonts w:hint="eastAsia" w:cs="仿宋"/>
          <w:color w:val="auto"/>
          <w:sz w:val="24"/>
          <w:szCs w:val="24"/>
          <w:highlight w:val="none"/>
        </w:rPr>
        <w:t xml:space="preserve">……</w:t>
      </w:r>
      <w:r/>
    </w:p>
    <w:p>
      <w:pPr>
        <w:spacing w:line="360" w:lineRule="auto"/>
        <w:rPr>
          <w:rFonts w:cs="仿宋"/>
          <w:bCs/>
          <w:color w:val="auto"/>
          <w:sz w:val="24"/>
          <w:szCs w:val="24"/>
          <w:highlight w:val="none"/>
        </w:rPr>
      </w:pPr>
      <w:r>
        <w:rPr>
          <w:rFonts w:hint="eastAsia" w:cs="仿宋"/>
          <w:bCs/>
          <w:color w:val="auto"/>
          <w:sz w:val="24"/>
          <w:szCs w:val="24"/>
          <w:highlight w:val="none"/>
        </w:rPr>
        <w:t xml:space="preserve">四、与质疑事项相关的质疑请求</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请求：</w:t>
      </w:r>
      <w:r/>
    </w:p>
    <w:p>
      <w:pPr>
        <w:rPr>
          <w:color w:val="auto"/>
          <w:sz w:val="24"/>
          <w:szCs w:val="24"/>
          <w:highlight w:val="none"/>
        </w:rPr>
      </w:pPr>
      <w:r>
        <w:rPr>
          <w:rFonts w:hint="eastAsia"/>
          <w:color w:val="auto"/>
          <w:sz w:val="24"/>
          <w:szCs w:val="24"/>
          <w:highlight w:val="none"/>
        </w:rPr>
        <w:t xml:space="preserve">签字(签章)：                   公章：                      </w:t>
      </w:r>
      <w:r/>
    </w:p>
    <w:p>
      <w:pPr>
        <w:rPr>
          <w:color w:val="auto"/>
          <w:sz w:val="24"/>
          <w:szCs w:val="24"/>
          <w:highlight w:val="none"/>
        </w:rPr>
      </w:pPr>
      <w:r>
        <w:rPr>
          <w:rFonts w:hint="eastAsia"/>
          <w:color w:val="auto"/>
          <w:sz w:val="24"/>
          <w:szCs w:val="24"/>
          <w:highlight w:val="none"/>
        </w:rPr>
        <w:t xml:space="preserve">日期：    </w:t>
      </w:r>
      <w:r/>
    </w:p>
    <w:p>
      <w:pPr>
        <w:spacing w:line="400" w:lineRule="exact"/>
        <w:rPr>
          <w:b/>
          <w:color w:val="auto"/>
          <w:sz w:val="24"/>
          <w:szCs w:val="24"/>
          <w:highlight w:val="none"/>
        </w:rPr>
      </w:pPr>
      <w:r>
        <w:rPr>
          <w:rFonts w:hint="eastAsia"/>
          <w:b/>
          <w:color w:val="auto"/>
          <w:sz w:val="24"/>
          <w:szCs w:val="24"/>
          <w:highlight w:val="none"/>
        </w:rPr>
        <w:t xml:space="preserve">质疑函制作说明：</w:t>
      </w:r>
      <w:r/>
    </w:p>
    <w:p>
      <w:pPr>
        <w:ind w:firstLine="480"/>
        <w:spacing w:line="400" w:lineRule="exact"/>
        <w:widowControl/>
        <w:rPr>
          <w:color w:val="auto"/>
          <w:sz w:val="24"/>
          <w:szCs w:val="24"/>
          <w:highlight w:val="none"/>
        </w:rPr>
      </w:pPr>
      <w:r>
        <w:rPr>
          <w:rFonts w:hint="eastAsia"/>
          <w:color w:val="auto"/>
          <w:sz w:val="24"/>
          <w:szCs w:val="24"/>
          <w:highlight w:val="none"/>
        </w:rPr>
        <w:t xml:space="preserve">1.供应商提出质疑时，应提交质疑函和必要的证明材料。</w:t>
      </w:r>
      <w:r/>
    </w:p>
    <w:p>
      <w:pPr>
        <w:ind w:firstLine="480"/>
        <w:spacing w:line="400" w:lineRule="exact"/>
        <w:widowControl/>
        <w:rPr>
          <w:color w:val="auto"/>
          <w:sz w:val="24"/>
          <w:szCs w:val="24"/>
          <w:highlight w:val="none"/>
        </w:rPr>
      </w:pPr>
      <w:r>
        <w:rPr>
          <w:rFonts w:hint="eastAsia"/>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exact"/>
        <w:widowControl/>
        <w:rPr>
          <w:color w:val="auto"/>
          <w:sz w:val="24"/>
          <w:szCs w:val="24"/>
          <w:highlight w:val="none"/>
        </w:rPr>
      </w:pPr>
      <w:r>
        <w:rPr>
          <w:rFonts w:hint="eastAsia"/>
          <w:color w:val="auto"/>
          <w:sz w:val="24"/>
          <w:szCs w:val="24"/>
          <w:highlight w:val="none"/>
        </w:rPr>
        <w:t xml:space="preserve">3.质疑供应商若对项目的某一分包进行质疑，质疑函中应列明具体分包号。</w:t>
      </w:r>
      <w:r/>
    </w:p>
    <w:p>
      <w:pPr>
        <w:ind w:firstLine="480"/>
        <w:spacing w:line="400" w:lineRule="exact"/>
        <w:widowControl/>
        <w:rPr>
          <w:color w:val="auto"/>
          <w:sz w:val="24"/>
          <w:szCs w:val="24"/>
          <w:highlight w:val="none"/>
        </w:rPr>
      </w:pPr>
      <w:r>
        <w:rPr>
          <w:rFonts w:hint="eastAsia"/>
          <w:color w:val="auto"/>
          <w:sz w:val="24"/>
          <w:szCs w:val="24"/>
          <w:highlight w:val="none"/>
        </w:rPr>
        <w:t xml:space="preserve">4.质疑函的质疑事项应具体、明确，并有必要的事实依据和法律依据。</w:t>
      </w:r>
      <w:r/>
    </w:p>
    <w:p>
      <w:pPr>
        <w:ind w:firstLine="480"/>
        <w:spacing w:line="400" w:lineRule="exact"/>
        <w:widowControl/>
        <w:rPr>
          <w:color w:val="auto"/>
          <w:sz w:val="24"/>
          <w:szCs w:val="24"/>
          <w:highlight w:val="none"/>
        </w:rPr>
      </w:pPr>
      <w:r>
        <w:rPr>
          <w:rFonts w:hint="eastAsia"/>
          <w:color w:val="auto"/>
          <w:sz w:val="24"/>
          <w:szCs w:val="24"/>
          <w:highlight w:val="none"/>
        </w:rPr>
        <w:t xml:space="preserve">5.质疑函的质疑请求应与质疑事项相关。</w:t>
      </w:r>
      <w:r/>
    </w:p>
    <w:p>
      <w:pPr>
        <w:ind w:firstLine="480"/>
        <w:spacing w:line="400" w:lineRule="exact"/>
        <w:widowControl/>
        <w:rPr>
          <w:color w:val="auto"/>
          <w:sz w:val="24"/>
          <w:szCs w:val="24"/>
          <w:highlight w:val="none"/>
        </w:rPr>
      </w:pPr>
      <w:r>
        <w:rPr>
          <w:rFonts w:hint="eastAsia"/>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82"/>
        <w:rPr>
          <w:color w:val="auto"/>
          <w:sz w:val="24"/>
          <w:szCs w:val="24"/>
          <w:highlight w:val="none"/>
        </w:rPr>
      </w:pPr>
      <w:r>
        <w:rPr>
          <w:color w:val="auto"/>
          <w:sz w:val="24"/>
          <w:szCs w:val="24"/>
          <w:highlight w:val="none"/>
        </w:rPr>
      </w:r>
      <w:r/>
    </w:p>
    <w:p>
      <w:pPr>
        <w:pStyle w:val="882"/>
        <w:rPr>
          <w:color w:val="auto"/>
          <w:sz w:val="24"/>
          <w:szCs w:val="24"/>
          <w:highlight w:val="none"/>
        </w:rPr>
      </w:pPr>
      <w:r>
        <w:rPr>
          <w:color w:val="auto"/>
          <w:sz w:val="24"/>
          <w:szCs w:val="24"/>
          <w:highlight w:val="none"/>
        </w:rPr>
      </w:r>
      <w:r/>
    </w:p>
    <w:p>
      <w:pPr>
        <w:rPr>
          <w:color w:val="auto"/>
          <w:highlight w:val="none"/>
          <w:lang w:val="en-US"/>
        </w:rPr>
      </w:pPr>
      <w:r>
        <w:rPr>
          <w:color w:val="auto"/>
          <w:highlight w:val="none"/>
          <w:lang w:val="en-US"/>
        </w:rPr>
      </w:r>
      <w:bookmarkEnd w:id="63"/>
      <w:r/>
    </w:p>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方正仿宋_GBK">
    <w:panose1 w:val="020B0503020202020204"/>
  </w:font>
  <w:font w:name="Symbol">
    <w:panose1 w:val="05050102010706020507"/>
  </w:font>
  <w:font w:name="Wingdings">
    <w:panose1 w:val="05000000000000000000"/>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等线 Light">
    <w:panose1 w:val="02010600030101010101"/>
  </w:font>
  <w:font w:name="等线">
    <w:panose1 w:val="02010600030101010101"/>
  </w:font>
  <w:font w:name="仿宋">
    <w:panose1 w:val="02010609060101010101"/>
  </w:font>
  <w:font w:name="Microsoft YaHei UI">
    <w:panose1 w:val="020B0503020204020204"/>
  </w:font>
  <w:font w:name="Arial">
    <w:panose1 w:val="020B0604020202020204"/>
  </w:font>
  <w:font w:name="华文宋体">
    <w:panose1 w:val="0201060004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62"/>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6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62"/>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043" w:hanging="241"/>
      </w:pPr>
      <w:rPr>
        <w:rFonts w:hint="eastAsia" w:ascii="宋体" w:hAnsi="宋体" w:eastAsia="宋体" w:cs="宋体"/>
        <w:sz w:val="28"/>
        <w:szCs w:val="28"/>
        <w:lang w:val="zh-CN" w:eastAsia="zh-CN" w:bidi="zh-CN"/>
      </w:rPr>
    </w:lvl>
    <w:lvl w:ilvl="1">
      <w:start w:val="1"/>
      <w:numFmt w:val="decimal"/>
      <w:isLgl w:val="false"/>
      <w:suff w:val="tab"/>
      <w:lvlText w:val="%1.%2"/>
      <w:lvlJc w:val="left"/>
      <w:pPr>
        <w:ind w:left="2823" w:hanging="541"/>
      </w:pPr>
      <w:rPr>
        <w:rFonts w:hint="eastAsia" w:ascii="宋体" w:hAnsi="宋体" w:eastAsia="宋体"/>
        <w:sz w:val="28"/>
        <w:szCs w:val="28"/>
        <w:lang w:val="zh-CN" w:eastAsia="zh-CN" w:bidi="zh-CN"/>
      </w:rPr>
    </w:lvl>
    <w:lvl w:ilvl="2">
      <w:start w:val="1"/>
      <w:numFmt w:val="decimal"/>
      <w:isLgl w:val="false"/>
      <w:suff w:val="tab"/>
      <w:lvlText w:val="%1.%2.%3"/>
      <w:lvlJc w:val="left"/>
      <w:pPr>
        <w:ind w:left="1802" w:hanging="541"/>
      </w:pPr>
      <w:rPr>
        <w:rFonts w:hint="eastAsia" w:ascii="宋体" w:hAnsi="宋体" w:eastAsia="宋体" w:cs="宋体"/>
        <w:sz w:val="28"/>
        <w:szCs w:val="28"/>
        <w:lang w:val="zh-CN" w:eastAsia="zh-CN" w:bidi="zh-CN"/>
      </w:rPr>
    </w:lvl>
    <w:lvl w:ilvl="3">
      <w:start w:val="0"/>
      <w:numFmt w:val="bullet"/>
      <w:isLgl w:val="false"/>
      <w:suff w:val="tab"/>
      <w:lvlText w:val="•"/>
      <w:lvlJc w:val="left"/>
      <w:pPr>
        <w:ind w:left="2280" w:hanging="541"/>
      </w:pPr>
      <w:rPr>
        <w:lang w:val="zh-CN" w:eastAsia="zh-CN" w:bidi="zh-CN"/>
      </w:rPr>
    </w:lvl>
    <w:lvl w:ilvl="4">
      <w:start w:val="0"/>
      <w:numFmt w:val="bullet"/>
      <w:isLgl w:val="false"/>
      <w:suff w:val="tab"/>
      <w:lvlText w:val="•"/>
      <w:lvlJc w:val="left"/>
      <w:pPr>
        <w:ind w:left="2820" w:hanging="541"/>
      </w:pPr>
      <w:rPr>
        <w:lang w:val="zh-CN" w:eastAsia="zh-CN" w:bidi="zh-CN"/>
      </w:rPr>
    </w:lvl>
    <w:lvl w:ilvl="5">
      <w:start w:val="0"/>
      <w:numFmt w:val="bullet"/>
      <w:isLgl w:val="false"/>
      <w:suff w:val="tab"/>
      <w:lvlText w:val="•"/>
      <w:lvlJc w:val="left"/>
      <w:pPr>
        <w:ind w:left="2860" w:hanging="541"/>
      </w:pPr>
      <w:rPr>
        <w:lang w:val="zh-CN" w:eastAsia="zh-CN" w:bidi="zh-CN"/>
      </w:rPr>
    </w:lvl>
    <w:lvl w:ilvl="6">
      <w:start w:val="0"/>
      <w:numFmt w:val="bullet"/>
      <w:isLgl w:val="false"/>
      <w:suff w:val="tab"/>
      <w:lvlText w:val="•"/>
      <w:lvlJc w:val="left"/>
      <w:pPr>
        <w:ind w:left="2880" w:hanging="541"/>
      </w:pPr>
      <w:rPr>
        <w:lang w:val="zh-CN" w:eastAsia="zh-CN" w:bidi="zh-CN"/>
      </w:rPr>
    </w:lvl>
    <w:lvl w:ilvl="7">
      <w:start w:val="0"/>
      <w:numFmt w:val="bullet"/>
      <w:isLgl w:val="false"/>
      <w:suff w:val="tab"/>
      <w:lvlText w:val="•"/>
      <w:lvlJc w:val="left"/>
      <w:pPr>
        <w:ind w:left="2940" w:hanging="541"/>
      </w:pPr>
      <w:rPr>
        <w:lang w:val="zh-CN" w:eastAsia="zh-CN" w:bidi="zh-CN"/>
      </w:rPr>
    </w:lvl>
    <w:lvl w:ilvl="8">
      <w:start w:val="0"/>
      <w:numFmt w:val="bullet"/>
      <w:isLgl w:val="false"/>
      <w:suff w:val="tab"/>
      <w:lvlText w:val="•"/>
      <w:lvlJc w:val="left"/>
      <w:pPr>
        <w:ind w:left="5930" w:hanging="541"/>
      </w:pPr>
      <w:rPr>
        <w:lang w:val="zh-CN" w:eastAsia="zh-CN" w:bidi="zh-CN"/>
      </w:rPr>
    </w:lvl>
  </w:abstractNum>
  <w:abstractNum w:abstractNumId="2">
    <w:multiLevelType w:val="hybridMultilevel"/>
    <w:lvl w:ilvl="0">
      <w:start w:val="6"/>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ind w:left="1277"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2871" w:hanging="602"/>
      </w:pPr>
      <w:rPr>
        <w:rFonts w:hint="eastAsia" w:ascii="宋体" w:hAnsi="宋体" w:eastAsia="宋体" w:cs="宋体"/>
        <w:spacing w:val="-4"/>
        <w:sz w:val="28"/>
        <w:szCs w:val="28"/>
        <w:lang w:val="zh-CN" w:eastAsia="zh-CN" w:bidi="zh-CN"/>
      </w:rPr>
    </w:lvl>
    <w:lvl w:ilvl="1">
      <w:start w:val="0"/>
      <w:numFmt w:val="bullet"/>
      <w:isLgl w:val="false"/>
      <w:suff w:val="tab"/>
      <w:lvlText w:val="•"/>
      <w:lvlJc w:val="left"/>
      <w:pPr>
        <w:ind w:left="3770" w:hanging="602"/>
      </w:pPr>
      <w:rPr>
        <w:lang w:val="zh-CN" w:eastAsia="zh-CN" w:bidi="zh-CN"/>
      </w:rPr>
    </w:lvl>
    <w:lvl w:ilvl="2">
      <w:start w:val="0"/>
      <w:numFmt w:val="bullet"/>
      <w:isLgl w:val="false"/>
      <w:suff w:val="tab"/>
      <w:lvlText w:val="•"/>
      <w:lvlJc w:val="left"/>
      <w:pPr>
        <w:ind w:left="4673" w:hanging="602"/>
      </w:pPr>
      <w:rPr>
        <w:lang w:val="zh-CN" w:eastAsia="zh-CN" w:bidi="zh-CN"/>
      </w:rPr>
    </w:lvl>
    <w:lvl w:ilvl="3">
      <w:start w:val="0"/>
      <w:numFmt w:val="bullet"/>
      <w:isLgl w:val="false"/>
      <w:suff w:val="tab"/>
      <w:lvlText w:val="•"/>
      <w:lvlJc w:val="left"/>
      <w:pPr>
        <w:ind w:left="5576" w:hanging="602"/>
      </w:pPr>
      <w:rPr>
        <w:lang w:val="zh-CN" w:eastAsia="zh-CN" w:bidi="zh-CN"/>
      </w:rPr>
    </w:lvl>
    <w:lvl w:ilvl="4">
      <w:start w:val="0"/>
      <w:numFmt w:val="bullet"/>
      <w:isLgl w:val="false"/>
      <w:suff w:val="tab"/>
      <w:lvlText w:val="•"/>
      <w:lvlJc w:val="left"/>
      <w:pPr>
        <w:ind w:left="6479" w:hanging="602"/>
      </w:pPr>
      <w:rPr>
        <w:lang w:val="zh-CN" w:eastAsia="zh-CN" w:bidi="zh-CN"/>
      </w:rPr>
    </w:lvl>
    <w:lvl w:ilvl="5">
      <w:start w:val="0"/>
      <w:numFmt w:val="bullet"/>
      <w:isLgl w:val="false"/>
      <w:suff w:val="tab"/>
      <w:lvlText w:val="•"/>
      <w:lvlJc w:val="left"/>
      <w:pPr>
        <w:ind w:left="7382" w:hanging="602"/>
      </w:pPr>
      <w:rPr>
        <w:lang w:val="zh-CN" w:eastAsia="zh-CN" w:bidi="zh-CN"/>
      </w:rPr>
    </w:lvl>
    <w:lvl w:ilvl="6">
      <w:start w:val="0"/>
      <w:numFmt w:val="bullet"/>
      <w:isLgl w:val="false"/>
      <w:suff w:val="tab"/>
      <w:lvlText w:val="•"/>
      <w:lvlJc w:val="left"/>
      <w:pPr>
        <w:ind w:left="8285" w:hanging="602"/>
      </w:pPr>
      <w:rPr>
        <w:lang w:val="zh-CN" w:eastAsia="zh-CN" w:bidi="zh-CN"/>
      </w:rPr>
    </w:lvl>
    <w:lvl w:ilvl="7">
      <w:start w:val="0"/>
      <w:numFmt w:val="bullet"/>
      <w:isLgl w:val="false"/>
      <w:suff w:val="tab"/>
      <w:lvlText w:val="•"/>
      <w:lvlJc w:val="left"/>
      <w:pPr>
        <w:ind w:left="9188" w:hanging="602"/>
      </w:pPr>
      <w:rPr>
        <w:lang w:val="zh-CN" w:eastAsia="zh-CN" w:bidi="zh-CN"/>
      </w:rPr>
    </w:lvl>
    <w:lvl w:ilvl="8">
      <w:start w:val="0"/>
      <w:numFmt w:val="bullet"/>
      <w:isLgl w:val="false"/>
      <w:suff w:val="tab"/>
      <w:lvlText w:val="•"/>
      <w:lvlJc w:val="left"/>
      <w:pPr>
        <w:ind w:left="10091" w:hanging="602"/>
      </w:pPr>
      <w:rPr>
        <w:lang w:val="zh-CN" w:eastAsia="zh-CN" w:bidi="zh-CN"/>
      </w:rPr>
    </w:lvl>
  </w:abstractNum>
  <w:abstractNum w:abstractNumId="5">
    <w:multiLevelType w:val="hybridMultilevel"/>
    <w:lvl w:ilvl="0">
      <w:start w:val="1"/>
      <w:numFmt w:val="decimal"/>
      <w:isLgl w:val="false"/>
      <w:suff w:val="tab"/>
      <w:lvlText w:val="（%1）"/>
      <w:lvlJc w:val="left"/>
      <w:pPr>
        <w:ind w:left="2809" w:hanging="602"/>
      </w:pPr>
      <w:rPr>
        <w:rFonts w:hint="eastAsia" w:ascii="宋体" w:hAnsi="宋体" w:eastAsia="宋体" w:cs="宋体"/>
        <w:spacing w:val="-2"/>
        <w:sz w:val="28"/>
        <w:szCs w:val="28"/>
        <w:lang w:val="zh-CN" w:eastAsia="zh-CN" w:bidi="zh-CN"/>
      </w:rPr>
    </w:lvl>
    <w:lvl w:ilvl="1">
      <w:start w:val="0"/>
      <w:numFmt w:val="bullet"/>
      <w:isLgl w:val="false"/>
      <w:suff w:val="tab"/>
      <w:lvlText w:val="•"/>
      <w:lvlJc w:val="left"/>
      <w:pPr>
        <w:ind w:left="3711" w:hanging="602"/>
      </w:pPr>
      <w:rPr>
        <w:lang w:val="zh-CN" w:eastAsia="zh-CN" w:bidi="zh-CN"/>
      </w:rPr>
    </w:lvl>
    <w:lvl w:ilvl="2">
      <w:start w:val="0"/>
      <w:numFmt w:val="bullet"/>
      <w:isLgl w:val="false"/>
      <w:suff w:val="tab"/>
      <w:lvlText w:val="•"/>
      <w:lvlJc w:val="left"/>
      <w:pPr>
        <w:ind w:left="4622" w:hanging="602"/>
      </w:pPr>
      <w:rPr>
        <w:lang w:val="zh-CN" w:eastAsia="zh-CN" w:bidi="zh-CN"/>
      </w:rPr>
    </w:lvl>
    <w:lvl w:ilvl="3">
      <w:start w:val="0"/>
      <w:numFmt w:val="bullet"/>
      <w:isLgl w:val="false"/>
      <w:suff w:val="tab"/>
      <w:lvlText w:val="•"/>
      <w:lvlJc w:val="left"/>
      <w:pPr>
        <w:ind w:left="5533" w:hanging="602"/>
      </w:pPr>
      <w:rPr>
        <w:lang w:val="zh-CN" w:eastAsia="zh-CN" w:bidi="zh-CN"/>
      </w:rPr>
    </w:lvl>
    <w:lvl w:ilvl="4">
      <w:start w:val="0"/>
      <w:numFmt w:val="bullet"/>
      <w:isLgl w:val="false"/>
      <w:suff w:val="tab"/>
      <w:lvlText w:val="•"/>
      <w:lvlJc w:val="left"/>
      <w:pPr>
        <w:ind w:left="6444" w:hanging="602"/>
      </w:pPr>
      <w:rPr>
        <w:lang w:val="zh-CN" w:eastAsia="zh-CN" w:bidi="zh-CN"/>
      </w:rPr>
    </w:lvl>
    <w:lvl w:ilvl="5">
      <w:start w:val="0"/>
      <w:numFmt w:val="bullet"/>
      <w:isLgl w:val="false"/>
      <w:suff w:val="tab"/>
      <w:lvlText w:val="•"/>
      <w:lvlJc w:val="left"/>
      <w:pPr>
        <w:ind w:left="7355" w:hanging="602"/>
      </w:pPr>
      <w:rPr>
        <w:lang w:val="zh-CN" w:eastAsia="zh-CN" w:bidi="zh-CN"/>
      </w:rPr>
    </w:lvl>
    <w:lvl w:ilvl="6">
      <w:start w:val="0"/>
      <w:numFmt w:val="bullet"/>
      <w:isLgl w:val="false"/>
      <w:suff w:val="tab"/>
      <w:lvlText w:val="•"/>
      <w:lvlJc w:val="left"/>
      <w:pPr>
        <w:ind w:left="8266" w:hanging="602"/>
      </w:pPr>
      <w:rPr>
        <w:lang w:val="zh-CN" w:eastAsia="zh-CN" w:bidi="zh-CN"/>
      </w:rPr>
    </w:lvl>
    <w:lvl w:ilvl="7">
      <w:start w:val="0"/>
      <w:numFmt w:val="bullet"/>
      <w:isLgl w:val="false"/>
      <w:suff w:val="tab"/>
      <w:lvlText w:val="•"/>
      <w:lvlJc w:val="left"/>
      <w:pPr>
        <w:ind w:left="9177" w:hanging="602"/>
      </w:pPr>
      <w:rPr>
        <w:lang w:val="zh-CN" w:eastAsia="zh-CN" w:bidi="zh-CN"/>
      </w:rPr>
    </w:lvl>
    <w:lvl w:ilvl="8">
      <w:start w:val="0"/>
      <w:numFmt w:val="bullet"/>
      <w:isLgl w:val="false"/>
      <w:suff w:val="tab"/>
      <w:lvlText w:val="•"/>
      <w:lvlJc w:val="left"/>
      <w:pPr>
        <w:ind w:left="10088" w:hanging="602"/>
      </w:pPr>
      <w:rPr>
        <w:lang w:val="zh-CN" w:eastAsia="zh-CN" w:bidi="zh-CN"/>
      </w:rPr>
    </w:lvl>
  </w:abstractNum>
  <w:abstractNum w:abstractNumId="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tab"/>
      <w:lvlText w:val="(%1)"/>
      <w:lvlJc w:val="left"/>
      <w:pPr>
        <w:ind w:left="895" w:hanging="420"/>
      </w:pPr>
    </w:lvl>
    <w:lvl w:ilvl="1">
      <w:start w:val="1"/>
      <w:numFmt w:val="lowerLetter"/>
      <w:isLgl w:val="false"/>
      <w:suff w:val="tab"/>
      <w:lvlText w:val="%2)"/>
      <w:lvlJc w:val="left"/>
      <w:pPr>
        <w:ind w:left="1315" w:hanging="420"/>
      </w:pPr>
    </w:lvl>
    <w:lvl w:ilvl="2">
      <w:start w:val="1"/>
      <w:numFmt w:val="lowerRoman"/>
      <w:isLgl w:val="false"/>
      <w:suff w:val="tab"/>
      <w:lvlText w:val="%3."/>
      <w:lvlJc w:val="right"/>
      <w:pPr>
        <w:ind w:left="1735" w:hanging="420"/>
      </w:pPr>
    </w:lvl>
    <w:lvl w:ilvl="3">
      <w:start w:val="1"/>
      <w:numFmt w:val="decimal"/>
      <w:isLgl w:val="false"/>
      <w:suff w:val="tab"/>
      <w:lvlText w:val="%4."/>
      <w:lvlJc w:val="left"/>
      <w:pPr>
        <w:ind w:left="2155" w:hanging="420"/>
      </w:pPr>
    </w:lvl>
    <w:lvl w:ilvl="4">
      <w:start w:val="1"/>
      <w:numFmt w:val="lowerLetter"/>
      <w:isLgl w:val="false"/>
      <w:suff w:val="tab"/>
      <w:lvlText w:val="%5)"/>
      <w:lvlJc w:val="left"/>
      <w:pPr>
        <w:ind w:left="2575" w:hanging="420"/>
      </w:pPr>
    </w:lvl>
    <w:lvl w:ilvl="5">
      <w:start w:val="1"/>
      <w:numFmt w:val="lowerRoman"/>
      <w:isLgl w:val="false"/>
      <w:suff w:val="tab"/>
      <w:lvlText w:val="%6."/>
      <w:lvlJc w:val="right"/>
      <w:pPr>
        <w:ind w:left="2995" w:hanging="420"/>
      </w:pPr>
    </w:lvl>
    <w:lvl w:ilvl="6">
      <w:start w:val="1"/>
      <w:numFmt w:val="decimal"/>
      <w:isLgl w:val="false"/>
      <w:suff w:val="tab"/>
      <w:lvlText w:val="%7."/>
      <w:lvlJc w:val="left"/>
      <w:pPr>
        <w:ind w:left="3415" w:hanging="420"/>
      </w:pPr>
    </w:lvl>
    <w:lvl w:ilvl="7">
      <w:start w:val="1"/>
      <w:numFmt w:val="lowerLetter"/>
      <w:isLgl w:val="false"/>
      <w:suff w:val="tab"/>
      <w:lvlText w:val="%8)"/>
      <w:lvlJc w:val="left"/>
      <w:pPr>
        <w:ind w:left="3835" w:hanging="420"/>
      </w:pPr>
    </w:lvl>
    <w:lvl w:ilvl="8">
      <w:start w:val="1"/>
      <w:numFmt w:val="lowerRoman"/>
      <w:isLgl w:val="false"/>
      <w:suff w:val="tab"/>
      <w:lvlText w:val="%9."/>
      <w:lvlJc w:val="right"/>
      <w:pPr>
        <w:ind w:left="4255" w:hanging="420"/>
      </w:p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tab"/>
      <w:lvlText w:val="%1、"/>
      <w:lvlJc w:val="left"/>
      <w:pPr>
        <w:ind w:left="475" w:hanging="420"/>
      </w:pPr>
    </w:lvl>
    <w:lvl w:ilvl="1">
      <w:start w:val="1"/>
      <w:numFmt w:val="japaneseCounting"/>
      <w:isLgl w:val="false"/>
      <w:suff w:val="tab"/>
      <w:lvlText w:val="（%2）"/>
      <w:lvlJc w:val="left"/>
      <w:pPr>
        <w:ind w:left="1360" w:hanging="885"/>
      </w:pPr>
    </w:lvl>
    <w:lvl w:ilvl="2">
      <w:start w:val="1"/>
      <w:numFmt w:val="lowerRoman"/>
      <w:isLgl w:val="false"/>
      <w:suff w:val="tab"/>
      <w:lvlText w:val="%3."/>
      <w:lvlJc w:val="right"/>
      <w:pPr>
        <w:ind w:left="1315" w:hanging="420"/>
      </w:pPr>
    </w:lvl>
    <w:lvl w:ilvl="3">
      <w:start w:val="1"/>
      <w:numFmt w:val="decimal"/>
      <w:isLgl w:val="false"/>
      <w:suff w:val="tab"/>
      <w:lvlText w:val="%4."/>
      <w:lvlJc w:val="left"/>
      <w:pPr>
        <w:ind w:left="1735" w:hanging="420"/>
      </w:pPr>
    </w:lvl>
    <w:lvl w:ilvl="4">
      <w:start w:val="1"/>
      <w:numFmt w:val="lowerLetter"/>
      <w:isLgl w:val="false"/>
      <w:suff w:val="tab"/>
      <w:lvlText w:val="%5)"/>
      <w:lvlJc w:val="left"/>
      <w:pPr>
        <w:ind w:left="2155" w:hanging="420"/>
      </w:pPr>
    </w:lvl>
    <w:lvl w:ilvl="5">
      <w:start w:val="1"/>
      <w:numFmt w:val="lowerRoman"/>
      <w:isLgl w:val="false"/>
      <w:suff w:val="tab"/>
      <w:lvlText w:val="%6."/>
      <w:lvlJc w:val="right"/>
      <w:pPr>
        <w:ind w:left="2575" w:hanging="420"/>
      </w:pPr>
    </w:lvl>
    <w:lvl w:ilvl="6">
      <w:start w:val="1"/>
      <w:numFmt w:val="decimal"/>
      <w:isLgl w:val="false"/>
      <w:suff w:val="tab"/>
      <w:lvlText w:val="%7."/>
      <w:lvlJc w:val="left"/>
      <w:pPr>
        <w:ind w:left="2995" w:hanging="420"/>
      </w:pPr>
    </w:lvl>
    <w:lvl w:ilvl="7">
      <w:start w:val="1"/>
      <w:numFmt w:val="lowerLetter"/>
      <w:isLgl w:val="false"/>
      <w:suff w:val="tab"/>
      <w:lvlText w:val="%8)"/>
      <w:lvlJc w:val="left"/>
      <w:pPr>
        <w:ind w:left="3415" w:hanging="420"/>
      </w:pPr>
    </w:lvl>
    <w:lvl w:ilvl="8">
      <w:start w:val="1"/>
      <w:numFmt w:val="lowerRoman"/>
      <w:isLgl w:val="false"/>
      <w:suff w:val="tab"/>
      <w:lvlText w:val="%9."/>
      <w:lvlJc w:val="right"/>
      <w:pPr>
        <w:ind w:left="3835" w:hanging="420"/>
      </w:pPr>
    </w:lvl>
  </w:abstractNum>
  <w:abstractNum w:abstractNumId="1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845" w:hanging="420"/>
      </w:pPr>
      <w:rPr>
        <w:rFonts w:ascii="Times New Roman" w:hAnsi="Times New Roman" w:eastAsia="宋体" w:cs="Times New Roman"/>
      </w:rPr>
    </w:lvl>
    <w:lvl w:ilvl="1">
      <w:start w:val="1"/>
      <w:numFmt w:val="lowerLetter"/>
      <w:isLgl w:val="false"/>
      <w:suff w:val="tab"/>
      <w:lvlText w:val="%2)"/>
      <w:lvlJc w:val="left"/>
      <w:pPr>
        <w:ind w:left="1265" w:hanging="420"/>
      </w:pPr>
    </w:lvl>
    <w:lvl w:ilvl="2">
      <w:start w:val="1"/>
      <w:numFmt w:val="lowerRoman"/>
      <w:isLgl w:val="false"/>
      <w:suff w:val="tab"/>
      <w:lvlText w:val="%3."/>
      <w:lvlJc w:val="right"/>
      <w:pPr>
        <w:ind w:left="1685" w:hanging="420"/>
      </w:pPr>
    </w:lvl>
    <w:lvl w:ilvl="3">
      <w:start w:val="1"/>
      <w:numFmt w:val="decimal"/>
      <w:isLgl w:val="false"/>
      <w:suff w:val="tab"/>
      <w:lvlText w:val="%4."/>
      <w:lvlJc w:val="left"/>
      <w:pPr>
        <w:ind w:left="2105" w:hanging="420"/>
      </w:pPr>
    </w:lvl>
    <w:lvl w:ilvl="4">
      <w:start w:val="1"/>
      <w:numFmt w:val="lowerLetter"/>
      <w:isLgl w:val="false"/>
      <w:suff w:val="tab"/>
      <w:lvlText w:val="%5)"/>
      <w:lvlJc w:val="left"/>
      <w:pPr>
        <w:ind w:left="2525" w:hanging="420"/>
      </w:pPr>
    </w:lvl>
    <w:lvl w:ilvl="5">
      <w:start w:val="1"/>
      <w:numFmt w:val="lowerRoman"/>
      <w:isLgl w:val="false"/>
      <w:suff w:val="tab"/>
      <w:lvlText w:val="%6."/>
      <w:lvlJc w:val="right"/>
      <w:pPr>
        <w:ind w:left="2945" w:hanging="420"/>
      </w:pPr>
    </w:lvl>
    <w:lvl w:ilvl="6">
      <w:start w:val="1"/>
      <w:numFmt w:val="decimal"/>
      <w:isLgl w:val="false"/>
      <w:suff w:val="tab"/>
      <w:lvlText w:val="%7."/>
      <w:lvlJc w:val="left"/>
      <w:pPr>
        <w:ind w:left="3365" w:hanging="420"/>
      </w:pPr>
    </w:lvl>
    <w:lvl w:ilvl="7">
      <w:start w:val="1"/>
      <w:numFmt w:val="lowerLetter"/>
      <w:isLgl w:val="false"/>
      <w:suff w:val="tab"/>
      <w:lvlText w:val="%8)"/>
      <w:lvlJc w:val="left"/>
      <w:pPr>
        <w:ind w:left="3785" w:hanging="420"/>
      </w:pPr>
    </w:lvl>
    <w:lvl w:ilvl="8">
      <w:start w:val="1"/>
      <w:numFmt w:val="lowerRoman"/>
      <w:isLgl w:val="false"/>
      <w:suff w:val="tab"/>
      <w:lvlText w:val="%9."/>
      <w:lvlJc w:val="right"/>
      <w:pPr>
        <w:ind w:left="4205" w:hanging="420"/>
      </w:pPr>
    </w:lvl>
  </w:abstractNum>
  <w:abstractNum w:abstractNumId="13">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1269" w:hanging="420"/>
      </w:pPr>
    </w:lvl>
    <w:lvl w:ilvl="1">
      <w:start w:val="1"/>
      <w:numFmt w:val="lowerLetter"/>
      <w:isLgl w:val="false"/>
      <w:suff w:val="tab"/>
      <w:lvlText w:val="%2)"/>
      <w:lvlJc w:val="left"/>
      <w:pPr>
        <w:ind w:left="1689" w:hanging="420"/>
      </w:pPr>
    </w:lvl>
    <w:lvl w:ilvl="2">
      <w:start w:val="1"/>
      <w:numFmt w:val="lowerRoman"/>
      <w:isLgl w:val="false"/>
      <w:suff w:val="tab"/>
      <w:lvlText w:val="%3."/>
      <w:lvlJc w:val="right"/>
      <w:pPr>
        <w:ind w:left="2109" w:hanging="420"/>
      </w:pPr>
    </w:lvl>
    <w:lvl w:ilvl="3">
      <w:start w:val="1"/>
      <w:numFmt w:val="decimal"/>
      <w:isLgl w:val="false"/>
      <w:suff w:val="tab"/>
      <w:lvlText w:val="%4."/>
      <w:lvlJc w:val="left"/>
      <w:pPr>
        <w:ind w:left="2529" w:hanging="420"/>
      </w:pPr>
    </w:lvl>
    <w:lvl w:ilvl="4">
      <w:start w:val="1"/>
      <w:numFmt w:val="lowerLetter"/>
      <w:isLgl w:val="false"/>
      <w:suff w:val="tab"/>
      <w:lvlText w:val="%5)"/>
      <w:lvlJc w:val="left"/>
      <w:pPr>
        <w:ind w:left="2949" w:hanging="420"/>
      </w:pPr>
    </w:lvl>
    <w:lvl w:ilvl="5">
      <w:start w:val="1"/>
      <w:numFmt w:val="lowerRoman"/>
      <w:isLgl w:val="false"/>
      <w:suff w:val="tab"/>
      <w:lvlText w:val="%6."/>
      <w:lvlJc w:val="right"/>
      <w:pPr>
        <w:ind w:left="3369" w:hanging="420"/>
      </w:pPr>
    </w:lvl>
    <w:lvl w:ilvl="6">
      <w:start w:val="1"/>
      <w:numFmt w:val="decimal"/>
      <w:isLgl w:val="false"/>
      <w:suff w:val="tab"/>
      <w:lvlText w:val="%7."/>
      <w:lvlJc w:val="left"/>
      <w:pPr>
        <w:ind w:left="3789" w:hanging="420"/>
      </w:pPr>
    </w:lvl>
    <w:lvl w:ilvl="7">
      <w:start w:val="1"/>
      <w:numFmt w:val="lowerLetter"/>
      <w:isLgl w:val="false"/>
      <w:suff w:val="tab"/>
      <w:lvlText w:val="%8)"/>
      <w:lvlJc w:val="left"/>
      <w:pPr>
        <w:ind w:left="4209" w:hanging="420"/>
      </w:pPr>
    </w:lvl>
    <w:lvl w:ilvl="8">
      <w:start w:val="1"/>
      <w:numFmt w:val="lowerRoman"/>
      <w:isLgl w:val="false"/>
      <w:suff w:val="tab"/>
      <w:lvlText w:val="%9."/>
      <w:lvlJc w:val="right"/>
      <w:pPr>
        <w:ind w:left="4629" w:hanging="420"/>
      </w:pPr>
    </w:lvl>
  </w:abstractNum>
  <w:abstractNum w:abstractNumId="15">
    <w:multiLevelType w:val="hybridMultilevel"/>
    <w:lvl w:ilvl="0">
      <w:start w:val="1"/>
      <w:numFmt w:val="decimal"/>
      <w:isLgl w:val="false"/>
      <w:suff w:val="tab"/>
      <w:lvlText w:val="（%1）"/>
      <w:lvlJc w:val="left"/>
      <w:pPr>
        <w:ind w:left="2809" w:hanging="602"/>
      </w:pPr>
      <w:rPr>
        <w:rFonts w:hint="eastAsia" w:ascii="宋体" w:hAnsi="宋体" w:eastAsia="宋体" w:cs="宋体"/>
        <w:spacing w:val="-2"/>
        <w:sz w:val="28"/>
        <w:szCs w:val="28"/>
        <w:lang w:val="zh-CN" w:eastAsia="zh-CN" w:bidi="zh-CN"/>
      </w:rPr>
    </w:lvl>
    <w:lvl w:ilvl="1">
      <w:start w:val="0"/>
      <w:numFmt w:val="bullet"/>
      <w:isLgl w:val="false"/>
      <w:suff w:val="tab"/>
      <w:lvlText w:val="•"/>
      <w:lvlJc w:val="left"/>
      <w:pPr>
        <w:ind w:left="3711" w:hanging="602"/>
      </w:pPr>
      <w:rPr>
        <w:lang w:val="zh-CN" w:eastAsia="zh-CN" w:bidi="zh-CN"/>
      </w:rPr>
    </w:lvl>
    <w:lvl w:ilvl="2">
      <w:start w:val="0"/>
      <w:numFmt w:val="bullet"/>
      <w:isLgl w:val="false"/>
      <w:suff w:val="tab"/>
      <w:lvlText w:val="•"/>
      <w:lvlJc w:val="left"/>
      <w:pPr>
        <w:ind w:left="4622" w:hanging="602"/>
      </w:pPr>
      <w:rPr>
        <w:lang w:val="zh-CN" w:eastAsia="zh-CN" w:bidi="zh-CN"/>
      </w:rPr>
    </w:lvl>
    <w:lvl w:ilvl="3">
      <w:start w:val="0"/>
      <w:numFmt w:val="bullet"/>
      <w:isLgl w:val="false"/>
      <w:suff w:val="tab"/>
      <w:lvlText w:val="•"/>
      <w:lvlJc w:val="left"/>
      <w:pPr>
        <w:ind w:left="5533" w:hanging="602"/>
      </w:pPr>
      <w:rPr>
        <w:lang w:val="zh-CN" w:eastAsia="zh-CN" w:bidi="zh-CN"/>
      </w:rPr>
    </w:lvl>
    <w:lvl w:ilvl="4">
      <w:start w:val="0"/>
      <w:numFmt w:val="bullet"/>
      <w:isLgl w:val="false"/>
      <w:suff w:val="tab"/>
      <w:lvlText w:val="•"/>
      <w:lvlJc w:val="left"/>
      <w:pPr>
        <w:ind w:left="6444" w:hanging="602"/>
      </w:pPr>
      <w:rPr>
        <w:lang w:val="zh-CN" w:eastAsia="zh-CN" w:bidi="zh-CN"/>
      </w:rPr>
    </w:lvl>
    <w:lvl w:ilvl="5">
      <w:start w:val="0"/>
      <w:numFmt w:val="bullet"/>
      <w:isLgl w:val="false"/>
      <w:suff w:val="tab"/>
      <w:lvlText w:val="•"/>
      <w:lvlJc w:val="left"/>
      <w:pPr>
        <w:ind w:left="7355" w:hanging="602"/>
      </w:pPr>
      <w:rPr>
        <w:lang w:val="zh-CN" w:eastAsia="zh-CN" w:bidi="zh-CN"/>
      </w:rPr>
    </w:lvl>
    <w:lvl w:ilvl="6">
      <w:start w:val="0"/>
      <w:numFmt w:val="bullet"/>
      <w:isLgl w:val="false"/>
      <w:suff w:val="tab"/>
      <w:lvlText w:val="•"/>
      <w:lvlJc w:val="left"/>
      <w:pPr>
        <w:ind w:left="8266" w:hanging="602"/>
      </w:pPr>
      <w:rPr>
        <w:lang w:val="zh-CN" w:eastAsia="zh-CN" w:bidi="zh-CN"/>
      </w:rPr>
    </w:lvl>
    <w:lvl w:ilvl="7">
      <w:start w:val="0"/>
      <w:numFmt w:val="bullet"/>
      <w:isLgl w:val="false"/>
      <w:suff w:val="tab"/>
      <w:lvlText w:val="•"/>
      <w:lvlJc w:val="left"/>
      <w:pPr>
        <w:ind w:left="9177" w:hanging="602"/>
      </w:pPr>
      <w:rPr>
        <w:lang w:val="zh-CN" w:eastAsia="zh-CN" w:bidi="zh-CN"/>
      </w:rPr>
    </w:lvl>
    <w:lvl w:ilvl="8">
      <w:start w:val="0"/>
      <w:numFmt w:val="bullet"/>
      <w:isLgl w:val="false"/>
      <w:suff w:val="tab"/>
      <w:lvlText w:val="•"/>
      <w:lvlJc w:val="left"/>
      <w:pPr>
        <w:ind w:left="10088" w:hanging="602"/>
      </w:pPr>
      <w:rPr>
        <w:lang w:val="zh-CN" w:eastAsia="zh-CN" w:bidi="zh-CN"/>
      </w:rPr>
    </w:lvl>
  </w:abstractNum>
  <w:abstractNum w:abstractNumId="16">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lvlOverride w:ilvl="0">
      <w:startOverride w:val="1"/>
    </w:lvlOverride>
  </w:num>
  <w:num w:numId="2">
    <w:abstractNumId w:val="13"/>
    <w:lvlOverride w:ilvl="0">
      <w:startOverride w:val="2"/>
    </w:lvlOverride>
  </w:num>
  <w:num w:numId="3">
    <w:abstractNumId w:val="2"/>
    <w:lvlOverride w:ilvl="0">
      <w:startOverride w:val="6"/>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num>
  <w:num w:numId="11">
    <w:abstractNumId w:val="15"/>
    <w:lvlOverride w:ilvl="0">
      <w:startOverride w:val="1"/>
    </w:lvlOverride>
  </w:num>
  <w:num w:numId="12">
    <w:abstractNumId w:val="10"/>
    <w:lvlOverride w:ilvl="0">
      <w:startOverride w:val="1"/>
    </w:lvlOverride>
  </w:num>
  <w:num w:numId="13">
    <w:abstractNumId w:val="5"/>
    <w:lvlOverride w:ilvl="0">
      <w:startOverride w:val="1"/>
    </w:lvlOverride>
  </w:num>
  <w:num w:numId="14">
    <w:abstractNumId w:val="4"/>
    <w:lvlOverride w:ilvl="0">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6"/>
    <w:link w:val="741"/>
    <w:uiPriority w:val="9"/>
    <w:rPr>
      <w:rFonts w:ascii="Arial" w:hAnsi="Arial" w:eastAsia="Arial" w:cs="Arial"/>
      <w:sz w:val="40"/>
      <w:szCs w:val="40"/>
    </w:rPr>
  </w:style>
  <w:style w:type="character" w:styleId="15">
    <w:name w:val="Heading 2 Char"/>
    <w:basedOn w:val="746"/>
    <w:link w:val="742"/>
    <w:uiPriority w:val="9"/>
    <w:rPr>
      <w:rFonts w:ascii="Arial" w:hAnsi="Arial" w:eastAsia="Arial" w:cs="Arial"/>
      <w:sz w:val="34"/>
    </w:rPr>
  </w:style>
  <w:style w:type="character" w:styleId="17">
    <w:name w:val="Heading 3 Char"/>
    <w:basedOn w:val="746"/>
    <w:link w:val="743"/>
    <w:uiPriority w:val="9"/>
    <w:rPr>
      <w:rFonts w:ascii="Arial" w:hAnsi="Arial" w:eastAsia="Arial" w:cs="Arial"/>
      <w:sz w:val="30"/>
      <w:szCs w:val="30"/>
    </w:rPr>
  </w:style>
  <w:style w:type="character" w:styleId="19">
    <w:name w:val="Heading 4 Char"/>
    <w:basedOn w:val="746"/>
    <w:link w:val="744"/>
    <w:uiPriority w:val="9"/>
    <w:rPr>
      <w:rFonts w:ascii="Arial" w:hAnsi="Arial" w:eastAsia="Arial" w:cs="Arial"/>
      <w:b/>
      <w:bCs/>
      <w:sz w:val="26"/>
      <w:szCs w:val="26"/>
    </w:rPr>
  </w:style>
  <w:style w:type="paragraph" w:styleId="20">
    <w:name w:val="Heading 5"/>
    <w:basedOn w:val="740"/>
    <w:next w:val="7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46"/>
    <w:link w:val="20"/>
    <w:uiPriority w:val="9"/>
    <w:rPr>
      <w:rFonts w:ascii="Arial" w:hAnsi="Arial" w:eastAsia="Arial" w:cs="Arial"/>
      <w:b/>
      <w:bCs/>
      <w:sz w:val="24"/>
      <w:szCs w:val="24"/>
    </w:rPr>
  </w:style>
  <w:style w:type="character" w:styleId="23">
    <w:name w:val="Heading 6 Char"/>
    <w:basedOn w:val="746"/>
    <w:link w:val="745"/>
    <w:uiPriority w:val="9"/>
    <w:rPr>
      <w:rFonts w:ascii="Arial" w:hAnsi="Arial" w:eastAsia="Arial" w:cs="Arial"/>
      <w:b/>
      <w:bCs/>
      <w:sz w:val="22"/>
      <w:szCs w:val="22"/>
    </w:rPr>
  </w:style>
  <w:style w:type="paragraph" w:styleId="24">
    <w:name w:val="Heading 7"/>
    <w:basedOn w:val="740"/>
    <w:next w:val="7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6"/>
    <w:link w:val="24"/>
    <w:uiPriority w:val="9"/>
    <w:rPr>
      <w:rFonts w:ascii="Arial" w:hAnsi="Arial" w:eastAsia="Arial" w:cs="Arial"/>
      <w:b/>
      <w:bCs/>
      <w:i/>
      <w:iCs/>
      <w:sz w:val="22"/>
      <w:szCs w:val="22"/>
    </w:rPr>
  </w:style>
  <w:style w:type="paragraph" w:styleId="26">
    <w:name w:val="Heading 8"/>
    <w:basedOn w:val="740"/>
    <w:next w:val="7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46"/>
    <w:link w:val="26"/>
    <w:uiPriority w:val="9"/>
    <w:rPr>
      <w:rFonts w:ascii="Arial" w:hAnsi="Arial" w:eastAsia="Arial" w:cs="Arial"/>
      <w:i/>
      <w:iCs/>
      <w:sz w:val="22"/>
      <w:szCs w:val="22"/>
    </w:rPr>
  </w:style>
  <w:style w:type="paragraph" w:styleId="28">
    <w:name w:val="Heading 9"/>
    <w:basedOn w:val="740"/>
    <w:next w:val="7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40"/>
    <w:next w:val="740"/>
    <w:link w:val="34"/>
    <w:uiPriority w:val="10"/>
    <w:qFormat/>
    <w:pPr>
      <w:contextualSpacing/>
      <w:spacing w:before="300" w:after="200"/>
    </w:pPr>
    <w:rPr>
      <w:sz w:val="48"/>
      <w:szCs w:val="48"/>
    </w:rPr>
  </w:style>
  <w:style w:type="character" w:styleId="34">
    <w:name w:val="Title Char"/>
    <w:basedOn w:val="746"/>
    <w:link w:val="33"/>
    <w:uiPriority w:val="10"/>
    <w:rPr>
      <w:sz w:val="48"/>
      <w:szCs w:val="48"/>
    </w:rPr>
  </w:style>
  <w:style w:type="paragraph" w:styleId="35">
    <w:name w:val="Subtitle"/>
    <w:basedOn w:val="740"/>
    <w:next w:val="740"/>
    <w:link w:val="36"/>
    <w:uiPriority w:val="11"/>
    <w:qFormat/>
    <w:pPr>
      <w:spacing w:before="200" w:after="200"/>
    </w:pPr>
    <w:rPr>
      <w:sz w:val="24"/>
      <w:szCs w:val="24"/>
    </w:rPr>
  </w:style>
  <w:style w:type="character" w:styleId="36">
    <w:name w:val="Subtitle Char"/>
    <w:basedOn w:val="746"/>
    <w:link w:val="35"/>
    <w:uiPriority w:val="11"/>
    <w:rPr>
      <w:sz w:val="24"/>
      <w:szCs w:val="24"/>
    </w:rPr>
  </w:style>
  <w:style w:type="paragraph" w:styleId="37">
    <w:name w:val="Quote"/>
    <w:basedOn w:val="740"/>
    <w:next w:val="740"/>
    <w:link w:val="38"/>
    <w:uiPriority w:val="29"/>
    <w:qFormat/>
    <w:pPr>
      <w:ind w:left="720" w:right="720"/>
    </w:pPr>
    <w:rPr>
      <w:i/>
    </w:rPr>
  </w:style>
  <w:style w:type="character" w:styleId="38">
    <w:name w:val="Quote Char"/>
    <w:link w:val="37"/>
    <w:uiPriority w:val="29"/>
    <w:rPr>
      <w:i/>
    </w:rPr>
  </w:style>
  <w:style w:type="paragraph" w:styleId="39">
    <w:name w:val="Intense Quote"/>
    <w:basedOn w:val="740"/>
    <w:next w:val="7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6"/>
    <w:link w:val="763"/>
    <w:uiPriority w:val="99"/>
  </w:style>
  <w:style w:type="character" w:styleId="44">
    <w:name w:val="Footer Char"/>
    <w:basedOn w:val="746"/>
    <w:link w:val="762"/>
    <w:uiPriority w:val="99"/>
  </w:style>
  <w:style w:type="paragraph" w:styleId="45">
    <w:name w:val="Caption"/>
    <w:basedOn w:val="740"/>
    <w:next w:val="740"/>
    <w:uiPriority w:val="35"/>
    <w:semiHidden/>
    <w:unhideWhenUsed/>
    <w:qFormat/>
    <w:pPr>
      <w:spacing w:line="276" w:lineRule="auto"/>
    </w:pPr>
    <w:rPr>
      <w:b/>
      <w:bCs/>
      <w:color w:val="4f81bd" w:themeColor="accent1"/>
      <w:sz w:val="18"/>
      <w:szCs w:val="18"/>
    </w:rPr>
  </w:style>
  <w:style w:type="character" w:styleId="46">
    <w:name w:val="Caption Char"/>
    <w:basedOn w:val="45"/>
    <w:link w:val="762"/>
    <w:uiPriority w:val="99"/>
  </w:style>
  <w:style w:type="table" w:styleId="48">
    <w:name w:val="Table Grid Light"/>
    <w:basedOn w:val="7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6"/>
    <w:uiPriority w:val="99"/>
    <w:unhideWhenUsed/>
    <w:rPr>
      <w:vertAlign w:val="superscript"/>
    </w:rPr>
  </w:style>
  <w:style w:type="paragraph" w:styleId="177">
    <w:name w:val="endnote text"/>
    <w:basedOn w:val="7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6"/>
    <w:uiPriority w:val="99"/>
    <w:semiHidden/>
    <w:unhideWhenUsed/>
    <w:rPr>
      <w:vertAlign w:val="superscript"/>
    </w:rPr>
  </w:style>
  <w:style w:type="paragraph" w:styleId="181">
    <w:name w:val="toc 2"/>
    <w:basedOn w:val="740"/>
    <w:next w:val="740"/>
    <w:uiPriority w:val="39"/>
    <w:unhideWhenUsed/>
    <w:pPr>
      <w:ind w:left="283" w:right="0" w:firstLine="0"/>
      <w:spacing w:after="57"/>
    </w:pPr>
  </w:style>
  <w:style w:type="paragraph" w:styleId="182">
    <w:name w:val="toc 3"/>
    <w:basedOn w:val="740"/>
    <w:next w:val="740"/>
    <w:uiPriority w:val="39"/>
    <w:unhideWhenUsed/>
    <w:pPr>
      <w:ind w:left="567" w:right="0" w:firstLine="0"/>
      <w:spacing w:after="57"/>
    </w:pPr>
  </w:style>
  <w:style w:type="paragraph" w:styleId="183">
    <w:name w:val="toc 4"/>
    <w:basedOn w:val="740"/>
    <w:next w:val="740"/>
    <w:uiPriority w:val="39"/>
    <w:unhideWhenUsed/>
    <w:pPr>
      <w:ind w:left="850" w:right="0" w:firstLine="0"/>
      <w:spacing w:after="57"/>
    </w:pPr>
  </w:style>
  <w:style w:type="paragraph" w:styleId="184">
    <w:name w:val="toc 5"/>
    <w:basedOn w:val="740"/>
    <w:next w:val="740"/>
    <w:uiPriority w:val="39"/>
    <w:unhideWhenUsed/>
    <w:pPr>
      <w:ind w:left="1134" w:right="0" w:firstLine="0"/>
      <w:spacing w:after="57"/>
    </w:pPr>
  </w:style>
  <w:style w:type="paragraph" w:styleId="185">
    <w:name w:val="toc 6"/>
    <w:basedOn w:val="740"/>
    <w:next w:val="740"/>
    <w:uiPriority w:val="39"/>
    <w:unhideWhenUsed/>
    <w:pPr>
      <w:ind w:left="1417" w:right="0" w:firstLine="0"/>
      <w:spacing w:after="57"/>
    </w:pPr>
  </w:style>
  <w:style w:type="paragraph" w:styleId="186">
    <w:name w:val="toc 7"/>
    <w:basedOn w:val="740"/>
    <w:next w:val="740"/>
    <w:uiPriority w:val="39"/>
    <w:unhideWhenUsed/>
    <w:pPr>
      <w:ind w:left="1701" w:right="0" w:firstLine="0"/>
      <w:spacing w:after="57"/>
    </w:pPr>
  </w:style>
  <w:style w:type="paragraph" w:styleId="187">
    <w:name w:val="toc 8"/>
    <w:basedOn w:val="740"/>
    <w:next w:val="740"/>
    <w:uiPriority w:val="39"/>
    <w:unhideWhenUsed/>
    <w:pPr>
      <w:ind w:left="1984" w:right="0" w:firstLine="0"/>
      <w:spacing w:after="57"/>
    </w:pPr>
  </w:style>
  <w:style w:type="paragraph" w:styleId="188">
    <w:name w:val="toc 9"/>
    <w:basedOn w:val="740"/>
    <w:next w:val="74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0"/>
    <w:next w:val="740"/>
    <w:uiPriority w:val="99"/>
    <w:unhideWhenUsed/>
    <w:pPr>
      <w:spacing w:after="0" w:afterAutospacing="0"/>
    </w:pPr>
  </w:style>
  <w:style w:type="paragraph" w:styleId="740" w:default="1">
    <w:name w:val="Normal"/>
    <w:uiPriority w:val="0"/>
    <w:qFormat/>
    <w:pPr>
      <w:widowControl w:val="off"/>
    </w:pPr>
    <w:rPr>
      <w:rFonts w:ascii="宋体" w:hAnsi="宋体" w:eastAsia="宋体" w:cs="宋体"/>
      <w:sz w:val="22"/>
      <w:szCs w:val="22"/>
      <w:lang w:val="zh-CN" w:eastAsia="zh-CN" w:bidi="zh-CN"/>
    </w:rPr>
  </w:style>
  <w:style w:type="paragraph" w:styleId="741">
    <w:name w:val="Heading 1"/>
    <w:basedOn w:val="740"/>
    <w:next w:val="740"/>
    <w:link w:val="786"/>
    <w:uiPriority w:val="0"/>
    <w:qFormat/>
    <w:pPr>
      <w:keepLines/>
      <w:keepNext/>
      <w:spacing w:before="340" w:after="330" w:line="576" w:lineRule="auto"/>
      <w:outlineLvl w:val="0"/>
    </w:pPr>
    <w:rPr>
      <w:rFonts w:ascii="Times New Roman" w:hAnsi="Times New Roman" w:cs="Times New Roman"/>
      <w:b/>
      <w:bCs/>
      <w:sz w:val="44"/>
      <w:szCs w:val="44"/>
    </w:rPr>
  </w:style>
  <w:style w:type="paragraph" w:styleId="742">
    <w:name w:val="Heading 2"/>
    <w:basedOn w:val="740"/>
    <w:next w:val="740"/>
    <w:link w:val="787"/>
    <w:uiPriority w:val="0"/>
    <w:qFormat/>
    <w:pPr>
      <w:keepLines/>
      <w:keepNext/>
      <w:spacing w:before="260" w:after="260" w:line="415" w:lineRule="auto"/>
      <w:outlineLvl w:val="1"/>
    </w:pPr>
    <w:rPr>
      <w:rFonts w:ascii="等线 Light" w:hAnsi="等线 Light" w:eastAsia="等线 Light" w:cs="Times New Roman"/>
      <w:b/>
      <w:bCs/>
      <w:sz w:val="32"/>
      <w:szCs w:val="32"/>
    </w:rPr>
  </w:style>
  <w:style w:type="paragraph" w:styleId="743">
    <w:name w:val="Heading 3"/>
    <w:basedOn w:val="740"/>
    <w:next w:val="740"/>
    <w:link w:val="788"/>
    <w:uiPriority w:val="0"/>
    <w:qFormat/>
    <w:pPr>
      <w:keepLines/>
      <w:keepNext/>
      <w:spacing w:before="260" w:after="260" w:line="412" w:lineRule="auto"/>
      <w:outlineLvl w:val="2"/>
    </w:pPr>
    <w:rPr>
      <w:rFonts w:ascii="Times New Roman" w:hAnsi="Times New Roman" w:cs="Times New Roman"/>
      <w:b/>
      <w:sz w:val="32"/>
    </w:rPr>
  </w:style>
  <w:style w:type="paragraph" w:styleId="744">
    <w:name w:val="Heading 4"/>
    <w:basedOn w:val="740"/>
    <w:next w:val="740"/>
    <w:link w:val="789"/>
    <w:uiPriority w:val="0"/>
    <w:qFormat/>
    <w:pPr>
      <w:keepLines/>
      <w:keepNext/>
      <w:spacing w:before="280" w:after="290" w:line="374" w:lineRule="auto"/>
      <w:outlineLvl w:val="3"/>
    </w:pPr>
    <w:rPr>
      <w:rFonts w:ascii="等线 Light" w:hAnsi="等线 Light" w:eastAsia="等线 Light" w:cs="华文宋体"/>
      <w:b/>
      <w:bCs/>
      <w:sz w:val="28"/>
      <w:szCs w:val="28"/>
    </w:rPr>
  </w:style>
  <w:style w:type="paragraph" w:styleId="745">
    <w:name w:val="Heading 6"/>
    <w:basedOn w:val="740"/>
    <w:next w:val="740"/>
    <w:link w:val="790"/>
    <w:uiPriority w:val="0"/>
    <w:qFormat/>
    <w:pPr>
      <w:ind w:firstLine="560"/>
      <w:jc w:val="both"/>
      <w:keepNext/>
      <w:spacing w:line="500" w:lineRule="atLeast"/>
      <w:outlineLvl w:val="5"/>
    </w:pPr>
    <w:rPr>
      <w:rFonts w:ascii="Arial" w:hAnsi="Arial" w:cs="Times New Roman"/>
      <w:sz w:val="28"/>
      <w:szCs w:val="28"/>
      <w:lang w:bidi="ar-SA"/>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List 3"/>
    <w:basedOn w:val="740"/>
    <w:uiPriority w:val="0"/>
    <w:qFormat/>
    <w:pPr>
      <w:ind w:left="1260" w:hanging="420"/>
      <w:jc w:val="both"/>
    </w:pPr>
    <w:rPr>
      <w:rFonts w:ascii="Times New Roman" w:hAnsi="Times New Roman" w:cs="Times New Roman"/>
      <w:sz w:val="21"/>
      <w:szCs w:val="20"/>
      <w:lang w:val="en-US" w:bidi="ar-SA"/>
    </w:rPr>
  </w:style>
  <w:style w:type="paragraph" w:styleId="749">
    <w:name w:val="Normal Indent"/>
    <w:basedOn w:val="740"/>
    <w:link w:val="791"/>
    <w:uiPriority w:val="0"/>
    <w:qFormat/>
    <w:pPr>
      <w:ind w:firstLine="420"/>
      <w:spacing w:line="460" w:lineRule="exact"/>
    </w:pPr>
    <w:rPr>
      <w:rFonts w:ascii="Times New Roman" w:hAnsi="Times New Roman" w:cs="Times New Roman"/>
      <w:spacing w:val="14"/>
      <w:sz w:val="24"/>
    </w:rPr>
  </w:style>
  <w:style w:type="paragraph" w:styleId="750">
    <w:name w:val="Document Map"/>
    <w:basedOn w:val="740"/>
    <w:link w:val="792"/>
    <w:uiPriority w:val="0"/>
    <w:qFormat/>
    <w:pPr>
      <w:jc w:val="both"/>
    </w:pPr>
    <w:rPr>
      <w:rFonts w:ascii="Times New Roman" w:hAnsi="Calibri" w:cs="Times New Roman"/>
      <w:sz w:val="18"/>
      <w:szCs w:val="18"/>
      <w:lang w:bidi="ar-SA"/>
    </w:rPr>
  </w:style>
  <w:style w:type="paragraph" w:styleId="751">
    <w:name w:val="annotation text"/>
    <w:basedOn w:val="740"/>
    <w:link w:val="793"/>
    <w:uiPriority w:val="0"/>
    <w:qFormat/>
    <w:rPr>
      <w:rFonts w:ascii="Times New Roman" w:hAnsi="Times New Roman" w:cs="Times New Roman"/>
      <w:sz w:val="21"/>
      <w:szCs w:val="21"/>
    </w:rPr>
  </w:style>
  <w:style w:type="paragraph" w:styleId="752">
    <w:name w:val="Salutation"/>
    <w:basedOn w:val="740"/>
    <w:next w:val="740"/>
    <w:link w:val="794"/>
    <w:uiPriority w:val="0"/>
    <w:qFormat/>
    <w:pPr>
      <w:jc w:val="both"/>
    </w:pPr>
    <w:rPr>
      <w:rFonts w:ascii="Times New Roman" w:hAnsi="Times New Roman" w:cs="Times New Roman"/>
      <w:sz w:val="30"/>
      <w:szCs w:val="20"/>
      <w:lang w:bidi="ar-SA"/>
    </w:rPr>
  </w:style>
  <w:style w:type="paragraph" w:styleId="753">
    <w:name w:val="Body Text"/>
    <w:basedOn w:val="740"/>
    <w:link w:val="784"/>
    <w:uiPriority w:val="0"/>
    <w:qFormat/>
    <w:pPr>
      <w:spacing w:after="120"/>
    </w:pPr>
    <w:rPr>
      <w:rFonts w:ascii="Times New Roman" w:hAnsi="Times New Roman" w:cs="Times New Roman"/>
    </w:rPr>
  </w:style>
  <w:style w:type="paragraph" w:styleId="754">
    <w:name w:val="Body Text Indent"/>
    <w:basedOn w:val="740"/>
    <w:link w:val="795"/>
    <w:uiPriority w:val="0"/>
    <w:qFormat/>
    <w:pPr>
      <w:ind w:left="420"/>
      <w:spacing w:after="120"/>
    </w:pPr>
    <w:rPr>
      <w:rFonts w:ascii="Times New Roman" w:hAnsi="Times New Roman" w:cs="Times New Roman"/>
    </w:rPr>
  </w:style>
  <w:style w:type="paragraph" w:styleId="755">
    <w:name w:val="List 2"/>
    <w:basedOn w:val="740"/>
    <w:uiPriority w:val="0"/>
    <w:qFormat/>
    <w:pPr>
      <w:ind w:left="840" w:hanging="420"/>
      <w:jc w:val="both"/>
    </w:pPr>
    <w:rPr>
      <w:rFonts w:ascii="Times New Roman" w:hAnsi="Times New Roman" w:cs="Times New Roman"/>
      <w:sz w:val="21"/>
      <w:szCs w:val="20"/>
      <w:lang w:val="en-US" w:bidi="ar-SA"/>
    </w:rPr>
  </w:style>
  <w:style w:type="paragraph" w:styleId="756">
    <w:name w:val="Block Text"/>
    <w:basedOn w:val="740"/>
    <w:uiPriority w:val="0"/>
    <w:qFormat/>
    <w:pPr>
      <w:ind w:left="1440" w:right="1440"/>
      <w:spacing w:after="120"/>
    </w:pPr>
    <w:rPr>
      <w:rFonts w:ascii="Times New Roman" w:hAnsi="Times New Roman" w:cs="Times New Roman"/>
    </w:rPr>
  </w:style>
  <w:style w:type="paragraph" w:styleId="757">
    <w:name w:val="index 4"/>
    <w:basedOn w:val="740"/>
    <w:next w:val="740"/>
    <w:uiPriority w:val="0"/>
    <w:semiHidden/>
    <w:qFormat/>
    <w:pPr>
      <w:ind w:left="1260"/>
    </w:pPr>
  </w:style>
  <w:style w:type="paragraph" w:styleId="758">
    <w:name w:val="Plain Text"/>
    <w:basedOn w:val="740"/>
    <w:link w:val="796"/>
    <w:uiPriority w:val="0"/>
    <w:qFormat/>
    <w:rPr>
      <w:rFonts w:ascii="Times New Roman" w:hAnsi="Courier New" w:cs="Times New Roman"/>
      <w:szCs w:val="20"/>
    </w:rPr>
  </w:style>
  <w:style w:type="paragraph" w:styleId="759">
    <w:name w:val="Date"/>
    <w:basedOn w:val="740"/>
    <w:next w:val="740"/>
    <w:link w:val="797"/>
    <w:uiPriority w:val="0"/>
    <w:qFormat/>
    <w:pPr>
      <w:ind w:left="100"/>
    </w:pPr>
    <w:rPr>
      <w:rFonts w:ascii="Times New Roman" w:hAnsi="Times New Roman" w:cs="Times New Roman"/>
    </w:rPr>
  </w:style>
  <w:style w:type="paragraph" w:styleId="760">
    <w:name w:val="Body Text Indent 2"/>
    <w:basedOn w:val="740"/>
    <w:link w:val="798"/>
    <w:uiPriority w:val="0"/>
    <w:qFormat/>
    <w:pPr>
      <w:ind w:firstLine="525"/>
      <w:jc w:val="both"/>
      <w:spacing w:line="420" w:lineRule="exact"/>
    </w:pPr>
    <w:rPr>
      <w:rFonts w:ascii="Times New Roman" w:hAnsi="Times New Roman" w:cs="Times New Roman"/>
      <w:sz w:val="21"/>
      <w:szCs w:val="20"/>
      <w:lang w:bidi="ar-SA"/>
    </w:rPr>
  </w:style>
  <w:style w:type="paragraph" w:styleId="761">
    <w:name w:val="Balloon Text"/>
    <w:basedOn w:val="740"/>
    <w:link w:val="799"/>
    <w:uiPriority w:val="0"/>
    <w:qFormat/>
    <w:rPr>
      <w:rFonts w:ascii="Times New Roman" w:hAnsi="Times New Roman" w:cs="Times New Roman"/>
      <w:sz w:val="18"/>
      <w:szCs w:val="18"/>
    </w:rPr>
  </w:style>
  <w:style w:type="paragraph" w:styleId="762">
    <w:name w:val="Footer"/>
    <w:basedOn w:val="740"/>
    <w:link w:val="800"/>
    <w:uiPriority w:val="0"/>
    <w:qFormat/>
    <w:pPr>
      <w:tabs>
        <w:tab w:val="center" w:pos="4153" w:leader="none"/>
        <w:tab w:val="right" w:pos="8306" w:leader="none"/>
      </w:tabs>
    </w:pPr>
    <w:rPr>
      <w:rFonts w:ascii="Times New Roman" w:hAnsi="Times New Roman" w:cs="Times New Roman"/>
      <w:sz w:val="18"/>
      <w:szCs w:val="18"/>
    </w:rPr>
  </w:style>
  <w:style w:type="paragraph" w:styleId="763">
    <w:name w:val="Header"/>
    <w:basedOn w:val="740"/>
    <w:link w:val="801"/>
    <w:uiPriority w:val="0"/>
    <w:qFormat/>
    <w:pPr>
      <w:jc w:val="center"/>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764">
    <w:name w:val="toc 1"/>
    <w:basedOn w:val="740"/>
    <w:next w:val="740"/>
    <w:uiPriority w:val="0"/>
    <w:qFormat/>
    <w:rPr>
      <w:rFonts w:ascii="Times New Roman" w:hAnsi="Times New Roman" w:cs="Times New Roman"/>
    </w:rPr>
  </w:style>
  <w:style w:type="paragraph" w:styleId="765">
    <w:name w:val="Body Text Indent 3"/>
    <w:basedOn w:val="740"/>
    <w:link w:val="802"/>
    <w:uiPriority w:val="0"/>
    <w:qFormat/>
    <w:pPr>
      <w:ind w:firstLine="360"/>
      <w:jc w:val="both"/>
      <w:spacing w:line="440" w:lineRule="atLeast"/>
    </w:pPr>
    <w:rPr>
      <w:rFonts w:ascii="Times New Roman" w:hAnsi="Arial" w:cs="Times New Roman"/>
      <w:sz w:val="21"/>
      <w:szCs w:val="20"/>
      <w:lang w:bidi="ar-SA"/>
    </w:rPr>
  </w:style>
  <w:style w:type="paragraph" w:styleId="766">
    <w:name w:val="Body Text 2"/>
    <w:basedOn w:val="740"/>
    <w:link w:val="785"/>
    <w:uiPriority w:val="0"/>
    <w:qFormat/>
    <w:pPr>
      <w:jc w:val="center"/>
    </w:pPr>
    <w:rPr>
      <w:rFonts w:ascii="Times New Roman" w:hAnsi="Times New Roman" w:eastAsia="楷体_GB2312" w:cs="Times New Roman"/>
      <w:sz w:val="21"/>
      <w:szCs w:val="24"/>
      <w:lang w:bidi="ar-SA"/>
    </w:rPr>
  </w:style>
  <w:style w:type="paragraph" w:styleId="767">
    <w:name w:val="Normal (Web)"/>
    <w:basedOn w:val="740"/>
    <w:uiPriority w:val="0"/>
    <w:qFormat/>
    <w:pPr>
      <w:spacing w:before="100" w:beforeAutospacing="1" w:after="100" w:afterAutospacing="1"/>
      <w:widowControl/>
    </w:pPr>
    <w:rPr>
      <w:rFonts w:ascii="Times New Roman" w:hAnsi="Times New Roman" w:cs="Times New Roman"/>
      <w:b/>
      <w:sz w:val="24"/>
      <w:szCs w:val="24"/>
      <w:lang w:val="en-US" w:bidi="ar-SA"/>
    </w:rPr>
  </w:style>
  <w:style w:type="paragraph" w:styleId="768">
    <w:name w:val="index 1"/>
    <w:basedOn w:val="740"/>
    <w:next w:val="740"/>
    <w:uiPriority w:val="0"/>
    <w:qFormat/>
    <w:pPr>
      <w:jc w:val="both"/>
    </w:pPr>
    <w:rPr>
      <w:rFonts w:ascii="Times New Roman" w:hAnsi="Times New Roman" w:cs="Times New Roman"/>
      <w:sz w:val="21"/>
      <w:szCs w:val="24"/>
      <w:lang w:val="en-US" w:bidi="ar-SA"/>
    </w:rPr>
  </w:style>
  <w:style w:type="paragraph" w:styleId="769">
    <w:name w:val="annotation subject"/>
    <w:basedOn w:val="751"/>
    <w:next w:val="751"/>
    <w:link w:val="803"/>
    <w:uiPriority w:val="0"/>
    <w:qFormat/>
    <w:rPr>
      <w:rFonts w:ascii="Calibri" w:hAnsi="Calibri"/>
      <w:b/>
      <w:bCs/>
      <w:szCs w:val="22"/>
      <w:lang w:bidi="ar-SA"/>
    </w:rPr>
  </w:style>
  <w:style w:type="paragraph" w:styleId="770">
    <w:name w:val="Body Text First Indent"/>
    <w:basedOn w:val="753"/>
    <w:link w:val="804"/>
    <w:uiPriority w:val="0"/>
    <w:qFormat/>
    <w:pPr>
      <w:ind w:firstLine="420"/>
      <w:jc w:val="both"/>
    </w:pPr>
    <w:rPr>
      <w:rFonts w:ascii="Calibri" w:hAnsi="Calibri"/>
      <w:sz w:val="21"/>
      <w:lang w:val="en-US" w:bidi="ar-SA"/>
    </w:rPr>
  </w:style>
  <w:style w:type="paragraph" w:styleId="771">
    <w:name w:val="Body Text First Indent 2"/>
    <w:basedOn w:val="754"/>
    <w:link w:val="805"/>
    <w:uiPriority w:val="0"/>
    <w:qFormat/>
    <w:pPr>
      <w:ind w:firstLine="420"/>
    </w:pPr>
  </w:style>
  <w:style w:type="table" w:styleId="772">
    <w:name w:val="Table Grid"/>
    <w:basedOn w:val="74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Strong"/>
    <w:uiPriority w:val="0"/>
    <w:qFormat/>
    <w:rPr>
      <w:rFonts w:ascii="Times New Roman" w:hAnsi="Times New Roman" w:eastAsia="宋体" w:cs="Times New Roman"/>
      <w:b/>
      <w:bCs/>
    </w:rPr>
  </w:style>
  <w:style w:type="character" w:styleId="774">
    <w:name w:val="page number"/>
    <w:uiPriority w:val="0"/>
    <w:qFormat/>
    <w:rPr>
      <w:rFonts w:hint="default" w:ascii="Times New Roman" w:hAnsi="Times New Roman" w:eastAsia="宋体" w:cs="Times New Roman"/>
    </w:rPr>
  </w:style>
  <w:style w:type="character" w:styleId="775">
    <w:name w:val="FollowedHyperlink"/>
    <w:uiPriority w:val="0"/>
    <w:qFormat/>
    <w:rPr>
      <w:rFonts w:ascii="Times New Roman" w:hAnsi="Times New Roman" w:eastAsia="宋体" w:cs="Times New Roman"/>
      <w:color w:val="954f72"/>
      <w:u w:val="single"/>
    </w:rPr>
  </w:style>
  <w:style w:type="character" w:styleId="776">
    <w:name w:val="Emphasis"/>
    <w:uiPriority w:val="0"/>
    <w:qFormat/>
    <w:rPr>
      <w:i/>
    </w:rPr>
  </w:style>
  <w:style w:type="character" w:styleId="777">
    <w:name w:val="Hyperlink"/>
    <w:uiPriority w:val="0"/>
    <w:qFormat/>
    <w:rPr>
      <w:rFonts w:ascii="Times New Roman" w:hAnsi="Times New Roman" w:eastAsia="宋体" w:cs="Times New Roman"/>
      <w:color w:val="0563c1"/>
      <w:u w:val="single"/>
    </w:rPr>
  </w:style>
  <w:style w:type="character" w:styleId="778">
    <w:name w:val="annotation reference"/>
    <w:uiPriority w:val="0"/>
    <w:qFormat/>
    <w:rPr>
      <w:rFonts w:ascii="Times New Roman" w:hAnsi="Times New Roman" w:eastAsia="宋体" w:cs="Times New Roman"/>
      <w:sz w:val="21"/>
      <w:szCs w:val="21"/>
    </w:rPr>
  </w:style>
  <w:style w:type="paragraph" w:styleId="779" w:customStyle="1">
    <w:name w:val="正文1"/>
    <w:uiPriority w:val="0"/>
    <w:qFormat/>
    <w:rPr>
      <w:rFonts w:ascii="Calibri" w:hAnsi="Calibri" w:eastAsia="宋体" w:cs="Times New Roman"/>
      <w:sz w:val="24"/>
      <w:szCs w:val="24"/>
      <w:lang w:val="en-US" w:eastAsia="zh-CN" w:bidi="ar-SA"/>
    </w:rPr>
  </w:style>
  <w:style w:type="paragraph" w:styleId="780" w:customStyle="1">
    <w:name w:val="正文文本1"/>
    <w:basedOn w:val="779"/>
    <w:next w:val="781"/>
    <w:uiPriority w:val="0"/>
    <w:qFormat/>
    <w:pPr>
      <w:spacing w:after="120"/>
    </w:pPr>
    <w:rPr>
      <w:lang w:eastAsia="en-US"/>
    </w:rPr>
  </w:style>
  <w:style w:type="paragraph" w:styleId="781" w:customStyle="1">
    <w:name w:val="一级条标题"/>
    <w:basedOn w:val="782"/>
    <w:next w:val="78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2" w:customStyle="1">
    <w:name w:val="章标题"/>
    <w:next w:val="74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83" w:customStyle="1">
    <w:name w:val="段"/>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character" w:styleId="784" w:customStyle="1">
    <w:name w:val="正文文本 Char"/>
    <w:link w:val="753"/>
    <w:uiPriority w:val="0"/>
    <w:qFormat/>
    <w:rPr>
      <w:rFonts w:ascii="宋体" w:hAnsi="宋体" w:eastAsia="宋体" w:cs="宋体"/>
      <w:sz w:val="22"/>
      <w:lang w:val="zh-CN" w:bidi="zh-CN"/>
    </w:rPr>
  </w:style>
  <w:style w:type="character" w:styleId="785" w:customStyle="1">
    <w:name w:val="正文文本 2 Char"/>
    <w:link w:val="766"/>
    <w:uiPriority w:val="0"/>
    <w:qFormat/>
    <w:rPr>
      <w:rFonts w:ascii="Times New Roman" w:hAnsi="Times New Roman" w:eastAsia="楷体_GB2312" w:cs="Times New Roman"/>
      <w:szCs w:val="24"/>
      <w:lang w:val="zh-CN"/>
    </w:rPr>
  </w:style>
  <w:style w:type="character" w:styleId="786" w:customStyle="1">
    <w:name w:val="标题 1 Char1"/>
    <w:link w:val="741"/>
    <w:uiPriority w:val="0"/>
    <w:qFormat/>
    <w:rPr>
      <w:rFonts w:ascii="宋体" w:hAnsi="宋体" w:eastAsia="宋体" w:cs="宋体"/>
      <w:b/>
      <w:bCs/>
      <w:sz w:val="44"/>
      <w:szCs w:val="44"/>
      <w:lang w:val="zh-CN" w:bidi="zh-CN"/>
    </w:rPr>
  </w:style>
  <w:style w:type="character" w:styleId="787" w:customStyle="1">
    <w:name w:val="标题 2 Char"/>
    <w:link w:val="742"/>
    <w:uiPriority w:val="0"/>
    <w:qFormat/>
    <w:rPr>
      <w:rFonts w:ascii="等线 Light" w:hAnsi="等线 Light" w:eastAsia="等线 Light" w:cs="Times New Roman"/>
      <w:b/>
      <w:bCs/>
      <w:sz w:val="32"/>
      <w:szCs w:val="32"/>
      <w:lang w:val="zh-CN" w:bidi="zh-CN"/>
    </w:rPr>
  </w:style>
  <w:style w:type="character" w:styleId="788" w:customStyle="1">
    <w:name w:val="标题 3 Char1"/>
    <w:link w:val="743"/>
    <w:uiPriority w:val="0"/>
    <w:qFormat/>
    <w:rPr>
      <w:rFonts w:ascii="宋体" w:hAnsi="宋体" w:eastAsia="宋体" w:cs="宋体"/>
      <w:b/>
      <w:sz w:val="32"/>
      <w:lang w:val="zh-CN" w:bidi="zh-CN"/>
    </w:rPr>
  </w:style>
  <w:style w:type="character" w:styleId="789" w:customStyle="1">
    <w:name w:val="标题 4 Char"/>
    <w:link w:val="744"/>
    <w:uiPriority w:val="0"/>
    <w:qFormat/>
    <w:rPr>
      <w:rFonts w:ascii="等线 Light" w:hAnsi="等线 Light" w:eastAsia="等线 Light" w:cs="华文宋体"/>
      <w:b/>
      <w:bCs/>
      <w:sz w:val="28"/>
      <w:szCs w:val="28"/>
      <w:lang w:val="zh-CN" w:bidi="zh-CN"/>
    </w:rPr>
  </w:style>
  <w:style w:type="character" w:styleId="790" w:customStyle="1">
    <w:name w:val="标题 6 Char"/>
    <w:link w:val="745"/>
    <w:uiPriority w:val="0"/>
    <w:qFormat/>
    <w:rPr>
      <w:rFonts w:ascii="Arial" w:hAnsi="Arial" w:eastAsia="宋体" w:cs="Times New Roman"/>
      <w:sz w:val="28"/>
      <w:szCs w:val="28"/>
      <w:lang w:val="zh-CN"/>
    </w:rPr>
  </w:style>
  <w:style w:type="character" w:styleId="791" w:customStyle="1">
    <w:name w:val="正文缩进 Char"/>
    <w:link w:val="749"/>
    <w:uiPriority w:val="0"/>
    <w:qFormat/>
    <w:rPr>
      <w:rFonts w:ascii="宋体" w:hAnsi="宋体" w:eastAsia="宋体" w:cs="宋体"/>
      <w:spacing w:val="14"/>
      <w:sz w:val="24"/>
      <w:lang w:val="zh-CN" w:bidi="zh-CN"/>
    </w:rPr>
  </w:style>
  <w:style w:type="character" w:styleId="792" w:customStyle="1">
    <w:name w:val="文档结构图 Char"/>
    <w:link w:val="750"/>
    <w:uiPriority w:val="0"/>
    <w:qFormat/>
    <w:rPr>
      <w:rFonts w:ascii="宋体" w:hAnsi="Calibri" w:eastAsia="宋体" w:cs="Times New Roman"/>
      <w:sz w:val="18"/>
      <w:szCs w:val="18"/>
      <w:lang w:val="zh-CN"/>
    </w:rPr>
  </w:style>
  <w:style w:type="character" w:styleId="793" w:customStyle="1">
    <w:name w:val="批注文字 Char"/>
    <w:link w:val="751"/>
    <w:uiPriority w:val="0"/>
    <w:qFormat/>
    <w:rPr>
      <w:rFonts w:ascii="宋体" w:hAnsi="宋体" w:eastAsia="宋体" w:cs="宋体"/>
      <w:szCs w:val="21"/>
      <w:lang w:val="zh-CN" w:bidi="zh-CN"/>
    </w:rPr>
  </w:style>
  <w:style w:type="character" w:styleId="794" w:customStyle="1">
    <w:name w:val="称呼 Char"/>
    <w:link w:val="752"/>
    <w:uiPriority w:val="0"/>
    <w:qFormat/>
    <w:rPr>
      <w:rFonts w:ascii="Times New Roman" w:hAnsi="Times New Roman" w:eastAsia="宋体" w:cs="Times New Roman"/>
      <w:sz w:val="30"/>
      <w:szCs w:val="20"/>
      <w:lang w:val="zh-CN"/>
    </w:rPr>
  </w:style>
  <w:style w:type="character" w:styleId="795" w:customStyle="1">
    <w:name w:val="正文文本缩进 Char"/>
    <w:link w:val="754"/>
    <w:uiPriority w:val="0"/>
    <w:qFormat/>
    <w:rPr>
      <w:rFonts w:ascii="宋体" w:hAnsi="宋体" w:eastAsia="宋体" w:cs="宋体"/>
      <w:sz w:val="22"/>
      <w:lang w:val="zh-CN" w:bidi="zh-CN"/>
    </w:rPr>
  </w:style>
  <w:style w:type="character" w:styleId="796" w:customStyle="1">
    <w:name w:val="纯文本 Char"/>
    <w:link w:val="758"/>
    <w:uiPriority w:val="0"/>
    <w:qFormat/>
    <w:rPr>
      <w:rFonts w:ascii="宋体" w:hAnsi="Courier New" w:eastAsia="宋体" w:cs="宋体"/>
      <w:sz w:val="22"/>
      <w:szCs w:val="20"/>
      <w:lang w:val="zh-CN" w:bidi="zh-CN"/>
    </w:rPr>
  </w:style>
  <w:style w:type="character" w:styleId="797" w:customStyle="1">
    <w:name w:val="日期 Char"/>
    <w:link w:val="759"/>
    <w:uiPriority w:val="0"/>
    <w:qFormat/>
    <w:rPr>
      <w:rFonts w:ascii="宋体" w:hAnsi="宋体" w:eastAsia="宋体" w:cs="宋体"/>
      <w:sz w:val="22"/>
      <w:lang w:val="zh-CN" w:bidi="zh-CN"/>
    </w:rPr>
  </w:style>
  <w:style w:type="character" w:styleId="798" w:customStyle="1">
    <w:name w:val="正文文本缩进 2 Char"/>
    <w:link w:val="760"/>
    <w:uiPriority w:val="0"/>
    <w:qFormat/>
    <w:rPr>
      <w:rFonts w:ascii="宋体" w:hAnsi="Times New Roman" w:eastAsia="宋体" w:cs="Times New Roman"/>
      <w:szCs w:val="20"/>
      <w:lang w:val="zh-CN"/>
    </w:rPr>
  </w:style>
  <w:style w:type="character" w:styleId="799" w:customStyle="1">
    <w:name w:val="批注框文本 Char"/>
    <w:link w:val="761"/>
    <w:uiPriority w:val="0"/>
    <w:qFormat/>
    <w:rPr>
      <w:rFonts w:ascii="宋体" w:hAnsi="宋体" w:eastAsia="宋体" w:cs="宋体"/>
      <w:sz w:val="18"/>
      <w:szCs w:val="18"/>
      <w:lang w:val="zh-CN" w:bidi="zh-CN"/>
    </w:rPr>
  </w:style>
  <w:style w:type="character" w:styleId="800" w:customStyle="1">
    <w:name w:val="页脚 Char1"/>
    <w:link w:val="762"/>
    <w:uiPriority w:val="0"/>
    <w:qFormat/>
    <w:rPr>
      <w:rFonts w:ascii="宋体" w:hAnsi="宋体" w:eastAsia="宋体" w:cs="宋体"/>
      <w:sz w:val="18"/>
      <w:szCs w:val="18"/>
      <w:lang w:val="zh-CN" w:bidi="zh-CN"/>
    </w:rPr>
  </w:style>
  <w:style w:type="character" w:styleId="801" w:customStyle="1">
    <w:name w:val="页眉 Char1"/>
    <w:link w:val="763"/>
    <w:uiPriority w:val="0"/>
    <w:qFormat/>
    <w:rPr>
      <w:rFonts w:ascii="宋体" w:hAnsi="宋体" w:eastAsia="宋体" w:cs="宋体"/>
      <w:sz w:val="18"/>
      <w:szCs w:val="18"/>
      <w:lang w:val="zh-CN" w:bidi="zh-CN"/>
    </w:rPr>
  </w:style>
  <w:style w:type="character" w:styleId="802" w:customStyle="1">
    <w:name w:val="正文文本缩进 3 Char"/>
    <w:link w:val="765"/>
    <w:uiPriority w:val="0"/>
    <w:qFormat/>
    <w:rPr>
      <w:rFonts w:ascii="宋体" w:hAnsi="Arial" w:eastAsia="宋体" w:cs="Times New Roman"/>
      <w:szCs w:val="20"/>
      <w:lang w:val="zh-CN"/>
    </w:rPr>
  </w:style>
  <w:style w:type="character" w:styleId="803" w:customStyle="1">
    <w:name w:val="批注主题 Char"/>
    <w:link w:val="769"/>
    <w:uiPriority w:val="0"/>
    <w:qFormat/>
    <w:rPr>
      <w:rFonts w:ascii="Calibri" w:hAnsi="Calibri" w:eastAsia="宋体" w:cs="Times New Roman"/>
      <w:b/>
      <w:bCs/>
      <w:lang w:val="zh-CN"/>
    </w:rPr>
  </w:style>
  <w:style w:type="character" w:styleId="804" w:customStyle="1">
    <w:name w:val="正文首行缩进 Char2"/>
    <w:link w:val="770"/>
    <w:uiPriority w:val="0"/>
    <w:qFormat/>
    <w:rPr>
      <w:rFonts w:ascii="Calibri" w:hAnsi="Calibri" w:eastAsia="宋体" w:cs="Times New Roman"/>
      <w:sz w:val="22"/>
      <w:lang w:val="zh-CN" w:bidi="zh-CN"/>
    </w:rPr>
  </w:style>
  <w:style w:type="character" w:styleId="805" w:customStyle="1">
    <w:name w:val="正文首行缩进 2 Char"/>
    <w:link w:val="771"/>
    <w:uiPriority w:val="0"/>
    <w:qFormat/>
    <w:rPr>
      <w:rFonts w:ascii="Times New Roman" w:hAnsi="Times New Roman" w:eastAsia="宋体" w:cs="Times New Roman"/>
      <w:lang w:val="zh-CN" w:bidi="zh-CN"/>
    </w:rPr>
  </w:style>
  <w:style w:type="paragraph" w:styleId="806" w:customStyle="1">
    <w:name w:val="Table Paragraph"/>
    <w:basedOn w:val="740"/>
    <w:uiPriority w:val="0"/>
    <w:qFormat/>
    <w:rPr>
      <w:rFonts w:ascii="Times New Roman" w:hAnsi="Times New Roman" w:cs="Times New Roman"/>
    </w:rPr>
  </w:style>
  <w:style w:type="paragraph" w:styleId="807">
    <w:name w:val="List Paragraph"/>
    <w:basedOn w:val="740"/>
    <w:uiPriority w:val="0"/>
    <w:qFormat/>
    <w:pPr>
      <w:ind w:firstLine="420"/>
    </w:pPr>
    <w:rPr>
      <w:rFonts w:ascii="Times New Roman" w:hAnsi="Times New Roman" w:cs="Times New Roman"/>
    </w:rPr>
  </w:style>
  <w:style w:type="paragraph" w:styleId="808" w:customStyle="1">
    <w:name w:val="图例"/>
    <w:basedOn w:val="740"/>
    <w:uiPriority w:val="0"/>
    <w:qFormat/>
    <w:pPr>
      <w:jc w:val="center"/>
      <w:spacing w:before="120" w:after="120" w:line="360" w:lineRule="auto"/>
    </w:pPr>
    <w:rPr>
      <w:rFonts w:ascii="Times New Roman" w:hAnsi="Times New Roman" w:eastAsia="仿宋_GB2312" w:cs="Times New Roman"/>
      <w:b/>
      <w:sz w:val="24"/>
    </w:rPr>
  </w:style>
  <w:style w:type="paragraph" w:styleId="809" w:customStyle="1">
    <w:name w:val="正文_0_0_0"/>
    <w:uiPriority w:val="0"/>
    <w:qFormat/>
    <w:pPr>
      <w:jc w:val="both"/>
    </w:pPr>
    <w:rPr>
      <w:rFonts w:ascii="Calibri" w:hAnsi="Calibri" w:eastAsia="宋体" w:cs="Times New Roman"/>
      <w:lang w:val="en-US" w:eastAsia="zh-CN" w:bidi="ar-SA"/>
    </w:rPr>
  </w:style>
  <w:style w:type="paragraph" w:styleId="810" w:customStyle="1">
    <w:name w:val="列表段落1"/>
    <w:basedOn w:val="740"/>
    <w:uiPriority w:val="0"/>
    <w:qFormat/>
    <w:pPr>
      <w:ind w:firstLine="420"/>
    </w:pPr>
    <w:rPr>
      <w:rFonts w:ascii="等线" w:hAnsi="等线" w:eastAsia="等线" w:cs="Times New Roman"/>
    </w:rPr>
  </w:style>
  <w:style w:type="paragraph" w:styleId="811" w:customStyle="1">
    <w:name w:val="_Style 17"/>
    <w:basedOn w:val="740"/>
    <w:next w:val="810"/>
    <w:uiPriority w:val="0"/>
    <w:qFormat/>
    <w:pPr>
      <w:ind w:left="794" w:firstLine="420"/>
      <w:spacing w:line="440" w:lineRule="exact"/>
      <w:widowControl/>
    </w:pPr>
    <w:rPr>
      <w:rFonts w:ascii="Calibri" w:hAnsi="Calibri" w:cs="Times New Roman"/>
      <w:sz w:val="24"/>
      <w:szCs w:val="24"/>
      <w:lang w:eastAsia="en-US" w:bidi="en-US"/>
    </w:rPr>
  </w:style>
  <w:style w:type="paragraph" w:styleId="812" w:customStyle="1">
    <w:name w:val="Normal_0_2"/>
    <w:uiPriority w:val="0"/>
    <w:qFormat/>
    <w:rPr>
      <w:rFonts w:ascii="黑体" w:hAnsi="黑体" w:eastAsia="黑体" w:cs="Times New Roman"/>
      <w:b/>
      <w:sz w:val="32"/>
      <w:szCs w:val="24"/>
      <w:lang w:val="en-US" w:eastAsia="zh-CN" w:bidi="ar-SA"/>
    </w:rPr>
  </w:style>
  <w:style w:type="paragraph" w:styleId="813" w:customStyle="1">
    <w:name w:val="Normal_9_0"/>
    <w:uiPriority w:val="0"/>
    <w:qFormat/>
    <w:rPr>
      <w:rFonts w:ascii="Times New Roman" w:hAnsi="Times New Roman" w:eastAsia="Times New Roman" w:cs="Times New Roman"/>
      <w:sz w:val="24"/>
      <w:szCs w:val="24"/>
      <w:lang w:val="en-US" w:eastAsia="zh-CN" w:bidi="ar-SA"/>
    </w:rPr>
  </w:style>
  <w:style w:type="paragraph" w:styleId="814"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815"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816"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817"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818"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819" w:customStyle="1">
    <w:name w:val="Normal_12_0"/>
    <w:uiPriority w:val="0"/>
    <w:qFormat/>
    <w:rPr>
      <w:rFonts w:ascii="黑体" w:hAnsi="黑体" w:eastAsia="黑体" w:cs="Times New Roman"/>
      <w:b/>
      <w:sz w:val="32"/>
      <w:szCs w:val="24"/>
      <w:lang w:val="en-US" w:eastAsia="zh-CN" w:bidi="ar-SA"/>
    </w:rPr>
  </w:style>
  <w:style w:type="character" w:styleId="820" w:customStyle="1">
    <w:name w:val="标题 3 字符"/>
    <w:uiPriority w:val="0"/>
    <w:qFormat/>
    <w:rPr>
      <w:rFonts w:ascii="宋体" w:hAnsi="宋体" w:eastAsia="宋体" w:cs="宋体"/>
      <w:b/>
      <w:bCs/>
      <w:sz w:val="32"/>
      <w:szCs w:val="32"/>
      <w:lang w:val="zh-CN" w:bidi="zh-CN"/>
    </w:rPr>
  </w:style>
  <w:style w:type="character" w:styleId="821" w:customStyle="1">
    <w:name w:val="标题 6 字符"/>
    <w:uiPriority w:val="0"/>
    <w:qFormat/>
    <w:rPr>
      <w:rFonts w:ascii="等线 Light" w:hAnsi="等线 Light" w:eastAsia="等线 Light" w:cs="Times New Roman"/>
      <w:b/>
      <w:bCs/>
      <w:sz w:val="24"/>
      <w:szCs w:val="24"/>
      <w:lang w:val="zh-CN" w:bidi="zh-CN"/>
    </w:rPr>
  </w:style>
  <w:style w:type="paragraph" w:styleId="822" w:customStyle="1">
    <w:name w:val="msonormal"/>
    <w:basedOn w:val="740"/>
    <w:uiPriority w:val="0"/>
    <w:qFormat/>
    <w:pPr>
      <w:spacing w:before="100" w:beforeAutospacing="1" w:after="100" w:afterAutospacing="1"/>
      <w:widowControl/>
    </w:pPr>
    <w:rPr>
      <w:rFonts w:ascii="Times New Roman" w:hAnsi="Times New Roman" w:cs="Times New Roman"/>
      <w:b/>
      <w:sz w:val="24"/>
      <w:szCs w:val="24"/>
      <w:lang w:val="en-US" w:bidi="ar-SA"/>
    </w:rPr>
  </w:style>
  <w:style w:type="character" w:styleId="823" w:customStyle="1">
    <w:name w:val="称呼 字符"/>
    <w:uiPriority w:val="0"/>
    <w:qFormat/>
    <w:rPr>
      <w:rFonts w:ascii="宋体" w:hAnsi="宋体" w:eastAsia="宋体" w:cs="宋体"/>
      <w:sz w:val="22"/>
      <w:lang w:val="zh-CN" w:bidi="zh-CN"/>
    </w:rPr>
  </w:style>
  <w:style w:type="character" w:styleId="824" w:customStyle="1">
    <w:name w:val="正文文本 2 字符"/>
    <w:uiPriority w:val="0"/>
    <w:qFormat/>
    <w:rPr>
      <w:rFonts w:ascii="宋体" w:hAnsi="宋体" w:eastAsia="宋体" w:cs="宋体"/>
      <w:sz w:val="22"/>
      <w:lang w:val="zh-CN" w:bidi="zh-CN"/>
    </w:rPr>
  </w:style>
  <w:style w:type="character" w:styleId="825" w:customStyle="1">
    <w:name w:val="正文文本缩进 2 字符"/>
    <w:uiPriority w:val="0"/>
    <w:qFormat/>
    <w:rPr>
      <w:rFonts w:ascii="宋体" w:hAnsi="宋体" w:eastAsia="宋体" w:cs="宋体"/>
      <w:sz w:val="22"/>
      <w:lang w:val="zh-CN" w:bidi="zh-CN"/>
    </w:rPr>
  </w:style>
  <w:style w:type="character" w:styleId="826" w:customStyle="1">
    <w:name w:val="正文文本缩进 3 字符"/>
    <w:uiPriority w:val="0"/>
    <w:qFormat/>
    <w:rPr>
      <w:rFonts w:ascii="宋体" w:hAnsi="宋体" w:eastAsia="宋体" w:cs="宋体"/>
      <w:sz w:val="16"/>
      <w:szCs w:val="16"/>
      <w:lang w:val="zh-CN" w:bidi="zh-CN"/>
    </w:rPr>
  </w:style>
  <w:style w:type="character" w:styleId="827" w:customStyle="1">
    <w:name w:val="文档结构图 字符"/>
    <w:uiPriority w:val="0"/>
    <w:qFormat/>
    <w:rPr>
      <w:rFonts w:ascii="Microsoft YaHei UI" w:hAnsi="宋体" w:eastAsia="Microsoft YaHei UI" w:cs="宋体"/>
      <w:sz w:val="18"/>
      <w:szCs w:val="18"/>
      <w:lang w:val="zh-CN" w:bidi="zh-CN"/>
    </w:rPr>
  </w:style>
  <w:style w:type="character" w:styleId="828" w:customStyle="1">
    <w:name w:val="批注主题 字符"/>
    <w:uiPriority w:val="0"/>
    <w:qFormat/>
    <w:rPr>
      <w:rFonts w:ascii="宋体" w:hAnsi="宋体" w:eastAsia="宋体" w:cs="宋体"/>
      <w:b/>
      <w:bCs/>
      <w:szCs w:val="21"/>
      <w:lang w:val="zh-CN" w:bidi="zh-CN"/>
    </w:rPr>
  </w:style>
  <w:style w:type="paragraph" w:styleId="829" w:customStyle="1">
    <w:name w:val="List Paragraph1"/>
    <w:basedOn w:val="740"/>
    <w:uiPriority w:val="0"/>
    <w:qFormat/>
    <w:pPr>
      <w:ind w:firstLine="420"/>
    </w:pPr>
    <w:rPr>
      <w:rFonts w:ascii="Times New Roman" w:hAnsi="Times New Roman" w:cs="Times New Roman"/>
      <w:lang w:val="en-US" w:bidi="ar-SA"/>
    </w:rPr>
  </w:style>
  <w:style w:type="paragraph" w:styleId="830" w:customStyle="1">
    <w:name w:val="WPSOffice手动目录 1"/>
    <w:uiPriority w:val="0"/>
    <w:qFormat/>
    <w:rPr>
      <w:rFonts w:ascii="Times New Roman" w:hAnsi="Times New Roman" w:eastAsia="宋体" w:cs="Times New Roman"/>
      <w:lang w:val="en-US" w:eastAsia="zh-CN" w:bidi="ar-SA"/>
    </w:rPr>
  </w:style>
  <w:style w:type="paragraph" w:styleId="831" w:customStyle="1">
    <w:name w:val="_Style 20"/>
    <w:link w:val="832"/>
    <w:uiPriority w:val="0"/>
    <w:qFormat/>
    <w:pPr>
      <w:ind w:firstLine="420"/>
      <w:jc w:val="both"/>
      <w:spacing w:after="120"/>
      <w:widowControl w:val="off"/>
    </w:pPr>
    <w:rPr>
      <w:rFonts w:ascii="Calibri" w:hAnsi="Calibri" w:eastAsia="宋体" w:cs="Calibri"/>
      <w:sz w:val="21"/>
      <w:szCs w:val="22"/>
      <w:lang w:val="en-US" w:eastAsia="zh-CN" w:bidi="ar-SA"/>
    </w:rPr>
  </w:style>
  <w:style w:type="character" w:styleId="832" w:customStyle="1">
    <w:name w:val="正文首行缩进 Char1"/>
    <w:link w:val="831"/>
    <w:uiPriority w:val="0"/>
    <w:qFormat/>
    <w:rPr>
      <w:rFonts w:ascii="Calibri" w:hAnsi="Calibri" w:eastAsia="宋体" w:cs="Calibri"/>
    </w:rPr>
  </w:style>
  <w:style w:type="paragraph" w:styleId="833" w:customStyle="1">
    <w:name w:val="目录1"/>
    <w:basedOn w:val="753"/>
    <w:next w:val="770"/>
    <w:link w:val="834"/>
    <w:uiPriority w:val="0"/>
    <w:qFormat/>
    <w:pPr>
      <w:ind w:firstLine="420"/>
      <w:jc w:val="both"/>
    </w:pPr>
    <w:rPr>
      <w:rFonts w:ascii="楷体_GB2312" w:hAnsi="等线" w:eastAsia="楷体_GB2312"/>
      <w:b/>
      <w:sz w:val="24"/>
      <w:szCs w:val="24"/>
      <w:lang w:bidi="ar-SA"/>
    </w:rPr>
  </w:style>
  <w:style w:type="character" w:styleId="834" w:customStyle="1">
    <w:name w:val="正文首行缩进 Char"/>
    <w:link w:val="833"/>
    <w:uiPriority w:val="0"/>
    <w:qFormat/>
    <w:rPr>
      <w:rFonts w:ascii="楷体_GB2312" w:hAnsi="Times New Roman" w:eastAsia="楷体_GB2312" w:cs="Times New Roman"/>
      <w:b/>
      <w:sz w:val="24"/>
      <w:szCs w:val="24"/>
      <w:lang w:val="zh-CN"/>
    </w:rPr>
  </w:style>
  <w:style w:type="paragraph" w:styleId="835" w:customStyle="1">
    <w:name w:val="Char1"/>
    <w:basedOn w:val="740"/>
    <w:uiPriority w:val="0"/>
    <w:qFormat/>
    <w:pPr>
      <w:jc w:val="both"/>
    </w:pPr>
    <w:rPr>
      <w:rFonts w:ascii="仿宋_GB2312" w:hAnsi="Times New Roman" w:eastAsia="仿宋_GB2312" w:cs="Times New Roman"/>
      <w:b/>
      <w:sz w:val="32"/>
      <w:szCs w:val="32"/>
      <w:lang w:val="en-US" w:bidi="ar-SA"/>
    </w:rPr>
  </w:style>
  <w:style w:type="paragraph" w:styleId="836" w:customStyle="1">
    <w:name w:val="Char Char Char"/>
    <w:basedOn w:val="740"/>
    <w:uiPriority w:val="0"/>
    <w:qFormat/>
    <w:pPr>
      <w:widowControl/>
    </w:pPr>
    <w:rPr>
      <w:rFonts w:ascii="Tahoma" w:hAnsi="Tahoma" w:cs="Times New Roman"/>
      <w:sz w:val="24"/>
      <w:szCs w:val="20"/>
      <w:lang w:val="en-US" w:bidi="ar-SA"/>
    </w:rPr>
  </w:style>
  <w:style w:type="paragraph" w:styleId="837" w:customStyle="1">
    <w:name w:val="默认段落字体 Para Char Char Char Char"/>
    <w:basedOn w:val="740"/>
    <w:uiPriority w:val="0"/>
    <w:qFormat/>
    <w:pPr>
      <w:ind w:left="420" w:firstLine="420"/>
      <w:jc w:val="both"/>
      <w:spacing w:line="240" w:lineRule="atLeast"/>
    </w:pPr>
    <w:rPr>
      <w:rFonts w:ascii="Times New Roman" w:hAnsi="Times New Roman" w:cs="Times New Roman"/>
      <w:sz w:val="21"/>
      <w:szCs w:val="21"/>
      <w:lang w:val="en-US" w:bidi="ar-SA"/>
    </w:rPr>
  </w:style>
  <w:style w:type="paragraph" w:styleId="838" w:customStyle="1">
    <w:name w:val="Char Char Char Char"/>
    <w:basedOn w:val="740"/>
    <w:uiPriority w:val="0"/>
    <w:qFormat/>
    <w:pPr>
      <w:jc w:val="both"/>
    </w:pPr>
    <w:rPr>
      <w:rFonts w:ascii="仿宋_GB2312" w:hAnsi="Times New Roman" w:eastAsia="仿宋_GB2312" w:cs="Times New Roman"/>
      <w:b/>
      <w:sz w:val="32"/>
      <w:szCs w:val="32"/>
      <w:lang w:val="en-US" w:bidi="ar-SA"/>
    </w:rPr>
  </w:style>
  <w:style w:type="paragraph" w:styleId="839" w:customStyle="1">
    <w:name w:val="Blockquote"/>
    <w:basedOn w:val="740"/>
    <w:uiPriority w:val="0"/>
    <w:qFormat/>
    <w:pPr>
      <w:ind w:left="360" w:right="360"/>
      <w:spacing w:before="100" w:after="100"/>
    </w:pPr>
    <w:rPr>
      <w:rFonts w:ascii="Times New Roman" w:hAnsi="Times New Roman" w:cs="Times New Roman"/>
      <w:sz w:val="24"/>
      <w:szCs w:val="20"/>
      <w:lang w:val="en-US" w:bidi="ar-SA"/>
    </w:rPr>
  </w:style>
  <w:style w:type="paragraph" w:styleId="840" w:customStyle="1">
    <w:name w:val="Char Char Char Char Char Char"/>
    <w:basedOn w:val="740"/>
    <w:uiPriority w:val="0"/>
    <w:qFormat/>
    <w:pPr>
      <w:jc w:val="both"/>
      <w:spacing w:line="360" w:lineRule="auto"/>
    </w:pPr>
    <w:rPr>
      <w:rFonts w:ascii="Times New Roman" w:hAnsi="Times New Roman" w:cs="Times New Roman"/>
      <w:sz w:val="24"/>
      <w:szCs w:val="20"/>
      <w:lang w:val="en-US" w:bidi="ar-SA"/>
    </w:rPr>
  </w:style>
  <w:style w:type="paragraph" w:styleId="841" w:customStyle="1">
    <w:name w:val="SS正文首行缩进 +"/>
    <w:basedOn w:val="770"/>
    <w:uiPriority w:val="0"/>
    <w:qFormat/>
    <w:pPr>
      <w:ind w:firstLine="480"/>
      <w:spacing w:line="360" w:lineRule="auto"/>
    </w:pPr>
    <w:rPr>
      <w:rFonts w:ascii="Times New Roman" w:hAnsi="Times New Roman"/>
      <w:sz w:val="24"/>
      <w:szCs w:val="20"/>
      <w:lang w:val="zh-CN"/>
    </w:rPr>
  </w:style>
  <w:style w:type="paragraph" w:styleId="842" w:customStyle="1">
    <w:name w:val="Char"/>
    <w:basedOn w:val="740"/>
    <w:uiPriority w:val="0"/>
    <w:qFormat/>
    <w:pPr>
      <w:spacing w:after="160" w:line="240" w:lineRule="exact"/>
      <w:widowControl/>
    </w:pPr>
    <w:rPr>
      <w:rFonts w:ascii="Verdana" w:hAnsi="Verdana" w:eastAsia="仿宋_GB2312" w:cs="Times New Roman"/>
      <w:sz w:val="24"/>
      <w:szCs w:val="20"/>
      <w:lang w:val="en-US" w:eastAsia="en-US" w:bidi="ar-SA"/>
    </w:rPr>
  </w:style>
  <w:style w:type="character" w:styleId="843" w:customStyle="1">
    <w:name w:val="标题 1 字符1"/>
    <w:uiPriority w:val="0"/>
    <w:qFormat/>
    <w:rPr>
      <w:rFonts w:hint="default" w:ascii="Times New Roman" w:hAnsi="Times New Roman" w:eastAsia="宋体" w:cs="Times New Roman"/>
      <w:b/>
      <w:bCs/>
      <w:sz w:val="52"/>
      <w:szCs w:val="44"/>
      <w:lang w:val="zh-CN" w:eastAsia="zh-CN"/>
    </w:rPr>
  </w:style>
  <w:style w:type="character" w:styleId="844" w:customStyle="1">
    <w:name w:val="标题 2 字符1"/>
    <w:uiPriority w:val="0"/>
    <w:qFormat/>
    <w:rPr>
      <w:rFonts w:hint="eastAsia" w:ascii="宋体" w:hAnsi="宋体" w:eastAsia="黑体" w:cs="Times New Roman"/>
      <w:bCs/>
      <w:i/>
      <w:iCs/>
      <w:sz w:val="24"/>
      <w:szCs w:val="20"/>
      <w:lang w:val="zh-CN" w:eastAsia="zh-CN"/>
    </w:rPr>
  </w:style>
  <w:style w:type="character" w:styleId="845" w:customStyle="1">
    <w:name w:val="标题 4 字符1"/>
    <w:uiPriority w:val="0"/>
    <w:qFormat/>
    <w:rPr>
      <w:rFonts w:hint="eastAsia" w:ascii="等线 Light" w:hAnsi="等线 Light" w:eastAsia="等线 Light" w:cs="Times New Roman"/>
      <w:b/>
      <w:bCs/>
      <w:sz w:val="28"/>
      <w:szCs w:val="28"/>
      <w:lang w:val="zh-CN" w:eastAsia="zh-CN"/>
    </w:rPr>
  </w:style>
  <w:style w:type="character" w:styleId="846" w:customStyle="1">
    <w:name w:val="页眉 字符1"/>
    <w:uiPriority w:val="0"/>
    <w:qFormat/>
    <w:rPr>
      <w:rFonts w:hint="default" w:ascii="Calibri" w:hAnsi="Calibri" w:eastAsia="宋体" w:cs="Times New Roman"/>
      <w:sz w:val="18"/>
      <w:szCs w:val="18"/>
      <w:lang w:val="zh-CN" w:eastAsia="zh-CN"/>
    </w:rPr>
  </w:style>
  <w:style w:type="character" w:styleId="847" w:customStyle="1">
    <w:name w:val="页脚 字符1"/>
    <w:uiPriority w:val="0"/>
    <w:qFormat/>
    <w:rPr>
      <w:rFonts w:hint="default" w:ascii="Calibri" w:hAnsi="Calibri" w:eastAsia="宋体" w:cs="Times New Roman"/>
      <w:sz w:val="18"/>
      <w:szCs w:val="18"/>
      <w:lang w:val="zh-CN" w:eastAsia="zh-CN"/>
    </w:rPr>
  </w:style>
  <w:style w:type="character" w:styleId="848" w:customStyle="1">
    <w:name w:val="标题 1 Char"/>
    <w:uiPriority w:val="0"/>
    <w:qFormat/>
    <w:rPr>
      <w:rFonts w:hint="default" w:ascii="Times New Roman" w:hAnsi="Times New Roman" w:eastAsia="宋体" w:cs="Times New Roman"/>
      <w:b/>
      <w:bCs/>
      <w:sz w:val="52"/>
      <w:szCs w:val="44"/>
    </w:rPr>
  </w:style>
  <w:style w:type="character" w:styleId="849" w:customStyle="1">
    <w:name w:val="标题 3 Char"/>
    <w:uiPriority w:val="0"/>
    <w:qFormat/>
    <w:rPr>
      <w:rFonts w:hint="default" w:ascii="Times New Roman" w:hAnsi="Times New Roman" w:eastAsia="宋体" w:cs="Times New Roman"/>
      <w:b/>
      <w:bCs/>
      <w:sz w:val="32"/>
      <w:szCs w:val="32"/>
    </w:rPr>
  </w:style>
  <w:style w:type="character" w:styleId="850" w:customStyle="1">
    <w:name w:val="页眉 Char"/>
    <w:uiPriority w:val="0"/>
    <w:qFormat/>
    <w:rPr>
      <w:rFonts w:ascii="Times New Roman" w:hAnsi="Times New Roman" w:eastAsia="宋体" w:cs="Times New Roman"/>
      <w:sz w:val="18"/>
      <w:szCs w:val="18"/>
    </w:rPr>
  </w:style>
  <w:style w:type="character" w:styleId="851" w:customStyle="1">
    <w:name w:val="页脚 Char"/>
    <w:uiPriority w:val="0"/>
    <w:qFormat/>
    <w:rPr>
      <w:rFonts w:ascii="Times New Roman" w:hAnsi="Times New Roman" w:eastAsia="宋体" w:cs="Times New Roman"/>
      <w:sz w:val="18"/>
      <w:szCs w:val="18"/>
    </w:rPr>
  </w:style>
  <w:style w:type="character" w:styleId="852" w:customStyle="1">
    <w:name w:val="正文文本 字符1"/>
    <w:uiPriority w:val="0"/>
    <w:qFormat/>
    <w:rPr>
      <w:rFonts w:hint="eastAsia" w:ascii="楷体_GB2312" w:hAnsi="Times New Roman" w:eastAsia="楷体_GB2312" w:cs="Times New Roman"/>
      <w:sz w:val="24"/>
      <w:szCs w:val="24"/>
      <w:lang w:val="zh-CN" w:eastAsia="zh-CN"/>
    </w:rPr>
  </w:style>
  <w:style w:type="character" w:styleId="853" w:customStyle="1">
    <w:name w:val="批注文字 字符1"/>
    <w:uiPriority w:val="0"/>
    <w:qFormat/>
    <w:rPr>
      <w:rFonts w:hint="default" w:ascii="Calibri" w:hAnsi="Calibri" w:eastAsia="宋体" w:cs="Times New Roman"/>
      <w:lang w:val="zh-CN" w:eastAsia="zh-CN"/>
    </w:rPr>
  </w:style>
  <w:style w:type="character" w:styleId="854" w:customStyle="1">
    <w:name w:val="正文文本缩进 字符1"/>
    <w:uiPriority w:val="0"/>
    <w:qFormat/>
    <w:rPr>
      <w:rFonts w:hint="eastAsia" w:ascii="宋体" w:hAnsi="Times New Roman" w:eastAsia="宋体" w:cs="Times New Roman"/>
      <w:sz w:val="24"/>
      <w:szCs w:val="20"/>
      <w:lang w:val="zh-CN" w:eastAsia="zh-CN"/>
    </w:rPr>
  </w:style>
  <w:style w:type="character" w:styleId="855" w:customStyle="1">
    <w:name w:val="日期 字符1"/>
    <w:uiPriority w:val="0"/>
    <w:qFormat/>
    <w:rPr>
      <w:rFonts w:hint="eastAsia" w:ascii="隶书" w:hAnsi="Times New Roman" w:eastAsia="隶书" w:cs="Times New Roman"/>
      <w:sz w:val="30"/>
      <w:szCs w:val="20"/>
      <w:lang w:val="zh-CN" w:eastAsia="zh-CN"/>
    </w:rPr>
  </w:style>
  <w:style w:type="character" w:styleId="856" w:customStyle="1">
    <w:name w:val="纯文本 字符1"/>
    <w:uiPriority w:val="0"/>
    <w:qFormat/>
    <w:rPr>
      <w:rFonts w:hint="eastAsia" w:ascii="宋体" w:hAnsi="Courier New" w:eastAsia="宋体" w:cs="Times New Roman"/>
      <w:sz w:val="28"/>
      <w:szCs w:val="20"/>
      <w:lang w:val="zh-CN" w:eastAsia="zh-CN"/>
    </w:rPr>
  </w:style>
  <w:style w:type="character" w:styleId="857" w:customStyle="1">
    <w:name w:val="批注框文本 字符1"/>
    <w:uiPriority w:val="0"/>
    <w:qFormat/>
    <w:rPr>
      <w:rFonts w:hint="default" w:ascii="Calibri" w:hAnsi="Calibri" w:eastAsia="宋体" w:cs="Times New Roman"/>
      <w:sz w:val="18"/>
      <w:szCs w:val="18"/>
      <w:lang w:val="zh-CN" w:eastAsia="zh-CN"/>
    </w:rPr>
  </w:style>
  <w:style w:type="character" w:styleId="858" w:customStyle="1">
    <w:name w:val="txt1"/>
    <w:uiPriority w:val="0"/>
    <w:qFormat/>
    <w:rPr>
      <w:rFonts w:ascii="Times New Roman" w:hAnsi="Times New Roman" w:eastAsia="宋体" w:cs="Times New Roman"/>
    </w:rPr>
  </w:style>
  <w:style w:type="character" w:styleId="859" w:customStyle="1">
    <w:name w:val="ask-title2"/>
    <w:uiPriority w:val="0"/>
    <w:qFormat/>
    <w:rPr>
      <w:rFonts w:ascii="Times New Roman" w:hAnsi="Times New Roman" w:eastAsia="宋体" w:cs="Times New Roman"/>
    </w:rPr>
  </w:style>
  <w:style w:type="character" w:styleId="860" w:customStyle="1">
    <w:name w:val="font61"/>
    <w:uiPriority w:val="0"/>
    <w:qFormat/>
    <w:rPr>
      <w:rFonts w:hint="eastAsia" w:ascii="宋体" w:hAnsi="宋体" w:eastAsia="宋体" w:cs="宋体"/>
      <w:color w:val="000000"/>
      <w:sz w:val="24"/>
      <w:szCs w:val="24"/>
      <w:u w:val="none"/>
    </w:rPr>
  </w:style>
  <w:style w:type="character" w:styleId="861" w:customStyle="1">
    <w:name w:val="font11"/>
    <w:uiPriority w:val="0"/>
    <w:qFormat/>
    <w:rPr>
      <w:rFonts w:hint="eastAsia" w:ascii="仿宋" w:hAnsi="仿宋" w:eastAsia="仿宋" w:cs="仿宋"/>
      <w:color w:val="000000"/>
      <w:sz w:val="24"/>
      <w:szCs w:val="24"/>
      <w:u w:val="none"/>
    </w:rPr>
  </w:style>
  <w:style w:type="paragraph" w:styleId="862" w:customStyle="1">
    <w:name w:val="正文（缩进）"/>
    <w:basedOn w:val="740"/>
    <w:uiPriority w:val="0"/>
    <w:qFormat/>
    <w:pPr>
      <w:ind w:firstLine="480"/>
    </w:pPr>
    <w:rPr>
      <w:rFonts w:ascii="Times New Roman" w:hAnsi="Times New Roman" w:cs="Times New Roman"/>
    </w:rPr>
  </w:style>
  <w:style w:type="paragraph" w:styleId="863" w:customStyle="1">
    <w:name w:val="Default"/>
    <w:next w:val="740"/>
    <w:uiPriority w:val="0"/>
    <w:qFormat/>
    <w:pPr>
      <w:widowControl w:val="off"/>
    </w:pPr>
    <w:rPr>
      <w:rFonts w:ascii="宋体" w:hAnsi="Times New Roman" w:eastAsia="宋体" w:cs="宋体"/>
      <w:color w:val="000000"/>
      <w:sz w:val="24"/>
      <w:szCs w:val="24"/>
      <w:lang w:val="en-US" w:eastAsia="zh-CN" w:bidi="ar-SA"/>
    </w:rPr>
  </w:style>
  <w:style w:type="paragraph" w:styleId="864" w:customStyle="1">
    <w:name w:val="Normal_10_0"/>
    <w:uiPriority w:val="0"/>
    <w:qFormat/>
    <w:rPr>
      <w:rFonts w:ascii="黑体" w:hAnsi="黑体" w:eastAsia="黑体" w:cs="Times New Roman"/>
      <w:b/>
      <w:sz w:val="32"/>
      <w:szCs w:val="24"/>
      <w:lang w:val="en-US" w:eastAsia="zh-CN" w:bidi="ar-SA"/>
    </w:rPr>
  </w:style>
  <w:style w:type="character" w:styleId="865" w:customStyle="1">
    <w:name w:val="font31"/>
    <w:basedOn w:val="746"/>
    <w:uiPriority w:val="0"/>
    <w:qFormat/>
    <w:rPr>
      <w:rFonts w:hint="eastAsia" w:ascii="仿宋" w:hAnsi="仿宋" w:eastAsia="仿宋" w:cs="仿宋"/>
      <w:color w:val="000000"/>
      <w:sz w:val="24"/>
      <w:szCs w:val="24"/>
      <w:u w:val="none"/>
    </w:rPr>
  </w:style>
  <w:style w:type="character" w:styleId="866" w:customStyle="1">
    <w:name w:val="font01"/>
    <w:basedOn w:val="746"/>
    <w:uiPriority w:val="0"/>
    <w:qFormat/>
    <w:rPr>
      <w:rFonts w:hint="eastAsia" w:ascii="宋体" w:hAnsi="宋体" w:eastAsia="宋体" w:cs="宋体"/>
      <w:color w:val="000000"/>
      <w:sz w:val="24"/>
      <w:szCs w:val="24"/>
      <w:u w:val="none"/>
    </w:rPr>
  </w:style>
  <w:style w:type="character" w:styleId="867" w:customStyle="1">
    <w:name w:val="font41"/>
    <w:basedOn w:val="746"/>
    <w:uiPriority w:val="0"/>
    <w:qFormat/>
    <w:rPr>
      <w:rFonts w:hint="eastAsia" w:ascii="宋体" w:hAnsi="宋体" w:eastAsia="宋体" w:cs="宋体"/>
      <w:color w:val="000000"/>
      <w:sz w:val="21"/>
      <w:szCs w:val="21"/>
      <w:u w:val="none"/>
    </w:rPr>
  </w:style>
  <w:style w:type="character" w:styleId="868" w:customStyle="1">
    <w:name w:val="font51"/>
    <w:basedOn w:val="746"/>
    <w:uiPriority w:val="0"/>
    <w:qFormat/>
    <w:rPr>
      <w:rFonts w:hint="eastAsia" w:ascii="宋体" w:hAnsi="宋体" w:eastAsia="宋体" w:cs="宋体"/>
      <w:color w:val="000000"/>
      <w:sz w:val="21"/>
      <w:szCs w:val="21"/>
      <w:u w:val="none"/>
    </w:rPr>
  </w:style>
  <w:style w:type="character" w:styleId="869" w:customStyle="1">
    <w:name w:val="font71"/>
    <w:basedOn w:val="746"/>
    <w:uiPriority w:val="0"/>
    <w:qFormat/>
    <w:rPr>
      <w:rFonts w:hint="eastAsia" w:ascii="宋体" w:hAnsi="宋体" w:eastAsia="宋体" w:cs="宋体"/>
      <w:color w:val="000000"/>
      <w:sz w:val="21"/>
      <w:szCs w:val="21"/>
      <w:u w:val="none"/>
      <w:vertAlign w:val="superscript"/>
    </w:rPr>
  </w:style>
  <w:style w:type="paragraph" w:styleId="870"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character" w:styleId="871" w:customStyle="1">
    <w:name w:val="font21"/>
    <w:basedOn w:val="746"/>
    <w:uiPriority w:val="0"/>
    <w:qFormat/>
    <w:rPr>
      <w:rFonts w:hint="default" w:ascii="Calibri" w:hAnsi="Calibri" w:cs="Calibri"/>
      <w:color w:val="000000"/>
      <w:sz w:val="20"/>
      <w:szCs w:val="20"/>
      <w:u w:val="none"/>
    </w:rPr>
  </w:style>
  <w:style w:type="character" w:styleId="872" w:customStyle="1">
    <w:name w:val="font91"/>
    <w:basedOn w:val="746"/>
    <w:uiPriority w:val="0"/>
    <w:qFormat/>
    <w:rPr>
      <w:rFonts w:hint="default" w:ascii="Calibri" w:hAnsi="Calibri" w:cs="Calibri"/>
      <w:b/>
      <w:bCs/>
      <w:color w:val="000000"/>
      <w:sz w:val="14"/>
      <w:szCs w:val="14"/>
      <w:u w:val="none"/>
    </w:rPr>
  </w:style>
  <w:style w:type="character" w:styleId="873" w:customStyle="1">
    <w:name w:val="font101"/>
    <w:basedOn w:val="746"/>
    <w:uiPriority w:val="0"/>
    <w:qFormat/>
    <w:rPr>
      <w:rFonts w:hint="eastAsia" w:ascii="宋体" w:hAnsi="宋体" w:eastAsia="宋体" w:cs="宋体"/>
      <w:color w:val="000000"/>
      <w:sz w:val="20"/>
      <w:szCs w:val="20"/>
      <w:u w:val="none"/>
    </w:rPr>
  </w:style>
  <w:style w:type="paragraph" w:styleId="874" w:customStyle="1">
    <w:name w:val="修订1"/>
    <w:hidden/>
    <w:uiPriority w:val="99"/>
    <w:unhideWhenUsed/>
    <w:qFormat/>
    <w:rPr>
      <w:rFonts w:ascii="宋体" w:hAnsi="宋体" w:eastAsia="宋体" w:cs="宋体"/>
      <w:sz w:val="22"/>
      <w:szCs w:val="22"/>
      <w:lang w:val="zh-CN" w:eastAsia="zh-CN" w:bidi="zh-CN"/>
    </w:rPr>
  </w:style>
  <w:style w:type="paragraph" w:styleId="875" w:customStyle="1">
    <w:name w:val="正文11"/>
    <w:next w:val="779"/>
    <w:uiPriority w:val="0"/>
    <w:qFormat/>
    <w:pPr>
      <w:jc w:val="both"/>
      <w:widowControl w:val="off"/>
    </w:pPr>
    <w:rPr>
      <w:rFonts w:ascii="Times New Roman" w:hAnsi="Times New Roman" w:eastAsia="宋体" w:cs="Times New Roman"/>
      <w:sz w:val="21"/>
      <w:szCs w:val="22"/>
      <w:lang w:val="en-US" w:eastAsia="zh-CN" w:bidi="ar-SA"/>
    </w:rPr>
  </w:style>
  <w:style w:type="paragraph" w:styleId="876" w:customStyle="1">
    <w:name w:val="无间隔1"/>
    <w:basedOn w:val="740"/>
    <w:uiPriority w:val="0"/>
    <w:qFormat/>
    <w:rPr>
      <w:rFonts w:ascii="Calibri" w:hAnsi="Calibri" w:cs="Times New Roman"/>
      <w:sz w:val="20"/>
      <w:szCs w:val="20"/>
      <w:lang w:eastAsia="en-US"/>
    </w:rPr>
  </w:style>
  <w:style w:type="paragraph" w:styleId="877" w:customStyle="1">
    <w:name w:val="无间隔2"/>
    <w:basedOn w:val="740"/>
    <w:uiPriority w:val="0"/>
    <w:qFormat/>
    <w:rPr>
      <w:rFonts w:ascii="Calibri" w:hAnsi="Calibri"/>
      <w:lang w:val="en-US" w:eastAsia="en-US" w:bidi="en-US"/>
    </w:rPr>
  </w:style>
  <w:style w:type="paragraph" w:styleId="878" w:customStyle="1">
    <w:name w:val="无间隔11"/>
    <w:uiPriority w:val="99"/>
    <w:qFormat/>
    <w:pPr>
      <w:jc w:val="both"/>
      <w:widowControl w:val="off"/>
    </w:pPr>
    <w:rPr>
      <w:rFonts w:ascii="Calibri" w:hAnsi="Calibri" w:eastAsia="宋体" w:cs="Times New Roman"/>
      <w:sz w:val="22"/>
      <w:szCs w:val="22"/>
      <w:lang w:val="en-US" w:eastAsia="zh-CN" w:bidi="ar-SA"/>
    </w:rPr>
  </w:style>
  <w:style w:type="paragraph" w:styleId="879" w:customStyle="1">
    <w:name w:val="U_正文2"/>
    <w:basedOn w:val="740"/>
    <w:uiPriority w:val="99"/>
    <w:qFormat/>
    <w:pPr>
      <w:spacing w:line="300" w:lineRule="auto"/>
    </w:pPr>
    <w:rPr>
      <w:rFonts w:ascii="Times New Roman" w:hAnsi="Times New Roman"/>
      <w:sz w:val="24"/>
      <w:szCs w:val="20"/>
    </w:rPr>
  </w:style>
  <w:style w:type="paragraph" w:styleId="880" w:customStyle="1">
    <w:name w:val="列出段落1"/>
    <w:basedOn w:val="740"/>
    <w:uiPriority w:val="34"/>
    <w:qFormat/>
    <w:pPr>
      <w:ind w:firstLine="420"/>
    </w:pPr>
  </w:style>
  <w:style w:type="paragraph" w:styleId="881" w:customStyle="1">
    <w:name w:val="Body text|1"/>
    <w:basedOn w:val="740"/>
    <w:uiPriority w:val="0"/>
    <w:qFormat/>
    <w:pPr>
      <w:ind w:firstLine="400"/>
      <w:spacing w:line="413" w:lineRule="auto"/>
    </w:pPr>
    <w:rPr>
      <w:sz w:val="26"/>
      <w:szCs w:val="26"/>
      <w:lang w:val="zh-TW" w:eastAsia="zh-TW" w:bidi="zh-TW"/>
    </w:rPr>
  </w:style>
  <w:style w:type="paragraph" w:styleId="882" w:customStyle="1">
    <w:name w:val="正文缩进1"/>
    <w:basedOn w:val="740"/>
    <w:uiPriority w:val="0"/>
    <w:qFormat/>
    <w:pPr>
      <w:ind w:firstLine="420"/>
    </w:pPr>
  </w:style>
  <w:style w:type="paragraph" w:styleId="883" w:customStyle="1">
    <w:name w:val="标题 21"/>
    <w:basedOn w:val="740"/>
    <w:next w:val="74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4" w:customStyle="1">
    <w:name w:val="普通正文"/>
    <w:basedOn w:val="740"/>
    <w:uiPriority w:val="0"/>
    <w:qFormat/>
    <w:pPr>
      <w:ind w:firstLine="480"/>
      <w:spacing w:before="120" w:after="120" w:line="360" w:lineRule="auto"/>
    </w:pPr>
    <w:rPr>
      <w:rFonts w:ascii="Arial" w:hAnsi="Arial"/>
      <w:sz w:val="24"/>
      <w:szCs w:val="24"/>
    </w:rPr>
  </w:style>
  <w:style w:type="paragraph" w:styleId="885" w:customStyle="1">
    <w:name w:val="纯文本1"/>
    <w:basedOn w:val="740"/>
    <w:uiPriority w:val="0"/>
    <w:qFormat/>
    <w:pPr>
      <w:jc w:val="both"/>
    </w:pPr>
    <w:rPr>
      <w:rFonts w:hAnsi="Courier New" w:cs="Courier New"/>
      <w:sz w:val="21"/>
      <w:szCs w:val="21"/>
      <w:lang w:val="en-US" w:bidi="ar-SA"/>
    </w:rPr>
  </w:style>
  <w:style w:type="paragraph" w:styleId="886" w:customStyle="1">
    <w:name w:val="列表段落2"/>
    <w:basedOn w:val="740"/>
    <w:uiPriority w:val="34"/>
    <w:qFormat/>
    <w:pPr>
      <w:ind w:firstLine="420"/>
    </w:pPr>
  </w:style>
  <w:style w:type="paragraph" w:styleId="887"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numbering" w:styleId="116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D98D56A-E4D9-485F-9EA2-7C78AA624A9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、_你是温暖的源头</dc:creator>
  <cp:lastModifiedBy>汤淼</cp:lastModifiedBy>
  <cp:revision>4</cp:revision>
  <dcterms:created xsi:type="dcterms:W3CDTF">2026-03-17T03:02:00Z</dcterms:created>
  <dcterms:modified xsi:type="dcterms:W3CDTF">2026-05-29T03:23:52Z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E6C3982C4F9D40C190C8C8C201044EC3_13</vt:lpwstr>
  </property>
  <property fmtid="{D5CDD505-2E9C-101B-9397-08002B2CF9AE}" pid="4" name="KSOTemplateDocerSaveRecord">
    <vt:lpwstr>eyJoZGlkIjoiZWU0MTFmYzZmZDM2ZGViNDAyYTRhODI2YzUyYjg2ZjMiLCJ1c2VySWQiOiIyMzk1MjI1ODEifQ==</vt:lpwstr>
  </property>
</Properties>
</file>