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政府采购</w:t>
      </w:r>
      <w:r/>
    </w:p>
    <w:p>
      <w:pPr>
        <w:jc w:val="center"/>
        <w:spacing w:line="360" w:lineRule="auto"/>
        <w:rPr>
          <w:rFonts w:hint="eastAsia" w:ascii="宋体" w:hAnsi="宋体" w:cs="宋体"/>
          <w:b/>
          <w:color w:val="000000" w:themeColor="text1"/>
          <w:spacing w:val="20"/>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公开招标文件</w:t>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（全流程电子化）</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firstLine="420"/>
        <w:spacing w:line="48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JSZC-320000-JSWD-G2026-0025</w:t>
      </w:r>
      <w:r/>
    </w:p>
    <w:p>
      <w:pPr>
        <w:ind w:firstLine="420"/>
        <w:spacing w:line="48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采购项目名称：</w:t>
      </w:r>
      <w:r>
        <w:rPr>
          <w:rFonts w:hint="eastAsia" w:ascii="宋体" w:hAnsi="宋体" w:cs="宋体"/>
          <w:b/>
          <w:color w:val="000000" w:themeColor="text1"/>
          <w:sz w:val="32"/>
          <w:szCs w:val="32"/>
          <w:highlight w:val="none"/>
          <w:lang w:eastAsia="zh-CN"/>
          <w14:textFill>
            <w14:solidFill>
              <w14:schemeClr w14:val="tx1"/>
            </w14:solidFill>
          </w14:textFill>
        </w:rPr>
        <w:t xml:space="preserve">无锡职业技术大学物联网工程学院工业互联网集成实训室货物采购</w:t>
      </w:r>
      <w:r/>
    </w:p>
    <w:p>
      <w:pPr>
        <w:ind w:firstLine="420"/>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 购 人：无锡职业技术大学</w:t>
      </w:r>
      <w:r/>
    </w:p>
    <w:p>
      <w:pPr>
        <w:ind w:firstLine="420"/>
        <w:jc w:val="left"/>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采购代理机构：江苏万达工程造价事务所有限公司</w:t>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二○二六年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cs="宋体"/>
          <w:b/>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目  录</w:t>
      </w:r>
      <w:r/>
    </w:p>
    <w:p>
      <w:pPr>
        <w:jc w:val="cente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1000" w:lineRule="exact"/>
        <w:tabs>
          <w:tab w:val="left" w:pos="8000" w:leader="none"/>
        </w:tabs>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第一部分    投标邀请</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第二部分    投标供应商须知</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第三部分    采购需求</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第四部分    合同书（格式文本）</w:t>
      </w:r>
      <w:r/>
    </w:p>
    <w:p>
      <w:pPr>
        <w:spacing w:line="10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第五部分    附件（投标文件格式）</w:t>
      </w:r>
      <w:r/>
    </w:p>
    <w:p>
      <w:pPr>
        <w:jc w:val="center"/>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第一部分. 投标邀请</w:t>
      </w:r>
      <w:r/>
    </w:p>
    <w:p>
      <w:pPr>
        <w:ind w:firstLine="482"/>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江苏万达工程造价事务所有限公司</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14:textFill>
            <w14:solidFill>
              <w14:schemeClr w14:val="tx1"/>
            </w14:solidFill>
          </w14:textFill>
        </w:rPr>
        <w:t xml:space="preserve">无锡职业技术大学</w:t>
      </w:r>
      <w:r>
        <w:rPr>
          <w:rFonts w:hint="eastAsia" w:ascii="宋体" w:hAnsi="宋体" w:cs="宋体"/>
          <w:color w:val="000000" w:themeColor="text1"/>
          <w:sz w:val="24"/>
          <w:highlight w:val="none"/>
          <w14:textFill>
            <w14:solidFill>
              <w14:schemeClr w14:val="tx1"/>
            </w14:solidFill>
          </w14:textFill>
        </w:rPr>
        <w:t xml:space="preserve">委托，就其</w:t>
      </w:r>
      <w:r>
        <w:rPr>
          <w:rFonts w:hint="eastAsia" w:ascii="宋体" w:hAnsi="宋体" w:cs="宋体"/>
          <w:b/>
          <w:bCs/>
          <w:color w:val="000000" w:themeColor="text1"/>
          <w:sz w:val="24"/>
          <w:highlight w:val="none"/>
          <w:lang w:eastAsia="zh-CN"/>
          <w14:textFill>
            <w14:solidFill>
              <w14:schemeClr w14:val="tx1"/>
            </w14:solidFill>
          </w14:textFill>
        </w:rPr>
        <w:t xml:space="preserve">无锡职业技术大学物联网工程学院工业互联网集成实训室货物采购</w:t>
      </w:r>
      <w:r>
        <w:rPr>
          <w:rFonts w:hint="eastAsia" w:ascii="宋体" w:hAnsi="宋体" w:cs="宋体"/>
          <w:color w:val="000000" w:themeColor="text1"/>
          <w:sz w:val="24"/>
          <w:highlight w:val="none"/>
          <w14:textFill>
            <w14:solidFill>
              <w14:schemeClr w14:val="tx1"/>
            </w14:solidFill>
          </w14:textFill>
        </w:rPr>
        <w:t xml:space="preserve">进行公开招标。现欢迎符合相关条件的供应商参加投标，投标邀请如下：</w:t>
      </w:r>
      <w:r/>
    </w:p>
    <w:tbl>
      <w:tblPr>
        <w:tblStyle w:val="70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8510"/>
      </w:tblGrid>
      <w:tr>
        <w:trPr>
          <w:jc w:val="center"/>
          <w:trHeight w:val="435"/>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78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jc w:val="center"/>
          <w:trHeight w:val="90"/>
        </w:trPr>
        <w:tc>
          <w:tcPr>
            <w:tcW w:w="710"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7810" w:type="dxa"/>
            <w:vAlign w:val="center"/>
            <w:textDirection w:val="lrTb"/>
            <w:noWrap w:val="false"/>
          </w:tcPr>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采购项目名称：</w:t>
            </w:r>
            <w:r>
              <w:rPr>
                <w:rFonts w:hint="eastAsia" w:ascii="宋体" w:hAnsi="宋体" w:cs="宋体"/>
                <w:color w:val="000000" w:themeColor="text1"/>
                <w:sz w:val="24"/>
                <w:highlight w:val="none"/>
                <w:lang w:eastAsia="zh-CN"/>
                <w14:textFill>
                  <w14:solidFill>
                    <w14:schemeClr w14:val="tx1"/>
                  </w14:solidFill>
                </w14:textFill>
              </w:rPr>
              <w:t xml:space="preserve">无锡职业技术大学物联网工程学院工业互联网集成实训室货物采购</w:t>
            </w:r>
            <w:r/>
          </w:p>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采购项目编号：</w:t>
            </w:r>
            <w:r>
              <w:rPr>
                <w:rFonts w:hint="eastAsia" w:ascii="宋体" w:hAnsi="宋体" w:cs="宋体"/>
                <w:color w:val="000000" w:themeColor="text1"/>
                <w:sz w:val="24"/>
                <w:highlight w:val="none"/>
                <w:lang w:eastAsia="zh-CN"/>
                <w14:textFill>
                  <w14:solidFill>
                    <w14:schemeClr w14:val="tx1"/>
                  </w14:solidFill>
                </w14:textFill>
              </w:rPr>
              <w:t xml:space="preserve">JSZC-320000-JSWD-G2026-0025</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采购方式：公开招标</w:t>
            </w:r>
            <w:r/>
          </w:p>
        </w:tc>
      </w:tr>
      <w:tr>
        <w:trPr>
          <w:jc w:val="center"/>
          <w:trHeight w:val="1443"/>
        </w:trPr>
        <w:tc>
          <w:tcPr>
            <w:tcW w:w="710"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采购人地址：无锡市大学城高浪西路1600号</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采购代理机构：江苏万达工程造价事务所有限公司</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采购代理机构地址：无锡市滨湖区滴翠路100号B幢1005室</w:t>
            </w:r>
            <w:r/>
          </w:p>
        </w:tc>
      </w:tr>
      <w:tr>
        <w:trPr>
          <w:jc w:val="center"/>
          <w:trHeight w:val="442"/>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7810" w:type="dxa"/>
            <w:vAlign w:val="center"/>
            <w:textDirection w:val="lrTb"/>
            <w:noWrap w:val="false"/>
          </w:tcPr>
          <w:p>
            <w:pPr>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采购项目概况、要求：</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）项目概况：</w:t>
            </w:r>
            <w:r>
              <w:rPr>
                <w:rFonts w:hint="eastAsia" w:ascii="宋体" w:hAnsi="宋体"/>
                <w:color w:val="000000" w:themeColor="text1"/>
                <w:sz w:val="24"/>
                <w:highlight w:val="none"/>
                <w14:textFill>
                  <w14:solidFill>
                    <w14:schemeClr w14:val="tx1"/>
                  </w14:solidFill>
                </w14:textFill>
              </w:rPr>
              <w:t xml:space="preserve">本采购项目为无锡职业技术大学工业互联网集成实训室建设项目，核心目标是构建适配工业互联网教学与实训的一体化环境，填补现有教学设备与前沿技术的断层，解决实训场景与企业实际需求脱节、技术路线与企业标准不匹配等问题，最终服务于物联网技术系及相关专业人才培养，响应国家和江苏省的政策同时，助力无锡“465”现代产业体系中“高端装备”“物联网”产业发展。</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采购</w:t>
            </w:r>
            <w:r>
              <w:rPr>
                <w:rFonts w:hint="eastAsia" w:ascii="宋体" w:hAnsi="宋体" w:cs="宋体"/>
                <w:bCs/>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14:textFill>
                  <w14:solidFill>
                    <w14:schemeClr w14:val="tx1"/>
                  </w14:solidFill>
                </w14:textFill>
              </w:rPr>
              <w:t xml:space="preserve">本次项目建设主要针对工业互联网数据采集、边缘计算、人机协作等内容进行重构，以工业互联网平台为核心，并配以部分常用的工业制造中常用的传感器、边缘网关、PLC、机器人等设备。</w:t>
            </w:r>
            <w:r>
              <w:rPr>
                <w:rFonts w:hint="eastAsia" w:ascii="宋体" w:hAnsi="宋体" w:cs="宋体"/>
                <w:color w:val="000000" w:themeColor="text1"/>
                <w:sz w:val="24"/>
                <w:highlight w:val="none"/>
                <w14:textFill>
                  <w14:solidFill>
                    <w14:schemeClr w14:val="tx1"/>
                  </w14:solidFill>
                </w14:textFill>
              </w:rPr>
              <w:t xml:space="preserve">具体要求详见招标文件第三部分“采购需求”。</w:t>
            </w:r>
            <w:r/>
          </w:p>
          <w:p>
            <w:pPr>
              <w:spacing w:line="324"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交货期：</w:t>
            </w:r>
            <w:r>
              <w:rPr>
                <w:rFonts w:hint="eastAsia" w:ascii="宋体" w:hAnsi="宋体"/>
                <w:color w:val="000000" w:themeColor="text1"/>
                <w:sz w:val="24"/>
                <w:highlight w:val="none"/>
                <w14:textFill>
                  <w14:solidFill>
                    <w14:schemeClr w14:val="tx1"/>
                  </w14:solidFill>
                </w14:textFill>
              </w:rPr>
              <w:t xml:space="preserve">合同签订生效后6个月内到货并安装调试完毕。</w:t>
            </w:r>
            <w:r/>
          </w:p>
          <w:p>
            <w:pPr>
              <w:spacing w:line="324" w:lineRule="auto"/>
              <w:rPr>
                <w:rFonts w:hint="eastAsia" w:ascii="宋体" w:hAnsi="宋体"/>
                <w:color w:val="000000" w:themeColor="text1"/>
                <w:sz w:val="24"/>
                <w:highlight w:val="none"/>
                <w14:textFill>
                  <w14:solidFill>
                    <w14:schemeClr w14:val="tx1"/>
                  </w14:solidFill>
                </w14:textFill>
              </w:rPr>
            </w:pPr>
            <w:r/>
            <w:bookmarkStart w:id="0" w:name="_Hlk42028919"/>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bookmarkEnd w:id="0"/>
            <w:r>
              <w:rPr>
                <w:rFonts w:ascii="宋体" w:hAnsi="宋体"/>
                <w:color w:val="000000" w:themeColor="text1"/>
                <w:sz w:val="24"/>
                <w:highlight w:val="none"/>
                <w14:textFill>
                  <w14:solidFill>
                    <w14:schemeClr w14:val="tx1"/>
                  </w14:solidFill>
                </w14:textFill>
              </w:rPr>
              <w:t xml:space="preserve">质量要求：</w:t>
            </w:r>
            <w:r>
              <w:rPr>
                <w:rFonts w:hint="eastAsia" w:ascii="宋体" w:hAnsi="宋体"/>
                <w:color w:val="000000" w:themeColor="text1"/>
                <w:sz w:val="24"/>
                <w:highlight w:val="none"/>
                <w14:textFill>
                  <w14:solidFill>
                    <w14:schemeClr w14:val="tx1"/>
                  </w14:solidFill>
                </w14:textFill>
              </w:rPr>
              <w:t xml:space="preserve">符合国家验收标准，一次性验收通过，100%合格。</w:t>
            </w:r>
            <w:r/>
          </w:p>
          <w:p>
            <w:pPr>
              <w:spacing w:line="324"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）安全要求：符合国家相关标准或行业标准。</w:t>
            </w:r>
            <w:r/>
          </w:p>
          <w:p>
            <w:pPr>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）预算金额及最高限价：</w:t>
            </w:r>
            <w:r>
              <w:rPr>
                <w:rFonts w:hint="eastAsia" w:ascii="宋体" w:hAnsi="宋体"/>
                <w:color w:val="000000" w:themeColor="text1"/>
                <w:sz w:val="24"/>
                <w:highlight w:val="none"/>
                <w14:textFill>
                  <w14:solidFill>
                    <w14:schemeClr w14:val="tx1"/>
                  </w14:solidFill>
                </w14:textFill>
              </w:rPr>
              <w:t xml:space="preserve">195万元</w:t>
            </w:r>
            <w:r>
              <w:rPr>
                <w:rFonts w:hint="eastAsia" w:ascii="宋体" w:hAnsi="宋体" w:cs="宋体"/>
                <w:color w:val="000000" w:themeColor="text1"/>
                <w:sz w:val="24"/>
                <w:highlight w:val="none"/>
                <w14:textFill>
                  <w14:solidFill>
                    <w14:schemeClr w14:val="tx1"/>
                  </w14:solidFill>
                </w14:textFill>
              </w:rPr>
              <w:t xml:space="preserve">；</w:t>
            </w:r>
            <w:r/>
          </w:p>
          <w:p>
            <w:pPr>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val="zh-CN"/>
                <w14:textFill>
                  <w14:solidFill>
                    <w14:schemeClr w14:val="tx1"/>
                  </w14:solidFill>
                </w14:textFill>
              </w:rPr>
              <w:t xml:space="preserve">本项目是否专门面向中小</w:t>
            </w:r>
            <w:r>
              <w:rPr>
                <w:rFonts w:hint="eastAsia" w:ascii="宋体" w:hAnsi="宋体"/>
                <w:b/>
                <w:color w:val="000000" w:themeColor="text1"/>
                <w:sz w:val="24"/>
                <w:highlight w:val="none"/>
                <w:lang w:val="en-US" w:eastAsia="zh-CN"/>
                <w14:textFill>
                  <w14:solidFill>
                    <w14:schemeClr w14:val="tx1"/>
                  </w14:solidFill>
                </w14:textFill>
              </w:rPr>
              <w:t xml:space="preserve">微</w:t>
            </w:r>
            <w:r>
              <w:rPr>
                <w:rFonts w:hint="eastAsia" w:ascii="宋体" w:hAnsi="宋体"/>
                <w:b/>
                <w:color w:val="000000" w:themeColor="text1"/>
                <w:sz w:val="24"/>
                <w:highlight w:val="none"/>
                <w:lang w:val="zh-CN"/>
                <w14:textFill>
                  <w14:solidFill>
                    <w14:schemeClr w14:val="tx1"/>
                  </w14:solidFill>
                </w14:textFill>
              </w:rPr>
              <w:t xml:space="preserve">企业采购：</w:t>
            </w:r>
            <w:r>
              <w:rPr>
                <w:rFonts w:hint="eastAsia" w:ascii="宋体" w:hAnsi="宋体"/>
                <w:b/>
                <w:color w:val="000000" w:themeColor="text1"/>
                <w:sz w:val="24"/>
                <w:highlight w:val="none"/>
                <w14:textFill>
                  <w14:solidFill>
                    <w14:schemeClr w14:val="tx1"/>
                  </w14:solidFill>
                </w14:textFill>
              </w:rPr>
              <w:t xml:space="preserve">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3974"/>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shd w:val="clear" w:color="auto" w:fill="auto"/>
            <w:tcW w:w="7810" w:type="dxa"/>
            <w:vAlign w:val="center"/>
            <w:textDirection w:val="lrTb"/>
            <w:noWrap w:val="false"/>
          </w:tcPr>
          <w:p>
            <w:pPr>
              <w:spacing w:line="324" w:lineRule="auto"/>
              <w:widowControl/>
              <w:rPr>
                <w:rFonts w:hint="eastAsia"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投标供应商资格要求</w:t>
            </w:r>
            <w:r>
              <w:rPr>
                <w:rFonts w:hint="eastAsia" w:ascii="宋体" w:hAnsi="宋体" w:cs="宋体"/>
                <w:color w:val="000000" w:themeColor="text1"/>
                <w:sz w:val="24"/>
                <w:highlight w:val="none"/>
                <w:lang w:val="en-US"/>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未被</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网站</w:t>
            </w:r>
            <w:r>
              <w:rPr>
                <w:rFonts w:hint="eastAsia" w:ascii="宋体" w:hAnsi="宋体" w:cs="宋体"/>
                <w:color w:val="000000" w:themeColor="text1"/>
                <w:sz w:val="24"/>
                <w:highlight w:val="none"/>
                <w14:textFill>
                  <w14:solidFill>
                    <w14:schemeClr w14:val="tx1"/>
                  </w14:solidFill>
                </w14:textFill>
              </w:rPr>
              <w:t xml:space="preserve">（www.creditchina.go</w:t>
            </w:r>
            <w:r>
              <w:rPr>
                <w:rFonts w:hint="eastAsia" w:ascii="宋体" w:hAnsi="宋体" w:cs="宋体"/>
                <w:color w:val="000000" w:themeColor="text1"/>
                <w:sz w:val="24"/>
                <w:highlight w:val="none"/>
                <w:lang w:val="en-US"/>
                <w14:textFill>
                  <w14:solidFill>
                    <w14:schemeClr w14:val="tx1"/>
                  </w14:solidFill>
                </w14:textFill>
              </w:rPr>
              <w:t xml:space="preserve">v.cn）</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中国政府采购网</w:t>
            </w:r>
            <w:r>
              <w:rPr>
                <w:rFonts w:hint="eastAsia" w:ascii="宋体" w:hAnsi="宋体" w:cs="宋体"/>
                <w:color w:val="000000" w:themeColor="text1"/>
                <w:sz w:val="24"/>
                <w:highlight w:val="none"/>
                <w:lang w:val="en-US"/>
                <w14:textFill>
                  <w14:solidFill>
                    <w14:schemeClr w14:val="tx1"/>
                  </w14:solidFill>
                </w14:textFill>
              </w:rPr>
              <w:t xml:space="preserve">”(www.ccgp.gov.cn)</w:t>
            </w:r>
            <w:r>
              <w:rPr>
                <w:rFonts w:hint="eastAsia" w:ascii="宋体" w:hAnsi="宋体" w:cs="宋体"/>
                <w:color w:val="000000" w:themeColor="text1"/>
                <w:sz w:val="24"/>
                <w:highlight w:val="none"/>
                <w:lang w:val="zh-CN"/>
                <w14:textFill>
                  <w14:solidFill>
                    <w14:schemeClr w14:val="tx1"/>
                  </w14:solidFill>
                </w14:textFill>
              </w:rPr>
              <w:t xml:space="preserve">列入失信被执行人、重大税收违法案件当事人名单、政府采购严重失信行为记录名单</w:t>
            </w:r>
            <w:r>
              <w:rPr>
                <w:rFonts w:hint="eastAsia" w:ascii="宋体" w:hAnsi="宋体" w:cs="宋体"/>
                <w:color w:val="000000" w:themeColor="text1"/>
                <w:sz w:val="24"/>
                <w:highlight w:val="none"/>
                <w:lang w:val="en-US"/>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（2）满足</w:t>
            </w:r>
            <w:r>
              <w:rPr>
                <w:rFonts w:hint="eastAsia" w:ascii="宋体" w:hAnsi="宋体" w:cs="宋体"/>
                <w:color w:val="000000" w:themeColor="text1"/>
                <w:sz w:val="24"/>
                <w:highlight w:val="none"/>
                <w:lang w:val="zh-CN"/>
                <w14:textFill>
                  <w14:solidFill>
                    <w14:schemeClr w14:val="tx1"/>
                  </w14:solidFill>
                </w14:textFill>
              </w:rPr>
              <w:t xml:space="preserve">《中华人民共和国政府采购法》第二十二条的规定；</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）授权代表</w:t>
            </w:r>
            <w:r>
              <w:rPr>
                <w:rFonts w:hint="eastAsia" w:ascii="宋体" w:hAnsi="宋体" w:cs="宋体"/>
                <w:color w:val="000000" w:themeColor="text1"/>
                <w:sz w:val="24"/>
                <w:highlight w:val="none"/>
                <w14:textFill>
                  <w14:solidFill>
                    <w14:schemeClr w14:val="tx1"/>
                  </w14:solidFill>
                </w14:textFill>
              </w:rPr>
              <w:t xml:space="preserve">须</w:t>
            </w:r>
            <w:r>
              <w:rPr>
                <w:rFonts w:hint="eastAsia" w:ascii="宋体" w:hAnsi="宋体" w:cs="宋体"/>
                <w:color w:val="000000" w:themeColor="text1"/>
                <w:sz w:val="24"/>
                <w:highlight w:val="none"/>
                <w:lang w:val="zh-CN"/>
                <w14:textFill>
                  <w14:solidFill>
                    <w14:schemeClr w14:val="tx1"/>
                  </w14:solidFill>
                </w14:textFill>
              </w:rPr>
              <w:t xml:space="preserve">为</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供应商本单位在职员工；</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本项目不接受联合体投标。</w:t>
            </w:r>
            <w:r/>
          </w:p>
          <w:p>
            <w:pPr>
              <w:spacing w:line="324" w:lineRule="auto"/>
              <w:widowControl/>
              <w:rPr>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注：采购人及采购代理机构有权对以上资格条件进行核查，如供应商有弄虚作假行为或不具备以上条件的将取消报价资格。</w:t>
            </w:r>
            <w:r/>
          </w:p>
        </w:tc>
      </w:tr>
      <w:tr>
        <w:trPr>
          <w:jc w:val="center"/>
          <w:trHeight w:val="1530"/>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shd w:val="clear" w:color="auto" w:fill="auto"/>
            <w:tcW w:w="7810" w:type="dxa"/>
            <w:vAlign w:val="center"/>
            <w:textDirection w:val="lrTb"/>
            <w:noWrap w:val="false"/>
          </w:tcPr>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w:t>
            </w:r>
            <w:r>
              <w:rPr>
                <w:rFonts w:hint="eastAsia" w:ascii="宋体" w:hAnsi="宋体" w:cs="宋体"/>
                <w:color w:val="000000" w:themeColor="text1"/>
                <w:sz w:val="24"/>
                <w:highlight w:val="none"/>
                <w14:textFill>
                  <w14:solidFill>
                    <w14:schemeClr w14:val="tx1"/>
                  </w14:solidFill>
                </w14:textFill>
              </w:rPr>
              <w:t xml:space="preserve">获取</w:t>
            </w:r>
            <w:r>
              <w:rPr>
                <w:rFonts w:hint="eastAsia" w:ascii="宋体" w:hAnsi="宋体" w:cs="宋体"/>
                <w:color w:val="000000" w:themeColor="text1"/>
                <w:sz w:val="24"/>
                <w:highlight w:val="none"/>
                <w:lang w:val="zh-CN"/>
                <w14:textFill>
                  <w14:solidFill>
                    <w14:schemeClr w14:val="tx1"/>
                  </w14:solidFill>
                </w14:textFill>
              </w:rPr>
              <w:t xml:space="preserve">期限：本项目公告发布之日起五个工作日内</w:t>
            </w:r>
            <w:r/>
          </w:p>
          <w:p>
            <w:pPr>
              <w:spacing w:line="324"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文件提供地</w:t>
            </w:r>
            <w:r>
              <w:rPr>
                <w:rFonts w:hint="eastAsia" w:ascii="宋体" w:hAnsi="宋体" w:cs="宋体"/>
                <w:color w:val="000000" w:themeColor="text1"/>
                <w:sz w:val="24"/>
                <w:highlight w:val="none"/>
                <w:lang w:val="zh-CN"/>
              </w:rPr>
              <w:t xml:space="preserve">点：</w:t>
            </w:r>
            <w:r>
              <w:rPr>
                <w:rFonts w:ascii="SimSun" w:hAnsi="SimSun" w:eastAsia="SimSun" w:cs="SimSun"/>
                <w:color w:val="000000" w:themeColor="text1"/>
                <w:sz w:val="24"/>
              </w:rPr>
              <w:t xml:space="preserve">江苏政府采购（苏采云）平台</w:t>
            </w:r>
            <w:r>
              <w:rPr>
                <w:rFonts w:hint="eastAsia" w:ascii="宋体" w:hAnsi="宋体" w:cs="宋体"/>
                <w:color w:val="000000" w:themeColor="text1"/>
                <w:sz w:val="24"/>
                <w:highlight w:val="none"/>
                <w:lang w:val="zh-CN"/>
              </w:rPr>
            </w:r>
            <w:r>
              <w:rPr>
                <w:color w:val="000000" w:themeColor="text1"/>
              </w:rP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注：投标供应商应承担其编制投标文件以及递交投标文件所涉及的一切费用。无论投标结果如何，采购人对上述费用不负任何责任。</w:t>
            </w:r>
            <w:r/>
          </w:p>
        </w:tc>
      </w:tr>
      <w:tr>
        <w:trPr>
          <w:jc w:val="center"/>
          <w:trHeight w:val="84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踏勘现场：由投标供应商自行踏勘现场。</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投标供应商要求澄清采购文件的截止时间：</w:t>
            </w:r>
            <w:bookmarkStart w:id="8" w:name="_GoBack"/>
            <w:r/>
            <w:bookmarkEnd w:id="8"/>
            <w:r>
              <w:rPr>
                <w:rFonts w:hint="eastAsia" w:ascii="宋体" w:hAnsi="宋体" w:cs="宋体"/>
                <w:color w:val="000000" w:themeColor="text1"/>
                <w:sz w:val="24"/>
                <w:highlight w:val="none"/>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日11时，以书面（或电子稿）形式和电子邮件形式发送给采购代理机构。</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采购人对采购文件澄清、修改时间：投标截止时间15天前，以书面（或电子稿）形式发送给各报名投标供应商。</w:t>
            </w:r>
            <w:r/>
          </w:p>
        </w:tc>
      </w:tr>
      <w:tr>
        <w:trPr>
          <w:jc w:val="center"/>
          <w:trHeight w:val="517"/>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7810" w:type="dxa"/>
            <w:vAlign w:val="center"/>
            <w:textDirection w:val="lrTb"/>
            <w:noWrap w:val="false"/>
          </w:tcPr>
          <w:p>
            <w:pPr>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tc>
      </w:tr>
      <w:tr>
        <w:trPr>
          <w:jc w:val="center"/>
          <w:trHeight w:val="45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投标有效期：投标截止时间起90天。</w:t>
            </w:r>
            <w:r/>
          </w:p>
        </w:tc>
      </w:tr>
      <w:tr>
        <w:trPr>
          <w:jc w:val="center"/>
          <w:trHeight w:val="467"/>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）网上投标截止时间：</w:t>
            </w:r>
            <w:r>
              <w:rPr>
                <w:rFonts w:hint="eastAsia" w:ascii="宋体" w:hAnsi="宋体" w:cs="宋体"/>
                <w:color w:val="000000" w:themeColor="text1"/>
                <w:sz w:val="24"/>
                <w:highlight w:val="none"/>
                <w:lang w:eastAsia="zh-CN"/>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，投标截止时间后的投标文件恕不接受。</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）网上投标解密时间：</w:t>
            </w:r>
            <w:r>
              <w:rPr>
                <w:rFonts w:hint="eastAsia" w:ascii="宋体" w:hAnsi="宋体" w:cs="宋体"/>
                <w:color w:val="000000" w:themeColor="text1"/>
                <w:sz w:val="24"/>
                <w:highlight w:val="none"/>
                <w:lang w:eastAsia="zh-CN"/>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:30；解密时限：开启解密后30分钟。</w:t>
            </w:r>
            <w:r/>
          </w:p>
          <w:p>
            <w:pPr>
              <w:jc w:val="left"/>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）投标文件提交地点：苏采云平台（http://jszfcg.jscz.gov.cn/jszc/login），线上不见面开标。</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特别提醒：</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Height w:val="772"/>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ascii="宋体" w:hAnsi="宋体" w:cs="宋体"/>
                <w:color w:val="000000" w:themeColor="text1"/>
                <w:sz w:val="24"/>
                <w:highlight w:val="none"/>
                <w:lang w:eastAsia="zh-CN"/>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:30</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开标地点：苏采云平台（http://jszfcg.jscz.gov.cn/jszc/login）</w:t>
            </w:r>
            <w:r/>
          </w:p>
        </w:tc>
      </w:tr>
      <w:tr>
        <w:trPr>
          <w:jc w:val="center"/>
          <w:trHeight w:val="394"/>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确定中标单位时间：评审结束后</w:t>
            </w:r>
            <w:r/>
          </w:p>
        </w:tc>
      </w:tr>
      <w:tr>
        <w:trPr>
          <w:jc w:val="center"/>
          <w:trHeight w:val="1530"/>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评标和中标结果发布全程电子化。</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jc w:val="center"/>
          <w:trHeight w:val="417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联系地址：无锡市大学城高浪西路1600号</w:t>
            </w:r>
            <w:r/>
          </w:p>
          <w:p>
            <w:pPr>
              <w:spacing w:line="324" w:lineRule="auto"/>
              <w:tabs>
                <w:tab w:val="left" w:pos="36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w:t>
            </w:r>
            <w:r>
              <w:rPr>
                <w:rFonts w:hint="eastAsia" w:ascii="宋体" w:hAnsi="宋体" w:cs="宋体"/>
                <w:color w:val="000000" w:themeColor="text1"/>
                <w:sz w:val="24"/>
                <w:highlight w:val="none"/>
                <w:lang w:val="en-US" w:eastAsia="zh-CN"/>
                <w14:textFill>
                  <w14:solidFill>
                    <w14:schemeClr w14:val="tx1"/>
                  </w14:solidFill>
                </w14:textFill>
              </w:rPr>
              <w:t xml:space="preserve">老师</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联系方式：0510-81838723     </w:t>
            </w:r>
            <w:r/>
          </w:p>
          <w:p>
            <w:pPr>
              <w:spacing w:line="324" w:lineRule="auto"/>
              <w:tabs>
                <w:tab w:val="left" w:pos="3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采购代理机构：江苏万达工程造价事务所有限公司</w:t>
            </w:r>
            <w:r/>
          </w:p>
          <w:p>
            <w:pPr>
              <w:ind w:right="-334"/>
              <w:jc w:val="left"/>
              <w:spacing w:line="324"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宗继红、王黎明</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联系电话：0510-85133566、17351686783</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联系地址：无锡市滨湖区滴翠路100号B幢1005室</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邮政编码：214000</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电子邮件地址：94017187@qq.com</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有关本次采购活动程序方面的问题，可来人、来函（传真）或电话联系。</w:t>
            </w:r>
            <w:r/>
          </w:p>
        </w:tc>
      </w:tr>
      <w:tr>
        <w:trPr>
          <w:jc w:val="center"/>
          <w:trHeight w:val="4215"/>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p>
        </w:tc>
        <w:tc>
          <w:tcPr>
            <w:tcW w:w="7810" w:type="dxa"/>
            <w:vAlign w:val="center"/>
            <w:textDirection w:val="lrTb"/>
            <w:noWrap w:val="false"/>
          </w:tcPr>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1.潜在投标供应商访问江苏省政府采购（苏采云）平台的网络地址和方法：</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cs="宋体"/>
                <w:bCs/>
                <w:color w:val="000000" w:themeColor="text1"/>
                <w:sz w:val="24"/>
                <w:highlight w:val="none"/>
                <w14:textFill>
                  <w14:solidFill>
                    <w14:schemeClr w14:val="tx1"/>
                  </w14:solidFill>
                </w14:textFill>
              </w:rPr>
              <w:t xml:space="preserve">“苏采云”系统用户注册－－获取“CA数字证书”--CA绑定与登录--网上获取--下载采购文件-－将采购文件导入政府采购客户端工具－－制作</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文件－－导出加密的</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cs="宋体"/>
                <w:bCs/>
                <w:color w:val="000000" w:themeColor="text1"/>
                <w:sz w:val="24"/>
                <w:highlight w:val="none"/>
                <w14:textFill>
                  <w14:solidFill>
                    <w14:schemeClr w14:val="tx1"/>
                  </w14:solidFill>
                </w14:textFill>
              </w:rPr>
              <w:t xml:space="preserve">》。</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（2）点击“江苏省政府采购（苏采云平台）”——“用户注册”按钮，进行账号注册并填写申请信息，也可以直接通过</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"http://jszfcg.jscz.gov.cn/jszc/login"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 xml:space="preserve">苏采云 （http://jszfcg.jsczt.cn/）</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进入注册界面。</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（5）采购文件、供应商操作手册及政府采购客户端工具可通过“苏采云”系统－－已获取项目—获取详情页面内相应链接进行下载。</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（7）采购代理机构将数据电文形式的采购文件加载至“苏采云”系统，供潜在供应商下载或者查阅。</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（8）“苏采云”系统应使用谷歌浏览器参与不见面开标。</w:t>
            </w:r>
            <w:r/>
          </w:p>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第二部分. 投标供应商须知</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（一）遵循原则：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（二）采购文件：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2.投标供应商应向江苏万达工程造价事务所有限公司购买文件及有关资料，按采购文件要求提交全部资料并对采购文件各项内容做出实质性响应，否则投标无效。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3.投标供应商一旦参加本项目投标，即表明承诺接受了本采购文件中所有条件和规定。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4.采购文件一经售出、一律不退，且仅作为本次投标使用。</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（三）采购文件的解释：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1.投标供应商如有需要对采购文件要求澄清的问题，请以书面形式提出，并按“投标邀请”第6项规定的时间将电子邮件或书面传真发送至江苏万达工程造价事务所有限公司，联系方式详见“投标邀请”第13项。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2.采购人、江苏万达工程造价事务所有限公司将按“投标邀请”第6项规定的时间对投标供应商针对采购文件书面提出的要求澄清的问题进行书面答疑。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3.本文件的最终解释权归采购人。</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（四）采购文件的补充或修正：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1.投标截止时间15日前江苏万达工程造价事务所有限公司可对采购文件进行必要的澄清或者修改，并视具体情况，延长投标截止时间。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2.如需对采购文件进行补充或修正，江苏万达工程造价事务所有限公司将在江苏政府采购网上发布更正公告。该澄清或者修改的内容为采购文件的组成部分，与采购文件具有同等约束力。</w:t>
      </w:r>
      <w:r/>
    </w:p>
    <w:p>
      <w:pPr>
        <w:ind w:firstLine="480"/>
        <w:spacing w:line="360" w:lineRule="auto"/>
        <w:tabs>
          <w:tab w:val="left" w:pos="945" w:leader="none"/>
        </w:tabs>
        <w:rPr>
          <w:rFonts w:hint="eastAsia"/>
          <w:color w:val="000000" w:themeColor="text1"/>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2"/>
        <w:spacing w:line="360" w:lineRule="auto"/>
        <w:rPr>
          <w:rFonts w:hint="eastAsia" w:ascii="宋体" w:hAnsi="宋体" w:cs="宋体"/>
          <w:b/>
          <w:bCs/>
          <w:color w:val="000000" w:themeColor="text1"/>
          <w:sz w:val="30"/>
          <w:szCs w:val="30"/>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（五）投标文件的组成：</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1.证明文件：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1.1资格、资信证明文件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关于资格的声明函（格式见附件）；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投标供应商企业营业执照副本或相关部门的登记证明文件</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投标供应商法定代表人授权委托书（格式见附件，法定代表人亲自参加的除外）；</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投标供应商法定代表人身份证</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及法定代表人授权代表身份证</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授权代表为供应商本单位在职员工，提供被授权代表与企业签订的劳动合同</w:t>
      </w:r>
      <w:r>
        <w:rPr>
          <w:rFonts w:hint="eastAsia" w:ascii="宋体" w:hAnsi="宋体" w:cs="宋体"/>
          <w:color w:val="000000" w:themeColor="text1"/>
          <w:sz w:val="24"/>
          <w:highlight w:val="none"/>
          <w14:textFill>
            <w14:solidFill>
              <w14:schemeClr w14:val="tx1"/>
            </w14:solidFill>
          </w14:textFill>
        </w:rPr>
        <w:t xml:space="preserve">和</w:t>
      </w:r>
      <w:r>
        <w:rPr>
          <w:rFonts w:hint="eastAsia" w:ascii="宋体" w:hAnsi="宋体" w:cs="宋体"/>
          <w:color w:val="000000" w:themeColor="text1"/>
          <w:sz w:val="24"/>
          <w:highlight w:val="none"/>
          <w:lang w:val="zh-CN"/>
          <w14:textFill>
            <w14:solidFill>
              <w14:schemeClr w14:val="tx1"/>
            </w14:solidFill>
          </w14:textFill>
        </w:rPr>
        <w:t xml:space="preserve">由社保机构出具的</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近一年中任意一个月份（不含</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当月）</w:t>
      </w:r>
      <w:r>
        <w:rPr>
          <w:rFonts w:hint="eastAsia" w:ascii="宋体" w:hAnsi="宋体" w:cs="宋体"/>
          <w:color w:val="000000" w:themeColor="text1"/>
          <w:sz w:val="24"/>
          <w:highlight w:val="none"/>
          <w14:textFill>
            <w14:solidFill>
              <w14:schemeClr w14:val="tx1"/>
            </w14:solidFill>
          </w14:textFill>
        </w:rPr>
        <w:t xml:space="preserve">为其缴纳社保</w:t>
      </w:r>
      <w:r>
        <w:rPr>
          <w:rFonts w:hint="eastAsia" w:ascii="宋体" w:hAnsi="宋体" w:cs="宋体"/>
          <w:color w:val="000000" w:themeColor="text1"/>
          <w:sz w:val="24"/>
          <w:highlight w:val="none"/>
          <w:lang w:val="zh-CN"/>
          <w14:textFill>
            <w14:solidFill>
              <w14:schemeClr w14:val="tx1"/>
            </w14:solidFill>
          </w14:textFill>
        </w:rPr>
        <w:t xml:space="preserve">的缴费证明</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w:t>
      </w:r>
      <w:r>
        <w:rPr>
          <w:rFonts w:hint="eastAsia" w:ascii="宋体" w:hAnsi="宋体" w:cs="宋体"/>
          <w:color w:val="000000" w:themeColor="text1"/>
          <w:sz w:val="24"/>
          <w:highlight w:val="none"/>
          <w:lang w:val="zh-CN"/>
          <w14:textFill>
            <w14:solidFill>
              <w14:schemeClr w14:val="tx1"/>
            </w14:solidFill>
          </w14:textFill>
        </w:rPr>
        <w:t xml:space="preserve">（法定代表人亲自参加</w:t>
      </w:r>
      <w:r>
        <w:rPr>
          <w:rFonts w:hint="eastAsia" w:ascii="宋体" w:hAnsi="宋体" w:cs="宋体"/>
          <w:color w:val="000000" w:themeColor="text1"/>
          <w:sz w:val="24"/>
          <w:highlight w:val="none"/>
          <w14:textFill>
            <w14:solidFill>
              <w14:schemeClr w14:val="tx1"/>
            </w14:solidFill>
          </w14:textFill>
        </w:rPr>
        <w:t xml:space="preserve">投标的除外</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(不含投标当月)的财务状况报告（资产负债表和利润表）或由会计师事务所出具的近两年中（2024年或2025年）任意一个年度的审计报告和所附已审财务报告</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 </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(不含投标当月)的依法缴纳税收和社会保障资金的相关材料（提供相关主管部门证明或银行代扣证明）</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并加盖公章；</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承诺书(格式见附件）；</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上述资格、资信证明文件投标供应商必须按要求全部提供，其中要求提交的原件或公证件必须与投标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1.2补充证明文件</w:t>
      </w:r>
      <w:r/>
    </w:p>
    <w:p>
      <w:pPr>
        <w:numPr>
          <w:ilvl w:val="0"/>
          <w:numId w:val="7"/>
        </w:num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供应商简介和经营情况说明（格式见附件）；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（2）项目人员配备表（格式见附件）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w:t>
      </w:r>
      <w:r>
        <w:rPr>
          <w:rFonts w:ascii="宋体" w:hAnsi="宋体" w:cs="宋体"/>
          <w:color w:val="000000" w:themeColor="text1"/>
          <w:sz w:val="24"/>
          <w:szCs w:val="28"/>
          <w:highlight w:val="none"/>
          <w14:textFill>
            <w14:solidFill>
              <w14:schemeClr w14:val="tx1"/>
            </w14:solidFill>
          </w14:textFill>
        </w:rPr>
        <w:t xml:space="preserve">中小企业声明函</w:t>
      </w:r>
      <w:r>
        <w:rPr>
          <w:rFonts w:hint="eastAsia" w:ascii="宋体" w:hAnsi="宋体" w:cs="宋体"/>
          <w:color w:val="000000" w:themeColor="text1"/>
          <w:sz w:val="24"/>
          <w:szCs w:val="28"/>
          <w:highlight w:val="none"/>
          <w14:textFill>
            <w14:solidFill>
              <w14:schemeClr w14:val="tx1"/>
            </w14:solidFill>
          </w14:textFill>
        </w:rPr>
        <w:t xml:space="preserve">（</w:t>
      </w:r>
      <w:r>
        <w:rPr>
          <w:rFonts w:ascii="宋体" w:hAnsi="宋体" w:cs="宋体"/>
          <w:color w:val="000000" w:themeColor="text1"/>
          <w:sz w:val="24"/>
          <w:szCs w:val="28"/>
          <w:highlight w:val="none"/>
          <w14:textFill>
            <w14:solidFill>
              <w14:schemeClr w14:val="tx1"/>
            </w14:solidFill>
          </w14:textFill>
        </w:rPr>
        <w:t xml:space="preserve">格式见附件</w:t>
      </w:r>
      <w:r>
        <w:rPr>
          <w:rFonts w:hint="eastAsia" w:ascii="宋体" w:hAnsi="宋体" w:cs="宋体"/>
          <w:color w:val="000000" w:themeColor="text1"/>
          <w:sz w:val="24"/>
          <w:szCs w:val="28"/>
          <w:highlight w:val="none"/>
          <w14:textFill>
            <w14:solidFill>
              <w14:schemeClr w14:val="tx1"/>
            </w14:solidFill>
          </w14:textFill>
        </w:rPr>
        <w:t xml:space="preserve">）</w:t>
      </w:r>
      <w:r>
        <w:rPr>
          <w:rFonts w:ascii="宋体" w:hAnsi="宋体" w:cs="宋体"/>
          <w:color w:val="000000" w:themeColor="text1"/>
          <w:sz w:val="24"/>
          <w:szCs w:val="28"/>
          <w:highlight w:val="none"/>
          <w14:textFill>
            <w14:solidFill>
              <w14:schemeClr w14:val="tx1"/>
            </w14:solidFill>
          </w14:textFill>
        </w:rPr>
        <w:t xml:space="preserve">或由省级以上监狱管理局、戒毒管理局(含新疆生产建设兵团)出具的属于监狱企业的证明文件</w:t>
      </w:r>
      <w:r>
        <w:rPr>
          <w:rFonts w:hint="eastAsia" w:ascii="宋体" w:hAnsi="宋体" w:cs="宋体"/>
          <w:color w:val="000000" w:themeColor="text1"/>
          <w:sz w:val="24"/>
          <w:szCs w:val="28"/>
          <w:highlight w:val="none"/>
          <w:lang w:val="en-US" w:eastAsia="zh-CN"/>
          <w14:textFill>
            <w14:solidFill>
              <w14:schemeClr w14:val="tx1"/>
            </w14:solidFill>
          </w14:textFill>
        </w:rPr>
        <w:t xml:space="preserve">扫描件</w:t>
      </w:r>
      <w:r>
        <w:rPr>
          <w:rFonts w:ascii="宋体" w:hAnsi="宋体" w:cs="宋体"/>
          <w:color w:val="000000" w:themeColor="text1"/>
          <w:sz w:val="24"/>
          <w:szCs w:val="28"/>
          <w:highlight w:val="none"/>
          <w14:textFill>
            <w14:solidFill>
              <w14:schemeClr w14:val="tx1"/>
            </w14:solidFill>
          </w14:textFill>
        </w:rPr>
        <w:t xml:space="preserve">或残疾人福利单位声明函；（如</w:t>
      </w:r>
      <w:r>
        <w:rPr>
          <w:rFonts w:hint="eastAsia" w:ascii="宋体" w:hAnsi="宋体" w:cs="宋体"/>
          <w:color w:val="000000" w:themeColor="text1"/>
          <w:sz w:val="24"/>
          <w:szCs w:val="28"/>
          <w:highlight w:val="none"/>
          <w14:textFill>
            <w14:solidFill>
              <w14:schemeClr w14:val="tx1"/>
            </w14:solidFill>
          </w14:textFill>
        </w:rPr>
        <w:t xml:space="preserve">是</w:t>
      </w:r>
      <w:r>
        <w:rPr>
          <w:rFonts w:ascii="宋体" w:hAnsi="宋体" w:cs="宋体"/>
          <w:color w:val="000000" w:themeColor="text1"/>
          <w:sz w:val="24"/>
          <w:szCs w:val="28"/>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（4）技术偏离表（格式见附件）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（5）评分标准中对应的其它所需证明材料（如有自行添加）</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（6）要求采购人提供的配合（如有自拟并自行添加）</w:t>
      </w:r>
      <w:r/>
    </w:p>
    <w:p>
      <w:pPr>
        <w:ind w:firstLine="480"/>
        <w:jc w:val="left"/>
        <w:spacing w:line="360" w:lineRule="auto"/>
        <w:widowControl/>
        <w:rPr>
          <w:color w:val="000000" w:themeColor="text1"/>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（7）其它（供应商认为有必要提供的声明和文件，如有自拟并自行添加）</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3.报价文件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（1）开标一览表（格式见附件）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（2）明细报价表（格式自拟）</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4、技术文件（按照项目需求及评分标准编制，格式自拟）</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（六）投标文件的要求：</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3.如无特别说明，</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文件格式部分，应由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供应商按给定格式提供，不得更改。</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供应商按采购文件规定的网上解密时间进行解密，如未按时解密后果自负</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应当对</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提出的要求和条件作出实质性响应，并在电子投标系统逐条应答</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bCs/>
          <w:color w:val="000000" w:themeColor="text1"/>
          <w:sz w:val="24"/>
          <w:highlight w:val="none"/>
          <w14:textFill>
            <w14:solidFill>
              <w14:schemeClr w14:val="tx1"/>
            </w14:solidFill>
          </w14:textFill>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10.投标费用自理。</w:t>
      </w:r>
      <w:r/>
    </w:p>
    <w:p>
      <w:pPr>
        <w:ind w:firstLine="480"/>
        <w:spacing w:line="360" w:lineRule="auto"/>
        <w:tabs>
          <w:tab w:val="left" w:pos="0" w:leader="none"/>
          <w:tab w:val="left" w:pos="588"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投标供应商在制作电子投标文件时，请正确关联到对应页，在评审过程中，评审专家如因在相对应页面找不到该相关联的文件，由此产生的后果由投标供应商自行承担。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（七）无效投标文件的确认：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19.同一投标供应商提交两种（含两种）以上不同的投标报价的</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20.评标委员会认为投标供应商的报价明显低于其他通过符合性审查的投标供应商的报价，有可能影响产品质量或者不能诚信履约的，未能在合理的时间内（</w:t>
      </w:r>
      <w:r>
        <w:rPr>
          <w:rFonts w:hint="eastAsia" w:ascii="宋体" w:hAnsi="宋体" w:cs="宋体"/>
          <w:color w:val="000000" w:themeColor="text1"/>
          <w:sz w:val="24"/>
          <w:highlight w:val="none"/>
          <w14:textFill>
            <w14:solidFill>
              <w14:schemeClr w14:val="tx1"/>
            </w14:solidFill>
          </w14:textFill>
        </w:rPr>
        <w:t xml:space="preserve">自江苏省政府采购“苏采云”平台通知之时起一小时内</w:t>
      </w:r>
      <w:r>
        <w:rPr>
          <w:rFonts w:hint="eastAsia" w:ascii="宋体" w:hAnsi="宋体" w:cs="宋体"/>
          <w:bCs/>
          <w:color w:val="000000" w:themeColor="text1"/>
          <w:sz w:val="24"/>
          <w:highlight w:val="none"/>
          <w14:textFill>
            <w14:solidFill>
              <w14:schemeClr w14:val="tx1"/>
            </w14:solidFill>
          </w14:textFill>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32.电子投标文件未按采购文件规定的格式编制；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33.其他法律法规及本采购文件规定的属于无效投标的情形；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34.同一投标供应商提交两种（含两种）以上不同的投标报价的。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（八） 开标、评标：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2.解密时，供应商须自行准备设备（包括但不限于笔记本电脑、</w:t>
      </w:r>
      <w:r>
        <w:rPr>
          <w:rStyle w:val="1185"/>
          <w:rFonts w:hint="eastAsia" w:ascii="宋体" w:hAnsi="宋体" w:cs="宋体"/>
          <w:color w:val="000000" w:themeColor="text1"/>
          <w:sz w:val="24"/>
          <w:highlight w:val="none"/>
          <w14:textFill>
            <w14:solidFill>
              <w14:schemeClr w14:val="tx1"/>
            </w14:solidFill>
          </w14:textFill>
        </w:rPr>
        <w:t xml:space="preserve">CA锁、</w:t>
      </w:r>
      <w:r>
        <w:rPr>
          <w:rFonts w:hint="eastAsia" w:ascii="宋体" w:hAnsi="宋体" w:cs="宋体"/>
          <w:color w:val="000000" w:themeColor="text1"/>
          <w:sz w:val="24"/>
          <w:highlight w:val="none"/>
          <w14:textFill>
            <w14:solidFill>
              <w14:schemeClr w14:val="tx1"/>
            </w14:solidFill>
          </w14:textFill>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5.投标文件的审查</w:t>
      </w:r>
      <w:r/>
    </w:p>
    <w:p>
      <w:pPr>
        <w:pStyle w:val="1192"/>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（1）投标文件报价出现前后不一致的，按照下列规定修正：</w:t>
      </w:r>
      <w:r/>
    </w:p>
    <w:p>
      <w:pPr>
        <w:pStyle w:val="1192"/>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①投标文件中开标一览表（报价表）内容与投标文件中相应内容不一致的，以开标一览表（报价表）为准；</w:t>
      </w:r>
      <w:r/>
    </w:p>
    <w:p>
      <w:pPr>
        <w:pStyle w:val="1192"/>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②大写金额和小写金额不一致的，以大写金额为准；</w:t>
      </w:r>
      <w:r/>
    </w:p>
    <w:p>
      <w:pPr>
        <w:pStyle w:val="1192"/>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③单价金额小数点或者百分比有明显错位的，以开标一览表的总价为准，并修改单价；</w:t>
      </w:r>
      <w:r/>
    </w:p>
    <w:p>
      <w:pPr>
        <w:pStyle w:val="1192"/>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④总价金额与按单价汇总金额不一致的，以单价金额计算结果为准。</w:t>
      </w:r>
      <w:r/>
    </w:p>
    <w:p>
      <w:pPr>
        <w:pStyle w:val="1192"/>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192"/>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（3）投标供应商未参加开标的，视同认可开标结果。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6.评标程序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评标工作由江苏万达工程造价事务所有限公司负责组织，具体评标事务由依法组建的评标委员会负责。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（1）投标文件初审。初审分为资格性审查和符合性审查。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所谓重大偏离或保留是指与招标文件规定的实质性要求存在负偏离，或者在实质上与招标文件不一致，而且限制了合同中买方和采购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C.如果投标文件实质上没有响应招标文件的要求，评委会将予以拒绝，其投标文件无效，投标供应商不得通过修改或撤销不符合要求的偏离或保留而使其投标成为实质性响应的投标。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（2）澄清有关问题。对投标文件中含义不明确、同类问题表述不一致或者有明显文字和计算错误的内容，评</w:t>
      </w:r>
      <w:r>
        <w:rPr>
          <w:rFonts w:hint="eastAsia" w:ascii="宋体" w:hAnsi="宋体" w:cs="宋体"/>
          <w:color w:val="000000" w:themeColor="text1"/>
          <w:sz w:val="24"/>
          <w:highlight w:val="none"/>
          <w14:textFill>
            <w14:solidFill>
              <w14:schemeClr w14:val="tx1"/>
            </w14:solidFill>
          </w14:textFill>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（3）比较与评价。评标委员会按采购文件中规定的评标方法和标准，对资格性检查和符合性检查合格的投标文件进行商务和技术评估，综合比较与评价。</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根据《关于推动解决政府采购异常低价问题的通知》（财库〔2026〕2号）中相关内容：</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zh-CN"/>
          <w14:textFill>
            <w14:solidFill>
              <w14:schemeClr w14:val="tx1"/>
            </w14:solidFill>
          </w14:textFill>
        </w:rPr>
        <w:t xml:space="preserve">）评审中出现下列情形之一的，评审委员会应当启动异常低价投标（响应）审查程序：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投标（响应）报价低于采购项目最高限价45%的，即投标（响应）报价&lt;采购项目最高限价×45%；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zh-CN"/>
          <w14:textFill>
            <w14:solidFill>
              <w14:schemeClr w14:val="tx1"/>
            </w14:solidFill>
          </w14:textFill>
        </w:rPr>
        <w:t xml:space="preserve">）评审委员会启动异常低价投标（响应）审查后，属于前述第</w:t>
      </w: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项至第</w:t>
      </w: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项情形，供应商已随投标（响应）文件一并提交相关书面说明及必要的证明材料的，在评审现场可不再重复提交。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7.评标方法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投标供应商通过初审的，方可进入比较与评价程序。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比较与评价采用综合评分法（计分均保留2位小数）。</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中标候选人并列的按技术文件优劣顺序排列。投标文件满足采购文件全部实质性要求，且按照评审因素的量化指标评审得分最高的投标供应商为排名第一的中标候选人。</w:t>
      </w:r>
      <w:r/>
    </w:p>
    <w:p>
      <w:pPr>
        <w:ind w:firstLine="482"/>
        <w:spacing w:line="360" w:lineRule="auto"/>
        <w:tabs>
          <w:tab w:val="left" w:pos="1365"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0"/>
          <w:numId w:val="8"/>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评分细则</w:t>
      </w:r>
      <w:r/>
    </w:p>
    <w:p>
      <w:pPr>
        <w:pStyle w:val="1194"/>
        <w:jc w:val="both"/>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 </w:t>
      </w:r>
      <w:r>
        <w:rPr>
          <w:rFonts w:hint="eastAsia" w:ascii="宋体" w:hAnsi="宋体" w:cs="宋体"/>
          <w:b/>
          <w:color w:val="000000" w:themeColor="text1"/>
          <w:highlight w:val="none"/>
          <w14:textFill>
            <w14:solidFill>
              <w14:schemeClr w14:val="tx1"/>
            </w14:solidFill>
          </w14:textFill>
        </w:rPr>
        <w:t xml:space="preserve">落实政府采购政策的价格调整</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价格扣除：专门面向中小/小微企业的项目除外。</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注：同一投标供应商，上述三项价格扣除优惠不得重复享受。</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宋体"/>
          <w:b/>
          <w:bCs/>
          <w:color w:val="000000" w:themeColor="text1"/>
          <w:sz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2.2注意事项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（1）提供本国产品进行投标（报价）的供应商需在其投</w:t>
      </w:r>
      <w:r>
        <w:rPr>
          <w:rFonts w:hint="eastAsia" w:ascii="宋体" w:hAnsi="宋体" w:cs="宋体"/>
          <w:bCs/>
          <w:color w:val="000000" w:themeColor="text1"/>
          <w:sz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cs="宋体"/>
          <w:b/>
          <w:bCs/>
          <w:color w:val="000000" w:themeColor="text1"/>
          <w:sz w:val="24"/>
          <w:highlight w:val="none"/>
          <w14:textFill>
            <w14:solidFill>
              <w14:schemeClr w14:val="tx1"/>
            </w14:solidFill>
          </w14:textFill>
        </w:rPr>
        <w:t xml:space="preserve">货物成本之和</w:t>
      </w:r>
      <w:r>
        <w:rPr>
          <w:rFonts w:hint="eastAsia" w:ascii="宋体" w:hAnsi="宋体" w:cs="宋体"/>
          <w:bCs/>
          <w:color w:val="000000" w:themeColor="text1"/>
          <w:sz w:val="24"/>
          <w:highlight w:val="none"/>
          <w14:textFill>
            <w14:solidFill>
              <w14:schemeClr w14:val="tx1"/>
            </w14:solidFill>
          </w14:textFill>
        </w:rPr>
        <w:t xml:space="preserve">；“全部产品成本之和”是指货物或服务项目（或者采购包）中包含的</w:t>
      </w:r>
      <w:r>
        <w:rPr>
          <w:rFonts w:hint="eastAsia" w:ascii="宋体" w:hAnsi="宋体" w:cs="宋体"/>
          <w:b/>
          <w:bCs/>
          <w:color w:val="000000" w:themeColor="text1"/>
          <w:sz w:val="24"/>
          <w:highlight w:val="none"/>
          <w14:textFill>
            <w14:solidFill>
              <w14:schemeClr w14:val="tx1"/>
            </w14:solidFill>
          </w14:textFill>
        </w:rPr>
        <w:t xml:space="preserve">全部货物、服务产品的成本之和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1000000×[1-（10%+20%）]=700000元</w:t>
      </w:r>
      <w:r/>
    </w:p>
    <w:p>
      <w:pPr>
        <w:pStyle w:val="718"/>
        <w:numPr>
          <w:ilvl w:val="255"/>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评分项目及总分（总分100分）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（1）价格                             30分</w:t>
      </w:r>
      <w:r/>
    </w:p>
    <w:p>
      <w:pPr>
        <w:ind w:firstLine="482"/>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（2）商务部分                         </w:t>
      </w:r>
      <w:r>
        <w:rPr>
          <w:rFonts w:hint="eastAsia" w:ascii="宋体" w:hAnsi="宋体" w:cs="宋体"/>
          <w:b/>
          <w:bCs/>
          <w:color w:val="000000" w:themeColor="text1"/>
          <w:sz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2"/>
        <w:spacing w:line="360" w:lineRule="auto"/>
        <w:widowControl/>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技术响应情况</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技术</w:t>
      </w:r>
      <w:r>
        <w:rPr>
          <w:rFonts w:hint="eastAsia" w:ascii="宋体" w:hAnsi="宋体" w:cs="宋体"/>
          <w:b/>
          <w:color w:val="000000" w:themeColor="text1"/>
          <w:sz w:val="24"/>
          <w:highlight w:val="none"/>
          <w:lang w:val="en-US" w:eastAsia="zh-CN"/>
          <w14:textFill>
            <w14:solidFill>
              <w14:schemeClr w14:val="tx1"/>
            </w14:solidFill>
          </w14:textFill>
        </w:rPr>
        <w:t xml:space="preserve">部分</w:t>
      </w: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 xml:space="preserve">16</w:t>
      </w:r>
      <w:r>
        <w:rPr>
          <w:rFonts w:hint="eastAsia" w:ascii="宋体" w:hAnsi="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）产品视频演示                     14分</w:t>
      </w:r>
      <w:r/>
    </w:p>
    <w:p>
      <w:pPr>
        <w:ind w:firstLine="482"/>
        <w:spacing w:line="360" w:lineRule="auto"/>
        <w:rPr>
          <w:rFonts w:hint="default" w:eastAsia="宋体"/>
          <w:color w:val="000000" w:themeColor="text1"/>
          <w:lang w:val="en-US"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6</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政策性因素                        1分</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8.3各项目评分标准</w:t>
      </w:r>
      <w:r/>
    </w:p>
    <w:tbl>
      <w:tblPr>
        <w:tblStyle w:val="707"/>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5"/>
        <w:gridCol w:w="1119"/>
        <w:gridCol w:w="6865"/>
      </w:tblGrid>
      <w:tr>
        <w:trPr>
          <w:jc w:val="center"/>
          <w:trHeight w:val="555"/>
        </w:trPr>
        <w:tc>
          <w:tcPr>
            <w:tcW w:w="1175" w:type="dxa"/>
            <w:vAlign w:val="center"/>
            <w:textDirection w:val="lrTb"/>
            <w:noWrap/>
          </w:tcPr>
          <w:p>
            <w:pPr>
              <w:jc w:val="center"/>
              <w:widowControl/>
              <w:rPr>
                <w:rFonts w:hint="eastAsia" w:ascii="宋体" w:hAnsi="宋体" w:cs="宋体"/>
                <w:b/>
                <w:bCs/>
                <w:color w:val="000000" w:themeColor="text1"/>
                <w:szCs w:val="21"/>
                <w:highlight w:val="none"/>
                <w14:textFill>
                  <w14:solidFill>
                    <w14:schemeClr w14:val="tx1"/>
                  </w14:solidFill>
                </w14:textFill>
              </w:rPr>
            </w:pPr>
            <w:r/>
            <w:bookmarkStart w:id="1" w:name="_Hlk7428049"/>
            <w:r>
              <w:rPr>
                <w:rFonts w:hint="eastAsia" w:ascii="宋体" w:hAnsi="宋体" w:cs="宋体"/>
                <w:b/>
                <w:bCs/>
                <w:color w:val="000000" w:themeColor="text1"/>
                <w:szCs w:val="21"/>
                <w:highlight w:val="none"/>
                <w14:textFill>
                  <w14:solidFill>
                    <w14:schemeClr w14:val="tx1"/>
                  </w14:solidFill>
                </w14:textFill>
              </w:rPr>
              <w:t xml:space="preserve">类别</w:t>
            </w:r>
            <w:r/>
          </w:p>
        </w:tc>
        <w:tc>
          <w:tcPr>
            <w:tcW w:w="1119"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w:t>
            </w:r>
            <w:r/>
          </w:p>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内容</w:t>
            </w:r>
            <w:r/>
          </w:p>
        </w:tc>
        <w:tc>
          <w:tcPr>
            <w:tcW w:w="6865"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评分标准</w:t>
            </w:r>
            <w:r/>
          </w:p>
        </w:tc>
      </w:tr>
      <w:tr>
        <w:trPr>
          <w:jc w:val="center"/>
          <w:trHeight w:val="977"/>
        </w:trPr>
        <w:tc>
          <w:tcPr>
            <w:tcW w:w="1175" w:type="dxa"/>
            <w:vAlign w:val="center"/>
            <w:textDirection w:val="lrTb"/>
            <w:noWrap/>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价格</w:t>
            </w:r>
            <w:r/>
          </w:p>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（30分）</w:t>
            </w:r>
            <w:r/>
          </w:p>
        </w:tc>
        <w:tc>
          <w:tcPr>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价格</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（30分）</w:t>
            </w:r>
            <w:r/>
          </w:p>
        </w:tc>
        <w:tc>
          <w:tcPr>
            <w:tcW w:w="6865" w:type="dxa"/>
            <w:vAlign w:val="center"/>
            <w:textDirection w:val="lrTb"/>
            <w:noWrap w:val="false"/>
          </w:tcPr>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价格分统一采用低价优先法，即满足招标文件要求且投标价格最低的投标报价为评标基准价，其价格分为满分30分。其他投标供应商的价格分统一按照下列公式计算：投标报价得分＝（评标基准价/投标报价）×30</w:t>
            </w:r>
            <w:r/>
          </w:p>
        </w:tc>
      </w:tr>
      <w:tr>
        <w:trPr>
          <w:jc w:val="center"/>
          <w:trHeight w:val="1256"/>
        </w:trPr>
        <w:tc>
          <w:tcPr>
            <w:tcW w:w="1175" w:type="dxa"/>
            <w:vAlign w:val="center"/>
            <w:vMerge w:val="restart"/>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商务部分</w:t>
            </w:r>
            <w:r/>
          </w:p>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15</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1119" w:type="dxa"/>
            <w:vAlign w:val="center"/>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综合实力（</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6865" w:type="dxa"/>
            <w:vAlign w:val="center"/>
            <w:textDirection w:val="lrTb"/>
            <w:noWrap w:val="false"/>
          </w:tcPr>
          <w:p>
            <w:pPr>
              <w:numPr>
                <w:ilvl w:val="0"/>
                <w:numId w:val="9"/>
              </w:num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投标供应商</w:t>
            </w:r>
            <w:r>
              <w:rPr>
                <w:rFonts w:hint="eastAsia" w:ascii="宋体" w:hAnsi="宋体" w:cs="宋体"/>
                <w:color w:val="000000" w:themeColor="text1"/>
                <w:szCs w:val="21"/>
                <w:highlight w:val="none"/>
                <w14:textFill>
                  <w14:solidFill>
                    <w14:schemeClr w14:val="tx1"/>
                  </w14:solidFill>
                </w14:textFill>
              </w:rPr>
              <w:t xml:space="preserve">具有</w:t>
            </w:r>
            <w:r>
              <w:rPr>
                <w:rFonts w:hint="eastAsia" w:ascii="宋体" w:hAnsi="宋体" w:cs="宋体"/>
                <w:color w:val="000000" w:themeColor="text1"/>
                <w:szCs w:val="21"/>
                <w:highlight w:val="none"/>
                <w:lang w:val="en-US" w:eastAsia="zh-CN"/>
                <w14:textFill>
                  <w14:solidFill>
                    <w14:schemeClr w14:val="tx1"/>
                  </w14:solidFill>
                </w14:textFill>
              </w:rPr>
              <w:t xml:space="preserve">有效期内的</w:t>
            </w:r>
            <w:r>
              <w:rPr>
                <w:rFonts w:hint="eastAsia" w:ascii="宋体" w:hAnsi="宋体" w:cs="宋体"/>
                <w:color w:val="000000" w:themeColor="text1"/>
                <w:szCs w:val="21"/>
                <w:highlight w:val="none"/>
                <w14:textFill>
                  <w14:solidFill>
                    <w14:schemeClr w14:val="tx1"/>
                  </w14:solidFill>
                </w14:textFill>
              </w:rPr>
              <w:t xml:space="preserve">质量管理体系、信息技术服务管理体系、信息安全管理体系证书、知识产权管理体系认证证书</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每提供一个得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分，最高得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（提供有效期内的证书</w:t>
            </w:r>
            <w:r>
              <w:rPr>
                <w:rFonts w:hint="eastAsia" w:ascii="宋体" w:hAnsi="宋体" w:cs="宋体"/>
                <w:color w:val="000000" w:themeColor="text1"/>
                <w:sz w:val="21"/>
                <w:szCs w:val="21"/>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1"/>
                <w:szCs w:val="21"/>
                <w:highlight w:val="none"/>
                <w14:textFill>
                  <w14:solidFill>
                    <w14:schemeClr w14:val="tx1"/>
                  </w14:solidFill>
                </w14:textFill>
              </w:rPr>
              <w:t xml:space="preserve">加盖公章）</w:t>
            </w:r>
            <w:r/>
          </w:p>
        </w:tc>
      </w:tr>
      <w:tr>
        <w:trPr>
          <w:jc w:val="center"/>
          <w:trHeight w:val="383"/>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实施团队（8分）</w:t>
            </w:r>
            <w:r/>
          </w:p>
        </w:tc>
        <w:tc>
          <w:tcPr>
            <w:shd w:val="clear" w:color="auto" w:fill="auto"/>
            <w:tcW w:w="6865" w:type="dxa"/>
            <w:vAlign w:val="center"/>
            <w:textDirection w:val="lrTb"/>
            <w:noWrap w:val="false"/>
          </w:tcPr>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1.投标供应商拟派项目负责人，具备高级</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及以上</w:t>
            </w:r>
            <w:r>
              <w:rPr>
                <w:rFonts w:hint="eastAsia" w:ascii="宋体" w:hAnsi="宋体" w:cs="宋体"/>
                <w:color w:val="000000" w:themeColor="text1"/>
                <w:spacing w:val="-6"/>
                <w:szCs w:val="21"/>
                <w:highlight w:val="none"/>
                <w14:textFill>
                  <w14:solidFill>
                    <w14:schemeClr w14:val="tx1"/>
                  </w14:solidFill>
                </w14:textFill>
              </w:rPr>
              <w:t xml:space="preserve">职称的，得2分；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2.项目配套软件交付团队（以项目人员配备表为准）不低于6人的，得1分；</w:t>
            </w:r>
            <w:r/>
          </w:p>
          <w:p>
            <w:pPr>
              <w:ind w:firstLine="11"/>
              <w:jc w:val="left"/>
              <w:spacing w:line="300" w:lineRule="auto"/>
              <w:widowControl/>
              <w:rPr>
                <w:rFonts w:hint="eastAsia" w:ascii="宋体" w:hAnsi="宋体" w:eastAsia="宋体" w:cs="宋体"/>
                <w:color w:val="000000" w:themeColor="text1"/>
                <w:spacing w:val="-6"/>
                <w:szCs w:val="21"/>
                <w:highlight w:val="none"/>
                <w:lang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3.项目团队（除项目负责人外），</w:t>
            </w:r>
            <w:r>
              <w:rPr>
                <w:rFonts w:hint="eastAsia" w:ascii="宋体" w:hAnsi="宋体" w:cs="宋体"/>
                <w:color w:val="000000" w:themeColor="text1"/>
                <w:spacing w:val="-6"/>
                <w:szCs w:val="21"/>
                <w:highlight w:val="none"/>
                <w14:textFill>
                  <w14:solidFill>
                    <w14:schemeClr w14:val="tx1"/>
                  </w14:solidFill>
                </w14:textFill>
              </w:rPr>
              <w:t xml:space="preserve">提供高级及以上职称证书的，有1人得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1.5</w:t>
            </w:r>
            <w:r>
              <w:rPr>
                <w:rFonts w:hint="eastAsia" w:ascii="宋体" w:hAnsi="宋体" w:cs="宋体"/>
                <w:color w:val="000000" w:themeColor="text1"/>
                <w:spacing w:val="-6"/>
                <w:szCs w:val="21"/>
                <w:highlight w:val="none"/>
                <w14:textFill>
                  <w14:solidFill>
                    <w14:schemeClr w14:val="tx1"/>
                  </w14:solidFill>
                </w14:textFill>
              </w:rPr>
              <w:t xml:space="preserve">分，最高</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3</w:t>
            </w:r>
            <w:r>
              <w:rPr>
                <w:rFonts w:hint="eastAsia" w:ascii="宋体" w:hAnsi="宋体" w:cs="宋体"/>
                <w:color w:val="000000" w:themeColor="text1"/>
                <w:spacing w:val="-6"/>
                <w:szCs w:val="21"/>
                <w:highlight w:val="none"/>
                <w14:textFill>
                  <w14:solidFill>
                    <w14:schemeClr w14:val="tx1"/>
                  </w14:solidFill>
                </w14:textFill>
              </w:rPr>
              <w:t xml:space="preserve">分；提供</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中级</w:t>
            </w:r>
            <w:r>
              <w:rPr>
                <w:rFonts w:hint="eastAsia" w:ascii="宋体" w:hAnsi="宋体" w:cs="宋体"/>
                <w:color w:val="000000" w:themeColor="text1"/>
                <w:spacing w:val="-6"/>
                <w:szCs w:val="21"/>
                <w:highlight w:val="none"/>
                <w14:textFill>
                  <w14:solidFill>
                    <w14:schemeClr w14:val="tx1"/>
                  </w14:solidFill>
                </w14:textFill>
              </w:rPr>
              <w:t xml:space="preserve">职称证书的，有1人得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分，最高</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2</w:t>
            </w:r>
            <w:r>
              <w:rPr>
                <w:rFonts w:hint="eastAsia" w:ascii="宋体" w:hAnsi="宋体" w:cs="宋体"/>
                <w:color w:val="000000" w:themeColor="text1"/>
                <w:spacing w:val="-6"/>
                <w:szCs w:val="21"/>
                <w:highlight w:val="none"/>
                <w14:textFill>
                  <w14:solidFill>
                    <w14:schemeClr w14:val="tx1"/>
                  </w14:solidFill>
                </w14:textFill>
              </w:rPr>
              <w:t xml:space="preserve">分；本项最高得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5</w:t>
            </w:r>
            <w:r>
              <w:rPr>
                <w:rFonts w:hint="eastAsia" w:ascii="宋体" w:hAnsi="宋体" w:cs="宋体"/>
                <w:color w:val="000000" w:themeColor="text1"/>
                <w:spacing w:val="-6"/>
                <w:szCs w:val="21"/>
                <w:highlight w:val="none"/>
                <w14:textFill>
                  <w14:solidFill>
                    <w14:schemeClr w14:val="tx1"/>
                  </w14:solidFill>
                </w14:textFill>
              </w:rPr>
              <w:t xml:space="preserve">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一人多证以最高级别计，不重复计分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注：以上人员应为投标供应商本单位在职员工，提供证书及近一年中任意一个月（不含投标当月）投标供应商为其缴纳社保的缴费证明扫描件加盖公章）</w:t>
            </w:r>
            <w:r/>
          </w:p>
        </w:tc>
      </w:tr>
      <w:tr>
        <w:trPr>
          <w:jc w:val="center"/>
          <w:trHeight w:val="1164"/>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tcW w:w="1119" w:type="dxa"/>
            <w:vAlign w:val="center"/>
            <w:textDirection w:val="lrTb"/>
            <w:noWrap w:val="false"/>
          </w:tcPr>
          <w:p>
            <w:pPr>
              <w:ind w:firstLine="12"/>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相关业绩（</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tc>
        <w:tc>
          <w:tcPr>
            <w:tcW w:w="6865" w:type="dxa"/>
            <w:vAlign w:val="center"/>
            <w:textDirection w:val="lrTb"/>
            <w:noWrap w:val="false"/>
          </w:tcPr>
          <w:p>
            <w:pPr>
              <w:jc w:val="left"/>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投标供应商</w:t>
            </w:r>
            <w:r>
              <w:rPr>
                <w:rFonts w:hint="eastAsia" w:ascii="宋体" w:hAnsi="宋体" w:cs="宋体"/>
                <w:color w:val="000000" w:themeColor="text1"/>
                <w:szCs w:val="21"/>
                <w:highlight w:val="none"/>
                <w:lang w:val="en-US" w:eastAsia="zh-CN"/>
                <w14:textFill>
                  <w14:solidFill>
                    <w14:schemeClr w14:val="tx1"/>
                  </w14:solidFill>
                </w14:textFill>
              </w:rPr>
              <w:t xml:space="preserve">自</w:t>
            </w:r>
            <w:r>
              <w:rPr>
                <w:rFonts w:hint="eastAsia" w:ascii="宋体" w:hAnsi="宋体" w:cs="宋体"/>
                <w:color w:val="000000" w:themeColor="text1"/>
                <w:szCs w:val="21"/>
                <w:highlight w:val="none"/>
                <w14:textFill>
                  <w14:solidFill>
                    <w14:schemeClr w14:val="tx1"/>
                  </w14:solidFill>
                </w14:textFill>
              </w:rPr>
              <w:t xml:space="preserve">2023年1月1日以来具有同类项目业绩的</w:t>
            </w:r>
            <w:r>
              <w:rPr>
                <w:rFonts w:hint="eastAsia"/>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每有一个</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val="en-US" w:eastAsia="zh-CN"/>
                <w14:textFill>
                  <w14:solidFill>
                    <w14:schemeClr w14:val="tx1"/>
                  </w14:solidFill>
                </w14:textFill>
              </w:rPr>
              <w:t xml:space="preserve">满分3</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bCs/>
                <w:color w:val="000000" w:themeColor="text1"/>
                <w:szCs w:val="21"/>
                <w:highlight w:val="none"/>
                <w14:textFill>
                  <w14:solidFill>
                    <w14:schemeClr w14:val="tx1"/>
                  </w14:solidFill>
                </w14:textFill>
              </w:rPr>
              <w:t xml:space="preserve">提供完整的合同</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验收证明、发票扫描件</w:t>
            </w:r>
            <w:r>
              <w:rPr>
                <w:rFonts w:hint="eastAsia" w:ascii="宋体" w:hAnsi="宋体"/>
                <w:bCs/>
                <w:color w:val="000000" w:themeColor="text1"/>
                <w:szCs w:val="21"/>
                <w:highlight w:val="none"/>
                <w14:textFill>
                  <w14:solidFill>
                    <w14:schemeClr w14:val="tx1"/>
                  </w14:solidFill>
                </w14:textFill>
              </w:rPr>
              <w:t xml:space="preserve">并加盖</w:t>
            </w:r>
            <w:r>
              <w:rPr>
                <w:rFonts w:hint="eastAsia" w:ascii="宋体" w:hAnsi="宋体"/>
                <w:bCs/>
                <w:color w:val="000000" w:themeColor="text1"/>
                <w:szCs w:val="21"/>
                <w:highlight w:val="none"/>
                <w:lang w:val="en-US" w:eastAsia="zh-CN"/>
                <w14:textFill>
                  <w14:solidFill>
                    <w14:schemeClr w14:val="tx1"/>
                  </w14:solidFill>
                </w14:textFill>
              </w:rPr>
              <w:t xml:space="preserve">投标供应商</w:t>
            </w:r>
            <w:r>
              <w:rPr>
                <w:rFonts w:hint="eastAsia" w:ascii="宋体" w:hAnsi="宋体"/>
                <w:bCs/>
                <w:color w:val="000000" w:themeColor="text1"/>
                <w:szCs w:val="21"/>
                <w:highlight w:val="none"/>
                <w14:textFill>
                  <w14:solidFill>
                    <w14:schemeClr w14:val="tx1"/>
                  </w14:solidFill>
                </w14:textFill>
              </w:rPr>
              <w:t xml:space="preserve">公章，</w:t>
            </w:r>
            <w:r>
              <w:rPr>
                <w:rFonts w:hint="eastAsia" w:ascii="宋体" w:hAnsi="宋体"/>
                <w:bCs/>
                <w:color w:val="000000" w:themeColor="text1"/>
                <w:szCs w:val="21"/>
                <w:highlight w:val="none"/>
                <w:lang w:val="en-US" w:eastAsia="zh-CN"/>
                <w14:textFill>
                  <w14:solidFill>
                    <w14:schemeClr w14:val="tx1"/>
                  </w14:solidFill>
                </w14:textFill>
              </w:rPr>
              <w:t xml:space="preserve">缺一项不得分；</w:t>
            </w:r>
            <w:r>
              <w:rPr>
                <w:rFonts w:hint="eastAsia" w:ascii="宋体" w:hAnsi="宋体"/>
                <w:bCs/>
                <w:color w:val="000000" w:themeColor="text1"/>
                <w:szCs w:val="21"/>
                <w:highlight w:val="none"/>
                <w14:textFill>
                  <w14:solidFill>
                    <w14:schemeClr w14:val="tx1"/>
                  </w14:solidFill>
                </w14:textFill>
              </w:rPr>
              <w:t xml:space="preserve">业绩时间以合同签订时间为准</w:t>
            </w:r>
            <w:r>
              <w:rPr>
                <w:rFonts w:hint="eastAsia" w:ascii="宋体" w:hAnsi="宋体" w:cs="宋体"/>
                <w:color w:val="000000" w:themeColor="text1"/>
                <w:szCs w:val="21"/>
                <w:highlight w:val="none"/>
                <w14:textFill>
                  <w14:solidFill>
                    <w14:schemeClr w14:val="tx1"/>
                  </w14:solidFill>
                </w14:textFill>
              </w:rPr>
              <w:t xml:space="preserve">）。</w:t>
            </w:r>
            <w:r/>
          </w:p>
        </w:tc>
      </w:tr>
      <w:tr>
        <w:trPr>
          <w:jc w:val="center"/>
          <w:trHeight w:val="2527"/>
        </w:trPr>
        <w:tc>
          <w:tcPr>
            <w:tcW w:w="1175"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技术响应情况</w:t>
            </w:r>
            <w:r/>
          </w:p>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技术响应情况</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6865" w:type="dxa"/>
            <w:vAlign w:val="center"/>
            <w:textDirection w:val="lrTb"/>
            <w:noWrap w:val="false"/>
          </w:tcPr>
          <w:p>
            <w:pPr>
              <w:numPr>
                <w:ilvl w:val="0"/>
                <w:numId w:val="0"/>
              </w:numPr>
              <w:jc w:val="left"/>
              <w:spacing w:line="240" w:lineRule="auto"/>
              <w:widowControl/>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根据投标文件对招标文件技术指标的响应情况，进行打分。</w:t>
            </w:r>
            <w:r/>
          </w:p>
          <w:p>
            <w:pPr>
              <w:numPr>
                <w:ilvl w:val="0"/>
                <w:numId w:val="0"/>
              </w:numPr>
              <w:ind w:left="0"/>
              <w:jc w:val="left"/>
              <w:spacing w:line="24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完全满足</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或优于</w:t>
            </w:r>
            <w:r>
              <w:rPr>
                <w:rFonts w:hint="eastAsia" w:ascii="宋体" w:hAnsi="宋体" w:cs="宋体"/>
                <w:color w:val="000000" w:themeColor="text1"/>
                <w:spacing w:val="-6"/>
                <w:szCs w:val="21"/>
                <w:highlight w:val="none"/>
                <w14:textFill>
                  <w14:solidFill>
                    <w14:schemeClr w14:val="tx1"/>
                  </w14:solidFill>
                </w14:textFill>
              </w:rPr>
              <w:t xml:space="preserve">招标文件技术规格、参数及要求的，得2</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p>
            <w:pPr>
              <w:numPr>
                <w:ilvl w:val="0"/>
                <w:numId w:val="0"/>
              </w:numPr>
              <w:ind w:left="0"/>
              <w:jc w:val="left"/>
              <w:keepLines w:val="0"/>
              <w:keepNext w:val="0"/>
              <w:widowControl/>
              <w:rPr>
                <w:rFonts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rPr>
                <w:rFonts w:ascii="宋体" w:hAnsi="宋体" w:eastAsia="宋体" w:cs="宋体"/>
                <w:color w:val="000000" w:themeColor="text1"/>
                <w:sz w:val="21"/>
                <w:szCs w:val="21"/>
                <w:highlight w:val="none"/>
                <w:lang w:val="en-US" w:eastAsia="zh-CN" w:bidi="ar"/>
                <w14:textFill>
                  <w14:solidFill>
                    <w14:schemeClr w14:val="tx1"/>
                  </w14:solidFill>
                </w14:textFill>
              </w:rPr>
              <w:t xml:space="preserve">标“★”项参数为关键性参数，不允许负偏离，否则按无效投标处理。 </w:t>
            </w:r>
            <w:r/>
          </w:p>
          <w:p>
            <w:pPr>
              <w:numPr>
                <w:ilvl w:val="0"/>
                <w:numId w:val="0"/>
              </w:numPr>
              <w:ind w:left="0"/>
              <w:jc w:val="left"/>
              <w:keepLines w:val="0"/>
              <w:keepNext w:val="0"/>
              <w:widowControl/>
              <w:rPr>
                <w:rFonts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ascii="宋体" w:hAnsi="宋体" w:eastAsia="宋体" w:cs="宋体"/>
                <w:color w:val="000000" w:themeColor="text1"/>
                <w:sz w:val="21"/>
                <w:szCs w:val="21"/>
                <w:highlight w:val="none"/>
                <w:lang w:val="en-US" w:eastAsia="zh-CN" w:bidi="ar"/>
                <w14:textFill>
                  <w14:solidFill>
                    <w14:schemeClr w14:val="tx1"/>
                  </w14:solidFill>
                </w14:textFill>
              </w:rPr>
              <w:t xml:space="preserve">非标“★”项参数和功能要求不满足或存在负偏离的，有一项扣2分，最多扣10分。不满足或者负偏离超过5项的作无效投标处理。</w:t>
            </w:r>
            <w:r/>
          </w:p>
          <w:p>
            <w:pPr>
              <w:numPr>
                <w:ilvl w:val="0"/>
                <w:numId w:val="0"/>
              </w:numPr>
              <w:ind w:left="0"/>
              <w:jc w:val="left"/>
              <w:keepLines w:val="0"/>
              <w:keepNext w:val="0"/>
              <w:widowControl/>
              <w:rPr>
                <w:rFonts w:ascii="宋体" w:hAnsi="宋体" w:eastAsia="宋体" w:cs="宋体"/>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4、</w:t>
            </w:r>
            <w:r>
              <w:rPr>
                <w:rFonts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要</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提供相关证明材料</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的</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参数</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，不提供</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或者未按要求提供，</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视为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负偏离</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p>
            <w:pPr>
              <w:numPr>
                <w:ilvl w:val="0"/>
                <w:numId w:val="0"/>
              </w:numPr>
              <w:jc w:val="left"/>
              <w:spacing w:line="24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注：</w:t>
            </w:r>
            <w:r>
              <w:rPr>
                <w:rFonts w:hint="eastAsia" w:ascii="宋体" w:hAnsi="宋体" w:cs="宋体"/>
                <w:color w:val="000000" w:themeColor="text1"/>
                <w:sz w:val="21"/>
                <w:szCs w:val="21"/>
                <w:highlight w:val="none"/>
                <w:lang w:eastAsia="zh-CN"/>
                <w14:textFill>
                  <w14:solidFill>
                    <w14:schemeClr w14:val="tx1"/>
                  </w14:solidFill>
                </w14:textFill>
              </w:rPr>
              <w:t xml:space="preserve">投标供应商</w:t>
            </w:r>
            <w:r>
              <w:rPr>
                <w:rFonts w:hint="eastAsia" w:ascii="宋体" w:hAnsi="宋体" w:cs="宋体"/>
                <w:color w:val="000000" w:themeColor="text1"/>
                <w:sz w:val="21"/>
                <w:szCs w:val="21"/>
                <w:highlight w:val="none"/>
                <w14:textFill>
                  <w14:solidFill>
                    <w14:schemeClr w14:val="tx1"/>
                  </w14:solidFill>
                </w14:textFill>
              </w:rPr>
              <w:t xml:space="preserve">必须如实地在《投标偏离表》中逐条标明满足与否，并对其真实性负责。</w:t>
            </w:r>
            <w:r/>
          </w:p>
        </w:tc>
      </w:tr>
      <w:tr>
        <w:trPr>
          <w:jc w:val="center"/>
          <w:trHeight w:val="312"/>
        </w:trPr>
        <w:tc>
          <w:tcPr>
            <w:tcW w:w="1175" w:type="dxa"/>
            <w:vAlign w:val="center"/>
            <w:vMerge w:val="restart"/>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技术</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部分</w:t>
            </w: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16</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实施方案（10分）</w:t>
            </w:r>
            <w:r/>
          </w:p>
        </w:tc>
        <w:tc>
          <w:tcPr>
            <w:shd w:val="clear" w:color="auto" w:fill="auto"/>
            <w:tcW w:w="6865" w:type="dxa"/>
            <w:vAlign w:val="center"/>
            <w:textDirection w:val="lrTb"/>
            <w:noWrap w:val="false"/>
          </w:tcPr>
          <w:p>
            <w:pPr>
              <w:spacing w:line="300" w:lineRule="auto"/>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供应商结合本项目采购需求及管理特点提出具体实施方案，方案内容包括：</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①</w:t>
            </w:r>
            <w:r>
              <w:rPr>
                <w:rFonts w:hint="eastAsia" w:ascii="宋体" w:hAnsi="宋体" w:cs="宋体"/>
                <w:color w:val="000000" w:themeColor="text1"/>
                <w:spacing w:val="-6"/>
                <w:szCs w:val="21"/>
                <w:highlight w:val="none"/>
                <w14:textFill>
                  <w14:solidFill>
                    <w14:schemeClr w14:val="tx1"/>
                  </w14:solidFill>
                </w14:textFill>
              </w:rPr>
              <w:t xml:space="preserve">项目供货方案</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②</w:t>
            </w:r>
            <w:r>
              <w:rPr>
                <w:rFonts w:hint="eastAsia" w:ascii="宋体" w:hAnsi="宋体" w:cs="宋体"/>
                <w:color w:val="000000" w:themeColor="text1"/>
                <w:spacing w:val="-6"/>
                <w:szCs w:val="21"/>
                <w:highlight w:val="none"/>
                <w14:textFill>
                  <w14:solidFill>
                    <w14:schemeClr w14:val="tx1"/>
                  </w14:solidFill>
                </w14:textFill>
              </w:rPr>
              <w:t xml:space="preserve">进度</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保障</w:t>
            </w:r>
            <w:r>
              <w:rPr>
                <w:rFonts w:hint="eastAsia" w:ascii="宋体" w:hAnsi="宋体" w:cs="宋体"/>
                <w:color w:val="000000" w:themeColor="text1"/>
                <w:spacing w:val="-6"/>
                <w:szCs w:val="21"/>
                <w:highlight w:val="none"/>
                <w14:textFill>
                  <w14:solidFill>
                    <w14:schemeClr w14:val="tx1"/>
                  </w14:solidFill>
                </w14:textFill>
              </w:rPr>
              <w:t xml:space="preserve">计划</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③</w:t>
            </w:r>
            <w:r>
              <w:rPr>
                <w:rFonts w:hint="eastAsia" w:ascii="宋体" w:hAnsi="宋体" w:cs="宋体"/>
                <w:color w:val="000000" w:themeColor="text1"/>
                <w:spacing w:val="-6"/>
                <w:szCs w:val="21"/>
                <w:highlight w:val="none"/>
                <w14:textFill>
                  <w14:solidFill>
                    <w14:schemeClr w14:val="tx1"/>
                  </w14:solidFill>
                </w14:textFill>
              </w:rPr>
              <w:t xml:space="preserve">安装调试方案</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④</w:t>
            </w:r>
            <w:r>
              <w:rPr>
                <w:rFonts w:hint="eastAsia" w:ascii="宋体" w:hAnsi="宋体" w:cs="宋体"/>
                <w:color w:val="000000" w:themeColor="text1"/>
                <w:spacing w:val="-6"/>
                <w:szCs w:val="21"/>
                <w:highlight w:val="none"/>
                <w14:textFill>
                  <w14:solidFill>
                    <w14:schemeClr w14:val="tx1"/>
                  </w14:solidFill>
                </w14:textFill>
              </w:rPr>
              <w:t xml:space="preserve">质量</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保障方案</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⑤</w:t>
            </w:r>
            <w:r>
              <w:rPr>
                <w:rFonts w:hint="eastAsia" w:ascii="宋体" w:hAnsi="宋体" w:cs="宋体"/>
                <w:color w:val="000000" w:themeColor="text1"/>
                <w:spacing w:val="-6"/>
                <w:szCs w:val="21"/>
                <w:highlight w:val="none"/>
                <w14:textFill>
                  <w14:solidFill>
                    <w14:schemeClr w14:val="tx1"/>
                  </w14:solidFill>
                </w14:textFill>
              </w:rPr>
              <w:t xml:space="preserve">验收方案</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以上每项2分，具体按以下标准评分：</w:t>
            </w:r>
            <w:r/>
          </w:p>
          <w:p>
            <w:p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方案完整性、科学合理性、针对性、可行性强的，得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2</w:t>
            </w:r>
            <w:r>
              <w:rPr>
                <w:rFonts w:hint="eastAsia" w:ascii="宋体" w:hAnsi="宋体" w:cs="宋体"/>
                <w:color w:val="000000" w:themeColor="text1"/>
                <w:spacing w:val="-6"/>
                <w:szCs w:val="21"/>
                <w:highlight w:val="none"/>
                <w14:textFill>
                  <w14:solidFill>
                    <w14:schemeClr w14:val="tx1"/>
                  </w14:solidFill>
                </w14:textFill>
              </w:rPr>
              <w:t xml:space="preserve">分；</w:t>
            </w:r>
            <w:r/>
          </w:p>
          <w:p>
            <w:p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方案完整性、科学合理性、针对性、可行性较强的，得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1.5</w:t>
            </w:r>
            <w:r>
              <w:rPr>
                <w:rFonts w:hint="eastAsia" w:ascii="宋体" w:hAnsi="宋体" w:cs="宋体"/>
                <w:color w:val="000000" w:themeColor="text1"/>
                <w:spacing w:val="-6"/>
                <w:szCs w:val="21"/>
                <w:highlight w:val="none"/>
                <w14:textFill>
                  <w14:solidFill>
                    <w14:schemeClr w14:val="tx1"/>
                  </w14:solidFill>
                </w14:textFill>
              </w:rPr>
              <w:t xml:space="preserve">分；</w:t>
            </w:r>
            <w:r/>
          </w:p>
          <w:p>
            <w:p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有基本的实施方案阐述，比较科学，有一定可行性，得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w:t>
            </w:r>
            <w:r/>
          </w:p>
          <w:p>
            <w:pP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有基本方案，但缺乏针对性和可行性，得</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0.5</w:t>
            </w:r>
            <w:r>
              <w:rPr>
                <w:rFonts w:hint="eastAsia" w:ascii="宋体" w:hAnsi="宋体" w:cs="宋体"/>
                <w:color w:val="000000" w:themeColor="text1"/>
                <w:spacing w:val="-6"/>
                <w:szCs w:val="21"/>
                <w:highlight w:val="none"/>
                <w14:textFill>
                  <w14:solidFill>
                    <w14:schemeClr w14:val="tx1"/>
                  </w14:solidFill>
                </w14:textFill>
              </w:rPr>
              <w:t xml:space="preserve">分；</w:t>
            </w:r>
            <w:r/>
          </w:p>
          <w:p>
            <w:pPr>
              <w:spacing w:line="300" w:lineRule="auto"/>
              <w:widowControl/>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lang w:val="zh-CN"/>
                <w14:textFill>
                  <w14:solidFill>
                    <w14:schemeClr w14:val="tx1"/>
                  </w14:solidFill>
                </w14:textFill>
              </w:rPr>
              <w:t xml:space="preserve">未进行方案阐述或不满足采购需求的不得分。</w:t>
            </w:r>
            <w:r/>
          </w:p>
        </w:tc>
      </w:tr>
      <w:tr>
        <w:trPr>
          <w:jc w:val="center"/>
          <w:trHeight w:val="932"/>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项目培训（6分）</w:t>
            </w:r>
            <w:r/>
          </w:p>
        </w:tc>
        <w:tc>
          <w:tcPr>
            <w:shd w:val="clear" w:color="auto" w:fill="auto"/>
            <w:tcW w:w="6865" w:type="dxa"/>
            <w:textDirection w:val="lrTb"/>
            <w:noWrap w:val="false"/>
          </w:tcPr>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投标供应商提供项目培训方案，方案需明确培训计划、培训流程、培训课程、授课人员、培训对象与人数、培训保障等内容，总分6分。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方案完整性、科学合理性、针对性、可行性强的，得6分；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方案完整性、科学合理性、针对性、可行性较强的，得4分；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有基本的实施方案阐述，比较科学，有一定可行性，得2分；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有基本方案，但缺乏针对性和可行性，得1分；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lang w:val="zh-CN"/>
                <w14:textFill>
                  <w14:solidFill>
                    <w14:schemeClr w14:val="tx1"/>
                  </w14:solidFill>
                </w14:textFill>
              </w:rPr>
              <w:t xml:space="preserve">未进行方案阐述或不满足采购需求的不得分。</w:t>
            </w:r>
            <w:r/>
          </w:p>
        </w:tc>
      </w:tr>
      <w:tr>
        <w:trPr>
          <w:jc w:val="center"/>
          <w:trHeight w:val="697"/>
        </w:trPr>
        <w:tc>
          <w:tcPr>
            <w:tcW w:w="1175" w:type="dxa"/>
            <w:vAlign w:val="center"/>
            <w:vMerge w:val="restart"/>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产品能力视频演示（14分）</w:t>
            </w:r>
            <w:r/>
          </w:p>
        </w:tc>
        <w:tc>
          <w:tcPr>
            <w:shd w:val="clear" w:color="auto" w:fill="auto"/>
            <w:tcW w:w="1119" w:type="dxa"/>
            <w:vAlign w:val="center"/>
            <w:textDirection w:val="lrTb"/>
            <w:noWrap w:val="false"/>
          </w:tcPr>
          <w:p>
            <w:pPr>
              <w:ind w:firstLine="12"/>
              <w:jc w:val="center"/>
              <w:spacing w:line="300" w:lineRule="auto"/>
              <w:widowControl/>
              <w:rPr>
                <w:rFonts w:hint="eastAsia" w:ascii="宋体" w:hAnsi="宋体" w:cs="宋体"/>
                <w:b/>
                <w:bCs/>
                <w:color w:val="000000" w:themeColor="text1"/>
                <w:spacing w:val="-6"/>
                <w:szCs w:val="21"/>
                <w:highlight w:val="none"/>
                <w14:textFill>
                  <w14:solidFill>
                    <w14:schemeClr w14:val="tx1"/>
                  </w14:solidFill>
                </w14:textFill>
              </w:rPr>
            </w:pPr>
            <w:r>
              <w:rPr>
                <w:rFonts w:hint="eastAsia" w:ascii="宋体" w:hAnsi="宋体" w:cs="宋体"/>
                <w:b/>
                <w:bCs/>
                <w:color w:val="000000" w:themeColor="text1"/>
                <w:spacing w:val="-6"/>
                <w:szCs w:val="21"/>
                <w:highlight w:val="none"/>
                <w14:textFill>
                  <w14:solidFill>
                    <w14:schemeClr w14:val="tx1"/>
                  </w14:solidFill>
                </w14:textFill>
              </w:rPr>
              <w:t xml:space="preserve">演示要求</w:t>
            </w:r>
            <w:r/>
          </w:p>
        </w:tc>
        <w:tc>
          <w:tcPr>
            <w:shd w:val="clear" w:color="auto" w:fill="auto"/>
            <w:tcW w:w="6865" w:type="dxa"/>
            <w:textDirection w:val="lrTb"/>
            <w:noWrap w:val="false"/>
          </w:tcPr>
          <w:p>
            <w:pPr>
              <w:ind w:firstLine="12"/>
              <w:jc w:val="left"/>
              <w:spacing w:line="300" w:lineRule="auto"/>
              <w:widowControl/>
              <w:rPr>
                <w:rFonts w:hint="eastAsia" w:ascii="宋体" w:hAnsi="宋体" w:cs="宋体"/>
                <w:b/>
                <w:bCs/>
                <w:color w:val="000000" w:themeColor="text1"/>
                <w:spacing w:val="-6"/>
                <w:szCs w:val="21"/>
                <w:highlight w:val="none"/>
                <w:lang w:val="en-US"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对需要提供演示视频的项目，必须使用真实系统进行演示，不得使用PPT演示稿或录屏、截图等其他方式演示，视频演示的要求如下：</w:t>
            </w:r>
            <w:r/>
          </w:p>
          <w:p>
            <w:pPr>
              <w:ind w:firstLine="12"/>
              <w:jc w:val="left"/>
              <w:spacing w:line="300" w:lineRule="auto"/>
              <w:widowControl/>
              <w:rPr>
                <w:rFonts w:hint="eastAsia" w:ascii="宋体" w:hAnsi="宋体" w:cs="宋体"/>
                <w:b/>
                <w:bCs/>
                <w:color w:val="000000" w:themeColor="text1"/>
                <w:spacing w:val="-6"/>
                <w:szCs w:val="21"/>
                <w:highlight w:val="none"/>
                <w:lang w:val="en-US"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（1）体现招标文件中要求必须实现的功能；</w:t>
            </w:r>
            <w:r/>
          </w:p>
          <w:p>
            <w:pPr>
              <w:ind w:firstLine="12"/>
              <w:jc w:val="left"/>
              <w:spacing w:line="300" w:lineRule="auto"/>
              <w:widowControl/>
              <w:rPr>
                <w:rFonts w:hint="eastAsia" w:ascii="宋体" w:hAnsi="宋体" w:cs="宋体"/>
                <w:b/>
                <w:bCs/>
                <w:color w:val="000000" w:themeColor="text1"/>
                <w:spacing w:val="-6"/>
                <w:szCs w:val="21"/>
                <w:highlight w:val="none"/>
                <w:lang w:val="en-US"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（2）每项得分点须单独制作演示视频，视频的文件格式为</w:t>
            </w:r>
            <w:r>
              <w:rPr>
                <w:rFonts w:hint="eastAsia" w:ascii="宋体" w:hAnsi="宋体" w:eastAsia="宋体" w:cs="宋体"/>
                <w:b/>
                <w:bCs/>
                <w:color w:val="000000" w:themeColor="text1"/>
                <w:sz w:val="21"/>
                <w:szCs w:val="21"/>
                <w:highlight w:val="none"/>
                <w14:textFill>
                  <w14:solidFill>
                    <w14:schemeClr w14:val="tx1"/>
                  </w14:solidFill>
                </w14:textFill>
              </w:rPr>
              <w:t xml:space="preserve">*.mp4或*.avi</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投标</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须将视频文件压缩为*.zip文件上传（单个文件不得大于50M，所有文件总共不得大于300M）</w:t>
            </w: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，以保证能在绝大多数Windows电脑上直接播放。每个演示视频时间不超过10分钟；</w:t>
            </w:r>
            <w:r/>
          </w:p>
          <w:p>
            <w:pPr>
              <w:ind w:firstLine="12"/>
              <w:jc w:val="left"/>
              <w:spacing w:line="300" w:lineRule="auto"/>
              <w:widowControl/>
              <w:rPr>
                <w:rFonts w:hint="eastAsia" w:ascii="宋体" w:hAnsi="宋体" w:cs="宋体"/>
                <w:b/>
                <w:bCs/>
                <w:color w:val="000000" w:themeColor="text1"/>
                <w:spacing w:val="-6"/>
                <w:szCs w:val="21"/>
                <w:highlight w:val="none"/>
                <w:lang w:val="en-US"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（3）全部视频制作完成后，投标人须制作视频目录，将每条视频的文件名和评分项一一对应，供评标委员会评审，目录为PDF格式。</w:t>
            </w:r>
            <w:r/>
          </w:p>
          <w:p>
            <w:pPr>
              <w:ind w:firstLine="12"/>
              <w:jc w:val="left"/>
              <w:spacing w:line="300" w:lineRule="auto"/>
              <w:widowControl/>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文件上传方式见《操作手册》规定</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firstLine="13"/>
              <w:jc w:val="left"/>
              <w:spacing w:line="300" w:lineRule="auto"/>
              <w:widowControl/>
              <w:rPr>
                <w:rFonts w:hint="eastAsia" w:ascii="宋体" w:hAnsi="宋体" w:cs="宋体"/>
                <w:b/>
                <w:bCs/>
                <w:color w:val="000000" w:themeColor="text1"/>
                <w:spacing w:val="-6"/>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根据投标</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视频演示情况和以下得分点进行打分，未按要求进行演示或未提供演示视频的不得分。</w:t>
            </w:r>
            <w:r/>
          </w:p>
        </w:tc>
      </w:tr>
      <w:tr>
        <w:trPr>
          <w:jc w:val="center"/>
          <w:trHeight w:val="357"/>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数据接入能力</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6</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6865" w:type="dxa"/>
            <w:vAlign w:val="center"/>
            <w:textDirection w:val="lrTb"/>
            <w:noWrap w:val="false"/>
          </w:tcPr>
          <w:p>
            <w:pPr>
              <w:ind w:firstLine="11"/>
              <w:jc w:val="left"/>
              <w:spacing w:line="300" w:lineRule="auto"/>
              <w:widowControl/>
              <w:rPr>
                <w:rFonts w:hint="default" w:ascii="宋体" w:hAnsi="宋体" w:cs="宋体"/>
                <w:b/>
                <w:bCs/>
                <w:color w:val="000000" w:themeColor="text1"/>
                <w:spacing w:val="-6"/>
                <w:szCs w:val="21"/>
                <w:highlight w:val="none"/>
                <w:lang w:val="en-US"/>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1、工业协议支持</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2分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：演示支持的</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常用</w:t>
            </w:r>
            <w:r>
              <w:rPr>
                <w:rFonts w:hint="eastAsia" w:ascii="宋体" w:hAnsi="宋体" w:cs="宋体"/>
                <w:color w:val="000000" w:themeColor="text1"/>
                <w:spacing w:val="-6"/>
                <w:szCs w:val="21"/>
                <w:highlight w:val="none"/>
                <w14:textFill>
                  <w14:solidFill>
                    <w14:schemeClr w14:val="tx1"/>
                  </w14:solidFill>
                </w14:textFill>
              </w:rPr>
              <w:t xml:space="preserve">工业协议数不少于30种</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演示内容满足以上要求得2分，否则不得分；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2、设备接入演示</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w:t>
            </w:r>
            <w:r/>
          </w:p>
          <w:p>
            <w:pPr>
              <w:ind w:firstLine="0"/>
              <w:jc w:val="left"/>
              <w:spacing w:line="300" w:lineRule="auto"/>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pacing w:val="-6"/>
                <w:szCs w:val="21"/>
                <w:highlight w:val="none"/>
                <w14:textFill>
                  <w14:solidFill>
                    <w14:schemeClr w14:val="tx1"/>
                  </w14:solidFill>
                </w14:textFill>
              </w:rPr>
              <w:t xml:space="preserve">①</w:t>
            </w:r>
            <w:r>
              <w:rPr>
                <w:rFonts w:hint="eastAsia" w:ascii="宋体" w:hAnsi="宋体" w:cs="宋体"/>
                <w:color w:val="000000" w:themeColor="text1"/>
                <w:spacing w:val="-6"/>
                <w:szCs w:val="21"/>
                <w:highlight w:val="none"/>
                <w14:textFill>
                  <w14:solidFill>
                    <w14:schemeClr w14:val="tx1"/>
                  </w14:solidFill>
                </w14:textFill>
              </w:rPr>
              <w:t xml:space="preserve">Scara机器人</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接入（1分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基于工业互联网平台演示Scara机器人</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的操作界面，包括设备连接、示教指令、机械臂移动控制及抓夹操作，实现分拣示教指令执行及数据采集；</w:t>
            </w:r>
            <w:r/>
          </w:p>
          <w:p>
            <w:pPr>
              <w:ind w:firstLine="0"/>
              <w:jc w:val="left"/>
              <w:spacing w:line="300" w:lineRule="auto"/>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pacing w:val="-6"/>
                <w:szCs w:val="21"/>
                <w:highlight w:val="none"/>
                <w14:textFill>
                  <w14:solidFill>
                    <w14:schemeClr w14:val="tx1"/>
                  </w14:solidFill>
                </w14:textFill>
              </w:rPr>
              <w:t xml:space="preserve">②</w:t>
            </w:r>
            <w:r>
              <w:rPr>
                <w:rFonts w:hint="eastAsia" w:ascii="宋体" w:hAnsi="宋体" w:cs="宋体"/>
                <w:color w:val="000000" w:themeColor="text1"/>
                <w:spacing w:val="-6"/>
                <w:szCs w:val="21"/>
                <w:highlight w:val="none"/>
                <w14:textFill>
                  <w14:solidFill>
                    <w14:schemeClr w14:val="tx1"/>
                  </w14:solidFill>
                </w14:textFill>
              </w:rPr>
              <w:t xml:space="preserve">Delta机械臂</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接入</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基于工业互联网平台</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演示Delta机械臂的操作界面，包括设备连接、视觉识别、工作原点调试、传送带控制、机械臂控制，实现基于视觉识别的分拣和数据采集；</w:t>
            </w:r>
            <w:r/>
          </w:p>
          <w:p>
            <w:pPr>
              <w:ind w:firstLine="0"/>
              <w:jc w:val="left"/>
              <w:spacing w:line="300" w:lineRule="auto"/>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pacing w:val="-6"/>
                <w:szCs w:val="21"/>
                <w:highlight w:val="none"/>
                <w14:textFill>
                  <w14:solidFill>
                    <w14:schemeClr w14:val="tx1"/>
                  </w14:solidFill>
                </w14:textFill>
              </w:rPr>
              <w:t xml:space="preserve">③</w:t>
            </w:r>
            <w:r>
              <w:rPr>
                <w:rFonts w:hint="eastAsia" w:ascii="宋体" w:hAnsi="宋体" w:cs="宋体"/>
                <w:color w:val="000000" w:themeColor="text1"/>
                <w:spacing w:val="-6"/>
                <w:szCs w:val="21"/>
                <w:highlight w:val="none"/>
                <w14:textFill>
                  <w14:solidFill>
                    <w14:schemeClr w14:val="tx1"/>
                  </w14:solidFill>
                </w14:textFill>
              </w:rPr>
              <w:t xml:space="preserve">具身小型协作式机器人</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基于工业互联网平台</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演示具身小型协作式机器人的操作界面，包括设备连接、视觉识别、机械臂调试，实现基于视觉识别的分拣和数据采集；</w:t>
            </w:r>
            <w:r/>
          </w:p>
          <w:p>
            <w:pPr>
              <w:ind w:firstLine="0"/>
              <w:jc w:val="left"/>
              <w:spacing w:line="300" w:lineRule="auto"/>
              <w:widowControl/>
              <w:rPr>
                <w:rFonts w:hint="eastAsia" w:ascii="宋体" w:hAnsi="宋体" w:cs="宋体"/>
                <w:color w:val="000000" w:themeColor="text1"/>
                <w:spacing w:val="-6"/>
                <w:szCs w:val="21"/>
                <w:highlight w:val="none"/>
                <w:lang w:eastAsia="zh-CN"/>
                <w14:textFill>
                  <w14:solidFill>
                    <w14:schemeClr w14:val="tx1"/>
                  </w14:solidFill>
                </w14:textFill>
              </w:rPr>
            </w:pPr>
            <w:r>
              <w:rPr>
                <w:rFonts w:hint="eastAsia" w:ascii="微软雅黑" w:hAnsi="微软雅黑" w:eastAsia="微软雅黑" w:cs="微软雅黑"/>
                <w:color w:val="000000" w:themeColor="text1"/>
                <w:spacing w:val="-6"/>
                <w:szCs w:val="21"/>
                <w:highlight w:val="none"/>
                <w14:textFill>
                  <w14:solidFill>
                    <w14:schemeClr w14:val="tx1"/>
                  </w14:solidFill>
                </w14:textFill>
              </w:rPr>
              <w:t xml:space="preserve">④</w:t>
            </w:r>
            <w:r>
              <w:rPr>
                <w:rFonts w:hint="eastAsia" w:ascii="宋体" w:hAnsi="宋体" w:cs="宋体"/>
                <w:color w:val="000000" w:themeColor="text1"/>
                <w:spacing w:val="-6"/>
                <w:szCs w:val="21"/>
                <w:highlight w:val="none"/>
                <w14:textFill>
                  <w14:solidFill>
                    <w14:schemeClr w14:val="tx1"/>
                  </w14:solidFill>
                </w14:textFill>
              </w:rPr>
              <w:t xml:space="preserve">设备数采协同能力（</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演示基于工业互联网平台控制的以上三个设备的实物协作及实时数据采集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p>
          <w:p>
            <w:pPr>
              <w:ind w:firstLine="12"/>
              <w:jc w:val="left"/>
              <w:spacing w:line="300" w:lineRule="auto"/>
              <w:widowControl/>
              <w:rPr>
                <w:rFonts w:hint="eastAsia" w:ascii="宋体" w:hAnsi="宋体" w:eastAsia="宋体" w:cs="宋体"/>
                <w:color w:val="000000" w:themeColor="text1"/>
                <w:spacing w:val="-6"/>
                <w:szCs w:val="21"/>
                <w:highlight w:val="none"/>
                <w:lang w:val="zh-CN" w:eastAsia="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注：满足要求得对应分值，否则不得分；</w:t>
            </w:r>
            <w:r/>
          </w:p>
        </w:tc>
      </w:tr>
      <w:tr>
        <w:trPr>
          <w:jc w:val="center"/>
          <w:trHeight w:val="932"/>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数据管理</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（2分）</w:t>
            </w:r>
            <w:r/>
          </w:p>
        </w:tc>
        <w:tc>
          <w:tcPr>
            <w:shd w:val="clear" w:color="auto" w:fill="auto"/>
            <w:tcW w:w="6865" w:type="dxa"/>
            <w:vAlign w:val="center"/>
            <w:textDirection w:val="lrTb"/>
            <w:noWrap w:val="false"/>
          </w:tcPr>
          <w:p>
            <w:pPr>
              <w:numPr>
                <w:ilvl w:val="0"/>
                <w:numId w:val="10"/>
              </w:numPr>
              <w:ind w:firstLine="11"/>
              <w:jc w:val="left"/>
              <w:spacing w:line="300" w:lineRule="auto"/>
              <w:widowControl/>
              <w:rPr>
                <w:rFonts w:hint="eastAsia" w:ascii="宋体" w:hAnsi="宋体" w:cs="宋体"/>
                <w:color w:val="000000" w:themeColor="text1"/>
                <w:spacing w:val="-6"/>
                <w:szCs w:val="21"/>
                <w:highlight w:val="none"/>
                <w:lang w:eastAsia="zh-CN"/>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演示离线同步、实时同步、接口采集、文件采集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14:textFill>
                  <w14:solidFill>
                    <w14:schemeClr w14:val="tx1"/>
                  </w14:solidFill>
                </w14:textFill>
              </w:rPr>
              <w:t xml:space="preserve">对象存储</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等多种数据采集能力（1分）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p>
          <w:p>
            <w:pPr>
              <w:numPr>
                <w:ilvl w:val="0"/>
                <w:numId w:val="10"/>
              </w:numPr>
              <w:ind w:firstLine="11"/>
              <w:jc w:val="left"/>
              <w:spacing w:line="300" w:lineRule="auto"/>
              <w:widowControl/>
              <w:rPr>
                <w:rFonts w:hint="eastAsia" w:ascii="宋体" w:hAnsi="宋体" w:eastAsia="宋体" w:cs="宋体"/>
                <w:color w:val="000000" w:themeColor="text1"/>
                <w:spacing w:val="-6"/>
                <w:szCs w:val="21"/>
                <w:highlight w:val="none"/>
                <w:lang w:val="zh-CN"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演示</w:t>
            </w:r>
            <w:r>
              <w:rPr>
                <w:rFonts w:hint="eastAsia" w:ascii="宋体" w:hAnsi="宋体" w:cs="宋体"/>
                <w:color w:val="000000" w:themeColor="text1"/>
                <w:spacing w:val="-6"/>
                <w:szCs w:val="21"/>
                <w:highlight w:val="none"/>
                <w14:textFill>
                  <w14:solidFill>
                    <w14:schemeClr w14:val="tx1"/>
                  </w14:solidFill>
                </w14:textFill>
              </w:rPr>
              <w:t xml:space="preserve">指标管理、数据质量、数据资产、数据服务和API管理等能力</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1分）；</w:t>
            </w:r>
            <w:r/>
          </w:p>
          <w:p>
            <w:pPr>
              <w:ind w:firstLine="11"/>
              <w:jc w:val="left"/>
              <w:spacing w:line="300" w:lineRule="auto"/>
              <w:widowControl/>
              <w:rPr>
                <w:rFonts w:hint="eastAsia" w:ascii="宋体" w:hAnsi="宋体" w:eastAsia="宋体" w:cs="宋体"/>
                <w:color w:val="000000" w:themeColor="text1"/>
                <w:spacing w:val="-6"/>
                <w:szCs w:val="21"/>
                <w:highlight w:val="none"/>
                <w:lang w:val="zh-CN"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演示内容满足以上要求得2分，否则不得分；</w:t>
            </w:r>
            <w:r/>
          </w:p>
        </w:tc>
      </w:tr>
      <w:tr>
        <w:trPr>
          <w:jc w:val="center"/>
          <w:trHeight w:val="932"/>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算法开发</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4</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shd w:val="clear" w:color="auto" w:fill="auto"/>
            <w:tcW w:w="6865" w:type="dxa"/>
            <w:vAlign w:val="center"/>
            <w:textDirection w:val="lrTb"/>
            <w:noWrap w:val="false"/>
          </w:tcPr>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1、平台组件化编排能力（</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2、算法开发能力：演示4种Web访问方式的VSCode在线组件开发SDK（1分）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3、模型组件能力：演示支持不少于100个主流的特征工程、机器学习和深度学习、统计分析、图像处理等的算法组件，搭建案例运行（</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1</w:t>
            </w:r>
            <w:r>
              <w:rPr>
                <w:rFonts w:hint="eastAsia" w:ascii="宋体" w:hAnsi="宋体" w:cs="宋体"/>
                <w:color w:val="000000" w:themeColor="text1"/>
                <w:spacing w:val="-6"/>
                <w:szCs w:val="21"/>
                <w:highlight w:val="none"/>
                <w14:textFill>
                  <w14:solidFill>
                    <w14:schemeClr w14:val="tx1"/>
                  </w14:solidFill>
                </w14:textFill>
              </w:rPr>
              <w:t xml:space="preserve">分）</w:t>
            </w:r>
            <w:r/>
          </w:p>
          <w:p>
            <w:pPr>
              <w:ind w:firstLine="11"/>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4、混合建模能力：演示完整的实验软件/APP应用集成、开发、部署与运行过程（1分）</w:t>
            </w:r>
            <w:r/>
          </w:p>
          <w:p>
            <w:pPr>
              <w:pStyle w:val="708"/>
              <w:ind w:left="0" w:firstLine="0"/>
              <w:rPr>
                <w:rFonts w:hint="eastAsia"/>
                <w:color w:val="000000" w:themeColor="text1"/>
                <w:highlight w:val="none"/>
                <w:lang w:val="zh-CN"/>
                <w14:textFill>
                  <w14:solidFill>
                    <w14:schemeClr w14:val="tx1"/>
                  </w14:solidFill>
                </w14:textFill>
              </w:rPr>
            </w:pP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注：演示内容满足要求得对应分值，否则不得分；</w:t>
            </w:r>
            <w:r/>
          </w:p>
        </w:tc>
      </w:tr>
      <w:tr>
        <w:trPr>
          <w:jc w:val="center"/>
          <w:trHeight w:val="932"/>
        </w:trPr>
        <w:tc>
          <w:tcPr>
            <w:tcW w:w="1175" w:type="dxa"/>
            <w:vAlign w:val="center"/>
            <w:vMerge w:val="continue"/>
            <w:textDirection w:val="lrTb"/>
            <w:noWrap w:val="false"/>
          </w:tcPr>
          <w:p>
            <w:pPr>
              <w:ind w:firstLine="11"/>
              <w:jc w:val="center"/>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tc>
        <w:tc>
          <w:tcPr>
            <w:shd w:val="clear" w:color="auto" w:fill="auto"/>
            <w:tcW w:w="1119" w:type="dxa"/>
            <w:vAlign w:val="center"/>
            <w:textDirection w:val="lrTb"/>
            <w:noWrap w:val="false"/>
          </w:tcPr>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应用开发</w:t>
            </w:r>
            <w:r/>
          </w:p>
          <w:p>
            <w:pPr>
              <w:ind w:firstLine="11"/>
              <w:jc w:val="center"/>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（2分）</w:t>
            </w:r>
            <w:r/>
          </w:p>
        </w:tc>
        <w:tc>
          <w:tcPr>
            <w:shd w:val="clear" w:color="auto" w:fill="auto"/>
            <w:tcW w:w="6865" w:type="dxa"/>
            <w:vAlign w:val="center"/>
            <w:textDirection w:val="lrTb"/>
            <w:noWrap w:val="false"/>
          </w:tcPr>
          <w:p>
            <w:pPr>
              <w:ind w:firstLine="11"/>
              <w:jc w:val="left"/>
              <w:spacing w:line="300" w:lineRule="auto"/>
              <w:widowControl/>
              <w:rPr>
                <w:rFonts w:hint="eastAsia" w:ascii="宋体" w:hAnsi="宋体" w:eastAsia="宋体" w:cs="宋体"/>
                <w:color w:val="000000" w:themeColor="text1"/>
                <w:spacing w:val="-6"/>
                <w:szCs w:val="21"/>
                <w:highlight w:val="none"/>
                <w:lang w:val="zh-CN" w:eastAsia="zh-CN"/>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演示领域模型、页面编辑器、逻辑编排、工作流、业务连接器5大模块（2分）</w:t>
            </w:r>
            <w:r>
              <w:rPr>
                <w:rFonts w:hint="eastAsia" w:ascii="宋体" w:hAnsi="宋体" w:cs="宋体"/>
                <w:color w:val="000000" w:themeColor="text1"/>
                <w:spacing w:val="-6"/>
                <w:szCs w:val="21"/>
                <w:highlight w:val="none"/>
                <w:lang w:eastAsia="zh-CN"/>
                <w14:textFill>
                  <w14:solidFill>
                    <w14:schemeClr w14:val="tx1"/>
                  </w14:solidFill>
                </w14:textFill>
              </w:rPr>
              <w:t xml:space="preserve">，</w:t>
            </w:r>
            <w:r>
              <w:rPr>
                <w:rFonts w:hint="eastAsia" w:ascii="宋体" w:hAnsi="宋体" w:cs="宋体"/>
                <w:b/>
                <w:bCs/>
                <w:color w:val="000000" w:themeColor="text1"/>
                <w:spacing w:val="-6"/>
                <w:szCs w:val="21"/>
                <w:highlight w:val="none"/>
                <w:lang w:val="en-US" w:eastAsia="zh-CN"/>
                <w14:textFill>
                  <w14:solidFill>
                    <w14:schemeClr w14:val="tx1"/>
                  </w14:solidFill>
                </w14:textFill>
              </w:rPr>
              <w:t xml:space="preserve">演示内容满足以上要求得2分，否则不得分；</w:t>
            </w:r>
            <w:r/>
          </w:p>
        </w:tc>
      </w:tr>
      <w:tr>
        <w:trPr>
          <w:jc w:val="center"/>
          <w:trHeight w:val="932"/>
        </w:trPr>
        <w:tc>
          <w:tcPr>
            <w:tcW w:w="1175" w:type="dxa"/>
            <w:vAlign w:val="center"/>
            <w:textDirection w:val="lrTb"/>
            <w:noWrap w:val="false"/>
          </w:tcPr>
          <w:p>
            <w:pPr>
              <w:ind w:firstLine="11"/>
              <w:jc w:val="center"/>
              <w:widowControl/>
              <w:rPr>
                <w:rFonts w:hint="default"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cs="宋体"/>
                <w:color w:val="000000" w:themeColor="text1"/>
                <w:spacing w:val="-6"/>
                <w:szCs w:val="21"/>
                <w:highlight w:val="none"/>
                <w:lang w:val="en-US" w:eastAsia="zh-CN"/>
                <w14:textFill>
                  <w14:solidFill>
                    <w14:schemeClr w14:val="tx1"/>
                  </w14:solidFill>
                </w14:textFill>
              </w:rPr>
              <w:t xml:space="preserve">政策性因素（1分）</w:t>
            </w:r>
            <w:r/>
          </w:p>
        </w:tc>
        <w:tc>
          <w:tcPr>
            <w:gridSpan w:val="2"/>
            <w:shd w:val="clear" w:color="auto" w:fill="auto"/>
            <w:tcW w:w="7984" w:type="dxa"/>
            <w:vAlign w:val="center"/>
            <w:textDirection w:val="lrTb"/>
            <w:noWrap w:val="false"/>
          </w:tcPr>
          <w:p>
            <w:pPr>
              <w:spacing w:line="276" w:lineRule="auto"/>
              <w:tabs>
                <w:tab w:val="left" w:pos="945" w:leader="none"/>
              </w:tabs>
              <w:rPr>
                <w:rFonts w:ascii="宋体" w:hAnsi="宋体"/>
                <w:b/>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1、投标产品属于财政部、生态环境部公布的《环境标志产品政府采购品目清单》内的产品且具有国家确定的认证机构出具的、处于有效期之内的环境标志产品认证证书的，每有一类产品加</w:t>
            </w:r>
            <w:r>
              <w:rPr>
                <w:rFonts w:hint="eastAsia" w:ascii="宋体" w:hAnsi="宋体"/>
                <w:bCs/>
                <w:color w:val="000000" w:themeColor="text1"/>
                <w:szCs w:val="21"/>
                <w:highlight w:val="none"/>
                <w:lang w:val="en-US" w:eastAsia="zh-CN"/>
                <w14:textFill>
                  <w14:solidFill>
                    <w14:schemeClr w14:val="tx1"/>
                  </w14:solidFill>
                </w14:textFill>
              </w:rPr>
              <w:t xml:space="preserve">0.5</w:t>
            </w:r>
            <w:r>
              <w:rPr>
                <w:rFonts w:hint="eastAsia" w:ascii="宋体" w:hAnsi="宋体"/>
                <w:bCs/>
                <w:color w:val="000000" w:themeColor="text1"/>
                <w:szCs w:val="21"/>
                <w:highlight w:val="none"/>
                <w14:textFill>
                  <w14:solidFill>
                    <w14:schemeClr w14:val="tx1"/>
                  </w14:solidFill>
                </w14:textFill>
              </w:rPr>
              <w:t xml:space="preserve">分，最高得</w:t>
            </w:r>
            <w:r>
              <w:rPr>
                <w:rFonts w:hint="eastAsia" w:ascii="宋体" w:hAnsi="宋体"/>
                <w:bCs/>
                <w:color w:val="000000" w:themeColor="text1"/>
                <w:szCs w:val="21"/>
                <w:highlight w:val="none"/>
                <w:lang w:val="en-US" w:eastAsia="zh-CN"/>
                <w14:textFill>
                  <w14:solidFill>
                    <w14:schemeClr w14:val="tx1"/>
                  </w14:solidFill>
                </w14:textFill>
              </w:rPr>
              <w:t xml:space="preserve">0.5</w:t>
            </w:r>
            <w:r>
              <w:rPr>
                <w:rFonts w:hint="eastAsia" w:ascii="宋体" w:hAnsi="宋体"/>
                <w:bCs/>
                <w:color w:val="000000" w:themeColor="text1"/>
                <w:szCs w:val="21"/>
                <w:highlight w:val="none"/>
                <w14:textFill>
                  <w14:solidFill>
                    <w14:schemeClr w14:val="tx1"/>
                  </w14:solidFill>
                </w14:textFill>
              </w:rPr>
              <w:t xml:space="preserve">分。</w:t>
            </w:r>
            <w:r>
              <w:rPr>
                <w:rFonts w:hint="eastAsia" w:ascii="宋体" w:hAnsi="宋体"/>
                <w:b/>
                <w:color w:val="000000" w:themeColor="text1"/>
                <w:szCs w:val="21"/>
                <w:highlight w:val="none"/>
                <w14:textFill>
                  <w14:solidFill>
                    <w14:schemeClr w14:val="tx1"/>
                  </w14:solidFill>
                </w14:textFill>
              </w:rPr>
              <w:t xml:space="preserve">（需提供认证证书扫描件并加盖供应商公章）</w:t>
            </w:r>
            <w:r/>
          </w:p>
          <w:p>
            <w:pPr>
              <w:ind w:firstLine="12"/>
              <w:jc w:val="left"/>
              <w:spacing w:line="300" w:lineRule="auto"/>
              <w:widowControl/>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2、投标产品属于财政部、发展改革委公布的《节能产品政府采购品目清单》内的产品且具有国家确定的认证机构出具的、处于有效期之内的节能标志产品认证证书的，每有一类产品加</w:t>
            </w:r>
            <w:r>
              <w:rPr>
                <w:rFonts w:hint="eastAsia" w:ascii="宋体" w:hAnsi="宋体"/>
                <w:bCs/>
                <w:color w:val="000000" w:themeColor="text1"/>
                <w:szCs w:val="21"/>
                <w:highlight w:val="none"/>
                <w:lang w:val="en-US" w:eastAsia="zh-CN"/>
                <w14:textFill>
                  <w14:solidFill>
                    <w14:schemeClr w14:val="tx1"/>
                  </w14:solidFill>
                </w14:textFill>
              </w:rPr>
              <w:t xml:space="preserve">0.5</w:t>
            </w:r>
            <w:r>
              <w:rPr>
                <w:rFonts w:hint="eastAsia" w:ascii="宋体" w:hAnsi="宋体"/>
                <w:bCs/>
                <w:color w:val="000000" w:themeColor="text1"/>
                <w:szCs w:val="21"/>
                <w:highlight w:val="none"/>
                <w14:textFill>
                  <w14:solidFill>
                    <w14:schemeClr w14:val="tx1"/>
                  </w14:solidFill>
                </w14:textFill>
              </w:rPr>
              <w:t xml:space="preserve">分，最高得</w:t>
            </w:r>
            <w:r>
              <w:rPr>
                <w:rFonts w:hint="eastAsia" w:ascii="宋体" w:hAnsi="宋体"/>
                <w:bCs/>
                <w:color w:val="000000" w:themeColor="text1"/>
                <w:szCs w:val="21"/>
                <w:highlight w:val="none"/>
                <w:lang w:val="en-US" w:eastAsia="zh-CN"/>
                <w14:textFill>
                  <w14:solidFill>
                    <w14:schemeClr w14:val="tx1"/>
                  </w14:solidFill>
                </w14:textFill>
              </w:rPr>
              <w:t xml:space="preserve">0.5</w:t>
            </w:r>
            <w:r>
              <w:rPr>
                <w:rFonts w:hint="eastAsia" w:ascii="宋体" w:hAnsi="宋体"/>
                <w:bCs/>
                <w:color w:val="000000" w:themeColor="text1"/>
                <w:szCs w:val="21"/>
                <w:highlight w:val="none"/>
                <w14:textFill>
                  <w14:solidFill>
                    <w14:schemeClr w14:val="tx1"/>
                  </w14:solidFill>
                </w14:textFill>
              </w:rPr>
              <w:t xml:space="preserve">分。</w:t>
            </w:r>
            <w:r>
              <w:rPr>
                <w:rFonts w:hint="eastAsia" w:ascii="宋体" w:hAnsi="宋体"/>
                <w:b/>
                <w:color w:val="000000" w:themeColor="text1"/>
                <w:szCs w:val="21"/>
                <w:highlight w:val="none"/>
                <w14:textFill>
                  <w14:solidFill>
                    <w14:schemeClr w14:val="tx1"/>
                  </w14:solidFill>
                </w14:textFill>
              </w:rPr>
              <w:t xml:space="preserve">（需提供认证证书扫描件并加盖供应商公章）</w:t>
            </w:r>
            <w:bookmarkEnd w:id="1"/>
            <w:r/>
          </w:p>
        </w:tc>
      </w:tr>
    </w:tbl>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评委为5人以上的单数（含5人）时，计算分项得分时取平均值为投标单位的得分，各分项得分合计即为投标单位的总得分。</w:t>
      </w:r>
      <w:r>
        <w:rPr>
          <w:rFonts w:hint="eastAsia" w:ascii="宋体" w:hAnsi="宋体"/>
          <w:bCs/>
          <w:color w:val="000000" w:themeColor="text1"/>
          <w:sz w:val="24"/>
          <w:highlight w:val="none"/>
          <w14:textFill>
            <w14:solidFill>
              <w14:schemeClr w14:val="tx1"/>
            </w14:solidFill>
          </w14:textFill>
        </w:rPr>
        <w:t xml:space="preserve">投标文件无相应评分内容时，该项目为零分，</w:t>
      </w:r>
      <w:r>
        <w:rPr>
          <w:rFonts w:hint="eastAsia" w:ascii="宋体" w:hAnsi="宋体" w:cs="宋体"/>
          <w:bCs/>
          <w:color w:val="000000" w:themeColor="text1"/>
          <w:sz w:val="24"/>
          <w:highlight w:val="none"/>
          <w14:textFill>
            <w14:solidFill>
              <w14:schemeClr w14:val="tx1"/>
            </w14:solidFill>
          </w14:textFill>
        </w:rPr>
        <w:t xml:space="preserve">投标单位如对招标文件提出的合理要求不作出相应承诺或对招标单位提出不合理要求的不予得标。每项评分的具体内容和方法由评委集体讨论，评委独立评分。所有评委打分的平均值为各投标供应商最终得分。推荐前3名为第一、第二、第三中标候选单位。评分办法及评分细则的解释权归属采购人。未列入本评分细则的其他条件不作为评分内容。</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（九）确定中标供应商：</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w:t>
      </w:r>
      <w:r>
        <w:rPr>
          <w:rFonts w:hint="eastAsia" w:ascii="宋体" w:hAnsi="宋体" w:cs="宋体"/>
          <w:bCs/>
          <w:color w:val="000000" w:themeColor="text1"/>
          <w:sz w:val="24"/>
          <w:highlight w:val="none"/>
          <w14:textFill>
            <w14:solidFill>
              <w14:schemeClr w14:val="tx1"/>
            </w14:solidFill>
          </w14:textFill>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万达工程造价事务所有限公司自中标供应商确定之日起2个工作日内，在财政部门指定的政府采购信息发布媒体上发布中标结果公告。</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rPr>
          <w:rFonts w:ascii="宋体" w:hAnsi="宋体"/>
          <w:bCs/>
          <w:color w:val="000000" w:themeColor="text1"/>
          <w:sz w:val="24"/>
          <w:szCs w:val="24"/>
          <w:highlight w:val="none"/>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（十）废标的确认：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1.符合专业条件的投标供应商或者对采购文件作出实质性响应的投标供应商不足三家；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3.投标供应商的报价均超过采购预算，采购人不能支付的；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4.因重大变故，采购任务取消。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5.评标委员会认定招标文件存在歧义、重大缺陷导致评审工作无法进行；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6.因“苏采云”系统故障原因造成开标不成功的。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（十一）投标保证金：</w:t>
      </w:r>
      <w:r/>
    </w:p>
    <w:p>
      <w:pPr>
        <w:ind w:firstLine="480"/>
        <w:spacing w:line="360" w:lineRule="auto"/>
        <w:tabs>
          <w:tab w:val="left" w:pos="525" w:leader="none"/>
          <w:tab w:val="left" w:pos="1155" w:leader="none"/>
          <w:tab w:val="left" w:pos="12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（十二）签订、履行合同：</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万达工程造价事务所有限公司见证后生效。</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2.江苏万达工程造价事务所有限公司监督合同的履行。中标方非因不可抗力未履行招、投标文件和合同规定的义务，一经查实，招标代理机构将根据具体情况提请政府采购管理部门作出相应处理。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（十三）代理服务费：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w:t>
      </w:r>
      <w:r>
        <w:rPr>
          <w:rFonts w:hint="eastAsia" w:ascii="宋体" w:hAnsi="宋体"/>
          <w:color w:val="000000" w:themeColor="text1"/>
          <w:sz w:val="24"/>
          <w:highlight w:val="none"/>
          <w:lang w:val="en-US" w:eastAsia="zh-CN"/>
          <w14:textFill>
            <w14:solidFill>
              <w14:schemeClr w14:val="tx1"/>
            </w14:solidFill>
          </w14:textFill>
        </w:rPr>
        <w:t xml:space="preserve">预算</w:t>
      </w:r>
      <w:r>
        <w:rPr>
          <w:rFonts w:hint="eastAsia" w:ascii="宋体" w:hAnsi="宋体"/>
          <w:color w:val="000000" w:themeColor="text1"/>
          <w:sz w:val="24"/>
          <w:highlight w:val="none"/>
          <w14:textFill>
            <w14:solidFill>
              <w14:schemeClr w14:val="tx1"/>
            </w14:solidFill>
          </w14:textFill>
        </w:rPr>
        <w:t xml:space="preserve">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en-US" w:eastAsia="zh-CN"/>
          <w14:textFill>
            <w14:solidFill>
              <w14:schemeClr w14:val="tx1"/>
            </w14:solidFill>
          </w14:textFill>
        </w:rPr>
        <w:t xml:space="preserve">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（十四）其他政策要求（包括但不限于下列具体政策要求）：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有关中小企业政策，如</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000000" w:themeColor="text1"/>
          <w:sz w:val="24"/>
          <w:highlight w:val="none"/>
          <w14:textFill>
            <w14:solidFill>
              <w14:schemeClr w14:val="tx1"/>
            </w14:solidFill>
          </w14:textFill>
        </w:rPr>
        <w:t xml:space="preserve">采购人可在合同中约定，</w:t>
      </w:r>
      <w:r>
        <w:rPr>
          <w:rFonts w:hint="eastAsia" w:ascii="宋体" w:hAnsi="宋体" w:cs="宋体"/>
          <w:color w:val="000000" w:themeColor="text1"/>
          <w:sz w:val="24"/>
          <w:highlight w:val="none"/>
          <w14:textFill>
            <w14:solidFill>
              <w14:schemeClr w14:val="tx1"/>
            </w14:solidFill>
          </w14:textFill>
        </w:rPr>
        <w:t xml:space="preserve">在</w:t>
      </w:r>
      <w:r>
        <w:rPr>
          <w:rFonts w:hint="eastAsia" w:ascii="宋体" w:hAnsi="宋体" w:cs="宋体"/>
          <w:bCs/>
          <w:color w:val="000000" w:themeColor="text1"/>
          <w:sz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lang w:val="en"/>
          <w14:textFill>
            <w14:solidFill>
              <w14:schemeClr w14:val="tx1"/>
            </w14:solidFill>
          </w14:textFill>
        </w:rPr>
      </w:pPr>
      <w:r>
        <w:rPr>
          <w:rFonts w:hint="eastAsia" w:ascii="宋体" w:hAnsi="宋体" w:cs="宋体"/>
          <w:bCs/>
          <w:color w:val="000000" w:themeColor="text1"/>
          <w:sz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bCs/>
          <w:color w:val="000000" w:themeColor="text1"/>
          <w:sz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000000" w:themeColor="text1"/>
          <w:sz w:val="24"/>
          <w:highlight w:val="none"/>
          <w14:textFill>
            <w14:solidFill>
              <w14:schemeClr w14:val="tx1"/>
            </w14:solidFill>
          </w14:textFill>
        </w:rPr>
        <w:t xml:space="preserve">评分标准</w:t>
      </w:r>
      <w:r>
        <w:rPr>
          <w:rFonts w:hint="eastAsia" w:ascii="宋体"/>
          <w:bCs/>
          <w:color w:val="000000" w:themeColor="text1"/>
          <w:sz w:val="24"/>
          <w:highlight w:val="none"/>
          <w:lang w:val="en"/>
          <w14:textFill>
            <w14:solidFill>
              <w14:schemeClr w14:val="tx1"/>
            </w14:solidFill>
          </w14:textFill>
        </w:rPr>
        <w:t xml:space="preserve">，如采购项目或者采购包中仅有服务的，则该采购项目或者采购包将不涉及本国产品的支持政策。</w:t>
      </w:r>
      <w:r/>
    </w:p>
    <w:p>
      <w:pPr>
        <w:pStyle w:val="718"/>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第三部分．采购需求</w:t>
      </w:r>
      <w:r/>
    </w:p>
    <w:p>
      <w:pPr>
        <w:pStyle w:val="975"/>
        <w:ind w:firstLine="0"/>
        <w:spacing w:before="0" w:beforeAutospacing="0" w:after="0" w:afterAutospacing="0" w:line="360" w:lineRule="auto"/>
        <w:widowControl w:val="off"/>
        <w:rPr>
          <w:rFonts w:hint="eastAsia" w:cs="宋体"/>
          <w:b/>
          <w:bCs/>
          <w:color w:val="000000" w:themeColor="text1"/>
          <w:highlight w:val="none"/>
          <w14:textFill>
            <w14:solidFill>
              <w14:schemeClr w14:val="tx1"/>
            </w14:solidFill>
          </w14:textFill>
        </w:rPr>
      </w:pPr>
      <w:r/>
      <w:bookmarkStart w:id="2" w:name="五．合同条款"/>
      <w:r/>
      <w:bookmarkEnd w:id="2"/>
      <w:r/>
      <w:r/>
    </w:p>
    <w:p>
      <w:pPr>
        <w:ind w:firstLine="470"/>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（一）采购标的需实现的功能或者目标，以及为落实政府采购政策需满足的要求：</w:t>
      </w:r>
      <w:r/>
    </w:p>
    <w:p>
      <w:pPr>
        <w:ind w:firstLine="480"/>
        <w:jc w:val="left"/>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 </w:t>
      </w:r>
      <w:r>
        <w:rPr>
          <w:b/>
          <w:bCs/>
          <w:color w:val="000000" w:themeColor="text1"/>
          <w:sz w:val="24"/>
          <w:highlight w:val="none"/>
          <w14:textFill>
            <w14:solidFill>
              <w14:schemeClr w14:val="tx1"/>
            </w14:solidFill>
          </w14:textFill>
        </w:rPr>
        <w:t xml:space="preserve">采购标的需实现的功能或者目标</w:t>
      </w:r>
      <w:r>
        <w:rPr>
          <w:rFonts w:hint="eastAsia" w:ascii="宋体" w:hAnsi="宋体" w:cs="宋体"/>
          <w:b/>
          <w:bCs/>
          <w:color w:val="000000" w:themeColor="text1"/>
          <w:sz w:val="24"/>
          <w:highlight w:val="none"/>
          <w14:textFill>
            <w14:solidFill>
              <w14:schemeClr w14:val="tx1"/>
            </w14:solidFill>
          </w14:textFill>
        </w:rPr>
        <w:t xml:space="preserve">：</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采购项目为无锡职业技术大学工业互联网集成实训室建设项目，核心目标是构建适配工业互联网教学与实训的一体化环境，填补现有教学设备与前沿技术的断层，解决实训场景与企业实际需求脱节、技术路线与企业标准不匹配等问题，最终服务于物联网技术系及相关专业人才培养，响应国家和江苏省的政策同时，助力无锡“465”现代产业体系中“高端装备”“物联网”产业发展。</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项目建设主要针对工业互联网数据采集、边缘计算、人机协作等内容进行重构，以工业互联网平台为核心，并配以部分常用的工业制造中常用的传感器、边缘网关、PLC、机器人等设备。具体实现功能和目标如下：</w:t>
      </w:r>
      <w:r/>
    </w:p>
    <w:p>
      <w:pPr>
        <w:numPr>
          <w:ilvl w:val="0"/>
          <w:numId w:val="11"/>
        </w:num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工业机器人技术实训台（协作机械臂多功能生</w:t>
      </w:r>
      <w:r>
        <w:rPr>
          <w:rFonts w:hint="eastAsia" w:ascii="宋体" w:hAnsi="宋体"/>
          <w:color w:val="000000" w:themeColor="text1"/>
          <w:sz w:val="24"/>
          <w:highlight w:val="none"/>
          <w14:textFill>
            <w14:solidFill>
              <w14:schemeClr w14:val="tx1"/>
            </w14:solidFill>
          </w14:textFill>
        </w:rPr>
        <w:t xml:space="preserve">产任务平台）：采用模块化、开放式布局设计，平台主要由机器人基础实训平台、任务工装模块、通用仓储单元、软件系统组成。生产任务实训场景可覆盖如轻工类产品装配、3C类产品装配、机械加工类产品打磨、精密制造类加工与装配等任务生产功能。平台可以实现工艺过程规划与仿真，工作站硬件装配及排障，MES部署与应用，执行层与设备层数据的互联互通，PLC与HMI程序的编写与调试，协作机器人、复合机器人、2D视觉系统相关程序的编写及调试，通过数字孪生软件与实际设备硬件进行1:1数据交互，虚实联动，对实训设备进行运行过程监控与仿真。</w:t>
      </w:r>
      <w:r/>
    </w:p>
    <w:p>
      <w:pPr>
        <w:ind w:firstLine="468"/>
        <w:jc w:val="left"/>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（2）工业机器人技术实训台（协作机械臂移动搬运复合平台）：</w:t>
      </w:r>
      <w:r>
        <w:rPr>
          <w:rFonts w:hint="eastAsia" w:ascii="宋体" w:hAnsi="宋体"/>
          <w:color w:val="000000" w:themeColor="text1"/>
          <w:sz w:val="24"/>
          <w:highlight w:val="none"/>
          <w14:textFill>
            <w14:solidFill>
              <w14:schemeClr w14:val="tx1"/>
            </w14:solidFill>
          </w14:textFill>
        </w:rPr>
        <w:t xml:space="preserve">采用 SLAM 激光无轨导航技术，搭载6轴协作机器人、视觉系统和电动夹爪，无需铺设轨道即可自主导航、灵活运动；6轴协作机器人和AMR移动平台采用二合一控制器，可通过示教器图形化编程操作，完成地图查看、加载/切换、运动点位编辑与规划、6轴协作机器人混合编程等。能基于机器人柔性生产实训平台完成如轻工类产品装配、3C类产品装配、机械加工类产品打磨、精密制造类加工与装配等柔性生产的物料搬运、联动上下料、成品入库等搬运功能，兼顾基础实操与进阶教学开发需求，适配工业互联网实训中机器人移动搬运、产线联动的教学与实操场景。</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教学用小型scara机械臂：搭载简易上位机，支持串口通讯，可自定义运行速度、坐标等核心参数，配套吸盘装置、PS2 手柄并实现手柄示教功能；配备专属虚拟示教编程软件，支持 Python 串口编程拓展及视觉相关开发，内置手柄示教录制、视觉算法开发等课程，可完成scara 机械臂的分拣实操、编程开发、视觉识别等实训内容，能与产业级工业互联网平台一体机结合开展数据上云与数据采集等的实训任务。</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（4）教学用小型协作机械臂：轻量级国产高性能教育协作式机械臂，芯片架构、软件算法、硬件结构全栈自主研发。</w:t>
      </w:r>
      <w:r>
        <w:rPr>
          <w:rFonts w:hint="eastAsia" w:ascii="宋体" w:hAnsi="宋体"/>
          <w:color w:val="000000" w:themeColor="text1"/>
          <w:sz w:val="24"/>
          <w:highlight w:val="none"/>
          <w:lang w:val="en-US" w:eastAsia="zh-CN"/>
          <w14:textFill>
            <w14:solidFill>
              <w14:schemeClr w14:val="tx1"/>
            </w14:solidFill>
          </w14:textFill>
        </w:rPr>
        <w:t xml:space="preserve">需</w:t>
      </w:r>
      <w:r>
        <w:rPr>
          <w:rFonts w:hint="eastAsia" w:ascii="宋体" w:hAnsi="宋体"/>
          <w:color w:val="000000" w:themeColor="text1"/>
          <w:sz w:val="24"/>
          <w:highlight w:val="none"/>
          <w14:textFill>
            <w14:solidFill>
              <w14:schemeClr w14:val="tx1"/>
            </w14:solidFill>
          </w14:textFill>
        </w:rPr>
        <w:t xml:space="preserve">集成开发者套件，拥有6个灵活自由度，</w:t>
      </w:r>
      <w:r>
        <w:rPr>
          <w:rFonts w:hint="eastAsia" w:ascii="宋体" w:hAnsi="宋体"/>
          <w:color w:val="000000" w:themeColor="text1"/>
          <w:sz w:val="24"/>
          <w:highlight w:val="none"/>
          <w:lang w:val="en-US" w:eastAsia="zh-CN"/>
          <w14:textFill>
            <w14:solidFill>
              <w14:schemeClr w14:val="tx1"/>
            </w14:solidFill>
          </w14:textFill>
        </w:rPr>
        <w:t xml:space="preserve">不低于</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0mm精准作业臂展，可稳定承载250g负载。其末端配备乐高/M4双拓展接口，支持笔夹、智能夹爪、真空吸泵、高清视觉模块等多样化末端执行器快速更换，可轻松实现创意搭建与功能拓展。能与产业级工业互联网平台一体机结合开展数据上云与数据采集等的实训任务。</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教学用小型视觉分拣delta机械臂：配备整套视觉分拣场景相关硬件，配套专属上位机与下位机驱动程序，兼容多种主流深度学习检测模型及传统机器视觉算法，可实现多类检测场景应用，检测结果可本地多格式存储；配套编程示教视频，支持二次编程开展视觉相关开发，满足多样化教学实训与分拣场景开发需求，能与产业级工业互联网平台一体机结合开展数据上云与数据采集等的实训任务。</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PLC实训箱：选用国产品牌，程序数据容量不低于200k步用户程序，2MByte自定义变量，其中128kByte支持掉电保持约150k软元件，编号1000以后支持掉电保持。能够支持EtherCAT，高速输入8路200k，高速输出5轴200k，支持PWM脉宽调制。</w:t>
      </w:r>
      <w:r/>
    </w:p>
    <w:p>
      <w:pPr>
        <w:ind w:firstLine="468"/>
        <w:jc w:val="left"/>
        <w:spacing w:line="360" w:lineRule="auto"/>
        <w:widowControl/>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（7）传感器：可精准采集空气温度、空气湿度、光照度三类工业环境关键参数，输出标准 RS485 信号，能稳定适配工业互联网实训场景下的多设备数据采集需求，可与边缘网关、工业互联网平台一体机无缝对接，实现环境数据的实时采集、传输与上云，为工业互联网数据采集、边缘计算等实训内容提供真实的环境感知数据支撑，适配实训室多设备协同的实训教学体系。</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边缘网关：采用工业互联网行业通用边缘软网关，提供边缘侧的数据采集能力，可采集Modbus、OPC等工业协议数据，并能够通过MQTT、HTTP等通道协议将数据推送至数字底座平台，支持双向认证加密传输，保证传输通道安全，以及支持私有云和公有云同时获取采集数据，提升数据采集效率。</w:t>
      </w:r>
      <w:r/>
    </w:p>
    <w:p>
      <w:pPr>
        <w:ind w:firstLine="468"/>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（9）产业级工业互联网平台一体机：选择“工业数据+工业机理” 驱动的智能制造数字底座系统，包括系统平台（工业混合建模与联合计算平台）、数据中台（工业数据集成与资源管理系统）和业务中台（工业业务低代码开发平台），可以支撑离散制造与流程行业的智能设计/制造/运维全流程一体化，能够满足教学实训任务要求。</w:t>
      </w:r>
      <w:r/>
    </w:p>
    <w:p>
      <w:pPr>
        <w:ind w:firstLine="470"/>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二</w:t>
      </w:r>
      <w:r>
        <w:rPr>
          <w:b/>
          <w:bCs/>
          <w:color w:val="000000" w:themeColor="text1"/>
          <w:sz w:val="24"/>
          <w:highlight w:val="none"/>
          <w14:textFill>
            <w14:solidFill>
              <w14:schemeClr w14:val="tx1"/>
            </w14:solidFill>
          </w14:textFill>
        </w:rPr>
        <w:t xml:space="preserve">）采购标的的数量、采购项目交付</w:t>
      </w:r>
      <w:r>
        <w:rPr>
          <w:rFonts w:hint="eastAsia"/>
          <w:b/>
          <w:bCs/>
          <w:color w:val="000000" w:themeColor="text1"/>
          <w:sz w:val="24"/>
          <w:highlight w:val="none"/>
          <w14:textFill>
            <w14:solidFill>
              <w14:schemeClr w14:val="tx1"/>
            </w14:solidFill>
          </w14:textFill>
        </w:rPr>
        <w:t xml:space="preserve">要求</w:t>
      </w:r>
      <w:r>
        <w:rPr>
          <w:b/>
          <w:bCs/>
          <w:color w:val="000000" w:themeColor="text1"/>
          <w:sz w:val="24"/>
          <w:highlight w:val="none"/>
          <w14:textFill>
            <w14:solidFill>
              <w14:schemeClr w14:val="tx1"/>
            </w14:solidFill>
          </w14:textFill>
        </w:rPr>
        <w:t xml:space="preserve">：</w:t>
      </w:r>
      <w:r/>
    </w:p>
    <w:p>
      <w:pPr>
        <w:ind w:firstLine="48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清单：</w:t>
      </w:r>
      <w:r/>
    </w:p>
    <w:tbl>
      <w:tblPr>
        <w:tblStyle w:val="707"/>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5931"/>
        <w:gridCol w:w="923"/>
        <w:gridCol w:w="975"/>
      </w:tblGrid>
      <w:tr>
        <w:trPr>
          <w:jc w:val="center"/>
          <w:trHeight w:val="471"/>
        </w:trPr>
        <w:tc>
          <w:tcPr>
            <w:tcW w:w="859"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序号</w:t>
            </w:r>
            <w:r/>
          </w:p>
        </w:tc>
        <w:tc>
          <w:tcPr>
            <w:tcW w:w="5931" w:type="dxa"/>
            <w:vAlign w:val="center"/>
            <w:textDirection w:val="lrTb"/>
            <w:noWrap w:val="false"/>
          </w:tcPr>
          <w:p>
            <w:pPr>
              <w:ind w:right="240"/>
              <w:jc w:val="center"/>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货物名称</w:t>
            </w:r>
            <w:r/>
          </w:p>
        </w:tc>
        <w:tc>
          <w:tcPr>
            <w:tcW w:w="923"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数量</w:t>
            </w:r>
            <w:r/>
          </w:p>
        </w:tc>
        <w:tc>
          <w:tcPr>
            <w:tcW w:w="975" w:type="dxa"/>
            <w:vAlign w:val="center"/>
            <w:textDirection w:val="lrTb"/>
            <w:noWrap w:val="false"/>
          </w:tcPr>
          <w:p>
            <w:pPr>
              <w:ind w:right="240"/>
              <w:jc w:val="right"/>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单位</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工业机器人技术实训台（协作机械臂多功能生产任务平台）</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工业机器人技术实训台（协作机械臂移动搬运复合平台）</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教学用小型scara分拣机械臂</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教学用小型协作机械臂（其中五套需含AGV小车）</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教学用小型视觉分拣delta机械臂</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PLC实训箱</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W w:w="5931"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传感器</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W w:w="5931" w:type="dxa"/>
            <w:vAlign w:val="center"/>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边缘网关</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r>
        <w:trPr>
          <w:jc w:val="center"/>
          <w:trHeight w:val="454"/>
        </w:trPr>
        <w:tc>
          <w:tcPr>
            <w:tcW w:w="859"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w:t>
            </w:r>
            <w:r/>
          </w:p>
        </w:tc>
        <w:tc>
          <w:tcPr>
            <w:tcW w:w="5931" w:type="dxa"/>
            <w:vAlign w:val="center"/>
            <w:textDirection w:val="lrTb"/>
            <w:noWrap w:val="false"/>
          </w:tcPr>
          <w:p>
            <w:pPr>
              <w:jc w:val="lef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产业级工业互联网平台一体机</w:t>
            </w:r>
            <w:r>
              <w:rPr>
                <w:rFonts w:hint="eastAsia" w:ascii="宋体" w:hAnsi="宋体" w:cs="宋体"/>
                <w:b/>
                <w:bCs/>
                <w:color w:val="000000" w:themeColor="text1"/>
                <w:szCs w:val="21"/>
                <w:highlight w:val="none"/>
                <w:lang w:bidi="ar"/>
                <w14:textFill>
                  <w14:solidFill>
                    <w14:schemeClr w14:val="tx1"/>
                  </w14:solidFill>
                </w14:textFill>
              </w:rPr>
              <w:t xml:space="preserve">（核心产品）</w:t>
            </w:r>
            <w:r/>
          </w:p>
        </w:tc>
        <w:tc>
          <w:tcPr>
            <w:tcW w:w="923"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W w:w="975" w:type="dxa"/>
            <w:vAlign w:val="center"/>
            <w:textDirection w:val="lrTb"/>
            <w:noWrap w:val="false"/>
          </w:tcPr>
          <w:p>
            <w:pPr>
              <w:jc w:val="center"/>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套</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本项目共设1个标段，清单范围内的含运货到发包人指定地点，所产生的所有内容，包括供货、运输、装卸、安装、调试、技术资料的提供、人员培训以及质量保修期内的维护保养、售后服务等。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2.交货期：合同签订生效后6个月内到货并安装调试完毕。误期违约金：2000元/天。</w:t>
      </w:r>
      <w:r/>
    </w:p>
    <w:p>
      <w:pPr>
        <w:ind w:firstLine="468"/>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3.质量要求：符合国家验收标准，一次性验收通过，100%合格。质量违约金：合同价款的5%。</w:t>
      </w:r>
      <w:r/>
    </w:p>
    <w:p>
      <w:pPr>
        <w:ind w:firstLine="468"/>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4.安全要求：符合国家相关标准或行业标准。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5.交付地址：无锡职业技术大学</w:t>
      </w:r>
      <w:r/>
    </w:p>
    <w:p>
      <w:pPr>
        <w:ind w:firstLine="470"/>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三</w:t>
      </w:r>
      <w:r>
        <w:rPr>
          <w:b/>
          <w:bCs/>
          <w:color w:val="000000" w:themeColor="text1"/>
          <w:sz w:val="24"/>
          <w:highlight w:val="none"/>
          <w14:textFill>
            <w14:solidFill>
              <w14:schemeClr w14:val="tx1"/>
            </w14:solidFill>
          </w14:textFill>
        </w:rPr>
        <w:t xml:space="preserve">）采购标的需满足的</w:t>
      </w:r>
      <w:r>
        <w:rPr>
          <w:rFonts w:hint="eastAsia"/>
          <w:b/>
          <w:bCs/>
          <w:color w:val="000000" w:themeColor="text1"/>
          <w:sz w:val="24"/>
          <w:highlight w:val="none"/>
          <w14:textFill>
            <w14:solidFill>
              <w14:schemeClr w14:val="tx1"/>
            </w14:solidFill>
          </w14:textFill>
        </w:rPr>
        <w:t xml:space="preserve">质保及售后</w:t>
      </w:r>
      <w:r>
        <w:rPr>
          <w:b/>
          <w:bCs/>
          <w:color w:val="000000" w:themeColor="text1"/>
          <w:sz w:val="24"/>
          <w:highlight w:val="none"/>
          <w14:textFill>
            <w14:solidFill>
              <w14:schemeClr w14:val="tx1"/>
            </w14:solidFill>
          </w14:textFill>
        </w:rPr>
        <w:t xml:space="preserve">要求：</w:t>
      </w:r>
      <w:r/>
    </w:p>
    <w:p>
      <w:pPr>
        <w:ind w:firstLine="468"/>
        <w:jc w:val="left"/>
        <w:spacing w:line="360" w:lineRule="auto"/>
        <w:widowControl/>
        <w:rPr>
          <w:rFonts w:ascii="宋体"/>
          <w:bCs/>
          <w:color w:val="000000" w:themeColor="text1"/>
          <w:sz w:val="24"/>
          <w:highlight w:val="none"/>
          <w14:textFill>
            <w14:solidFill>
              <w14:schemeClr w14:val="tx1"/>
            </w14:solidFill>
          </w14:textFill>
        </w:rPr>
      </w:pPr>
      <w:r>
        <w:rPr>
          <w:rFonts w:ascii="宋体"/>
          <w:bCs/>
          <w:color w:val="000000" w:themeColor="text1"/>
          <w:sz w:val="24"/>
          <w:highlight w:val="none"/>
          <w14:textFill>
            <w14:solidFill>
              <w14:schemeClr w14:val="tx1"/>
            </w14:solidFill>
          </w14:textFill>
        </w:rPr>
        <w:t xml:space="preserve">1.</w:t>
      </w:r>
      <w:r>
        <w:rPr>
          <w:rFonts w:hint="eastAsia" w:ascii="宋体"/>
          <w:bCs/>
          <w:color w:val="000000" w:themeColor="text1"/>
          <w:sz w:val="24"/>
          <w:highlight w:val="none"/>
          <w14:textFill>
            <w14:solidFill>
              <w14:schemeClr w14:val="tx1"/>
            </w14:solidFill>
          </w14:textFill>
        </w:rPr>
        <w:t xml:space="preserve">项目整体质保期：自项目验收合格之日起1年。</w:t>
      </w:r>
      <w:r/>
    </w:p>
    <w:p>
      <w:pPr>
        <w:ind w:firstLine="468"/>
        <w:jc w:val="left"/>
        <w:spacing w:line="360" w:lineRule="auto"/>
        <w:widowControl/>
        <w:rPr>
          <w:rFonts w:ascii="宋体"/>
          <w:bCs/>
          <w:color w:val="000000" w:themeColor="text1"/>
          <w:sz w:val="24"/>
          <w:highlight w:val="none"/>
          <w14:textFill>
            <w14:solidFill>
              <w14:schemeClr w14:val="tx1"/>
            </w14:solidFill>
          </w14:textFill>
        </w:rPr>
      </w:pPr>
      <w:r>
        <w:rPr>
          <w:rFonts w:ascii="宋体"/>
          <w:bCs/>
          <w:color w:val="000000" w:themeColor="text1"/>
          <w:sz w:val="24"/>
          <w:highlight w:val="none"/>
          <w14:textFill>
            <w14:solidFill>
              <w14:schemeClr w14:val="tx1"/>
            </w14:solidFill>
          </w14:textFill>
        </w:rPr>
        <w:t xml:space="preserve">2.</w:t>
      </w:r>
      <w:r>
        <w:rPr>
          <w:rFonts w:hint="eastAsia" w:ascii="宋体"/>
          <w:bCs/>
          <w:color w:val="000000" w:themeColor="text1"/>
          <w:sz w:val="24"/>
          <w:highlight w:val="none"/>
          <w14:textFill>
            <w14:solidFill>
              <w14:schemeClr w14:val="tx1"/>
            </w14:solidFill>
          </w14:textFill>
        </w:rPr>
        <w:t xml:space="preserve">售后服务要求：所投设备须提供7*24小时原厂电话技术支持,故障响应及恢复时间为</w:t>
      </w:r>
      <w:r>
        <w:rPr>
          <w:rFonts w:ascii="宋体"/>
          <w:bCs/>
          <w:color w:val="000000" w:themeColor="text1"/>
          <w:sz w:val="24"/>
          <w:highlight w:val="none"/>
          <w14:textFill>
            <w14:solidFill>
              <w14:schemeClr w14:val="tx1"/>
            </w14:solidFill>
          </w14:textFill>
        </w:rPr>
        <w:t xml:space="preserve">12</w:t>
      </w:r>
      <w:r>
        <w:rPr>
          <w:rFonts w:hint="eastAsia" w:ascii="宋体"/>
          <w:bCs/>
          <w:color w:val="000000" w:themeColor="text1"/>
          <w:sz w:val="24"/>
          <w:highlight w:val="none"/>
          <w14:textFill>
            <w14:solidFill>
              <w14:schemeClr w14:val="tx1"/>
            </w14:solidFill>
          </w14:textFill>
        </w:rPr>
        <w:t xml:space="preserve">小时内到达现场，</w:t>
      </w:r>
      <w:r>
        <w:rPr>
          <w:rFonts w:ascii="宋体"/>
          <w:bCs/>
          <w:color w:val="000000" w:themeColor="text1"/>
          <w:sz w:val="24"/>
          <w:highlight w:val="none"/>
          <w14:textFill>
            <w14:solidFill>
              <w14:schemeClr w14:val="tx1"/>
            </w14:solidFill>
          </w14:textFill>
        </w:rPr>
        <w:t xml:space="preserve">24</w:t>
      </w:r>
      <w:r>
        <w:rPr>
          <w:rFonts w:hint="eastAsia" w:ascii="宋体"/>
          <w:bCs/>
          <w:color w:val="000000" w:themeColor="text1"/>
          <w:sz w:val="24"/>
          <w:highlight w:val="none"/>
          <w14:textFill>
            <w14:solidFill>
              <w14:schemeClr w14:val="tx1"/>
            </w14:solidFill>
          </w14:textFill>
        </w:rPr>
        <w:t xml:space="preserve">小时内排除问题。质保期内免费质保，每次维修后再次安排技术人员进行培训。</w:t>
      </w:r>
      <w:r/>
    </w:p>
    <w:p>
      <w:pPr>
        <w:ind w:left="1235" w:hanging="765"/>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四</w:t>
      </w:r>
      <w:r>
        <w:rPr>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采购标的验收标准：</w:t>
      </w:r>
      <w:r/>
    </w:p>
    <w:p>
      <w:pPr>
        <w:ind w:firstLine="480"/>
        <w:jc w:val="left"/>
        <w:spacing w:line="360" w:lineRule="auto"/>
        <w:tabs>
          <w:tab w:val="left" w:pos="525" w:leader="none"/>
          <w:tab w:val="left" w:pos="630" w:leader="none"/>
          <w:tab w:val="left" w:pos="735" w:leader="none"/>
          <w:tab w:val="left" w:pos="945"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70"/>
        <w:jc w:val="left"/>
        <w:spacing w:line="360" w:lineRule="auto"/>
        <w:widowControl/>
        <w:rPr>
          <w:b/>
          <w:bCs/>
          <w:color w:val="000000" w:themeColor="text1"/>
          <w:sz w:val="24"/>
          <w:highlight w:val="none"/>
          <w14:textFill>
            <w14:solidFill>
              <w14:schemeClr w14:val="tx1"/>
            </w14:solidFill>
          </w14:textFill>
        </w:rPr>
        <w:outlineLvl w:val="1"/>
      </w:pPr>
      <w:r>
        <w:rPr>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五</w:t>
      </w:r>
      <w:r>
        <w:rPr>
          <w:b/>
          <w:bCs/>
          <w:color w:val="000000" w:themeColor="text1"/>
          <w:sz w:val="24"/>
          <w:highlight w:val="none"/>
          <w14:textFill>
            <w14:solidFill>
              <w14:schemeClr w14:val="tx1"/>
            </w14:solidFill>
          </w14:textFill>
        </w:rPr>
        <w:t xml:space="preserve">）采购标的需满足的质量、安全、技术规格、物理特性等要求：</w:t>
      </w:r>
      <w:r/>
    </w:p>
    <w:tbl>
      <w:tblPr>
        <w:tblStyle w:val="707"/>
        <w:tblW w:w="47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806"/>
        <w:gridCol w:w="6693"/>
        <w:gridCol w:w="493"/>
        <w:gridCol w:w="343"/>
      </w:tblGrid>
      <w:tr>
        <w:trPr>
          <w:trHeight w:val="90"/>
        </w:trPr>
        <w:tc>
          <w:tcPr>
            <w:tcW w:w="263"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bookmarkStart w:id="3" w:name="OLE_LINK1"/>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458"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设备名称</w:t>
            </w:r>
            <w:r/>
          </w:p>
        </w:tc>
        <w:tc>
          <w:tcPr>
            <w:tcW w:w="3803"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技术参数</w:t>
            </w:r>
            <w:r/>
          </w:p>
        </w:tc>
        <w:tc>
          <w:tcPr>
            <w:tcW w:w="280"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c>
          <w:tcPr>
            <w:tcW w:w="194" w:type="pct"/>
            <w:vAlign w:val="center"/>
            <w:textDirection w:val="lrTb"/>
            <w:noWrap w:val="false"/>
          </w:tcPr>
          <w:p>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单位</w:t>
            </w:r>
            <w:r/>
          </w:p>
        </w:tc>
      </w:tr>
      <w:tr>
        <w:trPr>
          <w:trHeight w:val="90"/>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工业机器人技术实训台（协作机械臂多功能生产任务平台）</w:t>
            </w:r>
            <w:r/>
          </w:p>
        </w:tc>
        <w:tc>
          <w:tcPr>
            <w:tcW w:w="3803" w:type="pct"/>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模块化、开放式布局设计，平台主要由机器人基础实训平台、任务工装模块、通用仓储单元、软件系统组成。生产任务实训场景可覆盖轻工类产品装配、3C类产品装配、机械加工类产品打磨、精密制造类加工与装配等任务生产功能。平台可以实现工艺过程规划与仿真，工作站硬件装配及排障，MES部署与应用，执行层与设备层数据的互联互通，PLC与HMI程序的编写与调试，协作机器人、复合机器人、2D视觉系统相关程序的编写及调试，通过数字孪生软件与实际设备硬件进行1:1数据交互，虚实联动，对实训设备进行运行过程监控与仿真。</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具体技术参数要求如下：</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1.机器人要求</w:t>
            </w:r>
            <w:r/>
          </w:p>
          <w:p>
            <w:pPr>
              <w:ind w:firstLine="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具体参数要求：</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工作半径：≥880mm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最大负载：≥5kg</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机械臂重量：≤24kg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重复定位精度：±0.02mm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本体通讯接口：CAN BUS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各轴旋转范围均需：≥±160°</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J1~J3最大转速速度：≥150°/s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J4~J6最大转速速度：≥180°/s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可扩展的工具端IO端口，直流供电</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机械臂末端至少含有4个数字量接口，2个模拟量接口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数字量接口可按需求配置为输入口或输出口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机械臂末端支持DC12V和DC24V输出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防护等级：IP54</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（2）控制器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供电电源：100~240VAC，50~60Hz</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通讯接口：以太网、ModBusRTU/TCP、TCP/IP、USB</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防护等级：IP43</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IO接口：DI不少于8个，DO不少于8个；AI不少于2个，AO不少于2个</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（3）示教器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显示：电阻式液晶触控屏</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符合人体工学设计，配有急停和力控等安全按钮</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防护等级：IP43</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（4）机器人功能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支持通过在示教器中点击按钮的方式，对机器人动作进行示教和在线编程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支持拖动示教，在按住力控按钮后，可用手拖动机器人本体的方式对机器人位姿进行示教；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支持轨迹记录功能，在拖动示教时自动记录轨迹，并可将轨迹插入到在线编程逻辑中；</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支持碰撞防护功能，提供10个等级的碰撞防护等级，机器人检测到碰撞后自动停止；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★提供基于ROS2平台的配套环境开发包。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投标文件须提供彩页扫描件或功能截图并加盖投标供应商公章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提供多种平台SDK开发包，支持Linux下C++编程、Lua脚本语言编程、Windows C++、Python脚本编程、JSON-RPC跨平台Web编程开发。</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2.机器人基础实训平台</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（1）多功能实训工作台</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需由钣金和标准铝型材面板搭建，底部安装有福马轮，易于移动和固定。且为方便搬运移动，实训台整体需设计为可拆分设计。具体设计要求如下：</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要求型材槽宽相同，避免螺钉等标准件的使用种类不同</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框架尺寸结构要求可以满足机器人的工作范围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内部空间要求满足空气压缩机和控制柜的放置，使工作站为一整体，同时工作台高度要求适中，便于学生操作和观看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前后采用可视化开门设计，便于设备安装和展示；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地脚：8个福马轮，单只福马轮承重≥100kg</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（2）工艺状态监控</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成像器件：CMOS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有效像素：≥400万</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网络接口：内置RJ45网口，支持10M/100M网络数据</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电源电压：DC12V</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（3）机器视觉系统</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①工业相机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类型：≥600万彩色</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传感器类型：CMOS，卷帘快门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分辨率：3072×2048</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快门模式：支持自动曝光、手动曝光、一键曝光模式</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黑白/彩色：彩色</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镜像：支持水平镜像</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数据接口：GigE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数字I/O：6-pin接头提供供电和I/O</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②镜头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焦距：≥8mm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F数：F2.8~F16</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像面尺寸：Φ9mm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最近摄距：0.1m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接口：C-Mount</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（4）视觉算法平台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集成机器视觉多种算法组件，适用多种应用场景，可快速组合算法，实现对工件或被测物的查找、测量、缺陷检测等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1"/>
                <w:numId w:val="0"/>
              </w:numPr>
              <w:ind w:left="0"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提供强大的视觉分析工具库，包括采集、定位、测量、识别、标定、图像处理、颜色处理、缺陷检测、逻辑工具和通信等工具可简单灵活的搭建机器视觉应用方案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（5）电气系统</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①人机交互触摸屏</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触摸屏：≥7寸、电阻式、彩色</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输入电压：24±20%VDC</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内存：128M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背光类型：LED</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串行接口：COM1(RS232)，COM2(RS485)</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②PLC可编程控制器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输入点数：≥8个</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输出点数：≥8个</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编程语言：支持LAD，FBD，SCL</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额定电源电压：DC24V</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（6）小型静音空气压缩机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匹配功率：≥600W</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储气容量：≥30L</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3.高性能开发主机参数要求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处理器：≥13代I7 CPU ，≥16G内存，≥硬盘512G，≥2G独显</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自带USB鼠标套装</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显示器≥21英寸</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4.MES制造执行系统</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系统可为制造生产线提供自动化控制与监控，可有效结工业现场的PLC系统、机器人系统、相机系统、传感器系统、图像监控系统等多种软硬件资源，实现生产系统的生产看板显示、生产计划管理、智能排产调度、生产任务管理、作业进度监控、硬件设备状态的实时监控、库存管理和统计报表等一系列功能。具体功能要求如下：</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（1）显示看板</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单个页面，可整体显示整个生产过程中的主要信息，包括模拟能耗监控、物料跟踪、整体生产统计、任务详情、在制品进度跟踪、设备状态等。</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（2）生产计划</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生产计划管理：可对计划进行统计，包括总计划数量、生产计划数量、已下达任务数量、未下达任务数量等进行实时汇总。</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生产计划查询：通过时间和计划名称进行模糊查询计划，并可对计划进行新增、修改、删除和导出Excel表等操作。</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（3）排产调度</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生产计划安排：可通过时间和关键词查询能够进行下单的计划，通过选择需要的计划进行任务下达操作，从而使计划进行生产准备，同时可将查询结果进行Excel表格的导出。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生产任务查询：可通过时间和关键词查询已下达的任务的详细信息，同时可将查询结果进行Excel表格的导出。</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（4）生产加工</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作业进度状态：可实时刷新最近正在生产或已经生产完成的任务，通过查询单个任务，即可显示整个任务的生产工艺线路。</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设备状态监控：可实时刷新硬件设备的具体状态，包括：PLC连接运行状态、工业相机的拍摄图像情况与视频监控的实时画面和云台控制功能，以及机械臂的电流、电压、温度状况。</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（5）库存管理</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原料入库：可通过时间和关键词可模糊查询原料入库的历史记录，如库存不足，可通过进行新增需要的原料进行入库操作，增大原料库存，支持导出查询结果。</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成品出库：可通过时间和关键词可模糊查询成品出库的历史记录，可手动将成品进行出库操作，支持导出查询结果。</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库存查询：可输入物料或成品信息进行库存查询，显示物料的库存信息，并支持导出表格的操作。</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出入库记录查询：可通过时间和关键词进行出入库记录的查询，并支持导出表格的操作。</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（6）统计报表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生产信息追溯</w:t>
            </w:r>
            <w:r>
              <w:rPr>
                <w:rFonts w:hint="eastAsia" w:ascii="宋体" w:hAnsi="宋体" w:cs="宋体"/>
                <w:color w:val="000000" w:themeColor="text1"/>
                <w:sz w:val="21"/>
                <w:szCs w:val="21"/>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1"/>
                <w:szCs w:val="21"/>
                <w:highlight w:val="none"/>
                <w14:textFill>
                  <w14:solidFill>
                    <w14:schemeClr w14:val="tx1"/>
                  </w14:solidFill>
                </w14:textFill>
              </w:rPr>
              <w:t xml:space="preserve">可通过时间和产品信息的模糊查询，可显示以及生产完成的产品信息，选择查询某一产品时，可同步显示该产品生产的过程记录。</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物料消耗统计功能可通过时间和物料信息的模糊查询，在生产过程中的物料消耗量的记录，并可导出表格。</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离线仿真</w:t>
            </w:r>
            <w:r/>
          </w:p>
          <w:p>
            <w:pPr>
              <w:ind w:firstLine="42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离线仿真主要用于在虚拟环境中开展工业机器人编程与调试实训，满足安全、高效、可重复的教学与实操训练需求。具体功能要求如下：</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（1）离线编程</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可实现工业协作机器人模型导入、轨迹规划、运动仿真和控制代码输出，实现离线编程。</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（2）轨迹生成</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轨迹生成基于CAD数据，简化轨迹生成过程，提高精度，可利用实体模型、曲面或曲线直接生成运动轨迹；生成的轨迹可进行分组管理。</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（3）3D仿真运行</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编程结果可3D仿真运行，上传云端生成二维码及链接。可用手机扫描或复制链接查看播放，还能自由切换视角、放大缩小。</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（4）节拍统计分析</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包含节拍统计分析功能，可统计机器人运行的全程时间、节拍、运动的平均速度、总距离、总轨迹点数等信息，方便用户评估机器人工作效率。</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（5）轨迹优化</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备轨迹优化功能，通过调整曲线让机器人处于工作最优区内，解决不可达、轴超限和奇异点的问题；支持轨迹编辑功能，以图形化方式通过拖动参数曲线，来编辑一条轨迹中指定个数的点，达到让整条轨迹光滑过渡的效果。</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（6）联动仿真</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具备多机器人联动仿真功能，支持同一三维环境下添加或者导入多个机器人，并对每一个机器人进行轨迹仿真。</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（7）轴离线仿真拓展</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具备扩展轴离线仿真功能，支持导轨、变位机等机构的自定义，具备自定义机构与机器人的联动仿真功能。</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6.教学资源</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（1）多功能实训案例</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提供4个以上典型工业场景的实训案例，并能在平台上实现，案例包括但不限于轻工类产品装配、3C类产品装配、机械加工类产品打磨、精密制造类加工与装配。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投标文件需提供相关证明材料）</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（2）资源支持</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需提供实训平台实训指导书一套，该指导书包括从硬件安装到调试再到控制编程等详细步骤指引介绍。</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要求提供ROS2系统教学实训指导书，内容包括但不限于涵盖机械机械臂运动学实验、Motion Planning的 python 接口编程控制机械臂、使用Jupyter Notebook原型设计、机械臂常用末端工具ROS2驱动及使用等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投标文件需提供相关截图证明材料）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500"/>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工业机器人技术实训台（协作机械臂移动搬运复合平台）</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采用SLAM激光导航，无需轨道铺设，自主导航，运动灵活，布置场景简单并快速，产品工业级性能，负载大，搭载6轴协作机器人，视觉系统和电动夹爪。</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6轴协作机器人和AMR移动平台采用二合一控制器，可通过示教器图形化编程操作，完成地图查看、加载/切换，运动点位编辑与规划，6轴协作机器人混合编程等。</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移动搬运复合机器人需能配合机器人柔性生产实训平台完成轻工类产品装配、3C类产品装配、机械加工类产品打磨、精密制造类加工与装配等柔性生产的物料搬运、联动上下料、成品入库等搬运功能。</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协作机器人</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工作半径：≥880mm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最大负载：≥5kg</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机械臂重量：≤24kg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重复定位精度：±0.02mm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投标文件须提供彩页扫描件并加盖投标供应商公章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本体通讯接口：CAN BUS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可扩展的工具端IO端口，直流供电</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各轴旋转范围均需：≥±160°</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J1~J3最大转速速度：≥150°/s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J4~J6最大转速速度：≥180°/s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防护等级：IP54</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（2）控制器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通讯接口：以太网、ModBusRTU/TCP、USB</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（3）平板示教器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显示：≥11寸触摸显示器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内存：≥8G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存储：≥128G</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（4）机器人功能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支持通过在示教器中点击按钮的方式，对机器人动作进行示教和在线编程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支持拖动示教，在启动拖动示教模式后，可用手拖动机器人本体的方式对机器人位姿进行示教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支持轨迹记录功能，在拖动示教时自动记录轨迹，并可将轨迹插入到在线编程逻辑中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支持碰撞防护功能，提供10个等级的碰撞防护等级，机器人检测到碰撞后自动停止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（5）AMR移动平台要求</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SLAM激光导航，布置场景简单快速，可多场景通用，自主移动，无轨导航。2轮差速运动控制，可实现原地旋转作业，运动灵活。高容量锂电池供电，支持自动充电，负载能力不低于300Kg。提供移动机器人应用的专业级客户端，功能包含：</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场景地图编辑：位置点标定，虚拟道路编辑，禁区编辑</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机器人运动控制：扫描并构建地图，重定位，机器人状态监控，固定线路导航，循环巡检，手动操控</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最大速度：≥1.2m/s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转弯半径：0mm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旋转半径：550mm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爬坡能力：6°</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越障高度：10mm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过缝宽度：30mm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离地间隙：25mm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行走通道宽度：≥900mm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回转通道宽度：≥1200mm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站点定位精度：≤±10mm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电池容量：48V/35Ah，锂电池</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续航时间：满载连续运行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小时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w:t>
            </w:r>
            <w:r/>
          </w:p>
          <w:p>
            <w:pPr>
              <w:ind w:left="210" w:hanging="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（6）视觉系统要求</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①工业相机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类型：像素不低于600万</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传感器类型：CMOS，卷帘快门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分辨率：3072×2048</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黑白/彩色：彩色</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数据接口：GigE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配套镜头与光源视觉控制器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运行内存：≥8G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储存硬盘：≥128G </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②视觉算法平台要求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图形化引导编程，集成机器视觉多种算法组件，适用多种应用场景，可快速组合算法，实现对工件或被测物的查找、测量、缺陷检测等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★拥有视觉分析工具库，包括采集、定位、测量、识别、标定、图像处理、颜色处理、缺陷检测、逻辑工具和通信等工具可简单灵活的搭建机器视觉应用方案。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投标文件须提供功能截图并加盖投标供应商公章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支持二次开发</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（7）电动夹爪</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控制接口：串口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开口尺寸：≥70mm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夹持力：0-15N</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工作电压：9-24V</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力精度：±1N</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重复定位精度：≤±0.5mm</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（8）通用仓储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货位数量：2行×3列6个货位</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整体尺寸：≥1200×600×850mm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材料：铝型材</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托盘：通用兼容多种物料</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2.数字化编程与仿真系统</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需通过控制器1个，账号不少于26个，具体要求如下：</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（1）IoT控制器</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①硬件系统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CPU：Quad core Cortex-A53，1.6 GHz</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NPU：2.3 TOPS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RAM：≥ 4 GB</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Flash：≥ 32 GB </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②蜂窝数据接口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天线接口数量：≥2</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③以太网接口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端口：≥ 5 x 10/100/1000 Mbps</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④串行端口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端口数量：≥ 2 x RS232/RS422/RS485</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⑤调试串口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端口数量：≥ 1 x RS232</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端口类型：RJ45</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（2）功能要求</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①生态开放 </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需内置工业协议适配模块，支持PLC、机器人、传感器等跨品牌设备接入；可直接调用主流 AI 工具。</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②部署方式</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需支持本地与云端混合部署，在边缘侧实现实时数据处理与设备控制，降低对云端的依赖。</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③编程语言支持</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基础功能通过拖拽实现，复杂逻辑可嵌入 Python/Node.js 代码，满足进阶教学需求。</w:t>
            </w:r>
            <w:r/>
          </w:p>
          <w:p>
            <w:pPr>
              <w:ind w:firstLine="21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④仿真与调试</w:t>
            </w:r>
            <w:r/>
          </w:p>
          <w:p>
            <w:pPr>
              <w:ind w:firstLine="42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D离线仿真支持1:1虚拟产线建模，可模拟设备联动（如机器人抓取、传送带调度）；虚实联动在线仿真时，虚拟设备与物理设备数据实时同步，支持“理论-实践”无缝衔接，要求提供移动搬运复合机器人和机器人柔性生产实训平台配套的虚实1:1实时联动仿真功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717"/>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604"/>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教学用小型scara分拣机械臂</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提供简易上位机，支持串口通讯，可自定义速度、坐标等参数，配套吸盘装置、PS2手柄，支持手柄示教。具体技术参数要求：</w:t>
            </w:r>
            <w:r/>
          </w:p>
          <w:p>
            <w:pPr>
              <w:pStyle w:val="1193"/>
              <w:numPr>
                <w:ilvl w:val="0"/>
                <w:numId w:val="13"/>
              </w:numPr>
              <w:ind w:left="0"/>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1、机械臂主体参数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自由度：3轴（X/Y 旋转轴 + Z 升降轴）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结构形式：水平多关节 SCARA 结构</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工作半径230–320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重复定位精度±0.5mm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最大负载不低于500g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Z 轴行程80–150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关节转速60–120 °/s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机身材质：3D 打印 / 铝合金</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整机重量：约 2–3.5 kg</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2.驱动与控制</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主控：Arduino 单片机/ESP32单片机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电机：42 步进电机 NEMA17</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驱动：A4988 / DRV8825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电源电压：100 V - 240 V , 50/60 HZ；</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电源输入：12 V / 5A DC；</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供电：DC 12V 3A–5A</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限位：机械 / 光电限位开关</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3.气动吸盘执行系统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执行末端：真空吸盘 + 微型气泵</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吸盘材质：硅胶防滑吸盘</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吸盘直径：10–16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吸附物体：平面光滑物体</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控制方式：继电器 / 电磁阀控制气路通断</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4.网关与云平台通信模块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通信模块：支持与ESP8266 / ESP32 / Ethernet W5500 实现通信</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通信方式： </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Wi-Fi（2.4G）/有线以太网 </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MQTT/TCP/HTTP/UDP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对接协议：MQTT 3.1.1 / MQTT 5.0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支持网关：工业物联网网关（采购中8对应的边缘网关）</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支持云平台：采购中9对应的云平台，并可扩展到常用的云平台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上传数据：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机械臂坐标、运行状态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动作次数、故障报警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红外识别参数</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远程控制：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云端下发抓取 / 搬运 / 复位指令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远程启动 / 暂停 / 急停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工作模式切换（自动 / 手动）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通信距离：Wi-Fi 局域网全覆盖，外网通过云平台远程控制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5.整机功能概述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SCARA 机械臂高精度运动至抓取位置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真空吸盘吸气抓取、搬运、定点放置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实时上传运行数据至本地网关与云端平台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支持通过云平台远程监控与远程调度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可用于教学实训、产线上下料、物联网演示平台</w:t>
            </w:r>
            <w:r/>
          </w:p>
          <w:p>
            <w:pPr>
              <w:pStyle w:val="1000"/>
              <w:ind w:firstLine="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6.教学资源</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提供产品对应的硬件手册、软件资料、图文教程、编程资料等，具体包括但不限于以下内容：</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硬件手册：</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机械臂组装图纸（3D打印文件+装配步骤）</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各模块（吸盘、通信模块）接线图</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单片机引脚定义说明书</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软件资料：</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 IDE安装包</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驱动程序（A4988/DRV8825、ESP8266/ESP32）</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图文教程：</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机械臂组装实操视频</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吸盘吸附调试视频</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云平台对接步骤视频</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编程资源</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单片机控制代码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光电传感器识别与触发抓取代码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云平台通信代码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串口上位机QT代码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硬件模型STL文件</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机械臂python串口编程控制代码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代码注释：所有代码均含详细中文注释，适配新手学习，可直接复制修改使用</w:t>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331"/>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教学用小型协作机械臂</w:t>
            </w:r>
            <w:r/>
          </w:p>
        </w:tc>
        <w:tc>
          <w:tcPr>
            <w:tcW w:w="3803" w:type="pct"/>
            <w:vAlign w:val="center"/>
            <w:textDirection w:val="lrTb"/>
            <w:noWrap w:val="false"/>
          </w:tcPr>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提供六轴协作机器人，可根据用户的需求进行二次开发，实现用户个性化定制，具备智能夹爪、高清视觉模块。具体技术参数要求：</w:t>
            </w:r>
            <w:r/>
          </w:p>
          <w:p>
            <w:pPr>
              <w:numPr>
                <w:ilvl w:val="0"/>
                <w:numId w:val="18"/>
              </w:numPr>
              <w:widowControl/>
              <w:tabs>
                <w:tab w:val="clear" w:pos="312"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机械臂主体参数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自由度：6自由度</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关节范围：</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J1-165°~ +165°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J2-165°~ +165°</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J3-165°~ +165°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J4-165°~ +165°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J5-165° ~ +165°</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J6-175°~ +175°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最大负载：不低于250g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臂展：</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不低于2</w:t>
            </w:r>
            <w:r>
              <w:rPr>
                <w:rFonts w:hint="eastAsia" w:ascii="宋体" w:hAnsi="宋体" w:eastAsia="宋体" w:cs="宋体"/>
                <w:color w:val="000000" w:themeColor="text1"/>
                <w:sz w:val="21"/>
                <w:szCs w:val="21"/>
                <w:highlight w:val="none"/>
                <w14:textFill>
                  <w14:solidFill>
                    <w14:schemeClr w14:val="tx1"/>
                  </w14:solidFill>
                </w14:textFill>
              </w:rPr>
              <w:t xml:space="preserve">50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工作半径：250–300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重复性定位精度：±0.5mm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整机重量：0.5–1 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工作温度：-5~45°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通讯：USB/Type-C</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机身材质：3D 打印 / 铝合金</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摄像头模块参数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摄像头型号：OV7670 / OV2640 / USB 免驱摄像头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像素：30 万～100 万像素</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帧率：15–30 fps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通讯方式：USB直连/I2C/SPI</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识别距离：10–50 cm</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安装方式：机械臂末端 / 支架固定</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识别方式：OpenCV 视觉识别/自带软件</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识别内容：颜色识别、形状识别、物体坐标定位</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3.驱动与控制</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控制方式：主控ESP32+辅控ESP32；</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CPU：240MHz双核</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蓝牙/无线：2.4G/5G/2.4G 3D Antenna</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显示屏幕：2寸LED</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电源电压：100 V - 240 V , 50/60 HZ；</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电源输入：12 V / 5A DC；</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4.Agv小车模块参数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主控：树莓派 2GB</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网络：WiFi，操作系统ubuntu 20.04</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外形尺寸：350x250x150mm以内</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净重：不超过5kg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承重：最大5kg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材料：铝合金+ABS注塑 </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最大移动速度：不低于0.9m/s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激光雷达：扫描角度360°全向，识别范围0.15-6m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电池：充电时间不超过3小时 </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持续工作时间：持续导航不低于3小时；</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工作环境：0-40℃</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高清摄像头：不低于300万像素</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接口：USB 2.0 x2，DC 2.5*5.5 x1（充电线接口），HDMI x1，电源开关x1，扩展引脚x14</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5.网关与云平台通信模块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通信模块：ESP8266 / ESP32 / Ethernet W5500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通信方式： </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Wi-Fi（2.4G）/有线以太网 </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MQTT/TCP/HTTP/UDP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对接协议：MQTT 3.1.1 / MQTT 5.0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支持网关：工业物联网网关（采购中8对应的边缘网关）</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支持云平台：采购中9对应的云平台，并可扩展到常用的云平台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上传数据：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机械臂坐标、运行状态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动作次数、故障报警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摄像头识别结果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远程控制：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云端下发抓取 / 搬运 / 复位指令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远程启动 / 暂停 / 急停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工作模式切换（自动 / 手动）   </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通信距离：Wi-Fi 局域网全覆盖，外网通过云平台远程控制 </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6.整机功能概述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可搭配多种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末端执行器</w:t>
            </w:r>
            <w:r>
              <w:rPr>
                <w:rFonts w:hint="eastAsia" w:ascii="宋体" w:hAnsi="宋体" w:eastAsia="宋体" w:cs="宋体"/>
                <w:color w:val="000000" w:themeColor="text1"/>
                <w:sz w:val="21"/>
                <w:szCs w:val="21"/>
                <w:highlight w:val="none"/>
                <w14:textFill>
                  <w14:solidFill>
                    <w14:schemeClr w14:val="tx1"/>
                  </w14:solidFill>
                </w14:textFill>
              </w:rPr>
              <w:t xml:space="preserve">适配多种应用场景</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小车具备2D建图与导航、3D建图与导航、图形化编程、可视化软件、ROS仿真、手柄键盘控制等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多种</w:t>
            </w:r>
            <w:r>
              <w:rPr>
                <w:rFonts w:hint="eastAsia" w:ascii="宋体" w:hAnsi="宋体" w:eastAsia="宋体" w:cs="宋体"/>
                <w:color w:val="000000" w:themeColor="text1"/>
                <w:sz w:val="21"/>
                <w:szCs w:val="21"/>
                <w:highlight w:val="none"/>
                <w14:textFill>
                  <w14:solidFill>
                    <w14:schemeClr w14:val="tx1"/>
                  </w14:solidFill>
                </w14:textFill>
              </w:rPr>
              <w:t xml:space="preserve">功能</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摄像头视觉定位，自动识别物体颜色、形状、坐标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协作机器人高精度运动至抓取位置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真空吸盘吸气抓取、搬运、定点放置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Agv小车高精度运送物品至指定位置</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实时上传运行数据至本地网关与云端平台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支持通过云平台远程监控与远程调度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可用于教学实训、智能分拣、产线上下料、物联网演示平台；</w:t>
            </w:r>
            <w:r/>
          </w:p>
          <w:p>
            <w:pPr>
              <w:pStyle w:val="1000"/>
              <w:ind w:firstLine="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7.教学资源</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提供产品对应的硬件手册、软件资料、图文教程、编程资料等，具体包括但不限于以下内容：</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硬件手册：</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机械臂套装组装图纸（3D打印文件+装配步骤）</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各模块（吸盘、抓夹、摄像头、通信模块）接线图</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软件资料：</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Python/C++/C#等语言开发手册</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可视化软件安装包</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图文教程：</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机械臂组装实操视频</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环境搭建教程</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视觉识别开发教程</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云平台对接步骤教程</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编程资源</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视觉开发代码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云平台通信代码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机械臂python串口编程控制代码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代码注释：所有代码均含详细中文注释，适配新手学习，可直接复制修改使用</w:t>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874"/>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教学用小型视觉分拣delta机械臂</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提供整套视觉分拣场景配置，包括delta机械臂（可控制传送带）,传送带50cm（直流电机）、摄像头等，具体技术参数要求：</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机械臂主体参数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自由度：末端3个自由度（X/Y /Z轴移动）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结构形式：分拣机械臂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工作半径：100–120 mm(130mm)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重复定位精度±5mm（5mm)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最大负载不低于300g</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Z 轴行程不低于150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机身材质：3D 打印 / 铝合金</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整机重量：4–6 kg之间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传送带模块参数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传送带参数补充：</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不低于100mm</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传送长度500–1000mm</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运行速度0–40cm/s</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材质为PVC防滑传送带</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支架为铝合金材质，可适配小型轻薄物体输送</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光电传感器 ：检测距离5–30cm，响应时间＜10ms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直流减速电机：</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传送带驱动，减速比不低于1:20</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额定转速100–250rpm</w:t>
            </w:r>
            <w:r/>
          </w:p>
          <w:p>
            <w:pPr>
              <w:pStyle w:val="1000"/>
              <w:numPr>
                <w:ilvl w:val="0"/>
                <w:numId w:val="14"/>
              </w:numPr>
              <w:ind w:left="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额定扭矩0.1–0.3N·m</w:t>
            </w:r>
            <w:r/>
          </w:p>
          <w:p>
            <w:pPr>
              <w:pStyle w:val="1000"/>
              <w:numPr>
                <w:ilvl w:val="0"/>
                <w:numId w:val="14"/>
              </w:numPr>
              <w:ind w:left="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摄像头模块参数</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摄像头型号：OV7670 / OV2640 / USB 免驱摄像头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像素：30 万～100 万像素</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帧率：15–30 fps</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通讯方式：USB 直连 / I2C / SPI</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识别距离：10–50 cm</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安装方式：机械臂末端 / 支架固定</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识别方式：OpenCV 视觉识别/自带软件</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识别内容：形状识别、物体坐标定位</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4.驱动与控制</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主控：Arduino 单片机/ESP32单片机</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电机：42 步进电机 17HS4401</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驱动：A4988 / DRV8825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电源电压：100 V - 240 V , 50/60 HZ；</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电源输入：12 V / 10A DC；</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供电：DC 12V 3A–5A</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限位：机械 / 光电限位开关</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5.气动吸盘执行系统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执行末端：微型气泵</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吸盘材质：硅胶防滑吸盘</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吸盘直径：10–20 mm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吸附物体：平面光滑物体</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控制方式：继电器 / 电磁阀控制气路通断</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响应时间：＜0.2s</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吸附力：≥3N（可稳定提起300g 以内物体）</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6.网关与云平台通信模块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通信模块：ESP8266 / ESP32 / Ethernet W5500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通信方式： </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Wi-Fi（2.4G）/有线以太网 </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MQTT/TCP/HTTP/UDP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对接协议：MQTT 3.1.1 / MQTT 5.0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支持网关：工业物联网网关（采购中8对应的边缘网关）</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支持云平台：采购中9对应的云平台，并可扩展到常用的云平台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上传数据：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机械臂坐标、运行状态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动作次数、故障报警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摄像头识别结果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远程控制：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云端下发抓取 / 搬运 / 复位指令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远程启动 / 暂停 / 急停 </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工作模式切换（自动 / 手动）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通信距离：Wi-Fi 局域网全覆盖，外网通过云平台远程控制  </w:t>
            </w:r>
            <w:r/>
          </w:p>
          <w:p>
            <w:pPr>
              <w:pStyle w:val="1000"/>
              <w:ind w:firstLine="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7.整机功能概述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摄像头视觉定位，自动识别物体形状、坐标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Delta机械臂高精度运动至抓取位置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真空吸盘吸气抓取、搬运、定点放置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实时上传运行数据至本地网关与云端平台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支持通过云平台远程监控与远程调度 </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可用于教学实训、智能分拣、物联网演示平台</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8.教学资源</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提供产品对应的硬件手册、软件资料、图文教程、编程资料等，具体包括但不限于以下内容：</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硬件手册：</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机械臂组装图纸</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各模块（摄像头、吸盘、通信模块）接线图</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软件资料：</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单片机驱动程序</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上位机程序安装包</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OpenCV安装与配置教程</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图文教程：</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机械臂组装实操视频</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摄像头校准与识别调试教程</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吸盘吸附调试教程</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云平台对接步骤教程</w:t>
            </w:r>
            <w:r/>
          </w:p>
          <w:p>
            <w:pPr>
              <w:pStyle w:val="1000"/>
              <w:numPr>
                <w:ilvl w:val="0"/>
                <w:numId w:val="17"/>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编程资源</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单片机控制代码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视觉识别代码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云平台通信代码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传送带控制代码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整机联动完整代码</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代码注释：所有代码均含详细中文注释，适配新手学习，可直接复制修改使用</w:t>
            </w:r>
            <w:r/>
          </w:p>
          <w:p>
            <w:pPr>
              <w:pStyle w:val="1000"/>
              <w:numPr>
                <w:ilvl w:val="0"/>
                <w:numId w:val="16"/>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80"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w:t>
            </w:r>
            <w:r/>
          </w:p>
        </w:tc>
        <w:tc>
          <w:tcPr>
            <w:tcW w:w="194" w:type="pct"/>
            <w:vAlign w:val="center"/>
            <w:textDirection w:val="lrTb"/>
            <w:noWrap w:val="false"/>
          </w:tcPr>
          <w:p>
            <w:pPr>
              <w:jc w:val="cente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1299"/>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PLC实训箱</w:t>
            </w:r>
            <w:r/>
          </w:p>
        </w:tc>
        <w:tc>
          <w:tcPr>
            <w:tcW w:w="3803" w:type="pct"/>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选用国产主流品牌，程序数据容量不低于200k步用户程序，2MByte自定义变量，其中128kByte支持掉电保持约150k软元件，编号1000以后支持掉电保持。能够支持EtherCAT，高速输入8路200k，高速输出5轴200k，支持PWM脉宽调制。</w:t>
            </w:r>
            <w:r/>
          </w:p>
          <w:p>
            <w:pPr>
              <w:pStyle w:val="1193"/>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1.基本参数要求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实</w:t>
            </w:r>
            <w:r>
              <w:rPr>
                <w:rFonts w:hint="eastAsia" w:ascii="宋体" w:hAnsi="宋体" w:eastAsia="宋体" w:cs="宋体"/>
                <w:color w:val="000000" w:themeColor="text1"/>
                <w:sz w:val="21"/>
                <w:szCs w:val="21"/>
                <w:highlight w:val="none"/>
                <w14:textFill>
                  <w14:solidFill>
                    <w14:schemeClr w14:val="tx1"/>
                  </w14:solidFill>
                </w14:textFill>
              </w:rPr>
              <w:t xml:space="preserve">训箱及操作面板采用铝合金材质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供电电压220V交流</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外部配备2个10M/100M太网端口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内部集成24V开关电源、交换机等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面板集成按钮</w:t>
            </w:r>
            <w:r>
              <w:rPr>
                <w:rFonts w:hint="eastAsia" w:ascii="宋体" w:hAnsi="宋体" w:eastAsia="宋体" w:cs="宋体"/>
                <w:color w:val="000000" w:themeColor="text1"/>
                <w:sz w:val="21"/>
                <w:szCs w:val="21"/>
                <w:highlight w:val="none"/>
                <w:lang w:bidi="ar"/>
                <w14:textFill>
                  <w14:solidFill>
                    <w14:schemeClr w14:val="tx1"/>
                  </w14:solidFill>
                </w14:textFill>
              </w:rPr>
              <w:t xml:space="preserve">、扳钮、指示灯、传感器、蜂鸣器等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防护等级IP65</w:t>
            </w:r>
            <w:r/>
          </w:p>
          <w:p>
            <w:pPr>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2.触摸屏系统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显示屏：人机界面10.1寸显示屏，1024x600以上像素，可触摸操作</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CPU：单核A8架构，主频1GHz，内存256MBDDR3L，闪存256M</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通信接口：工业以太网口*1/USB 2.0 接口*1/mini USB 接口*1；</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内置物联网模块，物联网HMI人机界面支持与Uweb平台快速连接，支持与第三方平台通过MQTT 协议快速对接。同时支持移动、联通、电信三大</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运营商</w:t>
            </w:r>
            <w:r>
              <w:rPr>
                <w:rFonts w:hint="eastAsia" w:ascii="宋体" w:hAnsi="宋体" w:eastAsia="宋体" w:cs="宋体"/>
                <w:color w:val="000000" w:themeColor="text1"/>
                <w:sz w:val="21"/>
                <w:szCs w:val="21"/>
                <w:highlight w:val="none"/>
                <w:lang w:bidi="ar"/>
                <w14:textFill>
                  <w14:solidFill>
                    <w14:schemeClr w14:val="tx1"/>
                  </w14:solidFill>
                </w14:textFill>
              </w:rPr>
              <w:t xml:space="preserve">，智能适配最优网络。</w:t>
            </w:r>
            <w:r/>
          </w:p>
          <w:p>
            <w:pPr>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3.智能控制PLC系统</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PLC本体支持8入8出(含高速IO</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程序容量2Mbyte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运控能力不低于8轴，支持凸轮、齿轮、插补，5轴200K脉冲输出，4路200K高速输入，支持4路编码器轴</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支持EtherCAT主站总线控制，最大支持72从站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支持通过FB/FC功能实现工艺的封装和复用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提供RS485、以太网和EtherCAT接口</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支持实现多层次网络通信，最大支持扩展16个模块</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功能要求</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（1）集成</w:t>
            </w:r>
            <w:r>
              <w:rPr>
                <w:rFonts w:hint="eastAsia" w:ascii="宋体" w:hAnsi="宋体" w:eastAsia="宋体" w:cs="宋体"/>
                <w:color w:val="000000" w:themeColor="text1"/>
                <w:sz w:val="21"/>
                <w:szCs w:val="21"/>
                <w:highlight w:val="none"/>
                <w:lang w:bidi="ar"/>
                <w14:textFill>
                  <w14:solidFill>
                    <w14:schemeClr w14:val="tx1"/>
                  </w14:solidFill>
                </w14:textFill>
              </w:rPr>
              <w:t xml:space="preserve">AI助手</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为提高教学编程效率和代码质量、加速知识获取、降低技术门槛，PLC编程软件需</w:t>
            </w:r>
            <w:r>
              <w:rPr>
                <w:rFonts w:hint="eastAsia" w:ascii="宋体" w:hAnsi="宋体" w:eastAsia="宋体" w:cs="宋体"/>
                <w:color w:val="000000" w:themeColor="text1"/>
                <w:sz w:val="21"/>
                <w:szCs w:val="21"/>
                <w:highlight w:val="none"/>
                <w14:textFill>
                  <w14:solidFill>
                    <w14:schemeClr w14:val="tx1"/>
                  </w14:solidFill>
                </w14:textFill>
              </w:rPr>
              <w:t xml:space="preserve">集成</w:t>
            </w:r>
            <w:r>
              <w:rPr>
                <w:rFonts w:hint="eastAsia" w:ascii="宋体" w:hAnsi="宋体" w:eastAsia="宋体" w:cs="宋体"/>
                <w:color w:val="000000" w:themeColor="text1"/>
                <w:sz w:val="21"/>
                <w:szCs w:val="21"/>
                <w:highlight w:val="none"/>
                <w:lang w:bidi="ar"/>
                <w14:textFill>
                  <w14:solidFill>
                    <w14:schemeClr w14:val="tx1"/>
                  </w14:solidFill>
                </w14:textFill>
              </w:rPr>
              <w:t xml:space="preserve">有AI助手功能，具体功能要求如下：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支持解答产品和</w:t>
            </w:r>
            <w:r>
              <w:rPr>
                <w:rFonts w:hint="eastAsia" w:ascii="宋体" w:hAnsi="宋体" w:eastAsia="宋体" w:cs="宋体"/>
                <w:color w:val="000000" w:themeColor="text1"/>
                <w:sz w:val="21"/>
                <w:szCs w:val="21"/>
                <w:highlight w:val="none"/>
                <w14:textFill>
                  <w14:solidFill>
                    <w14:schemeClr w14:val="tx1"/>
                  </w14:solidFill>
                </w14:textFill>
              </w:rPr>
              <w:t xml:space="preserve">解决方案的相关问题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提供PLC编程相关的支持,包括代码生成、代码注释、代码解释、代码异常检测以及指令检索等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提供技术咨询,包括 IEC61131-3标准、Structured Text（ST）编程</w:t>
            </w:r>
            <w:r>
              <w:rPr>
                <w:rFonts w:hint="eastAsia" w:ascii="宋体" w:hAnsi="宋体" w:eastAsia="宋体" w:cs="宋体"/>
                <w:color w:val="000000" w:themeColor="text1"/>
                <w:sz w:val="21"/>
                <w:szCs w:val="21"/>
                <w:highlight w:val="none"/>
                <w:lang w:bidi="ar"/>
                <w14:textFill>
                  <w14:solidFill>
                    <w14:schemeClr w14:val="tx1"/>
                  </w14:solidFill>
                </w14:textFill>
              </w:rPr>
              <w:t xml:space="preserve">、功能接口设计等方面的问题</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p>
          <w:p>
            <w:pP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（2）VNC功能</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需具备VNC功能，能够远程投影至移动设备实时查看。</w:t>
            </w:r>
            <w:r/>
          </w:p>
          <w:p>
            <w:pP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（3）编程功能</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需具有不小于40种控件组态化编程、提供变量管理、支持脚本编辑功能、支持加密狗功能、支持用户管理功能使教学内容丰富和简便。</w:t>
            </w:r>
            <w:r/>
          </w:p>
          <w:p>
            <w:pPr>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(4)通信方式</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支持串口、以太网等单机和多机组网通讯方式，支持主流PLC、驱动通信协议，支持但不限于Modbus TCP等标准协议。</w:t>
            </w:r>
            <w:r/>
          </w:p>
          <w:p>
            <w:pPr>
              <w:pStyle w:val="1000"/>
              <w:ind w:firstLine="0"/>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5.教学资源</w:t>
            </w:r>
            <w:r/>
          </w:p>
          <w:p>
            <w:pPr>
              <w:ind w:firstLine="420"/>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提供数字孪生仿真教学软件，可完成以下数字孪生仿真系统案例，配备不少于10个工业项目式仿真教学案例，满足于电气自动化、智能控制、机电一体化等相关专业开展培训教学，如智能交通与市政类2个，工业产线与物流类4个，工业控制与机电一体化类4个等。案例包括但不限于以下内容：</w:t>
            </w:r>
            <w:r/>
          </w:p>
          <w:p>
            <w:pPr>
              <w:pStyle w:val="1000"/>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喷泉智能控制仿真案例</w:t>
            </w:r>
            <w:r/>
          </w:p>
          <w:p>
            <w:pPr>
              <w:pStyle w:val="1000"/>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交通灯智能控制仿真案例</w:t>
            </w:r>
            <w:r/>
          </w:p>
          <w:p>
            <w:pPr>
              <w:pStyle w:val="1000"/>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工厂供水泵三用两备智能控制仿真案例</w:t>
            </w:r>
            <w:r/>
          </w:p>
          <w:p>
            <w:pPr>
              <w:pStyle w:val="1000"/>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圆盘高精度定位仿真案例</w:t>
            </w:r>
            <w:r/>
          </w:p>
          <w:p>
            <w:pPr>
              <w:pStyle w:val="1000"/>
              <w:numPr>
                <w:ilvl w:val="0"/>
                <w:numId w:val="19"/>
              </w:numPr>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bidi="ar"/>
                <w14:textFill>
                  <w14:solidFill>
                    <w14:schemeClr w14:val="tx1"/>
                  </w14:solidFill>
                </w14:textFill>
              </w:rPr>
              <w:t xml:space="preserve">转运伺服机械手智能控制仿真案例</w:t>
            </w:r>
            <w:r/>
          </w:p>
          <w:p>
            <w:pPr>
              <w:pStyle w:val="1000"/>
              <w:ind w:hanging="425"/>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r>
            <w:r/>
          </w:p>
        </w:tc>
        <w:tc>
          <w:tcPr>
            <w:tcW w:w="28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19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6234"/>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传感器</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支持空气</w:t>
            </w:r>
            <w:r>
              <w:rPr>
                <w:rFonts w:hint="eastAsia" w:ascii="宋体" w:hAnsi="宋体" w:eastAsia="宋体" w:cs="宋体"/>
                <w:color w:val="000000" w:themeColor="text1"/>
                <w:sz w:val="21"/>
                <w:szCs w:val="21"/>
                <w:highlight w:val="none"/>
                <w:lang w:bidi="ar"/>
                <w14:textFill>
                  <w14:solidFill>
                    <w14:schemeClr w14:val="tx1"/>
                  </w14:solidFill>
                </w14:textFill>
              </w:rPr>
              <w:t xml:space="preserve">温度</w:t>
            </w:r>
            <w:r>
              <w:rPr>
                <w:rFonts w:hint="eastAsia" w:ascii="宋体" w:hAnsi="宋体" w:eastAsia="宋体" w:cs="宋体"/>
                <w:color w:val="000000" w:themeColor="text1"/>
                <w:sz w:val="21"/>
                <w:szCs w:val="21"/>
                <w:highlight w:val="none"/>
                <w14:textFill>
                  <w14:solidFill>
                    <w14:schemeClr w14:val="tx1"/>
                  </w14:solidFill>
                </w14:textFill>
              </w:rPr>
              <w:t xml:space="preserve">、空气湿度、光照度三种参数的采集,具体技术参数要求如下：</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1.基本参数要求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通信接口：RS485</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工作电压：12～24V DC</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工作温度：－30℃～70℃</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响应时间</w:t>
            </w:r>
            <w:r>
              <w:rPr>
                <w:rFonts w:hint="eastAsia" w:ascii="宋体" w:hAnsi="宋体" w:eastAsia="宋体" w:cs="宋体"/>
                <w:color w:val="000000" w:themeColor="text1"/>
                <w:sz w:val="21"/>
                <w:szCs w:val="21"/>
                <w:highlight w:val="none"/>
                <w14:textFill>
                  <w14:solidFill>
                    <w14:schemeClr w14:val="tx1"/>
                  </w14:solidFill>
                </w14:textFill>
              </w:rPr>
              <w:t xml:space="preserve">：＜1 秒</w:t>
            </w:r>
            <w:r/>
          </w:p>
          <w:p>
            <w:pPr>
              <w:numPr>
                <w:ilvl w:val="0"/>
                <w:numId w:val="12"/>
              </w:numPr>
              <w:ind w:left="0"/>
              <w:widowControl/>
              <w:tabs>
                <w:tab w:val="clear"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2.网关与云平台通信模块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通信模块：ESP8266 / ESP32 / Ethernet W5500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通信方式： </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Wi-Fi（2.4G）/有线以太网 </w:t>
            </w:r>
            <w:r/>
          </w:p>
          <w:p>
            <w:pPr>
              <w:pStyle w:val="1000"/>
              <w:numPr>
                <w:ilvl w:val="0"/>
                <w:numId w:val="14"/>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MQTT/TCP/HTTP/UDP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对接协议：MQTT 3.1.1 / MQTT 5.0 </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支持网关：工业物联网网关（采购中8对应的边缘网关）</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支持云平台：采购中9对应的云平台，并可扩展到常用的云平台</w:t>
            </w:r>
            <w:r/>
          </w:p>
          <w:p>
            <w:pPr>
              <w:pStyle w:val="1000"/>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上传数据： </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温度数据</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湿度数据</w:t>
            </w:r>
            <w:r/>
          </w:p>
          <w:p>
            <w:pPr>
              <w:pStyle w:val="1000"/>
              <w:numPr>
                <w:ilvl w:val="0"/>
                <w:numId w:val="15"/>
              </w:numPr>
              <w:ind w:lef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光照强度数据  </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3.功能要求</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温度采集</w:t>
            </w:r>
            <w:r>
              <w:rPr>
                <w:rFonts w:hint="eastAsia" w:ascii="宋体" w:hAnsi="宋体" w:eastAsia="宋体" w:cs="宋体"/>
                <w:color w:val="000000" w:themeColor="text1"/>
                <w:sz w:val="21"/>
                <w:szCs w:val="21"/>
                <w:highlight w:val="none"/>
                <w14:textFill>
                  <w14:solidFill>
                    <w14:schemeClr w14:val="tx1"/>
                  </w14:solidFill>
                </w14:textFill>
              </w:rPr>
              <w:t xml:space="preserve">：测量量程－30℃～70℃，测量精度±0.2℃</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湿度采集：测量量程0～100%RH，测量精度±3%RH</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光照强度采集：测量量程0～2/20/200kLux，测量精度±3%</w:t>
            </w:r>
            <w:r/>
          </w:p>
          <w:p>
            <w:pP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4.教学资源</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配套数据采集示教视频，满足教学实训应用和学习开发的需求。</w:t>
            </w:r>
            <w:r/>
          </w:p>
        </w:tc>
        <w:tc>
          <w:tcPr>
            <w:tcW w:w="28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19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w:t>
            </w:r>
            <w:r/>
          </w:p>
        </w:tc>
      </w:tr>
      <w:tr>
        <w:trPr>
          <w:trHeight w:val="1084"/>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边缘网关</w:t>
            </w:r>
            <w:r/>
          </w:p>
        </w:tc>
        <w:tc>
          <w:tcPr>
            <w:tcW w:w="3803" w:type="pct"/>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用于进行边缘数据采集和边缘计算，连接系统平台与PLC，选用Python底层代码的软网关。</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1.基本参数要求</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核心配置：CPU 2 核 A7@1.2G，内存≥512M，存储eMMC≥4G；</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4G 模块支持频段LTE-FDD、LTE-TDD</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无线标准：支持IEEE 802.11b/g/n</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无线频率：支持2.4-2.4835GHz</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WiFi 模式：AP+Station</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理论速率：不低于400Mbps</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最佳通信距离：10m</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AP模式链接数量：20</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网口配置：WAN*1，支持10M/100M/1000M 自适应，LAN*1 ，支持10M/100M 自适应</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通信接口：RS232 接口*1，RS485 接口*2</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2.教学资源</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配套边缘网关应用示教视频，满足教学实训应用和学习开发的需求。</w:t>
            </w:r>
            <w:r/>
          </w:p>
        </w:tc>
        <w:tc>
          <w:tcPr>
            <w:tcW w:w="28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19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r>
      <w:tr>
        <w:trPr>
          <w:trHeight w:val="2409"/>
        </w:trPr>
        <w:tc>
          <w:tcPr>
            <w:tcW w:w="26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458"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产业级工业互联网平台一体机</w:t>
            </w:r>
            <w:r/>
          </w:p>
        </w:tc>
        <w:tc>
          <w:tcPr>
            <w:tcW w:w="3803" w:type="pct"/>
            <w:vAlign w:val="center"/>
            <w:textDirection w:val="lrTb"/>
            <w:noWrap w:val="false"/>
          </w:tcPr>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选择“工业数据+工业机理” 驱动的智能制造数字底座系统，包括系统平台（工业混合建模与联合计算平台）、数据中台（工业数据集成与资源管理系统）和业务中台（工业业务低代码开发平台），可以支撑离散制造与流程行业的智能设计/制造/运维全流程一体化，能够满足教学实训任务要求。</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bookmarkStart w:id="4" w:name="OLE_LINK2"/>
            <w:r>
              <w:rPr>
                <w:rFonts w:hint="eastAsia" w:ascii="宋体" w:hAnsi="宋体" w:eastAsia="宋体" w:cs="宋体"/>
                <w:color w:val="000000" w:themeColor="text1"/>
                <w:sz w:val="21"/>
                <w:szCs w:val="21"/>
                <w:highlight w:val="none"/>
                <w14:textFill>
                  <w14:solidFill>
                    <w14:schemeClr w14:val="tx1"/>
                  </w14:solidFill>
                </w14:textFill>
              </w:rPr>
              <w:t xml:space="preserve">平台提供数据接入、</w:t>
            </w:r>
            <w:bookmarkEnd w:id="4"/>
            <w:r>
              <w:rPr>
                <w:rFonts w:hint="eastAsia" w:ascii="宋体" w:hAnsi="宋体" w:eastAsia="宋体" w:cs="宋体"/>
                <w:color w:val="000000" w:themeColor="text1"/>
                <w:sz w:val="21"/>
                <w:szCs w:val="21"/>
                <w:highlight w:val="none"/>
                <w14:textFill>
                  <w14:solidFill>
                    <w14:schemeClr w14:val="tx1"/>
                  </w14:solidFill>
                </w14:textFill>
              </w:rPr>
              <w:t xml:space="preserve">数据管理、算法开发、应用开发等工业互联网平台产业项目实施与教学实训能力，平台无点位数限制，一体机资源足够支撑45人同时在线进行工业互联网实训。具体技术参数要求：</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1.数据接入实训能力</w:t>
            </w:r>
            <w:r/>
          </w:p>
          <w:p>
            <w:pPr>
              <w:pStyle w:val="1193"/>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数据接入开发与管理工具，以工业协议为基础，支持以向导化配置的方式为用户提供快捷的设备连接与数据采集接入服务。边缘接入以网关硬件为基础，通过软件服务，连接各类物联网端设备，包括但不限于传感器、可编程逻辑控制器（PLC）、分散控制系统（DCS）、机械人/臂、自动导引运输车（AGV）、仪表、摄像头等。以及通过OPC-UA、OPC-DA、Modbus等主流协议实现广泛的设备接入与管理。工业数据接入实训工具需支持95%以上工业设备，并具备以下功能要求：</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（1）部分驱动的采集协议经过一系列优化，达到最高采集性能。</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（2）纯软件实现方式，不依赖硬件，可二次开发。</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（3）系统以私有化部署形式交付提供。</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投标文件须提供加盖公章的承诺书扫描件及系统架构图</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pStyle w:val="1193"/>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（4）系统支持OPC UA（DA）、Modbus TCP/RTU、MQTT、HTTP/HTTPS协议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投标文件须提供彩页扫描件或功能截图并加盖投标供应商公章</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pStyle w:val="1193"/>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系统支持不少于30种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常用</w:t>
            </w:r>
            <w:r>
              <w:rPr>
                <w:rFonts w:hint="eastAsia" w:ascii="宋体" w:hAnsi="宋体" w:eastAsia="宋体" w:cs="宋体"/>
                <w:color w:val="000000" w:themeColor="text1"/>
                <w:sz w:val="21"/>
                <w:szCs w:val="21"/>
                <w:highlight w:val="none"/>
                <w14:textFill>
                  <w14:solidFill>
                    <w14:schemeClr w14:val="tx1"/>
                  </w14:solidFill>
                </w14:textFill>
              </w:rPr>
              <w:t xml:space="preserve">工业协议。</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投标文件须提供功能截图并加盖投标供应商公章）</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（6）数据采集具备点位保护、数据分发模板、用户登录、采集设备断线自动重连、数据上报断线自动重连、数据上报断线离线缓存、数据转发、点位管理等功能。</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（7）系统支持组态化配置。</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2.数据管理实训能力</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提供数据管理实训能力，能够将接入的硬件设备实时采集的数据进行管理和二次开发，支持离线同步、实时同步、接口采集、文件采集和对象存储等能力，具体应满足以下需求：</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1）离线同步能够通过简单的配置，基于自定义的调度周期完成数据迁移，支持多种异构数据源的全量与增量同步。离线同步支持的数据源需包括关系型数据库不少于5类、新一代分布式数据存储不少于3类、消息队列不少于3类，采用读写插件机制，支持新数据源的快速扩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（2）实时同步能够通过简单的配置，达到数据秒级从源端到目标端的同步，为处理或分析流数据的程序构建数据流管道，实时同步支持的数据源支持不少于5类。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（3）接口采集支持Http/Https、WebService协议与其他开放平台组件，通过配置的方式快速完成数据采集。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（4）文件采集支持将xlsx、xls、csv内的数据进行采集。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（5）对象存储提供存储管理和服务工具，存储管理用于管理对象的存储，服务工具支持客户端工具与Java SDK，用于外部管理或使用对象存储服务。</w:t>
            </w:r>
            <w:r/>
          </w:p>
          <w:p>
            <w:pPr>
              <w:pStyle w:val="1193"/>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3.算法开发实训能力</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提供混合建模与联合计算工具，支持机理模型、业务模型、数据模型、AI 模型的联合计算；采用全混合流计算核心技术，实现大规模云边端混合集群的高吞吐、低延迟有状态并行计算；支持多语言 SDK（Python、Java 等）和跨平台虚拟化，实现异构组件接入与公有云、私有云、工控机、边缘端的协同部署。</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（1）支持实时数据库集成</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集成主流工业实时数据库，提供毫秒级的高性能海量时序数据接入、存储与管理能力，实现对设备运行状态、工艺参数及环境数据的统一实时汇聚与高效处理，为上层应用提供可靠、低延时的数据支撑。</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（2）支持容器编排管理</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以直接部署应用而不需要了解如何在服务器上部署应用，平台会分配最合理的节点去运行应用，无需人工干预，节点故障时可以自动重排应用运行节点，保障了应用部署后的可靠性。支持通过可视化工具箱进行拖拉拽式前端页面的开发和部署运行，前端界面集成各类应用计算结果。</w:t>
            </w:r>
            <w:r/>
          </w:p>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（3）支持分布式对象存储</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可以合理使用各个节点的存储资源，自动将平台的应用数据文件分配至各个节点。提供负载均衡、数据保护、加密防篡改、SDK支持等功能。平台支持任务在不同用户间分享，分享时可以选择是否包含数据。实现基于平台的应用市场功能。</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（4）提供完整的工业APP应用开发、测试、部署与运行环境：</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①支持容器化部署及微服务架构，内置工业协议库、可视化编排工具和运行时引擎，高性能的流计算通信框架，确保复杂工业逻辑应用的敏捷开发、稳定运行与高效运维。</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②支持不少于20种工业常用仿真软件集成接口、支持百级别微服务组成复杂工业软件的编排治理能力、支持压毫秒级微服务通信交互响应。</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③支持与已有实时优化、流程模拟、计划软件和调度软件的集成。</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④支持机理模型、数据驱动模型（如机器学习、深度学习）的混合建模，提供统一模型描述语言及跨模型协同计算引擎，实现多模型联合仿真与实时求解。</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⑤具备分布式计算能力，支持边缘节点与云端协同调度，满足产线级毫秒级控制响应与分钟级优化计算需求。</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（5）核心算法模型能力</w:t>
            </w:r>
            <w:r/>
          </w:p>
          <w:p>
            <w:pPr>
              <w:ind w:firstLine="42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提供通用算法工具箱，集成常用算法、分析工具，供不同实训场景数据分析应用灵活搭建，具体能力需包括：</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①模型组件能力</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能提供完善的机</w:t>
            </w:r>
            <w:r>
              <w:rPr>
                <w:rFonts w:hint="eastAsia" w:ascii="宋体" w:hAnsi="宋体" w:eastAsia="宋体" w:cs="宋体"/>
                <w:color w:val="000000" w:themeColor="text1"/>
                <w:sz w:val="21"/>
                <w:szCs w:val="21"/>
                <w:highlight w:val="none"/>
                <w14:textFill>
                  <w14:solidFill>
                    <w14:schemeClr w14:val="tx1"/>
                  </w14:solidFill>
                </w14:textFill>
              </w:rPr>
              <w:t xml:space="preserve">器学习、深度学习功能模块，包括数据接入、数据处理、特征工程、算法建模、模型评估、模型发布等；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提供不少于100个主流的特征工程、机器学习和深度学习、统计分析、图像处理等的算法组件，提供算法组件，可自主进行图形标定。</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提供不少于30类智能优化计算算法，满足单目标与多目标优化应用。</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支持对算法的</w:t>
            </w:r>
            <w:r>
              <w:rPr>
                <w:rFonts w:hint="eastAsia" w:ascii="宋体" w:hAnsi="宋体" w:eastAsia="宋体" w:cs="宋体"/>
                <w:color w:val="000000" w:themeColor="text1"/>
                <w:sz w:val="21"/>
                <w:szCs w:val="21"/>
                <w:highlight w:val="none"/>
                <w14:textFill>
                  <w14:solidFill>
                    <w14:schemeClr w14:val="tx1"/>
                  </w14:solidFill>
                </w14:textFill>
              </w:rPr>
              <w:t xml:space="preserve">参数进行灵活配置和在线调试，并提供实时效果预览功能，以便工程师快速优化算法性能。</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②算法开发能力</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支持自定义组</w:t>
            </w:r>
            <w:r>
              <w:rPr>
                <w:rFonts w:hint="eastAsia" w:ascii="宋体" w:hAnsi="宋体" w:eastAsia="宋体" w:cs="宋体"/>
                <w:color w:val="000000" w:themeColor="text1"/>
                <w:sz w:val="21"/>
                <w:szCs w:val="21"/>
                <w:highlight w:val="none"/>
                <w14:textFill>
                  <w14:solidFill>
                    <w14:schemeClr w14:val="tx1"/>
                  </w14:solidFill>
                </w14:textFill>
              </w:rPr>
              <w:t xml:space="preserve">件的开发，模型、算法的沉淀和集成，且支持自定义组件的局域网内分享。</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支持至少4种Web访问方式的VSCode在线组件开发SDK（如Python、Java、Nodejs、C等），实现组件的在线开发与调试，同时平台应至少兼容不少于3类多种机器学习和深度学习</w:t>
            </w:r>
            <w:r>
              <w:rPr>
                <w:rFonts w:hint="eastAsia" w:ascii="宋体" w:hAnsi="宋体" w:eastAsia="宋体" w:cs="宋体"/>
                <w:color w:val="000000" w:themeColor="text1"/>
                <w:sz w:val="21"/>
                <w:szCs w:val="21"/>
                <w:highlight w:val="none"/>
                <w14:textFill>
                  <w14:solidFill>
                    <w14:schemeClr w14:val="tx1"/>
                  </w14:solidFill>
                </w14:textFill>
              </w:rPr>
              <w:t xml:space="preserve">框架，包括Sklearn、Tensorflow和Pytorch等常见框架。</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③算法拓展能力</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智能算法工</w:t>
            </w:r>
            <w:r>
              <w:rPr>
                <w:rFonts w:hint="eastAsia" w:ascii="宋体" w:hAnsi="宋体" w:eastAsia="宋体" w:cs="宋体"/>
                <w:color w:val="000000" w:themeColor="text1"/>
                <w:sz w:val="21"/>
                <w:szCs w:val="21"/>
                <w:highlight w:val="none"/>
                <w14:textFill>
                  <w14:solidFill>
                    <w14:schemeClr w14:val="tx1"/>
                  </w14:solidFill>
                </w14:textFill>
              </w:rPr>
              <w:t xml:space="preserve">具内置自研算法，并提供标准开放接口扩展第三方算法。</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支持机理模型编排设计、AI时序模型编排设计，支持FMI标准扩展。</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算法库包含基本IO，数学运算，逻辑运算、统计分析等基础算法，支持第三方实现定制算法，解决特定业务场景问题。</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智能算法工具提供图形化的组态、设计环境，所有算法可自由移动摆放，按需建立连接。</w:t>
            </w:r>
            <w:r/>
          </w:p>
          <w:p>
            <w:pPr>
              <w:pStyle w:val="1193"/>
              <w:numPr>
                <w:ilvl w:val="0"/>
                <w:numId w:val="20"/>
              </w:numPr>
              <w:tabs>
                <w:tab w:val="clear" w:pos="312" w:leader="none"/>
              </w:tabs>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应用开发实训能力</w:t>
            </w:r>
            <w:r/>
          </w:p>
          <w:p>
            <w:pPr>
              <w:pStyle w:val="1193"/>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平台基于技术引擎、资源、模型和业务组件，提供工业APP全生命周期服务能力，赋能实训人员敏捷搭建工业APP。将工业机理、技术、知识、算法与最佳工程实践，通过低代码配置完成封装，解决工业场景单点问题。支持以集群化应用工业APP集的方式，集成各APP能力联合计算，解决工业复杂场景问题，通过重用、重构资源库中包含丰富工业知识的资源，快速完成工业APP开发，实现工业知识的流通与共享，打通工业知识价值链的最后一公里。</w:t>
            </w:r>
            <w:r/>
          </w:p>
          <w:p>
            <w:pPr>
              <w:pStyle w:val="1193"/>
              <w:numPr>
                <w:ilvl w:val="0"/>
                <w:numId w:val="21"/>
              </w:numP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平台能力要求</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①持续集成：借助版本管理工具，实现开发APP代码版本管理；</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②云原生：构建和交付可移植、可伸缩且具有弹性的应用程序，支持在线离线多环境部署；</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③多端体验：支持PC、PAD、移动端等多种UI呈现方式，为用户提供卓越的体验；</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④超级自动化：整合逻辑编排、流程编排、机器学习，将人员、数据和系统整合在一起的应用程序提供端到端的流程自动化。</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⑤采用云原生架构、分布式设计保障多租户环境下稳定性与可靠性；</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⑥提供系统级的应用隔离，确保运行时数据在安全可信传输；</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⑦支持单机1000+个用户同时登录系统，平均TPS在1000req/s，简单业务平均响应时间低于1秒，复杂业务平均响应时间低于3秒；</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⑧采用多租户隔离物理存储，认证体系采用Auth2.0架构，并且应用访问协议采用https认证加密方式等，敏感数据采用多重加密手段与策略进行传输、计算、存储；</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⑨存储引擎支持多种关系型数据库，数据中心支持4种关系型数据库接入、2种时序数据库接入、2种消息中间件接入、2种主流工控协议接入；</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br/>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⑩基于springcloud体系，支持集成横向扩展，运行环境java8+，redis5+，mysql5.7+等，部署场景支持docker，k8s部署基于linuxcentos7+系统。</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平台功能要求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投标文件需提供功能截图证明材料）</w:t>
            </w:r>
            <w:r/>
          </w:p>
          <w:p>
            <w:pPr>
              <w:pStyle w:val="1193"/>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①资源与用户管理模块</w:t>
            </w:r>
            <w:r/>
          </w:p>
          <w:p>
            <w:pPr>
              <w:pStyle w:val="1193"/>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提供统一的配置与管理功能，包括用户信息和状态管理、企业空间管理、应用管理、登录/操作日志等功能。</w:t>
            </w:r>
            <w:r/>
          </w:p>
          <w:p>
            <w:pPr>
              <w:pStyle w:val="1193"/>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②模型可视化设计模块</w:t>
            </w:r>
            <w:r/>
          </w:p>
          <w:p>
            <w:pPr>
              <w:pStyle w:val="1193"/>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支持基础模型、流程模型、消息模型可视化设计，以及模型关系表达等，高级功能支持模型规则校验、以及事件处理机制。</w:t>
            </w:r>
            <w:r/>
          </w:p>
          <w:p>
            <w:pPr>
              <w:pStyle w:val="1193"/>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③页面编辑模块</w:t>
            </w:r>
            <w:r/>
          </w:p>
          <w:p>
            <w:pPr>
              <w:pStyle w:val="1193"/>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提供50+基础页面元件和模板，包括数据容器、结构布局容器、检索组件、输入元素、按钮、图表组件、图片文件、展示类元件、自定义元件等，支撑快速搭建所见即所得的UI界面。</w:t>
            </w:r>
            <w:r/>
          </w:p>
          <w:p>
            <w:pPr>
              <w:pStyle w:val="1193"/>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④逻辑模块</w:t>
            </w:r>
            <w:r/>
          </w:p>
          <w:p>
            <w:pPr>
              <w:pStyle w:val="1193"/>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提供50种基础逻辑元件，包括通用元件、对象与集合元件、客户端元件、变量元件、集成类元件等，支持应用逻辑的可视化编排和表达，支持运行时调试。</w:t>
            </w:r>
            <w:r/>
          </w:p>
          <w:p>
            <w:pPr>
              <w:pStyle w:val="1193"/>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⑤工作流设计与任务定义模块</w:t>
            </w:r>
            <w:r/>
          </w:p>
          <w:p>
            <w:pPr>
              <w:pStyle w:val="1193"/>
              <w:ind w:firstLine="42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提供并行、决策、跳转、结束、用户任务、调用逻辑、增删改查记录、调用工作流等元件，支撑流程任务可视化设计和编排。</w:t>
            </w:r>
            <w:r/>
          </w:p>
          <w:p>
            <w:pPr>
              <w:pStyle w:val="1193"/>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⑥对象管理模块</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提供对象基础信息管</w:t>
            </w:r>
            <w:r>
              <w:rPr>
                <w:rFonts w:hint="eastAsia" w:ascii="宋体" w:hAnsi="宋体" w:eastAsia="宋体" w:cs="宋体"/>
                <w:color w:val="000000" w:themeColor="text1"/>
                <w:sz w:val="21"/>
                <w:szCs w:val="21"/>
                <w:highlight w:val="none"/>
                <w14:textFill>
                  <w14:solidFill>
                    <w14:schemeClr w14:val="tx1"/>
                  </w14:solidFill>
                </w14:textFill>
              </w:rPr>
              <w:t xml:space="preserve">理，实现对象基本信息管理，包括增、删、改、查以及围绕对象资产绑定与新建、对象视图设置、对象流程设置等功能；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提供对象视图管理，对象视图列表需包括对象可能程序集中方式的管理，包括列表视图、详情视图、编辑视图、新增视图等；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提供对象模型设计器，可通过可视化方式实现支撑应用APP建模，实现模型之间关系表达，以及模型资产分类管理；</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提供对象表单设计器，可支持页面的搭建，包括围绕页面层面、以及数据层面丰富的组件，可以灵活快速搭建各种页面功能；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提供对象流程设计器，支持完成审批相关业务流程设计，包括流程的设计，以及流程绑定表单，流程绑定操作行为等；</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提供对象逻辑设</w:t>
            </w:r>
            <w:r>
              <w:rPr>
                <w:rFonts w:hint="eastAsia" w:ascii="宋体" w:hAnsi="宋体" w:eastAsia="宋体" w:cs="宋体"/>
                <w:color w:val="000000" w:themeColor="text1"/>
                <w:sz w:val="21"/>
                <w:szCs w:val="21"/>
                <w:highlight w:val="none"/>
                <w14:textFill>
                  <w14:solidFill>
                    <w14:schemeClr w14:val="tx1"/>
                  </w14:solidFill>
                </w14:textFill>
              </w:rPr>
              <w:t xml:space="preserve">计器，通过可视化方式实现业务逻辑的编排处理，主要支撑脚本、判定、循环、条件分支、规则表达式等等。</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⑦应用管理模块</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支持应</w:t>
            </w:r>
            <w:r>
              <w:rPr>
                <w:rFonts w:hint="eastAsia" w:ascii="宋体" w:hAnsi="宋体" w:eastAsia="宋体" w:cs="宋体"/>
                <w:color w:val="000000" w:themeColor="text1"/>
                <w:sz w:val="21"/>
                <w:szCs w:val="21"/>
                <w:highlight w:val="none"/>
                <w14:textFill>
                  <w14:solidFill>
                    <w14:schemeClr w14:val="tx1"/>
                  </w14:solidFill>
                </w14:textFill>
              </w:rPr>
              <w:t xml:space="preserve">用复制，实现应用整体复制功能，快速构建新的应用APP</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支持应用发布，实现应用发布、预览相关功能</w:t>
            </w:r>
            <w:r/>
          </w:p>
          <w:p>
            <w:pPr>
              <w:numPr>
                <w:ilvl w:val="0"/>
                <w:numId w:val="12"/>
              </w:numPr>
              <w:ind w:left="0"/>
              <w:widowControl/>
              <w:tabs>
                <w:tab w:val="clear"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支持应</w:t>
            </w:r>
            <w:r>
              <w:rPr>
                <w:rFonts w:hint="eastAsia" w:ascii="宋体" w:hAnsi="宋体" w:eastAsia="宋体" w:cs="宋体"/>
                <w:color w:val="000000" w:themeColor="text1"/>
                <w:sz w:val="21"/>
                <w:szCs w:val="21"/>
                <w:highlight w:val="none"/>
                <w14:textFill>
                  <w14:solidFill>
                    <w14:schemeClr w14:val="tx1"/>
                  </w14:solidFill>
                </w14:textFill>
              </w:rPr>
              <w:t xml:space="preserve">用基本信息配置，包括LOG，绑定菜单等</w:t>
            </w:r>
            <w:r/>
          </w:p>
          <w:p>
            <w:pPr>
              <w:pStyle w:val="1193"/>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5.实训课程支撑能力</w:t>
            </w:r>
            <w:r/>
          </w:p>
          <w:p>
            <w:pPr>
              <w:pStyle w:val="1193"/>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提供指导手册及配套相关课程教学材料。</w:t>
            </w:r>
            <w:r/>
          </w:p>
          <w:p>
            <w:pPr>
              <w:pStyle w:val="1193"/>
              <w:ind w:firstLine="210"/>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r>
            <w:r/>
          </w:p>
        </w:tc>
        <w:tc>
          <w:tcPr>
            <w:tcW w:w="280"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9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bookmarkEnd w:id="3"/>
            <w:r/>
          </w:p>
        </w:tc>
      </w:tr>
    </w:tbl>
    <w:p>
      <w:pPr>
        <w:jc w:val="lef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2"/>
        <w:jc w:val="left"/>
        <w:spacing w:line="360" w:lineRule="auto"/>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说明：</w:t>
      </w:r>
      <w:r/>
    </w:p>
    <w:p>
      <w:pPr>
        <w:numPr>
          <w:ilvl w:val="0"/>
          <w:numId w:val="22"/>
        </w:numPr>
        <w:ind w:firstLine="422"/>
        <w:jc w:val="left"/>
        <w:spacing w:line="360" w:lineRule="auto"/>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标</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w:t>
      </w:r>
      <w:r>
        <w:rPr>
          <w:rFonts w:hint="eastAsia" w:ascii="宋体" w:hAnsi="宋体" w:cs="Times New Roman"/>
          <w:bCs/>
          <w:color w:val="000000" w:themeColor="text1"/>
          <w:szCs w:val="21"/>
          <w:highlight w:val="none"/>
          <w14:textFill>
            <w14:solidFill>
              <w14:schemeClr w14:val="tx1"/>
            </w14:solidFill>
          </w14:textFill>
        </w:rPr>
        <w:t xml:space="preserve">★</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项参数</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的为关键性参数，不允许负偏离，否则按无效投标处理。</w:t>
      </w:r>
      <w:r/>
    </w:p>
    <w:p>
      <w:pPr>
        <w:numPr>
          <w:ilvl w:val="0"/>
          <w:numId w:val="22"/>
        </w:numPr>
        <w:ind w:firstLine="422"/>
        <w:jc w:val="left"/>
        <w:spacing w:line="360" w:lineRule="auto"/>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其他参数为一般</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参数，存在负偏离</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，按照评分标准进行扣分</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超过5项（不含）负偏离视作无效标处理。</w:t>
      </w:r>
      <w:r/>
    </w:p>
    <w:p>
      <w:pPr>
        <w:numPr>
          <w:ilvl w:val="0"/>
          <w:numId w:val="22"/>
        </w:numPr>
        <w:ind w:firstLine="422"/>
        <w:jc w:val="left"/>
        <w:spacing w:line="360" w:lineRule="auto"/>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需</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要</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提供相关证明材料</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的</w:t>
      </w:r>
      <w:r>
        <w:rPr>
          <w:rFonts w:hint="eastAsia" w:ascii="宋体" w:hAnsi="宋体" w:cs="Times New Roman"/>
          <w:b/>
          <w:bCs/>
          <w:color w:val="000000" w:themeColor="text1"/>
          <w:sz w:val="21"/>
          <w:szCs w:val="21"/>
          <w:highlight w:val="none"/>
          <w:lang w:val="en-US" w:eastAsia="zh-CN"/>
          <w14:textFill>
            <w14:solidFill>
              <w14:schemeClr w14:val="tx1"/>
            </w14:solidFill>
          </w14:textFill>
        </w:rPr>
        <w:t xml:space="preserve">参数</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，不提供</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或者未按要求提供，</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视为</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负偏离</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numPr>
          <w:ilvl w:val="0"/>
          <w:numId w:val="23"/>
        </w:num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合同书</w:t>
      </w:r>
      <w:r/>
    </w:p>
    <w:p>
      <w:pPr>
        <w:pStyle w:val="721"/>
        <w:jc w:val="center"/>
        <w:spacing w:before="120" w:after="120"/>
        <w:rPr>
          <w:rFonts w:hint="eastAsia"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无锡职业技术大学货物</w:t>
      </w:r>
      <w:r>
        <w:rPr>
          <w:rFonts w:hAnsi="宋体"/>
          <w:b/>
          <w:color w:val="000000" w:themeColor="text1"/>
          <w:sz w:val="44"/>
          <w:szCs w:val="44"/>
          <w:highlight w:val="none"/>
          <w14:textFill>
            <w14:solidFill>
              <w14:schemeClr w14:val="tx1"/>
            </w14:solidFill>
          </w14:textFill>
        </w:rPr>
        <w:t xml:space="preserve">采购</w:t>
      </w:r>
      <w:r>
        <w:rPr>
          <w:rFonts w:hint="eastAsia" w:hAnsi="宋体"/>
          <w:b/>
          <w:color w:val="000000" w:themeColor="text1"/>
          <w:sz w:val="44"/>
          <w:szCs w:val="44"/>
          <w:highlight w:val="none"/>
          <w14:textFill>
            <w14:solidFill>
              <w14:schemeClr w14:val="tx1"/>
            </w14:solidFill>
          </w14:textFill>
        </w:rPr>
        <w:t xml:space="preserve">合同</w:t>
      </w:r>
      <w:r/>
    </w:p>
    <w:tbl>
      <w:tblPr>
        <w:tblStyle w:val="707"/>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721"/>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u w:val="single"/>
                <w14:textFill>
                  <w14:solidFill>
                    <w14:schemeClr w14:val="tx1"/>
                  </w14:solidFill>
                </w14:textFill>
              </w:rPr>
              <w:t xml:space="preserve">无锡职业技术大学</w:t>
            </w:r>
            <w:r/>
          </w:p>
        </w:tc>
        <w:tc>
          <w:tcPr>
            <w:tcW w:w="4536" w:type="dxa"/>
            <w:textDirection w:val="lrTb"/>
            <w:noWrap w:val="false"/>
          </w:tcPr>
          <w:p>
            <w:pPr>
              <w:pStyle w:val="721"/>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合同编号：</w:t>
            </w:r>
            <w:r/>
          </w:p>
        </w:tc>
      </w:tr>
      <w:tr>
        <w:trPr/>
        <w:tc>
          <w:tcPr>
            <w:tcW w:w="5240" w:type="dxa"/>
            <w:textDirection w:val="lrTb"/>
            <w:noWrap w:val="false"/>
          </w:tcPr>
          <w:p>
            <w:pPr>
              <w:pStyle w:val="721"/>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 </w:t>
            </w:r>
            <w:r/>
          </w:p>
        </w:tc>
        <w:tc>
          <w:tcPr>
            <w:tcW w:w="4536" w:type="dxa"/>
            <w:textDirection w:val="lrTb"/>
            <w:noWrap w:val="false"/>
          </w:tcPr>
          <w:p>
            <w:pPr>
              <w:pStyle w:val="721"/>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合同签约地：</w:t>
            </w:r>
            <w:r>
              <w:rPr>
                <w:rFonts w:hint="eastAsia" w:hAnsi="宋体"/>
                <w:color w:val="000000" w:themeColor="text1"/>
                <w:sz w:val="24"/>
                <w:szCs w:val="24"/>
                <w:highlight w:val="none"/>
                <w:u w:val="single"/>
                <w14:textFill>
                  <w14:solidFill>
                    <w14:schemeClr w14:val="tx1"/>
                  </w14:solidFill>
                </w14:textFill>
              </w:rPr>
              <w:t xml:space="preserve">无锡</w:t>
            </w:r>
            <w:r/>
          </w:p>
        </w:tc>
      </w:tr>
    </w:tbl>
    <w:p>
      <w:pPr>
        <w:pStyle w:val="721"/>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w:t>
      </w:r>
      <w:r>
        <w:rPr>
          <w:rFonts w:hint="eastAsia"/>
          <w:color w:val="000000" w:themeColor="text1"/>
          <w:sz w:val="24"/>
          <w:highlight w:val="none"/>
          <w14:textFill>
            <w14:solidFill>
              <w14:schemeClr w14:val="tx1"/>
            </w14:solidFill>
          </w14:textFill>
        </w:rPr>
        <w:t xml:space="preserve">《中华人民共和国政府采购法》、</w:t>
      </w:r>
      <w:r>
        <w:rPr>
          <w:color w:val="000000" w:themeColor="text1"/>
          <w:sz w:val="24"/>
          <w:highlight w:val="none"/>
          <w14:textFill>
            <w14:solidFill>
              <w14:schemeClr w14:val="tx1"/>
            </w14:solidFill>
          </w14:textFill>
        </w:rPr>
        <w:t xml:space="preserve">《中华人民共和国</w:t>
      </w:r>
      <w:r>
        <w:rPr>
          <w:rFonts w:hint="eastAsia"/>
          <w:color w:val="000000" w:themeColor="text1"/>
          <w:sz w:val="24"/>
          <w:highlight w:val="none"/>
          <w14:textFill>
            <w14:solidFill>
              <w14:schemeClr w14:val="tx1"/>
            </w14:solidFill>
          </w14:textFill>
        </w:rPr>
        <w:t xml:space="preserve">民法典</w:t>
      </w:r>
      <w:r>
        <w:rPr>
          <w:color w:val="000000" w:themeColor="text1"/>
          <w:sz w:val="24"/>
          <w:highlight w:val="none"/>
          <w14:textFill>
            <w14:solidFill>
              <w14:schemeClr w14:val="tx1"/>
            </w14:solidFill>
          </w14:textFill>
        </w:rPr>
        <w:t xml:space="preserve">》等法律、法规的规定，</w:t>
      </w:r>
      <w:bookmarkStart w:id="5" w:name="_Hlk68891350"/>
      <w:r>
        <w:rPr>
          <w:rFonts w:hint="eastAsia"/>
          <w:color w:val="000000" w:themeColor="text1"/>
          <w:sz w:val="24"/>
          <w:highlight w:val="none"/>
          <w14:textFill>
            <w14:solidFill>
              <w14:schemeClr w14:val="tx1"/>
            </w14:solidFill>
          </w14:textFill>
        </w:rPr>
        <w:t xml:space="preserve">甲、乙双方</w:t>
      </w:r>
      <w:r>
        <w:rPr>
          <w:color w:val="000000" w:themeColor="text1"/>
          <w:sz w:val="24"/>
          <w:highlight w:val="none"/>
          <w14:textFill>
            <w14:solidFill>
              <w14:schemeClr w14:val="tx1"/>
            </w14:solidFill>
          </w14:textFill>
        </w:rPr>
        <w:t xml:space="preserve">依据</w:t>
      </w:r>
      <w:bookmarkStart w:id="6" w:name="_Hlk50199808"/>
      <w:r/>
      <w:bookmarkEnd w:id="6"/>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编号）</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采购结果</w:t>
      </w:r>
      <w:bookmarkEnd w:id="5"/>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本着诚实守信</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友好协商的原则</w:t>
      </w:r>
      <w:r>
        <w:rPr>
          <w:rFonts w:hint="eastAsia"/>
          <w:color w:val="000000" w:themeColor="text1"/>
          <w:sz w:val="24"/>
          <w:highlight w:val="none"/>
          <w14:textFill>
            <w14:solidFill>
              <w14:schemeClr w14:val="tx1"/>
            </w14:solidFill>
          </w14:textFill>
        </w:rPr>
        <w:t xml:space="preserve">签署本合同。</w:t>
      </w:r>
      <w:r/>
    </w:p>
    <w:p>
      <w:pPr>
        <w:numPr>
          <w:ilvl w:val="0"/>
          <w:numId w:val="24"/>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货物清单及合同价款</w:t>
      </w:r>
      <w:r/>
    </w:p>
    <w:tbl>
      <w:tblPr>
        <w:tblStyle w:val="70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680"/>
        </w:trPr>
        <w:tc>
          <w:tcPr>
            <w:tcW w:w="675"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序号</w:t>
            </w:r>
            <w:r/>
          </w:p>
        </w:tc>
        <w:tc>
          <w:tcPr>
            <w:tcW w:w="1985"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名称</w:t>
            </w:r>
            <w:r/>
          </w:p>
        </w:tc>
        <w:tc>
          <w:tcPr>
            <w:tcW w:w="1276"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规格型号</w:t>
            </w:r>
            <w:r/>
          </w:p>
        </w:tc>
        <w:tc>
          <w:tcPr>
            <w:tcW w:w="992"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数量</w:t>
            </w:r>
            <w:r/>
          </w:p>
        </w:tc>
        <w:tc>
          <w:tcPr>
            <w:tcBorders>
              <w:right w:val="single" w:color="auto" w:sz="4" w:space="0"/>
            </w:tcBorders>
            <w:tcW w:w="1418"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93"/>
        </w:trPr>
        <w:tc>
          <w:tcPr>
            <w:gridSpan w:val="7"/>
            <w:tcW w:w="9749" w:type="dxa"/>
            <w:vAlign w:val="center"/>
            <w:textDirection w:val="lrTb"/>
            <w:noWrap w:val="false"/>
          </w:tcPr>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rPr>
                <w:rFonts w:hint="eastAsia"/>
                <w:color w:val="000000" w:themeColor="text1"/>
                <w:sz w:val="24"/>
                <w:highlight w:val="none"/>
                <w14:textFill>
                  <w14:solidFill>
                    <w14:schemeClr w14:val="tx1"/>
                  </w14:solidFill>
                </w14:textFill>
              </w:rPr>
              <w:t xml:space="preserve">总</w:t>
            </w:r>
            <w:r>
              <w:rPr>
                <w:color w:val="000000" w:themeColor="text1"/>
                <w:sz w:val="24"/>
                <w:highlight w:val="none"/>
                <w14:textFill>
                  <w14:solidFill>
                    <w14:schemeClr w14:val="tx1"/>
                  </w14:solidFill>
                </w14:textFill>
              </w:rPr>
              <w:t xml:space="preserve">金额</w:t>
            </w:r>
            <w:r>
              <w:rPr>
                <w:rFonts w:hint="eastAsia"/>
                <w:color w:val="000000" w:themeColor="text1"/>
                <w:sz w:val="24"/>
                <w:highlight w:val="none"/>
                <w14:textFill>
                  <w14:solidFill>
                    <w14:schemeClr w14:val="tx1"/>
                  </w14:solidFill>
                </w14:textFill>
              </w:rPr>
              <w:t xml:space="preserve">：大写人民币（大写）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rPr>
                <w:color w:val="000000" w:themeColor="text1"/>
                <w:sz w:val="24"/>
                <w:highlight w:val="none"/>
                <w14:textFill>
                  <w14:solidFill>
                    <w14:schemeClr w14:val="tx1"/>
                  </w14:solidFill>
                </w14:textFill>
              </w:rPr>
              <w:t xml:space="preserve">整</w:t>
            </w:r>
            <w:r/>
          </w:p>
          <w:p>
            <w:pPr>
              <w:ind w:firstLine="2880"/>
              <w:spacing w:line="360" w:lineRule="auto"/>
              <w:rPr>
                <w:rFonts w:hint="eastAsia"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tc>
      </w:tr>
    </w:tbl>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单价合同：合同有效期内单价固定不变，</w:t>
      </w:r>
      <w:r>
        <w:rPr>
          <w:rFonts w:hint="eastAsia"/>
          <w:color w:val="000000" w:themeColor="text1"/>
          <w:sz w:val="24"/>
          <w:highlight w:val="none"/>
          <w:u w:val="single"/>
          <w14:textFill>
            <w14:solidFill>
              <w14:schemeClr w14:val="tx1"/>
            </w14:solidFill>
          </w14:textFill>
        </w:rPr>
        <w:t xml:space="preserve">货物总价款为现场实际所用货物合价，即货物总价=单价*货物数量（货物数量以甲方确认的数量为准）</w:t>
      </w:r>
      <w:r>
        <w:rPr>
          <w:rFonts w:hint="eastAsia"/>
          <w:color w:val="000000" w:themeColor="text1"/>
          <w:sz w:val="24"/>
          <w:highlight w:val="none"/>
          <w14:textFill>
            <w14:solidFill>
              <w14:schemeClr w14:val="tx1"/>
            </w14:solidFill>
          </w14:textFill>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第二条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第三条  质量保证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所提供的货物的技术规格应在满足甲方采购文件的前提下、与乙方投标文件中明确的技术规格及所附的“技术规格响应表”相一致；若技术性能无特殊说明，则按国家有关部门最新颁布的标准及规范为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质量标准：</w:t>
      </w:r>
      <w:r>
        <w:rPr>
          <w:rFonts w:hint="eastAsia" w:ascii="宋体" w:hAnsi="宋体" w:cs="宋体"/>
          <w:color w:val="000000" w:themeColor="text1"/>
          <w:sz w:val="24"/>
          <w:highlight w:val="none"/>
          <w14:textFill>
            <w14:solidFill>
              <w14:schemeClr w14:val="tx1"/>
            </w14:solidFill>
          </w14:textFill>
        </w:rPr>
        <w:t xml:space="preserve">符合国家相关技术标准，并满足采购人要求；</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第四条  包装要求</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2、每一包装单元内应附详细的装箱单、质量合格凭证以及其他必需的相关材料。</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第五条  交货</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1、供货期：</w:t>
      </w:r>
      <w:r>
        <w:rPr>
          <w:rFonts w:hint="eastAsia"/>
          <w:color w:val="000000" w:themeColor="text1"/>
          <w:sz w:val="24"/>
          <w:highlight w:val="none"/>
          <w:u w:val="single"/>
          <w14:textFill>
            <w14:solidFill>
              <w14:schemeClr w14:val="tx1"/>
            </w14:solidFill>
          </w14:textFill>
        </w:rPr>
        <w:t xml:space="preserve">自合同签订之日起60日历天内完成供货、安装、调试。</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交货地点（甲方指定）：</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甲方收货联系人：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货物的到货验收包括：型号、规格、数量、外观质量、及货物包装</w:t>
      </w:r>
      <w:r>
        <w:rPr>
          <w:rFonts w:hint="eastAsia"/>
          <w:color w:val="000000" w:themeColor="text1"/>
          <w:sz w:val="24"/>
          <w:highlight w:val="none"/>
          <w14:textFill>
            <w14:solidFill>
              <w14:schemeClr w14:val="tx1"/>
            </w14:solidFill>
          </w14:textFill>
        </w:rPr>
        <w:t xml:space="preserve">是否完好。</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第六条 安装调试、培训和验收</w:t>
      </w:r>
      <w:r/>
    </w:p>
    <w:p>
      <w:pPr>
        <w:ind w:firstLine="480"/>
        <w:spacing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1、全部货物抵达现场后乙方应及时派人安装调试，并对甲方人员进行相关培训。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2、甲方应当在乙方安装调试完成后组织验收，特殊情况，甲乙双方协商解决。</w:t>
      </w:r>
      <w:r/>
    </w:p>
    <w:p>
      <w:pPr>
        <w:ind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3、货物和系统调试验收标准：根据国家有关规定、甲方采购文件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第七条  伴随服务／售后服务</w:t>
      </w:r>
      <w:r/>
    </w:p>
    <w:p>
      <w:pPr>
        <w:ind w:firstLine="480"/>
        <w:spacing w:line="360" w:lineRule="auto"/>
        <w:tabs>
          <w:tab w:val="left" w:pos="16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乙方应按</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w:t>
      </w:r>
      <w:r>
        <w:rPr>
          <w:rFonts w:hint="eastAsia"/>
          <w:color w:val="000000" w:themeColor="text1"/>
          <w:sz w:val="24"/>
          <w:highlight w:val="none"/>
          <w14:textFill>
            <w14:solidFill>
              <w14:schemeClr w14:val="tx1"/>
            </w14:solidFill>
          </w14:textFill>
        </w:rPr>
        <w:t xml:space="preserve">投标文件</w:t>
      </w:r>
      <w:r>
        <w:rPr>
          <w:color w:val="000000" w:themeColor="text1"/>
          <w:sz w:val="24"/>
          <w:highlight w:val="none"/>
          <w14:textFill>
            <w14:solidFill>
              <w14:schemeClr w14:val="tx1"/>
            </w14:solidFill>
          </w14:textFill>
        </w:rPr>
        <w:t xml:space="preserve">及乙方在询标、评标过程中做出的书面说明或承诺提供及时、快速、优质的</w:t>
      </w:r>
      <w:r>
        <w:rPr>
          <w:rFonts w:hint="eastAsia"/>
          <w:color w:val="000000" w:themeColor="text1"/>
          <w:sz w:val="24"/>
          <w:highlight w:val="none"/>
          <w14:textFill>
            <w14:solidFill>
              <w14:schemeClr w14:val="tx1"/>
            </w14:solidFill>
          </w14:textFill>
        </w:rPr>
        <w:t xml:space="preserve">伴随服务／售后服务</w:t>
      </w:r>
      <w:r>
        <w:rPr>
          <w:color w:val="000000" w:themeColor="text1"/>
          <w:sz w:val="24"/>
          <w:highlight w:val="none"/>
          <w14:textFill>
            <w14:solidFill>
              <w14:schemeClr w14:val="tx1"/>
            </w14:solidFill>
          </w14:textFill>
        </w:rPr>
        <w:t xml:space="preserve">。</w:t>
      </w:r>
      <w:r/>
    </w:p>
    <w:p>
      <w:pPr>
        <w:ind w:firstLine="480"/>
        <w:spacing w:line="360" w:lineRule="auto"/>
        <w:tabs>
          <w:tab w:val="left" w:pos="1620"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第八条  货款支付</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合同签订后，,甲方向乙方支付工程总价的60%作为合同签订款，全部货物运至采购方指定位置，所有货物全部安装调试结束，提交所需单据，并经采购方组织验收合格后10日内付至合同总价的90%；使用满1年 （时间以验收合格之日起计算）设备正常运行且无质量问题后的30天内一次性无息付清剩余款项。</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1、如乙方不能交付货物，应向甲方支付合同总价</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%的违约金。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2、乙方逾期交付货物的，每逾期1天，乙方向甲方偿付</w:t>
      </w:r>
      <w:r>
        <w:rPr>
          <w:rFonts w:hint="eastAsia" w:ascii="宋体" w:hAnsi="宋体"/>
          <w:color w:val="000000" w:themeColor="text1"/>
          <w:sz w:val="24"/>
          <w14:textFill>
            <w14:solidFill>
              <w14:schemeClr w14:val="tx1"/>
            </w14:solidFill>
          </w14:textFill>
        </w:rPr>
        <w:t xml:space="preserve">2000元/天</w:t>
      </w:r>
      <w:r>
        <w:rPr>
          <w:rFonts w:hint="eastAsia" w:ascii="宋体" w:hAnsi="宋体"/>
          <w:color w:val="000000" w:themeColor="text1"/>
          <w:sz w:val="24"/>
          <w:lang w:val="en-US" w:eastAsia="zh-CN"/>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滞纳金。如乙方逾期交货达10天，甲方有权解除合同，解除合同的通知自到达乙方时生效。</w:t>
      </w:r>
      <w:r>
        <w:rPr>
          <w:color w:val="000000" w:themeColor="text1"/>
          <w:sz w:val="24"/>
          <w:highlight w:val="none"/>
          <w14:textFill>
            <w14:solidFill>
              <w14:schemeClr w14:val="tx1"/>
            </w14:solidFill>
          </w14:textFill>
        </w:rPr>
        <w:t xml:space="preserve">且甲方不承担任何责任</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如甲方解除合同的</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乙方应向甲方支付合同总价款</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3、乙方所交付的数量不符合合同</w:t>
      </w:r>
      <w:r>
        <w:rPr>
          <w:color w:val="000000" w:themeColor="text1"/>
          <w:sz w:val="24"/>
          <w:highlight w:val="none"/>
          <w14:textFill>
            <w14:solidFill>
              <w14:schemeClr w14:val="tx1"/>
            </w14:solidFill>
          </w14:textFill>
        </w:rPr>
        <w:t xml:space="preserve">约定</w:t>
      </w:r>
      <w:r>
        <w:rPr>
          <w:rFonts w:hint="eastAsia"/>
          <w:color w:val="000000" w:themeColor="text1"/>
          <w:sz w:val="24"/>
          <w:highlight w:val="none"/>
          <w14:textFill>
            <w14:solidFill>
              <w14:schemeClr w14:val="tx1"/>
            </w14:solidFill>
          </w14:textFill>
        </w:rPr>
        <w:t xml:space="preserve">的，甲方有权拒收。甲方拒收的，乙方应向甲方支付货款总额5%的违约金。</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如乙方交付的货物质量不符合约定的</w:t>
      </w:r>
      <w:r>
        <w:rPr>
          <w:rFonts w:hint="eastAsia"/>
          <w:color w:val="000000" w:themeColor="text1"/>
          <w:sz w:val="24"/>
          <w:highlight w:val="none"/>
          <w14:textFill>
            <w14:solidFill>
              <w14:schemeClr w14:val="tx1"/>
            </w14:solidFill>
          </w14:textFill>
        </w:rPr>
        <w:t xml:space="preserve">，甲方有权拒收或要求</w:t>
      </w:r>
      <w:r>
        <w:rPr>
          <w:color w:val="000000" w:themeColor="text1"/>
          <w:sz w:val="24"/>
          <w:highlight w:val="none"/>
          <w14:textFill>
            <w14:solidFill>
              <w14:schemeClr w14:val="tx1"/>
            </w14:solidFill>
          </w14:textFill>
        </w:rPr>
        <w:t xml:space="preserve">乙方立即整改至验收合格的标准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同时乙方应向甲方支付货款总额</w:t>
      </w:r>
      <w:r>
        <w:rPr>
          <w:rFonts w:hint="eastAsia"/>
          <w:color w:val="000000" w:themeColor="text1"/>
          <w:sz w:val="24"/>
          <w:highlight w:val="none"/>
          <w14:textFill>
            <w14:solidFill>
              <w14:schemeClr w14:val="tx1"/>
            </w14:solidFill>
          </w14:textFill>
        </w:rPr>
        <w:t xml:space="preserve">5%的违约金。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在乙方承诺的或国家规定的质量保证期内（取两者中最长的期限），如经乙方两次维修或更换，货物仍不能达到合同约定的质量标准，甲方有权退货，乙方应退回全部货款，并按第1款处理，同时，乙方还须赔偿甲方因此遭受的损失。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5、乙方未按本合同的规定提供伴随服务/售后服务的，应按合同总价款的1%向甲方承担违约责任。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w:t>
      </w:r>
      <w:r>
        <w:rPr>
          <w:rFonts w:hint="eastAsia"/>
          <w:b/>
          <w:color w:val="000000" w:themeColor="text1"/>
          <w:sz w:val="24"/>
          <w:highlight w:val="none"/>
          <w14:textFill>
            <w14:solidFill>
              <w14:schemeClr w14:val="tx1"/>
            </w14:solidFill>
          </w14:textFill>
        </w:rPr>
        <w:t xml:space="preserve">十</w:t>
      </w:r>
      <w:r>
        <w:rPr>
          <w:rFonts w:hint="eastAsia"/>
          <w:b/>
          <w:color w:val="000000" w:themeColor="text1"/>
          <w:sz w:val="24"/>
          <w:highlight w:val="none"/>
          <w14:textFill>
            <w14:solidFill>
              <w14:schemeClr w14:val="tx1"/>
            </w14:solidFill>
          </w14:textFill>
        </w:rPr>
        <w:t xml:space="preserve">条  不可抗力</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 xml:space="preserve">、因不可抗力致使完全不能履行合同的，本协议终止，双方无须承担任何责任，但本协议另有规定的除外。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 xml:space="preserve">、因发生不可抗力致使部分不能履行本合同的（包括导致延期履行），根据不可抗力的影响，免除相应的责任，但本合同另有规定的除外。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、因合同一方延迟履行合同后发生不可抗力的，不能免除延迟履行方的相应责任。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第十一条 合同组成</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双方有关本项目的洽商、变更等书面协议或文件；采购文件（含招标文件、竞争性谈判文件、竞争性磋商文件、询价文件、单一来源谈判文件等）、投标文件、中标通知书；标准、规范及有关技术文件、技术要求；以及产品使用说明书、保修卡、合格证(随机送达)，以上均视为本合同的组成部分。</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第十二条　合同的变更和终止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本合同一经签订，甲乙双方不得擅自变更、中止或终止合同。</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第十三条　合同的转让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未经甲方书面同意，乙方不得擅自部分或全部转让其应履行的合同义务。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第十四条  争议的解决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第十五条  合同生效及其他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1、本合同自合同双方签字、盖章之日起生效。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2、本合同一式</w:t>
      </w:r>
      <w:r>
        <w:rPr>
          <w:color w:val="000000" w:themeColor="text1"/>
          <w:sz w:val="24"/>
          <w:highlight w:val="none"/>
          <w:u w:val="single"/>
          <w14:textFill>
            <w14:solidFill>
              <w14:schemeClr w14:val="tx1"/>
            </w14:solidFill>
          </w14:textFill>
        </w:rPr>
        <w:t xml:space="preserve"> 6</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份，乙方执</w:t>
      </w:r>
      <w:r>
        <w:rPr>
          <w:color w:val="000000" w:themeColor="text1"/>
          <w:sz w:val="24"/>
          <w:highlight w:val="none"/>
          <w:u w:val="single"/>
          <w14:textFill>
            <w14:solidFill>
              <w14:schemeClr w14:val="tx1"/>
            </w14:solidFill>
          </w14:textFill>
        </w:rPr>
        <w:t xml:space="preserve"> 2</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w:t>
      </w:r>
      <w:r>
        <w:rPr>
          <w:rFonts w:hint="eastAsia"/>
          <w:color w:val="000000" w:themeColor="text1"/>
          <w:sz w:val="24"/>
          <w:highlight w:val="none"/>
          <w14:textFill>
            <w14:solidFill>
              <w14:schemeClr w14:val="tx1"/>
            </w14:solidFill>
          </w14:textFill>
        </w:rPr>
        <w:t xml:space="preserve">具同等法律效力</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bookmarkStart w:id="7" w:name="_Hlk68891964"/>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r/>
    </w:p>
    <w:p>
      <w:pPr>
        <w:ind w:firstLine="5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r/>
    </w:p>
    <w:p>
      <w:pPr>
        <w:ind w:firstLine="720"/>
        <w:rPr>
          <w:rFonts w:hint="eastAsia" w:ascii="宋体" w:hAnsi="宋体" w:cs="宋体"/>
          <w:b/>
          <w:color w:val="000000" w:themeColor="text1"/>
          <w:sz w:val="44"/>
          <w:szCs w:val="4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   </w:t>
      </w:r>
      <w:bookmarkEnd w:id="7"/>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第五部分．附件（投标文件格式）</w:t>
      </w:r>
      <w:r/>
    </w:p>
    <w:p>
      <w:pP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t xml:space="preserve">                </w:t>
      </w:r>
      <w:r>
        <w:rPr>
          <w:rFonts w:hint="eastAsia" w:ascii="宋体" w:hAnsi="宋体" w:cs="宋体"/>
          <w:b/>
          <w:color w:val="000000" w:themeColor="text1"/>
          <w:sz w:val="48"/>
          <w:szCs w:val="20"/>
          <w:highlight w:val="none"/>
          <w14:textFill>
            <w14:solidFill>
              <w14:schemeClr w14:val="tx1"/>
            </w14:solidFill>
          </w14:textFill>
        </w:rPr>
        <w:t xml:space="preserve">公开招标</w:t>
      </w:r>
      <w:r/>
    </w:p>
    <w:p>
      <w:pPr>
        <w:jc w:val="center"/>
        <w:spacing w:line="360" w:lineRule="auto"/>
        <w:rPr>
          <w:rFonts w:hint="eastAsia" w:ascii="宋体" w:hAnsi="宋体" w:cs="宋体"/>
          <w:b/>
          <w:color w:val="000000" w:themeColor="text1"/>
          <w:sz w:val="72"/>
          <w:szCs w:val="20"/>
          <w:highlight w:val="none"/>
          <w14:textFill>
            <w14:solidFill>
              <w14:schemeClr w14:val="tx1"/>
            </w14:solidFill>
          </w14:textFill>
        </w:rPr>
      </w:pPr>
      <w:r>
        <w:rPr>
          <w:rFonts w:hint="eastAsia" w:ascii="宋体" w:hAnsi="宋体" w:cs="宋体"/>
          <w:b/>
          <w:color w:val="000000" w:themeColor="text1"/>
          <w:sz w:val="72"/>
          <w:szCs w:val="20"/>
          <w:highlight w:val="none"/>
          <w14:textFill>
            <w14:solidFill>
              <w14:schemeClr w14:val="tx1"/>
            </w14:solidFill>
          </w14:textFill>
        </w:rPr>
        <w:t xml:space="preserve">投标文件</w:t>
      </w:r>
      <w:r/>
    </w:p>
    <w:p>
      <w:pP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spacing w:line="360" w:lineRule="auto"/>
        <w:rPr>
          <w:rFonts w:hint="eastAsia" w:ascii="宋体" w:hAnsi="宋体" w:cs="宋体"/>
          <w:b/>
          <w:color w:val="000000" w:themeColor="text1"/>
          <w:sz w:val="28"/>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采购编号：</w:t>
      </w:r>
      <w:r>
        <w:rPr>
          <w:rFonts w:hint="eastAsia" w:ascii="宋体" w:hAnsi="宋体" w:cs="宋体"/>
          <w:b/>
          <w:color w:val="000000" w:themeColor="text1"/>
          <w:sz w:val="28"/>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项目</w:t>
      </w:r>
      <w:r>
        <w:rPr>
          <w:rFonts w:hint="eastAsia" w:ascii="宋体" w:hAnsi="宋体" w:cs="宋体"/>
          <w:b/>
          <w:color w:val="000000" w:themeColor="text1"/>
          <w:sz w:val="30"/>
          <w:szCs w:val="20"/>
          <w:highlight w:val="none"/>
          <w14:textFill>
            <w14:solidFill>
              <w14:schemeClr w14:val="tx1"/>
            </w14:solidFill>
          </w14:textFill>
        </w:rPr>
        <w:t xml:space="preserve">名称：</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投标供应商：</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（盖公章）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法定代表人或</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其委托代理人：</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（签字或盖章）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日  期：</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年</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月</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日</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outlineLvl w:val="0"/>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（一）投标函（格式）</w:t>
      </w:r>
      <w:r/>
    </w:p>
    <w:p>
      <w:pPr>
        <w:jc w:val="center"/>
        <w:spacing w:before="4" w:line="360" w:lineRule="auto"/>
        <w:widowControl/>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投标函</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致：江苏万达工程造价事务所有限公司</w:t>
      </w:r>
      <w:r/>
    </w:p>
    <w:p>
      <w:pPr>
        <w:ind w:firstLine="480"/>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一、根据已收到的采购编号为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（采购项目名称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的公开招标文件，遵照国家法律、法规和规章的有关规定，我方经过踏勘现场和对招标文件等所有文件的研究后，我方愿按招标文件中的要求、技术规范、采购清单的条件承包本采购项目的完工。</w:t>
      </w:r>
      <w:r/>
    </w:p>
    <w:p>
      <w:pPr>
        <w:ind w:firstLine="480"/>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二、我方愿意提供江苏万达工程造价事务所有限公司在招标文件中要求的文件、资料。</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我方同意按招标文件中的规定，本投标文件投标的有效期限为投标截止日期之日起90天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四、如果我方的投标文件被接受，我方将履行招标文件中规定的每一项要求，按期、按质、按量，完成服务。</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五、我方认为你们有权决定中标供应商。</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我方愿意遵守《中华人民共和国政府采购法》，并按《中华人民共和国民法典》和合同条款履行自己的全部责任。在合同履行过程中，双方如有争议，由江苏万达工程造价事务所有限公司协调解决。如协商不能解决，双方可向无锡仲裁委员会按其仲裁规则申请仲裁，</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七、我方认可并保证遵守招标文件的所有规定，放弃对招标文件提出质疑的权利。</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w:t>
      </w:r>
      <w:r>
        <w:rPr>
          <w:rFonts w:hint="eastAsia" w:ascii="宋体" w:hAnsi="宋体" w:cs="宋体"/>
          <w:color w:val="000000" w:themeColor="text1"/>
          <w:sz w:val="24"/>
          <w:highlight w:val="none"/>
          <w14:textFill>
            <w14:solidFill>
              <w14:schemeClr w14:val="tx1"/>
            </w14:solidFill>
          </w14:textFill>
        </w:rPr>
        <w:t xml:space="preserve">：（签字或盖章）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传真：</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邮编：</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开户账号：</w:t>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（二）关于资格的声明函(格式)</w:t>
      </w:r>
      <w:r/>
    </w:p>
    <w:p>
      <w:pPr>
        <w:rPr>
          <w:rFonts w:hint="eastAsia" w:ascii="宋体" w:hAnsi="宋体" w:cs="宋体"/>
          <w:bCs/>
          <w:color w:val="000000" w:themeColor="text1"/>
          <w:sz w:val="36"/>
          <w:highlight w:val="none"/>
          <w14:textFill>
            <w14:solidFill>
              <w14:schemeClr w14:val="tx1"/>
            </w14:solidFill>
          </w14:textFill>
        </w:rPr>
      </w:pPr>
      <w:r>
        <w:rPr>
          <w:rFonts w:hint="eastAsia" w:ascii="宋体" w:hAnsi="宋体" w:cs="宋体"/>
          <w:bCs/>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关于资格的声明函</w:t>
      </w:r>
      <w:r/>
    </w:p>
    <w:p>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江苏万达工程造价事务所有限公司：</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我公司(单位)愿针对本次项目</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进行投标。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若有违背，我公司(单位)愿意承担由此而产生的一切后果。</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法定代表人或其授权代表(签字或盖章)：</w:t>
      </w:r>
      <w:r/>
    </w:p>
    <w:p>
      <w:pPr>
        <w:rPr>
          <w:rFonts w:hint="eastAsia" w:ascii="宋体" w:hAnsi="宋体" w:cs="宋体"/>
          <w:bCs/>
          <w:color w:val="000000" w:themeColor="text1"/>
          <w:sz w:val="32"/>
          <w:szCs w:val="32"/>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法定代表人授权委托书(格式)：</w:t>
      </w:r>
      <w:r/>
    </w:p>
    <w:p>
      <w:p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法定代表人授权委托书</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政府采购编号：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致：                              </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系中华人民共和国合法企业，特授权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身份证件号码：                电话：</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被授权人(签字或盖章)：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法定代表人(签字或盖章)：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若投标供应商为事业单位或其他组织或分支机构(仅限招标文件注明允许分支机构投标的情形),则法定代表人处的签字人可为单位负责人。2、当被授权人为法定代表人(或上述情况的单位负责人)时，被授权人相关内容填报为法定代表人(或上述情况的单位负责人)信息，“被授权人签字或盖章”处可不用再重复签字或盖章。如被授权人为法定代表人(或以下说明所述的单位负责人)时，则提供法定代表人(或以下说明所述的单位负责人)有效身份证。</w:t>
      </w:r>
      <w:r>
        <w:rPr>
          <w:rFonts w:hint="eastAsia" w:ascii="宋体" w:hAnsi="宋体" w:cs="宋体"/>
          <w:color w:val="000000" w:themeColor="text1"/>
          <w:szCs w:val="21"/>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投标供应商法定代表人身份证复印件：</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vert="horz" anchor="t" anchorCtr="0" upright="1"/>
                    </wps:wsp>
                  </a:graphicData>
                </a:graphic>
              </wp:inline>
            </w:drawing>
          </mc:Choice>
          <mc:Fallback>
            <w:pict>
              <v:shape id="shape 1" o:spid="_x0000_s1" o:spt="202" type="#_x0000_t202" style="width:221.0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vert="horz" anchor="t" anchorCtr="0" upright="1"/>
                    </wps:wsp>
                  </a:graphicData>
                </a:graphic>
              </wp:inline>
            </w:drawing>
          </mc:Choice>
          <mc:Fallback>
            <w:pict>
              <v:shape id="shape 2" o:spid="_x0000_s2" o:spt="202" type="#_x0000_t202" style="width:221.1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法定代表人授权代表身份证复印件：（</w:t>
      </w:r>
      <w:r>
        <w:rPr>
          <w:rFonts w:hint="eastAsia" w:ascii="宋体" w:hAnsi="宋体" w:cs="宋体"/>
          <w:b/>
          <w:bCs/>
          <w:color w:val="000000" w:themeColor="text1"/>
          <w:sz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3" o:spid="_x0000_s3" o:spt="202" type="#_x0000_t202" style="width:221.0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5"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4" o:spid="_x0000_s4" o:spt="202" type="#_x0000_t202" style="width:221.1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p>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（四）承诺书(格式)</w:t>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承诺书</w:t>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spacing w:line="48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（投标供应商名称）在此承诺：</w:t>
      </w:r>
      <w:r/>
    </w:p>
    <w:p>
      <w:pPr>
        <w:pStyle w:val="735"/>
        <w:ind w:firstLine="480"/>
        <w:jc w:val="both"/>
        <w:spacing w:before="0" w:beforeAutospacing="0" w:after="0" w:afterAutospacing="0"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我公司自愿参加贵单位（公司）</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法定代表人或其授权代表签字或盖章：</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（五）开标一览表（格式）</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开标一览表</w:t>
      </w:r>
      <w:r/>
    </w:p>
    <w:p>
      <w:pPr>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投标供应商（公章）：                                 政府采购编号：</w:t>
      </w:r>
      <w:r/>
    </w:p>
    <w:tbl>
      <w:tblPr>
        <w:tblStyle w:val="707"/>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           元</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人民币(小写)：           元</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交货期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质量标准</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tabs>
                <w:tab w:val="left" w:pos="2255" w:leader="none"/>
              </w:tabs>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bl>
    <w:p>
      <w:pPr>
        <w:spacing w:before="24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法定代表人或授权委托人（签字或盖章）：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日期：   年   月   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填写说明：</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一览表中的内容应与</w:t>
      </w:r>
      <w:r>
        <w:rPr>
          <w:rFonts w:hint="eastAsia" w:ascii="宋体" w:hAnsi="宋体"/>
          <w:color w:val="000000" w:themeColor="text1"/>
          <w:highlight w:val="none"/>
          <w14:textFill>
            <w14:solidFill>
              <w14:schemeClr w14:val="tx1"/>
            </w14:solidFill>
          </w14:textFill>
        </w:rPr>
        <w:t xml:space="preserve">投标</w:t>
      </w:r>
      <w:r>
        <w:rPr>
          <w:rFonts w:ascii="宋体" w:hAnsi="宋体"/>
          <w:color w:val="000000" w:themeColor="text1"/>
          <w:highlight w:val="none"/>
          <w14:textFill>
            <w14:solidFill>
              <w14:schemeClr w14:val="tx1"/>
            </w14:solidFill>
          </w14:textFill>
        </w:rPr>
        <w:t xml:space="preserve">函内容一致，否则评标时一律按</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一览表中内容为准，</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一览表中必须盖章或签字</w:t>
      </w:r>
      <w:r>
        <w:rPr>
          <w:rFonts w:hint="eastAsia" w:ascii="宋体" w:hAnsi="宋体"/>
          <w:color w:val="000000" w:themeColor="text1"/>
          <w:highlight w:val="none"/>
          <w14:textFill>
            <w14:solidFill>
              <w14:schemeClr w14:val="tx1"/>
            </w14:solidFill>
          </w14:textFill>
        </w:rPr>
        <w:t xml:space="preserve">。</w:t>
      </w:r>
      <w:r/>
    </w:p>
    <w:p>
      <w:pPr>
        <w:ind w:firstLine="612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t xml:space="preserve">（六）明细报价表（格</w:t>
      </w:r>
      <w:r>
        <w:rPr>
          <w:rFonts w:hint="eastAsia" w:ascii="宋体" w:hAnsi="宋体" w:cs="宋体"/>
          <w:bCs/>
          <w:color w:val="000000" w:themeColor="text1"/>
          <w:sz w:val="24"/>
          <w:highlight w:val="none"/>
          <w14:textFill>
            <w14:solidFill>
              <w14:schemeClr w14:val="tx1"/>
            </w14:solidFill>
          </w14:textFill>
        </w:rPr>
        <w:t xml:space="preserve">式）：</w:t>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明细报价表</w:t>
      </w:r>
      <w:r/>
    </w:p>
    <w:p>
      <w:pPr>
        <w:ind w:firstLine="480"/>
        <w:spacing w:line="360" w:lineRule="auto"/>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投标供应商名称（盖章）                                 采购项目编号：</w:t>
      </w:r>
      <w:r/>
    </w:p>
    <w:tbl>
      <w:tblPr>
        <w:tblStyle w:val="707"/>
        <w:tblW w:w="8687" w:type="dxa"/>
        <w:jc w:val="center"/>
        <w:tblLayout w:type="autofit"/>
        <w:tblCellMar>
          <w:left w:w="108" w:type="dxa"/>
          <w:top w:w="0" w:type="dxa"/>
          <w:right w:w="108" w:type="dxa"/>
          <w:bottom w:w="0" w:type="dxa"/>
        </w:tblCellMar>
        <w:tblLook w:val="04A0" w:firstRow="1" w:lastRow="0" w:firstColumn="1" w:lastColumn="0" w:noHBand="0" w:noVBand="1"/>
      </w:tblPr>
      <w:tblGrid>
        <w:gridCol w:w="727"/>
        <w:gridCol w:w="2080"/>
        <w:gridCol w:w="1880"/>
        <w:gridCol w:w="840"/>
        <w:gridCol w:w="720"/>
        <w:gridCol w:w="1220"/>
        <w:gridCol w:w="1220"/>
      </w:tblGrid>
      <w:tr>
        <w:trPr>
          <w:jc w:val="center"/>
          <w:trHeight w:val="441"/>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合价（元）</w:t>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t>
            </w:r>
            <w:r/>
          </w:p>
        </w:tc>
        <w:tc>
          <w:tcPr>
            <w:gridSpan w:val="5"/>
            <w:tcBorders>
              <w:top w:val="single" w:color="auto" w:sz="4" w:space="0"/>
              <w:left w:val="single" w:color="auto" w:sz="4" w:space="0"/>
              <w:bottom w:val="single" w:color="auto" w:sz="4" w:space="0"/>
              <w:right w:val="single" w:color="auto" w:sz="4" w:space="0"/>
            </w:tcBorders>
            <w:tcW w:w="674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1544"/>
        </w:trPr>
        <w:tc>
          <w:tcPr>
            <w:gridSpan w:val="7"/>
            <w:tcBorders>
              <w:top w:val="single" w:color="auto" w:sz="4" w:space="0"/>
              <w:left w:val="single" w:color="auto" w:sz="4" w:space="0"/>
              <w:bottom w:val="single" w:color="auto" w:sz="4" w:space="0"/>
              <w:right w:val="single" w:color="auto" w:sz="4" w:space="0"/>
            </w:tcBorders>
            <w:tcW w:w="8687" w:type="dxa"/>
            <w:vAlign w:val="center"/>
            <w:textDirection w:val="lrTb"/>
            <w:noWrap/>
          </w:tcPr>
          <w:p>
            <w:pPr>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lang w:eastAsia="zh-CN"/>
                <w14:textFill>
                  <w14:solidFill>
                    <w14:schemeClr w14:val="tx1"/>
                  </w14:solidFill>
                </w14:textFill>
              </w:rPr>
              <w:t xml:space="preserve">投标供应商</w:t>
            </w:r>
            <w:r>
              <w:rPr>
                <w:rFonts w:hint="eastAsia" w:ascii="楷体" w:hAnsi="楷体" w:eastAsia="楷体"/>
                <w:bCs/>
                <w:color w:val="000000" w:themeColor="text1"/>
                <w:sz w:val="28"/>
                <w:szCs w:val="28"/>
                <w:highlight w:val="none"/>
                <w14:textFill>
                  <w14:solidFill>
                    <w14:schemeClr w14:val="tx1"/>
                  </w14:solidFill>
                </w14:textFill>
              </w:rPr>
              <w:t xml:space="preserve">承诺：</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法定代表人或法定代表人授权代表签字或盖章：</w:t>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eastAsia="zh-CN"/>
          <w14:textFill>
            <w14:solidFill>
              <w14:schemeClr w14:val="tx1"/>
            </w14:solidFill>
          </w14:textFill>
        </w:rPr>
        <w:t xml:space="preserve">投标供应商</w:t>
      </w:r>
      <w:r>
        <w:rPr>
          <w:rFonts w:hint="eastAsia" w:ascii="宋体"/>
          <w:bCs/>
          <w:color w:val="000000" w:themeColor="text1"/>
          <w:highlight w:val="none"/>
          <w14:textFill>
            <w14:solidFill>
              <w14:schemeClr w14:val="tx1"/>
            </w14:solidFill>
          </w14:textFill>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w:t>
      </w:r>
      <w:r>
        <w:rPr>
          <w:rFonts w:hint="eastAsia" w:ascii="宋体"/>
          <w:bCs/>
          <w:color w:val="000000" w:themeColor="text1"/>
          <w:highlight w:val="none"/>
          <w:lang w:eastAsia="zh-CN"/>
          <w14:textFill>
            <w14:solidFill>
              <w14:schemeClr w14:val="tx1"/>
            </w14:solidFill>
          </w14:textFill>
        </w:rPr>
        <w:t xml:space="preserve">投标供应商</w:t>
      </w:r>
      <w:r>
        <w:rPr>
          <w:rFonts w:hint="eastAsia" w:ascii="宋体"/>
          <w:bCs/>
          <w:color w:val="000000" w:themeColor="text1"/>
          <w:highlight w:val="none"/>
          <w14:textFill>
            <w14:solidFill>
              <w14:schemeClr w14:val="tx1"/>
            </w14:solidFill>
          </w14:textFill>
        </w:rPr>
        <w:t xml:space="preserve">属于监狱企业的证明文件复印件；或提供</w:t>
      </w:r>
      <w:r>
        <w:rPr>
          <w:rFonts w:hint="eastAsia" w:ascii="宋体"/>
          <w:bCs/>
          <w:color w:val="000000" w:themeColor="text1"/>
          <w:highlight w:val="none"/>
          <w:lang w:eastAsia="zh-CN"/>
          <w14:textFill>
            <w14:solidFill>
              <w14:schemeClr w14:val="tx1"/>
            </w14:solidFill>
          </w14:textFill>
        </w:rPr>
        <w:t xml:space="preserve">投标供应商</w:t>
      </w:r>
      <w:r>
        <w:rPr>
          <w:rFonts w:hint="eastAsia" w:ascii="宋体"/>
          <w:bCs/>
          <w:color w:val="000000" w:themeColor="text1"/>
          <w:highlight w:val="none"/>
          <w14:textFill>
            <w14:solidFill>
              <w14:schemeClr w14:val="tx1"/>
            </w14:solidFill>
          </w14:textFill>
        </w:rPr>
        <w:t xml:space="preserve">《残疾人福利性单位声明函》。如未按要求填写和提供有效证明或相关内容表述不清的，不得享受价格扣除。</w:t>
      </w:r>
      <w:r>
        <w:rPr>
          <w:rFonts w:hint="eastAsia" w:ascii="宋体"/>
          <w:bCs/>
          <w:color w:val="000000" w:themeColor="text1"/>
          <w:highlight w:val="none"/>
          <w:lang w:eastAsia="zh-CN"/>
          <w14:textFill>
            <w14:solidFill>
              <w14:schemeClr w14:val="tx1"/>
            </w14:solidFill>
          </w14:textFill>
        </w:rPr>
        <w:t xml:space="preserve">投标供应商</w:t>
      </w:r>
      <w:r>
        <w:rPr>
          <w:rFonts w:hint="eastAsia" w:ascii="宋体"/>
          <w:bCs/>
          <w:color w:val="000000" w:themeColor="text1"/>
          <w:highlight w:val="none"/>
          <w14:textFill>
            <w14:solidFill>
              <w14:schemeClr w14:val="tx1"/>
            </w14:solidFill>
          </w14:textFill>
        </w:rPr>
        <w:t xml:space="preserve">对所报相关数据的真实性负责，无锡市公共资源交易中心新吴分中心有权将相关内容进行公示；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应当根据</w:t>
      </w:r>
      <w:r>
        <w:rPr>
          <w:rFonts w:hint="eastAsia" w:ascii="宋体" w:hAnsi="宋体"/>
          <w:bCs/>
          <w:color w:val="000000" w:themeColor="text1"/>
          <w:szCs w:val="21"/>
          <w:highlight w:val="none"/>
          <w14:textFill>
            <w14:solidFill>
              <w14:schemeClr w14:val="tx1"/>
            </w14:solidFill>
          </w14:textFill>
        </w:rPr>
        <w:t xml:space="preserve">“项目技术要求和有关说明”</w:t>
      </w:r>
      <w:r>
        <w:rPr>
          <w:rFonts w:hint="eastAsia" w:ascii="宋体" w:hAnsi="宋体"/>
          <w:bCs/>
          <w:color w:val="000000" w:themeColor="text1"/>
          <w:highlight w:val="none"/>
          <w14:textFill>
            <w14:solidFill>
              <w14:schemeClr w14:val="tx1"/>
            </w14:solidFill>
          </w14:textFill>
        </w:rPr>
        <w:t xml:space="preserve">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（4）当采购项目或者采购包的采购标的中含有多种产品，</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除按本文件要求提供《关于符合本国产品标准的声明函》外，还应在本表中进行承诺，</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为该采购项目或者采购包提供的符合本国产品标准的产品成本之和占该</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ascii="宋体" w:hAnsi="宋体"/>
          <w:bCs/>
          <w:color w:val="000000" w:themeColor="text1"/>
          <w:highlight w:val="none"/>
          <w:lang w:eastAsia="zh-CN"/>
          <w14:textFill>
            <w14:solidFill>
              <w14:schemeClr w14:val="tx1"/>
            </w14:solidFill>
          </w14:textFill>
        </w:rPr>
        <w:t xml:space="preserve">投标供应商</w:t>
      </w:r>
      <w:r>
        <w:rPr>
          <w:rFonts w:hint="eastAsia" w:ascii="宋体" w:hAnsi="宋体"/>
          <w:bCs/>
          <w:color w:val="000000" w:themeColor="text1"/>
          <w:highlight w:val="none"/>
          <w14:textFill>
            <w14:solidFill>
              <w14:schemeClr w14:val="tx1"/>
            </w14:solidFill>
          </w14:textFill>
        </w:rPr>
        <w:t xml:space="preserve">可不用填报。（相关具体要求可详见第五章第二部分“对本国产品的支持政策”）</w:t>
      </w:r>
      <w:r/>
    </w:p>
    <w:p>
      <w:pPr>
        <w:ind w:firstLine="315"/>
        <w:spacing w:line="400" w:lineRule="exact"/>
        <w:rPr>
          <w:rFonts w:hint="eastAsia" w:ascii="宋体" w:hAnsi="宋体"/>
          <w:bCs/>
          <w:color w:val="000000" w:themeColor="text1"/>
          <w:highlight w:val="none"/>
          <w:u w:val="singl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（七）声明函（格式）：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中小企业声明函（货物）</w:t>
      </w:r>
      <w:r/>
    </w:p>
    <w:p>
      <w:pPr>
        <w:rPr>
          <w:rFonts w:ascii="Calibri"/>
          <w:color w:val="000000" w:themeColor="text1"/>
          <w:highlight w:val="none"/>
          <w14:textFill>
            <w14:solidFill>
              <w14:schemeClr w14:val="tx1"/>
            </w14:solidFill>
          </w14:textFill>
        </w:rPr>
      </w:pPr>
      <w:r>
        <w:rPr>
          <w:rFonts w:ascii="Calibri"/>
          <w:color w:val="000000" w:themeColor="text1"/>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  期：</w:t>
      </w:r>
      <w:r/>
    </w:p>
    <w:p>
      <w:pPr>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未按上述要求逐一进行填报的将被视为无效投标文件；非专门面向中小企业的项目</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未按上述要求逐一进行填报的将不进行中、小、微型企业认定。</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rPr>
          <w:rFonts w:ascii="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1.（产品名称1）</w:t>
      </w:r>
      <w:r>
        <w:rPr>
          <w:rFonts w:hint="eastAsia" w:ascii="宋体" w:hAnsi="宋体"/>
          <w:bCs/>
          <w:color w:val="000000" w:themeColor="text1"/>
          <w:sz w:val="24"/>
          <w:highlight w:val="none"/>
          <w:vertAlign w:val="superscript"/>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，生产厂为（厂名）</w:t>
      </w:r>
      <w:r>
        <w:rPr>
          <w:rFonts w:hint="eastAsia" w:ascii="宋体" w:hAnsi="宋体"/>
          <w:bCs/>
          <w:color w:val="000000" w:themeColor="text1"/>
          <w:sz w:val="24"/>
          <w:highlight w:val="none"/>
          <w:vertAlign w:val="superscript"/>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，厂址为（生产厂址）。（</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6.划删除线的地方无需填写。</w:t>
      </w:r>
      <w:r/>
    </w:p>
    <w:p>
      <w:pPr>
        <w:pStyle w:val="7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5" w:hanging="425"/>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 xml:space="preserve">（八）残疾人福利性单位声明函（格式）</w:t>
      </w:r>
      <w:r/>
    </w:p>
    <w:p>
      <w:pPr>
        <w:pStyle w:val="735"/>
        <w:ind w:firstLine="0"/>
        <w:jc w:val="center"/>
        <w:spacing w:before="0" w:beforeAutospacing="0" w:after="0" w:afterAutospacing="0" w:line="480" w:lineRule="atLeast"/>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r>
      <w:r/>
    </w:p>
    <w:p>
      <w:pPr>
        <w:pStyle w:val="735"/>
        <w:ind w:firstLine="0"/>
        <w:jc w:val="center"/>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残疾人福利性单位声明函</w:t>
      </w:r>
      <w:r/>
    </w:p>
    <w:p>
      <w:pPr>
        <w:pStyle w:val="735"/>
        <w:ind w:firstLine="48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35"/>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本单位对上述声明的真实性负责。如有虚假，将依法承担相应责任。</w:t>
      </w:r>
      <w:r/>
    </w:p>
    <w:p>
      <w:pPr>
        <w:pStyle w:val="735"/>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35"/>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35"/>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pStyle w:val="735"/>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ind w:firstLine="422"/>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rPr>
          <w:rFonts w:ascii="黑体" w:eastAsia="黑体" w:cs="宋体"/>
          <w:b/>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九）项目人员配备表（格式）</w:t>
      </w:r>
      <w:r/>
    </w:p>
    <w:p>
      <w:pPr>
        <w:jc w:val="center"/>
        <w:spacing w:line="360" w:lineRule="auto"/>
        <w:rPr>
          <w:rFonts w:ascii="黑体" w:eastAsia="黑体" w:cs="宋体"/>
          <w:b/>
          <w:color w:val="000000" w:themeColor="text1"/>
          <w:sz w:val="32"/>
          <w:szCs w:val="32"/>
          <w:highlight w:val="none"/>
          <w14:textFill>
            <w14:solidFill>
              <w14:schemeClr w14:val="tx1"/>
            </w14:solidFill>
          </w14:textFill>
        </w:rPr>
      </w:pPr>
      <w:r>
        <w:rPr>
          <w:rFonts w:ascii="黑体" w:eastAsia="黑体" w:cs="宋体"/>
          <w:b/>
          <w:color w:val="000000" w:themeColor="text1"/>
          <w:sz w:val="32"/>
          <w:szCs w:val="32"/>
          <w:highlight w:val="none"/>
          <w14:textFill>
            <w14:solidFill>
              <w14:schemeClr w14:val="tx1"/>
            </w14:solidFill>
          </w14:textFill>
        </w:rPr>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项目人员配备表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07"/>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923"/>
        <w:gridCol w:w="1533"/>
        <w:gridCol w:w="1533"/>
        <w:gridCol w:w="1351"/>
        <w:gridCol w:w="1715"/>
        <w:gridCol w:w="1021"/>
      </w:tblGrid>
      <w:tr>
        <w:trPr>
          <w:jc w:val="center"/>
          <w:trHeight w:val="974"/>
        </w:trPr>
        <w:tc>
          <w:tcPr>
            <w:tcW w:w="94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序</w:t>
            </w:r>
            <w:r>
              <w:rPr>
                <w:rFonts w:hint="eastAsia" w:ascii="宋体" w:hAnsi="宋体"/>
                <w:b/>
                <w:bCs/>
                <w:color w:val="000000" w:themeColor="text1"/>
                <w:szCs w:val="21"/>
                <w:highlight w:val="none"/>
                <w14:textFill>
                  <w14:solidFill>
                    <w14:schemeClr w14:val="tx1"/>
                  </w14:solidFill>
                </w14:textFill>
              </w:rPr>
              <w:t xml:space="preserve"> 号</w:t>
            </w:r>
            <w:r/>
          </w:p>
        </w:tc>
        <w:tc>
          <w:tcPr>
            <w:tcW w:w="92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证书类型</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社保缴纳时间</w:t>
            </w:r>
            <w:r/>
          </w:p>
        </w:tc>
        <w:tc>
          <w:tcPr>
            <w:tcW w:w="135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联系方式</w:t>
            </w:r>
            <w:r/>
          </w:p>
        </w:tc>
        <w:tc>
          <w:tcPr>
            <w:tcW w:w="1715"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劳动合同期限</w:t>
            </w:r>
            <w:r/>
          </w:p>
        </w:tc>
        <w:tc>
          <w:tcPr>
            <w:tcW w:w="1021" w:type="dxa"/>
            <w:vAlign w:val="center"/>
            <w:textDirection w:val="lrTb"/>
            <w:noWrap w:val="false"/>
          </w:tcPr>
          <w:p>
            <w:pPr>
              <w:jc w:val="center"/>
              <w:spacing w:after="120"/>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 注</w:t>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60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left="420" w:hanging="420"/>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注：按招标文件要求附人员相关证书，表格不够可自行延长。</w:t>
      </w:r>
      <w:r/>
    </w:p>
    <w:p>
      <w:pPr>
        <w:jc w:val="center"/>
        <w:spacing w:line="4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投标供应商公章：</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授权代表签字:  </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rFonts w:hint="eastAsia"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（十）</w:t>
      </w:r>
      <w:r>
        <w:rPr>
          <w:rFonts w:hint="eastAsia" w:ascii="宋体" w:hAnsi="宋体" w:cs="宋体"/>
          <w:b/>
          <w:color w:val="000000" w:themeColor="text1"/>
          <w:sz w:val="28"/>
          <w:szCs w:val="28"/>
          <w:highlight w:val="none"/>
          <w:lang w:eastAsia="zh-CN"/>
          <w14:textFill>
            <w14:solidFill>
              <w14:schemeClr w14:val="tx1"/>
            </w14:solidFill>
          </w14:textFill>
        </w:rPr>
        <w:t xml:space="preserve">投标供应商</w:t>
      </w:r>
      <w:r>
        <w:rPr>
          <w:rFonts w:hint="eastAsia" w:ascii="宋体" w:hAnsi="宋体" w:cs="宋体"/>
          <w:b/>
          <w:color w:val="000000" w:themeColor="text1"/>
          <w:sz w:val="28"/>
          <w:szCs w:val="28"/>
          <w:highlight w:val="none"/>
          <w14:textFill>
            <w14:solidFill>
              <w14:schemeClr w14:val="tx1"/>
            </w14:solidFill>
          </w14:textFill>
        </w:rPr>
        <w:t xml:space="preserve">类似业绩一览表（格式）</w:t>
      </w:r>
      <w:r/>
    </w:p>
    <w:p>
      <w:pPr>
        <w:ind w:firstLine="3373"/>
        <w:jc w:val="left"/>
        <w:spacing w:before="11"/>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ind w:firstLine="3373"/>
        <w:jc w:val="left"/>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投标供应商</w:t>
      </w:r>
      <w:r>
        <w:rPr>
          <w:rFonts w:hint="eastAsia" w:ascii="宋体" w:hAnsi="宋体" w:cs="宋体"/>
          <w:b/>
          <w:bCs/>
          <w:color w:val="000000" w:themeColor="text1"/>
          <w:sz w:val="28"/>
          <w:szCs w:val="28"/>
          <w:highlight w:val="none"/>
          <w14:textFill>
            <w14:solidFill>
              <w14:schemeClr w14:val="tx1"/>
            </w14:solidFill>
          </w14:textFill>
        </w:rPr>
        <w:t xml:space="preserve">类似业绩一览表</w:t>
      </w:r>
      <w:r/>
    </w:p>
    <w:tbl>
      <w:tblPr>
        <w:tblStyle w:val="707"/>
        <w:tblW w:w="5051"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0"/>
        <w:gridCol w:w="1757"/>
        <w:gridCol w:w="1419"/>
        <w:gridCol w:w="1790"/>
        <w:gridCol w:w="2153"/>
        <w:gridCol w:w="1046"/>
      </w:tblGrid>
      <w:tr>
        <w:trPr>
          <w:trHeight w:val="935"/>
        </w:trPr>
        <w:tc>
          <w:tcPr>
            <w:tcW w:w="550" w:type="pct"/>
            <w:vAlign w:val="center"/>
            <w:textDirection w:val="lrTb"/>
            <w:noWrap w:val="false"/>
          </w:tcPr>
          <w:p>
            <w:pPr>
              <w:ind w:left="287" w:right="16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序号</w:t>
            </w:r>
            <w:r/>
          </w:p>
        </w:tc>
        <w:tc>
          <w:tcPr>
            <w:tcW w:w="957"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项目名称</w:t>
            </w:r>
            <w:r/>
          </w:p>
        </w:tc>
        <w:tc>
          <w:tcPr>
            <w:tcW w:w="773" w:type="pct"/>
            <w:vAlign w:val="center"/>
            <w:textDirection w:val="lrTb"/>
            <w:noWrap w:val="false"/>
          </w:tcPr>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合同签订时间</w:t>
            </w:r>
            <w:r/>
          </w:p>
        </w:tc>
        <w:tc>
          <w:tcPr>
            <w:tcW w:w="975" w:type="pct"/>
            <w:vAlign w:val="center"/>
            <w:textDirection w:val="lrTb"/>
            <w:noWrap w:val="false"/>
          </w:tcPr>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合同金额</w:t>
            </w:r>
            <w:r/>
          </w:p>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（人民币）</w:t>
            </w:r>
            <w:r/>
          </w:p>
        </w:tc>
        <w:tc>
          <w:tcPr>
            <w:tcW w:w="1173"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项目业主</w:t>
            </w:r>
            <w:r/>
          </w:p>
        </w:tc>
        <w:tc>
          <w:tcPr>
            <w:tcW w:w="570"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备注</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1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2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3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4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5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bl>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注：1、表格可自行延长。</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 标 人：</w:t>
      </w:r>
      <w:r>
        <w:rPr>
          <w:rFonts w:hint="eastAsia" w:ascii="宋体" w:hAnsi="宋体" w:cs="宋体"/>
          <w:color w:val="000000" w:themeColor="text1"/>
          <w:sz w:val="24"/>
          <w:highlight w:val="none"/>
          <w:u w:val="single"/>
          <w14:textFill>
            <w14:solidFill>
              <w14:schemeClr w14:val="tx1"/>
            </w14:solidFill>
          </w14:textFill>
        </w:rPr>
        <w:t xml:space="preserve">                              （盖章）</w:t>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法定代表人或其授权代理人：</w:t>
      </w:r>
      <w:r>
        <w:rPr>
          <w:rFonts w:hint="eastAsia" w:ascii="宋体" w:hAnsi="宋体" w:cs="宋体"/>
          <w:color w:val="000000" w:themeColor="text1"/>
          <w:sz w:val="24"/>
          <w:highlight w:val="none"/>
          <w:u w:val="single"/>
          <w14:textFill>
            <w14:solidFill>
              <w14:schemeClr w14:val="tx1"/>
            </w14:solidFill>
          </w14:textFill>
        </w:rPr>
        <w:t xml:space="preserve">          （签字或盖章</w:t>
      </w:r>
      <w:r>
        <w:rPr>
          <w:rFonts w:hint="eastAsia" w:ascii="宋体" w:hAnsi="宋体" w:cs="宋体"/>
          <w:color w:val="000000" w:themeColor="text1"/>
          <w:spacing w:val="-20"/>
          <w:sz w:val="24"/>
          <w:highlight w:val="none"/>
          <w:u w:val="single"/>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74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r>
      <w:r/>
    </w:p>
    <w:p>
      <w:pPr>
        <w:jc w:val="left"/>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（十一）技术偏离表（格式）</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技术偏离表</w:t>
      </w:r>
      <w:r/>
    </w:p>
    <w:p>
      <w:pPr>
        <w:ind w:firstLine="241"/>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24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投标供应商名称（盖章）                           采购项目编号：</w:t>
      </w:r>
      <w:r/>
    </w:p>
    <w:tbl>
      <w:tblPr>
        <w:tblStyle w:val="707"/>
        <w:tblW w:w="9423" w:type="dxa"/>
        <w:jc w:val="center"/>
        <w:tblLayout w:type="fixed"/>
        <w:tblCellMar>
          <w:left w:w="0" w:type="dxa"/>
          <w:top w:w="0" w:type="dxa"/>
          <w:right w:w="0" w:type="dxa"/>
          <w:bottom w:w="0" w:type="dxa"/>
        </w:tblCellMar>
        <w:tblLook w:val="04A0" w:firstRow="1" w:lastRow="0" w:firstColumn="1" w:lastColumn="0" w:noHBand="0" w:noVBand="1"/>
      </w:tblPr>
      <w:tblGrid>
        <w:gridCol w:w="1905"/>
        <w:gridCol w:w="2281"/>
        <w:gridCol w:w="2528"/>
        <w:gridCol w:w="2709"/>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bl>
    <w:p>
      <w:pPr>
        <w:pStyle w:val="725"/>
        <w:tabs>
          <w:tab w:val="center" w:pos="4153" w:leader="none"/>
          <w:tab w:val="clear" w:pos="7143" w:leader="none"/>
          <w:tab w:val="right" w:pos="8306" w:leader="none"/>
          <w:tab w:val="clear" w:pos="14287"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法定代表人或授权代表签字：</w:t>
      </w:r>
      <w:r/>
    </w:p>
    <w:p>
      <w:pPr>
        <w:pStyle w:val="7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keepLines/>
        <w:keepNext/>
        <w:tabs>
          <w:tab w:val="left" w:pos="180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注：（1）本表不得删除，</w:t>
      </w:r>
      <w:r>
        <w:rPr>
          <w:rFonts w:hint="eastAsia" w:ascii="宋体" w:hAnsi="宋体"/>
          <w:b/>
          <w:color w:val="000000" w:themeColor="text1"/>
          <w:sz w:val="24"/>
          <w:highlight w:val="none"/>
          <w14:textFill>
            <w14:solidFill>
              <w14:schemeClr w14:val="tx1"/>
            </w14:solidFill>
          </w14:textFill>
        </w:rPr>
        <w:t xml:space="preserve">投标供应商应当根据“采购需求”详细填列；</w:t>
      </w:r>
      <w:r/>
    </w:p>
    <w:p>
      <w:pPr>
        <w:numPr>
          <w:ilvl w:val="0"/>
          <w:numId w:val="25"/>
        </w:numPr>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如无任何技术偏离，请于本表 “偏离说明”中注明“无偏离”；</w:t>
      </w:r>
      <w:r/>
    </w:p>
    <w:p>
      <w:pPr>
        <w:numPr>
          <w:ilvl w:val="0"/>
          <w:numId w:val="25"/>
        </w:num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如有技术偏离项，</w:t>
      </w:r>
      <w:r>
        <w:rPr>
          <w:rFonts w:hint="eastAsia" w:ascii="宋体" w:hAnsi="宋体"/>
          <w:b/>
          <w:color w:val="000000" w:themeColor="text1"/>
          <w:sz w:val="24"/>
          <w:highlight w:val="none"/>
          <w14:textFill>
            <w14:solidFill>
              <w14:schemeClr w14:val="tx1"/>
            </w14:solidFill>
          </w14:textFill>
        </w:rPr>
        <w:t xml:space="preserve">请于本表中列明正偏离或者负偏离并说明偏离内容</w:t>
      </w:r>
      <w:r>
        <w:rPr>
          <w:rFonts w:hint="eastAsia" w:ascii="宋体" w:hAnsi="宋体"/>
          <w:bCs/>
          <w:color w:val="000000" w:themeColor="text1"/>
          <w:sz w:val="24"/>
          <w:highlight w:val="none"/>
          <w14:textFill>
            <w14:solidFill>
              <w14:schemeClr w14:val="tx1"/>
            </w14:solidFill>
          </w14:textFill>
        </w:rPr>
        <w:t xml:space="preserve">，本表可自行延长，其余无偏离内容不须赘述。</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14"/>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（十二）投标供应商简介和经营情况说明（格式）</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投标供应商情况表</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（内容写不完的栏目可相应扩展）</w:t>
      </w:r>
      <w:r/>
    </w:p>
    <w:tbl>
      <w:tblPr>
        <w:tblStyle w:val="70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中级职称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高级职称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办公面积</w:t>
            </w:r>
            <w:r/>
          </w:p>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自有面积    平方米</w:t>
            </w:r>
            <w:r/>
          </w:p>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14:textFill>
                  <w14:solidFill>
                    <w14:schemeClr w14:val="tx1"/>
                  </w14:solidFill>
                </w14:textFill>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pStyle w:val="711"/>
        <w:ind w:left="294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11"/>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法定代表人或其授权代表签字：</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（十三）评分标准中对应的其它所需证明材料（如有自行添加）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（十四）要求采购人提供的配合（如有自拟并自行添加）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（十五）其它（供应商认为有必要提供的声明和文件，如有自拟并自行添加）</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8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Wingdings">
    <w:panose1 w:val="05000000000000000000"/>
  </w:font>
  <w:font w:name="方正仿宋_GBK">
    <w:panose1 w:val="020B0503020202020204"/>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微软雅黑">
    <w:panose1 w:val="020B0503020204020204"/>
  </w:font>
  <w:font w:name="Calibri">
    <w:panose1 w:val="020F0502020204030204"/>
  </w:font>
  <w:font w:name="inherit">
    <w:panose1 w:val="020B0503020202020204"/>
  </w:font>
  <w:font w:name="Arial">
    <w:panose1 w:val="020B0604020202020204"/>
  </w:font>
  <w:font w:name="SimSun">
    <w:panose1 w:val="02010600030101010101"/>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840" w:hanging="420"/>
        <w:tabs>
          <w:tab w:val="left" w:pos="0" w:leader="none"/>
        </w:tabs>
      </w:pPr>
      <w:rPr>
        <w:rFonts w:hint="default" w:ascii="微软雅黑" w:hAnsi="微软雅黑" w:eastAsia="微软雅黑" w:cs="微软雅黑"/>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0" w:leader="none"/>
        </w:tabs>
      </w:pPr>
      <w:rPr>
        <w:rFonts w:ascii="Times New Roman" w:hAnsi="Times New Roman" w:eastAsia="宋体" w:cs="Times New Roman"/>
        <w:b/>
        <w:i w:val="0"/>
        <w:sz w:val="44"/>
        <w:szCs w:val="44"/>
      </w:rPr>
    </w:lvl>
    <w:lvl w:ilvl="1">
      <w:start w:val="1"/>
      <w:numFmt w:val="decimal"/>
      <w:isLgl w:val="false"/>
      <w:suff w:val="space"/>
      <w:lvlText w:val="%1.%2"/>
      <w:lvlJc w:val="left"/>
      <w:pPr>
        <w:ind w:left="0" w:firstLine="0"/>
      </w:pPr>
      <w:rPr>
        <w:rFonts w:ascii="Times New Roman" w:hAnsi="Times New Roman" w:eastAsia="宋体" w:cs="Times New Roman"/>
      </w:rPr>
    </w:lvl>
    <w:lvl w:ilvl="2">
      <w:start w:val="1"/>
      <w:numFmt w:val="decimal"/>
      <w:isLgl w:val="false"/>
      <w:suff w:val="space"/>
      <w:lvlText w:val="%1.%2.%3"/>
      <w:lvlJc w:val="left"/>
      <w:pPr>
        <w:ind w:left="1440" w:hanging="1440"/>
      </w:pPr>
      <w:rPr>
        <w:rFonts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4">
    <w:multiLevelType w:val="hybridMultilevel"/>
    <w:lvl w:ilvl="0">
      <w:start w:val="1"/>
      <w:numFmt w:val="lowerLetter"/>
      <w:pStyle w:val="1166"/>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decimal"/>
      <w:isLgl w:val="false"/>
      <w:suff w:val="tab"/>
      <w:lvlText w:val="（%2）"/>
      <w:lvlJc w:val="left"/>
      <w:pPr>
        <w:ind w:left="1125" w:hanging="420"/>
        <w:tabs>
          <w:tab w:val="left" w:pos="1129" w:leader="none"/>
        </w:tabs>
      </w:pPr>
      <w:rPr>
        <w:rFonts w:hint="eastAsia"/>
        <w:lang w:val="en-US"/>
      </w:rPr>
    </w:lvl>
    <w:lvl w:ilvl="2">
      <w:start w:val="1"/>
      <w:numFmt w:val="japaneseCounting"/>
      <w:isLgl w:val="false"/>
      <w:suff w:val="tab"/>
      <w:lvlText w:val="%3、"/>
      <w:lvlJc w:val="left"/>
      <w:pPr>
        <w:ind w:left="1350" w:hanging="510"/>
      </w:pPr>
      <w:rPr>
        <w:rFonts w:hint="default"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Thousand"/>
      <w:pStyle w:val="892"/>
      <w:isLgl w:val="false"/>
      <w:suff w:val="tab"/>
      <w:lvlText w:val="第%1部分"/>
      <w:lvlJc w:val="left"/>
      <w:pPr>
        <w:ind w:left="425" w:hanging="425"/>
        <w:tabs>
          <w:tab w:val="left" w:pos="1800" w:leader="none"/>
        </w:tabs>
      </w:pPr>
      <w:rPr>
        <w:rFonts w:hint="eastAsia"/>
      </w:rPr>
    </w:lvl>
    <w:lvl w:ilvl="1">
      <w:start w:val="1"/>
      <w:numFmt w:val="decimal"/>
      <w:pStyle w:val="893"/>
      <w:isLgl w:val="false"/>
      <w:suff w:val="tab"/>
      <w:lvlText w:val="%1.%2"/>
      <w:lvlJc w:val="left"/>
      <w:pPr>
        <w:ind w:left="567" w:hanging="567"/>
        <w:tabs>
          <w:tab w:val="left" w:pos="567" w:leader="none"/>
        </w:tabs>
      </w:pPr>
      <w:rPr>
        <w:rFonts w:hint="eastAsia"/>
      </w:rPr>
    </w:lvl>
    <w:lvl w:ilvl="2">
      <w:start w:val="1"/>
      <w:numFmt w:val="decimal"/>
      <w:pStyle w:val="998"/>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95"/>
      <w:isLgl w:val="false"/>
      <w:suff w:val="tab"/>
      <w:lvlText w:val="%1.%2.%3.%4.%5"/>
      <w:lvlJc w:val="left"/>
      <w:pPr>
        <w:ind w:left="992" w:hanging="992"/>
        <w:tabs>
          <w:tab w:val="left" w:pos="1080" w:leader="none"/>
        </w:tabs>
      </w:pPr>
      <w:rPr>
        <w:rFonts w:hint="eastAsia"/>
      </w:rPr>
    </w:lvl>
    <w:lvl w:ilvl="5">
      <w:start w:val="1"/>
      <w:numFmt w:val="decimal"/>
      <w:pStyle w:val="89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72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条"/>
      <w:lvlJc w:val="left"/>
      <w:pPr>
        <w:ind w:left="1325" w:hanging="765"/>
      </w:pPr>
      <w:rPr>
        <w:rFonts w:hint="default"/>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0"/>
      <w:numFmt w:val="decimal"/>
      <w:pStyle w:val="1136"/>
      <w:isLgl w:val="false"/>
      <w:suff w:val="tab"/>
      <w:lvlText w:val=""/>
      <w:lvlJc w:val="left"/>
      <w:pPr>
        <w:tabs>
          <w:tab w:val="left" w:pos="360" w:leader="none"/>
        </w:tabs>
      </w:pPr>
    </w:lvl>
    <w:lvl w:ilvl="1">
      <w:start w:val="1"/>
      <w:numFmt w:val="bullet"/>
      <w:pStyle w:val="117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4"/>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ind w:left="420" w:hanging="420"/>
      </w:pPr>
      <w:rPr>
        <w:rFonts w:hint="default" w:ascii="Wingdings" w:hAnsi="Wingdings"/>
        <w:sz w:val="10"/>
        <w:szCs w:val="1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19"/>
  </w:num>
  <w:num w:numId="4">
    <w:abstractNumId w:val="4"/>
  </w:num>
  <w:num w:numId="5">
    <w:abstractNumId w:val="3"/>
    <w:lvlOverride w:ilvl="0">
      <w:lvl w:ilvl="0">
        <w:start w:val="1"/>
        <w:numFmt w:val="decimal"/>
        <w:pStyle w:val="1189"/>
        <w:isLgl w:val="false"/>
        <w:suff w:val="tab"/>
        <w:lvlText w:val="%1."/>
        <w:lvlJc w:val="left"/>
        <w:pPr>
          <w:ind w:left="5806" w:hanging="420"/>
          <w:tabs>
            <w:tab w:val="left" w:pos="0" w:leader="none"/>
          </w:tabs>
        </w:pPr>
        <w:rPr>
          <w:rFonts w:ascii="Times New Roman" w:hAnsi="Times New Roman" w:eastAsia="宋体" w:cs="Times New Roman"/>
          <w:b/>
          <w:i w:val="0"/>
          <w:sz w:val="44"/>
          <w:szCs w:val="44"/>
        </w:rPr>
      </w:lvl>
    </w:lvlOverride>
  </w:num>
  <w:num w:numId="6">
    <w:abstractNumId w:val="9"/>
  </w:num>
  <w:num w:numId="7">
    <w:abstractNumId w:val="14"/>
  </w:num>
  <w:num w:numId="8">
    <w:abstractNumId w:val="1"/>
  </w:num>
  <w:num w:numId="9">
    <w:abstractNumId w:val="5"/>
  </w:num>
  <w:num w:numId="10">
    <w:abstractNumId w:val="7"/>
  </w:num>
  <w:num w:numId="11">
    <w:abstractNumId w:val="16"/>
  </w:num>
  <w:num w:numId="12">
    <w:abstractNumId w:val="0"/>
  </w:num>
  <w:num w:numId="13">
    <w:abstractNumId w:val="2"/>
  </w:num>
  <w:num w:numId="14">
    <w:abstractNumId w:val="13"/>
  </w:num>
  <w:num w:numId="15">
    <w:abstractNumId w:val="21"/>
  </w:num>
  <w:num w:numId="16">
    <w:abstractNumId w:val="24"/>
  </w:num>
  <w:num w:numId="17">
    <w:abstractNumId w:val="23"/>
  </w:num>
  <w:num w:numId="18">
    <w:abstractNumId w:val="11"/>
  </w:num>
  <w:num w:numId="19">
    <w:abstractNumId w:val="17"/>
  </w:num>
  <w:num w:numId="20">
    <w:abstractNumId w:val="6"/>
  </w:num>
  <w:num w:numId="21">
    <w:abstractNumId w:val="18"/>
  </w:num>
  <w:num w:numId="22">
    <w:abstractNumId w:val="8"/>
  </w:num>
  <w:num w:numId="23">
    <w:abstractNumId w:val="22"/>
  </w:num>
  <w:num w:numId="24">
    <w:abstractNumId w:val="15"/>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6"/>
    <w:link w:val="697"/>
    <w:uiPriority w:val="9"/>
    <w:rPr>
      <w:rFonts w:ascii="Arial" w:hAnsi="Arial" w:eastAsia="Arial" w:cs="Arial"/>
      <w:sz w:val="40"/>
      <w:szCs w:val="40"/>
    </w:rPr>
  </w:style>
  <w:style w:type="character" w:styleId="15">
    <w:name w:val="Heading 2 Char"/>
    <w:basedOn w:val="706"/>
    <w:link w:val="698"/>
    <w:uiPriority w:val="9"/>
    <w:rPr>
      <w:rFonts w:ascii="Arial" w:hAnsi="Arial" w:eastAsia="Arial" w:cs="Arial"/>
      <w:sz w:val="34"/>
    </w:rPr>
  </w:style>
  <w:style w:type="character" w:styleId="17">
    <w:name w:val="Heading 3 Char"/>
    <w:basedOn w:val="706"/>
    <w:link w:val="699"/>
    <w:uiPriority w:val="9"/>
    <w:rPr>
      <w:rFonts w:ascii="Arial" w:hAnsi="Arial" w:eastAsia="Arial" w:cs="Arial"/>
      <w:sz w:val="30"/>
      <w:szCs w:val="30"/>
    </w:rPr>
  </w:style>
  <w:style w:type="character" w:styleId="19">
    <w:name w:val="Heading 4 Char"/>
    <w:basedOn w:val="706"/>
    <w:link w:val="700"/>
    <w:uiPriority w:val="9"/>
    <w:rPr>
      <w:rFonts w:ascii="Arial" w:hAnsi="Arial" w:eastAsia="Arial" w:cs="Arial"/>
      <w:b/>
      <w:bCs/>
      <w:sz w:val="26"/>
      <w:szCs w:val="26"/>
    </w:rPr>
  </w:style>
  <w:style w:type="character" w:styleId="21">
    <w:name w:val="Heading 5 Char"/>
    <w:basedOn w:val="706"/>
    <w:link w:val="701"/>
    <w:uiPriority w:val="9"/>
    <w:rPr>
      <w:rFonts w:ascii="Arial" w:hAnsi="Arial" w:eastAsia="Arial" w:cs="Arial"/>
      <w:b/>
      <w:bCs/>
      <w:sz w:val="24"/>
      <w:szCs w:val="24"/>
    </w:rPr>
  </w:style>
  <w:style w:type="character" w:styleId="23">
    <w:name w:val="Heading 6 Char"/>
    <w:basedOn w:val="706"/>
    <w:link w:val="702"/>
    <w:uiPriority w:val="9"/>
    <w:rPr>
      <w:rFonts w:ascii="Arial" w:hAnsi="Arial" w:eastAsia="Arial" w:cs="Arial"/>
      <w:b/>
      <w:bCs/>
      <w:sz w:val="22"/>
      <w:szCs w:val="22"/>
    </w:rPr>
  </w:style>
  <w:style w:type="character" w:styleId="25">
    <w:name w:val="Heading 7 Char"/>
    <w:basedOn w:val="706"/>
    <w:link w:val="703"/>
    <w:uiPriority w:val="9"/>
    <w:rPr>
      <w:rFonts w:ascii="Arial" w:hAnsi="Arial" w:eastAsia="Arial" w:cs="Arial"/>
      <w:b/>
      <w:bCs/>
      <w:i/>
      <w:iCs/>
      <w:sz w:val="22"/>
      <w:szCs w:val="22"/>
    </w:rPr>
  </w:style>
  <w:style w:type="character" w:styleId="27">
    <w:name w:val="Heading 8 Char"/>
    <w:basedOn w:val="706"/>
    <w:link w:val="704"/>
    <w:uiPriority w:val="9"/>
    <w:rPr>
      <w:rFonts w:ascii="Arial" w:hAnsi="Arial" w:eastAsia="Arial" w:cs="Arial"/>
      <w:i/>
      <w:iCs/>
      <w:sz w:val="22"/>
      <w:szCs w:val="22"/>
    </w:rPr>
  </w:style>
  <w:style w:type="character" w:styleId="29">
    <w:name w:val="Heading 9 Char"/>
    <w:basedOn w:val="706"/>
    <w:link w:val="705"/>
    <w:uiPriority w:val="9"/>
    <w:rPr>
      <w:rFonts w:ascii="Arial" w:hAnsi="Arial" w:eastAsia="Arial" w:cs="Arial"/>
      <w:i/>
      <w:iCs/>
      <w:sz w:val="21"/>
      <w:szCs w:val="21"/>
    </w:rPr>
  </w:style>
  <w:style w:type="character" w:styleId="34">
    <w:name w:val="Title Char"/>
    <w:basedOn w:val="706"/>
    <w:link w:val="736"/>
    <w:uiPriority w:val="10"/>
    <w:rPr>
      <w:sz w:val="48"/>
      <w:szCs w:val="48"/>
    </w:rPr>
  </w:style>
  <w:style w:type="character" w:styleId="36">
    <w:name w:val="Subtitle Char"/>
    <w:basedOn w:val="706"/>
    <w:link w:val="729"/>
    <w:uiPriority w:val="11"/>
    <w:rPr>
      <w:sz w:val="24"/>
      <w:szCs w:val="24"/>
    </w:rPr>
  </w:style>
  <w:style w:type="character" w:styleId="38">
    <w:name w:val="Quote Char"/>
    <w:link w:val="757"/>
    <w:uiPriority w:val="29"/>
    <w:rPr>
      <w:i/>
    </w:rPr>
  </w:style>
  <w:style w:type="character" w:styleId="40">
    <w:name w:val="Intense Quote Char"/>
    <w:link w:val="759"/>
    <w:uiPriority w:val="30"/>
    <w:rPr>
      <w:i/>
    </w:rPr>
  </w:style>
  <w:style w:type="character" w:styleId="42">
    <w:name w:val="Header Char"/>
    <w:basedOn w:val="706"/>
    <w:link w:val="726"/>
    <w:uiPriority w:val="99"/>
  </w:style>
  <w:style w:type="character" w:styleId="46">
    <w:name w:val="Caption Char"/>
    <w:basedOn w:val="712"/>
    <w:link w:val="725"/>
    <w:uiPriority w:val="99"/>
  </w:style>
  <w:style w:type="table" w:styleId="49">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0"/>
    <w:uiPriority w:val="99"/>
    <w:rPr>
      <w:sz w:val="18"/>
    </w:rPr>
  </w:style>
  <w:style w:type="character" w:styleId="178">
    <w:name w:val="Endnote Text Char"/>
    <w:link w:val="724"/>
    <w:uiPriority w:val="99"/>
    <w:rPr>
      <w:sz w:val="20"/>
    </w:rPr>
  </w:style>
  <w:style w:type="paragraph" w:styleId="189">
    <w:name w:val="TOC Heading"/>
    <w:uiPriority w:val="39"/>
    <w:unhideWhenUsed/>
  </w:style>
  <w:style w:type="paragraph" w:styleId="696" w:default="1">
    <w:name w:val="Normal"/>
    <w:next w:val="708"/>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Heading 1"/>
    <w:basedOn w:val="696"/>
    <w:next w:val="696"/>
    <w:link w:val="745"/>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46"/>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47"/>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48"/>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49"/>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750"/>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52"/>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53"/>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First Indent 2"/>
    <w:basedOn w:val="709"/>
    <w:next w:val="696"/>
    <w:uiPriority w:val="0"/>
    <w:qFormat/>
    <w:pPr>
      <w:ind w:firstLine="420"/>
    </w:pPr>
  </w:style>
  <w:style w:type="paragraph" w:styleId="709">
    <w:name w:val="Body Text Indent"/>
    <w:basedOn w:val="696"/>
    <w:uiPriority w:val="0"/>
    <w:qFormat/>
    <w:pPr>
      <w:ind w:left="420"/>
      <w:spacing w:after="120"/>
    </w:pPr>
  </w:style>
  <w:style w:type="paragraph" w:styleId="710">
    <w:name w:val="toc 7"/>
    <w:basedOn w:val="696"/>
    <w:next w:val="696"/>
    <w:uiPriority w:val="39"/>
    <w:unhideWhenUsed/>
    <w:qFormat/>
    <w:pPr>
      <w:ind w:left="1701"/>
      <w:spacing w:after="57"/>
    </w:pPr>
  </w:style>
  <w:style w:type="paragraph" w:styleId="711">
    <w:name w:val="Normal Indent"/>
    <w:basedOn w:val="696"/>
    <w:uiPriority w:val="0"/>
    <w:qFormat/>
    <w:pPr>
      <w:ind w:firstLine="420"/>
    </w:pPr>
    <w:rPr>
      <w:rFonts w:ascii="Calibri" w:hAnsi="Calibri"/>
    </w:rPr>
  </w:style>
  <w:style w:type="paragraph" w:styleId="712">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6"/>
    <w:uiPriority w:val="99"/>
    <w:semiHidden/>
    <w:unhideWhenUsed/>
    <w:qFormat/>
    <w:pPr>
      <w:jc w:val="left"/>
    </w:pPr>
  </w:style>
  <w:style w:type="paragraph" w:styleId="714">
    <w:name w:val="Body Text"/>
    <w:basedOn w:val="696"/>
    <w:next w:val="715"/>
    <w:uiPriority w:val="0"/>
    <w:qFormat/>
    <w:rPr>
      <w:rFonts w:ascii="华文中宋" w:hAnsi="Calibri" w:eastAsia="华文中宋"/>
      <w:bCs/>
      <w:sz w:val="28"/>
    </w:rPr>
  </w:style>
  <w:style w:type="paragraph" w:styleId="715">
    <w:name w:val="Date"/>
    <w:basedOn w:val="696"/>
    <w:next w:val="696"/>
    <w:uiPriority w:val="0"/>
    <w:qFormat/>
    <w:pPr>
      <w:ind w:left="100"/>
    </w:pPr>
    <w:rPr>
      <w:rFonts w:ascii="隶书" w:eastAsia="隶书"/>
      <w:b/>
      <w:sz w:val="28"/>
    </w:rPr>
  </w:style>
  <w:style w:type="paragraph" w:styleId="716">
    <w:name w:val="List 2"/>
    <w:basedOn w:val="696"/>
    <w:uiPriority w:val="0"/>
    <w:qFormat/>
    <w:pPr>
      <w:ind w:left="840" w:hanging="420"/>
    </w:pPr>
    <w:rPr>
      <w:rFonts w:hAnsi="新宋体"/>
      <w:color w:val="000000"/>
      <w:spacing w:val="-8"/>
      <w:szCs w:val="20"/>
    </w:rPr>
  </w:style>
  <w:style w:type="paragraph" w:styleId="717">
    <w:name w:val="Block Text"/>
    <w:basedOn w:val="696"/>
    <w:uiPriority w:val="0"/>
    <w:qFormat/>
    <w:pPr>
      <w:ind w:left="420" w:right="33"/>
      <w:jc w:val="left"/>
    </w:pPr>
    <w:rPr>
      <w:sz w:val="24"/>
      <w:szCs w:val="20"/>
    </w:rPr>
  </w:style>
  <w:style w:type="paragraph" w:styleId="718">
    <w:name w:val="index 4"/>
    <w:basedOn w:val="696"/>
    <w:next w:val="696"/>
    <w:uiPriority w:val="0"/>
    <w:qFormat/>
    <w:pPr>
      <w:ind w:left="600"/>
    </w:pPr>
  </w:style>
  <w:style w:type="paragraph" w:styleId="719">
    <w:name w:val="toc 5"/>
    <w:basedOn w:val="696"/>
    <w:next w:val="696"/>
    <w:uiPriority w:val="39"/>
    <w:unhideWhenUsed/>
    <w:qFormat/>
    <w:pPr>
      <w:ind w:left="1134"/>
      <w:spacing w:after="57"/>
    </w:pPr>
  </w:style>
  <w:style w:type="paragraph" w:styleId="720">
    <w:name w:val="toc 3"/>
    <w:basedOn w:val="696"/>
    <w:next w:val="696"/>
    <w:uiPriority w:val="39"/>
    <w:unhideWhenUsed/>
    <w:qFormat/>
    <w:pPr>
      <w:ind w:left="567"/>
      <w:spacing w:after="57"/>
    </w:pPr>
  </w:style>
  <w:style w:type="paragraph" w:styleId="721">
    <w:name w:val="Plain Text"/>
    <w:basedOn w:val="696"/>
    <w:uiPriority w:val="0"/>
    <w:qFormat/>
    <w:rPr>
      <w:rFonts w:ascii="宋体" w:hAnsi="Courier New"/>
      <w:sz w:val="20"/>
      <w:szCs w:val="21"/>
    </w:rPr>
  </w:style>
  <w:style w:type="paragraph" w:styleId="722">
    <w:name w:val="List Bullet 5"/>
    <w:basedOn w:val="696"/>
    <w:uiPriority w:val="99"/>
    <w:semiHidden/>
    <w:unhideWhenUsed/>
    <w:qFormat/>
    <w:pPr>
      <w:numPr>
        <w:ilvl w:val="0"/>
        <w:numId w:val="1"/>
      </w:numPr>
    </w:pPr>
  </w:style>
  <w:style w:type="paragraph" w:styleId="723">
    <w:name w:val="toc 8"/>
    <w:basedOn w:val="696"/>
    <w:next w:val="696"/>
    <w:uiPriority w:val="39"/>
    <w:unhideWhenUsed/>
    <w:qFormat/>
    <w:pPr>
      <w:ind w:left="1984"/>
      <w:spacing w:after="57"/>
    </w:pPr>
  </w:style>
  <w:style w:type="paragraph" w:styleId="724">
    <w:name w:val="endnote text"/>
    <w:basedOn w:val="696"/>
    <w:link w:val="890"/>
    <w:uiPriority w:val="99"/>
    <w:semiHidden/>
    <w:unhideWhenUsed/>
    <w:qFormat/>
    <w:rPr>
      <w:sz w:val="20"/>
    </w:rPr>
  </w:style>
  <w:style w:type="paragraph" w:styleId="725">
    <w:name w:val="Footer"/>
    <w:basedOn w:val="696"/>
    <w:link w:val="763"/>
    <w:uiPriority w:val="99"/>
    <w:unhideWhenUsed/>
    <w:qFormat/>
    <w:pPr>
      <w:tabs>
        <w:tab w:val="center" w:pos="7143" w:leader="none"/>
        <w:tab w:val="right" w:pos="14287" w:leader="none"/>
      </w:tabs>
    </w:pPr>
  </w:style>
  <w:style w:type="paragraph" w:styleId="726">
    <w:name w:val="Header"/>
    <w:basedOn w:val="696"/>
    <w:link w:val="761"/>
    <w:uiPriority w:val="99"/>
    <w:unhideWhenUsed/>
    <w:qFormat/>
    <w:pPr>
      <w:tabs>
        <w:tab w:val="center" w:pos="7143" w:leader="none"/>
        <w:tab w:val="right" w:pos="14287" w:leader="none"/>
      </w:tabs>
    </w:pPr>
  </w:style>
  <w:style w:type="paragraph" w:styleId="727">
    <w:name w:val="toc 1"/>
    <w:basedOn w:val="696"/>
    <w:next w:val="696"/>
    <w:uiPriority w:val="39"/>
    <w:unhideWhenUsed/>
    <w:qFormat/>
    <w:pPr>
      <w:spacing w:after="57"/>
    </w:pPr>
  </w:style>
  <w:style w:type="paragraph" w:styleId="728">
    <w:name w:val="toc 4"/>
    <w:basedOn w:val="696"/>
    <w:next w:val="696"/>
    <w:uiPriority w:val="39"/>
    <w:unhideWhenUsed/>
    <w:qFormat/>
    <w:pPr>
      <w:ind w:left="850"/>
      <w:spacing w:after="57"/>
    </w:pPr>
  </w:style>
  <w:style w:type="paragraph" w:styleId="729">
    <w:name w:val="Subtitle"/>
    <w:basedOn w:val="696"/>
    <w:next w:val="696"/>
    <w:link w:val="756"/>
    <w:uiPriority w:val="11"/>
    <w:qFormat/>
    <w:pPr>
      <w:spacing w:before="200" w:after="200"/>
    </w:pPr>
    <w:rPr>
      <w:sz w:val="24"/>
    </w:rPr>
  </w:style>
  <w:style w:type="paragraph" w:styleId="730">
    <w:name w:val="footnote text"/>
    <w:basedOn w:val="696"/>
    <w:link w:val="889"/>
    <w:uiPriority w:val="99"/>
    <w:semiHidden/>
    <w:unhideWhenUsed/>
    <w:qFormat/>
    <w:pPr>
      <w:spacing w:after="40"/>
    </w:pPr>
    <w:rPr>
      <w:sz w:val="18"/>
    </w:rPr>
  </w:style>
  <w:style w:type="paragraph" w:styleId="731">
    <w:name w:val="toc 6"/>
    <w:basedOn w:val="696"/>
    <w:next w:val="696"/>
    <w:uiPriority w:val="39"/>
    <w:unhideWhenUsed/>
    <w:qFormat/>
    <w:pPr>
      <w:ind w:left="1417"/>
      <w:spacing w:after="57"/>
    </w:pPr>
  </w:style>
  <w:style w:type="paragraph" w:styleId="732">
    <w:name w:val="table of figures"/>
    <w:basedOn w:val="696"/>
    <w:next w:val="696"/>
    <w:uiPriority w:val="99"/>
    <w:unhideWhenUsed/>
    <w:qFormat/>
  </w:style>
  <w:style w:type="paragraph" w:styleId="733">
    <w:name w:val="toc 2"/>
    <w:basedOn w:val="696"/>
    <w:next w:val="696"/>
    <w:uiPriority w:val="39"/>
    <w:unhideWhenUsed/>
    <w:qFormat/>
    <w:pPr>
      <w:ind w:left="283"/>
      <w:spacing w:after="57"/>
    </w:pPr>
  </w:style>
  <w:style w:type="paragraph" w:styleId="734">
    <w:name w:val="toc 9"/>
    <w:basedOn w:val="696"/>
    <w:next w:val="696"/>
    <w:uiPriority w:val="39"/>
    <w:unhideWhenUsed/>
    <w:qFormat/>
    <w:pPr>
      <w:ind w:left="2268"/>
      <w:spacing w:after="57"/>
    </w:pPr>
  </w:style>
  <w:style w:type="paragraph" w:styleId="735">
    <w:name w:val="Normal (Web)"/>
    <w:basedOn w:val="696"/>
    <w:uiPriority w:val="0"/>
    <w:qFormat/>
    <w:pPr>
      <w:ind w:firstLine="420"/>
      <w:jc w:val="left"/>
      <w:spacing w:before="100" w:beforeAutospacing="1" w:after="100" w:afterAutospacing="1" w:line="288" w:lineRule="auto"/>
      <w:widowControl/>
    </w:pPr>
    <w:rPr>
      <w:rFonts w:ascii="宋体" w:hAnsi="宋体"/>
      <w:sz w:val="24"/>
    </w:rPr>
  </w:style>
  <w:style w:type="paragraph" w:styleId="736">
    <w:name w:val="Title"/>
    <w:basedOn w:val="696"/>
    <w:next w:val="696"/>
    <w:link w:val="755"/>
    <w:uiPriority w:val="10"/>
    <w:qFormat/>
    <w:pPr>
      <w:contextualSpacing/>
      <w:spacing w:before="300" w:after="200"/>
    </w:pPr>
    <w:rPr>
      <w:sz w:val="48"/>
      <w:szCs w:val="48"/>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annotation reference"/>
    <w:basedOn w:val="706"/>
    <w:uiPriority w:val="99"/>
    <w:semiHidden/>
    <w:unhideWhenUsed/>
    <w:qFormat/>
    <w:rPr>
      <w:sz w:val="21"/>
      <w:szCs w:val="21"/>
    </w:rPr>
  </w:style>
  <w:style w:type="character" w:styleId="741">
    <w:name w:val="footnote reference"/>
    <w:uiPriority w:val="99"/>
    <w:unhideWhenUsed/>
    <w:qFormat/>
    <w:rPr>
      <w:vertAlign w:val="superscript"/>
    </w:rPr>
  </w:style>
  <w:style w:type="paragraph" w:styleId="742" w:customStyle="1">
    <w:name w:val="章节题目"/>
    <w:basedOn w:val="743"/>
    <w:next w:val="696"/>
    <w:uiPriority w:val="0"/>
    <w:qFormat/>
    <w:pPr>
      <w:ind w:right="2160"/>
      <w:spacing w:before="720" w:after="400" w:line="540" w:lineRule="atLeast"/>
    </w:pPr>
    <w:rPr>
      <w:rFonts w:ascii="Times New Roman" w:hAnsi="Times New Roman"/>
      <w:spacing w:val="-40"/>
      <w:sz w:val="60"/>
    </w:rPr>
  </w:style>
  <w:style w:type="paragraph" w:styleId="743" w:customStyle="1">
    <w:name w:val="基准标题"/>
    <w:basedOn w:val="696"/>
    <w:next w:val="714"/>
    <w:uiPriority w:val="0"/>
    <w:qFormat/>
    <w:pPr>
      <w:keepLines/>
      <w:keepNext/>
      <w:spacing w:before="140" w:line="220" w:lineRule="atLeast"/>
    </w:pPr>
    <w:rPr>
      <w:rFonts w:ascii="Arial" w:hAnsi="Arial"/>
      <w:spacing w:val="-4"/>
    </w:rPr>
  </w:style>
  <w:style w:type="paragraph" w:styleId="744" w:customStyle="1">
    <w:name w:val="TOC Heading1"/>
    <w:next w:val="696"/>
    <w:uiPriority w:val="0"/>
    <w:qFormat/>
    <w:rPr>
      <w:rFonts w:ascii="Times New Roman" w:hAnsi="Times New Roman" w:eastAsia="宋体" w:cs="Times New Roman"/>
      <w:sz w:val="32"/>
      <w:lang w:val="en-US" w:eastAsia="zh-CN" w:bidi="ar-SA"/>
    </w:rPr>
  </w:style>
  <w:style w:type="character" w:styleId="745" w:customStyle="1">
    <w:name w:val="标题 1 字符1"/>
    <w:link w:val="697"/>
    <w:uiPriority w:val="9"/>
    <w:qFormat/>
    <w:rPr>
      <w:rFonts w:ascii="Arial" w:hAnsi="Arial" w:eastAsia="Arial" w:cs="Arial"/>
      <w:sz w:val="40"/>
      <w:szCs w:val="40"/>
    </w:rPr>
  </w:style>
  <w:style w:type="character" w:styleId="746" w:customStyle="1">
    <w:name w:val="标题 2 字符1"/>
    <w:link w:val="698"/>
    <w:uiPriority w:val="9"/>
    <w:qFormat/>
    <w:rPr>
      <w:rFonts w:ascii="Arial" w:hAnsi="Arial" w:eastAsia="Arial" w:cs="Arial"/>
      <w:sz w:val="34"/>
    </w:rPr>
  </w:style>
  <w:style w:type="character" w:styleId="747" w:customStyle="1">
    <w:name w:val="标题 3 字符1"/>
    <w:link w:val="699"/>
    <w:uiPriority w:val="9"/>
    <w:qFormat/>
    <w:rPr>
      <w:rFonts w:ascii="Arial" w:hAnsi="Arial" w:eastAsia="Arial" w:cs="Arial"/>
      <w:sz w:val="30"/>
      <w:szCs w:val="30"/>
    </w:rPr>
  </w:style>
  <w:style w:type="character" w:styleId="748" w:customStyle="1">
    <w:name w:val="标题 4 字符1"/>
    <w:link w:val="700"/>
    <w:uiPriority w:val="9"/>
    <w:qFormat/>
    <w:rPr>
      <w:rFonts w:ascii="Arial" w:hAnsi="Arial" w:eastAsia="Arial" w:cs="Arial"/>
      <w:b/>
      <w:bCs/>
      <w:sz w:val="26"/>
      <w:szCs w:val="26"/>
    </w:rPr>
  </w:style>
  <w:style w:type="character" w:styleId="749" w:customStyle="1">
    <w:name w:val="标题 5 字符1"/>
    <w:link w:val="701"/>
    <w:uiPriority w:val="9"/>
    <w:qFormat/>
    <w:rPr>
      <w:rFonts w:ascii="Arial" w:hAnsi="Arial" w:eastAsia="Arial" w:cs="Arial"/>
      <w:b/>
      <w:bCs/>
      <w:sz w:val="24"/>
      <w:szCs w:val="24"/>
    </w:rPr>
  </w:style>
  <w:style w:type="character" w:styleId="750" w:customStyle="1">
    <w:name w:val="标题 6 字符1"/>
    <w:link w:val="702"/>
    <w:uiPriority w:val="9"/>
    <w:qFormat/>
    <w:rPr>
      <w:rFonts w:ascii="Arial" w:hAnsi="Arial" w:eastAsia="Arial" w:cs="Arial"/>
      <w:b/>
      <w:bCs/>
      <w:sz w:val="22"/>
      <w:szCs w:val="22"/>
    </w:rPr>
  </w:style>
  <w:style w:type="character" w:styleId="751" w:customStyle="1">
    <w:name w:val="标题 7 字符1"/>
    <w:link w:val="703"/>
    <w:uiPriority w:val="9"/>
    <w:qFormat/>
    <w:rPr>
      <w:rFonts w:ascii="Arial" w:hAnsi="Arial" w:eastAsia="Arial" w:cs="Arial"/>
      <w:b/>
      <w:bCs/>
      <w:i/>
      <w:iCs/>
      <w:sz w:val="22"/>
      <w:szCs w:val="22"/>
    </w:rPr>
  </w:style>
  <w:style w:type="character" w:styleId="752" w:customStyle="1">
    <w:name w:val="标题 8 字符1"/>
    <w:link w:val="704"/>
    <w:uiPriority w:val="9"/>
    <w:qFormat/>
    <w:rPr>
      <w:rFonts w:ascii="Arial" w:hAnsi="Arial" w:eastAsia="Arial" w:cs="Arial"/>
      <w:i/>
      <w:iCs/>
      <w:sz w:val="22"/>
      <w:szCs w:val="22"/>
    </w:rPr>
  </w:style>
  <w:style w:type="character" w:styleId="753" w:customStyle="1">
    <w:name w:val="标题 9 字符1"/>
    <w:link w:val="705"/>
    <w:uiPriority w:val="9"/>
    <w:qFormat/>
    <w:rPr>
      <w:rFonts w:ascii="Arial" w:hAnsi="Arial" w:eastAsia="Arial" w:cs="Arial"/>
      <w:i/>
      <w:iCs/>
      <w:sz w:val="21"/>
      <w:szCs w:val="21"/>
    </w:rPr>
  </w:style>
  <w:style w:type="paragraph" w:styleId="754">
    <w:name w:val="No Spacing"/>
    <w:uiPriority w:val="1"/>
    <w:qFormat/>
    <w:rPr>
      <w:rFonts w:ascii="Times New Roman" w:hAnsi="Times New Roman" w:eastAsia="宋体" w:cs="Times New Roman"/>
      <w:lang w:val="en-US" w:eastAsia="zh-CN" w:bidi="ar-SA"/>
    </w:rPr>
  </w:style>
  <w:style w:type="character" w:styleId="755" w:customStyle="1">
    <w:name w:val="标题 字符1"/>
    <w:link w:val="736"/>
    <w:uiPriority w:val="10"/>
    <w:qFormat/>
    <w:rPr>
      <w:sz w:val="48"/>
      <w:szCs w:val="48"/>
    </w:rPr>
  </w:style>
  <w:style w:type="character" w:styleId="756" w:customStyle="1">
    <w:name w:val="副标题 字符1"/>
    <w:link w:val="729"/>
    <w:uiPriority w:val="11"/>
    <w:qFormat/>
    <w:rPr>
      <w:sz w:val="24"/>
      <w:szCs w:val="24"/>
    </w:rPr>
  </w:style>
  <w:style w:type="paragraph" w:styleId="757">
    <w:name w:val="Quote"/>
    <w:basedOn w:val="696"/>
    <w:next w:val="696"/>
    <w:link w:val="758"/>
    <w:uiPriority w:val="29"/>
    <w:qFormat/>
    <w:pPr>
      <w:ind w:left="720" w:right="720"/>
    </w:pPr>
    <w:rPr>
      <w:i/>
    </w:rPr>
  </w:style>
  <w:style w:type="character" w:styleId="758" w:customStyle="1">
    <w:name w:val="引用 字符1"/>
    <w:link w:val="757"/>
    <w:uiPriority w:val="29"/>
    <w:qFormat/>
    <w:rPr>
      <w:i/>
    </w:rPr>
  </w:style>
  <w:style w:type="paragraph" w:styleId="759">
    <w:name w:val="Intense Quote"/>
    <w:basedOn w:val="696"/>
    <w:next w:val="696"/>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字符1"/>
    <w:link w:val="759"/>
    <w:uiPriority w:val="30"/>
    <w:qFormat/>
    <w:rPr>
      <w:i/>
    </w:rPr>
  </w:style>
  <w:style w:type="character" w:styleId="761" w:customStyle="1">
    <w:name w:val="页眉 字符1"/>
    <w:link w:val="726"/>
    <w:uiPriority w:val="99"/>
    <w:qFormat/>
  </w:style>
  <w:style w:type="character" w:styleId="762" w:customStyle="1">
    <w:name w:val="Footer Char"/>
    <w:uiPriority w:val="99"/>
    <w:qFormat/>
  </w:style>
  <w:style w:type="character" w:styleId="763" w:customStyle="1">
    <w:name w:val="页脚 字符1"/>
    <w:link w:val="725"/>
    <w:uiPriority w:val="99"/>
    <w:qFormat/>
  </w:style>
  <w:style w:type="table" w:styleId="7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脚注文本 字符1"/>
    <w:link w:val="730"/>
    <w:uiPriority w:val="99"/>
    <w:qFormat/>
    <w:rPr>
      <w:sz w:val="18"/>
    </w:rPr>
  </w:style>
  <w:style w:type="character" w:styleId="890" w:customStyle="1">
    <w:name w:val="尾注文本 字符"/>
    <w:link w:val="724"/>
    <w:uiPriority w:val="99"/>
    <w:qFormat/>
    <w:rPr>
      <w:sz w:val="20"/>
    </w:rPr>
  </w:style>
  <w:style w:type="paragraph" w:styleId="891" w:customStyle="1">
    <w:name w:val="TOC 标题1"/>
    <w:uiPriority w:val="39"/>
    <w:unhideWhenUsed/>
    <w:qFormat/>
    <w:rPr>
      <w:rFonts w:ascii="Times New Roman" w:hAnsi="Times New Roman" w:eastAsia="宋体" w:cs="Times New Roman"/>
      <w:lang w:val="en-US" w:eastAsia="zh-CN" w:bidi="ar-SA"/>
    </w:rPr>
  </w:style>
  <w:style w:type="paragraph" w:styleId="892" w:customStyle="1">
    <w:name w:val="标题 11"/>
    <w:basedOn w:val="696"/>
    <w:next w:val="696"/>
    <w:link w:val="903"/>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893" w:customStyle="1">
    <w:name w:val="标题 21"/>
    <w:basedOn w:val="696"/>
    <w:next w:val="696"/>
    <w:link w:val="904"/>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894" w:customStyle="1">
    <w:name w:val="标题 31"/>
    <w:basedOn w:val="696"/>
    <w:next w:val="696"/>
    <w:link w:val="905"/>
    <w:uiPriority w:val="0"/>
    <w:qFormat/>
    <w:pPr>
      <w:keepLines/>
      <w:keepNext/>
      <w:spacing w:before="260" w:after="260" w:line="416" w:lineRule="auto"/>
      <w:outlineLvl w:val="2"/>
    </w:pPr>
    <w:rPr>
      <w:rFonts w:ascii="黑体" w:eastAsia="黑体"/>
      <w:b/>
      <w:bCs/>
      <w:sz w:val="32"/>
      <w:szCs w:val="32"/>
    </w:rPr>
  </w:style>
  <w:style w:type="paragraph" w:styleId="895" w:customStyle="1">
    <w:name w:val="标题 41"/>
    <w:basedOn w:val="696"/>
    <w:next w:val="696"/>
    <w:link w:val="906"/>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896" w:customStyle="1">
    <w:name w:val="标题 51"/>
    <w:basedOn w:val="696"/>
    <w:next w:val="696"/>
    <w:link w:val="907"/>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897" w:customStyle="1">
    <w:name w:val="标题 61"/>
    <w:basedOn w:val="696"/>
    <w:next w:val="696"/>
    <w:link w:val="908"/>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98" w:customStyle="1">
    <w:name w:val="标题 71"/>
    <w:basedOn w:val="696"/>
    <w:next w:val="696"/>
    <w:link w:val="909"/>
    <w:uiPriority w:val="0"/>
    <w:qFormat/>
    <w:pPr>
      <w:ind w:left="1296" w:hanging="1296"/>
      <w:keepLines/>
      <w:keepNext/>
      <w:spacing w:before="240" w:after="64" w:line="320" w:lineRule="atLeast"/>
      <w:tabs>
        <w:tab w:val="left" w:pos="1296" w:leader="none"/>
      </w:tabs>
      <w:outlineLvl w:val="6"/>
    </w:pPr>
    <w:rPr>
      <w:b/>
      <w:sz w:val="24"/>
    </w:rPr>
  </w:style>
  <w:style w:type="paragraph" w:styleId="899" w:customStyle="1">
    <w:name w:val="标题 81"/>
    <w:basedOn w:val="696"/>
    <w:next w:val="696"/>
    <w:link w:val="91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00" w:customStyle="1">
    <w:name w:val="标题 91"/>
    <w:basedOn w:val="696"/>
    <w:next w:val="696"/>
    <w:link w:val="911"/>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01" w:customStyle="1">
    <w:name w:val="默认段落字体1"/>
    <w:uiPriority w:val="1"/>
    <w:unhideWhenUsed/>
    <w:qFormat/>
  </w:style>
  <w:style w:type="table" w:styleId="902" w:customStyle="1">
    <w:name w:val="普通表格1"/>
    <w:uiPriority w:val="0"/>
    <w:semiHidden/>
    <w:qFormat/>
    <w:tblPr>
      <w:tblCellMar>
        <w:left w:w="0" w:type="dxa"/>
        <w:top w:w="0" w:type="dxa"/>
        <w:right w:w="0" w:type="dxa"/>
        <w:bottom w:w="0" w:type="dxa"/>
      </w:tblCellMar>
    </w:tblPr>
  </w:style>
  <w:style w:type="character" w:styleId="903" w:customStyle="1">
    <w:name w:val="标题 1 字符"/>
    <w:link w:val="892"/>
    <w:uiPriority w:val="0"/>
    <w:qFormat/>
    <w:rPr>
      <w:rFonts w:ascii="黑体" w:eastAsia="黑体"/>
      <w:b/>
      <w:bCs/>
      <w:sz w:val="44"/>
      <w:szCs w:val="44"/>
    </w:rPr>
  </w:style>
  <w:style w:type="character" w:styleId="904" w:customStyle="1">
    <w:name w:val="标题 2 字符"/>
    <w:link w:val="893"/>
    <w:uiPriority w:val="0"/>
    <w:qFormat/>
    <w:rPr>
      <w:rFonts w:ascii="Arial" w:hAnsi="Arial" w:eastAsia="黑体"/>
      <w:b/>
      <w:bCs/>
      <w:sz w:val="32"/>
      <w:szCs w:val="32"/>
    </w:rPr>
  </w:style>
  <w:style w:type="character" w:styleId="905" w:customStyle="1">
    <w:name w:val="标题 3 字符"/>
    <w:link w:val="894"/>
    <w:uiPriority w:val="0"/>
    <w:qFormat/>
    <w:rPr>
      <w:rFonts w:ascii="黑体" w:eastAsia="黑体"/>
      <w:b/>
      <w:bCs/>
      <w:sz w:val="32"/>
      <w:szCs w:val="32"/>
    </w:rPr>
  </w:style>
  <w:style w:type="character" w:styleId="906" w:customStyle="1">
    <w:name w:val="标题 4 字符"/>
    <w:link w:val="895"/>
    <w:uiPriority w:val="0"/>
    <w:qFormat/>
    <w:rPr>
      <w:rFonts w:ascii="Arial" w:hAnsi="Arial" w:eastAsia="黑体"/>
      <w:b/>
      <w:bCs/>
      <w:sz w:val="28"/>
      <w:szCs w:val="28"/>
    </w:rPr>
  </w:style>
  <w:style w:type="character" w:styleId="907" w:customStyle="1">
    <w:name w:val="标题 5 字符"/>
    <w:link w:val="896"/>
    <w:uiPriority w:val="0"/>
    <w:qFormat/>
    <w:rPr>
      <w:rFonts w:ascii="黑体" w:eastAsia="黑体"/>
      <w:b/>
      <w:bCs/>
      <w:sz w:val="28"/>
      <w:szCs w:val="28"/>
    </w:rPr>
  </w:style>
  <w:style w:type="character" w:styleId="908" w:customStyle="1">
    <w:name w:val="标题 6 字符"/>
    <w:link w:val="897"/>
    <w:uiPriority w:val="0"/>
    <w:qFormat/>
    <w:rPr>
      <w:rFonts w:ascii="Arial" w:hAnsi="Arial" w:eastAsia="黑体"/>
      <w:b/>
      <w:sz w:val="24"/>
      <w:szCs w:val="24"/>
    </w:rPr>
  </w:style>
  <w:style w:type="character" w:styleId="909" w:customStyle="1">
    <w:name w:val="标题 7 字符"/>
    <w:link w:val="898"/>
    <w:uiPriority w:val="0"/>
    <w:qFormat/>
    <w:rPr>
      <w:b/>
      <w:sz w:val="24"/>
      <w:szCs w:val="24"/>
    </w:rPr>
  </w:style>
  <w:style w:type="character" w:styleId="910" w:customStyle="1">
    <w:name w:val="标题 8 字符"/>
    <w:link w:val="899"/>
    <w:uiPriority w:val="0"/>
    <w:qFormat/>
    <w:rPr>
      <w:rFonts w:ascii="Arial" w:hAnsi="Arial" w:eastAsia="黑体"/>
      <w:sz w:val="24"/>
      <w:szCs w:val="24"/>
    </w:rPr>
  </w:style>
  <w:style w:type="character" w:styleId="911" w:customStyle="1">
    <w:name w:val="标题 9 字符"/>
    <w:link w:val="900"/>
    <w:uiPriority w:val="0"/>
    <w:qFormat/>
    <w:rPr>
      <w:rFonts w:ascii="Arial" w:hAnsi="Arial" w:eastAsia="黑体"/>
      <w:sz w:val="21"/>
      <w:szCs w:val="24"/>
    </w:rPr>
  </w:style>
  <w:style w:type="paragraph" w:styleId="912" w:customStyle="1">
    <w:name w:val="目录 71"/>
    <w:basedOn w:val="696"/>
    <w:next w:val="696"/>
    <w:uiPriority w:val="39"/>
    <w:qFormat/>
    <w:pPr>
      <w:ind w:left="1260" w:firstLine="420"/>
      <w:jc w:val="left"/>
      <w:spacing w:line="288" w:lineRule="auto"/>
    </w:pPr>
    <w:rPr>
      <w:sz w:val="18"/>
      <w:szCs w:val="18"/>
    </w:rPr>
  </w:style>
  <w:style w:type="paragraph" w:styleId="913" w:customStyle="1">
    <w:name w:val="索引 81"/>
    <w:basedOn w:val="696"/>
    <w:next w:val="696"/>
    <w:uiPriority w:val="0"/>
    <w:qFormat/>
    <w:pPr>
      <w:ind w:left="1400"/>
    </w:pPr>
    <w:rPr>
      <w:szCs w:val="20"/>
    </w:rPr>
  </w:style>
  <w:style w:type="paragraph" w:styleId="914" w:customStyle="1">
    <w:name w:val="正文缩进1"/>
    <w:basedOn w:val="696"/>
    <w:link w:val="915"/>
    <w:uiPriority w:val="0"/>
    <w:qFormat/>
    <w:pPr>
      <w:ind w:firstLine="420"/>
      <w:jc w:val="left"/>
      <w:widowControl/>
    </w:pPr>
    <w:rPr>
      <w:sz w:val="20"/>
      <w:szCs w:val="20"/>
    </w:rPr>
  </w:style>
  <w:style w:type="character" w:styleId="915" w:customStyle="1">
    <w:name w:val="正文缩进 字符"/>
    <w:link w:val="914"/>
    <w:uiPriority w:val="0"/>
    <w:qFormat/>
  </w:style>
  <w:style w:type="paragraph" w:styleId="916" w:customStyle="1">
    <w:name w:val="题注1"/>
    <w:basedOn w:val="696"/>
    <w:next w:val="696"/>
    <w:uiPriority w:val="0"/>
    <w:qFormat/>
    <w:rPr>
      <w:rFonts w:ascii="Arial" w:hAnsi="Arial" w:eastAsia="黑体" w:cs="Arial"/>
      <w:sz w:val="20"/>
      <w:szCs w:val="20"/>
    </w:rPr>
  </w:style>
  <w:style w:type="paragraph" w:styleId="917" w:customStyle="1">
    <w:name w:val="索引 51"/>
    <w:basedOn w:val="696"/>
    <w:next w:val="696"/>
    <w:uiPriority w:val="0"/>
    <w:qFormat/>
    <w:pPr>
      <w:ind w:left="800"/>
    </w:pPr>
    <w:rPr>
      <w:szCs w:val="20"/>
    </w:rPr>
  </w:style>
  <w:style w:type="paragraph" w:styleId="918" w:customStyle="1">
    <w:name w:val="文档结构图1"/>
    <w:basedOn w:val="696"/>
    <w:link w:val="919"/>
    <w:uiPriority w:val="0"/>
    <w:qFormat/>
    <w:pPr>
      <w:shd w:val="clear" w:color="auto" w:fill="000080"/>
    </w:pPr>
  </w:style>
  <w:style w:type="character" w:styleId="919" w:customStyle="1">
    <w:name w:val="文档结构图 字符"/>
    <w:link w:val="918"/>
    <w:uiPriority w:val="0"/>
    <w:qFormat/>
    <w:rPr>
      <w:sz w:val="21"/>
      <w:szCs w:val="24"/>
      <w:shd w:val="clear" w:color="auto" w:fill="000080"/>
    </w:rPr>
  </w:style>
  <w:style w:type="paragraph" w:styleId="920" w:customStyle="1">
    <w:name w:val="批注文字1"/>
    <w:basedOn w:val="696"/>
    <w:link w:val="921"/>
    <w:uiPriority w:val="0"/>
    <w:qFormat/>
    <w:pPr>
      <w:jc w:val="left"/>
    </w:pPr>
  </w:style>
  <w:style w:type="character" w:styleId="921" w:customStyle="1">
    <w:name w:val="批注文字 字符"/>
    <w:link w:val="920"/>
    <w:uiPriority w:val="0"/>
    <w:qFormat/>
    <w:rPr>
      <w:sz w:val="21"/>
      <w:szCs w:val="24"/>
    </w:rPr>
  </w:style>
  <w:style w:type="paragraph" w:styleId="922" w:customStyle="1">
    <w:name w:val="索引 61"/>
    <w:basedOn w:val="696"/>
    <w:next w:val="696"/>
    <w:uiPriority w:val="0"/>
    <w:qFormat/>
    <w:pPr>
      <w:ind w:left="1000"/>
    </w:pPr>
    <w:rPr>
      <w:szCs w:val="20"/>
    </w:rPr>
  </w:style>
  <w:style w:type="paragraph" w:styleId="923" w:customStyle="1">
    <w:name w:val="称呼1"/>
    <w:basedOn w:val="696"/>
    <w:next w:val="696"/>
    <w:link w:val="924"/>
    <w:uiPriority w:val="0"/>
    <w:qFormat/>
    <w:pPr>
      <w:ind w:firstLine="420"/>
      <w:spacing w:after="20" w:line="288" w:lineRule="auto"/>
    </w:pPr>
    <w:rPr>
      <w:sz w:val="28"/>
    </w:rPr>
  </w:style>
  <w:style w:type="character" w:styleId="924" w:customStyle="1">
    <w:name w:val="称呼 字符"/>
    <w:link w:val="923"/>
    <w:uiPriority w:val="0"/>
    <w:qFormat/>
    <w:rPr>
      <w:sz w:val="28"/>
      <w:szCs w:val="24"/>
    </w:rPr>
  </w:style>
  <w:style w:type="paragraph" w:styleId="925" w:customStyle="1">
    <w:name w:val="正文文本 31"/>
    <w:basedOn w:val="696"/>
    <w:link w:val="926"/>
    <w:uiPriority w:val="0"/>
    <w:qFormat/>
    <w:pPr>
      <w:jc w:val="center"/>
      <w:spacing w:after="20" w:line="288" w:lineRule="auto"/>
    </w:pPr>
    <w:rPr>
      <w:b/>
      <w:bCs/>
      <w:sz w:val="24"/>
    </w:rPr>
  </w:style>
  <w:style w:type="character" w:styleId="926" w:customStyle="1">
    <w:name w:val="正文文本 3 字符"/>
    <w:link w:val="925"/>
    <w:uiPriority w:val="0"/>
    <w:qFormat/>
    <w:rPr>
      <w:b/>
      <w:bCs/>
      <w:sz w:val="24"/>
      <w:szCs w:val="24"/>
    </w:rPr>
  </w:style>
  <w:style w:type="paragraph" w:styleId="927" w:customStyle="1">
    <w:name w:val="结束语1"/>
    <w:basedOn w:val="696"/>
    <w:link w:val="928"/>
    <w:uiPriority w:val="0"/>
    <w:qFormat/>
    <w:pPr>
      <w:ind w:left="100" w:firstLine="420"/>
      <w:spacing w:after="20" w:line="288" w:lineRule="auto"/>
    </w:pPr>
    <w:rPr>
      <w:sz w:val="28"/>
    </w:rPr>
  </w:style>
  <w:style w:type="character" w:styleId="928" w:customStyle="1">
    <w:name w:val="结束语 字符"/>
    <w:link w:val="927"/>
    <w:uiPriority w:val="0"/>
    <w:qFormat/>
    <w:rPr>
      <w:sz w:val="28"/>
      <w:szCs w:val="24"/>
    </w:rPr>
  </w:style>
  <w:style w:type="paragraph" w:styleId="929" w:customStyle="1">
    <w:name w:val="列表项目符号 31"/>
    <w:basedOn w:val="696"/>
    <w:uiPriority w:val="0"/>
    <w:qFormat/>
    <w:pPr>
      <w:ind w:left="1620" w:hanging="420"/>
      <w:tabs>
        <w:tab w:val="left" w:pos="1620" w:leader="none"/>
      </w:tabs>
    </w:pPr>
  </w:style>
  <w:style w:type="paragraph" w:styleId="930" w:customStyle="1">
    <w:name w:val="正文文本111"/>
    <w:basedOn w:val="696"/>
    <w:next w:val="696"/>
    <w:link w:val="931"/>
    <w:uiPriority w:val="0"/>
    <w:qFormat/>
    <w:rPr>
      <w:rFonts w:ascii="仿宋_GB2312" w:eastAsia="仿宋_GB2312"/>
      <w:sz w:val="28"/>
      <w:szCs w:val="20"/>
    </w:rPr>
  </w:style>
  <w:style w:type="character" w:styleId="931" w:customStyle="1">
    <w:name w:val="正文文本 字符"/>
    <w:link w:val="930"/>
    <w:uiPriority w:val="0"/>
    <w:qFormat/>
    <w:rPr>
      <w:rFonts w:ascii="仿宋_GB2312" w:eastAsia="仿宋_GB2312"/>
      <w:sz w:val="28"/>
    </w:rPr>
  </w:style>
  <w:style w:type="paragraph" w:styleId="932" w:customStyle="1">
    <w:name w:val="正文文本缩进1"/>
    <w:basedOn w:val="696"/>
    <w:link w:val="933"/>
    <w:uiPriority w:val="0"/>
    <w:qFormat/>
    <w:pPr>
      <w:ind w:left="156"/>
      <w:spacing w:line="300" w:lineRule="auto"/>
      <w:widowControl/>
    </w:pPr>
    <w:rPr>
      <w:rFonts w:ascii="仿宋_GB2312" w:eastAsia="仿宋_GB2312"/>
      <w:sz w:val="28"/>
      <w:szCs w:val="20"/>
    </w:rPr>
  </w:style>
  <w:style w:type="character" w:styleId="933" w:customStyle="1">
    <w:name w:val="正文文本缩进 字符"/>
    <w:link w:val="932"/>
    <w:uiPriority w:val="0"/>
    <w:qFormat/>
    <w:rPr>
      <w:rFonts w:ascii="仿宋_GB2312" w:eastAsia="仿宋_GB2312"/>
      <w:sz w:val="28"/>
    </w:rPr>
  </w:style>
  <w:style w:type="paragraph" w:styleId="934" w:customStyle="1">
    <w:name w:val="文本块1"/>
    <w:basedOn w:val="696"/>
    <w:uiPriority w:val="0"/>
    <w:qFormat/>
    <w:pPr>
      <w:ind w:left="420" w:right="33"/>
      <w:jc w:val="left"/>
    </w:pPr>
    <w:rPr>
      <w:sz w:val="24"/>
      <w:szCs w:val="20"/>
    </w:rPr>
  </w:style>
  <w:style w:type="paragraph" w:styleId="935" w:customStyle="1">
    <w:name w:val="列表项目符号 21"/>
    <w:basedOn w:val="696"/>
    <w:uiPriority w:val="0"/>
    <w:qFormat/>
    <w:pPr>
      <w:ind w:left="780"/>
      <w:tabs>
        <w:tab w:val="left" w:pos="360" w:leader="none"/>
        <w:tab w:val="left" w:pos="780" w:leader="none"/>
      </w:tabs>
    </w:pPr>
  </w:style>
  <w:style w:type="paragraph" w:styleId="936" w:customStyle="1">
    <w:name w:val="索引 411"/>
    <w:basedOn w:val="696"/>
    <w:next w:val="696"/>
    <w:uiPriority w:val="0"/>
    <w:qFormat/>
    <w:pPr>
      <w:ind w:left="600"/>
    </w:pPr>
    <w:rPr>
      <w:szCs w:val="20"/>
    </w:rPr>
  </w:style>
  <w:style w:type="paragraph" w:styleId="937" w:customStyle="1">
    <w:name w:val="目录 51"/>
    <w:basedOn w:val="696"/>
    <w:next w:val="696"/>
    <w:uiPriority w:val="39"/>
    <w:qFormat/>
    <w:pPr>
      <w:ind w:left="840" w:firstLine="420"/>
      <w:jc w:val="left"/>
      <w:spacing w:line="288" w:lineRule="auto"/>
    </w:pPr>
    <w:rPr>
      <w:sz w:val="18"/>
      <w:szCs w:val="18"/>
    </w:rPr>
  </w:style>
  <w:style w:type="paragraph" w:styleId="938" w:customStyle="1">
    <w:name w:val="目录 31"/>
    <w:basedOn w:val="696"/>
    <w:next w:val="696"/>
    <w:uiPriority w:val="39"/>
    <w:qFormat/>
    <w:pPr>
      <w:ind w:left="420" w:firstLine="420"/>
      <w:jc w:val="left"/>
      <w:spacing w:line="288" w:lineRule="auto"/>
    </w:pPr>
    <w:rPr>
      <w:iCs/>
      <w:sz w:val="20"/>
      <w:szCs w:val="20"/>
    </w:rPr>
  </w:style>
  <w:style w:type="paragraph" w:styleId="939" w:customStyle="1">
    <w:name w:val="纯文本1"/>
    <w:basedOn w:val="696"/>
    <w:link w:val="940"/>
    <w:uiPriority w:val="0"/>
    <w:qFormat/>
    <w:rPr>
      <w:rFonts w:ascii="宋体" w:hAnsi="Courier New"/>
      <w:szCs w:val="21"/>
    </w:rPr>
  </w:style>
  <w:style w:type="character" w:styleId="940" w:customStyle="1">
    <w:name w:val="纯文本 字符"/>
    <w:link w:val="939"/>
    <w:uiPriority w:val="0"/>
    <w:qFormat/>
    <w:rPr>
      <w:rFonts w:ascii="宋体" w:hAnsi="Courier New"/>
      <w:sz w:val="21"/>
      <w:szCs w:val="21"/>
    </w:rPr>
  </w:style>
  <w:style w:type="paragraph" w:styleId="941" w:customStyle="1">
    <w:name w:val="列表项目符号 51"/>
    <w:basedOn w:val="696"/>
    <w:uiPriority w:val="0"/>
    <w:qFormat/>
    <w:pPr>
      <w:spacing w:line="360" w:lineRule="exact"/>
      <w:widowControl/>
      <w:tabs>
        <w:tab w:val="left" w:pos="360" w:leader="none"/>
        <w:tab w:val="left" w:pos="2040" w:leader="none"/>
      </w:tabs>
    </w:pPr>
    <w:rPr>
      <w:rFonts w:eastAsia="楷体_GB2312"/>
      <w:sz w:val="24"/>
      <w:szCs w:val="20"/>
    </w:rPr>
  </w:style>
  <w:style w:type="paragraph" w:styleId="942" w:customStyle="1">
    <w:name w:val="目录 81"/>
    <w:basedOn w:val="696"/>
    <w:next w:val="696"/>
    <w:uiPriority w:val="39"/>
    <w:qFormat/>
    <w:pPr>
      <w:ind w:left="1470" w:firstLine="420"/>
      <w:jc w:val="left"/>
      <w:spacing w:line="288" w:lineRule="auto"/>
    </w:pPr>
    <w:rPr>
      <w:sz w:val="18"/>
      <w:szCs w:val="18"/>
    </w:rPr>
  </w:style>
  <w:style w:type="paragraph" w:styleId="943" w:customStyle="1">
    <w:name w:val="索引 31"/>
    <w:basedOn w:val="696"/>
    <w:next w:val="696"/>
    <w:uiPriority w:val="0"/>
    <w:qFormat/>
    <w:pPr>
      <w:ind w:left="400"/>
    </w:pPr>
    <w:rPr>
      <w:szCs w:val="20"/>
    </w:rPr>
  </w:style>
  <w:style w:type="paragraph" w:styleId="944" w:customStyle="1">
    <w:name w:val="日期1"/>
    <w:basedOn w:val="696"/>
    <w:next w:val="696"/>
    <w:link w:val="945"/>
    <w:uiPriority w:val="0"/>
    <w:qFormat/>
    <w:pPr>
      <w:ind w:left="100"/>
    </w:pPr>
    <w:rPr>
      <w:rFonts w:ascii="楷体_GB2312" w:eastAsia="楷体_GB2312"/>
      <w:b/>
      <w:sz w:val="28"/>
    </w:rPr>
  </w:style>
  <w:style w:type="character" w:styleId="945" w:customStyle="1">
    <w:name w:val="日期 字符"/>
    <w:link w:val="944"/>
    <w:uiPriority w:val="0"/>
    <w:qFormat/>
    <w:rPr>
      <w:rFonts w:ascii="楷体_GB2312" w:eastAsia="楷体_GB2312"/>
      <w:b/>
      <w:sz w:val="28"/>
      <w:szCs w:val="24"/>
    </w:rPr>
  </w:style>
  <w:style w:type="paragraph" w:styleId="946" w:customStyle="1">
    <w:name w:val="正文文本缩进 21"/>
    <w:basedOn w:val="696"/>
    <w:link w:val="947"/>
    <w:uiPriority w:val="0"/>
    <w:qFormat/>
    <w:pPr>
      <w:ind w:firstLine="559"/>
      <w:spacing w:line="400" w:lineRule="exact"/>
      <w:tabs>
        <w:tab w:val="left" w:pos="0" w:leader="none"/>
        <w:tab w:val="left" w:pos="1134" w:leader="none"/>
      </w:tabs>
    </w:pPr>
    <w:rPr>
      <w:rFonts w:ascii="楷体_GB2312" w:eastAsia="楷体_GB2312"/>
      <w:sz w:val="24"/>
    </w:rPr>
  </w:style>
  <w:style w:type="character" w:styleId="947" w:customStyle="1">
    <w:name w:val="正文文本缩进 2 字符"/>
    <w:link w:val="946"/>
    <w:uiPriority w:val="0"/>
    <w:qFormat/>
    <w:rPr>
      <w:rFonts w:ascii="楷体_GB2312" w:eastAsia="楷体_GB2312"/>
      <w:sz w:val="24"/>
      <w:szCs w:val="24"/>
    </w:rPr>
  </w:style>
  <w:style w:type="paragraph" w:styleId="948" w:customStyle="1">
    <w:name w:val="批注框文本1"/>
    <w:basedOn w:val="696"/>
    <w:link w:val="949"/>
    <w:uiPriority w:val="0"/>
    <w:qFormat/>
    <w:rPr>
      <w:sz w:val="18"/>
      <w:szCs w:val="18"/>
    </w:rPr>
  </w:style>
  <w:style w:type="character" w:styleId="949" w:customStyle="1">
    <w:name w:val="批注框文本 字符"/>
    <w:link w:val="948"/>
    <w:uiPriority w:val="0"/>
    <w:qFormat/>
    <w:rPr>
      <w:sz w:val="18"/>
      <w:szCs w:val="18"/>
    </w:rPr>
  </w:style>
  <w:style w:type="paragraph" w:styleId="950" w:customStyle="1">
    <w:name w:val="页脚1"/>
    <w:basedOn w:val="696"/>
    <w:next w:val="951"/>
    <w:link w:val="952"/>
    <w:uiPriority w:val="99"/>
    <w:qFormat/>
    <w:pPr>
      <w:jc w:val="left"/>
      <w:tabs>
        <w:tab w:val="center" w:pos="4153" w:leader="none"/>
        <w:tab w:val="right" w:pos="8306" w:leader="none"/>
      </w:tabs>
    </w:pPr>
    <w:rPr>
      <w:sz w:val="18"/>
      <w:szCs w:val="18"/>
    </w:rPr>
  </w:style>
  <w:style w:type="paragraph" w:styleId="951" w:customStyle="1">
    <w:name w:val="明显引用1"/>
    <w:basedOn w:val="696"/>
    <w:next w:val="696"/>
    <w:link w:val="953"/>
    <w:uiPriority w:val="0"/>
    <w:qFormat/>
    <w:pPr>
      <w:ind w:left="936" w:right="936"/>
      <w:spacing w:before="200" w:after="280"/>
      <w:pBdr>
        <w:bottom w:val="single" w:color="4F81BD" w:sz="4" w:space="4"/>
      </w:pBdr>
    </w:pPr>
    <w:rPr>
      <w:b/>
      <w:bCs/>
      <w:i/>
      <w:iCs/>
      <w:color w:val="4f81bd"/>
      <w:szCs w:val="22"/>
    </w:rPr>
  </w:style>
  <w:style w:type="character" w:styleId="952" w:customStyle="1">
    <w:name w:val="页脚 字符"/>
    <w:link w:val="950"/>
    <w:uiPriority w:val="99"/>
    <w:qFormat/>
    <w:rPr>
      <w:sz w:val="18"/>
      <w:szCs w:val="18"/>
    </w:rPr>
  </w:style>
  <w:style w:type="character" w:styleId="953" w:customStyle="1">
    <w:name w:val="明显引用 字符"/>
    <w:link w:val="951"/>
    <w:uiPriority w:val="0"/>
    <w:qFormat/>
    <w:rPr>
      <w:b/>
      <w:bCs/>
      <w:i/>
      <w:iCs/>
      <w:color w:val="4f81bd"/>
      <w:sz w:val="21"/>
      <w:szCs w:val="22"/>
    </w:rPr>
  </w:style>
  <w:style w:type="paragraph" w:styleId="954" w:customStyle="1">
    <w:name w:val="寄信人地址1"/>
    <w:basedOn w:val="696"/>
    <w:uiPriority w:val="99"/>
    <w:unhideWhenUsed/>
    <w:qFormat/>
    <w:rPr>
      <w:rFonts w:hint="eastAsia" w:ascii="Arial" w:hAnsi="Arial"/>
      <w:sz w:val="24"/>
    </w:rPr>
  </w:style>
  <w:style w:type="paragraph" w:styleId="955" w:customStyle="1">
    <w:name w:val="页眉11"/>
    <w:basedOn w:val="696"/>
    <w:link w:val="956"/>
    <w:uiPriority w:val="99"/>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字符"/>
    <w:link w:val="955"/>
    <w:uiPriority w:val="99"/>
    <w:qFormat/>
    <w:rPr>
      <w:sz w:val="18"/>
      <w:szCs w:val="18"/>
    </w:rPr>
  </w:style>
  <w:style w:type="paragraph" w:styleId="957" w:customStyle="1">
    <w:name w:val="目录 11"/>
    <w:basedOn w:val="696"/>
    <w:next w:val="696"/>
    <w:uiPriority w:val="39"/>
    <w:qFormat/>
    <w:pPr>
      <w:spacing w:before="120" w:after="120" w:line="288" w:lineRule="auto"/>
      <w:tabs>
        <w:tab w:val="right" w:pos="8296" w:leader="dot"/>
      </w:tabs>
    </w:pPr>
    <w:rPr>
      <w:rFonts w:ascii="黑体" w:hAnsi="宋体" w:eastAsia="黑体"/>
      <w:caps/>
      <w:sz w:val="30"/>
      <w:szCs w:val="30"/>
    </w:rPr>
  </w:style>
  <w:style w:type="paragraph" w:styleId="958" w:customStyle="1">
    <w:name w:val="目录 41"/>
    <w:basedOn w:val="696"/>
    <w:next w:val="696"/>
    <w:uiPriority w:val="39"/>
    <w:qFormat/>
    <w:pPr>
      <w:ind w:left="630" w:firstLine="420"/>
      <w:jc w:val="left"/>
      <w:spacing w:line="288" w:lineRule="auto"/>
    </w:pPr>
    <w:rPr>
      <w:sz w:val="18"/>
      <w:szCs w:val="18"/>
    </w:rPr>
  </w:style>
  <w:style w:type="paragraph" w:styleId="959" w:customStyle="1">
    <w:name w:val="副标题1"/>
    <w:basedOn w:val="696"/>
    <w:next w:val="696"/>
    <w:link w:val="960"/>
    <w:uiPriority w:val="0"/>
    <w:qFormat/>
    <w:pPr>
      <w:jc w:val="center"/>
      <w:spacing w:before="240" w:after="60" w:line="312" w:lineRule="auto"/>
      <w:outlineLvl w:val="1"/>
    </w:pPr>
    <w:rPr>
      <w:rFonts w:ascii="幼圆" w:hAnsi="幼圆"/>
      <w:b/>
      <w:bCs/>
      <w:sz w:val="32"/>
      <w:szCs w:val="32"/>
    </w:rPr>
  </w:style>
  <w:style w:type="character" w:styleId="960" w:customStyle="1">
    <w:name w:val="副标题 字符"/>
    <w:link w:val="959"/>
    <w:uiPriority w:val="0"/>
    <w:qFormat/>
    <w:rPr>
      <w:rFonts w:ascii="幼圆" w:hAnsi="幼圆"/>
      <w:b/>
      <w:bCs/>
      <w:sz w:val="32"/>
      <w:szCs w:val="32"/>
    </w:rPr>
  </w:style>
  <w:style w:type="paragraph" w:styleId="961" w:customStyle="1">
    <w:name w:val="列表1"/>
    <w:basedOn w:val="696"/>
    <w:uiPriority w:val="0"/>
    <w:qFormat/>
    <w:pPr>
      <w:spacing w:after="20" w:line="288" w:lineRule="auto"/>
      <w:tabs>
        <w:tab w:val="left" w:pos="360" w:leader="none"/>
        <w:tab w:val="left" w:pos="420" w:leader="none"/>
      </w:tabs>
    </w:pPr>
    <w:rPr>
      <w:szCs w:val="20"/>
      <w:lang w:val="en-GB"/>
    </w:rPr>
  </w:style>
  <w:style w:type="paragraph" w:styleId="962" w:customStyle="1">
    <w:name w:val="脚注文本1"/>
    <w:basedOn w:val="696"/>
    <w:link w:val="963"/>
    <w:uiPriority w:val="0"/>
    <w:qFormat/>
    <w:pPr>
      <w:ind w:firstLine="425"/>
      <w:jc w:val="left"/>
      <w:spacing w:after="60" w:line="360" w:lineRule="exact"/>
    </w:pPr>
    <w:rPr>
      <w:sz w:val="18"/>
      <w:szCs w:val="18"/>
    </w:rPr>
  </w:style>
  <w:style w:type="character" w:styleId="963" w:customStyle="1">
    <w:name w:val="脚注文本 字符"/>
    <w:link w:val="962"/>
    <w:uiPriority w:val="0"/>
    <w:qFormat/>
    <w:rPr>
      <w:sz w:val="18"/>
      <w:szCs w:val="18"/>
    </w:rPr>
  </w:style>
  <w:style w:type="paragraph" w:styleId="964" w:customStyle="1">
    <w:name w:val="目录 61"/>
    <w:basedOn w:val="696"/>
    <w:next w:val="696"/>
    <w:uiPriority w:val="39"/>
    <w:qFormat/>
    <w:pPr>
      <w:ind w:left="1050" w:firstLine="420"/>
      <w:jc w:val="left"/>
      <w:spacing w:line="288" w:lineRule="auto"/>
    </w:pPr>
    <w:rPr>
      <w:sz w:val="18"/>
      <w:szCs w:val="18"/>
    </w:rPr>
  </w:style>
  <w:style w:type="paragraph" w:styleId="965" w:customStyle="1">
    <w:name w:val="正文文本缩进 31"/>
    <w:basedOn w:val="696"/>
    <w:link w:val="966"/>
    <w:uiPriority w:val="0"/>
    <w:qFormat/>
    <w:pPr>
      <w:ind w:firstLine="698"/>
      <w:jc w:val="left"/>
      <w:spacing w:line="360" w:lineRule="auto"/>
    </w:pPr>
    <w:rPr>
      <w:rFonts w:ascii="仿宋_GB2312" w:eastAsia="仿宋_GB2312"/>
      <w:sz w:val="32"/>
      <w:szCs w:val="20"/>
    </w:rPr>
  </w:style>
  <w:style w:type="character" w:styleId="966" w:customStyle="1">
    <w:name w:val="正文文本缩进 3 字符"/>
    <w:link w:val="965"/>
    <w:uiPriority w:val="0"/>
    <w:qFormat/>
    <w:rPr>
      <w:rFonts w:ascii="仿宋_GB2312" w:eastAsia="仿宋_GB2312"/>
      <w:sz w:val="32"/>
    </w:rPr>
  </w:style>
  <w:style w:type="paragraph" w:styleId="967" w:customStyle="1">
    <w:name w:val="索引 71"/>
    <w:basedOn w:val="696"/>
    <w:next w:val="696"/>
    <w:uiPriority w:val="0"/>
    <w:qFormat/>
    <w:pPr>
      <w:ind w:left="1200"/>
    </w:pPr>
    <w:rPr>
      <w:szCs w:val="20"/>
    </w:rPr>
  </w:style>
  <w:style w:type="paragraph" w:styleId="968" w:customStyle="1">
    <w:name w:val="索引 91"/>
    <w:basedOn w:val="696"/>
    <w:next w:val="696"/>
    <w:uiPriority w:val="0"/>
    <w:qFormat/>
    <w:pPr>
      <w:ind w:left="1600"/>
    </w:pPr>
    <w:rPr>
      <w:szCs w:val="20"/>
    </w:rPr>
  </w:style>
  <w:style w:type="paragraph" w:styleId="969" w:customStyle="1">
    <w:name w:val="目录 21"/>
    <w:basedOn w:val="696"/>
    <w:next w:val="696"/>
    <w:uiPriority w:val="39"/>
    <w:qFormat/>
    <w:pPr>
      <w:ind w:left="210" w:firstLine="420"/>
      <w:jc w:val="left"/>
      <w:spacing w:line="288" w:lineRule="auto"/>
    </w:pPr>
    <w:rPr>
      <w:smallCaps/>
      <w:sz w:val="20"/>
      <w:szCs w:val="20"/>
    </w:rPr>
  </w:style>
  <w:style w:type="paragraph" w:styleId="970" w:customStyle="1">
    <w:name w:val="目录 91"/>
    <w:basedOn w:val="696"/>
    <w:next w:val="696"/>
    <w:uiPriority w:val="39"/>
    <w:qFormat/>
    <w:pPr>
      <w:ind w:left="1680" w:firstLine="420"/>
      <w:jc w:val="left"/>
      <w:spacing w:line="288" w:lineRule="auto"/>
    </w:pPr>
    <w:rPr>
      <w:sz w:val="18"/>
      <w:szCs w:val="18"/>
    </w:rPr>
  </w:style>
  <w:style w:type="paragraph" w:styleId="971" w:customStyle="1">
    <w:name w:val="正文文本 21"/>
    <w:basedOn w:val="696"/>
    <w:link w:val="972"/>
    <w:uiPriority w:val="0"/>
    <w:qFormat/>
    <w:pPr>
      <w:ind w:firstLine="420"/>
      <w:spacing w:after="20" w:line="720" w:lineRule="auto"/>
    </w:pPr>
    <w:rPr>
      <w:sz w:val="30"/>
    </w:rPr>
  </w:style>
  <w:style w:type="character" w:styleId="972" w:customStyle="1">
    <w:name w:val="正文文本 2 字符"/>
    <w:link w:val="971"/>
    <w:uiPriority w:val="0"/>
    <w:qFormat/>
    <w:rPr>
      <w:sz w:val="30"/>
      <w:szCs w:val="24"/>
    </w:rPr>
  </w:style>
  <w:style w:type="paragraph" w:styleId="973" w:customStyle="1">
    <w:name w:val="HTML 预设格式1"/>
    <w:basedOn w:val="696"/>
    <w:link w:val="97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4" w:customStyle="1">
    <w:name w:val="HTML 预设格式 字符"/>
    <w:link w:val="973"/>
    <w:uiPriority w:val="0"/>
    <w:qFormat/>
    <w:rPr>
      <w:rFonts w:ascii="黑体" w:hAnsi="Courier New" w:eastAsia="黑体"/>
    </w:rPr>
  </w:style>
  <w:style w:type="paragraph" w:styleId="975" w:customStyle="1">
    <w:name w:val="普通(网站)1"/>
    <w:basedOn w:val="696"/>
    <w:link w:val="976"/>
    <w:uiPriority w:val="0"/>
    <w:qFormat/>
    <w:pPr>
      <w:ind w:firstLine="420"/>
      <w:jc w:val="left"/>
      <w:spacing w:before="100" w:beforeAutospacing="1" w:after="100" w:afterAutospacing="1" w:line="288" w:lineRule="auto"/>
      <w:widowControl/>
    </w:pPr>
    <w:rPr>
      <w:rFonts w:ascii="宋体" w:hAnsi="宋体"/>
      <w:sz w:val="24"/>
    </w:rPr>
  </w:style>
  <w:style w:type="character" w:styleId="976" w:customStyle="1">
    <w:name w:val="普通(网站) 字符"/>
    <w:link w:val="975"/>
    <w:uiPriority w:val="0"/>
    <w:qFormat/>
    <w:rPr>
      <w:rFonts w:ascii="宋体" w:hAnsi="宋体"/>
      <w:sz w:val="24"/>
      <w:szCs w:val="24"/>
    </w:rPr>
  </w:style>
  <w:style w:type="paragraph" w:styleId="977" w:customStyle="1">
    <w:name w:val="索引 11"/>
    <w:basedOn w:val="696"/>
    <w:next w:val="696"/>
    <w:uiPriority w:val="0"/>
    <w:qFormat/>
    <w:rPr>
      <w:szCs w:val="20"/>
    </w:rPr>
  </w:style>
  <w:style w:type="paragraph" w:styleId="978" w:customStyle="1">
    <w:name w:val="索引 21"/>
    <w:basedOn w:val="696"/>
    <w:next w:val="696"/>
    <w:uiPriority w:val="0"/>
    <w:qFormat/>
    <w:pPr>
      <w:ind w:left="200"/>
    </w:pPr>
    <w:rPr>
      <w:szCs w:val="20"/>
    </w:rPr>
  </w:style>
  <w:style w:type="paragraph" w:styleId="979" w:customStyle="1">
    <w:name w:val="标题1"/>
    <w:basedOn w:val="696"/>
    <w:link w:val="980"/>
    <w:uiPriority w:val="0"/>
    <w:qFormat/>
    <w:pPr>
      <w:ind w:firstLine="420"/>
      <w:jc w:val="center"/>
      <w:spacing w:before="240" w:after="60" w:line="288" w:lineRule="auto"/>
      <w:outlineLvl w:val="0"/>
    </w:pPr>
    <w:rPr>
      <w:rFonts w:ascii="Arial" w:hAnsi="Arial"/>
      <w:b/>
      <w:bCs/>
      <w:sz w:val="32"/>
      <w:szCs w:val="32"/>
    </w:rPr>
  </w:style>
  <w:style w:type="character" w:styleId="980" w:customStyle="1">
    <w:name w:val="标题 字符"/>
    <w:link w:val="979"/>
    <w:uiPriority w:val="0"/>
    <w:qFormat/>
    <w:rPr>
      <w:rFonts w:ascii="Arial" w:hAnsi="Arial" w:cs="Arial"/>
      <w:b/>
      <w:bCs/>
      <w:sz w:val="32"/>
      <w:szCs w:val="32"/>
    </w:rPr>
  </w:style>
  <w:style w:type="paragraph" w:styleId="981" w:customStyle="1">
    <w:name w:val="批注主题1"/>
    <w:basedOn w:val="920"/>
    <w:next w:val="920"/>
    <w:link w:val="982"/>
    <w:uiPriority w:val="0"/>
    <w:qFormat/>
    <w:rPr>
      <w:b/>
      <w:bCs/>
    </w:rPr>
  </w:style>
  <w:style w:type="character" w:styleId="982" w:customStyle="1">
    <w:name w:val="批注主题 字符"/>
    <w:link w:val="981"/>
    <w:uiPriority w:val="0"/>
    <w:qFormat/>
    <w:rPr>
      <w:b/>
      <w:bCs/>
      <w:sz w:val="21"/>
      <w:szCs w:val="24"/>
    </w:rPr>
  </w:style>
  <w:style w:type="paragraph" w:styleId="983" w:customStyle="1">
    <w:name w:val="正文首行缩进11"/>
    <w:basedOn w:val="930"/>
    <w:uiPriority w:val="0"/>
    <w:qFormat/>
    <w:pPr>
      <w:ind w:firstLine="420"/>
      <w:spacing w:after="120"/>
    </w:pPr>
    <w:rPr>
      <w:rFonts w:ascii="Times New Roman" w:eastAsia="宋体"/>
      <w:sz w:val="20"/>
      <w:lang w:bidi="mn-Mong-CN"/>
    </w:rPr>
  </w:style>
  <w:style w:type="paragraph" w:styleId="984" w:customStyle="1">
    <w:name w:val="正文首行缩进 21"/>
    <w:basedOn w:val="932"/>
    <w:next w:val="696"/>
    <w:link w:val="985"/>
    <w:uiPriority w:val="0"/>
    <w:qFormat/>
    <w:pPr>
      <w:ind w:left="420" w:firstLine="420"/>
      <w:spacing w:after="120" w:line="240" w:lineRule="auto"/>
      <w:widowControl w:val="off"/>
    </w:pPr>
    <w:rPr>
      <w:rFonts w:ascii="Cambria" w:hAnsi="Cambria" w:eastAsia="华文细黑"/>
      <w:sz w:val="21"/>
    </w:rPr>
  </w:style>
  <w:style w:type="character" w:styleId="985" w:customStyle="1">
    <w:name w:val="正文文本首行缩进 2 字符"/>
    <w:link w:val="984"/>
    <w:uiPriority w:val="0"/>
    <w:qFormat/>
    <w:rPr>
      <w:rFonts w:ascii="Cambria" w:hAnsi="Cambria" w:eastAsia="华文细黑" w:cs="Cambria"/>
      <w:sz w:val="21"/>
    </w:rPr>
  </w:style>
  <w:style w:type="table" w:styleId="986" w:customStyle="1">
    <w:name w:val="网格型1"/>
    <w:basedOn w:val="902"/>
    <w:uiPriority w:val="0"/>
    <w:qFormat/>
    <w:pPr>
      <w:jc w:val="both"/>
      <w:widowControl w:val="off"/>
    </w:pPr>
    <w:tblPr>
      <w:tblCellMar>
        <w:left w:w="0" w:type="dxa"/>
        <w:top w:w="0" w:type="dxa"/>
        <w:right w:w="0" w:type="dxa"/>
        <w:bottom w:w="0" w:type="dxa"/>
      </w:tblCellMar>
    </w:tblPr>
  </w:style>
  <w:style w:type="character" w:styleId="987" w:customStyle="1">
    <w:name w:val="要点1"/>
    <w:uiPriority w:val="22"/>
    <w:qFormat/>
    <w:rPr>
      <w:b/>
      <w:bCs/>
    </w:rPr>
  </w:style>
  <w:style w:type="character" w:styleId="988" w:customStyle="1">
    <w:name w:val="页码1"/>
    <w:uiPriority w:val="0"/>
    <w:qFormat/>
  </w:style>
  <w:style w:type="character" w:styleId="989" w:customStyle="1">
    <w:name w:val="已访问的超链接1"/>
    <w:uiPriority w:val="0"/>
    <w:qFormat/>
    <w:rPr>
      <w:color w:val="800080"/>
      <w:u w:val="single"/>
    </w:rPr>
  </w:style>
  <w:style w:type="character" w:styleId="990" w:customStyle="1">
    <w:name w:val="强调1"/>
    <w:uiPriority w:val="0"/>
    <w:qFormat/>
    <w:rPr>
      <w:i/>
    </w:rPr>
  </w:style>
  <w:style w:type="character" w:styleId="991" w:customStyle="1">
    <w:name w:val="HTML 打字机1"/>
    <w:uiPriority w:val="0"/>
    <w:unhideWhenUsed/>
    <w:qFormat/>
    <w:rPr>
      <w:rFonts w:ascii="宋体" w:hAnsi="宋体" w:eastAsia="宋体" w:cs="宋体"/>
      <w:sz w:val="24"/>
      <w:szCs w:val="24"/>
    </w:rPr>
  </w:style>
  <w:style w:type="character" w:styleId="992" w:customStyle="1">
    <w:name w:val="超链接1"/>
    <w:uiPriority w:val="99"/>
    <w:qFormat/>
    <w:rPr>
      <w:color w:val="0000ff"/>
      <w:u w:val="single"/>
    </w:rPr>
  </w:style>
  <w:style w:type="character" w:styleId="993" w:customStyle="1">
    <w:name w:val="批注引用1"/>
    <w:uiPriority w:val="0"/>
    <w:qFormat/>
    <w:rPr>
      <w:sz w:val="21"/>
      <w:szCs w:val="21"/>
    </w:rPr>
  </w:style>
  <w:style w:type="character" w:styleId="994" w:customStyle="1">
    <w:name w:val="脚注引用1"/>
    <w:uiPriority w:val="0"/>
    <w:qFormat/>
    <w:rPr>
      <w:rFonts w:ascii="宋体" w:hAnsi="宋体" w:eastAsia="宋体"/>
      <w:vertAlign w:val="superscript"/>
    </w:rPr>
  </w:style>
  <w:style w:type="paragraph" w:styleId="995" w:customStyle="1">
    <w:name w:val="索引 41"/>
    <w:basedOn w:val="696"/>
    <w:next w:val="696"/>
    <w:uiPriority w:val="99"/>
    <w:qFormat/>
    <w:pPr>
      <w:ind w:left="600"/>
    </w:pPr>
  </w:style>
  <w:style w:type="paragraph" w:styleId="996" w:customStyle="1">
    <w:name w:val="_Style 1"/>
    <w:basedOn w:val="696"/>
    <w:uiPriority w:val="34"/>
    <w:qFormat/>
    <w:pPr>
      <w:ind w:firstLine="420"/>
    </w:pPr>
    <w:rPr>
      <w:rFonts w:ascii="Calibri" w:hAnsi="Calibri"/>
      <w:szCs w:val="22"/>
    </w:rPr>
  </w:style>
  <w:style w:type="paragraph" w:styleId="997" w:customStyle="1">
    <w:name w:val="引文目录1"/>
    <w:basedOn w:val="696"/>
    <w:next w:val="696"/>
    <w:uiPriority w:val="0"/>
    <w:qFormat/>
    <w:pPr>
      <w:ind w:left="420"/>
    </w:pPr>
  </w:style>
  <w:style w:type="paragraph" w:styleId="998" w:customStyle="1">
    <w:name w:val="样式一"/>
    <w:basedOn w:val="696"/>
    <w:uiPriority w:val="0"/>
    <w:qFormat/>
    <w:pPr>
      <w:numPr>
        <w:ilvl w:val="2"/>
        <w:numId w:val="2"/>
      </w:numPr>
      <w:spacing w:before="100" w:after="100" w:line="360" w:lineRule="exact"/>
    </w:pPr>
    <w:rPr>
      <w:rFonts w:ascii="宋体" w:hAnsi="宋体" w:eastAsia="黑体"/>
      <w:sz w:val="24"/>
      <w:szCs w:val="20"/>
      <w:lang w:val="en-GB"/>
    </w:rPr>
  </w:style>
  <w:style w:type="paragraph" w:styleId="999" w:customStyle="1">
    <w:name w:val="正文文本首行缩进 21"/>
    <w:basedOn w:val="932"/>
    <w:uiPriority w:val="0"/>
    <w:qFormat/>
    <w:pPr>
      <w:ind w:firstLine="420"/>
    </w:pPr>
  </w:style>
  <w:style w:type="paragraph" w:styleId="1000">
    <w:name w:val="List Paragraph"/>
    <w:basedOn w:val="696"/>
    <w:uiPriority w:val="34"/>
    <w:qFormat/>
    <w:pPr>
      <w:ind w:firstLine="420"/>
    </w:pPr>
    <w:rPr>
      <w:rFonts w:ascii="Calibri" w:hAnsi="Calibri"/>
      <w:szCs w:val="22"/>
    </w:rPr>
  </w:style>
  <w:style w:type="character" w:styleId="1001" w:customStyle="1">
    <w:name w:val="Char Char Char"/>
    <w:uiPriority w:val="0"/>
    <w:qFormat/>
    <w:rPr>
      <w:rFonts w:ascii="宋体" w:hAnsi="宋体" w:eastAsia="宋体"/>
      <w:b/>
      <w:sz w:val="24"/>
      <w:lang w:val="en-US" w:eastAsia="zh-CN" w:bidi="ar-SA"/>
    </w:rPr>
  </w:style>
  <w:style w:type="character" w:styleId="1002" w:customStyle="1">
    <w:name w:val="itm1"/>
    <w:uiPriority w:val="0"/>
    <w:qFormat/>
    <w:rPr>
      <w:rFonts w:hint="eastAsia" w:ascii="宋体" w:hAnsi="宋体" w:eastAsia="宋体"/>
      <w:sz w:val="21"/>
      <w:szCs w:val="21"/>
    </w:rPr>
  </w:style>
  <w:style w:type="character" w:styleId="1003" w:customStyle="1">
    <w:name w:val="明显参考1"/>
    <w:uiPriority w:val="0"/>
    <w:qFormat/>
    <w:rPr>
      <w:b/>
      <w:bCs/>
      <w:smallCaps/>
      <w:color w:val="c0504d"/>
      <w:spacing w:val="5"/>
      <w:u w:val="single"/>
    </w:rPr>
  </w:style>
  <w:style w:type="character" w:styleId="1004" w:customStyle="1">
    <w:name w:val="副标题 Char1"/>
    <w:uiPriority w:val="0"/>
    <w:qFormat/>
    <w:rPr>
      <w:rFonts w:ascii="Cambria" w:hAnsi="Cambria" w:cs="Times New Roman"/>
      <w:b/>
      <w:bCs/>
      <w:sz w:val="32"/>
      <w:szCs w:val="32"/>
    </w:rPr>
  </w:style>
  <w:style w:type="character" w:styleId="1005" w:customStyle="1">
    <w:name w:val="Typewriter"/>
    <w:uiPriority w:val="0"/>
    <w:qFormat/>
    <w:rPr>
      <w:rFonts w:ascii="华文细黑" w:hAnsi="华文细黑"/>
      <w:sz w:val="20"/>
    </w:rPr>
  </w:style>
  <w:style w:type="character" w:styleId="1006"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07" w:customStyle="1">
    <w:name w:val="书籍标题1"/>
    <w:uiPriority w:val="0"/>
    <w:qFormat/>
    <w:rPr>
      <w:b/>
      <w:bCs/>
      <w:smallCaps/>
      <w:spacing w:val="5"/>
    </w:rPr>
  </w:style>
  <w:style w:type="character" w:styleId="1008" w:customStyle="1">
    <w:name w:val="日期 Char1"/>
    <w:uiPriority w:val="0"/>
    <w:qFormat/>
    <w:rPr>
      <w:sz w:val="21"/>
      <w:szCs w:val="22"/>
    </w:rPr>
  </w:style>
  <w:style w:type="character" w:styleId="1009" w:customStyle="1">
    <w:name w:val="正文文本 Char1"/>
    <w:uiPriority w:val="0"/>
    <w:qFormat/>
    <w:rPr>
      <w:sz w:val="21"/>
      <w:szCs w:val="22"/>
    </w:rPr>
  </w:style>
  <w:style w:type="character" w:styleId="1010" w:customStyle="1">
    <w:name w:val="批注文字 Char Char"/>
    <w:uiPriority w:val="0"/>
    <w:qFormat/>
    <w:rPr>
      <w:rFonts w:ascii="华文细黑" w:hAnsi="Cambria" w:eastAsia="华文细黑" w:cs="Cambria"/>
      <w:sz w:val="28"/>
      <w:szCs w:val="20"/>
    </w:rPr>
  </w:style>
  <w:style w:type="character" w:styleId="1011" w:customStyle="1">
    <w:name w:val="称呼 Char1"/>
    <w:uiPriority w:val="0"/>
    <w:qFormat/>
    <w:rPr>
      <w:sz w:val="21"/>
      <w:szCs w:val="24"/>
    </w:rPr>
  </w:style>
  <w:style w:type="character" w:styleId="1012" w:customStyle="1">
    <w:name w:val="正文文本缩进 Char"/>
    <w:uiPriority w:val="0"/>
    <w:qFormat/>
    <w:rPr>
      <w:rFonts w:ascii="Cambria" w:hAnsi="Cambria" w:eastAsia="华文细黑" w:cs="Cambria"/>
      <w:sz w:val="21"/>
      <w:szCs w:val="24"/>
    </w:rPr>
  </w:style>
  <w:style w:type="character" w:styleId="1013" w:customStyle="1">
    <w:name w:val="明显引用 Char1"/>
    <w:uiPriority w:val="30"/>
    <w:qFormat/>
    <w:rPr>
      <w:b/>
      <w:bCs/>
      <w:i/>
      <w:iCs/>
      <w:color w:val="4f81bd"/>
      <w:sz w:val="21"/>
      <w:szCs w:val="24"/>
    </w:rPr>
  </w:style>
  <w:style w:type="character" w:styleId="1014" w:customStyle="1">
    <w:name w:val="正文缩进 Char1"/>
    <w:uiPriority w:val="0"/>
    <w:qFormat/>
    <w:rPr>
      <w:rFonts w:eastAsia="宋体"/>
      <w:lang w:val="en-US" w:eastAsia="zh-CN" w:bidi="ar-SA"/>
    </w:rPr>
  </w:style>
  <w:style w:type="character" w:styleId="1015" w:customStyle="1">
    <w:name w:val="Definition"/>
    <w:uiPriority w:val="0"/>
    <w:qFormat/>
    <w:rPr>
      <w:i/>
    </w:rPr>
  </w:style>
  <w:style w:type="character" w:styleId="1016" w:customStyle="1">
    <w:name w:val="标题 311"/>
    <w:uiPriority w:val="0"/>
    <w:qFormat/>
    <w:rPr>
      <w:rFonts w:hint="eastAsia" w:ascii="黑体" w:hAnsi="ˎ̥" w:eastAsia="黑体"/>
      <w:sz w:val="28"/>
    </w:rPr>
  </w:style>
  <w:style w:type="character" w:styleId="1017" w:customStyle="1">
    <w:name w:val="脚注文本 Char1"/>
    <w:uiPriority w:val="0"/>
    <w:qFormat/>
    <w:rPr>
      <w:sz w:val="18"/>
      <w:szCs w:val="18"/>
    </w:rPr>
  </w:style>
  <w:style w:type="character" w:styleId="1018" w:customStyle="1">
    <w:name w:val="明显强调1"/>
    <w:uiPriority w:val="0"/>
    <w:qFormat/>
    <w:rPr>
      <w:b/>
      <w:bCs/>
      <w:i/>
      <w:iCs/>
      <w:color w:val="4f81bd"/>
    </w:rPr>
  </w:style>
  <w:style w:type="character" w:styleId="1019" w:customStyle="1">
    <w:name w:val="HTML Markup"/>
    <w:uiPriority w:val="0"/>
    <w:qFormat/>
    <w:rPr>
      <w:vanish/>
      <w:color w:val="ff0000"/>
    </w:rPr>
  </w:style>
  <w:style w:type="character" w:styleId="1020" w:customStyle="1">
    <w:name w:val="text_list1"/>
    <w:uiPriority w:val="0"/>
    <w:qFormat/>
    <w:rPr>
      <w:rFonts w:ascii="Arial" w:hAnsi="Arial" w:cs="Arial"/>
      <w:color w:val="000000"/>
      <w:spacing w:val="272"/>
      <w:sz w:val="16"/>
      <w:szCs w:val="16"/>
    </w:rPr>
  </w:style>
  <w:style w:type="character" w:styleId="1021" w:customStyle="1">
    <w:name w:val="标题5 Char Char"/>
    <w:link w:val="1022"/>
    <w:uiPriority w:val="0"/>
    <w:qFormat/>
    <w:rPr>
      <w:rFonts w:ascii="Tahoma" w:hAnsi="Tahoma"/>
      <w:b/>
      <w:bCs/>
      <w:sz w:val="24"/>
      <w:szCs w:val="32"/>
    </w:rPr>
  </w:style>
  <w:style w:type="paragraph" w:styleId="1022" w:customStyle="1">
    <w:name w:val="标题5"/>
    <w:basedOn w:val="894"/>
    <w:link w:val="1021"/>
    <w:uiPriority w:val="0"/>
    <w:qFormat/>
    <w:pPr>
      <w:spacing w:line="413" w:lineRule="auto"/>
    </w:pPr>
    <w:rPr>
      <w:rFonts w:ascii="Tahoma" w:hAnsi="Tahoma" w:eastAsia="宋体"/>
      <w:sz w:val="24"/>
    </w:rPr>
  </w:style>
  <w:style w:type="character" w:styleId="1023" w:customStyle="1">
    <w:name w:val="批注主题 Char1"/>
    <w:uiPriority w:val="0"/>
    <w:qFormat/>
    <w:rPr>
      <w:b/>
      <w:bCs/>
      <w:sz w:val="21"/>
      <w:szCs w:val="22"/>
    </w:rPr>
  </w:style>
  <w:style w:type="character" w:styleId="1024" w:customStyle="1">
    <w:name w:val="CODE"/>
    <w:uiPriority w:val="0"/>
    <w:qFormat/>
    <w:rPr>
      <w:rFonts w:ascii="华文细黑" w:hAnsi="华文细黑"/>
      <w:sz w:val="20"/>
    </w:rPr>
  </w:style>
  <w:style w:type="character" w:styleId="1025" w:customStyle="1">
    <w:name w:val="不明显强调1"/>
    <w:uiPriority w:val="0"/>
    <w:qFormat/>
    <w:rPr>
      <w:i/>
      <w:iCs/>
      <w:color w:val="808080"/>
    </w:rPr>
  </w:style>
  <w:style w:type="character" w:styleId="1026" w:customStyle="1">
    <w:name w:val="不明显参考1"/>
    <w:uiPriority w:val="0"/>
    <w:qFormat/>
    <w:rPr>
      <w:smallCaps/>
      <w:color w:val="c0504d"/>
      <w:u w:val="single"/>
    </w:rPr>
  </w:style>
  <w:style w:type="character" w:styleId="1027" w:customStyle="1">
    <w:name w:val="Char Char4"/>
    <w:uiPriority w:val="0"/>
    <w:qFormat/>
    <w:rPr>
      <w:rFonts w:ascii="华文细黑" w:hAnsi="华文细黑" w:eastAsia="幼圆" w:cs="Tahoma"/>
      <w:b/>
      <w:sz w:val="28"/>
      <w:szCs w:val="32"/>
      <w:lang w:val="en-US" w:eastAsia="zh-CN" w:bidi="ar-SA"/>
    </w:rPr>
  </w:style>
  <w:style w:type="character" w:styleId="1028" w:customStyle="1">
    <w:name w:val="Char Char2"/>
    <w:uiPriority w:val="0"/>
    <w:semiHidden/>
    <w:qFormat/>
    <w:rPr>
      <w:rFonts w:eastAsia="华文细黑"/>
      <w:sz w:val="21"/>
      <w:szCs w:val="24"/>
      <w:lang w:val="en-US" w:eastAsia="zh-CN" w:bidi="ar-SA"/>
    </w:rPr>
  </w:style>
  <w:style w:type="character" w:styleId="1029" w:customStyle="1">
    <w:name w:val="文档结构图 Char1"/>
    <w:uiPriority w:val="0"/>
    <w:qFormat/>
    <w:rPr>
      <w:rFonts w:ascii="华文细黑"/>
      <w:sz w:val="18"/>
      <w:szCs w:val="18"/>
    </w:rPr>
  </w:style>
  <w:style w:type="character" w:styleId="1030" w:customStyle="1">
    <w:name w:val="Char Char1"/>
    <w:uiPriority w:val="0"/>
    <w:qFormat/>
    <w:rPr>
      <w:rFonts w:ascii="幼圆" w:hAnsi="Tahoma" w:eastAsia="幼圆" w:cs="Tahoma"/>
      <w:b/>
      <w:bCs/>
      <w:sz w:val="32"/>
      <w:szCs w:val="32"/>
      <w:lang w:val="en-US" w:eastAsia="zh-CN" w:bidi="ar-SA"/>
    </w:rPr>
  </w:style>
  <w:style w:type="character" w:styleId="1031" w:customStyle="1">
    <w:name w:val="Char Char"/>
    <w:uiPriority w:val="0"/>
    <w:qFormat/>
    <w:rPr>
      <w:rFonts w:eastAsia="华文细黑"/>
      <w:b/>
      <w:bCs/>
      <w:sz w:val="21"/>
      <w:szCs w:val="24"/>
      <w:lang w:val="en-US" w:eastAsia="zh-CN" w:bidi="ar-SA"/>
    </w:rPr>
  </w:style>
  <w:style w:type="character" w:styleId="1032" w:customStyle="1">
    <w:name w:val="页眉 Char1"/>
    <w:uiPriority w:val="0"/>
    <w:qFormat/>
    <w:rPr>
      <w:rFonts w:eastAsia="宋体"/>
      <w:sz w:val="18"/>
      <w:szCs w:val="18"/>
      <w:lang w:val="en-US" w:eastAsia="zh-CN" w:bidi="ar-SA"/>
    </w:rPr>
  </w:style>
  <w:style w:type="character" w:styleId="1033" w:customStyle="1">
    <w:name w:val="Variable"/>
    <w:uiPriority w:val="0"/>
    <w:qFormat/>
    <w:rPr>
      <w:i/>
    </w:rPr>
  </w:style>
  <w:style w:type="character" w:styleId="1034" w:customStyle="1">
    <w:name w:val="结束语 Char1"/>
    <w:uiPriority w:val="0"/>
    <w:qFormat/>
    <w:rPr>
      <w:sz w:val="21"/>
      <w:szCs w:val="24"/>
    </w:rPr>
  </w:style>
  <w:style w:type="character" w:styleId="1035" w:customStyle="1">
    <w:name w:val="表格正文 Char"/>
    <w:link w:val="1036"/>
    <w:uiPriority w:val="0"/>
    <w:qFormat/>
    <w:rPr>
      <w:sz w:val="21"/>
      <w:szCs w:val="24"/>
    </w:rPr>
  </w:style>
  <w:style w:type="paragraph" w:styleId="1036" w:customStyle="1">
    <w:name w:val="表格正文"/>
    <w:basedOn w:val="696"/>
    <w:link w:val="1035"/>
    <w:uiPriority w:val="0"/>
    <w:qFormat/>
  </w:style>
  <w:style w:type="character" w:styleId="1037" w:customStyle="1">
    <w:name w:val="Char Char31"/>
    <w:uiPriority w:val="0"/>
    <w:qFormat/>
    <w:rPr>
      <w:rFonts w:eastAsia="宋体"/>
      <w:b/>
      <w:bCs/>
      <w:sz w:val="32"/>
      <w:szCs w:val="44"/>
      <w:lang w:val="en-US" w:eastAsia="zh-CN" w:bidi="ar-SA"/>
    </w:rPr>
  </w:style>
  <w:style w:type="character" w:styleId="1038" w:customStyle="1">
    <w:name w:val="Comment"/>
    <w:uiPriority w:val="0"/>
    <w:qFormat/>
    <w:rPr>
      <w:vanish/>
    </w:rPr>
  </w:style>
  <w:style w:type="character" w:styleId="1039" w:customStyle="1">
    <w:name w:val="引用 Char1"/>
    <w:uiPriority w:val="29"/>
    <w:qFormat/>
    <w:rPr>
      <w:i/>
      <w:iCs/>
      <w:color w:val="000000"/>
      <w:sz w:val="21"/>
      <w:szCs w:val="24"/>
    </w:rPr>
  </w:style>
  <w:style w:type="character" w:styleId="1040" w:customStyle="1">
    <w:name w:val="Sample"/>
    <w:uiPriority w:val="0"/>
    <w:qFormat/>
    <w:rPr>
      <w:rFonts w:ascii="华文细黑" w:hAnsi="华文细黑"/>
    </w:rPr>
  </w:style>
  <w:style w:type="character" w:styleId="1041" w:customStyle="1">
    <w:name w:val="Para head"/>
    <w:uiPriority w:val="0"/>
    <w:qFormat/>
    <w:rPr>
      <w:rFonts w:ascii="Arial" w:hAnsi="Arial" w:eastAsia="Times New Roman"/>
      <w:sz w:val="20"/>
    </w:rPr>
  </w:style>
  <w:style w:type="character" w:styleId="1042" w:customStyle="1">
    <w:name w:val="批注框文本 Char1"/>
    <w:uiPriority w:val="0"/>
    <w:qFormat/>
    <w:rPr>
      <w:sz w:val="18"/>
      <w:szCs w:val="18"/>
    </w:rPr>
  </w:style>
  <w:style w:type="character" w:styleId="1043" w:customStyle="1">
    <w:name w:val="textcontents"/>
    <w:uiPriority w:val="0"/>
    <w:qFormat/>
    <w:rPr>
      <w:rFonts w:cs="Cambria"/>
    </w:rPr>
  </w:style>
  <w:style w:type="character" w:styleId="1044" w:customStyle="1">
    <w:name w:val="Keyboard"/>
    <w:uiPriority w:val="0"/>
    <w:qFormat/>
    <w:rPr>
      <w:rFonts w:ascii="华文细黑" w:hAnsi="华文细黑"/>
      <w:b/>
      <w:sz w:val="20"/>
    </w:rPr>
  </w:style>
  <w:style w:type="character" w:styleId="1045" w:customStyle="1">
    <w:name w:val="HTML 预设格式 Char1"/>
    <w:uiPriority w:val="0"/>
    <w:qFormat/>
    <w:rPr>
      <w:rFonts w:ascii="Courier New" w:hAnsi="Courier New" w:cs="Courier New"/>
    </w:rPr>
  </w:style>
  <w:style w:type="character" w:styleId="1046" w:customStyle="1">
    <w:name w:val="引用 字符"/>
    <w:link w:val="1047"/>
    <w:uiPriority w:val="0"/>
    <w:qFormat/>
    <w:rPr>
      <w:i/>
      <w:iCs/>
      <w:color w:val="000000"/>
      <w:sz w:val="21"/>
      <w:szCs w:val="22"/>
    </w:rPr>
  </w:style>
  <w:style w:type="paragraph" w:styleId="1047" w:customStyle="1">
    <w:name w:val="引用1"/>
    <w:basedOn w:val="696"/>
    <w:next w:val="696"/>
    <w:link w:val="1046"/>
    <w:uiPriority w:val="0"/>
    <w:qFormat/>
    <w:rPr>
      <w:i/>
      <w:iCs/>
      <w:color w:val="000000"/>
      <w:szCs w:val="22"/>
    </w:rPr>
  </w:style>
  <w:style w:type="character" w:styleId="1048" w:customStyle="1">
    <w:name w:val="Char Char3"/>
    <w:uiPriority w:val="0"/>
    <w:qFormat/>
    <w:rPr>
      <w:rFonts w:ascii="幼圆" w:hAnsi="华文细黑" w:eastAsia="幼圆" w:cs="Tahoma"/>
      <w:b/>
      <w:bCs/>
      <w:sz w:val="24"/>
      <w:szCs w:val="24"/>
      <w:lang w:val="en-US" w:eastAsia="zh-CN" w:bidi="ar-SA"/>
    </w:rPr>
  </w:style>
  <w:style w:type="character" w:styleId="1049" w:customStyle="1">
    <w:name w:val="chword"/>
    <w:uiPriority w:val="0"/>
    <w:qFormat/>
  </w:style>
  <w:style w:type="character" w:styleId="1050" w:customStyle="1">
    <w:name w:val="CITE"/>
    <w:uiPriority w:val="0"/>
    <w:qFormat/>
    <w:rPr>
      <w:i/>
    </w:rPr>
  </w:style>
  <w:style w:type="paragraph" w:styleId="1051" w:customStyle="1">
    <w:name w:val="页眉1"/>
    <w:basedOn w:val="69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52" w:customStyle="1">
    <w:name w:val="xl27"/>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3" w:customStyle="1">
    <w:name w:val="xl42"/>
    <w:basedOn w:val="69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54" w:customStyle="1">
    <w:name w:val="程序代码"/>
    <w:basedOn w:val="696"/>
    <w:uiPriority w:val="0"/>
    <w:qFormat/>
    <w:pPr>
      <w:ind w:left="839" w:firstLine="420"/>
      <w:spacing w:after="20" w:line="288" w:lineRule="auto"/>
    </w:pPr>
    <w:rPr>
      <w:rFonts w:eastAsia="仿宋_GB2312"/>
    </w:rPr>
  </w:style>
  <w:style w:type="paragraph" w:styleId="1055"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056" w:customStyle="1">
    <w:name w:val="列表段落1"/>
    <w:basedOn w:val="696"/>
    <w:uiPriority w:val="0"/>
    <w:qFormat/>
    <w:pPr>
      <w:ind w:firstLine="420"/>
    </w:pPr>
    <w:rPr>
      <w:rFonts w:ascii="Calibri" w:hAnsi="Calibri"/>
      <w:szCs w:val="22"/>
    </w:rPr>
  </w:style>
  <w:style w:type="paragraph" w:styleId="1057" w:customStyle="1">
    <w:name w:val="标准文字"/>
    <w:basedOn w:val="696"/>
    <w:uiPriority w:val="0"/>
    <w:qFormat/>
    <w:pPr>
      <w:ind w:firstLine="420"/>
      <w:spacing w:after="20" w:line="360" w:lineRule="auto"/>
    </w:pPr>
  </w:style>
  <w:style w:type="paragraph" w:styleId="1058" w:customStyle="1">
    <w:name w:val="z-Top of Form"/>
    <w:next w:val="696"/>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059" w:customStyle="1">
    <w:name w:val="TOC 标题11"/>
    <w:basedOn w:val="892"/>
    <w:next w:val="696"/>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60" w:customStyle="1">
    <w:name w:val="简介正文"/>
    <w:basedOn w:val="696"/>
    <w:uiPriority w:val="0"/>
    <w:qFormat/>
    <w:pPr>
      <w:ind w:left="1701" w:hanging="1701"/>
      <w:spacing w:after="20" w:line="520" w:lineRule="exact"/>
      <w:tabs>
        <w:tab w:val="left" w:pos="360" w:leader="none"/>
      </w:tabs>
    </w:pPr>
    <w:rPr>
      <w:sz w:val="24"/>
      <w:szCs w:val="20"/>
    </w:rPr>
  </w:style>
  <w:style w:type="paragraph" w:styleId="1061" w:customStyle="1">
    <w:name w:val="xl43"/>
    <w:basedOn w:val="69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62" w:customStyle="1">
    <w:name w:val="函数注释2"/>
    <w:basedOn w:val="696"/>
    <w:uiPriority w:val="0"/>
    <w:qFormat/>
    <w:pPr>
      <w:ind w:left="1680" w:firstLine="420"/>
      <w:spacing w:after="20" w:line="288" w:lineRule="auto"/>
    </w:pPr>
  </w:style>
  <w:style w:type="paragraph" w:styleId="1063" w:customStyle="1">
    <w:name w:val="Definition Term"/>
    <w:basedOn w:val="696"/>
    <w:next w:val="1064"/>
    <w:uiPriority w:val="0"/>
    <w:qFormat/>
    <w:pPr>
      <w:jc w:val="left"/>
    </w:pPr>
    <w:rPr>
      <w:rFonts w:ascii="Cambria" w:hAnsi="Cambria" w:eastAsia="华文细黑" w:cs="Cambria"/>
      <w:sz w:val="24"/>
      <w:szCs w:val="20"/>
    </w:rPr>
  </w:style>
  <w:style w:type="paragraph" w:styleId="1064" w:customStyle="1">
    <w:name w:val="Definition List"/>
    <w:basedOn w:val="696"/>
    <w:next w:val="1063"/>
    <w:uiPriority w:val="0"/>
    <w:qFormat/>
    <w:pPr>
      <w:ind w:left="360"/>
      <w:jc w:val="left"/>
    </w:pPr>
    <w:rPr>
      <w:rFonts w:ascii="Cambria" w:hAnsi="Cambria" w:eastAsia="华文细黑" w:cs="Cambria"/>
      <w:sz w:val="24"/>
      <w:szCs w:val="20"/>
    </w:rPr>
  </w:style>
  <w:style w:type="paragraph" w:styleId="1065" w:customStyle="1">
    <w:name w:val="默认段落字体 Para Char"/>
    <w:basedOn w:val="696"/>
    <w:uiPriority w:val="0"/>
    <w:qFormat/>
    <w:pPr>
      <w:ind w:firstLine="200"/>
      <w:spacing w:line="360" w:lineRule="auto"/>
    </w:pPr>
    <w:rPr>
      <w:rFonts w:ascii="华文细黑" w:hAnsi="华文细黑" w:eastAsia="华文细黑" w:cs="华文细黑"/>
      <w:sz w:val="24"/>
    </w:rPr>
  </w:style>
  <w:style w:type="paragraph" w:styleId="1066" w:customStyle="1">
    <w:name w:val="样式 标题 1 + 黑体 三号 非加粗 居中 段前: 6 磅 段后: 6 磅 行距: 固定值 20 磅"/>
    <w:basedOn w:val="892"/>
    <w:uiPriority w:val="0"/>
    <w:qFormat/>
    <w:pPr>
      <w:numPr>
        <w:numId w:val="0"/>
      </w:numPr>
      <w:spacing w:before="120" w:after="120" w:line="400" w:lineRule="exact"/>
    </w:pPr>
    <w:rPr>
      <w:rFonts w:ascii="幼圆" w:hAnsi="幼圆" w:eastAsia="幼圆" w:cs="华文细黑"/>
      <w:b w:val="0"/>
      <w:bCs w:val="0"/>
      <w:sz w:val="32"/>
      <w:szCs w:val="20"/>
    </w:rPr>
  </w:style>
  <w:style w:type="paragraph" w:styleId="1067" w:customStyle="1">
    <w:name w:val="yyn"/>
    <w:basedOn w:val="696"/>
    <w:uiPriority w:val="0"/>
    <w:qFormat/>
    <w:pPr>
      <w:ind w:right="562" w:firstLine="576"/>
      <w:keepNext/>
      <w:spacing w:line="360" w:lineRule="auto"/>
      <w:widowControl/>
    </w:pPr>
    <w:rPr>
      <w:rFonts w:ascii="宋体"/>
      <w:sz w:val="28"/>
      <w:szCs w:val="20"/>
    </w:rPr>
  </w:style>
  <w:style w:type="paragraph" w:styleId="1068" w:customStyle="1">
    <w:name w:val="font5"/>
    <w:basedOn w:val="696"/>
    <w:uiPriority w:val="0"/>
    <w:qFormat/>
    <w:pPr>
      <w:jc w:val="left"/>
      <w:spacing w:before="100" w:beforeAutospacing="1" w:after="100" w:afterAutospacing="1"/>
      <w:widowControl/>
    </w:pPr>
    <w:rPr>
      <w:rFonts w:hint="eastAsia" w:ascii="宋体" w:hAnsi="宋体"/>
      <w:sz w:val="18"/>
      <w:szCs w:val="18"/>
    </w:rPr>
  </w:style>
  <w:style w:type="paragraph" w:styleId="1069" w:customStyle="1">
    <w:name w:val="xl3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0" w:customStyle="1">
    <w:name w:val="菲页(卷)"/>
    <w:basedOn w:val="892"/>
    <w:next w:val="1071"/>
    <w:uiPriority w:val="0"/>
    <w:qFormat/>
    <w:pPr>
      <w:ind w:left="780" w:hanging="360"/>
      <w:keepLines w:val="0"/>
      <w:spacing w:before="0" w:after="0" w:line="240" w:lineRule="auto"/>
      <w:widowControl/>
      <w:outlineLvl w:val="1"/>
    </w:pPr>
    <w:rPr>
      <w:b w:val="0"/>
      <w:bCs w:val="0"/>
      <w:sz w:val="52"/>
      <w:szCs w:val="20"/>
    </w:rPr>
  </w:style>
  <w:style w:type="paragraph" w:styleId="1071"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72" w:customStyle="1">
    <w:name w:val="列表_名词"/>
    <w:basedOn w:val="1073"/>
    <w:uiPriority w:val="0"/>
    <w:qFormat/>
    <w:pPr>
      <w:ind w:left="2745" w:hanging="420"/>
      <w:tabs>
        <w:tab w:val="left" w:pos="2745" w:leader="none"/>
      </w:tabs>
    </w:pPr>
  </w:style>
  <w:style w:type="paragraph" w:styleId="1073" w:customStyle="1">
    <w:name w:val="名词解释11"/>
    <w:basedOn w:val="1074"/>
    <w:uiPriority w:val="0"/>
    <w:qFormat/>
    <w:pPr>
      <w:ind w:firstLine="0"/>
      <w:spacing w:after="0"/>
    </w:pPr>
  </w:style>
  <w:style w:type="paragraph" w:styleId="1074" w:customStyle="1">
    <w:name w:val="名词解释"/>
    <w:basedOn w:val="696"/>
    <w:uiPriority w:val="0"/>
    <w:qFormat/>
    <w:pPr>
      <w:ind w:left="2325" w:hanging="2325"/>
      <w:spacing w:after="20" w:line="288" w:lineRule="auto"/>
    </w:pPr>
    <w:rPr>
      <w:szCs w:val="20"/>
    </w:rPr>
  </w:style>
  <w:style w:type="paragraph" w:styleId="1075" w:customStyle="1">
    <w:name w:val="空半行"/>
    <w:basedOn w:val="696"/>
    <w:uiPriority w:val="0"/>
    <w:qFormat/>
    <w:pPr>
      <w:spacing w:line="120" w:lineRule="exact"/>
    </w:pPr>
    <w:rPr>
      <w:rFonts w:ascii="Cambria" w:hAnsi="Cambria" w:eastAsia="Tahoma" w:cs="Cambria"/>
      <w:color w:val="ffffff"/>
      <w:sz w:val="30"/>
      <w:szCs w:val="20"/>
    </w:rPr>
  </w:style>
  <w:style w:type="paragraph" w:styleId="1076" w:customStyle="1">
    <w:name w:val="xl47"/>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77" w:customStyle="1">
    <w:name w:val="xl3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8" w:customStyle="1">
    <w:name w:val="样式1"/>
    <w:basedOn w:val="696"/>
    <w:uiPriority w:val="0"/>
    <w:qFormat/>
    <w:pPr>
      <w:spacing w:before="120" w:after="120" w:line="300" w:lineRule="auto"/>
    </w:pPr>
    <w:rPr>
      <w:rFonts w:ascii="宋体" w:hAnsi="宋体"/>
      <w:b/>
      <w:sz w:val="24"/>
      <w:szCs w:val="20"/>
    </w:rPr>
  </w:style>
  <w:style w:type="paragraph" w:styleId="1079" w:customStyle="1">
    <w:name w:val="正文(缩进)"/>
    <w:basedOn w:val="696"/>
    <w:uiPriority w:val="0"/>
    <w:qFormat/>
    <w:pPr>
      <w:ind w:firstLine="200"/>
      <w:spacing w:line="360" w:lineRule="auto"/>
      <w:widowControl/>
    </w:pPr>
    <w:rPr>
      <w:rFonts w:eastAsia="仿宋_GB2312"/>
      <w:sz w:val="24"/>
      <w:szCs w:val="20"/>
    </w:rPr>
  </w:style>
  <w:style w:type="paragraph" w:styleId="1080" w:customStyle="1">
    <w:name w:val="产品型号"/>
    <w:basedOn w:val="696"/>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1" w:customStyle="1">
    <w:name w:val="xl37"/>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82" w:customStyle="1">
    <w:name w:val="列表2"/>
    <w:basedOn w:val="696"/>
    <w:uiPriority w:val="0"/>
    <w:qFormat/>
    <w:pPr>
      <w:ind w:left="1469" w:hanging="420"/>
      <w:spacing w:after="20" w:line="288" w:lineRule="auto"/>
      <w:tabs>
        <w:tab w:val="left" w:pos="1470" w:leader="none"/>
      </w:tabs>
    </w:pPr>
  </w:style>
  <w:style w:type="paragraph" w:styleId="1083" w:customStyle="1">
    <w:name w:val="xl29"/>
    <w:basedOn w:val="69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4" w:customStyle="1">
    <w:name w:val="xl3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5" w:customStyle="1">
    <w:name w:val="Default Paragraph Font Para Char"/>
    <w:basedOn w:val="696"/>
    <w:uiPriority w:val="0"/>
    <w:qFormat/>
    <w:pPr>
      <w:jc w:val="left"/>
      <w:spacing w:after="160" w:line="240" w:lineRule="exact"/>
      <w:widowControl/>
    </w:pPr>
  </w:style>
  <w:style w:type="paragraph" w:styleId="1086" w:customStyle="1">
    <w:name w:val="1"/>
    <w:basedOn w:val="696"/>
    <w:uiPriority w:val="0"/>
    <w:qFormat/>
    <w:pPr>
      <w:ind w:firstLine="200"/>
      <w:spacing w:line="360" w:lineRule="auto"/>
    </w:pPr>
    <w:rPr>
      <w:rFonts w:ascii="华文细黑" w:hAnsi="华文细黑" w:eastAsia="华文细黑" w:cs="华文细黑"/>
      <w:sz w:val="24"/>
    </w:rPr>
  </w:style>
  <w:style w:type="paragraph" w:styleId="1087" w:customStyle="1">
    <w:name w:val="表格"/>
    <w:basedOn w:val="696"/>
    <w:uiPriority w:val="0"/>
    <w:qFormat/>
    <w:pPr>
      <w:jc w:val="center"/>
    </w:pPr>
    <w:rPr>
      <w:szCs w:val="21"/>
    </w:rPr>
  </w:style>
  <w:style w:type="paragraph" w:styleId="1088" w:customStyle="1">
    <w:name w:val="回信地址"/>
    <w:basedOn w:val="69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89" w:customStyle="1">
    <w:name w:val="xl45"/>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0" w:customStyle="1">
    <w:name w:val="Preformatted"/>
    <w:basedOn w:val="69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91" w:customStyle="1">
    <w:name w:val="并列项-点"/>
    <w:basedOn w:val="696"/>
    <w:uiPriority w:val="0"/>
    <w:qFormat/>
    <w:pPr>
      <w:ind w:left="851" w:hanging="284"/>
      <w:spacing w:before="120" w:line="360" w:lineRule="auto"/>
      <w:widowControl/>
      <w:tabs>
        <w:tab w:val="left" w:pos="851" w:leader="none"/>
        <w:tab w:val="left" w:pos="927" w:leader="none"/>
      </w:tabs>
    </w:pPr>
    <w:rPr>
      <w:sz w:val="24"/>
      <w:szCs w:val="20"/>
    </w:rPr>
  </w:style>
  <w:style w:type="paragraph" w:styleId="1092" w:customStyle="1">
    <w:name w:val="标题0"/>
    <w:basedOn w:val="979"/>
    <w:next w:val="979"/>
    <w:uiPriority w:val="0"/>
    <w:qFormat/>
    <w:rPr>
      <w:sz w:val="52"/>
    </w:rPr>
  </w:style>
  <w:style w:type="paragraph" w:styleId="1093" w:customStyle="1">
    <w:name w:val="重点"/>
    <w:basedOn w:val="696"/>
    <w:uiPriority w:val="0"/>
    <w:qFormat/>
    <w:pPr>
      <w:ind w:firstLine="420"/>
      <w:spacing w:after="20" w:line="288" w:lineRule="auto"/>
      <w:shd w:val="pct10" w:color="auto" w:fill="auto"/>
    </w:pPr>
    <w:rPr>
      <w:rFonts w:eastAsia="黑体"/>
      <w:b/>
    </w:rPr>
  </w:style>
  <w:style w:type="paragraph" w:styleId="1094" w:customStyle="1">
    <w:name w:val="xl48"/>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95" w:customStyle="1">
    <w:name w:val="a2"/>
    <w:basedOn w:val="696"/>
    <w:uiPriority w:val="0"/>
    <w:qFormat/>
    <w:pPr>
      <w:jc w:val="left"/>
      <w:spacing w:before="100" w:beforeAutospacing="1" w:after="100" w:afterAutospacing="1"/>
      <w:widowControl/>
    </w:pPr>
    <w:rPr>
      <w:rFonts w:ascii="宋体" w:hAnsi="宋体" w:cs="宋体"/>
      <w:sz w:val="24"/>
    </w:rPr>
  </w:style>
  <w:style w:type="paragraph" w:styleId="1096" w:customStyle="1">
    <w:name w:val="图形"/>
    <w:basedOn w:val="696"/>
    <w:uiPriority w:val="0"/>
    <w:qFormat/>
    <w:pPr>
      <w:ind w:firstLine="420"/>
      <w:jc w:val="center"/>
      <w:spacing w:after="20" w:line="288" w:lineRule="auto"/>
    </w:pPr>
  </w:style>
  <w:style w:type="paragraph" w:styleId="1097" w:customStyle="1">
    <w:name w:val="函数注释1"/>
    <w:basedOn w:val="696"/>
    <w:uiPriority w:val="0"/>
    <w:qFormat/>
    <w:pPr>
      <w:ind w:left="1678" w:right="210" w:hanging="1049"/>
      <w:jc w:val="left"/>
      <w:spacing w:after="20" w:line="320" w:lineRule="exact"/>
    </w:pPr>
    <w:rPr>
      <w:szCs w:val="20"/>
    </w:rPr>
  </w:style>
  <w:style w:type="paragraph" w:styleId="1098" w:customStyle="1">
    <w:name w:val="Blockquote"/>
    <w:basedOn w:val="696"/>
    <w:uiPriority w:val="0"/>
    <w:qFormat/>
    <w:pPr>
      <w:ind w:left="360" w:right="360"/>
      <w:jc w:val="left"/>
      <w:spacing w:before="100" w:after="100"/>
    </w:pPr>
    <w:rPr>
      <w:rFonts w:ascii="Cambria" w:hAnsi="Cambria" w:eastAsia="华文细黑" w:cs="Cambria"/>
      <w:sz w:val="24"/>
      <w:szCs w:val="20"/>
    </w:rPr>
  </w:style>
  <w:style w:type="paragraph" w:styleId="1099" w:customStyle="1">
    <w:name w:val="菲页1"/>
    <w:basedOn w:val="893"/>
    <w:uiPriority w:val="0"/>
    <w:qFormat/>
    <w:pPr>
      <w:numPr>
        <w:numId w:val="0"/>
      </w:numPr>
      <w:jc w:val="center"/>
      <w:widowControl/>
    </w:pPr>
    <w:rPr>
      <w:rFonts w:ascii="黑体" w:hAnsi="宋体"/>
      <w:b w:val="0"/>
      <w:bCs w:val="0"/>
      <w:sz w:val="52"/>
      <w:szCs w:val="20"/>
    </w:rPr>
  </w:style>
  <w:style w:type="paragraph" w:styleId="1100" w:customStyle="1">
    <w:name w:val="xl35"/>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1" w:customStyle="1">
    <w:name w:val="样式 标题 3 + (中文) 黑体 小四 非加粗 段前: 7.8 磅 段后: 0 磅 行距: 固定值 20 磅"/>
    <w:basedOn w:val="894"/>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02" w:customStyle="1">
    <w:name w:val="表蕊"/>
    <w:basedOn w:val="696"/>
    <w:uiPriority w:val="0"/>
    <w:qFormat/>
    <w:pPr>
      <w:jc w:val="left"/>
      <w:spacing w:line="320" w:lineRule="atLeast"/>
    </w:pPr>
    <w:rPr>
      <w:rFonts w:eastAsia="楷体_GB2312"/>
      <w:spacing w:val="-10"/>
      <w:szCs w:val="20"/>
    </w:rPr>
  </w:style>
  <w:style w:type="paragraph" w:styleId="1103" w:customStyle="1">
    <w:name w:val="目录文字"/>
    <w:basedOn w:val="696"/>
    <w:uiPriority w:val="0"/>
    <w:qFormat/>
    <w:pPr>
      <w:jc w:val="left"/>
      <w:spacing w:line="480" w:lineRule="auto"/>
      <w:widowControl/>
    </w:pPr>
    <w:rPr>
      <w:rFonts w:ascii="宋体" w:hAnsi="宋体"/>
      <w:sz w:val="24"/>
      <w:szCs w:val="20"/>
    </w:rPr>
  </w:style>
  <w:style w:type="paragraph" w:styleId="1104" w:customStyle="1">
    <w:name w:val="默认段落字体 Para Char Char Char1 Char"/>
    <w:basedOn w:val="696"/>
    <w:uiPriority w:val="0"/>
    <w:qFormat/>
    <w:pPr>
      <w:ind w:left="420" w:firstLine="420"/>
      <w:spacing w:line="360" w:lineRule="auto"/>
    </w:pPr>
    <w:rPr>
      <w:sz w:val="24"/>
      <w:szCs w:val="21"/>
    </w:rPr>
  </w:style>
  <w:style w:type="paragraph" w:styleId="1105" w:customStyle="1">
    <w:name w:val="TOC 标题2"/>
    <w:basedOn w:val="892"/>
    <w:next w:val="696"/>
    <w:uiPriority w:val="0"/>
    <w:qFormat/>
    <w:pPr>
      <w:numPr>
        <w:numId w:val="0"/>
      </w:numPr>
      <w:jc w:val="both"/>
      <w:outlineLvl w:val="9"/>
    </w:pPr>
    <w:rPr>
      <w:rFonts w:ascii="Cambria" w:hAnsi="Cambria" w:eastAsia="华文细黑" w:cs="Cambria"/>
    </w:rPr>
  </w:style>
  <w:style w:type="paragraph" w:styleId="1106" w:customStyle="1">
    <w:name w:val="font6"/>
    <w:basedOn w:val="696"/>
    <w:uiPriority w:val="0"/>
    <w:qFormat/>
    <w:pPr>
      <w:ind w:firstLine="420"/>
      <w:jc w:val="left"/>
      <w:spacing w:before="100" w:beforeAutospacing="1" w:after="100" w:afterAutospacing="1" w:line="288" w:lineRule="auto"/>
      <w:widowControl/>
    </w:pPr>
    <w:rPr>
      <w:sz w:val="24"/>
    </w:rPr>
  </w:style>
  <w:style w:type="paragraph" w:styleId="1107" w:customStyle="1">
    <w:name w:val="p0"/>
    <w:basedOn w:val="696"/>
    <w:uiPriority w:val="0"/>
    <w:qFormat/>
    <w:pPr>
      <w:widowControl/>
    </w:pPr>
    <w:rPr>
      <w:szCs w:val="21"/>
    </w:rPr>
  </w:style>
  <w:style w:type="paragraph" w:styleId="1108" w:customStyle="1">
    <w:name w:val="Char"/>
    <w:basedOn w:val="696"/>
    <w:uiPriority w:val="0"/>
    <w:qFormat/>
    <w:pPr>
      <w:ind w:left="420" w:firstLine="420"/>
      <w:spacing w:line="240" w:lineRule="atLeast"/>
    </w:pPr>
    <w:rPr>
      <w:szCs w:val="21"/>
    </w:rPr>
  </w:style>
  <w:style w:type="paragraph" w:styleId="1109" w:customStyle="1">
    <w:name w:val="菲页2"/>
    <w:basedOn w:val="894"/>
    <w:uiPriority w:val="0"/>
    <w:qFormat/>
    <w:pPr>
      <w:ind w:left="6233" w:hanging="420"/>
      <w:jc w:val="center"/>
      <w:spacing w:before="120" w:after="120" w:line="360" w:lineRule="auto"/>
      <w:widowControl/>
    </w:pPr>
    <w:rPr>
      <w:rFonts w:hAnsi="宋体"/>
      <w:b w:val="0"/>
      <w:bCs w:val="0"/>
      <w:sz w:val="44"/>
      <w:szCs w:val="20"/>
    </w:rPr>
  </w:style>
  <w:style w:type="paragraph" w:styleId="1110" w:customStyle="1">
    <w:name w:val="Char Char Char Char Char Char Char Char Char Char1"/>
    <w:basedOn w:val="696"/>
    <w:uiPriority w:val="0"/>
    <w:qFormat/>
    <w:pPr>
      <w:ind w:left="425" w:hanging="425"/>
      <w:tabs>
        <w:tab w:val="left" w:pos="425" w:leader="none"/>
      </w:tabs>
    </w:pPr>
    <w:rPr>
      <w:sz w:val="28"/>
      <w:szCs w:val="20"/>
    </w:rPr>
  </w:style>
  <w:style w:type="paragraph" w:styleId="1111" w:customStyle="1">
    <w:name w:val="z-Bottom of Form"/>
    <w:next w:val="696"/>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112" w:customStyle="1">
    <w:name w:val="样式 (西文) 仿宋_GB2312 居中 行距: 1.5 倍行距"/>
    <w:basedOn w:val="696"/>
    <w:uiPriority w:val="0"/>
    <w:qFormat/>
    <w:pPr>
      <w:jc w:val="center"/>
      <w:spacing w:line="360" w:lineRule="auto"/>
    </w:pPr>
    <w:rPr>
      <w:rFonts w:ascii="华文细黑" w:hAnsi="华文细黑" w:eastAsia="华文细黑" w:cs="华文细黑"/>
      <w:szCs w:val="20"/>
    </w:rPr>
  </w:style>
  <w:style w:type="paragraph" w:styleId="1113" w:customStyle="1">
    <w:name w:val="font7"/>
    <w:basedOn w:val="696"/>
    <w:uiPriority w:val="0"/>
    <w:qFormat/>
    <w:pPr>
      <w:ind w:firstLine="420"/>
      <w:jc w:val="left"/>
      <w:spacing w:before="100" w:beforeAutospacing="1" w:after="100" w:afterAutospacing="1" w:line="288" w:lineRule="auto"/>
      <w:widowControl/>
    </w:pPr>
    <w:rPr>
      <w:b/>
      <w:bCs/>
      <w:sz w:val="24"/>
    </w:rPr>
  </w:style>
  <w:style w:type="paragraph" w:styleId="1114" w:customStyle="1">
    <w:name w:val="xl24"/>
    <w:basedOn w:val="69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5" w:customStyle="1">
    <w:name w:val="xl41"/>
    <w:basedOn w:val="69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16" w:customStyle="1">
    <w:name w:val="正文1)"/>
    <w:basedOn w:val="69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17" w:customStyle="1">
    <w:name w:val="H6"/>
    <w:basedOn w:val="696"/>
    <w:next w:val="696"/>
    <w:uiPriority w:val="0"/>
    <w:qFormat/>
    <w:pPr>
      <w:jc w:val="left"/>
      <w:keepNext/>
      <w:spacing w:before="100" w:after="100"/>
      <w:outlineLvl w:val="6"/>
    </w:pPr>
    <w:rPr>
      <w:b/>
      <w:sz w:val="16"/>
      <w:szCs w:val="20"/>
    </w:rPr>
  </w:style>
  <w:style w:type="paragraph" w:styleId="1118" w:customStyle="1">
    <w:name w:val="Char Char Char Char Char Char"/>
    <w:basedOn w:val="696"/>
    <w:uiPriority w:val="0"/>
    <w:qFormat/>
    <w:pPr>
      <w:jc w:val="left"/>
      <w:spacing w:after="160" w:line="240" w:lineRule="exact"/>
      <w:widowControl/>
    </w:pPr>
    <w:rPr>
      <w:rFonts w:ascii="黑体" w:hAnsi="Verdana" w:eastAsia="黑体"/>
      <w:sz w:val="32"/>
      <w:szCs w:val="32"/>
    </w:rPr>
  </w:style>
  <w:style w:type="paragraph" w:styleId="1119" w:customStyle="1">
    <w:name w:val="列出段落1"/>
    <w:basedOn w:val="696"/>
    <w:uiPriority w:val="34"/>
    <w:qFormat/>
    <w:pPr>
      <w:ind w:firstLine="420"/>
      <w:spacing w:before="120" w:after="120" w:line="360" w:lineRule="auto"/>
    </w:pPr>
    <w:rPr>
      <w:rFonts w:ascii="Calibri" w:hAnsi="Calibri"/>
      <w:sz w:val="24"/>
      <w:szCs w:val="22"/>
    </w:rPr>
  </w:style>
  <w:style w:type="paragraph" w:styleId="1120" w:customStyle="1">
    <w:name w:val="xl2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1" w:customStyle="1">
    <w:name w:val="标准式样"/>
    <w:basedOn w:val="969"/>
    <w:uiPriority w:val="0"/>
    <w:qFormat/>
  </w:style>
  <w:style w:type="paragraph" w:styleId="1122" w:customStyle="1">
    <w:name w:val="CM41"/>
    <w:basedOn w:val="1123"/>
    <w:next w:val="1123"/>
    <w:uiPriority w:val="99"/>
    <w:qFormat/>
    <w:pPr>
      <w:spacing w:after="478"/>
    </w:pPr>
    <w:rPr>
      <w:rFonts w:ascii="Times New Roman PSMT" w:hAnsi="Times New Roman" w:eastAsia="Times New Roman PSMT" w:cs="Times New Roman PSMT"/>
    </w:rPr>
  </w:style>
  <w:style w:type="paragraph" w:styleId="1123"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24" w:customStyle="1">
    <w:name w:val="Char Char Char Char"/>
    <w:basedOn w:val="696"/>
    <w:uiPriority w:val="0"/>
    <w:qFormat/>
    <w:rPr>
      <w:rFonts w:ascii="Tahoma" w:hAnsi="Tahoma"/>
      <w:sz w:val="24"/>
      <w:szCs w:val="20"/>
    </w:rPr>
  </w:style>
  <w:style w:type="paragraph" w:styleId="1125" w:customStyle="1">
    <w:name w:val="表格文字"/>
    <w:basedOn w:val="696"/>
    <w:uiPriority w:val="0"/>
    <w:qFormat/>
    <w:pPr>
      <w:jc w:val="left"/>
      <w:spacing w:line="288" w:lineRule="auto"/>
    </w:pPr>
    <w:rPr>
      <w:szCs w:val="20"/>
    </w:rPr>
  </w:style>
  <w:style w:type="paragraph" w:styleId="1126"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27" w:customStyle="1">
    <w:name w:val="flNote"/>
    <w:basedOn w:val="696"/>
    <w:uiPriority w:val="0"/>
    <w:qFormat/>
    <w:pPr>
      <w:jc w:val="center"/>
      <w:spacing w:before="320" w:after="160" w:line="360" w:lineRule="atLeast"/>
    </w:pPr>
    <w:rPr>
      <w:rFonts w:ascii="Tahoma" w:hAnsi="Cambria" w:eastAsia="幼圆" w:cs="Cambria"/>
      <w:sz w:val="30"/>
      <w:szCs w:val="20"/>
    </w:rPr>
  </w:style>
  <w:style w:type="paragraph" w:styleId="1128" w:customStyle="1">
    <w:name w:val="Char11"/>
    <w:basedOn w:val="696"/>
    <w:uiPriority w:val="0"/>
    <w:qFormat/>
    <w:rPr>
      <w:rFonts w:ascii="仿宋_GB2312" w:eastAsia="仿宋_GB2312"/>
      <w:b/>
      <w:sz w:val="32"/>
      <w:szCs w:val="32"/>
    </w:rPr>
  </w:style>
  <w:style w:type="paragraph" w:styleId="1129" w:customStyle="1">
    <w:name w:val="Char1"/>
    <w:basedOn w:val="696"/>
    <w:uiPriority w:val="0"/>
    <w:qFormat/>
    <w:rPr>
      <w:rFonts w:ascii="仿宋_GB2312" w:eastAsia="仿宋_GB2312"/>
      <w:b/>
      <w:sz w:val="32"/>
      <w:szCs w:val="32"/>
    </w:rPr>
  </w:style>
  <w:style w:type="paragraph" w:styleId="1130" w:customStyle="1">
    <w:name w:val="xl39"/>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31" w:customStyle="1">
    <w:name w:val="xl40"/>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32" w:customStyle="1">
    <w:name w:val="xl51"/>
    <w:basedOn w:val="69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33" w:customStyle="1">
    <w:name w:val="Char2"/>
    <w:basedOn w:val="696"/>
    <w:uiPriority w:val="0"/>
    <w:qFormat/>
    <w:pPr>
      <w:ind w:firstLine="200"/>
      <w:spacing w:line="360" w:lineRule="auto"/>
    </w:pPr>
    <w:rPr>
      <w:rFonts w:ascii="宋体" w:hAnsi="宋体" w:cs="宋体"/>
      <w:sz w:val="24"/>
    </w:rPr>
  </w:style>
  <w:style w:type="paragraph" w:styleId="1134" w:customStyle="1">
    <w:name w:val="Char Char Char1 Char Char Char"/>
    <w:basedOn w:val="696"/>
    <w:uiPriority w:val="0"/>
    <w:qFormat/>
    <w:pPr>
      <w:ind w:firstLine="200"/>
    </w:pPr>
    <w:rPr>
      <w:rFonts w:ascii="Tahoma" w:hAnsi="Tahoma"/>
      <w:sz w:val="24"/>
      <w:szCs w:val="20"/>
    </w:rPr>
  </w:style>
  <w:style w:type="paragraph" w:styleId="1135" w:customStyle="1">
    <w:name w:val="Char Char Char Char Char Char Char Char Char Char"/>
    <w:basedOn w:val="696"/>
    <w:uiPriority w:val="0"/>
    <w:qFormat/>
    <w:pPr>
      <w:tabs>
        <w:tab w:val="left" w:pos="360" w:leader="none"/>
      </w:tabs>
    </w:pPr>
  </w:style>
  <w:style w:type="paragraph" w:styleId="1136" w:customStyle="1">
    <w:name w:val="Char Char Char Char1"/>
    <w:basedOn w:val="696"/>
    <w:uiPriority w:val="0"/>
    <w:qFormat/>
    <w:pPr>
      <w:numPr>
        <w:ilvl w:val="0"/>
        <w:numId w:val="3"/>
      </w:numPr>
      <w:ind w:left="560" w:firstLine="480"/>
      <w:jc w:val="left"/>
      <w:spacing w:after="120" w:line="360" w:lineRule="auto"/>
      <w:widowControl/>
    </w:pPr>
    <w:rPr>
      <w:rFonts w:ascii="Verdana" w:hAnsi="Verdana"/>
      <w:sz w:val="24"/>
    </w:rPr>
  </w:style>
  <w:style w:type="paragraph" w:styleId="1137" w:customStyle="1">
    <w:name w:val="样式 标题 2 + Times New Roman 四号 非加粗 段前: 5 磅 段后: 0 磅 行距: 固定值 20..."/>
    <w:basedOn w:val="893"/>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38" w:customStyle="1">
    <w:name w:val="xl23"/>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9" w:customStyle="1">
    <w:name w:val="Char Char Char Char Char Char Char Char Char Char Char Char Char Char Char Char"/>
    <w:basedOn w:val="696"/>
    <w:uiPriority w:val="0"/>
    <w:qFormat/>
    <w:pPr>
      <w:tabs>
        <w:tab w:val="left" w:pos="360" w:leader="none"/>
      </w:tabs>
    </w:pPr>
    <w:rPr>
      <w:sz w:val="24"/>
    </w:rPr>
  </w:style>
  <w:style w:type="paragraph" w:styleId="1140" w:customStyle="1">
    <w:name w:val="xl44"/>
    <w:basedOn w:val="69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41" w:customStyle="1">
    <w:name w:val="Char Char Char Char Char Char Char"/>
    <w:basedOn w:val="696"/>
    <w:uiPriority w:val="0"/>
    <w:qFormat/>
    <w:pPr>
      <w:jc w:val="left"/>
      <w:spacing w:after="160" w:line="240" w:lineRule="exact"/>
      <w:widowControl/>
    </w:pPr>
    <w:rPr>
      <w:rFonts w:ascii="Arial" w:hAnsi="Arial" w:eastAsia="Times New Roman" w:cs="Verdana"/>
      <w:b/>
      <w:sz w:val="24"/>
      <w:lang w:eastAsia="en-US"/>
    </w:rPr>
  </w:style>
  <w:style w:type="paragraph" w:styleId="1142" w:customStyle="1">
    <w:name w:val="表格标题"/>
    <w:basedOn w:val="696"/>
    <w:uiPriority w:val="0"/>
    <w:qFormat/>
    <w:pPr>
      <w:jc w:val="center"/>
      <w:spacing w:before="120" w:line="400" w:lineRule="exact"/>
    </w:pPr>
    <w:rPr>
      <w:rFonts w:eastAsia="文鼎CS中宋"/>
      <w:spacing w:val="8"/>
      <w:sz w:val="24"/>
      <w:szCs w:val="20"/>
    </w:rPr>
  </w:style>
  <w:style w:type="paragraph" w:styleId="1143" w:customStyle="1">
    <w:name w:val="xl22"/>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4" w:customStyle="1">
    <w:name w:val="表头"/>
    <w:basedOn w:val="696"/>
    <w:uiPriority w:val="0"/>
    <w:qFormat/>
    <w:pPr>
      <w:jc w:val="center"/>
      <w:spacing w:line="320" w:lineRule="atLeast"/>
    </w:pPr>
    <w:rPr>
      <w:rFonts w:eastAsia="黑体"/>
      <w:spacing w:val="-10"/>
      <w:szCs w:val="20"/>
    </w:rPr>
  </w:style>
  <w:style w:type="paragraph" w:styleId="1145" w:customStyle="1">
    <w:name w:val="Javis"/>
    <w:basedOn w:val="696"/>
    <w:uiPriority w:val="0"/>
    <w:qFormat/>
    <w:pPr>
      <w:ind w:right="210"/>
    </w:pPr>
    <w:rPr>
      <w:rFonts w:cs="宋体"/>
      <w:sz w:val="24"/>
      <w:szCs w:val="20"/>
    </w:rPr>
  </w:style>
  <w:style w:type="paragraph" w:styleId="1146" w:customStyle="1">
    <w:name w:val="xl30"/>
    <w:basedOn w:val="69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47" w:customStyle="1">
    <w:name w:val="正文2"/>
    <w:basedOn w:val="696"/>
    <w:uiPriority w:val="0"/>
    <w:qFormat/>
    <w:pPr>
      <w:ind w:firstLine="200"/>
      <w:jc w:val="left"/>
      <w:spacing w:after="160" w:line="360" w:lineRule="auto"/>
      <w:widowControl/>
    </w:pPr>
    <w:rPr>
      <w:rFonts w:ascii="Verdana" w:hAnsi="Verdana" w:eastAsia="黑体"/>
      <w:szCs w:val="20"/>
      <w:lang w:eastAsia="en-US"/>
    </w:rPr>
  </w:style>
  <w:style w:type="paragraph" w:styleId="1148" w:customStyle="1">
    <w:name w:val="H2"/>
    <w:basedOn w:val="696"/>
    <w:next w:val="696"/>
    <w:uiPriority w:val="0"/>
    <w:qFormat/>
    <w:pPr>
      <w:jc w:val="left"/>
      <w:keepNext/>
      <w:spacing w:before="100" w:after="100"/>
      <w:outlineLvl w:val="2"/>
    </w:pPr>
    <w:rPr>
      <w:b/>
      <w:sz w:val="36"/>
      <w:szCs w:val="20"/>
    </w:rPr>
  </w:style>
  <w:style w:type="paragraph" w:styleId="1149" w:customStyle="1">
    <w:name w:val="xl49"/>
    <w:basedOn w:val="696"/>
    <w:uiPriority w:val="0"/>
    <w:qFormat/>
    <w:pPr>
      <w:jc w:val="center"/>
      <w:spacing w:before="100" w:beforeAutospacing="1" w:after="100" w:afterAutospacing="1"/>
      <w:widowControl/>
    </w:pPr>
    <w:rPr>
      <w:rFonts w:ascii="宋体" w:hAnsi="宋体"/>
      <w:b/>
      <w:bCs/>
      <w:color w:val="000000"/>
      <w:sz w:val="40"/>
      <w:szCs w:val="40"/>
    </w:rPr>
  </w:style>
  <w:style w:type="paragraph" w:styleId="1150" w:customStyle="1">
    <w:name w:val="xl50"/>
    <w:basedOn w:val="696"/>
    <w:uiPriority w:val="0"/>
    <w:qFormat/>
    <w:pPr>
      <w:jc w:val="center"/>
      <w:spacing w:before="100" w:beforeAutospacing="1" w:after="100" w:afterAutospacing="1"/>
      <w:widowControl/>
    </w:pPr>
    <w:rPr>
      <w:rFonts w:ascii="宋体" w:hAnsi="宋体"/>
      <w:b/>
      <w:bCs/>
      <w:sz w:val="40"/>
      <w:szCs w:val="40"/>
    </w:rPr>
  </w:style>
  <w:style w:type="paragraph" w:styleId="1151" w:customStyle="1">
    <w:name w:val="xl26"/>
    <w:basedOn w:val="69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2" w:customStyle="1">
    <w:name w:val="xl3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3" w:customStyle="1">
    <w:name w:val="默认段落字体 Para Char Char Char Char Char Char Char"/>
    <w:basedOn w:val="696"/>
    <w:uiPriority w:val="0"/>
    <w:qFormat/>
    <w:rPr>
      <w:rFonts w:eastAsia="华文细黑" w:cs="Cambria"/>
      <w:sz w:val="24"/>
      <w:szCs w:val="20"/>
    </w:rPr>
  </w:style>
  <w:style w:type="paragraph" w:styleId="1154" w:customStyle="1">
    <w:name w:val="CM4"/>
    <w:basedOn w:val="1123"/>
    <w:next w:val="1123"/>
    <w:uiPriority w:val="99"/>
    <w:qFormat/>
    <w:pPr>
      <w:spacing w:line="468" w:lineRule="atLeast"/>
    </w:pPr>
    <w:rPr>
      <w:rFonts w:ascii="Times New Roman PSMT" w:hAnsi="Times New Roman" w:eastAsia="Times New Roman PSMT" w:cs="Times New Roman PSMT"/>
    </w:rPr>
  </w:style>
  <w:style w:type="paragraph" w:styleId="1155" w:customStyle="1">
    <w:name w:val="H5"/>
    <w:basedOn w:val="696"/>
    <w:next w:val="696"/>
    <w:uiPriority w:val="0"/>
    <w:qFormat/>
    <w:pPr>
      <w:jc w:val="left"/>
      <w:keepNext/>
      <w:spacing w:before="100" w:after="100"/>
      <w:outlineLvl w:val="5"/>
    </w:pPr>
    <w:rPr>
      <w:b/>
      <w:sz w:val="20"/>
      <w:szCs w:val="20"/>
    </w:rPr>
  </w:style>
  <w:style w:type="paragraph" w:styleId="1156" w:customStyle="1">
    <w:name w:val="xl38"/>
    <w:basedOn w:val="69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57" w:customStyle="1">
    <w:name w:val="font0"/>
    <w:basedOn w:val="696"/>
    <w:uiPriority w:val="0"/>
    <w:qFormat/>
    <w:pPr>
      <w:jc w:val="left"/>
      <w:spacing w:before="100" w:beforeAutospacing="1" w:after="100" w:afterAutospacing="1"/>
      <w:widowControl/>
    </w:pPr>
    <w:rPr>
      <w:rFonts w:hint="eastAsia" w:ascii="宋体" w:hAnsi="宋体"/>
      <w:sz w:val="18"/>
      <w:szCs w:val="18"/>
    </w:rPr>
  </w:style>
  <w:style w:type="paragraph" w:styleId="1158" w:customStyle="1">
    <w:name w:val="H3"/>
    <w:basedOn w:val="696"/>
    <w:next w:val="696"/>
    <w:uiPriority w:val="0"/>
    <w:qFormat/>
    <w:pPr>
      <w:jc w:val="left"/>
      <w:keepNext/>
      <w:spacing w:before="100" w:after="100"/>
      <w:outlineLvl w:val="3"/>
    </w:pPr>
    <w:rPr>
      <w:b/>
      <w:sz w:val="28"/>
      <w:szCs w:val="20"/>
    </w:rPr>
  </w:style>
  <w:style w:type="paragraph" w:styleId="1159" w:customStyle="1">
    <w:name w:val="目录"/>
    <w:basedOn w:val="696"/>
    <w:next w:val="696"/>
    <w:uiPriority w:val="0"/>
    <w:qFormat/>
    <w:pPr>
      <w:ind w:firstLine="420"/>
      <w:jc w:val="center"/>
      <w:spacing w:before="360" w:after="360" w:line="360" w:lineRule="auto"/>
    </w:pPr>
    <w:rPr>
      <w:b/>
      <w:spacing w:val="200"/>
      <w:sz w:val="36"/>
      <w:szCs w:val="20"/>
    </w:rPr>
  </w:style>
  <w:style w:type="paragraph" w:styleId="1160" w:customStyle="1">
    <w:name w:val="默认段落字体 Para Char Char Char"/>
    <w:basedOn w:val="696"/>
    <w:uiPriority w:val="0"/>
    <w:qFormat/>
  </w:style>
  <w:style w:type="paragraph" w:styleId="1161" w:customStyle="1">
    <w:name w:val="xl52"/>
    <w:basedOn w:val="69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62" w:customStyle="1">
    <w:name w:val="xl28"/>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3" w:customStyle="1">
    <w:name w:val="xl4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64" w:customStyle="1">
    <w:name w:val="修订1"/>
    <w:uiPriority w:val="0"/>
    <w:qFormat/>
    <w:rPr>
      <w:rFonts w:ascii="Cambria" w:hAnsi="Cambria" w:eastAsia="华文细黑" w:cs="Cambria"/>
      <w:sz w:val="21"/>
      <w:szCs w:val="24"/>
      <w:lang w:val="en-US" w:eastAsia="zh-CN" w:bidi="ar-SA"/>
    </w:rPr>
  </w:style>
  <w:style w:type="paragraph" w:styleId="1165" w:customStyle="1">
    <w:name w:val="项目符号1"/>
    <w:basedOn w:val="696"/>
    <w:uiPriority w:val="0"/>
    <w:qFormat/>
    <w:pPr>
      <w:ind w:left="1440" w:hanging="360"/>
      <w:tabs>
        <w:tab w:val="left" w:pos="360" w:leader="none"/>
      </w:tabs>
    </w:pPr>
    <w:rPr>
      <w:szCs w:val="20"/>
    </w:rPr>
  </w:style>
  <w:style w:type="paragraph" w:styleId="1166" w:customStyle="1">
    <w:name w:val="Char Char Char Char Char Char Char Char Char Char2"/>
    <w:basedOn w:val="696"/>
    <w:uiPriority w:val="0"/>
    <w:qFormat/>
    <w:pPr>
      <w:numPr>
        <w:ilvl w:val="0"/>
        <w:numId w:val="4"/>
      </w:numPr>
    </w:pPr>
    <w:rPr>
      <w:sz w:val="24"/>
    </w:rPr>
  </w:style>
  <w:style w:type="paragraph" w:styleId="1167" w:customStyle="1">
    <w:name w:val="无间隔2"/>
    <w:uiPriority w:val="0"/>
    <w:qFormat/>
    <w:pPr>
      <w:jc w:val="both"/>
      <w:widowControl w:val="off"/>
    </w:pPr>
    <w:rPr>
      <w:rFonts w:ascii="仿宋_GB2312" w:hAnsi="仿宋_GB2312" w:eastAsia="华文细黑" w:cs="Cambria"/>
      <w:sz w:val="21"/>
      <w:szCs w:val="22"/>
      <w:lang w:val="en-US" w:eastAsia="zh-CN" w:bidi="ar-SA"/>
    </w:rPr>
  </w:style>
  <w:style w:type="paragraph" w:styleId="1168" w:customStyle="1">
    <w:name w:val="H4"/>
    <w:basedOn w:val="696"/>
    <w:next w:val="696"/>
    <w:uiPriority w:val="0"/>
    <w:qFormat/>
    <w:pPr>
      <w:jc w:val="left"/>
      <w:keepNext/>
      <w:spacing w:before="100" w:after="100"/>
      <w:outlineLvl w:val="4"/>
    </w:pPr>
    <w:rPr>
      <w:b/>
      <w:sz w:val="24"/>
      <w:szCs w:val="20"/>
    </w:rPr>
  </w:style>
  <w:style w:type="paragraph" w:styleId="1169" w:customStyle="1">
    <w:name w:val="Address"/>
    <w:basedOn w:val="696"/>
    <w:next w:val="696"/>
    <w:uiPriority w:val="0"/>
    <w:qFormat/>
    <w:pPr>
      <w:jc w:val="left"/>
    </w:pPr>
    <w:rPr>
      <w:rFonts w:ascii="Cambria" w:hAnsi="Cambria" w:eastAsia="华文细黑" w:cs="Cambria"/>
      <w:i/>
      <w:sz w:val="24"/>
      <w:szCs w:val="20"/>
    </w:rPr>
  </w:style>
  <w:style w:type="paragraph" w:styleId="1170" w:customStyle="1">
    <w:name w:val="xl3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71" w:customStyle="1">
    <w:name w:val="样式 纯文本 + 楷体_GB2312 小四 行距: 固定值 20 磅1"/>
    <w:basedOn w:val="939"/>
    <w:uiPriority w:val="0"/>
    <w:qFormat/>
    <w:pPr>
      <w:ind w:firstLine="200"/>
      <w:spacing w:line="400" w:lineRule="exact"/>
    </w:pPr>
    <w:rPr>
      <w:rFonts w:ascii="楷体_GB2312" w:eastAsia="楷体_GB2312"/>
      <w:sz w:val="24"/>
      <w:szCs w:val="20"/>
    </w:rPr>
  </w:style>
  <w:style w:type="paragraph" w:styleId="1172" w:customStyle="1">
    <w:name w:val="ZDY正文"/>
    <w:basedOn w:val="696"/>
    <w:uiPriority w:val="0"/>
    <w:qFormat/>
    <w:pPr>
      <w:ind w:firstLine="200"/>
      <w:jc w:val="left"/>
      <w:spacing w:before="156" w:line="360" w:lineRule="auto"/>
    </w:pPr>
    <w:rPr>
      <w:rFonts w:ascii="宋体" w:hAnsi="宋体"/>
      <w:sz w:val="24"/>
    </w:rPr>
  </w:style>
  <w:style w:type="paragraph" w:styleId="1173" w:customStyle="1">
    <w:name w:val="H1"/>
    <w:basedOn w:val="696"/>
    <w:next w:val="696"/>
    <w:uiPriority w:val="0"/>
    <w:qFormat/>
    <w:pPr>
      <w:jc w:val="left"/>
      <w:keepNext/>
      <w:spacing w:before="100" w:after="100"/>
      <w:outlineLvl w:val="1"/>
    </w:pPr>
    <w:rPr>
      <w:b/>
      <w:sz w:val="48"/>
      <w:szCs w:val="20"/>
    </w:rPr>
  </w:style>
  <w:style w:type="paragraph" w:styleId="1174" w:customStyle="1">
    <w:name w:val="章标题"/>
    <w:next w:val="696"/>
    <w:uiPriority w:val="0"/>
    <w:qFormat/>
    <w:pPr>
      <w:numPr>
        <w:ilvl w:val="1"/>
        <w:numId w:val="3"/>
      </w:numPr>
      <w:jc w:val="both"/>
      <w:spacing w:before="156" w:after="156"/>
      <w:tabs>
        <w:tab w:val="left" w:pos="360" w:leader="none"/>
      </w:tabs>
      <w:outlineLvl w:val="1"/>
    </w:pPr>
    <w:rPr>
      <w:rFonts w:ascii="黑体" w:hAnsi="Times New Roman" w:eastAsia="黑体" w:cs="Times New Roman"/>
      <w:sz w:val="21"/>
      <w:lang w:val="en-US" w:eastAsia="zh-CN" w:bidi="ar-SA"/>
    </w:rPr>
  </w:style>
  <w:style w:type="paragraph" w:styleId="1175" w:customStyle="1">
    <w:name w:val="段"/>
    <w:next w:val="696"/>
    <w:link w:val="1176"/>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176" w:customStyle="1">
    <w:name w:val="段 Char"/>
    <w:link w:val="1175"/>
    <w:uiPriority w:val="0"/>
    <w:qFormat/>
    <w:rPr>
      <w:rFonts w:ascii="宋体"/>
      <w:sz w:val="21"/>
    </w:rPr>
  </w:style>
  <w:style w:type="character" w:styleId="1177" w:customStyle="1">
    <w:name w:val="font31"/>
    <w:uiPriority w:val="0"/>
    <w:qFormat/>
    <w:rPr>
      <w:rFonts w:ascii="方正仿宋_GBK" w:hAnsi="方正仿宋_GBK" w:eastAsia="方正仿宋_GBK" w:cs="方正仿宋_GBK"/>
      <w:color w:val="000000"/>
      <w:sz w:val="18"/>
      <w:szCs w:val="18"/>
      <w:u w:val="none"/>
    </w:rPr>
  </w:style>
  <w:style w:type="character" w:styleId="1178" w:customStyle="1">
    <w:name w:val="font41"/>
    <w:uiPriority w:val="0"/>
    <w:qFormat/>
    <w:rPr>
      <w:rFonts w:hint="eastAsia" w:ascii="宋体" w:hAnsi="宋体" w:eastAsia="宋体" w:cs="宋体"/>
      <w:color w:val="000000"/>
      <w:sz w:val="18"/>
      <w:szCs w:val="18"/>
      <w:u w:val="none"/>
    </w:rPr>
  </w:style>
  <w:style w:type="character" w:styleId="1179" w:customStyle="1">
    <w:name w:val="bumpedfont15"/>
    <w:uiPriority w:val="0"/>
    <w:qFormat/>
  </w:style>
  <w:style w:type="character" w:styleId="1180" w:customStyle="1">
    <w:name w:val="font51"/>
    <w:uiPriority w:val="0"/>
    <w:qFormat/>
    <w:rPr>
      <w:rFonts w:ascii="方正仿宋_GBK" w:hAnsi="方正仿宋_GBK" w:eastAsia="方正仿宋_GBK" w:cs="方正仿宋_GBK"/>
      <w:color w:val="000000"/>
      <w:sz w:val="18"/>
      <w:szCs w:val="18"/>
      <w:u w:val="none"/>
    </w:rPr>
  </w:style>
  <w:style w:type="character" w:styleId="1181" w:customStyle="1">
    <w:name w:val="font61"/>
    <w:uiPriority w:val="0"/>
    <w:qFormat/>
    <w:rPr>
      <w:rFonts w:hint="eastAsia" w:ascii="宋体" w:hAnsi="宋体" w:eastAsia="宋体" w:cs="宋体"/>
      <w:color w:val="000000"/>
      <w:sz w:val="18"/>
      <w:szCs w:val="18"/>
      <w:u w:val="none"/>
    </w:rPr>
  </w:style>
  <w:style w:type="paragraph" w:styleId="1182" w:customStyle="1">
    <w:name w:val="_Style 9"/>
    <w:basedOn w:val="696"/>
    <w:next w:val="1119"/>
    <w:uiPriority w:val="34"/>
    <w:qFormat/>
    <w:pPr>
      <w:ind w:firstLine="420"/>
    </w:pPr>
    <w:rPr>
      <w:rFonts w:ascii="Calibri" w:hAnsi="Calibri"/>
    </w:rPr>
  </w:style>
  <w:style w:type="character" w:styleId="1183" w:customStyle="1">
    <w:name w:val="NormalCharacter1"/>
    <w:uiPriority w:val="0"/>
    <w:qFormat/>
  </w:style>
  <w:style w:type="paragraph" w:styleId="1184" w:customStyle="1">
    <w:name w:val="UserStyle_4"/>
    <w:basedOn w:val="696"/>
    <w:link w:val="1185"/>
    <w:uiPriority w:val="99"/>
    <w:qFormat/>
  </w:style>
  <w:style w:type="character" w:styleId="1185" w:customStyle="1">
    <w:name w:val="NormalCharacter11"/>
    <w:link w:val="1184"/>
    <w:uiPriority w:val="99"/>
    <w:qFormat/>
  </w:style>
  <w:style w:type="character" w:styleId="1186" w:customStyle="1">
    <w:name w:val="font81"/>
    <w:uiPriority w:val="0"/>
    <w:qFormat/>
    <w:rPr>
      <w:rFonts w:hint="eastAsia" w:ascii="宋体" w:hAnsi="宋体" w:eastAsia="宋体" w:cs="宋体"/>
      <w:b/>
      <w:bCs/>
      <w:color w:val="000000"/>
      <w:sz w:val="20"/>
      <w:szCs w:val="20"/>
      <w:u w:val="none"/>
    </w:rPr>
  </w:style>
  <w:style w:type="character" w:styleId="1187" w:customStyle="1">
    <w:name w:val="font91"/>
    <w:uiPriority w:val="0"/>
    <w:qFormat/>
    <w:rPr>
      <w:rFonts w:hint="eastAsia" w:ascii="宋体" w:hAnsi="宋体" w:eastAsia="宋体" w:cs="宋体"/>
      <w:color w:val="000000"/>
      <w:sz w:val="20"/>
      <w:szCs w:val="20"/>
      <w:u w:val="none"/>
    </w:rPr>
  </w:style>
  <w:style w:type="character" w:styleId="1188" w:customStyle="1">
    <w:name w:val="font01"/>
    <w:uiPriority w:val="0"/>
    <w:qFormat/>
    <w:rPr>
      <w:rFonts w:ascii="Arial" w:hAnsi="Arial" w:cs="Arial"/>
      <w:color w:val="000000"/>
      <w:sz w:val="20"/>
      <w:szCs w:val="20"/>
      <w:u w:val="none"/>
    </w:rPr>
  </w:style>
  <w:style w:type="paragraph" w:styleId="1189" w:customStyle="1">
    <w:name w:val="样式 标题 2 + 宋体 段前: 1 行"/>
    <w:basedOn w:val="893"/>
    <w:uiPriority w:val="0"/>
    <w:qFormat/>
    <w:pPr>
      <w:numPr>
        <w:ilvl w:val="0"/>
        <w:numId w:val="5"/>
      </w:numPr>
      <w:jc w:val="center"/>
      <w:keepLines w:val="0"/>
      <w:keepNext w:val="0"/>
      <w:spacing w:before="0" w:after="0" w:line="560" w:lineRule="exact"/>
      <w:tabs>
        <w:tab w:val="left" w:pos="5386" w:leader="none"/>
      </w:tabs>
      <w:outlineLvl w:val="0"/>
    </w:pPr>
    <w:rPr>
      <w:rFonts w:ascii="黑体" w:hAnsi="黑体" w:cs="微软雅黑"/>
      <w:b w:val="0"/>
      <w:spacing w:val="20"/>
      <w:sz w:val="44"/>
      <w:szCs w:val="44"/>
    </w:rPr>
  </w:style>
  <w:style w:type="paragraph" w:styleId="1190" w:customStyle="1">
    <w:name w:val="正文文本1"/>
    <w:basedOn w:val="696"/>
    <w:next w:val="1191"/>
    <w:uiPriority w:val="0"/>
    <w:qFormat/>
    <w:rPr>
      <w:rFonts w:ascii="仿宋_GB2312" w:eastAsia="仿宋_GB2312"/>
      <w:sz w:val="28"/>
      <w:szCs w:val="20"/>
    </w:rPr>
  </w:style>
  <w:style w:type="paragraph" w:styleId="1191" w:customStyle="1">
    <w:name w:val="正文首行缩进1"/>
    <w:basedOn w:val="1190"/>
    <w:uiPriority w:val="0"/>
    <w:qFormat/>
    <w:pPr>
      <w:ind w:firstLine="420"/>
      <w:spacing w:after="120"/>
    </w:pPr>
    <w:rPr>
      <w:color w:val="000000"/>
      <w:spacing w:val="-8"/>
      <w:sz w:val="21"/>
    </w:rPr>
  </w:style>
  <w:style w:type="paragraph" w:styleId="1192" w:customStyle="1">
    <w:name w:val="正文文本11"/>
    <w:basedOn w:val="696"/>
    <w:uiPriority w:val="0"/>
    <w:qFormat/>
    <w:rPr>
      <w:rFonts w:ascii="仿宋_GB2312" w:eastAsia="仿宋_GB2312"/>
      <w:sz w:val="28"/>
      <w:szCs w:val="20"/>
      <w:lang w:eastAsia="en-US"/>
    </w:rPr>
  </w:style>
  <w:style w:type="paragraph" w:styleId="1193" w:customStyle="1">
    <w:name w:val="Style1"/>
    <w:basedOn w:val="696"/>
    <w:uiPriority w:val="0"/>
    <w:qFormat/>
    <w:pPr>
      <w:widowControl/>
      <w:tabs>
        <w:tab w:val="left" w:pos="-720" w:leader="none"/>
      </w:tabs>
    </w:pPr>
    <w:rPr>
      <w:spacing w:val="-3"/>
      <w:sz w:val="24"/>
      <w:szCs w:val="22"/>
      <w:lang w:val="en-AU" w:eastAsia="en-US"/>
    </w:rPr>
  </w:style>
  <w:style w:type="paragraph" w:styleId="1194" w:customStyle="1">
    <w:name w:val="普通正文"/>
    <w:basedOn w:val="696"/>
    <w:uiPriority w:val="0"/>
    <w:qFormat/>
    <w:pPr>
      <w:ind w:firstLine="480"/>
      <w:jc w:val="left"/>
      <w:spacing w:before="120" w:after="120" w:line="360" w:lineRule="auto"/>
    </w:pPr>
    <w:rPr>
      <w:rFonts w:ascii="Arial" w:hAnsi="Arial"/>
      <w:sz w:val="24"/>
    </w:rPr>
  </w:style>
  <w:style w:type="paragraph" w:styleId="119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5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84251eb8-c6ba-48a3-a53b-db35783741d3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4A58CB4</paraID>
      <start>0</start>
      <end>4</end>
      <status>unmodified</status>
      <modifiedWord/>
      <trackRevisions>false</trackRevisions>
    </reviewItem>
    <reviewItem>
      <errorID>e2e4e8b0-0b8d-406b-95e1-7aaf708a3d3f</errorID>
      <errorWord>.</errorWord>
      <group>L1_Format</group>
      <groupName>格式问题</groupName>
      <ability>L2_HalfPunc_CN</ability>
      <abilityName>全半角问题</abilityName>
      <candidateList>
        <item>。</item>
      </candidateList>
      <explain>文本全半角错误。</explain>
      <paraID>21D532E2</paraID>
      <start>5</start>
      <end>6</end>
      <status>unmodified</status>
      <modifiedWord/>
      <trackRevisions>false</trackRevisions>
    </reviewItem>
    <reviewItem>
      <errorID>df5c4258-303c-4420-9202-c1a9c8da6f98</errorID>
      <errorWord>[2011]300号</errorWord>
      <group>L1_Knowledge</group>
      <groupName>知识性问题</groupName>
      <ability>L2_Knowledge</ability>
      <abilityName>其他知识</abilityName>
      <candidateList>
        <item>〔2011〕300号</item>
      </candidateList>
      <explain>发文字号格式错误。</explain>
      <paraID>4B2B5ECF</paraID>
      <start>36</start>
      <end>46</end>
      <status>unmodified</status>
      <modifiedWord/>
      <trackRevisions>false</trackRevisions>
    </reviewItem>
    <reviewItem>
      <errorID>25785d48-eb20-4e32-babb-6a67544aaaf6</errorID>
      <errorWord>)</errorWord>
      <group>L1_Format</group>
      <groupName>格式问题</groupName>
      <ability>L2_HalfPunc_CN</ability>
      <abilityName>全半角问题</abilityName>
      <candidateList>
        <item>）</item>
      </candidateList>
      <explain>文本全半角错误。</explain>
      <paraID>4CBC4722</paraID>
      <start>63</start>
      <end>64</end>
      <status>unmodified</status>
      <modifiedWord/>
      <trackRevisions>false</trackRevisions>
    </reviewItem>
    <reviewItem>
      <errorID>fcf63036-a5e6-420e-a419-6c7e6467ed9c</errorID>
      <errorWord>00时</errorWord>
      <group>L1_Word</group>
      <groupName>字词问题</groupName>
      <ability>L2_Typo</ability>
      <abilityName>字词错误</abilityName>
      <candidateList>
        <item>00</item>
      </candidateList>
      <explain/>
      <paraID> 15CBF3C</paraID>
      <start>56</start>
      <end>59</end>
      <status>unmodified</status>
      <modifiedWord/>
      <trackRevisions>false</trackRevisions>
    </reviewItem>
    <reviewItem>
      <errorID>6d52bfdc-3d1a-4851-a124-6698749e6632</errorID>
      <errorWord>.</errorWord>
      <group>L1_Format</group>
      <groupName>格式问题</groupName>
      <ability>L2_HalfPunc_CN</ability>
      <abilityName>全半角问题</abilityName>
      <candidateList>
        <item>。</item>
      </candidateList>
      <explain>文本全半角错误。</explain>
      <paraID>606BF134</paraID>
      <start>5</start>
      <end>6</end>
      <status>unmodified</status>
      <modifiedWord/>
      <trackRevisions>false</trackRevisions>
    </reviewItem>
    <reviewItem>
      <errorID>cfcd9d72-1f7c-492d-92e1-74b5d47ba792</errorID>
      <errorWord>)</errorWord>
      <group>L1_Format</group>
      <groupName>格式问题</groupName>
      <ability>L2_HalfPunc_CN</ability>
      <abilityName>全半角问题</abilityName>
      <candidateList>
        <item>）</item>
      </candidateList>
      <explain>文本全半角错误。</explain>
      <paraID> EC5D80C</paraID>
      <start>22</start>
      <end>23</end>
      <status>unmodified</status>
      <modifiedWord/>
      <trackRevisions>false</trackRevisions>
    </reviewItem>
    <reviewItem>
      <errorID>1fdf4d5f-1d57-4b1c-a658-639e51f43fe3</errorID>
      <errorWord>)</errorWord>
      <group>L1_Format</group>
      <groupName>格式问题</groupName>
      <ability>L2_HalfPunc_CN</ability>
      <abilityName>全半角问题</abilityName>
      <candidateList>
        <item>）</item>
      </candidateList>
      <explain>文本全半角错误。</explain>
      <paraID>383AE861</paraID>
      <start>20</start>
      <end>21</end>
      <status>unmodified</status>
      <modifiedWord/>
      <trackRevisions>false</trackRevisions>
    </reviewItem>
    <reviewItem>
      <errorID>8fca9d25-0bd0-4273-b868-6a62fd585661</errorID>
      <errorWord>)</errorWord>
      <group>L1_Format</group>
      <groupName>格式问题</groupName>
      <ability>L2_HalfPunc_CN</ability>
      <abilityName>全半角问题</abilityName>
      <candidateList>
        <item>）</item>
      </candidateList>
      <explain>文本全半角错误。</explain>
      <paraID>148460BD</paraID>
      <start>44</start>
      <end>45</end>
      <status>unmodified</status>
      <modifiedWord/>
      <trackRevisions>false</trackRevisions>
    </reviewItem>
    <reviewItem>
      <errorID>a156730c-a3c1-4d8e-a185-a3f5f0197a25</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7FE67362</paraID>
      <start>11</start>
      <end>15</end>
      <status>unmodified</status>
      <modifiedWord/>
      <trackRevisions>false</trackRevisions>
    </reviewItem>
    <reviewItem>
      <errorID>90dd4779-3c26-4848-ae2a-0e49403808a3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527C4E5E</paraID>
      <start>3</start>
      <end>5</end>
      <status>unmodified</status>
      <modifiedWord/>
      <trackRevisions>false</trackRevisions>
    </reviewItem>
    <reviewItem>
      <errorID>98d86e28-c2b9-4c8c-b27b-234232ea1854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5D938743</paraID>
      <start>0</start>
      <end>2</end>
      <status>unmodified</status>
      <modifiedWord/>
      <trackRevisions>false</trackRevisions>
    </reviewItem>
    <reviewItem>
      <errorID>2eec5797-5e15-422c-a89b-3bb89e18ec2e</errorID>
      <errorWord>页</errorWord>
      <group>L1_Word</group>
      <groupName>字词问题</groupName>
      <ability>L2_Typo</ability>
      <abilityName>字词错误</abilityName>
      <candidateList>
        <item>页面</item>
      </candidateList>
      <explain/>
      <paraID> 33C4367</paraID>
      <start>27</start>
      <end>28</end>
      <status>unmodified</status>
      <modifiedWord/>
      <trackRevisions>false</trackRevisions>
    </reviewItem>
    <reviewItem>
      <errorID>1ec57545-bd5d-470e-be8e-188ccfca91df</errorID>
      <errorWord>&lt;</errorWord>
      <group>L1_Format</group>
      <groupName>格式问题</groupName>
      <ability>L2_HalfPunc_CN</ability>
      <abilityName>全半角问题</abilityName>
      <candidateList>
        <item>〈</item>
      </candidateList>
      <explain>文本全半角错误。</explain>
      <paraID>6BEECB75</paraID>
      <start>48</start>
      <end>49</end>
      <status>unmodified</status>
      <modifiedWord/>
      <trackRevisions>false</trackRevisions>
    </reviewItem>
    <reviewItem>
      <errorID>34464290-ac05-448c-ba55-e09bd470a753</errorID>
      <errorWord>&lt;</errorWord>
      <group>L1_Format</group>
      <groupName>格式问题</groupName>
      <ability>L2_HalfPunc_CN</ability>
      <abilityName>全半角问题</abilityName>
      <candidateList>
        <item>〈</item>
      </candidateList>
      <explain>文本全半角错误。</explain>
      <paraID> 4DB1853</paraID>
      <start>48</start>
      <end>49</end>
      <status>unmodified</status>
      <modifiedWord/>
      <trackRevisions>false</trackRevisions>
    </reviewItem>
    <reviewItem>
      <errorID>059935d8-3038-45c3-9d08-af7f3b61651b</errorID>
      <errorWord>&lt;</errorWord>
      <group>L1_Format</group>
      <groupName>格式问题</groupName>
      <ability>L2_HalfPunc_CN</ability>
      <abilityName>全半角问题</abilityName>
      <candidateList>
        <item>〈</item>
      </candidateList>
      <explain>文本全半角错误。</explain>
      <paraID>28254660</paraID>
      <start>33</start>
      <end>34</end>
      <status>unmodified</status>
      <modifiedWord/>
      <trackRevisions>false</trackRevisions>
    </reviewItem>
    <reviewItem>
      <errorID>5d2d35e3-39d3-43ff-b268-4235df0cd72b</errorID>
      <errorWord>，</errorWord>
      <group>L1_Word</group>
      <groupName>字词问题</groupName>
      <ability>L2_Typo</ability>
      <abilityName>字词错误</abilityName>
      <candidateList>
        <item>，并</item>
      </candidateList>
      <explain/>
      <paraID>1E88D276</paraID>
      <start>72</start>
      <end>73</end>
      <status>unmodified</status>
      <modifiedWord/>
      <trackRevisions>false</trackRevisions>
    </reviewItem>
    <reviewItem>
      <errorID>03faf5dc-14d8-473c-8cce-5a5057f817d1</errorID>
      <errorWord>[2014]68号</errorWord>
      <group>L1_Knowledge</group>
      <groupName>知识性问题</groupName>
      <ability>L2_Knowledge</ability>
      <abilityName>其他知识</abilityName>
      <candidateList>
        <item>〔2014〕68号</item>
      </candidateList>
      <explain>发文字号格式错误。</explain>
      <paraID>1B89E8D3</paraID>
      <start>83</start>
      <end>92</end>
      <status>unmodified</status>
      <modifiedWord/>
      <trackRevisions>false</trackRevisions>
    </reviewItem>
    <reviewItem>
      <errorID>4467b6b7-6b7d-469e-8a59-c2b08d7d0844</errorID>
      <errorWord>)</errorWord>
      <group>L1_Format</group>
      <groupName>格式问题</groupName>
      <ability>L2_HalfPunc_CN</ability>
      <abilityName>全半角问题</abilityName>
      <candidateList>
        <item>）</item>
      </candidateList>
      <explain>文本全半角错误。</explain>
      <paraID>1B89E8D3</paraID>
      <start>124</start>
      <end>125</end>
      <status>unmodified</status>
      <modifiedWord/>
      <trackRevisions>false</trackRevisions>
    </reviewItem>
    <reviewItem>
      <errorID>c4229466-6d86-4492-9a48-506f6f1e29c0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118</start>
      <end>121</end>
      <status>unmodified</status>
      <modifiedWord/>
      <trackRevisions>false</trackRevisions>
    </reviewItem>
    <reviewItem>
      <errorID>a7ad8011-b6e5-4ca0-996d-55ac744918fe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123</start>
      <end>126</end>
      <status>unmodified</status>
      <modifiedWord/>
      <trackRevisions>false</trackRevisions>
    </reviewItem>
    <reviewItem>
      <errorID>f95261c9-e6b6-4d97-9eca-91507fe02be2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36C871C9</paraID>
      <start>129</start>
      <end>132</end>
      <status>unmodified</status>
      <modifiedWord/>
      <trackRevisions>false</trackRevisions>
    </reviewItem>
    <reviewItem>
      <errorID>87000aae-cfa7-412a-b737-2e3a0923f026</errorID>
      <errorWord>》</errorWord>
      <group>L1_Word</group>
      <groupName>字词问题</groupName>
      <ability>L2_Typo</ability>
      <abilityName>字词错误</abilityName>
      <candidateList>
        <item>》等</item>
      </candidateList>
      <explain/>
      <paraID>36C871C9</paraID>
      <start>157</start>
      <end>158</end>
      <status>unmodified</status>
      <modifiedWord/>
      <trackRevisions>false</trackRevisions>
    </reviewItem>
    <reviewItem>
      <errorID>37b5366b-29bd-4a70-9265-1590c3550b8b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3E305FE9</paraID>
      <start>66</start>
      <end>67</end>
      <status>unmodified</status>
      <modifiedWord/>
      <trackRevisions>false</trackRevisions>
    </reviewItem>
    <reviewItem>
      <errorID>710ea233-824a-42eb-b498-cbf1abb4a77e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332504B</paraID>
      <start>0</start>
      <end>2</end>
      <status>unmodified</status>
      <modifiedWord/>
      <trackRevisions>false</trackRevisions>
    </reviewItem>
    <reviewItem>
      <errorID>78bbacc7-ced3-43c4-a0d7-c1c9d01714b2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6BD1BF0A</paraID>
      <start>0</start>
      <end>2</end>
      <status>unmodified</status>
      <modifiedWord/>
      <trackRevisions>false</trackRevisions>
    </reviewItem>
    <reviewItem>
      <errorID>49b4994e-a57d-4050-b7cb-bd6a8dd86067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52C98CA7</paraID>
      <start>0</start>
      <end>2</end>
      <status>unmodified</status>
      <modifiedWord/>
      <trackRevisions>false</trackRevisions>
    </reviewItem>
    <reviewItem>
      <errorID>58b38899-baaf-4269-8415-6267559db3e1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36A72AB</paraID>
      <start>0</start>
      <end>2</end>
      <status>unmodified</status>
      <modifiedWord/>
      <trackRevisions>false</trackRevisions>
    </reviewItem>
    <reviewItem>
      <errorID>074f95b6-fd49-4131-99a1-6dbc0494eafc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1EA0C399</paraID>
      <start>0</start>
      <end>2</end>
      <status>unmodified</status>
      <modifiedWord/>
      <trackRevisions>false</trackRevisions>
    </reviewItem>
    <reviewItem>
      <errorID>174d68f7-87fb-4e2c-a366-f01dd54b4f45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2C5C068F</paraID>
      <start>0</start>
      <end>2</end>
      <status>unmodified</status>
      <modifiedWord/>
      <trackRevisions>false</trackRevisions>
    </reviewItem>
    <reviewItem>
      <errorID>7c60f802-7e90-4f1d-b0c7-388465388c6c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451A475F</paraID>
      <start>0</start>
      <end>2</end>
      <status>unmodified</status>
      <modifiedWord/>
      <trackRevisions>false</trackRevisions>
    </reviewItem>
    <reviewItem>
      <errorID>f061c256-c11e-470a-9bdc-7f552d187138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1E6F6983</paraID>
      <start>0</start>
      <end>2</end>
      <status>unmodified</status>
      <modifiedWord/>
      <trackRevisions>false</trackRevisions>
    </reviewItem>
    <reviewItem>
      <errorID>814d9374-a809-4a2b-93b2-d6d8e6be71c3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166939B1</paraID>
      <start>0</start>
      <end>2</end>
      <status>unmodified</status>
      <modifiedWord/>
      <trackRevisions>false</trackRevisions>
    </reviewItem>
    <reviewItem>
      <errorID>72b17157-237b-46d2-8146-ab84bfc68dbd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166939B1</paraID>
      <start>47</start>
      <end>49</end>
      <status>unmodified</status>
      <modifiedWord/>
      <trackRevisions>false</trackRevisions>
    </reviewItem>
    <reviewItem>
      <errorID>7375dddc-a028-432c-b36d-fa6926b8bc76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49D8014A</paraID>
      <start>0</start>
      <end>2</end>
      <status>unmodified</status>
      <modifiedWord/>
      <trackRevisions>false</trackRevisions>
    </reviewItem>
    <reviewItem>
      <errorID>c59130d8-26d9-4443-95ad-fc4492ea7de3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5F4C63D0</paraID>
      <start>0</start>
      <end>2</end>
      <status>unmodified</status>
      <modifiedWord/>
      <trackRevisions>false</trackRevisions>
    </reviewItem>
    <reviewItem>
      <errorID>262d3e29-e817-48de-9c0f-0b9dd9a69b4e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65434465</paraID>
      <start>0</start>
      <end>2</end>
      <status>unmodified</status>
      <modifiedWord/>
      <trackRevisions>false</trackRevisions>
    </reviewItem>
    <reviewItem>
      <errorID>14835472-903f-4375-9c6b-8cf4e7c68fb8</errorID>
      <errorWord>100万以下</errorWord>
      <group>L1_Word</group>
      <groupName>字词问题</groupName>
      <ability>L2_Typo</ability>
      <abilityName>字词错误</abilityName>
      <candidateList>
        <item>100万元以下</item>
      </candidateList>
      <explain/>
      <paraID>13B019D2</paraID>
      <start>34</start>
      <end>40</end>
      <status>unmodified</status>
      <modifiedWord/>
      <trackRevisions>false</trackRevisions>
    </reviewItem>
    <reviewItem>
      <errorID>4144d4e9-0f92-4717-89da-6c41c8a1b5c7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13B019D2</paraID>
      <start>49</start>
      <end>58</end>
      <status>unmodified</status>
      <modifiedWord/>
      <trackRevisions>false</trackRevisions>
    </reviewItem>
    <reviewItem>
      <errorID>9925a81c-6dff-40d5-b4fb-1999cd86f7db</errorID>
      <errorWord>．</errorWord>
      <group>L1_Format</group>
      <groupName>格式问题</groupName>
      <ability>L2_HalfPunc_CN</ability>
      <abilityName>全半角问题</abilityName>
      <candidateList>
        <item>。</item>
      </candidateList>
      <explain>文本全半角错误。</explain>
      <paraID>2D2BAEEE</paraID>
      <start>4</start>
      <end>5</end>
      <status>unmodified</status>
      <modifiedWord/>
      <trackRevisions>false</trackRevisions>
    </reviewItem>
    <reviewItem>
      <errorID>ec52c3ed-7a4f-4a79-a921-b54a6f663051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73D3827C</paraID>
      <start>189</start>
      <end>191</end>
      <status>unmodified</status>
      <modifiedWord/>
      <trackRevisions>false</trackRevisions>
    </reviewItem>
    <reviewItem>
      <errorID>1def956b-91c2-48aa-aa62-ff378faba6bb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22CE0598</paraID>
      <start>192</start>
      <end>194</end>
      <status>unmodified</status>
      <modifiedWord/>
      <trackRevisions>false</trackRevisions>
    </reviewItem>
    <reviewItem>
      <errorID>9d8918da-edf9-4cb7-bcf6-7659a44f2279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71F63662</paraID>
      <start>172</start>
      <end>174</end>
      <status>unmodified</status>
      <modifiedWord/>
      <trackRevisions>false</trackRevisions>
    </reviewItem>
    <reviewItem>
      <errorID>61dea2da-dd77-422d-a6cc-9291f8d55af5</errorID>
      <errorWord>,</errorWord>
      <group>L1_Format</group>
      <groupName>格式问题</groupName>
      <ability>L2_HalfPunc_CN</ability>
      <abilityName>全半角问题</abilityName>
      <candidateList>
        <item>，</item>
      </candidateList>
      <explain>文本全半角错误。</explain>
      <paraID>4BF8F5CD</paraID>
      <start>30</start>
      <end>31</end>
      <status>unmodified</status>
      <modifiedWord/>
      <trackRevisions>false</trackRevisions>
    </reviewItem>
    <reviewItem>
      <errorID>9963ad94-946c-4a19-a0ce-40d7b76d3789</errorID>
      <errorWord>~</errorWord>
      <group>L1_Format</group>
      <groupName>格式问题</groupName>
      <ability>L2_HalfPunc_CN</ability>
      <abilityName>全半角问题</abilityName>
      <candidateList>
        <item>～</item>
      </candidateList>
      <explain>文本全半角错误。</explain>
      <paraID> 67EF508</paraID>
      <start>18</start>
      <end>19</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5B398756</paraID>
      <start>27</start>
      <end>30</end>
      <status>unmodified</status>
      <modifiedWord/>
      <trackRevisions>false</trackRevisions>
    </reviewItem>
    <reviewItem>
      <errorID>905485b9-53d7-4e1f-b5ed-9a1e069b3c94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243B0E62</paraID>
      <start>60</start>
      <end>61</end>
      <status>unmodified</status>
      <modifiedWord/>
      <trackRevisions>false</trackRevisions>
    </reviewItem>
    <reviewItem>
      <errorID>c95766a7-ec5e-4423-b86f-c738f0d60691</errorID>
      <errorWord>)</errorWord>
      <group>L1_Format</group>
      <groupName>格式问题</groupName>
      <ability>L2_HalfPunc_CN</ability>
      <abilityName>全半角问题</abilityName>
      <candidateList>
        <item>）</item>
      </candidateList>
      <explain>文本全半角错误。</explain>
      <paraID>32304740</paraID>
      <start>15</start>
      <end>16</end>
      <status>unmodified</status>
      <modifiedWord/>
      <trackRevisions>false</trackRevisions>
    </reviewItem>
    <reviewItem>
      <errorID>ae7fedbe-3a2e-48c9-abb2-7cb9af981f96</errorID>
      <errorWord>结</errorWord>
      <group>L1_Word</group>
      <groupName>字词问题</groupName>
      <ability>L2_Typo</ability>
      <abilityName>字词错误</abilityName>
      <candidateList>
        <item>结合</item>
      </candidateList>
      <explain/>
      <paraID>33B5A1BF</paraID>
      <start>23</start>
      <end>24</end>
      <status>unmodified</status>
      <modifiedWord/>
      <trackRevisions>false</trackRevisions>
    </reviewItem>
    <reviewItem>
      <errorID>f3883a5b-0e6f-4b4a-b977-608abf345d66</errorID>
      <errorWord>以及</errorWord>
      <group>L1_Word</group>
      <groupName>字词问题</groupName>
      <ability>L2_Typo</ability>
      <abilityName>字词错误</abilityName>
      <candidateList>
        <item>已经</item>
      </candidateList>
      <explain>〈副〉表示动作、变化完成或达到某种程度：任务～完成｜他～来了｜天～黑了，他们还没有收工｜我今年～七十了。</explain>
      <paraID>25B1479C</paraID>
      <start>27</start>
      <end>29</end>
      <status>unmodified</status>
      <modifiedWord/>
      <trackRevisions>false</trackRevisions>
    </reviewItem>
    <reviewItem>
      <errorID>f155c134-f4c9-49ca-acad-f68301a7d0cd</errorID>
      <errorWord>机械机械</errorWord>
      <group>L1_Word</group>
      <groupName>字词问题</groupName>
      <ability>L2_Typo</ability>
      <abilityName>字词错误</abilityName>
      <candidateList>
        <item>机械</item>
      </candidateList>
      <explain/>
      <paraID> 748B2E5</paraID>
      <start>28</start>
      <end>32</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1C0B3FCE</paraID>
      <start>27</start>
      <end>30</end>
      <status>unmodified</status>
      <modifiedWord/>
      <trackRevisions>false</trackRevisions>
    </reviewItem>
    <reviewItem>
      <errorID>4076b5dd-bc11-416f-a8be-5b8784010458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79127A7D</paraID>
      <start>58</start>
      <end>59</end>
      <status>unmodified</status>
      <modifiedWord/>
      <trackRevisions>false</trackRevisions>
    </reviewItem>
    <reviewItem>
      <errorID>8e2afc43-babc-41dd-b829-d8b1ee3bf48a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11C119D9</paraID>
      <start>6</start>
      <end>7</end>
      <status>unmodified</status>
      <modifiedWord/>
      <trackRevisions>false</trackRevisions>
    </reviewItem>
    <reviewItem>
      <errorID>6d788d03-fad6-4847-82bf-189ab80a7650</errorID>
      <errorWord>：Quad core</errorWord>
      <group>L1_Punc</group>
      <groupName>标点问题</groupName>
      <ability>L2_Punc_EN</ability>
      <abilityName>标点符号问题</abilityName>
      <candidateList>
        <item>: Quad-core</item>
      </candidateList>
      <explain>此处疑似有标点符号缺失，建议将：Quad core修改为: Quad-core</explain>
      <paraID>604174AC</paraID>
      <start>3</start>
      <end>13</end>
      <status>unmodified</status>
      <modifiedWord/>
      <trackRevisions>false</trackRevisions>
    </reviewItem>
    <reviewItem>
      <errorID>15327b1b-741d-4f6b-bc26-17de722fed0c</errorID>
      <errorWord>A53，1.6</errorWord>
      <group>L1_English</group>
      <groupName>英文问题</groupName>
      <ability>L2_Space</ability>
      <abilityName>空格不规范问题</abilityName>
      <candidateList>
        <item>A53, 1.6</item>
      </candidateList>
      <explain>疑似单词空格书写不规范，建议将A53，1.6修改为A53, 1.6</explain>
      <paraID>604174AC</paraID>
      <start>21</start>
      <end>28</end>
      <status>unmodified</status>
      <modifiedWord/>
      <trackRevisions>false</trackRevisions>
    </reviewItem>
    <reviewItem>
      <errorID>2768e8aa-15fd-4d92-8026-db41ca8a71e5</errorID>
      <errorWord>NPU：2.3</errorWord>
      <group>L1_English</group>
      <groupName>英文问题</groupName>
      <ability>L2_Space</ability>
      <abilityName>空格不规范问题</abilityName>
      <candidateList>
        <item>NPU: 2.3</item>
      </candidateList>
      <explain>疑似单词空格书写不规范，建议将NPU：2.3修改为NPU: 2.3</explain>
      <paraID>1DF3C5E1</paraID>
      <start>0</start>
      <end>7</end>
      <status>unmodified</status>
      <modifiedWord/>
      <trackRevisions>false</trackRevisions>
    </reviewItem>
    <reviewItem>
      <errorID>4feafd83-3743-438b-93d8-1014752c5d32</errorID>
      <errorWord>RAM：≥</errorWord>
      <group>L1_English</group>
      <groupName>英文问题</groupName>
      <ability>L2_Space</ability>
      <abilityName>空格不规范问题</abilityName>
      <candidateList>
        <item>RAM: ≥</item>
      </candidateList>
      <explain>疑似单词空格书写不规范，建议将RAM：≥修改为RAM: ≥</explain>
      <paraID>470DA164</paraID>
      <start>0</start>
      <end>5</end>
      <status>unmodified</status>
      <modifiedWord/>
      <trackRevisions>false</trackRevisions>
    </reviewItem>
    <reviewItem>
      <errorID>03c18730-ea8b-4d28-9000-7da5f35c937d</errorID>
      <errorWord>Flash：≥</errorWord>
      <group>L1_English</group>
      <groupName>英文问题</groupName>
      <ability>L2_Space</ability>
      <abilityName>空格不规范问题</abilityName>
      <candidateList>
        <item>Flash: ≥</item>
      </candidateList>
      <explain>疑似单词空格书写不规范，建议将Flash：≥修改为Flash: ≥</explain>
      <paraID>3A9561C8</paraID>
      <start>0</start>
      <end>7</end>
      <status>unmodified</status>
      <modifiedWord/>
      <trackRevisions>false</trackRevisions>
    </reviewItem>
    <reviewItem>
      <errorID>7491e93e-4669-48a6-906f-db11f42551a6</errorID>
      <errorWord>-</errorWord>
      <group>L1_Format</group>
      <groupName>格式问题</groupName>
      <ability>L2_HalfPunc_CN</ability>
      <abilityName>全半角问题</abilityName>
      <candidateList>
        <item>－</item>
      </candidateList>
      <explain>文本全半角错误。</explain>
      <paraID>3A465B99</paraID>
      <start>71</start>
      <end>72</end>
      <status>unmodified</status>
      <modifiedWord/>
      <trackRevisions>false</trackRevisions>
    </reviewItem>
    <reviewItem>
      <errorID>1acce298-b0d4-48dc-be31-a7fea3790941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2B8CD58A</paraID>
      <start>0</start>
      <end>2</end>
      <status>unmodified</status>
      <modifiedWord/>
      <trackRevisions>false</trackRevisions>
    </reviewItem>
    <reviewItem>
      <errorID>0667c470-c544-4687-955d-924e98debbac</errorID>
      <errorWord>WiFi</errorWord>
      <group>L1_Punc</group>
      <groupName>标点问题</groupName>
      <ability>L2_Punc_CN</ability>
      <abilityName>标点符号问题</abilityName>
      <candidateList>
        <item>Wi-Fi</item>
      </candidateList>
      <explain/>
      <paraID>4BD99A66</paraID>
      <start>3</start>
      <end>7</end>
      <status>unmodified</status>
      <modifiedWord/>
      <trackRevisions>false</trackRevisions>
    </reviewItem>
    <reviewItem>
      <errorID>9ccfa411-17f0-440f-ac7f-96b0ed6de354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6D52E8B6</paraID>
      <start>24</start>
      <end>25</end>
      <status>unmodified</status>
      <modifiedWord/>
      <trackRevisions>false</trackRevisions>
    </reviewItem>
    <reviewItem>
      <errorID>9e0117c2-1d1d-4037-a92a-aef59e29e796</errorID>
      <errorWord>低于300万</errorWord>
      <group>L1_Word</group>
      <groupName>字词问题</groupName>
      <ability>L2_Typo</ability>
      <abilityName>字词错误</abilityName>
      <candidateList>
        <item>低于300万元</item>
      </candidateList>
      <explain/>
      <paraID> 735442C</paraID>
      <start>7</start>
      <end>13</end>
      <status>unmodified</status>
      <modifiedWord/>
      <trackRevisions>false</trackRevisions>
    </reviewItem>
    <reviewItem>
      <errorID>8f1cf0f7-b41f-4bd1-8c7b-505a3d0a4813</errorID>
      <errorWord>,</errorWord>
      <group>L1_Format</group>
      <groupName>格式问题</groupName>
      <ability>L2_HalfPunc_CN</ability>
      <abilityName>全半角问题</abilityName>
      <candidateList>
        <item>，</item>
      </candidateList>
      <explain>文本全半角错误。</explain>
      <paraID> 6305791</paraID>
      <start>31</start>
      <end>32</end>
      <status>unmodified</status>
      <modifiedWord/>
      <trackRevisions>false</trackRevisions>
    </reviewItem>
    <reviewItem>
      <errorID>1f1a60e9-812f-4c95-8efe-c26db262bb89</errorID>
      <errorWord>)</errorWord>
      <group>L1_Format</group>
      <groupName>格式问题</groupName>
      <ability>L2_HalfPunc_CN</ability>
      <abilityName>全半角问题</abilityName>
      <candidateList>
        <item>）</item>
      </candidateList>
      <explain>文本全半角错误。</explain>
      <paraID>720475AE</paraID>
      <start>14</start>
      <end>15</end>
      <status>unmodified</status>
      <modifiedWord/>
      <trackRevisions>false</trackRevisions>
    </reviewItem>
    <reviewItem>
      <errorID>f50828de-8a16-456e-9eb4-ad39bd740a0e</errorID>
      <errorWord>Uweb</errorWord>
      <group>L1_English</group>
      <groupName>英文问题</groupName>
      <ability>L2_Case</ability>
      <abilityName>大小写问题</abilityName>
      <candidateList>
        <item>UWEB</item>
      </candidateList>
      <explain>疑似单词大小写错误，建议将Uweb修改为UWEB</explain>
      <paraID>1DAA8CF4</paraID>
      <start>21</start>
      <end>25</end>
      <status>unmodified</status>
      <modifiedWord/>
      <trackRevisions>false</trackRevisions>
    </reviewItem>
    <reviewItem>
      <errorID>2d8e5204-a048-4331-9612-cafd924001f3</errorID>
      <errorWord>集成有</errorWord>
      <group>L1_Word</group>
      <groupName>字词问题</groupName>
      <ability>L2_Typo</ability>
      <abilityName>字词错误</abilityName>
      <candidateList>
        <item>集成</item>
      </candidateList>
      <explain/>
      <paraID>258055F8</paraID>
      <start>37</start>
      <end>40</end>
      <status>unmodified</status>
      <modifiedWord/>
      <trackRevisions>false</trackRevisions>
    </reviewItem>
    <reviewItem>
      <errorID>89b4d380-fe99-4a03-834c-be3da61c7646</errorID>
      <errorWord>,</errorWord>
      <group>L1_Format</group>
      <groupName>格式问题</groupName>
      <ability>L2_HalfPunc_CN</ability>
      <abilityName>全半角问题</abilityName>
      <candidateList>
        <item>，</item>
      </candidateList>
      <explain>文本全半角错误。</explain>
      <paraID>5D1D6F90</paraID>
      <start>12</start>
      <end>13</end>
      <status>unmodified</status>
      <modifiedWord/>
      <trackRevisions>false</trackRevisions>
    </reviewItem>
    <reviewItem>
      <errorID>086845fc-13be-4ccd-84e3-48410c7c1289</errorID>
      <errorWord>,</errorWord>
      <group>L1_Format</group>
      <groupName>格式问题</groupName>
      <ability>L2_HalfPunc_CN</ability>
      <abilityName>全半角问题</abilityName>
      <candidateList>
        <item>，</item>
      </candidateList>
      <explain>文本全半角错误。</explain>
      <paraID>77076062</paraID>
      <start>6</start>
      <end>7</end>
      <status>unmodified</status>
      <modifiedWord/>
      <trackRevisions>false</trackRevisions>
    </reviewItem>
    <reviewItem>
      <errorID>133f6255-7ecb-4280-ab9b-5badacc4f462</errorID>
      <errorWord>需具备</errorWord>
      <group>L1_Word</group>
      <groupName>字词问题</groupName>
      <ability>L2_Typo</ability>
      <abilityName>字词错误</abilityName>
      <candidateList>
        <item>须具备</item>
      </candidateList>
      <explain/>
      <paraID>320EA3C8</paraID>
      <start>0</start>
      <end>3</end>
      <status>unmodified</status>
      <modifiedWord/>
      <trackRevisions>false</trackRevisions>
    </reviewItem>
    <reviewItem>
      <errorID>242ae627-a72f-48f4-87d9-18e3e57117d7</errorID>
      <errorWord>)</errorWord>
      <group>L1_Format</group>
      <groupName>格式问题</groupName>
      <ability>L2_HalfPunc_CN</ability>
      <abilityName>全半角问题</abilityName>
      <candidateList>
        <item>）</item>
      </candidateList>
      <explain>文本全半角错误。</explain>
      <paraID>76DC517F</paraID>
      <start>2</start>
      <end>3</end>
      <status>unmodified</status>
      <modifiedWord/>
      <trackRevisions>false</trackRevisions>
    </reviewItem>
    <reviewItem>
      <errorID>a9791d1d-beea-4141-aa78-35ca403efdee</errorID>
      <errorWord>,</errorWord>
      <group>L1_Format</group>
      <groupName>格式问题</groupName>
      <ability>L2_HalfPunc_CN</ability>
      <abilityName>全半角问题</abilityName>
      <candidateList>
        <item>，</item>
      </candidateList>
      <explain>文本全半角错误。</explain>
      <paraID>4987FF0E</paraID>
      <start>22</start>
      <end>23</end>
      <status>unmodified</status>
      <modifiedWord/>
      <trackRevisions>false</trackRevisions>
    </reviewItem>
    <reviewItem>
      <errorID>dba0a59d-bd02-47e8-8bbd-c2bac9a0967d</errorID>
      <errorWord>WiFi</errorWord>
      <group>L1_Punc</group>
      <groupName>标点问题</groupName>
      <ability>L2_Punc_CN</ability>
      <abilityName>标点符号问题</abilityName>
      <candidateList>
        <item>Wi-Fi</item>
      </candidateList>
      <explain/>
      <paraID>  A5F1E6</paraID>
      <start>0</start>
      <end>4</end>
      <status>unmodified</status>
      <modifiedWord/>
      <trackRevisions>false</trackRevisions>
    </reviewItem>
    <reviewItem>
      <errorID>5163d0d5-d6fd-4b56-8d09-c1da7704cb6e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F977E98</paraID>
      <start>36</start>
      <end>38</end>
      <status>unmodified</status>
      <modifiedWord/>
      <trackRevisions>false</trackRevisions>
    </reviewItem>
    <reviewItem>
      <errorID>5c983b3a-9fa2-490b-a001-22be6b5d3dab</errorID>
      <errorWord>最后一公里</errorWord>
      <group>L1_Political</group>
      <groupName>政治性问题</groupName>
      <ability>L2_Keyword</ability>
      <abilityName>固定表述</abilityName>
      <candidateList>
        <item>“最后一公里”</item>
      </candidateList>
      <explain>注意检查当前固定表述标点是否使用规范。</explain>
      <paraID> 4BF0ED8</paraID>
      <start>198</start>
      <end>203</end>
      <status>unmodified</status>
      <modifiedWord/>
      <trackRevisions>false</trackRevisions>
    </reviewItem>
    <reviewItem>
      <errorID>ca1924ac-7022-432a-804f-a5788fbba1b8</errorID>
      <errorWord>数据在</errorWord>
      <group>L1_Word</group>
      <groupName>字词问题</groupName>
      <ability>L2_Typo</ability>
      <abilityName>字词错误</abilityName>
      <candidateList>
        <item>数据</item>
      </candidateList>
      <explain/>
      <paraID>456A2789</paraID>
      <start>215</start>
      <end>218</end>
      <status>unmodified</status>
      <modifiedWord/>
      <trackRevisions>false</trackRevisions>
    </reviewItem>
    <reviewItem>
      <errorID>0aa79e91-ed62-4545-b120-335884d32d04</errorID>
      <errorWord>、以及</errorWord>
      <group>L1_Punc</group>
      <groupName>标点问题</groupName>
      <ability>L2_Punc_CN</ability>
      <abilityName>标点符号问题</abilityName>
      <candidateList>
        <item>，以及</item>
      </candidateList>
      <explain>连接词前后不宜使用顿号，建议使用逗号。</explain>
      <paraID>797E4533</paraID>
      <start>44</start>
      <end>47</end>
      <status>unmodified</status>
      <modifiedWord/>
      <trackRevisions>false</trackRevisions>
    </reviewItem>
    <reviewItem>
      <errorID>67592219-42dd-4151-b524-adc6e70c5a7c</errorID>
      <errorWord>、以及</errorWord>
      <group>L1_Punc</group>
      <groupName>标点问题</groupName>
      <ability>L2_Punc_CN</ability>
      <abilityName>标点符号问题</abilityName>
      <candidateList>
        <item>，以及</item>
      </candidateList>
      <explain>连接词前后不宜使用顿号，建议使用逗号。</explain>
      <paraID>27335596</paraID>
      <start>27</start>
      <end>30</end>
      <status>unmodified</status>
      <modifiedWord/>
      <trackRevisions>false</trackRevisions>
    </reviewItem>
    <reviewItem>
      <errorID>b1ebe4d5-5cf2-41ae-91d2-13e1ae6f9b97</errorID>
      <errorWord>,</errorWord>
      <group>L1_Format</group>
      <groupName>格式问题</groupName>
      <ability>L2_HalfPunc_CN</ability>
      <abilityName>全半角问题</abilityName>
      <candidateList>
        <item>，</item>
      </candidateList>
      <explain>文本全半角错误。</explain>
      <paraID>15F81264</paraID>
      <start>27</start>
      <end>28</end>
      <status>unmodified</status>
      <modifiedWord/>
      <trackRevisions>false</trackRevisions>
    </reviewItem>
    <reviewItem>
      <errorID>e089ee8f-9bc3-4bba-b14b-7c5ea6fb33e7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1A0ADA99</paraID>
      <start>15</start>
      <end>18</end>
      <status>unmodified</status>
      <modifiedWord/>
      <trackRevisions>false</trackRevisions>
    </reviewItem>
    <reviewItem>
      <errorID>75f31b36-e581-4a91-90cb-c9167b304a50</errorID>
      <errorWord>法律、法规</errorWord>
      <group>L1_Word</group>
      <groupName>字词问题</groupName>
      <ability>L2_Typo</ability>
      <abilityName>字词错误</abilityName>
      <candidateList>
        <item>法律法规</item>
      </candidateList>
      <explain/>
      <paraID>1A0ADA99</paraID>
      <start>30</start>
      <end>35</end>
      <status>unmodified</status>
      <modifiedWord/>
      <trackRevisions>false</trackRevisions>
    </reviewItem>
    <reviewItem>
      <errorID>b0e9a6d3-d6fe-422b-928d-da19f99e1bbb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7AE098A1</paraID>
      <start>147</start>
      <end>148</end>
      <status>unmodified</status>
      <modifiedWord/>
      <trackRevisions>false</trackRevisions>
    </reviewItem>
    <reviewItem>
      <errorID>8894b7a1-3d85-4e5b-bacc-6ec2c83954fd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1F3795A7</paraID>
      <start>0</start>
      <end>2</end>
      <status>unmodified</status>
      <modifiedWord/>
      <trackRevisions>false</trackRevisions>
    </reviewItem>
    <reviewItem>
      <errorID>59465f2c-208c-4684-8a53-9ab1a62d9251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43434ECB</paraID>
      <start>0</start>
      <end>2</end>
      <status>unmodified</status>
      <modifiedWord/>
      <trackRevisions>false</trackRevisions>
    </reviewItem>
    <reviewItem>
      <errorID>a7832f33-dcf0-4e11-94ed-7bc7ba008fac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3FDCDBB8</paraID>
      <start>0</start>
      <end>2</end>
      <status>unmodified</status>
      <modifiedWord/>
      <trackRevisions>false</trackRevisions>
    </reviewItem>
    <reviewItem>
      <errorID>d8c73621-5b94-4b5b-96b8-0036c699c58a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75C2CEBC</paraID>
      <start>0</start>
      <end>2</end>
      <status>unmodified</status>
      <modifiedWord/>
      <trackRevisions>false</trackRevisions>
    </reviewItem>
    <reviewItem>
      <errorID>42d3c480-f4f7-445a-b727-759b7c811d02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1F8CE882</paraID>
      <start>0</start>
      <end>2</end>
      <status>unmodified</status>
      <modifiedWord/>
      <trackRevisions>false</trackRevisions>
    </reviewItem>
    <reviewItem>
      <errorID>31556a66-2bd3-494e-898f-00ee60c1ebe8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27FB7A52</paraID>
      <start>0</start>
      <end>2</end>
      <status>unmodified</status>
      <modifiedWord/>
      <trackRevisions>false</trackRevisions>
    </reviewItem>
    <reviewItem>
      <errorID>7ed1d100-15a1-47ee-9f73-1dbf475cc390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451F9325</paraID>
      <start>0</start>
      <end>2</end>
      <status>unmodified</status>
      <modifiedWord/>
      <trackRevisions>false</trackRevisions>
    </reviewItem>
    <reviewItem>
      <errorID>cebfd07e-f612-486a-a629-b6b486f1a95f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71340CC1</paraID>
      <start>0</start>
      <end>2</end>
      <status>unmodified</status>
      <modifiedWord/>
      <trackRevisions>false</trackRevisions>
    </reviewItem>
    <reviewItem>
      <errorID>3279269e-52a2-4128-a0fe-cc85171d5729</errorID>
      <errorWord>、</errorWord>
      <group>L1_Word</group>
      <groupName>字词问题</groupName>
      <ability>L2_Typo</ability>
      <abilityName>字词错误</abilityName>
      <candidateList>
        <item>、以</item>
      </candidateList>
      <explain/>
      <paraID>71340CC1</paraID>
      <start>25</start>
      <end>26</end>
      <status>unmodified</status>
      <modifiedWord/>
      <trackRevisions>false</trackRevisions>
    </reviewItem>
    <reviewItem>
      <errorID>fb754e78-f4f3-4a39-b35d-2afcd2a48e71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5251BE1F</paraID>
      <start>0</start>
      <end>2</end>
      <status>unmodified</status>
      <modifiedWord/>
      <trackRevisions>false</trackRevisions>
    </reviewItem>
    <reviewItem>
      <errorID>5b67fba7-3044-43b9-a6b1-2af73c8e07f6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4DEE9EB1</paraID>
      <start>0</start>
      <end>2</end>
      <status>unmodified</status>
      <modifiedWord/>
      <trackRevisions>false</trackRevisions>
    </reviewItem>
    <reviewItem>
      <errorID>0a517693-6b05-4614-8908-d546f902b960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39016CD8</paraID>
      <start>0</start>
      <end>2</end>
      <status>unmodified</status>
      <modifiedWord/>
      <trackRevisions>false</trackRevisions>
    </reviewItem>
    <reviewItem>
      <errorID>26e5735d-96d3-4bf4-8114-4fe78ec7ec78</errorID>
      <errorWord>，,</errorWord>
      <group>L1_Punc</group>
      <groupName>标点问题</groupName>
      <ability>L2_Punc_CN</ability>
      <abilityName>标点符号问题</abilityName>
      <candidateList>
        <item>，</item>
      </candidateList>
      <explain/>
      <paraID>3AD272B6</paraID>
      <start>5</start>
      <end>7</end>
      <status>unmodified</status>
      <modifiedWord/>
      <trackRevisions>false</trackRevisions>
    </reviewItem>
    <reviewItem>
      <errorID>e7a9abc6-919a-4096-aeba-e468dbc1934f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6831816</paraID>
      <start>0</start>
      <end>2</end>
      <status>unmodified</status>
      <modifiedWord/>
      <trackRevisions>false</trackRevisions>
    </reviewItem>
    <reviewItem>
      <errorID>902738ec-6aee-4c2e-9121-6a7c126b2995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166437BD</paraID>
      <start>0</start>
      <end>2</end>
      <status>unmodified</status>
      <modifiedWord/>
      <trackRevisions>false</trackRevisions>
    </reviewItem>
    <reviewItem>
      <errorID>9ec6ca7f-a15e-4831-8434-019d74d3fb38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20464573</paraID>
      <start>0</start>
      <end>2</end>
      <status>unmodified</status>
      <modifiedWord/>
      <trackRevisions>false</trackRevisions>
    </reviewItem>
    <reviewItem>
      <errorID>46d061f3-06ff-4cfa-86f6-54a9e0b9eb60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30576537</paraID>
      <start>0</start>
      <end>2</end>
      <status>unmodified</status>
      <modifiedWord/>
      <trackRevisions>false</trackRevisions>
    </reviewItem>
    <reviewItem>
      <errorID>fbc27131-e866-480e-a2ee-26dc4277bfaf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78723EFD</paraID>
      <start>0</start>
      <end>2</end>
      <status>unmodified</status>
      <modifiedWord/>
      <trackRevisions>false</trackRevisions>
    </reviewItem>
    <reviewItem>
      <errorID>664dc89b-fd12-4893-adbf-9af60334682c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5991CCA8</paraID>
      <start>0</start>
      <end>2</end>
      <status>unmodified</status>
      <modifiedWord/>
      <trackRevisions>false</trackRevisions>
    </reviewItem>
    <reviewItem>
      <errorID>f0d3117a-0e63-4e64-bd8b-1096aa6e2f83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77259807</paraID>
      <start>4</start>
      <end>6</end>
      <status>unmodified</status>
      <modifiedWord/>
      <trackRevisions>false</trackRevisions>
    </reviewItem>
    <reviewItem>
      <errorID>c55377d8-003b-4c44-8207-f5023fe732ef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5D26686A</paraID>
      <start>4</start>
      <end>6</end>
      <status>unmodified</status>
      <modifiedWord/>
      <trackRevisions>false</trackRevisions>
    </reviewItem>
    <reviewItem>
      <errorID>f7941cd4-07dc-4455-90a3-6708325ad331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17584388</paraID>
      <start>4</start>
      <end>6</end>
      <status>unmodified</status>
      <modifiedWord/>
      <trackRevisions>false</trackRevisions>
    </reviewItem>
    <reviewItem>
      <errorID>b7ab496a-41a9-49d9-a141-d4e09125b7ba</errorID>
      <errorWord>，</errorWord>
      <group>L1_Word</group>
      <groupName>字词问题</groupName>
      <ability>L2_Typo</ability>
      <abilityName>字词错误</abilityName>
      <candidateList>
        <item>，在</item>
      </candidateList>
      <explain/>
      <paraID>17584388</paraID>
      <start>50</start>
      <end>51</end>
      <status>unmodified</status>
      <modifiedWord/>
      <trackRevisions>false</trackRevisions>
    </reviewItem>
    <reviewItem>
      <errorID>0b1170d7-e6e7-4566-83d0-3c81f94f9b14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495194AF</paraID>
      <start>0</start>
      <end>2</end>
      <status>unmodified</status>
      <modifiedWord/>
      <trackRevisions>false</trackRevisions>
    </reviewItem>
    <reviewItem>
      <errorID>027da11a-2ddd-4852-8517-d558e72878bb</errorID>
      <errorWord>)</errorWord>
      <group>L1_Format</group>
      <groupName>格式问题</groupName>
      <ability>L2_HalfPunc_CN</ability>
      <abilityName>全半角问题</abilityName>
      <candidateList>
        <item>）</item>
      </candidateList>
      <explain>文本全半角错误。</explain>
      <paraID>5D52A8C1</paraID>
      <start>116</start>
      <end>117</end>
      <status>unmodified</status>
      <modifiedWord/>
      <trackRevisions>false</trackRevisions>
    </reviewItem>
    <reviewItem>
      <errorID>26b70d3e-b000-4534-ad21-96a4ec4aa871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7A28DAEA</paraID>
      <start>0</start>
      <end>2</end>
      <status>unmodified</status>
      <modifiedWord/>
      <trackRevisions>false</trackRevisions>
    </reviewItem>
    <reviewItem>
      <errorID>0e4cab99-0da3-4348-a02a-1a8919c74586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73ED6EA5</paraID>
      <start>0</start>
      <end>2</end>
      <status>unmodified</status>
      <modifiedWord/>
      <trackRevisions>false</trackRevisions>
    </reviewItem>
    <reviewItem>
      <errorID>402c43a9-d5c8-45c0-bfad-e9e15206c133</errorID>
      <errorWord>具</errorWord>
      <group>L1_Word</group>
      <groupName>字词问题</groupName>
      <ability>L2_Typo</ability>
      <abilityName>字词错误</abilityName>
      <candidateList>
        <item>具有</item>
      </candidateList>
      <explain>〈动〉有（多用于抽象事物）：～信心｜～伟大的意义。</explain>
      <paraID>73ED6EA5</paraID>
      <start>28</start>
      <end>29</end>
      <status>unmodified</status>
      <modifiedWord/>
      <trackRevisions>false</trackRevisions>
    </reviewItem>
    <reviewItem>
      <errorID>3a53db1a-dbc6-4476-b342-972f4e1e2953</errorID>
      <errorWord>．</errorWord>
      <group>L1_Format</group>
      <groupName>格式问题</groupName>
      <ability>L2_HalfPunc_CN</ability>
      <abilityName>全半角问题</abilityName>
      <candidateList>
        <item>。</item>
      </candidateList>
      <explain>文本全半角错误。</explain>
      <paraID>5718CB4A</paraID>
      <start>4</start>
      <end>5</end>
      <status>unmodified</status>
      <modifiedWord/>
      <trackRevisions>false</trackRevisions>
    </reviewItem>
    <reviewItem>
      <errorID>d5497065-be8e-46ff-8159-010cf18c8bd7</errorID>
      <errorWord>法律、法规</errorWord>
      <group>L1_Word</group>
      <groupName>字词问题</groupName>
      <ability>L2_Typo</ability>
      <abilityName>字词错误</abilityName>
      <candidateList>
        <item>法律法规</item>
      </candidateList>
      <explain/>
      <paraID>5B64EAD1</paraID>
      <start>54</start>
      <end>59</end>
      <status>unmodified</status>
      <modifiedWord/>
      <trackRevisions>false</trackRevisions>
    </reviewItem>
    <reviewItem>
      <errorID>dc9b4f0a-774a-4372-89ed-1bc8032d2abe</errorID>
      <errorWord>按《中华人民共和国</errorWord>
      <group>L1_Political</group>
      <groupName>政治性问题</groupName>
      <ability>L2_Unpolitical</ability>
      <abilityName>政治敏感错误</abilityName>
      <candidateList>
        <item>按照《中华人民共和国</item>
      </candidateList>
      <explain/>
      <paraID>6C715BDD</paraID>
      <start>24</start>
      <end>33</end>
      <status>unmodified</status>
      <modifiedWord/>
      <trackRevisions>false</trackRevisions>
    </reviewItem>
    <reviewItem>
      <errorID>a24feee1-c6b8-453c-976f-448de7ed57f1</errorID>
      <errorWord>)</errorWord>
      <group>L1_Format</group>
      <groupName>格式问题</groupName>
      <ability>L2_HalfPunc_CN</ability>
      <abilityName>全半角问题</abilityName>
      <candidateList>
        <item>）</item>
      </candidateList>
      <explain>文本全半角错误。</explain>
      <paraID>531E5519</paraID>
      <start>15</start>
      <end>16</end>
      <status>unmodified</status>
      <modifiedWord/>
      <trackRevisions>false</trackRevisions>
    </reviewItem>
    <reviewItem>
      <errorID>e75dd788-8138-43ce-9e6a-c944daba676f</errorID>
      <errorWord>)</errorWord>
      <group>L1_Format</group>
      <groupName>格式问题</groupName>
      <ability>L2_HalfPunc_CN</ability>
      <abilityName>全半角问题</abilityName>
      <candidateList>
        <item>）</item>
      </candidateList>
      <explain>文本全半角错误。</explain>
      <paraID>6B451A39</paraID>
      <start>6</start>
      <end>7</end>
      <status>unmodified</status>
      <modifiedWord/>
      <trackRevisions>false</trackRevisions>
    </reviewItem>
    <reviewItem>
      <errorID>f39a0735-aabf-4377-8331-b435c94aa7d0</errorID>
      <errorWord>)</errorWord>
      <group>L1_Format</group>
      <groupName>格式问题</groupName>
      <ability>L2_HalfPunc_CN</ability>
      <abilityName>全半角问题</abilityName>
      <candidateList>
        <item>）</item>
      </candidateList>
      <explain>文本全半角错误。</explain>
      <paraID>33A3C1F2</paraID>
      <start>2</start>
      <end>3</end>
      <status>unmodified</status>
      <modifiedWord/>
      <trackRevisions>false</trackRevisions>
    </reviewItem>
    <reviewItem>
      <errorID>9cd925ec-55bc-4055-93b8-7e134c76a2e2</errorID>
      <errorWord>)</errorWord>
      <group>L1_Format</group>
      <groupName>格式问题</groupName>
      <ability>L2_HalfPunc_CN</ability>
      <abilityName>全半角问题</abilityName>
      <candidateList>
        <item>）</item>
      </candidateList>
      <explain>文本全半角错误。</explain>
      <paraID>1E58B0DA</paraID>
      <start>2</start>
      <end>3</end>
      <status>unmodified</status>
      <modifiedWord/>
      <trackRevisions>false</trackRevisions>
    </reviewItem>
    <reviewItem>
      <errorID>d9dc87aa-6934-4f2f-982b-bee1d162318f</errorID>
      <errorWord>)</errorWord>
      <group>L1_Format</group>
      <groupName>格式问题</groupName>
      <ability>L2_HalfPunc_CN</ability>
      <abilityName>全半角问题</abilityName>
      <candidateList>
        <item>）</item>
      </candidateList>
      <explain>文本全半角错误。</explain>
      <paraID>4B336CDD</paraID>
      <start>2</start>
      <end>3</end>
      <status>unmodified</status>
      <modifiedWord/>
      <trackRevisions>false</trackRevisions>
    </reviewItem>
    <reviewItem>
      <errorID>2db38f3d-c42d-4923-9e90-499b98357d8e</errorID>
      <errorWord>)</errorWord>
      <group>L1_Format</group>
      <groupName>格式问题</groupName>
      <ability>L2_HalfPunc_CN</ability>
      <abilityName>全半角问题</abilityName>
      <candidateList>
        <item>）</item>
      </candidateList>
      <explain>文本全半角错误。</explain>
      <paraID> D24AB86</paraID>
      <start>2</start>
      <end>3</end>
      <status>unmodified</status>
      <modifiedWord/>
      <trackRevisions>false</trackRevisions>
    </reviewItem>
    <reviewItem>
      <errorID>cd5dc35e-2279-4e5c-92b2-b001e4615d79</errorID>
      <errorWord>)</errorWord>
      <group>L1_Format</group>
      <groupName>格式问题</groupName>
      <ability>L2_HalfPunc_CN</ability>
      <abilityName>全半角问题</abilityName>
      <candidateList>
        <item>）</item>
      </candidateList>
      <explain>文本全半角错误。</explain>
      <paraID>55FBB7A7</paraID>
      <start>2</start>
      <end>3</end>
      <status>unmodified</status>
      <modifiedWord/>
      <trackRevisions>false</trackRevisions>
    </reviewItem>
    <reviewItem>
      <errorID>b65a5c5b-6560-499d-adb7-68d17f0a5e97</errorID>
      <errorWord>)</errorWord>
      <group>L1_Format</group>
      <groupName>格式问题</groupName>
      <ability>L2_HalfPunc_CN</ability>
      <abilityName>全半角问题</abilityName>
      <candidateList>
        <item>）</item>
      </candidateList>
      <explain>文本全半角错误。</explain>
      <paraID>290C9545</paraID>
      <start>2</start>
      <end>3</end>
      <status>unmodified</status>
      <modifiedWord/>
      <trackRevisions>false</trackRevisions>
    </reviewItem>
    <reviewItem>
      <errorID>2a291632-d630-4e76-bf24-0a2bd3a59c3c</errorID>
      <errorWord>)</errorWord>
      <group>L1_Format</group>
      <groupName>格式问题</groupName>
      <ability>L2_HalfPunc_CN</ability>
      <abilityName>全半角问题</abilityName>
      <candidateList>
        <item>）</item>
      </candidateList>
      <explain>文本全半角错误。</explain>
      <paraID> D9949EA</paraID>
      <start>11</start>
      <end>12</end>
      <status>unmodified</status>
      <modifiedWord/>
      <trackRevisions>false</trackRevisions>
    </reviewItem>
    <reviewItem>
      <errorID>dc2d6455-ceb3-4b7a-9d0b-24968a1e6713</errorID>
      <errorWord>)</errorWord>
      <group>L1_Format</group>
      <groupName>格式问题</groupName>
      <ability>L2_HalfPunc_CN</ability>
      <abilityName>全半角问题</abilityName>
      <candidateList>
        <item>）</item>
      </candidateList>
      <explain>文本全半角错误。</explain>
      <paraID>69551B85</paraID>
      <start>42</start>
      <end>43</end>
      <status>unmodified</status>
      <modifiedWord/>
      <trackRevisions>false</trackRevisions>
    </reviewItem>
    <reviewItem>
      <errorID>f65a5e09-2767-4afd-a893-7c05569b1c6c</errorID>
      <errorWord>)</errorWord>
      <group>L1_Format</group>
      <groupName>格式问题</groupName>
      <ability>L2_HalfPunc_CN</ability>
      <abilityName>全半角问题</abilityName>
      <candidateList>
        <item>）</item>
      </candidateList>
      <explain>文本全半角错误。</explain>
      <paraID>24E054F1</paraID>
      <start>41</start>
      <end>42</end>
      <status>unmodified</status>
      <modifiedWord/>
      <trackRevisions>false</trackRevisions>
    </reviewItem>
    <reviewItem>
      <errorID>d953a40c-6b06-4517-88ec-d6750aedb9c4</errorID>
      <errorWord>)</errorWord>
      <group>L1_Format</group>
      <groupName>格式问题</groupName>
      <ability>L2_HalfPunc_CN</ability>
      <abilityName>全半角问题</abilityName>
      <candidateList>
        <item>）</item>
      </candidateList>
      <explain>文本全半角错误。</explain>
      <paraID> 63BDC3C</paraID>
      <start>17</start>
      <end>18</end>
      <status>unmodified</status>
      <modifiedWord/>
      <trackRevisions>false</trackRevisions>
    </reviewItem>
    <reviewItem>
      <errorID>21b0da3d-48e8-4ea2-bd21-4657d77ecd46</errorID>
      <errorWord>)</errorWord>
      <group>L1_Format</group>
      <groupName>格式问题</groupName>
      <ability>L2_HalfPunc_CN</ability>
      <abilityName>全半角问题</abilityName>
      <candidateList>
        <item>）</item>
      </candidateList>
      <explain>文本全半角错误。</explain>
      <paraID>6C49A98D</paraID>
      <start>57</start>
      <end>58</end>
      <status>unmodified</status>
      <modifiedWord/>
      <trackRevisions>false</trackRevisions>
    </reviewItem>
    <reviewItem>
      <errorID>6b9563ae-a95f-4f81-9abf-6988e32db2e1</errorID>
      <errorWord>)</errorWord>
      <group>L1_Format</group>
      <groupName>格式问题</groupName>
      <ability>L2_HalfPunc_CN</ability>
      <abilityName>全半角问题</abilityName>
      <candidateList>
        <item>）</item>
      </candidateList>
      <explain>文本全半角错误。</explain>
      <paraID>6544FC87</paraID>
      <start>6</start>
      <end>7</end>
      <status>unmodified</status>
      <modifiedWord/>
      <trackRevisions>false</trackRevisions>
    </reviewItem>
    <reviewItem>
      <errorID>700349dd-71f2-42f5-b158-81d769d03889</errorID>
      <errorWord>)</errorWord>
      <group>L1_Format</group>
      <groupName>格式问题</groupName>
      <ability>L2_HalfPunc_CN</ability>
      <abilityName>全半角问题</abilityName>
      <candidateList>
        <item>）</item>
      </candidateList>
      <explain>文本全半角错误。</explain>
      <paraID>16B4CF1A</paraID>
      <start>49</start>
      <end>50</end>
      <status>unmodified</status>
      <modifiedWord/>
      <trackRevisions>false</trackRevisions>
    </reviewItem>
    <reviewItem>
      <errorID>e5c9cd34-4889-4250-90e7-f2933acb6514</errorID>
      <errorWord>)</errorWord>
      <group>L1_Format</group>
      <groupName>格式问题</groupName>
      <ability>L2_HalfPunc_CN</ability>
      <abilityName>全半角问题</abilityName>
      <candidateList>
        <item>）</item>
      </candidateList>
      <explain>文本全半角错误。</explain>
      <paraID>70C63ECC</paraID>
      <start>10</start>
      <end>11</end>
      <status>unmodified</status>
      <modifiedWord/>
      <trackRevisions>false</trackRevisions>
    </reviewItem>
    <reviewItem>
      <errorID>1f1700be-a7fe-4a6f-b9b8-a51a12d0d146</errorID>
      <errorWord>)</errorWord>
      <group>L1_Format</group>
      <groupName>格式问题</groupName>
      <ability>L2_HalfPunc_CN</ability>
      <abilityName>全半角问题</abilityName>
      <candidateList>
        <item>）</item>
      </candidateList>
      <explain>文本全半角错误。</explain>
      <paraID>5B70B486</paraID>
      <start>8</start>
      <end>9</end>
      <status>unmodified</status>
      <modifiedWord/>
      <trackRevisions>false</trackRevisions>
    </reviewItem>
    <reviewItem>
      <errorID>9273ac10-703b-47bd-bede-7da3b3d0099f</errorID>
      <errorWord>)</errorWord>
      <group>L1_Format</group>
      <groupName>格式问题</groupName>
      <ability>L2_HalfPunc_CN</ability>
      <abilityName>全半角问题</abilityName>
      <candidateList>
        <item>）</item>
      </candidateList>
      <explain>文本全半角错误。</explain>
      <paraID>698C567B</paraID>
      <start>11</start>
      <end>12</end>
      <status>unmodified</status>
      <modifiedWord/>
      <trackRevisions>false</trackRevisions>
    </reviewItem>
    <reviewItem>
      <errorID>c5421951-4822-463e-8032-df2a62bf5557</errorID>
      <errorWord>),</errorWord>
      <group>L1_Format</group>
      <groupName>格式问题</groupName>
      <ability>L2_HalfPunc_CN</ability>
      <abilityName>全半角问题</abilityName>
      <candidateList>
        <item>），</item>
      </candidateList>
      <explain>文本全半角错误。</explain>
      <paraID>2B34E031</paraID>
      <start>46</start>
      <end>48</end>
      <status>unmodified</status>
      <modifiedWord/>
      <trackRevisions>false</trackRevisions>
    </reviewItem>
    <reviewItem>
      <errorID>c0954fc0-f52f-4f6b-bf17-792dbaf984a6</errorID>
      <errorWord>)</errorWord>
      <group>L1_Format</group>
      <groupName>格式问题</groupName>
      <ability>L2_HalfPunc_CN</ability>
      <abilityName>全半角问题</abilityName>
      <candidateList>
        <item>）</item>
      </candidateList>
      <explain>文本全半角错误。</explain>
      <paraID>2B34E031</paraID>
      <start>92</start>
      <end>93</end>
      <status>unmodified</status>
      <modifiedWord/>
      <trackRevisions>false</trackRevisions>
    </reviewItem>
    <reviewItem>
      <errorID>d6e827c1-61a8-473e-8208-727239d5baa4</errorID>
      <errorWord>)</errorWord>
      <group>L1_Format</group>
      <groupName>格式问题</groupName>
      <ability>L2_HalfPunc_CN</ability>
      <abilityName>全半角问题</abilityName>
      <candidateList>
        <item>）</item>
      </candidateList>
      <explain>文本全半角错误。</explain>
      <paraID>2B34E031</paraID>
      <start>123</start>
      <end>124</end>
      <status>unmodified</status>
      <modifiedWord/>
      <trackRevisions>false</trackRevisions>
    </reviewItem>
    <reviewItem>
      <errorID>a2ffe158-2495-4b2f-9b54-5121284ad74c</errorID>
      <errorWord>)</errorWord>
      <group>L1_Format</group>
      <groupName>格式问题</groupName>
      <ability>L2_HalfPunc_CN</ability>
      <abilityName>全半角问题</abilityName>
      <candidateList>
        <item>）</item>
      </candidateList>
      <explain>文本全半角错误。</explain>
      <paraID>2B34E031</paraID>
      <start>176</start>
      <end>177</end>
      <status>unmodified</status>
      <modifiedWord/>
      <trackRevisions>false</trackRevisions>
    </reviewItem>
    <reviewItem>
      <errorID>33f0e6a5-414c-4cc1-9827-91b3a8038683</errorID>
      <errorWord>)</errorWord>
      <group>L1_Format</group>
      <groupName>格式问题</groupName>
      <ability>L2_HalfPunc_CN</ability>
      <abilityName>全半角问题</abilityName>
      <candidateList>
        <item>）</item>
      </candidateList>
      <explain>文本全半角错误。</explain>
      <paraID>2B34E031</paraID>
      <start>201</start>
      <end>202</end>
      <status>unmodified</status>
      <modifiedWord/>
      <trackRevisions>false</trackRevisions>
    </reviewItem>
    <reviewItem>
      <errorID>524b57f1-e15f-4644-b2b8-6841b9d59f86</errorID>
      <errorWord>)</errorWord>
      <group>L1_Format</group>
      <groupName>格式问题</groupName>
      <ability>L2_HalfPunc_CN</ability>
      <abilityName>全半角问题</abilityName>
      <candidateList>
        <item>）</item>
      </candidateList>
      <explain>文本全半角错误。</explain>
      <paraID>480B8244</paraID>
      <start>10</start>
      <end>11</end>
      <status>unmodified</status>
      <modifiedWord/>
      <trackRevisions>false</trackRevisions>
    </reviewItem>
    <reviewItem>
      <errorID>3ed431cd-6cee-488c-9e5a-6c1caaa91d64</errorID>
      <errorWord>)</errorWord>
      <group>L1_Format</group>
      <groupName>格式问题</groupName>
      <ability>L2_HalfPunc_CN</ability>
      <abilityName>全半角问题</abilityName>
      <candidateList>
        <item>）</item>
      </candidateList>
      <explain>文本全半角错误。</explain>
      <paraID>1210D49E</paraID>
      <start>6</start>
      <end>7</end>
      <status>unmodified</status>
      <modifiedWord/>
      <trackRevisions>false</trackRevisions>
    </reviewItem>
    <reviewItem>
      <errorID>f6cba815-9e2e-4921-a84e-699fca9a744a</errorID>
      <errorWord>)</errorWord>
      <group>L1_Format</group>
      <groupName>格式问题</groupName>
      <ability>L2_HalfPunc_CN</ability>
      <abilityName>全半角问题</abilityName>
      <candidateList>
        <item>）</item>
      </candidateList>
      <explain>文本全半角错误。</explain>
      <paraID>5B1CC399</paraID>
      <start>6</start>
      <end>7</end>
      <status>unmodified</status>
      <modifiedWord/>
      <trackRevisions>false</trackRevisions>
    </reviewItem>
    <reviewItem>
      <errorID>4bbfd64a-bc38-40c2-abcb-f2a78d949a7c</errorID>
      <errorWord>（</errorWord>
      <group>L1_Punc</group>
      <groupName>标点问题</groupName>
      <ability>L2_Punc_CN</ability>
      <abilityName>标点符号问题</abilityName>
      <candidateList/>
      <explain>同一形式括号套用。</explain>
      <paraID>64C86D77</paraID>
      <start>68</start>
      <end>69</end>
      <status>unmodified</status>
      <modifiedWord/>
      <trackRevisions>false</trackRevisions>
    </reviewItem>
    <reviewItem>
      <errorID>3217040e-4705-43ff-aab6-13c20f359311</errorID>
      <errorWord>）</errorWord>
      <group>L1_Punc</group>
      <groupName>标点问题</groupName>
      <ability>L2_Punc_CN</ability>
      <abilityName>标点符号问题</abilityName>
      <candidateList/>
      <explain>同一形式括号套用。</explain>
      <paraID>64C86D77</paraID>
      <start>71</start>
      <end>72</end>
      <status>unmodified</status>
      <modifiedWord/>
      <trackRevisions>false</trackRevisions>
    </reviewItem>
    <reviewItem>
      <errorID>4b8b5e7b-f158-48e9-917b-1c42c1967287</errorID>
      <errorWord>)</errorWord>
      <group>L1_Format</group>
      <groupName>格式问题</groupName>
      <ability>L2_HalfPunc_CN</ability>
      <abilityName>全半角问题</abilityName>
      <candidateList>
        <item>）</item>
      </candidateList>
      <explain>文本全半角错误。</explain>
      <paraID>64C86D77</paraID>
      <start>119</start>
      <end>120</end>
      <status>unmodified</status>
      <modifiedWord/>
      <trackRevisions>false</trackRevisions>
    </reviewItem>
    <reviewItem>
      <errorID>03b1e22b-9cbf-494d-b55d-dd6a2dc01370</errorID>
      <errorWord>须</errorWord>
      <group>L1_Word</group>
      <groupName>字词问题</groupName>
      <ability>L2_Typo</ability>
      <abilityName>字词错误</abilityName>
      <candidateList>
        <item>需</item>
      </candidateList>
      <explain>存在发音相同字词的误用。</explain>
      <paraID>78FE5F9E</paraID>
      <start>93</start>
      <end>94</end>
      <status>unmodified</status>
      <modifiedWord/>
      <trackRevisions>false</trackRevisions>
    </reviewItem>
    <reviewItem>
      <errorID>db70241b-1d7c-4037-a062-962a5f714bdb</errorID>
      <errorWord>:</errorWord>
      <group>L1_Format</group>
      <groupName>格式问题</groupName>
      <ability>L2_HalfPunc_CN</ability>
      <abilityName>全半角问题</abilityName>
      <candidateList>
        <item>：</item>
      </candidateList>
      <explain>文本全半角错误。</explain>
      <paraID>1B247EEC</paraID>
      <start>33</start>
      <end>34</end>
      <status>unmodified</status>
      <modifiedWord/>
      <trackRevisions>false</trackRevisions>
    </reviewItem>
    <reviewItem>
      <errorID>2d5fdc2d-5853-4397-b42c-216e02c0a249</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35E0EC4E</paraID>
      <start>12</start>
      <end>16</end>
      <status>unmodified</status>
      <modifiedWord/>
      <trackRevisions>false</trackRevisions>
    </reviewItem>
    <reviewItem>
      <errorID>ee2cc545-c03b-4c76-9462-dd94310b5719</errorID>
      <errorWord>其它</errorWord>
      <group>L1_Word</group>
      <groupName>字词问题</groupName>
      <ability>L2_Alias</ability>
      <abilityName>也作/曾用词</abilityName>
      <candidateList>
        <item>其他</item>
      </candidateList>
      <explain>词汇[其它]为不规范表述或旧称，其规范书面表述为[其他]。</explain>
      <paraID>6B93B263</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2C3ED7C-6837-4286-8E56-7F6F1C4417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Abu</Company>
  <DocSecurity>0</DocSecurity>
  <LinksUpToDate>false</LinksUpToDate>
  <Manager>Abu</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信纸-A</dc:title>
  <dc:subject>信</dc:subject>
  <dc:creator>Abu</dc:creator>
  <cp:keywords>信纸 信</cp:keywords>
  <dc:description>更多Abu设计的信纸请访问
http://chn.docer.</dc:description>
  <cp:lastModifiedBy>向绍家</cp:lastModifiedBy>
  <cp:revision>5</cp:revision>
  <dcterms:created xsi:type="dcterms:W3CDTF">2024-05-24T01:33:00Z</dcterms:created>
  <dcterms:modified xsi:type="dcterms:W3CDTF">2026-06-29T02:57:34Z</dcterms:modified>
  <cp:category>信</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eyJoZGlkIjoiZGRmOTdiZDBhYTU5NjgwMDE3MzRkNDZiMzNiMTdmY2EiLCJ1c2VySWQiOiIzNjQ3MDA3OTgifQ==</vt:lpwstr>
  </property>
  <property fmtid="{D5CDD505-2E9C-101B-9397-08002B2CF9AE}" pid="3" name="KSOProductBuildVer">
    <vt:lpwstr>2052-12.1.0.26895</vt:lpwstr>
  </property>
  <property fmtid="{D5CDD505-2E9C-101B-9397-08002B2CF9AE}" pid="4" name="ICV">
    <vt:lpwstr>909CCC95C81543ACA0166C01B21A0125_13</vt:lpwstr>
  </property>
</Properties>
</file>