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jc w:val="center"/>
        <w:spacing w:line="360" w:lineRule="auto"/>
        <w:rPr>
          <w:rFonts w:hint="eastAsia" w:ascii="宋体" w:hAnsi="宋体" w:eastAsia="宋体" w:cs="宋体"/>
          <w:color w:val="000000"/>
          <w:sz w:val="60"/>
          <w:szCs w:val="60"/>
        </w:rPr>
      </w:pPr>
      <w:r>
        <w:rPr>
          <w:rFonts w:hint="eastAsia" w:ascii="宋体" w:hAnsi="宋体" w:eastAsia="宋体" w:cs="宋体"/>
          <w:color w:val="000000"/>
          <w:sz w:val="60"/>
          <w:szCs w:val="60"/>
        </w:rPr>
      </w:r>
      <w:r/>
    </w:p>
    <w:p>
      <w:pPr>
        <w:jc w:val="center"/>
        <w:spacing w:after="240" w:line="600" w:lineRule="auto"/>
        <w:rPr>
          <w:rFonts w:hint="eastAsia" w:ascii="宋体" w:hAnsi="宋体" w:eastAsia="宋体" w:cs="宋体"/>
          <w:b/>
          <w:color w:val="000000"/>
          <w:sz w:val="60"/>
          <w:szCs w:val="60"/>
        </w:rPr>
      </w:pPr>
      <w:r>
        <w:rPr>
          <w:rFonts w:hint="eastAsia" w:ascii="宋体" w:hAnsi="宋体" w:eastAsia="宋体" w:cs="宋体"/>
          <w:b/>
          <w:color w:val="000000"/>
          <w:spacing w:val="114"/>
          <w:sz w:val="60"/>
          <w:szCs w:val="60"/>
        </w:rPr>
        <w:t xml:space="preserve">常州市政府采购项</w:t>
      </w:r>
      <w:r>
        <w:rPr>
          <w:rFonts w:hint="eastAsia" w:ascii="宋体" w:hAnsi="宋体" w:eastAsia="宋体" w:cs="宋体"/>
          <w:b/>
          <w:color w:val="000000"/>
          <w:sz w:val="60"/>
          <w:szCs w:val="60"/>
        </w:rPr>
        <w:t xml:space="preserve">目</w:t>
      </w:r>
      <w:r/>
    </w:p>
    <w:p>
      <w:pPr>
        <w:jc w:val="center"/>
        <w:spacing w:after="240" w:line="600" w:lineRule="auto"/>
        <w:rPr>
          <w:rFonts w:hint="eastAsia" w:ascii="宋体" w:hAnsi="宋体" w:eastAsia="宋体" w:cs="宋体"/>
          <w:b/>
          <w:color w:val="000000"/>
          <w:sz w:val="60"/>
          <w:szCs w:val="60"/>
        </w:rPr>
      </w:pPr>
      <w:r>
        <w:rPr>
          <w:rFonts w:hint="eastAsia" w:ascii="宋体" w:hAnsi="宋体" w:eastAsia="宋体" w:cs="宋体"/>
          <w:b/>
          <w:color w:val="000000"/>
          <w:spacing w:val="151"/>
          <w:sz w:val="60"/>
          <w:szCs w:val="60"/>
        </w:rPr>
        <w:t xml:space="preserve">竞争性磋商文</w:t>
      </w:r>
      <w:r>
        <w:rPr>
          <w:rFonts w:hint="eastAsia" w:ascii="宋体" w:hAnsi="宋体" w:eastAsia="宋体" w:cs="宋体"/>
          <w:b/>
          <w:color w:val="000000"/>
          <w:spacing w:val="4"/>
          <w:sz w:val="60"/>
          <w:szCs w:val="60"/>
        </w:rPr>
        <w:t xml:space="preserve">件</w:t>
      </w:r>
      <w:r/>
    </w:p>
    <w:p>
      <w:pPr>
        <w:jc w:val="left"/>
        <w:spacing w:line="600" w:lineRule="auto"/>
        <w:tabs>
          <w:tab w:val="left" w:pos="5609" w:leader="none"/>
        </w:tabs>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63"/>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rPr>
          <w:rFonts w:hint="eastAsia" w:ascii="宋体" w:hAnsi="宋体" w:eastAsia="宋体" w:cs="宋体"/>
        </w:rPr>
      </w:pPr>
      <w:r>
        <w:rPr>
          <w:rFonts w:hint="eastAsia" w:ascii="宋体" w:hAnsi="宋体" w:eastAsia="宋体" w:cs="宋体"/>
        </w:rPr>
      </w:r>
      <w:r/>
    </w:p>
    <w:p>
      <w:pPr>
        <w:ind w:left="1500" w:hanging="1500"/>
        <w:jc w:val="left"/>
        <w:spacing w:line="480" w:lineRule="auto"/>
        <w:tabs>
          <w:tab w:val="left" w:pos="5609"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rPr>
        <w:t xml:space="preserve">项目名称：</w:t>
      </w:r>
      <w:r>
        <w:rPr>
          <w:rStyle w:val="1126"/>
          <w:rFonts w:hint="eastAsia" w:ascii="宋体" w:hAnsi="宋体" w:cs="宋体"/>
          <w:color w:val="000000"/>
          <w:spacing w:val="-6"/>
          <w:sz w:val="36"/>
          <w:szCs w:val="36"/>
          <w:lang w:eastAsia="zh-CN"/>
        </w:rPr>
        <w:t xml:space="preserve">2026年度金科园西区市政养护项目</w:t>
      </w:r>
      <w:r/>
    </w:p>
    <w:p>
      <w:pPr>
        <w:ind w:left="1500" w:hanging="1500"/>
        <w:jc w:val="left"/>
        <w:spacing w:line="480" w:lineRule="auto"/>
        <w:tabs>
          <w:tab w:val="left" w:pos="5609"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lang w:eastAsia="zh-CN"/>
        </w:rPr>
        <w:t xml:space="preserve">项目编号：</w:t>
      </w:r>
      <w:r>
        <w:rPr>
          <w:rFonts w:hint="eastAsia" w:ascii="宋体" w:hAnsi="宋体" w:eastAsia="宋体" w:cs="宋体"/>
          <w:bCs/>
          <w:color w:val="000000"/>
          <w:sz w:val="36"/>
          <w:szCs w:val="36"/>
          <w:lang w:eastAsia="zh-CN"/>
        </w:rPr>
        <w:t xml:space="preserve">JSZC-320413031-ABNH-C2026-0002</w:t>
      </w:r>
      <w:r>
        <w:rPr>
          <w:rFonts w:hint="eastAsia" w:ascii="宋体" w:hAnsi="宋体" w:eastAsia="宋体" w:cs="宋体"/>
          <w:bCs/>
          <w:color w:val="000000"/>
          <w:sz w:val="36"/>
          <w:szCs w:val="36"/>
          <w:lang w:eastAsia="zh-CN"/>
        </w:rPr>
      </w:r>
      <w:r/>
    </w:p>
    <w:p>
      <w:pPr>
        <w:jc w:val="left"/>
        <w:spacing w:line="480" w:lineRule="auto"/>
        <w:tabs>
          <w:tab w:val="left" w:pos="3240" w:leader="none"/>
          <w:tab w:val="left" w:pos="3420" w:leader="none"/>
        </w:tabs>
        <w:rPr>
          <w:rFonts w:hint="eastAsia" w:ascii="宋体" w:hAnsi="宋体" w:eastAsia="宋体" w:cs="宋体"/>
          <w:bCs/>
          <w:color w:val="000000"/>
          <w:sz w:val="36"/>
          <w:szCs w:val="36"/>
          <w:lang w:eastAsia="zh-CN"/>
        </w:rPr>
      </w:pPr>
      <w:r>
        <w:rPr>
          <w:rFonts w:hint="eastAsia" w:ascii="宋体" w:hAnsi="宋体" w:eastAsia="宋体" w:cs="宋体"/>
          <w:bCs/>
          <w:color w:val="000000"/>
          <w:sz w:val="36"/>
          <w:szCs w:val="36"/>
        </w:rPr>
        <w:t xml:space="preserve">采 购 人：</w:t>
      </w:r>
      <w:r>
        <w:rPr>
          <w:rStyle w:val="1126"/>
          <w:rFonts w:hint="eastAsia" w:ascii="宋体" w:hAnsi="宋体" w:eastAsia="宋体" w:cs="宋体"/>
          <w:color w:val="000000"/>
          <w:sz w:val="36"/>
          <w:szCs w:val="36"/>
          <w:lang w:eastAsia="zh-CN"/>
        </w:rPr>
        <w:t xml:space="preserve">常州市金坛区金城镇人民政府</w:t>
      </w:r>
      <w:r/>
    </w:p>
    <w:p>
      <w:pPr>
        <w:jc w:val="left"/>
        <w:spacing w:line="480" w:lineRule="auto"/>
        <w:tabs>
          <w:tab w:val="left" w:pos="3240" w:leader="none"/>
          <w:tab w:val="left" w:pos="3420" w:leader="none"/>
        </w:tabs>
        <w:rPr>
          <w:rFonts w:hint="eastAsia" w:ascii="宋体" w:hAnsi="宋体" w:eastAsia="宋体" w:cs="宋体"/>
          <w:bCs/>
          <w:color w:val="000000"/>
          <w:sz w:val="36"/>
          <w:szCs w:val="36"/>
          <w:lang w:eastAsia="zh-CN"/>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36"/>
          <w:szCs w:val="36"/>
        </w:rPr>
        <w:t xml:space="preserve">采购代理机构：</w:t>
      </w:r>
      <w:r>
        <w:rPr>
          <w:rFonts w:hint="eastAsia" w:ascii="宋体" w:hAnsi="宋体" w:eastAsia="宋体" w:cs="宋体"/>
          <w:bCs/>
          <w:color w:val="000000"/>
          <w:sz w:val="36"/>
          <w:szCs w:val="36"/>
          <w:lang w:eastAsia="zh-CN"/>
        </w:rPr>
        <w:t xml:space="preserve">江苏安邦南汇工程咨询有限公司</w:t>
      </w:r>
      <w:r/>
    </w:p>
    <w:p>
      <w:pPr>
        <w:jc w:val="center"/>
        <w:widowControl/>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jc w:val="center"/>
        <w:widowControl/>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目录</w:t>
      </w:r>
      <w:r/>
    </w:p>
    <w:p>
      <w:pPr>
        <w:pStyle w:val="1116"/>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rPr>
          <w:rFonts w:hint="eastAsia" w:ascii="宋体" w:hAnsi="宋体" w:eastAsia="宋体" w:cs="宋体"/>
        </w:rPr>
      </w:pPr>
      <w:r>
        <w:rPr>
          <w:rFonts w:hint="eastAsia" w:ascii="宋体" w:hAnsi="宋体" w:eastAsia="宋体" w:cs="宋体"/>
        </w:rPr>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b w:val="0"/>
          <w:bCs/>
          <w:color w:val="000000"/>
          <w:sz w:val="36"/>
          <w:szCs w:val="36"/>
        </w:rPr>
        <w:fldChar w:fldCharType="begin"/>
      </w:r>
      <w:r>
        <w:rPr>
          <w:rFonts w:hint="eastAsia" w:ascii="宋体" w:hAnsi="宋体" w:eastAsia="宋体" w:cs="宋体"/>
          <w:b w:val="0"/>
          <w:bCs/>
          <w:color w:val="000000"/>
          <w:sz w:val="36"/>
          <w:szCs w:val="36"/>
        </w:rPr>
        <w:instrText xml:space="preserve"> TOC \o "1-1" \h \z \u </w:instrText>
      </w:r>
      <w:r>
        <w:rPr>
          <w:rFonts w:hint="eastAsia" w:ascii="宋体" w:hAnsi="宋体" w:eastAsia="宋体" w:cs="宋体"/>
          <w:b w:val="0"/>
          <w:bCs/>
          <w:color w:val="000000"/>
          <w:sz w:val="36"/>
          <w:szCs w:val="36"/>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"_Toc123719645" </w:instrText>
      </w:r>
      <w:r>
        <w:rPr>
          <w:rFonts w:hint="eastAsia" w:ascii="宋体" w:hAnsi="宋体" w:eastAsia="宋体" w:cs="宋体"/>
        </w:rPr>
        <w:fldChar w:fldCharType="separate"/>
      </w:r>
      <w:r>
        <w:rPr>
          <w:rStyle w:val="1125"/>
          <w:rFonts w:hint="eastAsia" w:ascii="宋体" w:hAnsi="宋体" w:eastAsia="宋体" w:cs="宋体"/>
          <w:color w:val="000000"/>
        </w:rPr>
        <w:t xml:space="preserve">第一章 采购邀请</w:t>
      </w:r>
      <w:r>
        <w:rPr>
          <w:rStyle w:val="1125"/>
          <w:rFonts w:hint="eastAsia" w:ascii="宋体" w:hAnsi="宋体" w:eastAsia="宋体" w:cs="宋体"/>
          <w:color w:val="000000"/>
        </w:rPr>
        <w:fldChar w:fldCharType="end"/>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rPr>
        <w:fldChar w:fldCharType="begin"/>
      </w:r>
      <w:r>
        <w:rPr>
          <w:rFonts w:hint="eastAsia" w:ascii="宋体" w:hAnsi="宋体" w:eastAsia="宋体" w:cs="宋体"/>
        </w:rPr>
        <w:instrText xml:space="preserve"> HYPERLINK \l "_Toc123719646" </w:instrText>
      </w:r>
      <w:r>
        <w:rPr>
          <w:rFonts w:hint="eastAsia" w:ascii="宋体" w:hAnsi="宋体" w:eastAsia="宋体" w:cs="宋体"/>
        </w:rPr>
        <w:fldChar w:fldCharType="separate"/>
      </w:r>
      <w:r>
        <w:rPr>
          <w:rStyle w:val="1125"/>
          <w:rFonts w:hint="eastAsia" w:ascii="宋体" w:hAnsi="宋体" w:eastAsia="宋体" w:cs="宋体"/>
          <w:color w:val="000000"/>
        </w:rPr>
        <w:t xml:space="preserve">第二章 供应商须知</w:t>
      </w:r>
      <w:r>
        <w:rPr>
          <w:rStyle w:val="1125"/>
          <w:rFonts w:hint="eastAsia" w:ascii="宋体" w:hAnsi="宋体" w:eastAsia="宋体" w:cs="宋体"/>
          <w:color w:val="000000"/>
        </w:rPr>
        <w:fldChar w:fldCharType="end"/>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rPr>
        <w:fldChar w:fldCharType="begin"/>
      </w:r>
      <w:r>
        <w:rPr>
          <w:rFonts w:hint="eastAsia" w:ascii="宋体" w:hAnsi="宋体" w:eastAsia="宋体" w:cs="宋体"/>
        </w:rPr>
        <w:instrText xml:space="preserve"> HYPERLINK \l "_Toc123719647" </w:instrText>
      </w:r>
      <w:r>
        <w:rPr>
          <w:rFonts w:hint="eastAsia" w:ascii="宋体" w:hAnsi="宋体" w:eastAsia="宋体" w:cs="宋体"/>
        </w:rPr>
        <w:fldChar w:fldCharType="separate"/>
      </w:r>
      <w:r>
        <w:rPr>
          <w:rStyle w:val="1125"/>
          <w:rFonts w:hint="eastAsia" w:ascii="宋体" w:hAnsi="宋体" w:eastAsia="宋体" w:cs="宋体"/>
          <w:color w:val="000000"/>
        </w:rPr>
        <w:t xml:space="preserve">第三章 评审程序、评审方法和评审标准</w:t>
      </w:r>
      <w:r>
        <w:rPr>
          <w:rStyle w:val="1125"/>
          <w:rFonts w:hint="eastAsia" w:ascii="宋体" w:hAnsi="宋体" w:eastAsia="宋体" w:cs="宋体"/>
          <w:color w:val="000000"/>
        </w:rPr>
        <w:fldChar w:fldCharType="end"/>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rPr>
        <w:fldChar w:fldCharType="begin"/>
      </w:r>
      <w:r>
        <w:rPr>
          <w:rFonts w:hint="eastAsia" w:ascii="宋体" w:hAnsi="宋体" w:eastAsia="宋体" w:cs="宋体"/>
        </w:rPr>
        <w:instrText xml:space="preserve"> HYPERLINK \l "_Toc123719648" </w:instrText>
      </w:r>
      <w:r>
        <w:rPr>
          <w:rFonts w:hint="eastAsia" w:ascii="宋体" w:hAnsi="宋体" w:eastAsia="宋体" w:cs="宋体"/>
        </w:rPr>
        <w:fldChar w:fldCharType="separate"/>
      </w:r>
      <w:r>
        <w:rPr>
          <w:rStyle w:val="1125"/>
          <w:rFonts w:hint="eastAsia" w:ascii="宋体" w:hAnsi="宋体" w:eastAsia="宋体" w:cs="宋体"/>
          <w:color w:val="000000"/>
        </w:rPr>
        <w:t xml:space="preserve">第四章 采购需求</w:t>
      </w:r>
      <w:r>
        <w:rPr>
          <w:rStyle w:val="1125"/>
          <w:rFonts w:hint="eastAsia" w:ascii="宋体" w:hAnsi="宋体" w:eastAsia="宋体" w:cs="宋体"/>
          <w:color w:val="000000"/>
        </w:rPr>
        <w:fldChar w:fldCharType="end"/>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rPr>
        <w:fldChar w:fldCharType="begin"/>
      </w:r>
      <w:r>
        <w:rPr>
          <w:rFonts w:hint="eastAsia" w:ascii="宋体" w:hAnsi="宋体" w:eastAsia="宋体" w:cs="宋体"/>
        </w:rPr>
        <w:instrText xml:space="preserve"> HYPERLINK \l "_Toc123719649" </w:instrText>
      </w:r>
      <w:r>
        <w:rPr>
          <w:rFonts w:hint="eastAsia" w:ascii="宋体" w:hAnsi="宋体" w:eastAsia="宋体" w:cs="宋体"/>
        </w:rPr>
        <w:fldChar w:fldCharType="separate"/>
      </w:r>
      <w:r>
        <w:rPr>
          <w:rStyle w:val="1125"/>
          <w:rFonts w:hint="eastAsia" w:ascii="宋体" w:hAnsi="宋体" w:eastAsia="宋体" w:cs="宋体"/>
          <w:color w:val="000000"/>
        </w:rPr>
        <w:t xml:space="preserve">第五章 合同草案条款</w:t>
      </w:r>
      <w:r>
        <w:rPr>
          <w:rStyle w:val="1125"/>
          <w:rFonts w:hint="eastAsia" w:ascii="宋体" w:hAnsi="宋体" w:eastAsia="宋体" w:cs="宋体"/>
          <w:color w:val="000000"/>
        </w:rPr>
        <w:fldChar w:fldCharType="end"/>
      </w:r>
      <w:r/>
    </w:p>
    <w:p>
      <w:pPr>
        <w:pStyle w:val="1120"/>
        <w:spacing w:line="480" w:lineRule="auto"/>
        <w:tabs>
          <w:tab w:val="right" w:pos="8296" w:leader="dot"/>
        </w:tabs>
        <w:rPr>
          <w:rFonts w:hint="eastAsia" w:ascii="宋体" w:hAnsi="宋体" w:eastAsia="宋体" w:cs="宋体"/>
          <w:b w:val="0"/>
          <w:color w:val="000000"/>
          <w:sz w:val="21"/>
        </w:rPr>
      </w:pPr>
      <w:r>
        <w:rPr>
          <w:rFonts w:hint="eastAsia" w:ascii="宋体" w:hAnsi="宋体" w:eastAsia="宋体" w:cs="宋体"/>
        </w:rPr>
        <w:fldChar w:fldCharType="begin"/>
      </w:r>
      <w:r>
        <w:rPr>
          <w:rFonts w:hint="eastAsia" w:ascii="宋体" w:hAnsi="宋体" w:eastAsia="宋体" w:cs="宋体"/>
        </w:rPr>
        <w:instrText xml:space="preserve"> HYPERLINK \l "_Toc123719650" </w:instrText>
      </w:r>
      <w:r>
        <w:rPr>
          <w:rFonts w:hint="eastAsia" w:ascii="宋体" w:hAnsi="宋体" w:eastAsia="宋体" w:cs="宋体"/>
        </w:rPr>
        <w:fldChar w:fldCharType="separate"/>
      </w:r>
      <w:r>
        <w:rPr>
          <w:rStyle w:val="1125"/>
          <w:rFonts w:hint="eastAsia" w:ascii="宋体" w:hAnsi="宋体" w:eastAsia="宋体" w:cs="宋体"/>
          <w:color w:val="000000"/>
        </w:rPr>
        <w:t xml:space="preserve">第六章 响应文件格式</w:t>
      </w:r>
      <w:r>
        <w:rPr>
          <w:rStyle w:val="1125"/>
          <w:rFonts w:hint="eastAsia" w:ascii="宋体" w:hAnsi="宋体" w:eastAsia="宋体" w:cs="宋体"/>
          <w:color w:val="000000"/>
        </w:rPr>
        <w:fldChar w:fldCharType="end"/>
      </w:r>
      <w:r/>
    </w:p>
    <w:p>
      <w:pPr>
        <w:spacing w:line="480" w:lineRule="auto"/>
        <w:widowControl/>
        <w:rPr>
          <w:rFonts w:hint="eastAsia" w:ascii="宋体" w:hAnsi="宋体" w:eastAsia="宋体" w:cs="宋体"/>
          <w:bCs/>
          <w:color w:val="000000"/>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6"/>
          <w:szCs w:val="36"/>
        </w:rPr>
        <w:fldChar w:fldCharType="end"/>
      </w:r>
      <w:r/>
    </w:p>
    <w:p>
      <w:pPr>
        <w:jc w:val="center"/>
        <w:spacing w:line="360" w:lineRule="auto"/>
        <w:rPr>
          <w:rFonts w:hint="eastAsia" w:ascii="宋体" w:hAnsi="宋体" w:eastAsia="宋体" w:cs="宋体"/>
          <w:b/>
          <w:color w:val="000000"/>
          <w:sz w:val="36"/>
          <w:szCs w:val="36"/>
        </w:rPr>
        <w:outlineLvl w:val="0"/>
      </w:pPr>
      <w:r/>
      <w:bookmarkStart w:id="0" w:name="_Toc123719645"/>
      <w:r>
        <w:rPr>
          <w:rFonts w:hint="eastAsia" w:ascii="宋体" w:hAnsi="宋体" w:eastAsia="宋体" w:cs="宋体"/>
          <w:b/>
          <w:bCs/>
          <w:color w:val="000000"/>
          <w:sz w:val="32"/>
          <w:szCs w:val="32"/>
        </w:rPr>
        <w:t xml:space="preserve">第一章</w:t>
      </w:r>
      <w:bookmarkStart w:id="1" w:name="_Toc35393621"/>
      <w:r/>
      <w:bookmarkStart w:id="2" w:name="_Toc28359002"/>
      <w:r/>
      <w:bookmarkStart w:id="3" w:name="_Toc28359079"/>
      <w:r/>
      <w:bookmarkStart w:id="4" w:name="_Toc35393790"/>
      <w:r/>
      <w:bookmarkStart w:id="5" w:name="_Hlk24379207"/>
      <w:r>
        <w:rPr>
          <w:rFonts w:hint="eastAsia" w:ascii="宋体" w:hAnsi="宋体" w:eastAsia="宋体" w:cs="宋体"/>
          <w:color w:val="000000"/>
          <w:sz w:val="32"/>
          <w:szCs w:val="32"/>
        </w:rPr>
        <w:t xml:space="preserve"> </w:t>
      </w:r>
      <w:r>
        <w:rPr>
          <w:rFonts w:hint="eastAsia" w:ascii="宋体" w:hAnsi="宋体" w:eastAsia="宋体" w:cs="宋体"/>
          <w:b/>
          <w:color w:val="000000"/>
          <w:sz w:val="32"/>
          <w:szCs w:val="32"/>
        </w:rPr>
        <w:t xml:space="preserve">采购邀请</w:t>
      </w:r>
      <w:r/>
    </w:p>
    <w:p>
      <w:pPr>
        <w:keepLines w:val="0"/>
        <w:keepNext w:val="0"/>
        <w:pageBreakBefore w:val="0"/>
        <w:spacing w:line="360" w:lineRule="auto"/>
        <w:widowControl w:val="off"/>
        <w:rPr>
          <w:rFonts w:hint="eastAsia" w:ascii="宋体" w:hAnsi="宋体" w:eastAsia="宋体" w:cs="宋体"/>
          <w:color w:val="000000"/>
          <w:sz w:val="24"/>
        </w:rPr>
        <w:pBdr>
          <w:top w:val="single" w:color="000000" w:sz="4" w:space="1"/>
          <w:left w:val="single" w:color="000000" w:sz="4" w:space="4"/>
          <w:bottom w:val="single" w:color="000000" w:sz="4" w:space="0"/>
          <w:right w:val="single" w:color="000000" w:sz="4" w:space="4"/>
        </w:pBdr>
      </w:pPr>
      <w:r>
        <w:rPr>
          <w:rFonts w:hint="eastAsia" w:ascii="宋体" w:hAnsi="宋体" w:eastAsia="宋体" w:cs="宋体"/>
          <w:color w:val="000000"/>
          <w:sz w:val="24"/>
        </w:rPr>
        <w:t xml:space="preserve">项目概况</w:t>
      </w:r>
      <w:r/>
    </w:p>
    <w:p>
      <w:pPr>
        <w:ind w:firstLine="480"/>
        <w:keepLines w:val="0"/>
        <w:keepNext w:val="0"/>
        <w:pageBreakBefore w:val="0"/>
        <w:spacing w:line="360" w:lineRule="auto"/>
        <w:widowControl w:val="off"/>
        <w:rPr>
          <w:rFonts w:hint="eastAsia" w:ascii="宋体" w:hAnsi="宋体" w:eastAsia="宋体" w:cs="宋体"/>
          <w:bCs/>
          <w:color w:val="000000"/>
          <w:spacing w:val="2"/>
          <w:sz w:val="24"/>
          <w:lang w:val="zh-CN"/>
        </w:rPr>
        <w:pBdr>
          <w:top w:val="single" w:color="000000" w:sz="4" w:space="1"/>
          <w:left w:val="single" w:color="000000" w:sz="4" w:space="4"/>
          <w:bottom w:val="single" w:color="000000" w:sz="4" w:space="0"/>
          <w:right w:val="single" w:color="000000" w:sz="4" w:space="4"/>
        </w:pBdr>
      </w:pPr>
      <w:r>
        <w:rPr>
          <w:rFonts w:hint="eastAsia" w:ascii="宋体" w:hAnsi="宋体" w:cs="宋体"/>
          <w:color w:val="000000"/>
          <w:sz w:val="24"/>
          <w:u w:val="single"/>
          <w:lang w:eastAsia="zh-CN"/>
        </w:rPr>
        <w:t xml:space="preserve">2026年度金科园西区市政养护项目</w:t>
      </w:r>
      <w:r>
        <w:rPr>
          <w:rFonts w:hint="eastAsia" w:ascii="宋体" w:hAnsi="宋体" w:eastAsia="宋体" w:cs="宋体"/>
          <w:color w:val="000000"/>
          <w:sz w:val="24"/>
          <w:u w:val="single"/>
        </w:rPr>
        <w:t xml:space="preserve">的</w:t>
      </w:r>
      <w:r>
        <w:rPr>
          <w:rFonts w:hint="eastAsia" w:ascii="宋体" w:hAnsi="宋体" w:eastAsia="宋体" w:cs="宋体"/>
          <w:color w:val="000000"/>
          <w:sz w:val="24"/>
        </w:rPr>
        <w:t xml:space="preserve">潜在供应商应在“苏采云”政府采购一体化平台获取采购文件，并于</w:t>
      </w:r>
      <w:r>
        <w:rPr>
          <w:rFonts w:hint="eastAsia" w:ascii="宋体" w:hAnsi="宋体" w:eastAsia="宋体" w:cs="宋体"/>
          <w:b/>
          <w:bCs/>
          <w:color w:val="000000"/>
          <w:sz w:val="24"/>
          <w:highlight w:val="white"/>
          <w:u w:val="single"/>
        </w:rPr>
        <w:t xml:space="preserve"> 202</w:t>
      </w:r>
      <w:r>
        <w:rPr>
          <w:rFonts w:hint="eastAsia" w:ascii="宋体" w:hAnsi="宋体" w:eastAsia="宋体" w:cs="宋体"/>
          <w:b/>
          <w:bCs/>
          <w:color w:val="000000"/>
          <w:sz w:val="24"/>
          <w:highlight w:val="white"/>
          <w:u w:val="single"/>
          <w:lang w:val="en-US" w:eastAsia="zh-CN"/>
        </w:rPr>
        <w:t xml:space="preserve">6</w:t>
      </w:r>
      <w:r>
        <w:rPr>
          <w:rFonts w:hint="eastAsia" w:ascii="宋体" w:hAnsi="宋体" w:eastAsia="宋体" w:cs="宋体"/>
          <w:b/>
          <w:bCs/>
          <w:color w:val="000000"/>
          <w:sz w:val="24"/>
          <w:highlight w:val="white"/>
          <w:u w:val="single"/>
        </w:rPr>
        <w:t xml:space="preserve">-</w:t>
      </w:r>
      <w:r>
        <w:rPr>
          <w:rFonts w:hint="eastAsia" w:ascii="宋体" w:hAnsi="宋体" w:eastAsia="宋体" w:cs="宋体"/>
          <w:b/>
          <w:bCs/>
          <w:color w:val="000000"/>
          <w:sz w:val="24"/>
          <w:highlight w:val="white"/>
          <w:u w:val="single"/>
          <w:lang w:val="en-US" w:eastAsia="zh-CN"/>
        </w:rPr>
        <w:t xml:space="preserve">06-08 14</w:t>
      </w:r>
      <w:r>
        <w:rPr>
          <w:rFonts w:hint="eastAsia" w:ascii="宋体" w:hAnsi="宋体" w:cs="宋体"/>
          <w:b/>
          <w:bCs/>
          <w:color w:val="000000"/>
          <w:sz w:val="24"/>
          <w:highlight w:val="white"/>
          <w:u w:val="single"/>
          <w:lang w:eastAsia="zh-CN"/>
        </w:rPr>
        <w:t xml:space="preserve">：3</w:t>
      </w:r>
      <w:r>
        <w:rPr>
          <w:rFonts w:hint="eastAsia" w:ascii="宋体" w:hAnsi="宋体" w:eastAsia="宋体" w:cs="宋体"/>
          <w:b/>
          <w:bCs/>
          <w:color w:val="000000"/>
          <w:sz w:val="24"/>
          <w:highlight w:val="white"/>
          <w:u w:val="single"/>
        </w:rPr>
        <w:t xml:space="preserve">0</w:t>
      </w:r>
      <w:r>
        <w:rPr>
          <w:rFonts w:hint="eastAsia" w:ascii="宋体" w:hAnsi="宋体" w:eastAsia="宋体" w:cs="宋体"/>
          <w:color w:val="000000"/>
          <w:sz w:val="24"/>
        </w:rPr>
        <w:t xml:space="preserve">（北京时间）前提交响应文件。</w:t>
      </w:r>
      <w:r/>
    </w:p>
    <w:p>
      <w:pPr>
        <w:pStyle w:val="1112"/>
        <w:jc w:val="left"/>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lang w:eastAsia="zh-CN"/>
        </w:rPr>
        <w:t xml:space="preserve">JSZC-320413031-ABNH-C2026-0002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 </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2026年度金科园西区市政养护项目</w:t>
      </w:r>
      <w:bookmarkEnd w:id="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180</w:t>
      </w:r>
      <w:r>
        <w:rPr>
          <w:rFonts w:hint="eastAsia" w:ascii="宋体" w:hAnsi="宋体" w:eastAsia="宋体" w:cs="宋体"/>
          <w:color w:val="000000"/>
          <w:sz w:val="24"/>
          <w:highlight w:val="none"/>
        </w:rPr>
        <w:t xml:space="preserve">万元 </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控制优惠率10%，投标优惠率不得低于控制优惠率，否则作无效标处理</w:t>
      </w:r>
      <w:r>
        <w:rPr>
          <w:rFonts w:hint="eastAsia" w:ascii="宋体" w:hAnsi="宋体" w:eastAsia="宋体" w:cs="宋体"/>
          <w:color w:val="000000"/>
          <w:sz w:val="24"/>
          <w:highlight w:val="none"/>
          <w:lang w:eastAsia="zh-CN"/>
        </w:rPr>
        <w:t xml:space="preserve">。</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采购需求：对金科园西区进行管养，具体内容包括：</w:t>
      </w:r>
      <w:r>
        <w:rPr>
          <w:rFonts w:hint="eastAsia" w:ascii="宋体" w:hAnsi="宋体" w:cs="宋体"/>
          <w:color w:val="000000"/>
          <w:sz w:val="24"/>
          <w:highlight w:val="none"/>
          <w:lang w:val="en-US" w:eastAsia="zh-CN"/>
        </w:rPr>
        <w:t xml:space="preserve">路灯、绿化、</w:t>
      </w:r>
      <w:r>
        <w:rPr>
          <w:rFonts w:hint="eastAsia" w:ascii="宋体" w:hAnsi="宋体" w:eastAsia="宋体" w:cs="宋体"/>
          <w:color w:val="000000"/>
          <w:sz w:val="24"/>
          <w:highlight w:val="none"/>
          <w:lang w:val="en-US" w:eastAsia="zh-CN"/>
        </w:rPr>
        <w:t xml:space="preserve">道路、管网、河道及退红线区域的日常巡视与检查；破损道路维修、雨污水管道维修与疏通、窨井修复、桥梁的维护保养；以及汛期防汛和冬季铲雪除冰等应急抢险任务。</w:t>
      </w:r>
      <w:r/>
    </w:p>
    <w:p>
      <w:pPr>
        <w:ind w:firstLine="480"/>
        <w:spacing w:line="360" w:lineRule="auto"/>
        <w:rPr>
          <w:rFonts w:hint="eastAsia" w:ascii="宋体" w:hAnsi="宋体" w:eastAsia="宋体" w:cs="宋体"/>
          <w:b w:val="0"/>
          <w:bCs w:val="0"/>
          <w:color w:val="000000"/>
          <w:sz w:val="24"/>
          <w:highlight w:val="yellow"/>
        </w:rPr>
      </w:pPr>
      <w:r>
        <w:rPr>
          <w:rFonts w:hint="eastAsia" w:ascii="宋体" w:hAnsi="宋体" w:eastAsia="宋体" w:cs="宋体"/>
          <w:b w:val="0"/>
          <w:bCs w:val="0"/>
          <w:color w:val="000000"/>
          <w:sz w:val="24"/>
          <w:highlight w:val="none"/>
        </w:rPr>
        <w:t xml:space="preserve">合同履行期限：</w:t>
      </w:r>
      <w:r>
        <w:rPr>
          <w:rFonts w:hint="eastAsia" w:ascii="宋体" w:hAnsi="宋体" w:cs="宋体"/>
          <w:color w:val="000000"/>
          <w:sz w:val="24"/>
          <w:highlight w:val="none"/>
          <w:u w:val="single"/>
          <w:lang w:val="en-US" w:eastAsia="zh-CN"/>
        </w:rPr>
        <w:t xml:space="preserve">一年或年度合同履约总额（即承包人送审金额）达到180万元时，年度合同将自动终止</w:t>
      </w:r>
      <w:r>
        <w:rPr>
          <w:rFonts w:hint="eastAsia" w:ascii="宋体" w:hAnsi="宋体" w:eastAsia="宋体" w:cs="宋体"/>
          <w:b w:val="0"/>
          <w:bCs w:val="0"/>
          <w:color w:val="000000"/>
          <w:sz w:val="24"/>
          <w:highlight w:val="none"/>
        </w:rPr>
        <w:t xml:space="preserve">。</w:t>
      </w:r>
      <w:r/>
    </w:p>
    <w:p>
      <w:pPr>
        <w:ind w:firstLine="480"/>
        <w:spacing w:line="360" w:lineRule="auto"/>
        <w:rPr>
          <w:rFonts w:hint="eastAsia" w:ascii="宋体" w:hAnsi="宋体" w:eastAsia="宋体" w:cs="宋体"/>
          <w:b w:val="0"/>
          <w:bCs w:val="0"/>
          <w:color w:val="000000"/>
          <w:sz w:val="24"/>
          <w:highlight w:val="yellow"/>
        </w:rPr>
      </w:pPr>
      <w:r>
        <w:rPr>
          <w:rFonts w:hint="eastAsia" w:ascii="宋体" w:hAnsi="宋体" w:eastAsia="宋体" w:cs="宋体"/>
          <w:b w:val="0"/>
          <w:bCs w:val="0"/>
          <w:color w:val="000000"/>
          <w:sz w:val="24"/>
          <w:highlight w:val="none"/>
        </w:rPr>
        <w:t xml:space="preserve">本项目是否接受联合体：否。</w:t>
      </w:r>
      <w:r/>
    </w:p>
    <w:p>
      <w:pPr>
        <w:pStyle w:val="1112"/>
        <w:jc w:val="left"/>
        <w:spacing w:before="0" w:after="0" w:line="360" w:lineRule="auto"/>
        <w:rPr>
          <w:rFonts w:hint="eastAsia" w:ascii="宋体" w:hAnsi="宋体" w:eastAsia="宋体" w:cs="宋体"/>
          <w:color w:val="000000"/>
          <w:sz w:val="24"/>
          <w:szCs w:val="24"/>
        </w:rPr>
      </w:pPr>
      <w:r/>
      <w:bookmarkStart w:id="6" w:name="_Toc35393791"/>
      <w:r/>
      <w:bookmarkStart w:id="7" w:name="_Toc28359003"/>
      <w:r/>
      <w:bookmarkStart w:id="8" w:name="_Toc28359080"/>
      <w:r/>
      <w:bookmarkStart w:id="9" w:name="_Toc35393622"/>
      <w:r>
        <w:rPr>
          <w:rFonts w:hint="eastAsia" w:ascii="宋体" w:hAnsi="宋体" w:eastAsia="宋体" w:cs="宋体"/>
          <w:color w:val="000000"/>
          <w:sz w:val="24"/>
          <w:szCs w:val="24"/>
        </w:rPr>
        <w:t xml:space="preserve">二、申请人的资格要求（须同时满足）</w:t>
      </w:r>
      <w:bookmarkEnd w:id="6"/>
      <w:r/>
      <w:bookmarkEnd w:id="7"/>
      <w:r/>
      <w:bookmarkEnd w:id="8"/>
      <w:r/>
      <w:bookmarkEnd w:id="9"/>
      <w:r/>
      <w:r/>
    </w:p>
    <w:p>
      <w:pPr>
        <w:ind w:firstLine="480"/>
        <w:spacing w:line="360" w:lineRule="auto"/>
        <w:rPr>
          <w:rFonts w:hint="eastAsia" w:ascii="宋体" w:hAnsi="宋体" w:eastAsia="宋体" w:cs="宋体"/>
          <w:color w:val="000000"/>
          <w:sz w:val="24"/>
        </w:rPr>
      </w:pPr>
      <w:r/>
      <w:bookmarkStart w:id="10" w:name="_Toc28359081"/>
      <w:r/>
      <w:bookmarkStart w:id="11" w:name="_Toc28359004"/>
      <w:r>
        <w:rPr>
          <w:rFonts w:hint="eastAsia" w:ascii="宋体" w:hAnsi="宋体" w:eastAsia="宋体" w:cs="宋体"/>
          <w:color w:val="000000"/>
          <w:sz w:val="24"/>
        </w:rPr>
        <w:t xml:space="preserve">1.满足《中华人民共和国政府采购法》第二十二条规定以及下列情形：</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中小企业政策</w:t>
      </w:r>
      <w:r/>
    </w:p>
    <w:p>
      <w:pPr>
        <w:ind w:firstLine="480"/>
        <w:spacing w:line="360" w:lineRule="auto"/>
        <w:rPr>
          <w:rFonts w:hint="eastAsia" w:ascii="宋体" w:hAnsi="宋体" w:eastAsia="宋体" w:cs="宋体"/>
          <w:b/>
          <w:bCs/>
          <w:color w:val="000000"/>
          <w:sz w:val="24"/>
          <w:highlight w:val="yellow"/>
        </w:rPr>
      </w:pPr>
      <w:r>
        <w:rPr>
          <w:rFonts w:hint="eastAsia" w:ascii="宋体" w:hAnsi="宋体" w:eastAsia="宋体" w:cs="宋体"/>
          <w:b/>
          <w:bCs/>
          <w:color w:val="000000"/>
          <w:sz w:val="24"/>
          <w:highlight w:val="white"/>
        </w:rPr>
        <w:t xml:space="preserve">本项目专门面向中小企业采购。即：提供的服务全部由符合政策要求的中小企业承接。</w:t>
      </w:r>
      <w:r/>
    </w:p>
    <w:p>
      <w:pPr>
        <w:ind w:firstLine="480"/>
        <w:spacing w:line="360" w:lineRule="auto"/>
        <w:rPr>
          <w:rFonts w:hint="eastAsia" w:ascii="宋体" w:hAnsi="宋体" w:eastAsia="宋体" w:cs="宋体"/>
          <w:i/>
          <w:iCs/>
          <w:color w:val="000000"/>
          <w:sz w:val="24"/>
          <w:u w:val="single"/>
        </w:rPr>
      </w:pPr>
      <w:r>
        <w:rPr>
          <w:rFonts w:hint="eastAsia" w:ascii="宋体" w:hAnsi="宋体" w:eastAsia="宋体" w:cs="宋体"/>
          <w:color w:val="000000"/>
          <w:sz w:val="24"/>
        </w:rPr>
        <w:t xml:space="preserve">3.本项目的特定资格要求：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3.1本项目是否接受分支机构参与磋商：否。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3.2本项目是否属于政府购买服务：</w:t>
      </w:r>
      <w:r>
        <w:rPr>
          <w:rFonts w:hint="eastAsia" w:ascii="宋体" w:hAnsi="宋体" w:eastAsia="宋体" w:cs="宋体"/>
          <w:b/>
          <w:bCs/>
          <w:color w:val="000000"/>
          <w:sz w:val="24"/>
          <w:highlight w:val="none"/>
        </w:rPr>
        <w:t xml:space="preserve">是，</w:t>
      </w:r>
      <w:r>
        <w:rPr>
          <w:rFonts w:hint="eastAsia" w:ascii="宋体" w:hAnsi="宋体" w:eastAsia="宋体" w:cs="宋体"/>
          <w:color w:val="000000"/>
          <w:sz w:val="24"/>
        </w:rPr>
        <w:t xml:space="preserve">公益一类事业单位、使用事业编制且由财政拨款保障的群团组织，不得作为承接主体。</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3.3其他特</w:t>
      </w:r>
      <w:r>
        <w:rPr>
          <w:rFonts w:hint="eastAsia" w:ascii="宋体" w:hAnsi="宋体" w:eastAsia="宋体" w:cs="宋体"/>
          <w:color w:val="000000"/>
          <w:sz w:val="24"/>
        </w:rPr>
        <w:t xml:space="preserve">定资格要求：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（1）供应商具备市政公用工程施工总承包三级及以上资质证书；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（2）供应商具有省级及以上行政主管部门颁发的在有效期内的《安全生产许可证》； </w:t>
      </w:r>
      <w:r/>
    </w:p>
    <w:p>
      <w:pPr>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lang w:val="en-US" w:eastAsia="zh-CN"/>
        </w:rPr>
        <w:t xml:space="preserve">（3）项目负责人具备市政公用工程二级及以上的注册建造师证书及安全生产考核合格证（B证）</w:t>
      </w:r>
      <w:r>
        <w:rPr>
          <w:rFonts w:hint="eastAsia" w:ascii="宋体" w:hAnsi="宋体" w:cs="宋体"/>
          <w:color w:val="000000"/>
          <w:sz w:val="24"/>
          <w:lang w:val="en-US" w:eastAsia="zh-CN"/>
        </w:rPr>
        <w:t xml:space="preserve">。</w:t>
      </w:r>
      <w:bookmarkEnd w:id="10"/>
      <w:r/>
      <w:bookmarkEnd w:id="11"/>
      <w:r/>
      <w:r/>
    </w:p>
    <w:p>
      <w:pPr>
        <w:pStyle w:val="1112"/>
        <w:jc w:val="left"/>
        <w:spacing w:before="0" w:after="0" w:line="360" w:lineRule="auto"/>
        <w:widowControl/>
        <w:rPr>
          <w:rFonts w:hint="eastAsia" w:ascii="宋体" w:hAnsi="宋体" w:eastAsia="宋体" w:cs="宋体"/>
          <w:color w:val="000000"/>
          <w:sz w:val="24"/>
          <w:szCs w:val="24"/>
        </w:rPr>
      </w:pPr>
      <w:r/>
      <w:bookmarkStart w:id="12" w:name="_Toc35393792"/>
      <w:r/>
      <w:bookmarkStart w:id="13" w:name="_Toc35393623"/>
      <w:r>
        <w:rPr>
          <w:rFonts w:hint="eastAsia" w:ascii="宋体" w:hAnsi="宋体" w:eastAsia="宋体" w:cs="宋体"/>
          <w:color w:val="000000"/>
          <w:sz w:val="24"/>
          <w:szCs w:val="24"/>
        </w:rPr>
        <w:t xml:space="preserve">三、获取磋商文件</w:t>
      </w:r>
      <w:bookmarkEnd w:id="12"/>
      <w:r/>
      <w:bookmarkEnd w:id="13"/>
      <w:r/>
      <w:r/>
    </w:p>
    <w:p>
      <w:pPr>
        <w:ind w:firstLine="540"/>
        <w:spacing w:line="360" w:lineRule="auto"/>
        <w:rPr>
          <w:rFonts w:hint="eastAsia" w:ascii="宋体" w:hAnsi="宋体" w:eastAsia="宋体" w:cs="宋体"/>
          <w:b/>
          <w:color w:val="000000"/>
          <w:sz w:val="24"/>
        </w:rPr>
      </w:pPr>
      <w:r/>
      <w:bookmarkStart w:id="14" w:name="_Toc35393624"/>
      <w:r/>
      <w:bookmarkStart w:id="15" w:name="_Toc28359005"/>
      <w:r/>
      <w:bookmarkStart w:id="16" w:name="_Toc28359082"/>
      <w:r/>
      <w:bookmarkStart w:id="17" w:name="_Toc35393793"/>
      <w:r>
        <w:rPr>
          <w:rFonts w:hint="eastAsia" w:ascii="宋体" w:hAnsi="宋体" w:eastAsia="宋体" w:cs="宋体"/>
          <w:color w:val="000000"/>
          <w:sz w:val="24"/>
        </w:rPr>
        <w:t xml:space="preserve">时间：</w:t>
      </w:r>
      <w:r>
        <w:rPr>
          <w:rFonts w:hint="eastAsia" w:ascii="宋体" w:hAnsi="宋体" w:eastAsia="宋体" w:cs="宋体"/>
          <w:color w:val="000000"/>
          <w:sz w:val="24"/>
          <w:lang w:bidi="ar"/>
        </w:rPr>
        <w:t xml:space="preserve">自本公告发布之日起5个工作日</w:t>
      </w:r>
      <w:r>
        <w:rPr>
          <w:rFonts w:hint="eastAsia" w:ascii="宋体" w:hAnsi="宋体" w:eastAsia="宋体" w:cs="宋体"/>
          <w:color w:val="000000"/>
          <w:sz w:val="24"/>
        </w:rPr>
        <w:t xml:space="preserve">。</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地点：“苏采云”政府采购一体化平台。</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方式：供应商持CA数字认证证书登录“苏采云”政府采购一体化平台（http</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//jszfcg.jsczt.cn/jszc/login）获取电子版</w:t>
      </w:r>
      <w:r>
        <w:rPr>
          <w:rFonts w:hint="eastAsia" w:ascii="宋体" w:hAnsi="宋体" w:cs="宋体"/>
          <w:color w:val="000000"/>
          <w:sz w:val="24"/>
          <w:lang w:val="en-US" w:eastAsia="zh-CN"/>
        </w:rPr>
        <w:t xml:space="preserve">磋商</w:t>
      </w:r>
      <w:r>
        <w:rPr>
          <w:rFonts w:hint="eastAsia" w:ascii="宋体" w:hAnsi="宋体" w:eastAsia="宋体" w:cs="宋体"/>
          <w:color w:val="000000"/>
          <w:sz w:val="24"/>
        </w:rPr>
        <w:t xml:space="preserve">文件。</w:t>
      </w:r>
      <w:r/>
    </w:p>
    <w:p>
      <w:pPr>
        <w:ind w:firstLine="54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售价：</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元。</w:t>
      </w:r>
      <w:r/>
    </w:p>
    <w:p>
      <w:pPr>
        <w:pStyle w:val="1112"/>
        <w:jc w:val="left"/>
        <w:spacing w:before="0" w:after="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w:t>
      </w:r>
      <w:bookmarkEnd w:id="14"/>
      <w:r/>
      <w:bookmarkEnd w:id="15"/>
      <w:r/>
      <w:bookmarkEnd w:id="16"/>
      <w:r/>
      <w:bookmarkEnd w:id="17"/>
      <w:r>
        <w:rPr>
          <w:rFonts w:hint="eastAsia" w:ascii="宋体" w:hAnsi="宋体" w:eastAsia="宋体" w:cs="宋体"/>
          <w:color w:val="000000"/>
          <w:sz w:val="24"/>
          <w:szCs w:val="24"/>
        </w:rPr>
        <w:t xml:space="preserve">响应文件提交</w:t>
      </w:r>
      <w:r/>
    </w:p>
    <w:p>
      <w:pPr>
        <w:ind w:firstLine="480"/>
        <w:spacing w:line="360" w:lineRule="auto"/>
        <w:rPr>
          <w:rFonts w:hint="eastAsia" w:ascii="宋体" w:hAnsi="宋体" w:eastAsia="宋体" w:cs="宋体"/>
          <w:bCs/>
          <w:color w:val="000000"/>
          <w:sz w:val="24"/>
          <w:u w:val="single"/>
        </w:rPr>
      </w:pPr>
      <w:r/>
      <w:bookmarkStart w:id="18" w:name="_Hlk149911415"/>
      <w:r>
        <w:rPr>
          <w:rFonts w:hint="eastAsia" w:ascii="宋体" w:hAnsi="宋体" w:eastAsia="宋体" w:cs="宋体"/>
          <w:color w:val="000000"/>
          <w:sz w:val="24"/>
        </w:rPr>
        <w:t xml:space="preserve">截止时间</w:t>
      </w:r>
      <w:r>
        <w:rPr>
          <w:rFonts w:hint="eastAsia" w:ascii="宋体" w:hAnsi="宋体" w:eastAsia="宋体" w:cs="宋体"/>
          <w:color w:val="000000"/>
          <w:sz w:val="24"/>
          <w:lang w:bidi="ar"/>
        </w:rPr>
        <w:t xml:space="preserve">：</w:t>
      </w:r>
      <w:r>
        <w:rPr>
          <w:rFonts w:hint="eastAsia" w:ascii="宋体" w:hAnsi="宋体" w:eastAsia="宋体" w:cs="宋体"/>
          <w:b/>
          <w:bCs/>
          <w:color w:val="000000"/>
          <w:sz w:val="24"/>
          <w:highlight w:val="white"/>
        </w:rPr>
        <w:t xml:space="preserve">202</w:t>
      </w: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rPr>
        <w:t xml:space="preserve">年</w:t>
      </w:r>
      <w:r>
        <w:rPr>
          <w:rFonts w:hint="eastAsia" w:ascii="宋体" w:hAnsi="宋体" w:cs="宋体"/>
          <w:b/>
          <w:bCs/>
          <w:color w:val="000000"/>
          <w:sz w:val="24"/>
          <w:highlight w:val="white"/>
          <w:lang w:val="en-US" w:eastAsia="zh-CN"/>
        </w:rPr>
        <w:t xml:space="preserve">06</w:t>
      </w:r>
      <w:r>
        <w:rPr>
          <w:rFonts w:hint="eastAsia" w:ascii="宋体" w:hAnsi="宋体" w:eastAsia="宋体" w:cs="宋体"/>
          <w:b/>
          <w:bCs/>
          <w:color w:val="000000"/>
          <w:sz w:val="24"/>
          <w:highlight w:val="white"/>
        </w:rPr>
        <w:t xml:space="preserve">月08</w:t>
      </w:r>
      <w:r>
        <w:rPr>
          <w:rFonts w:hint="eastAsia" w:ascii="宋体" w:hAnsi="宋体" w:eastAsia="宋体" w:cs="宋体"/>
          <w:b/>
          <w:bCs/>
          <w:color w:val="000000"/>
          <w:sz w:val="24"/>
          <w:highlight w:val="white"/>
        </w:rPr>
        <w:t xml:space="preserve">日</w:t>
      </w:r>
      <w:r>
        <w:rPr>
          <w:rFonts w:hint="eastAsia" w:ascii="宋体" w:hAnsi="宋体" w:eastAsia="宋体" w:cs="宋体"/>
          <w:b/>
          <w:bCs/>
          <w:color w:val="000000"/>
          <w:sz w:val="24"/>
          <w:highlight w:val="white"/>
          <w:lang w:val="en-US" w:eastAsia="zh-CN"/>
        </w:rPr>
        <w:t xml:space="preserve">14</w:t>
      </w:r>
      <w:r>
        <w:rPr>
          <w:rFonts w:hint="eastAsia" w:ascii="宋体" w:hAnsi="宋体" w:cs="宋体"/>
          <w:b/>
          <w:bCs/>
          <w:color w:val="000000"/>
          <w:sz w:val="24"/>
          <w:highlight w:val="white"/>
          <w:lang w:eastAsia="zh-CN"/>
        </w:rPr>
        <w:t xml:space="preserve">：3</w:t>
      </w:r>
      <w:r>
        <w:rPr>
          <w:rFonts w:hint="eastAsia" w:ascii="宋体" w:hAnsi="宋体" w:eastAsia="宋体" w:cs="宋体"/>
          <w:b/>
          <w:bCs/>
          <w:color w:val="000000"/>
          <w:sz w:val="24"/>
          <w:highlight w:val="white"/>
          <w:lang w:val="en-US" w:eastAsia="zh-CN"/>
        </w:rPr>
        <w:t xml:space="preserve">0</w:t>
      </w:r>
      <w:r>
        <w:rPr>
          <w:rFonts w:hint="eastAsia" w:ascii="宋体" w:hAnsi="宋体" w:eastAsia="宋体" w:cs="宋体"/>
          <w:color w:val="000000"/>
          <w:sz w:val="24"/>
        </w:rPr>
        <w:t xml:space="preserve">（北京时间）。</w:t>
      </w:r>
      <w:r/>
    </w:p>
    <w:p>
      <w:pPr>
        <w:ind w:firstLine="480"/>
        <w:spacing w:line="360" w:lineRule="auto"/>
        <w:rPr>
          <w:rFonts w:hint="eastAsia" w:ascii="宋体" w:hAnsi="宋体" w:eastAsia="宋体" w:cs="宋体"/>
          <w:color w:val="000000"/>
          <w:sz w:val="24"/>
          <w:lang w:val="zh-TW" w:bidi="ar"/>
        </w:rPr>
      </w:pPr>
      <w:r>
        <w:rPr>
          <w:rFonts w:hint="eastAsia" w:ascii="宋体" w:hAnsi="宋体" w:eastAsia="宋体" w:cs="宋体"/>
          <w:color w:val="000000"/>
          <w:sz w:val="24"/>
          <w:lang w:bidi="ar"/>
        </w:rPr>
        <w:t xml:space="preserve">地点：</w:t>
      </w:r>
      <w:r>
        <w:rPr>
          <w:rFonts w:hint="eastAsia" w:ascii="宋体" w:hAnsi="宋体" w:eastAsia="宋体" w:cs="宋体"/>
          <w:color w:val="000000"/>
          <w:sz w:val="24"/>
        </w:rPr>
        <w:t xml:space="preserve">“苏采云”政府采购一体化平台</w:t>
      </w:r>
      <w:r>
        <w:rPr>
          <w:rFonts w:hint="eastAsia" w:ascii="宋体" w:hAnsi="宋体" w:eastAsia="宋体" w:cs="宋体"/>
          <w:color w:val="000000"/>
          <w:sz w:val="24"/>
          <w:lang w:val="zh-TW" w:bidi="ar"/>
        </w:rPr>
        <w:t xml:space="preserve">。</w:t>
      </w:r>
      <w:bookmarkEnd w:id="18"/>
      <w:r/>
      <w:r/>
    </w:p>
    <w:p>
      <w:pPr>
        <w:pStyle w:val="1112"/>
        <w:jc w:val="left"/>
        <w:spacing w:before="0" w:after="0" w:line="360" w:lineRule="auto"/>
        <w:rPr>
          <w:rFonts w:hint="eastAsia" w:ascii="宋体" w:hAnsi="宋体" w:eastAsia="宋体" w:cs="宋体"/>
          <w:color w:val="000000"/>
          <w:sz w:val="24"/>
          <w:szCs w:val="24"/>
        </w:rPr>
      </w:pPr>
      <w:r/>
      <w:bookmarkStart w:id="19" w:name="_Toc28359084"/>
      <w:r/>
      <w:bookmarkStart w:id="20" w:name="_Toc35393794"/>
      <w:r/>
      <w:bookmarkStart w:id="21" w:name="_Toc28359007"/>
      <w:r/>
      <w:bookmarkStart w:id="22" w:name="_Toc35393625"/>
      <w:r>
        <w:rPr>
          <w:rFonts w:hint="eastAsia" w:ascii="宋体" w:hAnsi="宋体" w:eastAsia="宋体" w:cs="宋体"/>
          <w:color w:val="000000"/>
          <w:sz w:val="24"/>
          <w:szCs w:val="24"/>
        </w:rPr>
        <w:t xml:space="preserve">五、开启</w:t>
      </w:r>
      <w:r/>
    </w:p>
    <w:p>
      <w:pPr>
        <w:ind w:firstLine="480"/>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截止时间</w:t>
      </w:r>
      <w:r>
        <w:rPr>
          <w:rFonts w:hint="eastAsia" w:ascii="宋体" w:hAnsi="宋体" w:eastAsia="宋体" w:cs="宋体"/>
          <w:color w:val="000000"/>
          <w:sz w:val="24"/>
          <w:lang w:bidi="ar"/>
        </w:rPr>
        <w:t xml:space="preserve">：</w:t>
      </w:r>
      <w:r>
        <w:rPr>
          <w:rFonts w:hint="eastAsia" w:ascii="宋体" w:hAnsi="宋体" w:eastAsia="宋体" w:cs="宋体"/>
          <w:b/>
          <w:bCs/>
          <w:color w:val="000000"/>
          <w:sz w:val="24"/>
          <w:highlight w:val="white"/>
        </w:rPr>
        <w:t xml:space="preserve">202</w:t>
      </w: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rPr>
        <w:t xml:space="preserve">年</w:t>
      </w:r>
      <w:r>
        <w:rPr>
          <w:rFonts w:hint="eastAsia" w:ascii="宋体" w:hAnsi="宋体" w:cs="宋体"/>
          <w:b/>
          <w:bCs/>
          <w:color w:val="000000"/>
          <w:sz w:val="24"/>
          <w:highlight w:val="white"/>
          <w:lang w:val="en-US" w:eastAsia="zh-CN"/>
        </w:rPr>
        <w:t xml:space="preserve">06</w:t>
      </w:r>
      <w:r>
        <w:rPr>
          <w:rFonts w:hint="eastAsia" w:ascii="宋体" w:hAnsi="宋体" w:eastAsia="宋体" w:cs="宋体"/>
          <w:b/>
          <w:bCs/>
          <w:color w:val="000000"/>
          <w:sz w:val="24"/>
          <w:highlight w:val="white"/>
        </w:rPr>
        <w:t xml:space="preserve">月08</w:t>
      </w:r>
      <w:r>
        <w:rPr>
          <w:rFonts w:hint="eastAsia" w:ascii="宋体" w:hAnsi="宋体" w:eastAsia="宋体" w:cs="宋体"/>
          <w:b/>
          <w:bCs/>
          <w:color w:val="000000"/>
          <w:sz w:val="24"/>
          <w:highlight w:val="white"/>
        </w:rPr>
        <w:t xml:space="preserve">日14</w:t>
      </w:r>
      <w:r>
        <w:rPr>
          <w:rFonts w:hint="eastAsia" w:ascii="宋体" w:hAnsi="宋体" w:cs="宋体"/>
          <w:b/>
          <w:bCs/>
          <w:color w:val="000000"/>
          <w:sz w:val="24"/>
          <w:highlight w:val="white"/>
          <w:lang w:eastAsia="zh-CN"/>
        </w:rPr>
        <w:t xml:space="preserve">：3</w:t>
      </w:r>
      <w:r>
        <w:rPr>
          <w:rFonts w:hint="eastAsia" w:ascii="宋体" w:hAnsi="宋体" w:eastAsia="宋体" w:cs="宋体"/>
          <w:b/>
          <w:bCs/>
          <w:color w:val="000000"/>
          <w:sz w:val="24"/>
          <w:highlight w:val="white"/>
          <w:lang w:val="en-US" w:eastAsia="zh-CN"/>
        </w:rPr>
        <w:t xml:space="preserve">0</w:t>
      </w:r>
      <w:r>
        <w:rPr>
          <w:rFonts w:hint="eastAsia" w:ascii="宋体" w:hAnsi="宋体" w:eastAsia="宋体" w:cs="宋体"/>
          <w:bCs/>
          <w:color w:val="000000"/>
          <w:sz w:val="24"/>
          <w:lang w:bidi="ar"/>
        </w:rPr>
        <w:t xml:space="preserve">（北京时间）</w:t>
      </w:r>
      <w:r>
        <w:rPr>
          <w:rFonts w:hint="eastAsia" w:ascii="宋体" w:hAnsi="宋体" w:eastAsia="宋体" w:cs="宋体"/>
          <w:iCs/>
          <w:color w:val="000000"/>
          <w:sz w:val="24"/>
          <w:lang w:bidi="ar"/>
        </w:rPr>
        <w:t xml:space="preserve">。</w:t>
      </w:r>
      <w:r/>
    </w:p>
    <w:p>
      <w:pPr>
        <w:ind w:firstLine="480"/>
        <w:spacing w:line="360" w:lineRule="auto"/>
        <w:rPr>
          <w:rFonts w:hint="eastAsia" w:ascii="宋体" w:hAnsi="宋体" w:eastAsia="宋体" w:cs="宋体"/>
          <w:color w:val="000000"/>
        </w:rPr>
      </w:pPr>
      <w:r>
        <w:rPr>
          <w:rFonts w:hint="eastAsia" w:ascii="宋体" w:hAnsi="宋体" w:eastAsia="宋体" w:cs="宋体"/>
          <w:color w:val="000000"/>
          <w:sz w:val="24"/>
          <w:lang w:bidi="ar"/>
        </w:rPr>
        <w:t xml:space="preserve">地点：</w:t>
      </w:r>
      <w:r>
        <w:rPr>
          <w:rFonts w:hint="eastAsia" w:ascii="宋体" w:hAnsi="宋体" w:eastAsia="宋体" w:cs="宋体"/>
          <w:color w:val="000000"/>
          <w:sz w:val="24"/>
        </w:rPr>
        <w:t xml:space="preserve">“苏采云”政府采购交易系统网上开标大厅</w:t>
      </w:r>
      <w:r>
        <w:rPr>
          <w:rFonts w:hint="eastAsia" w:ascii="宋体" w:hAnsi="宋体" w:eastAsia="宋体" w:cs="宋体"/>
          <w:color w:val="000000"/>
          <w:sz w:val="24"/>
          <w:lang w:val="zh-TW" w:bidi="ar"/>
        </w:rPr>
        <w:t xml:space="preserve">。</w:t>
      </w:r>
      <w:r/>
    </w:p>
    <w:p>
      <w:pPr>
        <w:pStyle w:val="1112"/>
        <w:jc w:val="left"/>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六、公告期限</w:t>
      </w:r>
      <w:bookmarkEnd w:id="19"/>
      <w:r/>
      <w:bookmarkEnd w:id="20"/>
      <w:r/>
      <w:bookmarkEnd w:id="21"/>
      <w:r/>
      <w:bookmarkEnd w:id="22"/>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自本公告发布之日起3个工作日。</w:t>
      </w:r>
      <w:bookmarkStart w:id="23" w:name="_Toc35393795"/>
      <w:r/>
      <w:bookmarkStart w:id="24" w:name="_Toc35393626"/>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szCs w:val="24"/>
        </w:rPr>
        <w:t xml:space="preserve">七、其他补充事宜</w:t>
      </w:r>
      <w:bookmarkEnd w:id="23"/>
      <w:r/>
      <w:bookmarkEnd w:id="24"/>
      <w:r/>
      <w:bookmarkStart w:id="25" w:name="_Toc28359085"/>
      <w:r/>
      <w:bookmarkStart w:id="26" w:name="_Toc28359008"/>
      <w:r/>
      <w:bookmarkStart w:id="27" w:name="_Toc35393796"/>
      <w:r/>
      <w:bookmarkStart w:id="28" w:name="_Toc35393627"/>
      <w:r/>
      <w:r/>
    </w:p>
    <w:p>
      <w:pPr>
        <w:ind w:firstLine="480"/>
        <w:spacing w:line="360" w:lineRule="auto"/>
        <w:rPr>
          <w:rFonts w:hint="eastAsia" w:ascii="宋体" w:hAnsi="宋体" w:eastAsia="宋体" w:cs="宋体"/>
          <w:color w:val="000000"/>
          <w:sz w:val="24"/>
          <w:lang w:bidi="ar"/>
        </w:rPr>
      </w:pPr>
      <w:r>
        <w:rPr>
          <w:rFonts w:hint="eastAsia" w:ascii="宋体" w:hAnsi="宋体" w:eastAsia="宋体" w:cs="宋体"/>
          <w:color w:val="000000"/>
          <w:sz w:val="24"/>
          <w:szCs w:val="24"/>
          <w:lang w:bidi="ar"/>
        </w:rPr>
        <w:t xml:space="preserve">1</w:t>
      </w:r>
      <w:r>
        <w:rPr>
          <w:rFonts w:hint="eastAsia" w:ascii="宋体" w:hAnsi="宋体" w:cs="宋体"/>
          <w:color w:val="000000"/>
          <w:sz w:val="24"/>
          <w:lang w:eastAsia="zh-CN" w:bidi="ar"/>
        </w:rPr>
        <w:t xml:space="preserve">.</w:t>
      </w:r>
      <w:r>
        <w:rPr>
          <w:rFonts w:hint="eastAsia" w:ascii="宋体" w:hAnsi="宋体" w:eastAsia="宋体" w:cs="宋体"/>
          <w:color w:val="000000"/>
          <w:sz w:val="24"/>
          <w:szCs w:val="24"/>
          <w:lang w:bidi="ar"/>
        </w:rPr>
        <w:t xml:space="preserve">磋商保证金：无需缴纳。</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技术支持服务热线    0519-85588210</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CA认证证书办理（可邮寄）联系电话   0519-85588120</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2.1办理CA认证证书</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供应商登录常州市政府采购网“下载中心”下载并查阅“江苏省政府采购数字证书CA及电子签章办理指南”，按照程序要求办理。</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2.2注册</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2.3控件、客户端下载</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供应商登录常州市政府采购网“下载中心”-“政府采购管理交易系统（苏采云）CA及签章控件驱动”下载相关控件和客户端。</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2.4 获取电子磋商文件</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2.5编制电子响应文件</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2.6提交电子响应文件</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供应商应于响应截止时间前在苏采云政府采购一体化平台提交电子响应文件，上传电子响应文件过程中请保持与互联网的连接畅通。</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2.7电子开标</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2.8注意事项</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3.关于常州市中小企业政府采购信用融资：</w:t>
      </w:r>
      <w:r/>
    </w:p>
    <w:p>
      <w:pPr>
        <w:ind w:firstLine="480"/>
        <w:spacing w:line="360" w:lineRule="auto"/>
        <w:rPr>
          <w:rFonts w:hint="eastAsia" w:ascii="宋体" w:hAnsi="宋体" w:eastAsia="宋体" w:cs="宋体"/>
          <w:b/>
          <w:color w:val="000000"/>
          <w:sz w:val="24"/>
          <w:szCs w:val="24"/>
          <w:lang w:bidi="ar"/>
        </w:rPr>
      </w:pPr>
      <w:r>
        <w:rPr>
          <w:rFonts w:hint="eastAsia" w:ascii="宋体" w:hAnsi="宋体" w:eastAsia="宋体" w:cs="宋体"/>
          <w:color w:val="000000"/>
          <w:sz w:val="24"/>
          <w:szCs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．采购公告内容与采购文件不一致的，以采购文件为准。</w:t>
      </w:r>
      <w:r/>
    </w:p>
    <w:p>
      <w:pPr>
        <w:pStyle w:val="1112"/>
        <w:jc w:val="left"/>
        <w:spacing w:before="0"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八、对本项目提出询问，请按以下方式联系。</w:t>
      </w:r>
      <w:bookmarkEnd w:id="25"/>
      <w:r/>
      <w:bookmarkEnd w:id="26"/>
      <w:r/>
      <w:bookmarkEnd w:id="27"/>
      <w:r/>
      <w:bookmarkEnd w:id="28"/>
      <w:r/>
      <w:r/>
    </w:p>
    <w:p>
      <w:pPr>
        <w:pStyle w:val="1112"/>
        <w:ind w:left="630"/>
        <w:jc w:val="left"/>
        <w:spacing w:before="0" w:after="0" w:line="360" w:lineRule="auto"/>
        <w:rPr>
          <w:rFonts w:hint="eastAsia" w:ascii="宋体" w:hAnsi="宋体" w:eastAsia="宋体" w:cs="宋体"/>
          <w:color w:val="000000"/>
          <w:sz w:val="24"/>
          <w:szCs w:val="24"/>
        </w:rPr>
      </w:pPr>
      <w:r/>
      <w:bookmarkStart w:id="29" w:name="_Toc28359087"/>
      <w:r/>
      <w:bookmarkStart w:id="30" w:name="_Toc28359010"/>
      <w:r>
        <w:rPr>
          <w:rFonts w:hint="eastAsia" w:ascii="宋体" w:hAnsi="宋体" w:eastAsia="宋体" w:cs="宋体"/>
          <w:color w:val="000000"/>
          <w:sz w:val="24"/>
          <w:lang w:val="zh-TW" w:bidi="ar"/>
        </w:rPr>
        <w:t xml:space="preserve"> </w:t>
      </w:r>
      <w:bookmarkStart w:id="31" w:name="_Toc28359096"/>
      <w:r/>
      <w:bookmarkStart w:id="32" w:name="_Toc35393806"/>
      <w:r/>
      <w:bookmarkStart w:id="33" w:name="_Toc28359019"/>
      <w:r/>
      <w:bookmarkStart w:id="34" w:name="_Toc35393637"/>
      <w:r>
        <w:rPr>
          <w:rFonts w:hint="eastAsia" w:ascii="宋体" w:hAnsi="宋体" w:eastAsia="宋体" w:cs="宋体"/>
          <w:color w:val="000000"/>
          <w:sz w:val="24"/>
          <w:szCs w:val="24"/>
        </w:rPr>
        <w:t xml:space="preserve">1.采购人信息</w:t>
      </w:r>
      <w:bookmarkEnd w:id="31"/>
      <w:r/>
      <w:bookmarkEnd w:id="32"/>
      <w:r/>
      <w:bookmarkEnd w:id="33"/>
      <w:r/>
      <w:bookmarkEnd w:id="34"/>
      <w:r/>
      <w:r/>
    </w:p>
    <w:p>
      <w:pPr>
        <w:ind w:firstLine="720"/>
        <w:jc w:val="left"/>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单位名称：</w:t>
      </w:r>
      <w:r>
        <w:rPr>
          <w:rFonts w:hint="eastAsia" w:ascii="宋体" w:hAnsi="宋体" w:eastAsia="宋体" w:cs="宋体"/>
          <w:color w:val="000000"/>
          <w:sz w:val="24"/>
          <w:lang w:eastAsia="zh-CN"/>
        </w:rPr>
        <w:t xml:space="preserve">常州市金坛区金城镇人民政府</w:t>
      </w:r>
      <w:r/>
    </w:p>
    <w:p>
      <w:pPr>
        <w:ind w:firstLine="72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单位地址：常州市金坛区江南路99号</w:t>
      </w:r>
      <w:r/>
    </w:p>
    <w:p>
      <w:pPr>
        <w:ind w:firstLine="720"/>
        <w:jc w:val="left"/>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rPr>
        <w:t xml:space="preserve">联</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人：</w:t>
      </w:r>
      <w:r>
        <w:rPr>
          <w:rFonts w:hint="eastAsia" w:ascii="宋体" w:hAnsi="宋体" w:cs="宋体"/>
          <w:color w:val="000000"/>
          <w:sz w:val="24"/>
          <w:highlight w:val="none"/>
          <w:lang w:val="en-US" w:eastAsia="zh-CN"/>
        </w:rPr>
        <w:t xml:space="preserve">孟</w:t>
      </w:r>
      <w:r>
        <w:rPr>
          <w:rFonts w:hint="eastAsia" w:ascii="宋体" w:hAnsi="宋体" w:eastAsia="宋体" w:cs="宋体"/>
          <w:color w:val="000000"/>
          <w:sz w:val="24"/>
          <w:highlight w:val="none"/>
          <w:lang w:eastAsia="zh-CN"/>
        </w:rPr>
        <w:t xml:space="preserve">先生</w:t>
      </w:r>
      <w:r/>
    </w:p>
    <w:p>
      <w:pPr>
        <w:ind w:firstLine="7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ascii="SimSun" w:hAnsi="SimSun" w:eastAsia="SimSun" w:cs="SimSun"/>
          <w:color w:val="000000"/>
          <w:spacing w:val="2"/>
          <w:sz w:val="24"/>
        </w:rPr>
        <w:t xml:space="preserve">0519-82858579</w:t>
      </w:r>
      <w:r>
        <w:rPr>
          <w:rFonts w:hint="eastAsia" w:ascii="宋体" w:hAnsi="宋体" w:cs="宋体"/>
          <w:color w:val="000000"/>
          <w:spacing w:val="2"/>
          <w:sz w:val="24"/>
          <w:highlight w:val="none"/>
          <w:lang w:val="zh-CN"/>
        </w:rPr>
      </w:r>
      <w:r/>
    </w:p>
    <w:p>
      <w:pPr>
        <w:pStyle w:val="1112"/>
        <w:ind w:left="630"/>
        <w:jc w:val="left"/>
        <w:spacing w:before="0" w:after="0" w:line="360" w:lineRule="auto"/>
        <w:rPr>
          <w:rFonts w:hint="eastAsia" w:ascii="宋体" w:hAnsi="宋体" w:eastAsia="宋体" w:cs="宋体"/>
          <w:color w:val="000000"/>
          <w:sz w:val="24"/>
          <w:szCs w:val="24"/>
        </w:rPr>
      </w:pPr>
      <w:r/>
      <w:bookmarkStart w:id="35" w:name="_Toc35393807"/>
      <w:r/>
      <w:bookmarkStart w:id="36" w:name="_Toc28359020"/>
      <w:r/>
      <w:bookmarkStart w:id="37" w:name="_Toc28359097"/>
      <w:r/>
      <w:bookmarkStart w:id="38" w:name="_Toc35393638"/>
      <w:r>
        <w:rPr>
          <w:rFonts w:hint="eastAsia" w:ascii="宋体" w:hAnsi="宋体" w:eastAsia="宋体" w:cs="宋体"/>
          <w:color w:val="000000"/>
          <w:sz w:val="24"/>
          <w:szCs w:val="24"/>
        </w:rPr>
        <w:t xml:space="preserve">2.采购代理机构信息</w:t>
      </w:r>
      <w:bookmarkEnd w:id="35"/>
      <w:r/>
      <w:bookmarkEnd w:id="36"/>
      <w:r/>
      <w:bookmarkEnd w:id="37"/>
      <w:r/>
      <w:bookmarkEnd w:id="38"/>
      <w:r/>
      <w:r/>
    </w:p>
    <w:p>
      <w:pPr>
        <w:ind w:firstLine="72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单位名称：</w:t>
      </w:r>
      <w:r>
        <w:rPr>
          <w:rFonts w:hint="eastAsia" w:ascii="宋体" w:hAnsi="宋体" w:eastAsia="宋体" w:cs="宋体"/>
          <w:color w:val="000000"/>
          <w:sz w:val="24"/>
          <w:lang w:eastAsia="zh-CN"/>
        </w:rPr>
        <w:t xml:space="preserve">江苏安邦南汇工程咨询有限公司</w:t>
      </w:r>
      <w:r/>
    </w:p>
    <w:p>
      <w:pPr>
        <w:ind w:firstLine="72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zh-CN"/>
        </w:rPr>
        <w:t xml:space="preserve">单位地址：</w:t>
      </w:r>
      <w:r>
        <w:rPr>
          <w:rFonts w:hint="eastAsia" w:ascii="宋体" w:hAnsi="宋体" w:cs="宋体"/>
          <w:color w:val="000000"/>
          <w:sz w:val="24"/>
          <w:lang w:eastAsia="zh-CN"/>
        </w:rPr>
        <w:t xml:space="preserve">常州市金坛区金沙科技金融中心B座</w:t>
      </w:r>
      <w:r>
        <w:rPr>
          <w:rFonts w:hint="eastAsia" w:ascii="宋体" w:hAnsi="宋体" w:cs="宋体"/>
          <w:color w:val="000000"/>
          <w:sz w:val="24"/>
          <w:lang w:val="en-US" w:eastAsia="zh-CN"/>
        </w:rPr>
        <w:t xml:space="preserve">6</w:t>
      </w:r>
      <w:r>
        <w:rPr>
          <w:rFonts w:hint="eastAsia" w:ascii="宋体" w:hAnsi="宋体" w:cs="宋体"/>
          <w:color w:val="000000"/>
          <w:sz w:val="24"/>
          <w:lang w:eastAsia="zh-CN"/>
        </w:rPr>
        <w:t xml:space="preserve">楼</w:t>
      </w:r>
      <w:r/>
    </w:p>
    <w:p>
      <w:pPr>
        <w:ind w:firstLine="7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 系 人：</w:t>
      </w:r>
      <w:r>
        <w:rPr>
          <w:rFonts w:hint="eastAsia" w:ascii="宋体" w:hAnsi="宋体" w:cs="宋体"/>
          <w:color w:val="000000"/>
          <w:sz w:val="24"/>
          <w:lang w:val="en-US" w:eastAsia="zh-CN"/>
        </w:rPr>
        <w:t xml:space="preserve">滕</w:t>
      </w:r>
      <w:r>
        <w:rPr>
          <w:rFonts w:hint="eastAsia" w:ascii="宋体" w:hAnsi="宋体" w:eastAsia="宋体" w:cs="宋体"/>
          <w:color w:val="000000"/>
          <w:sz w:val="24"/>
        </w:rPr>
        <w:t xml:space="preserve">女士</w:t>
      </w:r>
      <w:r/>
    </w:p>
    <w:p>
      <w:pPr>
        <w:ind w:firstLine="72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联系电话：</w:t>
      </w:r>
      <w:r>
        <w:rPr>
          <w:rFonts w:hint="eastAsia" w:ascii="宋体" w:hAnsi="宋体" w:cs="宋体"/>
          <w:color w:val="000000"/>
          <w:spacing w:val="2"/>
          <w:sz w:val="24"/>
          <w:lang w:eastAsia="zh-CN"/>
        </w:rPr>
        <w:t xml:space="preserve">0519-86883618</w:t>
      </w:r>
      <w:r/>
    </w:p>
    <w:p>
      <w:pPr>
        <w:pStyle w:val="1112"/>
        <w:ind w:left="630"/>
        <w:jc w:val="left"/>
        <w:spacing w:before="0" w:after="0" w:line="360" w:lineRule="auto"/>
        <w:rPr>
          <w:rFonts w:hint="eastAsia" w:ascii="宋体" w:hAnsi="宋体" w:eastAsia="宋体" w:cs="宋体"/>
          <w:color w:val="000000"/>
          <w:sz w:val="24"/>
          <w:szCs w:val="24"/>
        </w:rPr>
      </w:pPr>
      <w:r/>
      <w:bookmarkStart w:id="39" w:name="_Toc35393639"/>
      <w:r/>
      <w:bookmarkStart w:id="40" w:name="_Toc28359021"/>
      <w:r/>
      <w:bookmarkStart w:id="41" w:name="_Toc28359098"/>
      <w:r/>
      <w:bookmarkStart w:id="42" w:name="_Toc35393808"/>
      <w:r>
        <w:rPr>
          <w:rFonts w:hint="eastAsia" w:ascii="宋体" w:hAnsi="宋体" w:eastAsia="宋体" w:cs="宋体"/>
          <w:color w:val="000000"/>
          <w:sz w:val="24"/>
          <w:szCs w:val="24"/>
        </w:rPr>
        <w:t xml:space="preserve">3.项目联系方式</w:t>
      </w:r>
      <w:bookmarkEnd w:id="39"/>
      <w:r/>
      <w:bookmarkEnd w:id="40"/>
      <w:r/>
      <w:bookmarkEnd w:id="41"/>
      <w:r/>
      <w:bookmarkEnd w:id="42"/>
      <w:r/>
      <w:r/>
    </w:p>
    <w:p>
      <w:pPr>
        <w:pStyle w:val="1117"/>
        <w:ind w:firstLine="7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hAnsi="宋体" w:cs="宋体"/>
          <w:color w:val="000000"/>
          <w:sz w:val="24"/>
          <w:szCs w:val="24"/>
          <w:lang w:val="en-US" w:eastAsia="zh-CN"/>
        </w:rPr>
        <w:t xml:space="preserve">滕</w:t>
      </w:r>
      <w:r>
        <w:rPr>
          <w:rFonts w:hint="eastAsia" w:ascii="宋体" w:hAnsi="宋体" w:eastAsia="宋体" w:cs="宋体"/>
          <w:color w:val="000000"/>
          <w:sz w:val="24"/>
        </w:rPr>
        <w:t xml:space="preserve">女士</w:t>
      </w:r>
      <w:r/>
    </w:p>
    <w:p>
      <w:pPr>
        <w:ind w:firstLine="720"/>
        <w:spacing w:line="360" w:lineRule="auto"/>
        <w:rPr>
          <w:rFonts w:hint="eastAsia" w:ascii="宋体" w:hAnsi="宋体" w:cs="宋体"/>
          <w:color w:val="000000"/>
          <w:spacing w:val="2"/>
          <w:sz w:val="24"/>
          <w:lang w:eastAsia="zh-CN"/>
        </w:rPr>
      </w:pPr>
      <w:r>
        <w:rPr>
          <w:rFonts w:hint="eastAsia" w:ascii="宋体" w:hAnsi="宋体" w:eastAsia="宋体" w:cs="宋体"/>
          <w:color w:val="000000"/>
          <w:sz w:val="24"/>
        </w:rPr>
        <w:t xml:space="preserve">电话：</w:t>
      </w:r>
      <w:bookmarkEnd w:id="0"/>
      <w:r/>
      <w:bookmarkEnd w:id="29"/>
      <w:r/>
      <w:bookmarkEnd w:id="30"/>
      <w:r/>
      <w:bookmarkStart w:id="43" w:name="_Toc123719646"/>
      <w:r>
        <w:rPr>
          <w:rFonts w:hint="eastAsia" w:ascii="宋体" w:hAnsi="宋体" w:cs="宋体"/>
          <w:color w:val="000000"/>
          <w:spacing w:val="2"/>
          <w:sz w:val="24"/>
          <w:lang w:eastAsia="zh-CN"/>
        </w:rPr>
        <w:t xml:space="preserve">0519-86883618</w:t>
      </w:r>
      <w:r/>
    </w:p>
    <w:p>
      <w:pPr>
        <w:ind w:firstLine="720"/>
        <w:spacing w:line="360" w:lineRule="auto"/>
        <w:rPr>
          <w:rFonts w:hint="eastAsia" w:ascii="宋体" w:hAnsi="宋体" w:cs="宋体"/>
          <w:color w:val="000000"/>
          <w:spacing w:val="2"/>
          <w:sz w:val="24"/>
          <w:lang w:eastAsia="zh-CN"/>
        </w:rPr>
      </w:pPr>
      <w:r>
        <w:rPr>
          <w:rFonts w:hint="eastAsia" w:ascii="宋体" w:hAnsi="宋体" w:cs="宋体"/>
          <w:color w:val="000000"/>
          <w:spacing w:val="2"/>
          <w:sz w:val="24"/>
          <w:lang w:eastAsia="zh-CN"/>
        </w:rPr>
      </w:r>
      <w:r/>
    </w:p>
    <w:p>
      <w:pPr>
        <w:ind w:firstLine="72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以上个人信息，由于工作需要经机构或本人同意对外公布。</w:t>
      </w:r>
      <w:r/>
    </w:p>
    <w:p>
      <w:pPr>
        <w:pStyle w:val="1111"/>
        <w:jc w:val="both"/>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6"/>
        <w:rPr>
          <w:rFonts w:hint="eastAsia" w:ascii="宋体" w:hAnsi="宋体" w:eastAsia="宋体" w:cs="宋体"/>
          <w:color w:val="000000"/>
        </w:rPr>
      </w:pPr>
      <w:r>
        <w:rPr>
          <w:rFonts w:hint="eastAsia" w:ascii="宋体" w:hAnsi="宋体" w:eastAsia="宋体" w:cs="宋体"/>
          <w:color w:val="000000"/>
        </w:rPr>
      </w:r>
      <w:r/>
    </w:p>
    <w:p>
      <w:pPr>
        <w:pStyle w:val="1111"/>
        <w:jc w:val="both"/>
        <w:rPr>
          <w:rFonts w:hint="eastAsia" w:ascii="宋体" w:hAnsi="宋体" w:eastAsia="宋体" w:cs="宋体"/>
          <w:color w:val="000000"/>
        </w:rPr>
        <w:sectPr>
          <w:footerReference w:type="default" r:id="rId13"/>
          <w:footnotePr/>
          <w:endnotePr/>
          <w:type w:val="nextPage"/>
          <w:pgSz w:w="11906" w:h="16838" w:orient="portrait"/>
          <w:pgMar w:top="1440" w:right="1587" w:bottom="1440" w:left="1587" w:header="851" w:footer="992" w:gutter="0"/>
          <w:cols w:num="1" w:sep="0" w:space="1701" w:equalWidth="1"/>
          <w:docGrid w:linePitch="360"/>
        </w:sectPr>
      </w:pPr>
      <w:r>
        <w:rPr>
          <w:rFonts w:hint="eastAsia" w:ascii="宋体" w:hAnsi="宋体" w:eastAsia="宋体" w:cs="宋体"/>
          <w:color w:val="000000"/>
        </w:rPr>
      </w:r>
      <w:r/>
    </w:p>
    <w:p>
      <w:pPr>
        <w:pStyle w:val="1111"/>
        <w:jc w:val="center"/>
        <w:rPr>
          <w:rFonts w:hint="eastAsia" w:ascii="宋体" w:hAnsi="宋体" w:eastAsia="宋体" w:cs="宋体"/>
          <w:color w:val="000000"/>
        </w:rPr>
      </w:pPr>
      <w:r>
        <w:rPr>
          <w:rFonts w:hint="eastAsia" w:ascii="宋体" w:hAnsi="宋体" w:eastAsia="宋体" w:cs="宋体"/>
          <w:color w:val="000000"/>
        </w:rPr>
        <w:t xml:space="preserve">第二章 供应商须知</w:t>
      </w:r>
      <w:bookmarkEnd w:id="43"/>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供应商须知资料表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本表是对供应商须知的具体补充和修改，如有矛盾，均以本资料表为准。标记“</w:t>
      </w: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”的选项意为适用于本项目，标记“</w:t>
      </w:r>
      <w:r>
        <w:rPr>
          <w:rFonts w:hint="eastAsia" w:ascii="宋体" w:hAnsi="宋体" w:eastAsia="宋体" w:cs="宋体"/>
          <w:color w:val="000000"/>
        </w:rPr>
        <w:t xml:space="preserve">□</w:t>
      </w:r>
      <w:r>
        <w:rPr>
          <w:rFonts w:hint="eastAsia" w:ascii="宋体" w:hAnsi="宋体" w:eastAsia="宋体" w:cs="宋体"/>
          <w:color w:val="000000"/>
          <w:sz w:val="24"/>
        </w:rPr>
        <w:t xml:space="preserve">”的选项意为不适用于本项目。</w:t>
      </w:r>
      <w:r/>
    </w:p>
    <w:tbl>
      <w:tblPr>
        <w:tblStyle w:val="940"/>
        <w:tblW w:w="89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843"/>
        <w:gridCol w:w="5926"/>
      </w:tblGrid>
      <w:tr>
        <w:trPr>
          <w:jc w:val="center"/>
          <w:trHeight w:val="581"/>
          <w:tblHeader/>
        </w:trPr>
        <w:tc>
          <w:tcPr>
            <w:tcW w:w="1166" w:type="dxa"/>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条款号</w:t>
            </w:r>
            <w:r/>
          </w:p>
        </w:tc>
        <w:tc>
          <w:tcPr>
            <w:tcW w:w="1843" w:type="dxa"/>
            <w:vAlign w:val="center"/>
            <w:textDirection w:val="lrTb"/>
            <w:noWrap w:val="false"/>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条目</w:t>
            </w:r>
            <w:r/>
          </w:p>
        </w:tc>
        <w:tc>
          <w:tcPr>
            <w:tcW w:w="5926"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内容</w:t>
            </w:r>
            <w:r/>
          </w:p>
        </w:tc>
      </w:tr>
      <w:tr>
        <w:trPr>
          <w:jc w:val="center"/>
          <w:trHeight w:val="1207"/>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项目属性</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项目属性：</w:t>
            </w:r>
            <w:r/>
          </w:p>
          <w:p>
            <w:pPr>
              <w:jc w:val="left"/>
              <w:rPr>
                <w:rFonts w:hint="eastAsia" w:ascii="宋体" w:hAnsi="宋体" w:eastAsia="宋体" w:cs="宋体"/>
                <w:color w:val="000000"/>
                <w:sz w:val="24"/>
              </w:rPr>
            </w:pP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服务</w:t>
            </w:r>
            <w:r/>
          </w:p>
          <w:p>
            <w:pPr>
              <w:jc w:val="left"/>
              <w:rPr>
                <w:rFonts w:hint="eastAsia" w:ascii="宋体" w:hAnsi="宋体" w:eastAsia="宋体" w:cs="宋体"/>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货物</w:t>
            </w:r>
            <w:r/>
          </w:p>
          <w:p>
            <w:pPr>
              <w:jc w:val="left"/>
              <w:rPr>
                <w:rFonts w:hint="eastAsia" w:ascii="宋体" w:hAnsi="宋体" w:eastAsia="宋体" w:cs="宋体"/>
                <w:color w:val="000000"/>
                <w:sz w:val="24"/>
                <w:u w:val="single"/>
              </w:rPr>
            </w:pPr>
            <w:r>
              <w:rPr>
                <w:rFonts w:hint="eastAsia" w:ascii="宋体" w:hAnsi="宋体" w:eastAsia="宋体" w:cs="宋体"/>
                <w:color w:val="000000"/>
                <w:sz w:val="24"/>
              </w:rPr>
              <w:t xml:space="preserve">□工程</w:t>
            </w:r>
            <w:r/>
          </w:p>
        </w:tc>
      </w:tr>
      <w:tr>
        <w:trPr>
          <w:jc w:val="center"/>
          <w:trHeight w:val="907"/>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科研仪器设备</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是否属于科研仪器设备采购项目：</w:t>
            </w:r>
            <w:r/>
          </w:p>
          <w:p>
            <w:pPr>
              <w:jc w:val="left"/>
              <w:rPr>
                <w:rFonts w:hint="eastAsia" w:ascii="宋体" w:hAnsi="宋体" w:eastAsia="宋体" w:cs="宋体"/>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是</w:t>
            </w:r>
            <w:r/>
          </w:p>
          <w:p>
            <w:pPr>
              <w:jc w:val="left"/>
              <w:rPr>
                <w:rFonts w:hint="eastAsia" w:ascii="宋体" w:hAnsi="宋体" w:eastAsia="宋体" w:cs="宋体"/>
                <w:color w:val="000000"/>
                <w:sz w:val="24"/>
              </w:rPr>
            </w:pP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否</w:t>
            </w:r>
            <w:r/>
          </w:p>
        </w:tc>
      </w:tr>
      <w:tr>
        <w:trPr>
          <w:jc w:val="center"/>
          <w:trHeight w:val="432"/>
        </w:trPr>
        <w:tc>
          <w:tcPr>
            <w:tcW w:w="1166"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现场考察</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不组织</w:t>
            </w:r>
            <w:r/>
          </w:p>
          <w:p>
            <w:pPr>
              <w:jc w:val="left"/>
              <w:rPr>
                <w:rFonts w:hint="eastAsia" w:ascii="宋体" w:hAnsi="宋体" w:eastAsia="宋体" w:cs="宋体"/>
                <w:bCs/>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组织，考察时间：___</w:t>
            </w:r>
            <w:r>
              <w:rPr>
                <w:rFonts w:hint="eastAsia" w:ascii="宋体" w:hAnsi="宋体" w:eastAsia="宋体" w:cs="宋体"/>
                <w:color w:val="000000"/>
                <w:sz w:val="24"/>
                <w:lang w:bidi="ar"/>
              </w:rPr>
              <w:t xml:space="preserve">年</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月</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日</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点</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分</w:t>
            </w:r>
            <w:r/>
          </w:p>
          <w:p>
            <w:pPr>
              <w:pStyle w:val="1117"/>
              <w:rPr>
                <w:rFonts w:hint="eastAsia" w:ascii="宋体" w:hAnsi="宋体" w:eastAsia="宋体" w:cs="宋体"/>
                <w:color w:val="000000"/>
                <w:sz w:val="24"/>
                <w:szCs w:val="24"/>
              </w:rPr>
            </w:pPr>
            <w:r>
              <w:rPr>
                <w:rFonts w:hint="eastAsia" w:ascii="宋体" w:hAnsi="宋体" w:eastAsia="宋体" w:cs="宋体"/>
                <w:color w:val="000000"/>
                <w:sz w:val="24"/>
              </w:rPr>
              <w:t xml:space="preserve">考察地点：___________。</w:t>
            </w:r>
            <w:r/>
          </w:p>
        </w:tc>
      </w:tr>
      <w:tr>
        <w:trPr>
          <w:jc w:val="center"/>
          <w:trHeight w:val="422"/>
        </w:trPr>
        <w:tc>
          <w:tcPr>
            <w:tcW w:w="1166"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磋商前答疑会</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不召开</w:t>
            </w:r>
            <w:r/>
          </w:p>
          <w:p>
            <w:pPr>
              <w:jc w:val="left"/>
              <w:rPr>
                <w:rFonts w:hint="eastAsia" w:ascii="宋体" w:hAnsi="宋体" w:eastAsia="宋体" w:cs="宋体"/>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召开，召开时间：___</w:t>
            </w:r>
            <w:r>
              <w:rPr>
                <w:rFonts w:hint="eastAsia" w:ascii="宋体" w:hAnsi="宋体" w:eastAsia="宋体" w:cs="宋体"/>
                <w:color w:val="000000"/>
                <w:sz w:val="24"/>
                <w:lang w:bidi="ar"/>
              </w:rPr>
              <w:t xml:space="preserve">年</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月</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日</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点</w:t>
            </w:r>
            <w:r>
              <w:rPr>
                <w:rFonts w:hint="eastAsia" w:ascii="宋体" w:hAnsi="宋体" w:eastAsia="宋体" w:cs="宋体"/>
                <w:color w:val="000000"/>
                <w:sz w:val="24"/>
              </w:rPr>
              <w:t xml:space="preserve">___</w:t>
            </w:r>
            <w:r>
              <w:rPr>
                <w:rFonts w:hint="eastAsia" w:ascii="宋体" w:hAnsi="宋体" w:eastAsia="宋体" w:cs="宋体"/>
                <w:color w:val="000000"/>
                <w:sz w:val="24"/>
                <w:lang w:bidi="ar"/>
              </w:rPr>
              <w:t xml:space="preserve">分</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召开地点：___________。</w:t>
            </w:r>
            <w:r/>
          </w:p>
        </w:tc>
      </w:tr>
      <w:tr>
        <w:trPr>
          <w:jc w:val="center"/>
          <w:trHeight w:val="634"/>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标的所属行业</w:t>
            </w:r>
            <w:r/>
          </w:p>
        </w:tc>
        <w:tc>
          <w:tcPr>
            <w:tcW w:w="5926"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rPr>
              <w:t xml:space="preserve">本项目采购标的对应的中小企业划分标准所属行业：</w:t>
            </w:r>
            <w:r>
              <w:rPr>
                <w:rFonts w:hint="eastAsia" w:ascii="宋体" w:hAnsi="宋体" w:eastAsia="宋体" w:cs="宋体"/>
                <w:b/>
                <w:bCs/>
                <w:color w:val="000000"/>
                <w:sz w:val="24"/>
                <w:highlight w:val="white"/>
                <w:u w:val="single"/>
              </w:rPr>
              <w:t xml:space="preserve">其他未列明行业</w:t>
            </w:r>
            <w:r>
              <w:rPr>
                <w:rFonts w:hint="eastAsia" w:ascii="宋体" w:hAnsi="宋体" w:eastAsia="宋体" w:cs="宋体"/>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907"/>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报价的特殊规定：</w:t>
            </w:r>
            <w:r/>
          </w:p>
          <w:p>
            <w:pPr>
              <w:jc w:val="left"/>
              <w:rPr>
                <w:rFonts w:hint="eastAsia" w:ascii="宋体" w:hAnsi="宋体" w:eastAsia="宋体" w:cs="宋体"/>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无</w:t>
            </w:r>
            <w:r/>
          </w:p>
          <w:p>
            <w:pPr>
              <w:rPr>
                <w:rFonts w:hint="eastAsia" w:ascii="宋体" w:hAnsi="宋体" w:eastAsia="宋体" w:cs="宋体"/>
                <w:color w:val="000000"/>
                <w:sz w:val="24"/>
                <w:szCs w:val="24"/>
              </w:rPr>
            </w:pPr>
            <w:r>
              <w:rPr>
                <w:rFonts w:hint="eastAsia" w:ascii="宋体" w:hAnsi="宋体" w:eastAsia="宋体" w:cs="宋体"/>
                <w:b/>
                <w:color w:val="000000"/>
                <w:szCs w:val="21"/>
              </w:rPr>
              <w:t xml:space="preserve">■</w:t>
            </w:r>
            <w:r>
              <w:rPr>
                <w:rFonts w:hint="eastAsia" w:ascii="宋体" w:hAnsi="宋体" w:eastAsia="宋体" w:cs="宋体"/>
                <w:color w:val="000000"/>
                <w:sz w:val="24"/>
              </w:rPr>
              <w:t xml:space="preserve">有，具体情形：</w:t>
            </w:r>
            <w:r>
              <w:rPr>
                <w:rFonts w:hint="eastAsia" w:ascii="Times New Roman"/>
                <w:b/>
                <w:bCs/>
                <w:sz w:val="24"/>
                <w:u w:val="single"/>
                <w:lang w:val="zh-CN"/>
              </w:rPr>
              <w:t xml:space="preserve">本项目采用二轮报价</w:t>
            </w:r>
            <w:r>
              <w:rPr>
                <w:rFonts w:hint="eastAsia" w:ascii="宋体" w:hAnsi="宋体" w:eastAsia="宋体" w:cs="宋体"/>
                <w:color w:val="000000"/>
                <w:sz w:val="24"/>
              </w:rPr>
              <w:t xml:space="preserve">，响应文件的磋商报价作为</w:t>
            </w:r>
            <w:r>
              <w:rPr>
                <w:rFonts w:hint="eastAsia" w:ascii="宋体" w:hAnsi="宋体" w:cs="宋体"/>
                <w:color w:val="000000"/>
                <w:sz w:val="24"/>
                <w:lang w:val="en-US" w:eastAsia="zh-CN"/>
              </w:rPr>
              <w:t xml:space="preserve">首轮</w:t>
            </w:r>
            <w:r>
              <w:rPr>
                <w:rFonts w:hint="eastAsia" w:ascii="宋体" w:hAnsi="宋体" w:eastAsia="宋体" w:cs="宋体"/>
                <w:color w:val="000000"/>
                <w:sz w:val="24"/>
              </w:rPr>
              <w:t xml:space="preserve">报价</w:t>
            </w:r>
            <w:r>
              <w:rPr>
                <w:rFonts w:hint="eastAsia" w:ascii="宋体" w:hAnsi="宋体" w:eastAsia="宋体" w:cs="宋体"/>
                <w:sz w:val="24"/>
                <w:lang w:val="zh-CN"/>
              </w:rPr>
              <w:t xml:space="preserve">（不公开）</w:t>
            </w:r>
            <w:r>
              <w:rPr>
                <w:rFonts w:hint="eastAsia" w:ascii="宋体" w:hAnsi="宋体" w:eastAsia="宋体" w:cs="宋体"/>
                <w:color w:val="000000"/>
                <w:sz w:val="24"/>
              </w:rPr>
              <w:t xml:space="preserve">。磋商小组</w:t>
            </w:r>
            <w:r>
              <w:rPr>
                <w:rFonts w:hint="eastAsia" w:ascii="宋体" w:hAnsi="宋体" w:eastAsia="宋体" w:cs="宋体"/>
                <w:color w:val="000000"/>
                <w:sz w:val="24"/>
                <w:lang w:val="en-US" w:eastAsia="zh-CN"/>
              </w:rPr>
              <w:t xml:space="preserve">磋商</w:t>
            </w:r>
            <w:r>
              <w:rPr>
                <w:rFonts w:hint="eastAsia" w:ascii="宋体" w:hAnsi="宋体" w:eastAsia="宋体" w:cs="宋体"/>
                <w:color w:val="000000"/>
                <w:sz w:val="24"/>
              </w:rPr>
              <w:t xml:space="preserve">结束后，所有继续参加磋商的供应商在规定时间内提交最终报价(通过系统在线报价)。最后报价不得超过预算、最高限价及首次报价，否则作无效报价文件处理。</w:t>
            </w:r>
            <w:r/>
          </w:p>
        </w:tc>
      </w:tr>
      <w:tr>
        <w:trPr>
          <w:jc w:val="center"/>
          <w:trHeight w:val="449"/>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磋商保证金</w:t>
            </w:r>
            <w:r/>
          </w:p>
        </w:tc>
        <w:tc>
          <w:tcPr>
            <w:tcW w:w="5926" w:type="dxa"/>
            <w:vAlign w:val="center"/>
            <w:textDirection w:val="lrTb"/>
            <w:noWrap w:val="false"/>
          </w:tcPr>
          <w:p>
            <w:pPr>
              <w:rPr>
                <w:rFonts w:hint="eastAsia" w:ascii="宋体" w:hAnsi="宋体" w:eastAsia="宋体" w:cs="宋体"/>
                <w:b/>
                <w:color w:val="000000"/>
                <w:szCs w:val="21"/>
              </w:rPr>
            </w:pPr>
            <w:r>
              <w:rPr>
                <w:rFonts w:hint="eastAsia" w:ascii="宋体" w:hAnsi="宋体" w:eastAsia="宋体" w:cs="宋体"/>
                <w:color w:val="000000"/>
                <w:sz w:val="24"/>
                <w:szCs w:val="24"/>
              </w:rPr>
              <w:t xml:space="preserve">免收</w:t>
            </w:r>
            <w:r/>
          </w:p>
        </w:tc>
      </w:tr>
      <w:tr>
        <w:trPr>
          <w:jc w:val="center"/>
          <w:trHeight w:val="552"/>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843" w:type="dxa"/>
            <w:vAlign w:val="center"/>
            <w:textDirection w:val="lrTb"/>
            <w:noWrap w:val="false"/>
          </w:tcPr>
          <w:p>
            <w:pPr>
              <w:jc w:val="center"/>
              <w:rPr>
                <w:rFonts w:hint="eastAsia" w:ascii="宋体" w:hAnsi="宋体" w:eastAsia="宋体" w:cs="宋体"/>
                <w:b/>
                <w:bCs/>
                <w:color w:val="ff0000"/>
                <w:sz w:val="24"/>
                <w:szCs w:val="24"/>
                <w:highlight w:val="yellow"/>
              </w:rPr>
            </w:pPr>
            <w:r>
              <w:rPr>
                <w:rFonts w:hint="eastAsia" w:ascii="宋体" w:hAnsi="宋体" w:eastAsia="宋体" w:cs="宋体"/>
                <w:b w:val="0"/>
                <w:bCs w:val="0"/>
                <w:color w:val="000000"/>
                <w:sz w:val="24"/>
                <w:szCs w:val="24"/>
                <w:highlight w:val="none"/>
              </w:rPr>
              <w:t xml:space="preserve">履约保证金</w:t>
            </w:r>
            <w:r/>
          </w:p>
        </w:tc>
        <w:tc>
          <w:tcPr>
            <w:tcW w:w="5926" w:type="dxa"/>
            <w:vAlign w:val="center"/>
            <w:textDirection w:val="lrTb"/>
            <w:noWrap w:val="false"/>
          </w:tcPr>
          <w:p>
            <w:pPr>
              <w:rPr>
                <w:rFonts w:hint="eastAsia" w:ascii="宋体" w:hAnsi="宋体" w:eastAsia="宋体" w:cs="宋体"/>
                <w:b/>
                <w:bCs/>
                <w:color w:val="ff0000"/>
                <w:sz w:val="24"/>
                <w:highlight w:val="yellow"/>
              </w:rPr>
            </w:pPr>
            <w:r>
              <w:rPr>
                <w:rFonts w:hint="eastAsia" w:ascii="宋体" w:hAnsi="宋体" w:eastAsia="宋体" w:cs="宋体"/>
                <w:b w:val="0"/>
                <w:bCs w:val="0"/>
                <w:color w:val="000000"/>
                <w:sz w:val="24"/>
                <w:highlight w:val="none"/>
                <w:lang w:val="en-US" w:eastAsia="zh-CN"/>
              </w:rPr>
              <w:t xml:space="preserve">成交</w:t>
            </w:r>
            <w:r>
              <w:rPr>
                <w:rFonts w:hint="eastAsia" w:ascii="宋体" w:hAnsi="宋体" w:eastAsia="宋体" w:cs="宋体"/>
                <w:b w:val="0"/>
                <w:bCs w:val="0"/>
                <w:color w:val="000000"/>
                <w:sz w:val="24"/>
                <w:highlight w:val="none"/>
                <w:lang w:val="en-GB"/>
              </w:rPr>
              <w:t xml:space="preserve">供应商在合同签订前，向采购人提供相当于合同总价</w:t>
            </w:r>
            <w:r>
              <w:rPr>
                <w:rFonts w:hint="eastAsia" w:ascii="宋体" w:hAnsi="宋体" w:eastAsia="宋体" w:cs="宋体"/>
                <w:b w:val="0"/>
                <w:bCs w:val="0"/>
                <w:color w:val="000000"/>
                <w:sz w:val="24"/>
                <w:highlight w:val="none"/>
                <w:u w:val="single"/>
                <w:lang w:val="en-GB"/>
              </w:rPr>
              <w:t xml:space="preserve"> </w:t>
            </w:r>
            <w:r>
              <w:rPr>
                <w:rFonts w:hint="eastAsia" w:ascii="宋体" w:hAnsi="宋体" w:eastAsia="宋体" w:cs="宋体"/>
                <w:b w:val="0"/>
                <w:bCs w:val="0"/>
                <w:color w:val="000000"/>
                <w:sz w:val="24"/>
                <w:highlight w:val="none"/>
                <w:u w:val="single"/>
                <w:lang w:val="en-US" w:eastAsia="zh-CN"/>
              </w:rPr>
              <w:t xml:space="preserve">5</w:t>
            </w:r>
            <w:r>
              <w:rPr>
                <w:rFonts w:hint="eastAsia" w:ascii="宋体" w:hAnsi="宋体" w:eastAsia="宋体" w:cs="宋体"/>
                <w:b w:val="0"/>
                <w:bCs w:val="0"/>
                <w:color w:val="000000"/>
                <w:sz w:val="24"/>
                <w:highlight w:val="none"/>
                <w:u w:val="single"/>
                <w:lang w:val="en-GB"/>
              </w:rPr>
              <w:t xml:space="preserve"> %</w:t>
            </w:r>
            <w:r>
              <w:rPr>
                <w:rFonts w:hint="eastAsia" w:ascii="宋体" w:hAnsi="宋体" w:eastAsia="宋体" w:cs="宋体"/>
                <w:b w:val="0"/>
                <w:bCs w:val="0"/>
                <w:color w:val="000000"/>
                <w:sz w:val="24"/>
                <w:highlight w:val="none"/>
                <w:lang w:val="en-GB"/>
              </w:rPr>
              <w:t xml:space="preserve">的履约保证金（</w:t>
            </w:r>
            <w:r>
              <w:rPr>
                <w:rFonts w:hint="eastAsia" w:ascii="宋体" w:hAnsi="宋体" w:eastAsia="宋体" w:cs="宋体"/>
                <w:b w:val="0"/>
                <w:bCs w:val="0"/>
                <w:color w:val="000000"/>
                <w:sz w:val="24"/>
                <w:highlight w:val="none"/>
                <w:lang w:val="en-US" w:eastAsia="zh-CN"/>
              </w:rPr>
              <w:t xml:space="preserve">成交</w:t>
            </w:r>
            <w:r>
              <w:rPr>
                <w:rFonts w:hint="eastAsia" w:ascii="宋体" w:hAnsi="宋体" w:eastAsia="宋体" w:cs="宋体"/>
                <w:b w:val="0"/>
                <w:bCs w:val="0"/>
                <w:color w:val="000000"/>
                <w:sz w:val="24"/>
                <w:highlight w:val="none"/>
                <w:lang w:val="en-GB"/>
              </w:rPr>
              <w:t xml:space="preserve">供应商自主选择以支票、汇票、本票、保函等非现金形式缴纳或提交）；履约保证金的退还：采购人将在</w:t>
            </w:r>
            <w:r>
              <w:rPr>
                <w:rFonts w:hint="eastAsia" w:ascii="宋体" w:hAnsi="宋体" w:eastAsia="宋体" w:cs="宋体"/>
                <w:b w:val="0"/>
                <w:bCs w:val="0"/>
                <w:color w:val="000000"/>
                <w:sz w:val="24"/>
                <w:highlight w:val="none"/>
                <w:lang w:val="en-GB" w:eastAsia="zh-CN"/>
              </w:rPr>
              <w:t xml:space="preserve">合同</w:t>
            </w:r>
            <w:r>
              <w:rPr>
                <w:rFonts w:hint="eastAsia" w:ascii="宋体" w:hAnsi="宋体" w:eastAsia="宋体" w:cs="宋体"/>
                <w:b w:val="0"/>
                <w:bCs w:val="0"/>
                <w:color w:val="000000"/>
                <w:sz w:val="24"/>
                <w:highlight w:val="none"/>
                <w:lang w:val="en-GB"/>
              </w:rPr>
              <w:t xml:space="preserve">履行完毕后返还供应商（</w:t>
            </w:r>
            <w:r>
              <w:rPr>
                <w:rFonts w:hint="eastAsia" w:ascii="宋体" w:hAnsi="宋体" w:cs="宋体"/>
                <w:b w:val="0"/>
                <w:bCs w:val="0"/>
                <w:color w:val="000000"/>
                <w:sz w:val="24"/>
                <w:highlight w:val="none"/>
                <w:lang w:val="en-US" w:eastAsia="zh-CN"/>
              </w:rPr>
              <w:t xml:space="preserve">不计息</w:t>
            </w:r>
            <w:r>
              <w:rPr>
                <w:rFonts w:hint="eastAsia" w:ascii="宋体" w:hAnsi="宋体" w:eastAsia="宋体" w:cs="宋体"/>
                <w:b w:val="0"/>
                <w:bCs w:val="0"/>
                <w:color w:val="000000"/>
                <w:sz w:val="24"/>
                <w:highlight w:val="none"/>
                <w:lang w:val="en-GB"/>
              </w:rPr>
              <w:t xml:space="preserve">）。</w:t>
            </w:r>
            <w:r/>
          </w:p>
        </w:tc>
      </w:tr>
      <w:tr>
        <w:trPr>
          <w:jc w:val="center"/>
          <w:trHeight w:val="552"/>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响应有效期</w:t>
            </w:r>
            <w:r/>
          </w:p>
        </w:tc>
        <w:tc>
          <w:tcPr>
            <w:tcW w:w="5926"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自提交响应文件的截止之日起算</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日历天。</w:t>
            </w:r>
            <w:r/>
          </w:p>
        </w:tc>
      </w:tr>
      <w:tr>
        <w:trPr>
          <w:jc w:val="center"/>
          <w:trHeight w:val="1895"/>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843" w:type="dxa"/>
            <w:vAlign w:val="center"/>
            <w:textDirection w:val="lrTb"/>
            <w:noWrap w:val="false"/>
          </w:tcPr>
          <w:p>
            <w:pPr>
              <w:jc w:val="center"/>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纸质响应文件</w:t>
            </w:r>
            <w:r/>
          </w:p>
        </w:tc>
        <w:tc>
          <w:tcPr>
            <w:tcW w:w="5926" w:type="dxa"/>
            <w:vAlign w:val="center"/>
            <w:textDirection w:val="lrTb"/>
            <w:noWrap w:val="false"/>
          </w:tcPr>
          <w:p>
            <w:pPr>
              <w:jc w:val="left"/>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成交</w:t>
            </w: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在签订合同前需递交与电子响应文件内容一致的纸质响应文件</w:t>
            </w:r>
            <w:r>
              <w:rPr>
                <w:rFonts w:hint="eastAsia" w:ascii="宋体" w:hAnsi="宋体" w:cs="宋体"/>
                <w:b/>
                <w:bCs/>
                <w:color w:val="ff0000"/>
                <w:sz w:val="24"/>
                <w:u w:val="single"/>
                <w:lang w:val="en-US" w:eastAsia="zh-CN"/>
              </w:rPr>
              <w:t xml:space="preserve">4</w:t>
            </w:r>
            <w:r>
              <w:rPr>
                <w:rFonts w:hint="eastAsia" w:ascii="宋体" w:hAnsi="宋体" w:eastAsia="宋体" w:cs="宋体"/>
                <w:color w:val="000000"/>
                <w:sz w:val="24"/>
              </w:rPr>
              <w:t xml:space="preserve">份（需打印清晰，标注目录及页码）并按要求签字盖章，作为项目归档使用。（递交方式可采用邮寄或现场送达,联系方式见《第一章 采购邀请》）</w:t>
            </w:r>
            <w:r/>
          </w:p>
        </w:tc>
      </w:tr>
      <w:tr>
        <w:trPr>
          <w:jc w:val="center"/>
          <w:trHeight w:val="745"/>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本项目是否允许分包： </w:t>
            </w:r>
            <w:r/>
          </w:p>
          <w:p>
            <w:pPr>
              <w:jc w:val="left"/>
              <w:rPr>
                <w:rFonts w:hint="eastAsia" w:ascii="宋体" w:hAnsi="宋体" w:eastAsia="宋体" w:cs="宋体"/>
                <w:color w:val="000000"/>
                <w:sz w:val="24"/>
              </w:rPr>
            </w:pP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不允许</w:t>
            </w:r>
            <w:r/>
          </w:p>
          <w:p>
            <w:pPr>
              <w:jc w:val="left"/>
              <w:rPr>
                <w:rFonts w:hint="eastAsia" w:ascii="宋体" w:hAnsi="宋体" w:eastAsia="宋体" w:cs="宋体"/>
                <w:color w:val="000000"/>
                <w:sz w:val="24"/>
              </w:rPr>
            </w:pPr>
            <w:r>
              <w:rPr>
                <w:rFonts w:hint="eastAsia" w:ascii="宋体" w:hAnsi="宋体" w:eastAsia="宋体" w:cs="宋体"/>
                <w:color w:val="000000"/>
              </w:rPr>
              <w:t xml:space="preserve">□</w:t>
            </w:r>
            <w:r>
              <w:rPr>
                <w:rFonts w:hint="eastAsia" w:ascii="宋体" w:hAnsi="宋体" w:eastAsia="宋体" w:cs="宋体"/>
                <w:color w:val="000000"/>
                <w:sz w:val="24"/>
              </w:rPr>
              <w:t xml:space="preserve">允许，具体要求：_______。</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（1）可以分包履行的具体内容：_______；</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（2）允许分包的金额或者比例：_______；</w:t>
            </w:r>
            <w:r/>
          </w:p>
          <w:p>
            <w:pPr>
              <w:jc w:val="left"/>
              <w:rPr>
                <w:rFonts w:hint="eastAsia" w:ascii="宋体" w:hAnsi="宋体" w:eastAsia="宋体" w:cs="宋体"/>
                <w:color w:val="000000"/>
                <w:sz w:val="24"/>
                <w:u w:val="single"/>
              </w:rPr>
            </w:pPr>
            <w:r>
              <w:rPr>
                <w:rFonts w:hint="eastAsia" w:ascii="宋体" w:hAnsi="宋体" w:eastAsia="宋体" w:cs="宋体"/>
                <w:color w:val="000000"/>
                <w:sz w:val="24"/>
              </w:rPr>
              <w:t xml:space="preserve">（3）其他要求：_______。</w:t>
            </w:r>
            <w:r/>
          </w:p>
        </w:tc>
      </w:tr>
      <w:tr>
        <w:trPr>
          <w:jc w:val="center"/>
          <w:trHeight w:val="608"/>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询问</w:t>
            </w:r>
            <w:r/>
          </w:p>
        </w:tc>
        <w:tc>
          <w:tcPr>
            <w:tcW w:w="5926" w:type="dxa"/>
            <w:vAlign w:val="center"/>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rPr>
              <w:t xml:space="preserve">询问送达形式：</w:t>
            </w:r>
            <w:r>
              <w:rPr>
                <w:rFonts w:hint="eastAsia" w:ascii="宋体" w:hAnsi="宋体" w:eastAsia="宋体" w:cs="宋体"/>
                <w:color w:val="000000"/>
                <w:sz w:val="24"/>
                <w:u w:val="single"/>
              </w:rPr>
              <w:t xml:space="preserve">书面</w:t>
            </w:r>
            <w:r>
              <w:rPr>
                <w:rFonts w:hint="eastAsia" w:ascii="宋体" w:hAnsi="宋体" w:eastAsia="宋体" w:cs="宋体"/>
                <w:color w:val="000000"/>
                <w:sz w:val="24"/>
              </w:rPr>
              <w:t xml:space="preserve">。</w:t>
            </w:r>
            <w:r/>
          </w:p>
        </w:tc>
      </w:tr>
      <w:tr>
        <w:trPr>
          <w:jc w:val="center"/>
          <w:trHeight w:val="1506"/>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r/>
          </w:p>
        </w:tc>
        <w:tc>
          <w:tcPr>
            <w:tcW w:w="5926"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接收询问和质疑的联系方式</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联系部门：</w:t>
            </w:r>
            <w:r>
              <w:rPr>
                <w:rFonts w:hint="eastAsia" w:ascii="宋体" w:hAnsi="宋体" w:cs="宋体"/>
                <w:color w:val="000000"/>
                <w:sz w:val="24"/>
                <w:u w:val="single"/>
                <w:lang w:val="en-US" w:eastAsia="zh-CN"/>
              </w:rPr>
              <w:t xml:space="preserve">江苏安邦南汇工程咨询有限公司</w:t>
            </w:r>
            <w:r>
              <w:rPr>
                <w:rFonts w:hint="eastAsia" w:ascii="宋体" w:hAnsi="宋体" w:eastAsia="宋体" w:cs="宋体"/>
                <w:color w:val="000000"/>
                <w:sz w:val="24"/>
              </w:rPr>
              <w:t xml:space="preserve">；</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cs="宋体"/>
                <w:color w:val="000000"/>
                <w:sz w:val="24"/>
                <w:u w:val="single"/>
                <w:lang w:eastAsia="zh-CN"/>
              </w:rPr>
              <w:t xml:space="preserve">0519-86883618</w:t>
            </w:r>
            <w:r>
              <w:rPr>
                <w:rFonts w:hint="eastAsia" w:ascii="宋体" w:hAnsi="宋体" w:eastAsia="宋体" w:cs="宋体"/>
                <w:color w:val="000000"/>
                <w:sz w:val="24"/>
              </w:rPr>
              <w:t xml:space="preserve">；</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通讯地址：</w:t>
            </w:r>
            <w:r>
              <w:rPr>
                <w:rFonts w:hint="eastAsia" w:ascii="宋体" w:hAnsi="宋体" w:cs="宋体"/>
                <w:color w:val="000000"/>
                <w:sz w:val="24"/>
                <w:u w:val="single"/>
                <w:lang w:eastAsia="zh-CN"/>
              </w:rPr>
              <w:t xml:space="preserve">常州市金坛区金沙科技金融中心B座</w:t>
            </w:r>
            <w:r>
              <w:rPr>
                <w:rFonts w:hint="eastAsia" w:ascii="宋体" w:hAnsi="宋体" w:cs="宋体"/>
                <w:color w:val="000000"/>
                <w:sz w:val="24"/>
                <w:u w:val="single"/>
                <w:lang w:val="en-US" w:eastAsia="zh-CN"/>
              </w:rPr>
              <w:t xml:space="preserve">6</w:t>
            </w:r>
            <w:r>
              <w:rPr>
                <w:rFonts w:hint="eastAsia" w:ascii="宋体" w:hAnsi="宋体" w:cs="宋体"/>
                <w:color w:val="000000"/>
                <w:sz w:val="24"/>
                <w:u w:val="single"/>
                <w:lang w:eastAsia="zh-CN"/>
              </w:rPr>
              <w:t xml:space="preserve">楼</w:t>
            </w:r>
            <w:r>
              <w:rPr>
                <w:rFonts w:hint="eastAsia" w:ascii="宋体" w:hAnsi="宋体" w:eastAsia="宋体" w:cs="宋体"/>
                <w:color w:val="000000"/>
                <w:sz w:val="24"/>
              </w:rPr>
              <w:t xml:space="preserve">。</w:t>
            </w:r>
            <w:r/>
          </w:p>
          <w:p>
            <w:pPr>
              <w:rPr>
                <w:rFonts w:hint="eastAsia" w:ascii="宋体" w:hAnsi="宋体" w:eastAsia="宋体" w:cs="宋体"/>
                <w:color w:val="000000"/>
                <w:sz w:val="24"/>
                <w:szCs w:val="24"/>
              </w:rPr>
            </w:pPr>
            <w:r>
              <w:rPr>
                <w:rFonts w:hint="eastAsia" w:ascii="宋体" w:hAnsi="宋体" w:eastAsia="宋体" w:cs="宋体"/>
                <w:color w:val="000000"/>
                <w:sz w:val="24"/>
              </w:rPr>
              <w:t xml:space="preserve">对采购文件需要进行澄清或有疑问的供应商，均应在</w:t>
            </w:r>
            <w:r>
              <w:rPr>
                <w:rFonts w:hint="eastAsia" w:ascii="宋体" w:hAnsi="宋体" w:eastAsia="宋体" w:cs="宋体"/>
                <w:b/>
                <w:bCs/>
                <w:color w:val="000000"/>
                <w:sz w:val="24"/>
                <w:highlight w:val="white"/>
              </w:rPr>
              <w:t xml:space="preserve">202</w:t>
            </w:r>
            <w:r>
              <w:rPr>
                <w:rFonts w:hint="eastAsia" w:ascii="宋体" w:hAnsi="宋体" w:eastAsia="宋体" w:cs="宋体"/>
                <w:b/>
                <w:bCs/>
                <w:color w:val="000000"/>
                <w:sz w:val="24"/>
                <w:highlight w:val="white"/>
                <w:lang w:val="en-US" w:eastAsia="zh-CN"/>
              </w:rPr>
              <w:t xml:space="preserve">6</w:t>
            </w:r>
            <w:r>
              <w:rPr>
                <w:rFonts w:hint="eastAsia" w:ascii="宋体" w:hAnsi="宋体" w:eastAsia="宋体" w:cs="宋体"/>
                <w:b/>
                <w:bCs/>
                <w:color w:val="000000"/>
                <w:sz w:val="24"/>
                <w:highlight w:val="white"/>
              </w:rPr>
              <w:t xml:space="preserve">年06</w:t>
            </w:r>
            <w:r>
              <w:rPr>
                <w:rFonts w:hint="eastAsia" w:ascii="宋体" w:hAnsi="宋体" w:eastAsia="宋体" w:cs="宋体"/>
                <w:b/>
                <w:bCs/>
                <w:color w:val="000000"/>
                <w:sz w:val="24"/>
                <w:highlight w:val="white"/>
              </w:rPr>
              <w:t xml:space="preserve">月</w:t>
            </w:r>
            <w:r>
              <w:rPr>
                <w:rFonts w:hint="eastAsia" w:ascii="宋体" w:hAnsi="宋体" w:cs="宋体"/>
                <w:b/>
                <w:bCs/>
                <w:color w:val="000000"/>
                <w:sz w:val="24"/>
                <w:highlight w:val="white"/>
                <w:lang w:val="en-US" w:eastAsia="zh-CN"/>
              </w:rPr>
              <w:t xml:space="preserve">01</w:t>
            </w:r>
            <w:r>
              <w:rPr>
                <w:rFonts w:hint="eastAsia" w:ascii="宋体" w:hAnsi="宋体" w:eastAsia="宋体" w:cs="宋体"/>
                <w:b/>
                <w:bCs/>
                <w:color w:val="000000"/>
                <w:sz w:val="24"/>
                <w:highlight w:val="white"/>
              </w:rPr>
              <w:t xml:space="preserve">日11：00</w:t>
            </w:r>
            <w:r>
              <w:rPr>
                <w:rFonts w:hint="eastAsia" w:ascii="宋体" w:hAnsi="宋体" w:eastAsia="宋体" w:cs="宋体"/>
                <w:color w:val="000000"/>
                <w:sz w:val="24"/>
              </w:rPr>
              <w:t xml:space="preserve">前按采购公告中的通讯地址，一次性将需要澄清或疑问内容以书面形式并加盖公章送达采购代理机构，否则视为无有效澄清或疑问。</w:t>
            </w:r>
            <w:r/>
          </w:p>
        </w:tc>
      </w:tr>
      <w:tr>
        <w:trPr>
          <w:jc w:val="center"/>
          <w:trHeight w:val="1506"/>
        </w:trPr>
        <w:tc>
          <w:tcPr>
            <w:tcW w:w="11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84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代理费</w:t>
            </w:r>
            <w:r/>
          </w:p>
        </w:tc>
        <w:tc>
          <w:tcPr>
            <w:tcW w:w="5926"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收费对象：</w:t>
            </w:r>
            <w:r/>
          </w:p>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w:t>
            </w:r>
            <w:r/>
          </w:p>
          <w:p>
            <w:pPr>
              <w:jc w:val="lef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成交供应商</w:t>
            </w:r>
            <w:r/>
          </w:p>
          <w:p>
            <w:pPr>
              <w:jc w:val="left"/>
              <w:rPr>
                <w:rFonts w:hint="eastAsia" w:ascii="宋体" w:hAnsi="宋体" w:eastAsia="宋体" w:cs="宋体"/>
                <w:color w:val="ff0000"/>
                <w:sz w:val="24"/>
                <w:szCs w:val="24"/>
                <w:highlight w:val="yellow"/>
                <w:u w:val="single"/>
              </w:rPr>
            </w:pPr>
            <w:r>
              <w:rPr>
                <w:rFonts w:hint="eastAsia" w:ascii="宋体" w:hAnsi="宋体" w:eastAsia="宋体" w:cs="宋体"/>
                <w:color w:val="000000"/>
                <w:sz w:val="24"/>
                <w:szCs w:val="24"/>
              </w:rPr>
              <w:t xml:space="preserve">收费标准：</w:t>
            </w:r>
            <w:bookmarkStart w:id="44" w:name="OLE_LINK60"/>
            <w:r>
              <w:rPr>
                <w:rFonts w:hint="eastAsia" w:ascii="宋体" w:hAnsi="宋体" w:eastAsia="宋体" w:cs="宋体"/>
                <w:color w:val="000000"/>
                <w:sz w:val="24"/>
                <w:highlight w:val="none"/>
                <w:u w:val="single"/>
                <w:lang w:val="en-US" w:eastAsia="zh-CN"/>
              </w:rPr>
              <w:t xml:space="preserve">本项目代理费</w:t>
            </w:r>
            <w:r>
              <w:rPr>
                <w:rFonts w:hint="eastAsia" w:ascii="宋体" w:hAnsi="宋体" w:cs="宋体"/>
                <w:color w:val="000000"/>
                <w:sz w:val="24"/>
                <w:highlight w:val="none"/>
                <w:u w:val="single"/>
                <w:lang w:val="en-US" w:eastAsia="zh-CN"/>
              </w:rPr>
              <w:t xml:space="preserve">为5400元</w:t>
            </w:r>
            <w:r>
              <w:rPr>
                <w:rFonts w:hint="eastAsia" w:ascii="宋体" w:hAnsi="宋体" w:eastAsia="宋体" w:cs="宋体"/>
                <w:sz w:val="24"/>
                <w:highlight w:val="none"/>
                <w:u w:val="single"/>
              </w:rPr>
              <w:t xml:space="preserve">。</w:t>
            </w:r>
            <w:bookmarkEnd w:id="44"/>
            <w:r>
              <w:rPr>
                <w:rFonts w:hint="eastAsia" w:ascii="宋体" w:hAnsi="宋体" w:eastAsia="宋体" w:cs="宋体"/>
                <w:sz w:val="24"/>
                <w:highlight w:val="none"/>
                <w:u w:val="single"/>
              </w:rPr>
              <w:t xml:space="preserve">请响应人在报价时综合考虑</w:t>
            </w:r>
            <w:r>
              <w:rPr>
                <w:rFonts w:hint="eastAsia" w:ascii="宋体" w:hAnsi="宋体" w:eastAsia="宋体" w:cs="宋体"/>
                <w:sz w:val="24"/>
                <w:szCs w:val="24"/>
                <w:highlight w:val="none"/>
                <w:u w:val="single"/>
              </w:rPr>
              <w:t xml:space="preserve">。</w:t>
            </w:r>
            <w:r/>
          </w:p>
          <w:p>
            <w:pPr>
              <w:jc w:val="left"/>
              <w:rPr>
                <w:rFonts w:hint="eastAsia" w:ascii="宋体" w:hAnsi="宋体" w:eastAsia="宋体" w:cs="宋体"/>
                <w:color w:val="000000"/>
                <w:sz w:val="24"/>
              </w:rPr>
            </w:pPr>
            <w:r>
              <w:rPr>
                <w:rFonts w:hint="eastAsia" w:ascii="宋体" w:hAnsi="宋体" w:eastAsia="宋体" w:cs="宋体"/>
                <w:color w:val="000000"/>
                <w:sz w:val="24"/>
                <w:szCs w:val="24"/>
              </w:rPr>
              <w:t xml:space="preserve">缴纳时间：</w:t>
            </w:r>
            <w:r>
              <w:rPr>
                <w:rFonts w:hint="eastAsia" w:ascii="宋体" w:hAnsi="宋体" w:eastAsia="宋体" w:cs="宋体"/>
                <w:color w:val="000000"/>
                <w:sz w:val="24"/>
                <w:szCs w:val="24"/>
                <w:u w:val="single"/>
              </w:rPr>
              <w:t xml:space="preserve">成交供应商在领取中标（成交）通知书时一次性支付给采购代理机构。</w:t>
            </w:r>
            <w:r/>
          </w:p>
        </w:tc>
      </w:tr>
    </w:tbl>
    <w:p>
      <w:pPr>
        <w:jc w:val="left"/>
        <w:widowControl/>
        <w:rPr>
          <w:rFonts w:hint="eastAsia" w:ascii="宋体" w:hAnsi="宋体" w:eastAsia="宋体" w:cs="宋体"/>
          <w:color w:val="000000"/>
          <w:sz w:val="24"/>
          <w:szCs w:val="24"/>
        </w:rPr>
        <w:sectPr>
          <w:footnotePr/>
          <w:endnotePr/>
          <w:type w:val="nextPage"/>
          <w:pgSz w:w="11906" w:h="16838" w:orient="portrait"/>
          <w:pgMar w:top="1440" w:right="1587" w:bottom="1440" w:left="1587" w:header="851" w:footer="992" w:gutter="0"/>
          <w:cols w:num="1" w:sep="0" w:space="1701" w:equalWidth="1"/>
          <w:docGrid w:linePitch="360"/>
        </w:sectPr>
      </w:pPr>
      <w:r>
        <w:rPr>
          <w:rFonts w:hint="eastAsia" w:ascii="宋体" w:hAnsi="宋体" w:eastAsia="宋体" w:cs="宋体"/>
          <w:color w:val="000000"/>
          <w:sz w:val="24"/>
          <w:szCs w:val="24"/>
        </w:rPr>
      </w:r>
      <w:r/>
    </w:p>
    <w:p>
      <w:pPr>
        <w:jc w:val="center"/>
        <w:spacing w:before="240" w:after="240"/>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供应商须知</w:t>
      </w:r>
      <w:r/>
    </w:p>
    <w:p>
      <w:pPr>
        <w:pStyle w:val="1112"/>
        <w:jc w:val="left"/>
        <w:spacing w:before="0" w:line="360" w:lineRule="auto"/>
        <w:tabs>
          <w:tab w:val="center" w:pos="4592" w:leader="none"/>
          <w:tab w:val="left" w:pos="7860" w:leader="none"/>
        </w:tabs>
        <w:rPr>
          <w:rFonts w:hint="eastAsia" w:ascii="宋体" w:hAnsi="宋体" w:eastAsia="宋体" w:cs="宋体"/>
          <w:color w:val="000000"/>
          <w:sz w:val="28"/>
        </w:rPr>
      </w:pPr>
      <w:r/>
      <w:bookmarkStart w:id="45" w:name="_Toc127151518"/>
      <w:r/>
      <w:bookmarkStart w:id="46" w:name="_Toc520356143"/>
      <w:r>
        <w:rPr>
          <w:rFonts w:hint="eastAsia" w:ascii="宋体" w:hAnsi="宋体" w:eastAsia="宋体" w:cs="宋体"/>
          <w:color w:val="000000"/>
          <w:sz w:val="28"/>
        </w:rPr>
        <w:tab/>
      </w:r>
      <w:bookmarkStart w:id="47" w:name="_Toc150774723"/>
      <w:r/>
      <w:bookmarkStart w:id="48" w:name="_Toc305158860"/>
      <w:r/>
      <w:bookmarkStart w:id="49" w:name="_Toc151193832"/>
      <w:r/>
      <w:bookmarkStart w:id="50" w:name="_Toc226309762"/>
      <w:r/>
      <w:bookmarkStart w:id="51" w:name="_Toc151193688"/>
      <w:r/>
      <w:bookmarkStart w:id="52" w:name="_Toc264969208"/>
      <w:r/>
      <w:bookmarkStart w:id="53" w:name="_Toc226965791"/>
      <w:r/>
      <w:bookmarkStart w:id="54" w:name="_Toc151193616"/>
      <w:r/>
      <w:bookmarkStart w:id="55" w:name="_Toc151190145"/>
      <w:r/>
      <w:bookmarkStart w:id="56" w:name="_Toc150509269"/>
      <w:r/>
      <w:bookmarkStart w:id="57" w:name="_Toc265228356"/>
      <w:r/>
      <w:bookmarkStart w:id="58" w:name="_Toc150774618"/>
      <w:r/>
      <w:bookmarkStart w:id="59" w:name="_Toc151193906"/>
      <w:r/>
      <w:bookmarkStart w:id="60" w:name="_Toc305158786"/>
      <w:r/>
      <w:bookmarkStart w:id="61" w:name="_Toc226337214"/>
      <w:r/>
      <w:bookmarkStart w:id="62" w:name="_Toc226965708"/>
      <w:r/>
      <w:bookmarkStart w:id="63" w:name="_Toc195842883"/>
      <w:r/>
      <w:bookmarkStart w:id="64" w:name="_Toc151193760"/>
      <w:r/>
      <w:bookmarkStart w:id="65" w:name="_Toc150480756"/>
      <w:r/>
      <w:bookmarkStart w:id="66" w:name="_Toc142311020"/>
      <w:r>
        <w:rPr>
          <w:rFonts w:hint="eastAsia" w:ascii="宋体" w:hAnsi="宋体" w:eastAsia="宋体" w:cs="宋体"/>
          <w:color w:val="000000"/>
          <w:sz w:val="28"/>
        </w:rPr>
        <w:t xml:space="preserve">一   说  明</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8"/>
        </w:rPr>
        <w:tab/>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67" w:name="_Toc265228357"/>
      <w:r/>
      <w:bookmarkStart w:id="68" w:name="_Toc264969209"/>
      <w:r/>
      <w:bookmarkStart w:id="69" w:name="_Toc305158861"/>
      <w:r/>
      <w:bookmarkStart w:id="70" w:name="_Toc305158787"/>
      <w:r>
        <w:rPr>
          <w:rFonts w:hint="eastAsia" w:ascii="宋体" w:hAnsi="宋体" w:eastAsia="宋体" w:cs="宋体"/>
          <w:color w:val="000000"/>
          <w:sz w:val="24"/>
          <w:szCs w:val="22"/>
          <w:lang w:val="en-US" w:eastAsia="zh-CN" w:bidi="ar-SA"/>
        </w:rPr>
        <w:t xml:space="preserve">1</w:t>
      </w:r>
      <w:r>
        <w:rPr>
          <w:rFonts w:hint="eastAsia" w:ascii="宋体" w:hAnsi="宋体" w:eastAsia="宋体" w:cs="宋体"/>
          <w:color w:val="000000"/>
          <w:sz w:val="24"/>
        </w:rPr>
        <w:t xml:space="preserve">采购人、采购代理机构、供应商</w:t>
      </w:r>
      <w:bookmarkEnd w:id="67"/>
      <w:r/>
      <w:bookmarkEnd w:id="68"/>
      <w:r/>
      <w:bookmarkEnd w:id="69"/>
      <w:r/>
      <w:bookmarkEnd w:id="70"/>
      <w:r>
        <w:rPr>
          <w:rFonts w:hint="eastAsia" w:ascii="宋体" w:hAnsi="宋体" w:eastAsia="宋体" w:cs="宋体"/>
          <w:color w:val="000000"/>
          <w:sz w:val="24"/>
        </w:rPr>
        <w:t xml:space="preserve">、联合体</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rPr>
        <w:t xml:space="preserve">供应商（也称“申请人”）：指向采购人提供货物、工程或者服务的法人、其他组织或者自然人。</w:t>
      </w:r>
      <w:r/>
    </w:p>
    <w:p>
      <w:pPr>
        <w:numPr>
          <w:ilvl w:val="1"/>
          <w:numId w:val="0"/>
        </w:numPr>
        <w:ind w:left="1080" w:hanging="720"/>
        <w:spacing w:line="360" w:lineRule="auto"/>
        <w:tabs>
          <w:tab w:val="left" w:pos="1080" w:leader="none"/>
          <w:tab w:val="left" w:pos="2014" w:leader="none"/>
          <w:tab w:val="left" w:pos="5521"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rPr>
        <w:t xml:space="preserve">联合体：指两个以上的自然人、法人或者其他组织组成一个联合体，以一个供应商的身份共同参加政府采购。</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71" w:name="_Toc305158788"/>
      <w:r/>
      <w:bookmarkStart w:id="72" w:name="_Toc164608634"/>
      <w:r/>
      <w:bookmarkStart w:id="73" w:name="_Toc151193908"/>
      <w:r/>
      <w:bookmarkStart w:id="74" w:name="_Toc226965710"/>
      <w:r/>
      <w:bookmarkStart w:id="75" w:name="_Toc127151520"/>
      <w:r/>
      <w:bookmarkStart w:id="76" w:name="_Toc150509271"/>
      <w:r/>
      <w:bookmarkStart w:id="77" w:name="_Toc127161434"/>
      <w:r/>
      <w:bookmarkStart w:id="78" w:name="_Toc149720813"/>
      <w:r/>
      <w:bookmarkStart w:id="79" w:name="_Toc164351614"/>
      <w:r/>
      <w:bookmarkStart w:id="80" w:name="_Toc265228358"/>
      <w:r/>
      <w:bookmarkStart w:id="81" w:name="_Toc151193762"/>
      <w:r/>
      <w:bookmarkStart w:id="82" w:name="_Toc164608789"/>
      <w:r/>
      <w:bookmarkStart w:id="83" w:name="_Toc151193834"/>
      <w:r/>
      <w:bookmarkStart w:id="84" w:name="_Toc150774620"/>
      <w:r/>
      <w:bookmarkStart w:id="85" w:name="_Toc164229215"/>
      <w:r/>
      <w:bookmarkStart w:id="86" w:name="_Toc264969210"/>
      <w:r/>
      <w:bookmarkStart w:id="87" w:name="_Toc151193690"/>
      <w:r/>
      <w:bookmarkStart w:id="88" w:name="_Toc226965793"/>
      <w:r/>
      <w:bookmarkStart w:id="89" w:name="_Toc151190147"/>
      <w:r/>
      <w:bookmarkStart w:id="90" w:name="_Toc195842885"/>
      <w:r/>
      <w:bookmarkStart w:id="91" w:name="_Toc127151721"/>
      <w:r/>
      <w:bookmarkStart w:id="92" w:name="_Toc305158862"/>
      <w:r/>
      <w:bookmarkStart w:id="93" w:name="_Toc150480758"/>
      <w:r/>
      <w:bookmarkStart w:id="94" w:name="_Toc164229361"/>
      <w:r/>
      <w:bookmarkStart w:id="95" w:name="_Toc151193618"/>
      <w:r/>
      <w:bookmarkStart w:id="96" w:name="_Toc142311022"/>
      <w:r/>
      <w:bookmarkStart w:id="97" w:name="_Toc150774725"/>
      <w:r/>
      <w:bookmarkStart w:id="98" w:name="_Toc226337216"/>
      <w:r/>
      <w:bookmarkStart w:id="99" w:name="_Toc226309764"/>
      <w:r>
        <w:rPr>
          <w:rFonts w:hint="eastAsia" w:ascii="宋体" w:hAnsi="宋体" w:eastAsia="宋体" w:cs="宋体"/>
          <w:color w:val="000000"/>
          <w:sz w:val="24"/>
          <w:szCs w:val="22"/>
          <w:lang w:val="en-US" w:eastAsia="zh-CN" w:bidi="ar-SA"/>
        </w:rPr>
        <w:t xml:space="preserve">2</w:t>
      </w:r>
      <w:r>
        <w:rPr>
          <w:rFonts w:hint="eastAsia" w:ascii="宋体" w:hAnsi="宋体" w:eastAsia="宋体" w:cs="宋体"/>
          <w:color w:val="000000"/>
          <w:sz w:val="24"/>
        </w:rPr>
        <w:t xml:space="preserve">资金来源</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hint="eastAsia" w:ascii="宋体" w:hAnsi="宋体" w:eastAsia="宋体" w:cs="宋体"/>
          <w:color w:val="000000"/>
          <w:sz w:val="24"/>
        </w:rPr>
        <w:t xml:space="preserve">、项目属性</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rPr>
        <w:t xml:space="preserve">资金来源为财政性资金和/或本项目采购中无法与财政性资金分割的非财政性资金。</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rPr>
        <w:t xml:space="preserve">项目属性见《供应商须知资料表》。</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3</w:t>
      </w:r>
      <w:r>
        <w:rPr>
          <w:rFonts w:hint="eastAsia" w:ascii="宋体" w:hAnsi="宋体" w:eastAsia="宋体" w:cs="宋体"/>
          <w:color w:val="000000"/>
          <w:sz w:val="24"/>
        </w:rPr>
        <w:t xml:space="preserve">现场考察、磋商前答疑会</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8"/>
        </w:rPr>
      </w:pPr>
      <w:r>
        <w:rPr>
          <w:rFonts w:hint="eastAsia" w:ascii="宋体" w:hAnsi="宋体" w:eastAsia="宋体" w:cs="宋体"/>
          <w:color w:val="000000"/>
          <w:sz w:val="24"/>
          <w:szCs w:val="24"/>
          <w:lang w:val="en-US" w:eastAsia="zh-CN" w:bidi="ar-SA"/>
        </w:rPr>
        <w:t xml:space="preserve">3.1</w:t>
      </w:r>
      <w:r>
        <w:rPr>
          <w:rFonts w:hint="eastAsia" w:ascii="宋体" w:hAnsi="宋体" w:eastAsia="宋体" w:cs="宋体"/>
          <w:color w:val="000000"/>
          <w:sz w:val="24"/>
        </w:rPr>
        <w:t xml:space="preserve">若《供应商须知资料表》中规定了组织现场考察、召开磋商前答疑会，则供应商应按要求在规定的时间和地点参加。</w:t>
      </w:r>
      <w:bookmarkStart w:id="100" w:name="_Toc151190149"/>
      <w:r/>
      <w:bookmarkStart w:id="101" w:name="_Toc226965795"/>
      <w:r/>
      <w:bookmarkStart w:id="102" w:name="_Toc150774727"/>
      <w:r/>
      <w:bookmarkStart w:id="103" w:name="_Toc151193910"/>
      <w:r/>
      <w:bookmarkStart w:id="104" w:name="_Toc305158790"/>
      <w:r/>
      <w:bookmarkStart w:id="105" w:name="_Toc226309766"/>
      <w:r/>
      <w:bookmarkStart w:id="106" w:name="_Toc150774622"/>
      <w:r/>
      <w:bookmarkStart w:id="107" w:name="_Toc150480760"/>
      <w:r/>
      <w:bookmarkStart w:id="108" w:name="_Toc520356146"/>
      <w:r/>
      <w:bookmarkStart w:id="109" w:name="_Toc226337218"/>
      <w:r/>
      <w:bookmarkStart w:id="110" w:name="_Toc142311024"/>
      <w:r/>
      <w:bookmarkStart w:id="111" w:name="_Toc195842887"/>
      <w:r/>
      <w:bookmarkStart w:id="112" w:name="_Toc151193764"/>
      <w:r/>
      <w:bookmarkStart w:id="113" w:name="_Toc305158864"/>
      <w:r/>
      <w:bookmarkStart w:id="114" w:name="_Toc127151522"/>
      <w:r/>
      <w:bookmarkStart w:id="115" w:name="_Toc264969212"/>
      <w:r/>
      <w:bookmarkStart w:id="116" w:name="_Toc151193692"/>
      <w:r/>
      <w:bookmarkStart w:id="117" w:name="_Toc226965712"/>
      <w:r/>
      <w:bookmarkStart w:id="118" w:name="_Toc150509273"/>
      <w:r/>
      <w:bookmarkStart w:id="119" w:name="_Toc265228360"/>
      <w:r/>
      <w:bookmarkStart w:id="120" w:name="_Toc151193620"/>
      <w:r/>
      <w:bookmarkStart w:id="121" w:name="_Toc151193836"/>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3.2</w:t>
      </w:r>
      <w:r>
        <w:rPr>
          <w:rFonts w:hint="eastAsia" w:ascii="宋体" w:hAnsi="宋体" w:eastAsia="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4</w:t>
      </w:r>
      <w:r>
        <w:rPr>
          <w:rFonts w:hint="eastAsia" w:ascii="宋体" w:hAnsi="宋体" w:eastAsia="宋体" w:cs="宋体"/>
          <w:color w:val="000000"/>
          <w:sz w:val="24"/>
        </w:rPr>
        <w:t xml:space="preserve">政府采购政策（包括但不限于下列具体政策要求）</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rPr>
        <w:t xml:space="preserve">进口产品</w:t>
      </w:r>
      <w:r/>
    </w:p>
    <w:p>
      <w:pPr>
        <w:numPr>
          <w:ilvl w:val="2"/>
          <w:numId w:val="0"/>
        </w:numPr>
        <w:ind w:left="1980" w:hanging="900"/>
        <w:spacing w:line="360" w:lineRule="auto"/>
        <w:tabs>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4.1.1</w:t>
      </w:r>
      <w:r>
        <w:rPr>
          <w:rFonts w:hint="eastAsia" w:ascii="宋体" w:hAnsi="宋体" w:eastAsia="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4.2</w:t>
      </w:r>
      <w:r>
        <w:rPr>
          <w:rFonts w:hint="eastAsia" w:ascii="宋体" w:hAnsi="宋体" w:eastAsia="宋体" w:cs="宋体"/>
          <w:color w:val="000000"/>
          <w:sz w:val="24"/>
        </w:rPr>
        <w:t xml:space="preserve">中小企业、监狱企业及残疾人福利性单位</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4.2.1</w:t>
      </w:r>
      <w:r>
        <w:rPr>
          <w:rFonts w:hint="eastAsia" w:ascii="宋体" w:hAnsi="宋体" w:eastAsia="宋体" w:cs="宋体"/>
          <w:color w:val="000000"/>
          <w:sz w:val="24"/>
        </w:rPr>
        <w:t xml:space="preserve">中小企业定义：</w:t>
      </w:r>
      <w:r>
        <w:rPr>
          <w:rFonts w:hint="eastAsia" w:ascii="宋体" w:hAnsi="宋体" w:eastAsia="宋体" w:cs="宋体"/>
          <w:color w:val="000000"/>
          <w:sz w:val="24"/>
        </w:rPr>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4.2.1.1</w:t>
      </w: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4.2.1.2</w:t>
      </w:r>
      <w:r>
        <w:rPr>
          <w:rFonts w:hint="eastAsia" w:ascii="宋体" w:hAnsi="宋体" w:eastAsia="宋体" w:cs="宋体"/>
          <w:color w:val="000000"/>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4.2.1.3</w:t>
      </w:r>
      <w:r>
        <w:rPr>
          <w:rFonts w:hint="eastAsia" w:ascii="宋体" w:hAnsi="宋体" w:eastAsia="宋体" w:cs="宋体"/>
          <w:color w:val="000000"/>
          <w:sz w:val="24"/>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4.2.1.4</w:t>
      </w:r>
      <w:r>
        <w:rPr>
          <w:rFonts w:hint="eastAsia" w:ascii="宋体" w:hAnsi="宋体" w:eastAsia="宋体" w:cs="宋体"/>
          <w:color w:val="000000"/>
          <w:sz w:val="24"/>
        </w:rPr>
        <w:t xml:space="preserve">以联合体形式参加政府采购活动，联合体各方均为中小企业的，联合体视同中小企业。其中，联合体各方均为小微企业的，联合体视同小微企业。</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4.2.2</w:t>
      </w:r>
      <w:r>
        <w:rPr>
          <w:rFonts w:hint="eastAsia" w:ascii="宋体" w:hAnsi="宋体" w:eastAsia="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w:t>
      </w:r>
      <w:r>
        <w:rPr>
          <w:rFonts w:hint="eastAsia" w:ascii="宋体" w:hAnsi="宋体" w:eastAsia="宋体" w:cs="宋体"/>
          <w:color w:val="000000"/>
          <w:sz w:val="24"/>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4.2.3.1</w:t>
      </w:r>
      <w:r>
        <w:rPr>
          <w:rFonts w:hint="eastAsia" w:ascii="宋体" w:hAnsi="宋体" w:eastAsia="宋体" w:cs="宋体"/>
          <w:color w:val="000000"/>
          <w:sz w:val="24"/>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4.2.3.2</w:t>
      </w:r>
      <w:r>
        <w:rPr>
          <w:rFonts w:hint="eastAsia" w:ascii="宋体" w:hAnsi="宋体" w:eastAsia="宋体" w:cs="宋体"/>
          <w:color w:val="000000"/>
          <w:sz w:val="24"/>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4.2.3.3</w:t>
      </w:r>
      <w:r>
        <w:rPr>
          <w:rFonts w:hint="eastAsia" w:ascii="宋体" w:hAnsi="宋体" w:eastAsia="宋体" w:cs="宋体"/>
          <w:color w:val="000000"/>
          <w:sz w:val="24"/>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4.2.3.4</w:t>
      </w:r>
      <w:r>
        <w:rPr>
          <w:rFonts w:hint="eastAsia" w:ascii="宋体" w:hAnsi="宋体" w:eastAsia="宋体" w:cs="宋体"/>
          <w:color w:val="000000"/>
          <w:sz w:val="24"/>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4.2.3.5</w:t>
      </w:r>
      <w:r>
        <w:rPr>
          <w:rFonts w:hint="eastAsia" w:ascii="宋体" w:hAnsi="宋体" w:eastAsia="宋体" w:cs="宋体"/>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4.2.3.6</w:t>
      </w:r>
      <w:r>
        <w:rPr>
          <w:rFonts w:hint="eastAsia" w:ascii="宋体" w:hAnsi="宋体" w:eastAsia="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4.2.4</w:t>
      </w:r>
      <w:r>
        <w:rPr>
          <w:rFonts w:hint="eastAsia" w:ascii="宋体" w:hAnsi="宋体" w:eastAsia="宋体" w:cs="宋体"/>
          <w:color w:val="000000"/>
          <w:sz w:val="24"/>
        </w:rPr>
        <w:t xml:space="preserve">本项目是否专门面向中小企业预留采购份额见第一章《采购邀请》。</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4.2.5</w:t>
      </w:r>
      <w:r>
        <w:rPr>
          <w:rFonts w:hint="eastAsia" w:ascii="宋体" w:hAnsi="宋体" w:eastAsia="宋体" w:cs="宋体"/>
          <w:color w:val="000000"/>
          <w:sz w:val="24"/>
        </w:rPr>
        <w:t xml:space="preserve">采购标的对应的中小企业划分标准所属行业见《供应商须知资料表》。</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4.2.6</w:t>
      </w:r>
      <w:r>
        <w:rPr>
          <w:rFonts w:hint="eastAsia" w:ascii="宋体" w:hAnsi="宋体" w:eastAsia="宋体" w:cs="宋体"/>
          <w:color w:val="000000"/>
          <w:sz w:val="24"/>
        </w:rPr>
        <w:t xml:space="preserve">小微企业价格评审优惠的政策调整：见第三章《评审方法和评审标准》。</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4.3</w:t>
      </w:r>
      <w:r>
        <w:rPr>
          <w:rFonts w:hint="eastAsia" w:ascii="宋体" w:hAnsi="宋体" w:eastAsia="宋体" w:cs="宋体"/>
          <w:color w:val="000000"/>
          <w:sz w:val="24"/>
        </w:rPr>
        <w:t xml:space="preserve">政府采购节能产品、环境标志产品</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4.3.1</w:t>
      </w:r>
      <w:r>
        <w:rPr>
          <w:rFonts w:hint="eastAsia" w:ascii="宋体" w:hAnsi="宋体" w:eastAsia="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4.3.2</w:t>
      </w:r>
      <w:r>
        <w:rPr>
          <w:rFonts w:hint="eastAsia" w:ascii="宋体" w:hAnsi="宋体" w:eastAsia="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4.3.3</w:t>
      </w:r>
      <w:r>
        <w:rPr>
          <w:rFonts w:hint="eastAsia" w:ascii="宋体" w:hAnsi="宋体" w:eastAsia="宋体" w:cs="宋体"/>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4.3.4</w:t>
      </w:r>
      <w:r>
        <w:rPr>
          <w:rFonts w:hint="eastAsia" w:ascii="宋体" w:hAnsi="宋体" w:eastAsia="宋体" w:cs="宋体"/>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0"/>
        </w:numPr>
        <w:ind w:left="1980" w:hanging="900"/>
        <w:spacing w:line="360" w:lineRule="auto"/>
        <w:tabs>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4.3.5</w:t>
      </w:r>
      <w:r>
        <w:rPr>
          <w:rFonts w:hint="eastAsia" w:ascii="宋体" w:hAnsi="宋体" w:eastAsia="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4.4</w:t>
      </w:r>
      <w:r>
        <w:rPr>
          <w:rFonts w:hint="eastAsia" w:ascii="宋体" w:hAnsi="宋体" w:eastAsia="宋体" w:cs="宋体"/>
          <w:color w:val="000000"/>
          <w:sz w:val="24"/>
        </w:rPr>
        <w:t xml:space="preserve">支持乡村产业振兴管理</w:t>
      </w:r>
      <w:r/>
    </w:p>
    <w:p>
      <w:pPr>
        <w:numPr>
          <w:ilvl w:val="2"/>
          <w:numId w:val="0"/>
        </w:numPr>
        <w:ind w:left="1980" w:hanging="900"/>
        <w:spacing w:line="360" w:lineRule="auto"/>
        <w:tabs>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4.4.1</w:t>
      </w:r>
      <w:r>
        <w:rPr>
          <w:rFonts w:hint="eastAsia" w:ascii="宋体" w:hAnsi="宋体" w:eastAsia="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4.5</w:t>
      </w:r>
      <w:r>
        <w:rPr>
          <w:rFonts w:hint="eastAsia" w:ascii="宋体" w:hAnsi="宋体" w:eastAsia="宋体" w:cs="宋体"/>
          <w:color w:val="000000"/>
          <w:sz w:val="24"/>
        </w:rPr>
        <w:t xml:space="preserve">正版软件</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4.5.1</w:t>
      </w:r>
      <w:r>
        <w:rPr>
          <w:rFonts w:hint="eastAsia" w:ascii="宋体" w:hAnsi="宋体" w:eastAsia="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4.5.2</w:t>
      </w:r>
      <w:r>
        <w:rPr>
          <w:rFonts w:hint="eastAsia" w:ascii="宋体" w:hAnsi="宋体" w:eastAsia="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4.6</w:t>
      </w:r>
      <w:r>
        <w:rPr>
          <w:rFonts w:hint="eastAsia" w:ascii="宋体" w:hAnsi="宋体" w:eastAsia="宋体" w:cs="宋体"/>
          <w:color w:val="000000"/>
          <w:sz w:val="24"/>
        </w:rPr>
        <w:t xml:space="preserve">政府采购创新产品政策</w:t>
      </w:r>
      <w:r/>
    </w:p>
    <w:p>
      <w:pPr>
        <w:numPr>
          <w:ilvl w:val="2"/>
          <w:numId w:val="0"/>
        </w:numPr>
        <w:ind w:left="1980" w:hanging="900"/>
        <w:spacing w:line="360" w:lineRule="auto"/>
        <w:tabs>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4.6.1</w:t>
      </w:r>
      <w:r>
        <w:rPr>
          <w:rFonts w:hint="eastAsia" w:ascii="宋体" w:hAnsi="宋体" w:eastAsia="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4.7 绿色采购政策</w:t>
      </w:r>
      <w:r/>
    </w:p>
    <w:p>
      <w:pPr>
        <w:ind w:left="900"/>
        <w:spacing w:line="480" w:lineRule="exact"/>
        <w:rPr>
          <w:rFonts w:hint="eastAsia" w:ascii="宋体" w:hAnsi="宋体" w:eastAsia="宋体" w:cs="宋体"/>
          <w:b/>
          <w:color w:val="000000"/>
          <w:sz w:val="24"/>
        </w:rPr>
      </w:pPr>
      <w:r>
        <w:rPr>
          <w:rFonts w:hint="eastAsia" w:ascii="宋体" w:hAnsi="宋体" w:eastAsia="宋体" w:cs="宋体"/>
          <w:color w:val="000000"/>
          <w:sz w:val="24"/>
        </w:rPr>
        <w:t xml:space="preserve">4.7.1  </w:t>
      </w:r>
      <w:r>
        <w:rPr>
          <w:rFonts w:hint="eastAsia" w:ascii="宋体" w:hAnsi="宋体" w:eastAsia="宋体" w:cs="宋体"/>
          <w:b/>
          <w:color w:val="000000"/>
          <w:sz w:val="24"/>
        </w:rPr>
        <w:t xml:space="preserve">绿色数据中心政策 </w:t>
      </w:r>
      <w:r/>
    </w:p>
    <w:p>
      <w:pPr>
        <w:ind w:left="90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依据《绿色数据中心政府采购需求标准（试行）》（财办库〔2023〕7 号）文件精神，采购</w:t>
      </w:r>
      <w:r>
        <w:rPr>
          <w:rFonts w:hint="eastAsia" w:ascii="宋体" w:hAnsi="宋体" w:eastAsia="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4.7.2 推广应用绿色建材</w:t>
      </w:r>
      <w:r/>
    </w:p>
    <w:p>
      <w:pPr>
        <w:ind w:left="90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 4.7.3 优先使用低挥发性有机化合物产品</w:t>
      </w:r>
      <w:r/>
    </w:p>
    <w:p>
      <w:pPr>
        <w:ind w:left="900"/>
        <w:spacing w:line="360" w:lineRule="auto"/>
        <w:tabs>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5</w:t>
      </w:r>
      <w:r>
        <w:rPr>
          <w:rFonts w:hint="eastAsia" w:ascii="宋体" w:hAnsi="宋体" w:eastAsia="宋体" w:cs="宋体"/>
          <w:color w:val="000000"/>
          <w:sz w:val="24"/>
        </w:rPr>
        <w:t xml:space="preserve">响应费用</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5.1</w:t>
      </w:r>
      <w:r>
        <w:rPr>
          <w:rFonts w:hint="eastAsia" w:ascii="宋体" w:hAnsi="宋体" w:eastAsia="宋体" w:cs="宋体"/>
          <w:color w:val="000000"/>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000000"/>
          <w:sz w:val="28"/>
        </w:rPr>
      </w:pPr>
      <w:r/>
      <w:bookmarkStart w:id="122" w:name="_1.8_计量单位"/>
      <w:r/>
      <w:bookmarkEnd w:id="122"/>
      <w:r/>
      <w:r/>
    </w:p>
    <w:p>
      <w:pPr>
        <w:pStyle w:val="1112"/>
        <w:jc w:val="center"/>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竞争性磋商文件</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123" w:name="_Toc265228361"/>
      <w:r/>
      <w:bookmarkStart w:id="124" w:name="_Toc127161437"/>
      <w:r/>
      <w:bookmarkStart w:id="125" w:name="_Toc151193621"/>
      <w:r/>
      <w:bookmarkStart w:id="126" w:name="_Toc151193693"/>
      <w:r/>
      <w:bookmarkStart w:id="127" w:name="_Toc164351617"/>
      <w:r/>
      <w:bookmarkStart w:id="128" w:name="_Toc305158791"/>
      <w:r/>
      <w:bookmarkStart w:id="129" w:name="_Toc149720816"/>
      <w:r/>
      <w:bookmarkStart w:id="130" w:name="_Toc226965713"/>
      <w:r/>
      <w:bookmarkStart w:id="131" w:name="_Toc164608637"/>
      <w:r/>
      <w:bookmarkStart w:id="132" w:name="_Toc164229218"/>
      <w:r/>
      <w:bookmarkStart w:id="133" w:name="_Toc164229364"/>
      <w:r/>
      <w:bookmarkStart w:id="134" w:name="_Toc142311025"/>
      <w:r/>
      <w:bookmarkStart w:id="135" w:name="_Toc520356147"/>
      <w:r/>
      <w:bookmarkStart w:id="136" w:name="_Toc305158865"/>
      <w:r/>
      <w:bookmarkStart w:id="137" w:name="_Toc264969213"/>
      <w:r/>
      <w:bookmarkStart w:id="138" w:name="_Toc151190150"/>
      <w:r/>
      <w:bookmarkStart w:id="139" w:name="_Toc150774728"/>
      <w:r/>
      <w:bookmarkStart w:id="140" w:name="_Toc150774623"/>
      <w:r/>
      <w:bookmarkStart w:id="141" w:name="_Toc151193837"/>
      <w:r/>
      <w:bookmarkStart w:id="142" w:name="_Toc226337219"/>
      <w:r/>
      <w:bookmarkStart w:id="143" w:name="_Toc150480761"/>
      <w:r/>
      <w:bookmarkStart w:id="144" w:name="_Toc195842888"/>
      <w:r/>
      <w:bookmarkStart w:id="145" w:name="_Toc226965796"/>
      <w:r/>
      <w:bookmarkStart w:id="146" w:name="_Toc150509274"/>
      <w:r/>
      <w:bookmarkStart w:id="147" w:name="_Toc151193765"/>
      <w:r/>
      <w:bookmarkStart w:id="148" w:name="_Toc127151724"/>
      <w:r/>
      <w:bookmarkStart w:id="149" w:name="_Toc127151523"/>
      <w:r/>
      <w:bookmarkStart w:id="150" w:name="_Toc226309767"/>
      <w:r/>
      <w:bookmarkStart w:id="151" w:name="_Toc164608792"/>
      <w:r/>
      <w:bookmarkStart w:id="152" w:name="_Toc151193911"/>
      <w:r>
        <w:rPr>
          <w:rFonts w:hint="eastAsia" w:ascii="宋体" w:hAnsi="宋体" w:eastAsia="宋体" w:cs="宋体"/>
          <w:color w:val="000000"/>
          <w:sz w:val="24"/>
          <w:szCs w:val="22"/>
          <w:lang w:val="en-US" w:eastAsia="zh-CN" w:bidi="ar-SA"/>
        </w:rPr>
        <w:t xml:space="preserve">6</w:t>
      </w:r>
      <w:r>
        <w:rPr>
          <w:rFonts w:hint="eastAsia" w:ascii="宋体" w:hAnsi="宋体" w:eastAsia="宋体" w:cs="宋体"/>
          <w:color w:val="000000"/>
          <w:sz w:val="24"/>
        </w:rPr>
        <w:t xml:space="preserve">竞争性磋商文件构</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eastAsia="宋体" w:cs="宋体"/>
          <w:color w:val="000000"/>
          <w:sz w:val="24"/>
        </w:rPr>
        <w:t xml:space="preserve">成</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6.1</w:t>
      </w:r>
      <w:r>
        <w:rPr>
          <w:rFonts w:hint="eastAsia" w:ascii="宋体" w:hAnsi="宋体" w:eastAsia="宋体" w:cs="宋体"/>
          <w:color w:val="000000"/>
          <w:sz w:val="24"/>
        </w:rPr>
        <w:t xml:space="preserve">竞争性磋商文件包括以下部分：</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采购邀请</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供应商须知</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评审程序、评审方法和评审标准</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采购需求</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合同草案条款</w:t>
      </w:r>
      <w:r/>
    </w:p>
    <w:p>
      <w:pPr>
        <w:numPr>
          <w:ilvl w:val="0"/>
          <w:numId w:val="1"/>
        </w:numPr>
        <w:ind w:left="1440" w:firstLine="5"/>
        <w:spacing w:line="360" w:lineRule="auto"/>
        <w:tabs>
          <w:tab w:val="left" w:pos="1980" w:leader="none"/>
          <w:tab w:val="left" w:pos="2520" w:leader="none"/>
        </w:tabs>
        <w:rPr>
          <w:rFonts w:hint="eastAsia" w:ascii="宋体" w:hAnsi="宋体" w:eastAsia="宋体" w:cs="宋体"/>
          <w:color w:val="000000"/>
          <w:sz w:val="24"/>
        </w:rPr>
      </w:pPr>
      <w:r>
        <w:rPr>
          <w:rFonts w:hint="eastAsia" w:ascii="宋体" w:hAnsi="宋体" w:eastAsia="宋体" w:cs="宋体"/>
          <w:color w:val="000000"/>
          <w:sz w:val="24"/>
        </w:rPr>
        <w:t xml:space="preserve">响应文件格式</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6.2</w:t>
      </w:r>
      <w:r>
        <w:rPr>
          <w:rFonts w:hint="eastAsia" w:ascii="宋体" w:hAnsi="宋体" w:eastAsia="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0"/>
          <w:numId w:val="0"/>
        </w:numPr>
        <w:ind w:left="357" w:hanging="357"/>
        <w:spacing w:line="360" w:lineRule="auto"/>
        <w:tabs>
          <w:tab w:val="left" w:pos="1080" w:leader="none"/>
          <w:tab w:val="left" w:pos="2014"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7</w:t>
      </w:r>
      <w:r>
        <w:rPr>
          <w:rFonts w:hint="eastAsia" w:ascii="宋体" w:hAnsi="宋体" w:eastAsia="宋体" w:cs="宋体"/>
          <w:color w:val="000000"/>
          <w:sz w:val="24"/>
        </w:rPr>
        <w:t xml:space="preserve">对竞争性磋商文件的澄清或修改</w:t>
      </w:r>
      <w:r/>
    </w:p>
    <w:p>
      <w:pPr>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7.1</w:t>
      </w:r>
      <w:r>
        <w:rPr>
          <w:rFonts w:hint="eastAsia" w:ascii="宋体" w:hAnsi="宋体" w:eastAsia="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0"/>
        </w:numPr>
        <w:ind w:left="1080" w:hanging="720"/>
        <w:spacing w:line="360" w:lineRule="auto"/>
        <w:tabs>
          <w:tab w:val="left" w:pos="1080" w:leader="none"/>
          <w:tab w:val="left" w:pos="1561"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7.2</w:t>
      </w:r>
      <w:r>
        <w:rPr>
          <w:rFonts w:hint="eastAsia" w:ascii="宋体" w:hAnsi="宋体" w:eastAsia="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hint="eastAsia" w:ascii="宋体" w:hAnsi="宋体" w:eastAsia="宋体" w:cs="宋体"/>
          <w:color w:val="000000"/>
          <w:sz w:val="28"/>
        </w:rPr>
      </w:pPr>
      <w:r/>
      <w:bookmarkStart w:id="153" w:name="_Toc516367020"/>
      <w:r/>
      <w:bookmarkStart w:id="154" w:name="_Toc305158794"/>
      <w:r/>
      <w:bookmarkStart w:id="155" w:name="_Toc151190153"/>
      <w:r/>
      <w:bookmarkStart w:id="156" w:name="_Toc264969216"/>
      <w:r/>
      <w:bookmarkStart w:id="157" w:name="_Toc142311028"/>
      <w:r/>
      <w:bookmarkStart w:id="158" w:name="_Toc265228364"/>
      <w:r/>
      <w:bookmarkStart w:id="159" w:name="_Toc305158868"/>
      <w:r/>
      <w:bookmarkStart w:id="160" w:name="_Toc150774731"/>
      <w:r/>
      <w:bookmarkStart w:id="161" w:name="_Toc127151526"/>
      <w:r/>
      <w:bookmarkStart w:id="162" w:name="_Toc226337222"/>
      <w:r/>
      <w:bookmarkStart w:id="163" w:name="_Toc226965716"/>
      <w:r/>
      <w:bookmarkStart w:id="164" w:name="_Toc151193696"/>
      <w:r/>
      <w:bookmarkStart w:id="165" w:name="_Toc151193624"/>
      <w:r/>
      <w:bookmarkStart w:id="166" w:name="_Toc520356150"/>
      <w:r/>
      <w:bookmarkStart w:id="167" w:name="_Toc151193768"/>
      <w:r/>
      <w:bookmarkStart w:id="168" w:name="_Toc150509277"/>
      <w:r/>
      <w:bookmarkStart w:id="169" w:name="_Toc226965799"/>
      <w:r/>
      <w:bookmarkStart w:id="170" w:name="_Toc150480764"/>
      <w:r/>
      <w:bookmarkStart w:id="171" w:name="_Toc195842891"/>
      <w:r/>
      <w:bookmarkStart w:id="172" w:name="_Toc150774626"/>
      <w:r/>
      <w:bookmarkStart w:id="173" w:name="_Toc151193914"/>
      <w:r/>
      <w:bookmarkStart w:id="174" w:name="_Toc226309770"/>
      <w:r/>
      <w:bookmarkStart w:id="175" w:name="_Toc151193840"/>
      <w:r/>
      <w:r/>
    </w:p>
    <w:p>
      <w:pPr>
        <w:pStyle w:val="1112"/>
        <w:jc w:val="center"/>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响应文件</w:t>
      </w:r>
      <w:bookmarkEnd w:id="153"/>
      <w:r>
        <w:rPr>
          <w:rFonts w:hint="eastAsia" w:ascii="宋体" w:hAnsi="宋体" w:eastAsia="宋体" w:cs="宋体"/>
          <w:color w:val="000000"/>
          <w:sz w:val="28"/>
        </w:rPr>
        <w:t xml:space="preserve">的编制</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176" w:name="_Toc151193697"/>
      <w:r/>
      <w:bookmarkStart w:id="177" w:name="_Toc226309771"/>
      <w:r/>
      <w:bookmarkStart w:id="178" w:name="_Toc150480765"/>
      <w:r/>
      <w:bookmarkStart w:id="179" w:name="_Toc164608796"/>
      <w:r/>
      <w:bookmarkStart w:id="180" w:name="_Toc150774732"/>
      <w:r/>
      <w:bookmarkStart w:id="181" w:name="_Toc151190154"/>
      <w:r/>
      <w:bookmarkStart w:id="182" w:name="_Toc226337223"/>
      <w:r/>
      <w:bookmarkStart w:id="183" w:name="_Toc226965800"/>
      <w:r/>
      <w:bookmarkStart w:id="184" w:name="_Toc151193769"/>
      <w:r/>
      <w:bookmarkStart w:id="185" w:name="_Toc150774627"/>
      <w:r/>
      <w:bookmarkStart w:id="186" w:name="_Toc516367021"/>
      <w:r/>
      <w:bookmarkStart w:id="187" w:name="_Toc151193625"/>
      <w:r/>
      <w:bookmarkStart w:id="188" w:name="_Toc195842892"/>
      <w:r/>
      <w:bookmarkStart w:id="189" w:name="_Toc149720820"/>
      <w:r/>
      <w:bookmarkStart w:id="190" w:name="_Toc305158795"/>
      <w:r/>
      <w:bookmarkStart w:id="191" w:name="_Toc164351621"/>
      <w:r/>
      <w:bookmarkStart w:id="192" w:name="_Toc520356151"/>
      <w:r/>
      <w:bookmarkStart w:id="193" w:name="_Toc164229368"/>
      <w:r/>
      <w:bookmarkStart w:id="194" w:name="_Toc305158869"/>
      <w:r/>
      <w:bookmarkStart w:id="195" w:name="_Toc127151527"/>
      <w:r/>
      <w:bookmarkStart w:id="196" w:name="_Toc151193841"/>
      <w:r/>
      <w:bookmarkStart w:id="197" w:name="_Toc164608641"/>
      <w:r/>
      <w:bookmarkStart w:id="198" w:name="_Toc127151728"/>
      <w:r/>
      <w:bookmarkStart w:id="199" w:name="_Toc150509278"/>
      <w:r/>
      <w:bookmarkStart w:id="200" w:name="_Toc264969217"/>
      <w:r/>
      <w:bookmarkStart w:id="201" w:name="_Toc151193915"/>
      <w:r/>
      <w:bookmarkStart w:id="202" w:name="_Toc127161441"/>
      <w:r/>
      <w:bookmarkStart w:id="203" w:name="_Toc226965717"/>
      <w:r/>
      <w:bookmarkStart w:id="204" w:name="_Toc164229222"/>
      <w:r/>
      <w:bookmarkStart w:id="205" w:name="_Toc265228365"/>
      <w:r/>
      <w:bookmarkStart w:id="206" w:name="_Toc142311029"/>
      <w:r>
        <w:rPr>
          <w:rFonts w:hint="eastAsia" w:ascii="宋体" w:hAnsi="宋体" w:eastAsia="宋体" w:cs="宋体"/>
          <w:color w:val="000000"/>
          <w:sz w:val="24"/>
          <w:szCs w:val="22"/>
          <w:lang w:val="en-US" w:eastAsia="zh-CN" w:bidi="ar-SA"/>
        </w:rPr>
        <w:t xml:space="preserve">8</w:t>
      </w:r>
      <w:r>
        <w:rPr>
          <w:rFonts w:hint="eastAsia" w:ascii="宋体" w:hAnsi="宋体" w:eastAsia="宋体" w:cs="宋体"/>
          <w:color w:val="000000"/>
          <w:sz w:val="24"/>
        </w:rPr>
        <w:t xml:space="preserve">响应范围、竞争性磋商文件中计量单位的使用</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eastAsia="宋体" w:cs="宋体"/>
          <w:color w:val="000000"/>
          <w:sz w:val="24"/>
        </w:rPr>
        <w:t xml:space="preserve">及磋商语言</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8.1</w:t>
      </w:r>
      <w:r>
        <w:rPr>
          <w:rFonts w:hint="eastAsia" w:ascii="宋体" w:hAnsi="宋体" w:eastAsia="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8.2</w:t>
      </w:r>
      <w:r>
        <w:rPr>
          <w:rFonts w:hint="eastAsia" w:ascii="宋体" w:hAnsi="宋体" w:eastAsia="宋体" w:cs="宋体"/>
          <w:color w:val="000000"/>
          <w:sz w:val="24"/>
        </w:rPr>
        <w:t xml:space="preserve">除竞争性磋商文件有特殊要求外，本项目磋商所使用的计量单位，应采用中华人民共和国法定计量单位。</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8.3</w:t>
      </w:r>
      <w:r>
        <w:rPr>
          <w:rFonts w:hint="eastAsia" w:ascii="宋体" w:hAnsi="宋体" w:eastAsia="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207" w:name="_Ref467306676"/>
      <w:r/>
      <w:bookmarkStart w:id="208" w:name="_Toc516367022"/>
      <w:r/>
      <w:bookmarkStart w:id="209" w:name="_Ref467306195"/>
      <w:r/>
      <w:bookmarkStart w:id="210" w:name="_Toc150774733"/>
      <w:r/>
      <w:bookmarkStart w:id="211" w:name="_Toc265228366"/>
      <w:r/>
      <w:bookmarkStart w:id="212" w:name="_Toc151193626"/>
      <w:r/>
      <w:bookmarkStart w:id="213" w:name="_Toc151193916"/>
      <w:r/>
      <w:bookmarkStart w:id="214" w:name="_Toc149720821"/>
      <w:r/>
      <w:bookmarkStart w:id="215" w:name="_Toc164351622"/>
      <w:r/>
      <w:bookmarkStart w:id="216" w:name="_Toc150480766"/>
      <w:r/>
      <w:bookmarkStart w:id="217" w:name="_Toc520356152"/>
      <w:r/>
      <w:bookmarkStart w:id="218" w:name="_Toc150774628"/>
      <w:r/>
      <w:bookmarkStart w:id="219" w:name="_Toc151193770"/>
      <w:r/>
      <w:bookmarkStart w:id="220" w:name="_Toc164229223"/>
      <w:r/>
      <w:bookmarkStart w:id="221" w:name="_Toc151193842"/>
      <w:r/>
      <w:bookmarkStart w:id="222" w:name="_Toc195842893"/>
      <w:r/>
      <w:bookmarkStart w:id="223" w:name="_Toc226337224"/>
      <w:r/>
      <w:bookmarkStart w:id="224" w:name="_Toc226309772"/>
      <w:r/>
      <w:bookmarkStart w:id="225" w:name="_Toc151193698"/>
      <w:r/>
      <w:bookmarkStart w:id="226" w:name="_Toc127151729"/>
      <w:r/>
      <w:bookmarkStart w:id="227" w:name="_Toc151190155"/>
      <w:r/>
      <w:bookmarkStart w:id="228" w:name="_Toc127161442"/>
      <w:r/>
      <w:bookmarkStart w:id="229" w:name="_Toc164608797"/>
      <w:r/>
      <w:bookmarkStart w:id="230" w:name="_Toc142311030"/>
      <w:r/>
      <w:bookmarkStart w:id="231" w:name="_Toc226965801"/>
      <w:r/>
      <w:bookmarkStart w:id="232" w:name="_Toc164229369"/>
      <w:r/>
      <w:bookmarkStart w:id="233" w:name="_Toc150509279"/>
      <w:r/>
      <w:bookmarkStart w:id="234" w:name="_Toc305158870"/>
      <w:r/>
      <w:bookmarkStart w:id="235" w:name="_Toc226965718"/>
      <w:r/>
      <w:bookmarkStart w:id="236" w:name="_Toc164608642"/>
      <w:r/>
      <w:bookmarkStart w:id="237" w:name="_Toc305158796"/>
      <w:r/>
      <w:bookmarkStart w:id="238" w:name="_Toc264969218"/>
      <w:r/>
      <w:bookmarkStart w:id="239" w:name="_Toc127151528"/>
      <w:r>
        <w:rPr>
          <w:rFonts w:hint="eastAsia" w:ascii="宋体" w:hAnsi="宋体" w:eastAsia="宋体" w:cs="宋体"/>
          <w:color w:val="000000"/>
          <w:sz w:val="24"/>
          <w:szCs w:val="22"/>
          <w:lang w:val="en-US" w:eastAsia="zh-CN" w:bidi="ar-SA"/>
        </w:rPr>
        <w:t xml:space="preserve">9</w:t>
      </w:r>
      <w:r>
        <w:rPr>
          <w:rFonts w:hint="eastAsia" w:ascii="宋体" w:hAnsi="宋体" w:eastAsia="宋体" w:cs="宋体"/>
          <w:color w:val="000000"/>
          <w:sz w:val="24"/>
        </w:rPr>
        <w:t xml:space="preserve">响应文件</w:t>
      </w:r>
      <w:bookmarkEnd w:id="207"/>
      <w:r/>
      <w:bookmarkEnd w:id="208"/>
      <w:r/>
      <w:bookmarkEnd w:id="209"/>
      <w:r>
        <w:rPr>
          <w:rFonts w:hint="eastAsia" w:ascii="宋体" w:hAnsi="宋体" w:eastAsia="宋体" w:cs="宋体"/>
          <w:color w:val="000000"/>
          <w:sz w:val="24"/>
        </w:rPr>
        <w:t xml:space="preserve">构成</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bookmarkStart w:id="240" w:name="_Ref467052588"/>
      <w:r>
        <w:rPr>
          <w:rFonts w:hint="eastAsia" w:ascii="宋体" w:hAnsi="宋体" w:eastAsia="宋体" w:cs="宋体"/>
          <w:color w:val="000000"/>
          <w:sz w:val="24"/>
          <w:szCs w:val="24"/>
          <w:lang w:val="en-US" w:eastAsia="zh-CN" w:bidi="ar-SA"/>
        </w:rPr>
        <w:t xml:space="preserve">9.1</w:t>
      </w:r>
      <w:r>
        <w:rPr>
          <w:rFonts w:hint="eastAsia" w:ascii="宋体" w:hAnsi="宋体" w:eastAsia="宋体" w:cs="宋体"/>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9.2</w:t>
      </w:r>
      <w:r>
        <w:rPr>
          <w:rFonts w:hint="eastAsia" w:ascii="宋体" w:hAnsi="宋体" w:eastAsia="宋体" w:cs="宋体"/>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4"/>
        </w:rPr>
        <w:t xml:space="preserve">否则响应无效</w:t>
      </w:r>
      <w:r>
        <w:rPr>
          <w:rFonts w:hint="eastAsia" w:ascii="宋体" w:hAnsi="宋体" w:eastAsia="宋体" w:cs="宋体"/>
          <w:color w:val="000000"/>
          <w:sz w:val="24"/>
        </w:rPr>
        <w:t xml:space="preserve">。未标记“实质性格式”的文件和竞争性磋商文件未提供格式的内容，可由供应商自行编写。</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9.3</w:t>
      </w:r>
      <w:r>
        <w:rPr>
          <w:rFonts w:hint="eastAsia" w:ascii="宋体" w:hAnsi="宋体" w:eastAsia="宋体" w:cs="宋体"/>
          <w:color w:val="000000"/>
          <w:sz w:val="24"/>
        </w:rPr>
        <w:t xml:space="preserve">第三章《评审方法和评审标准》中涉及的证明文件。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9.4</w:t>
      </w:r>
      <w:r>
        <w:rPr>
          <w:rFonts w:hint="eastAsia" w:ascii="宋体" w:hAnsi="宋体" w:eastAsia="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9.5</w:t>
      </w:r>
      <w:r>
        <w:rPr>
          <w:rFonts w:hint="eastAsia" w:ascii="宋体" w:hAnsi="宋体" w:eastAsia="宋体" w:cs="宋体"/>
          <w:color w:val="000000"/>
          <w:sz w:val="24"/>
        </w:rPr>
        <w:t xml:space="preserve">供应商认为应附的其他材料。</w:t>
      </w:r>
      <w:bookmarkEnd w:id="240"/>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241" w:name="_Toc151193772"/>
      <w:r/>
      <w:bookmarkStart w:id="242" w:name="_Toc150774630"/>
      <w:r/>
      <w:bookmarkStart w:id="243" w:name="_Toc150774735"/>
      <w:r/>
      <w:bookmarkStart w:id="244" w:name="_Toc142311032"/>
      <w:r/>
      <w:bookmarkStart w:id="245" w:name="_Toc164351624"/>
      <w:r/>
      <w:bookmarkStart w:id="246" w:name="_Toc151193918"/>
      <w:r/>
      <w:bookmarkStart w:id="247" w:name="_Toc150509281"/>
      <w:r/>
      <w:bookmarkStart w:id="248" w:name="_Toc127151731"/>
      <w:r/>
      <w:bookmarkStart w:id="249" w:name="_Toc164608799"/>
      <w:r/>
      <w:bookmarkStart w:id="250" w:name="_Toc127151530"/>
      <w:r/>
      <w:bookmarkStart w:id="251" w:name="_Toc164229371"/>
      <w:r/>
      <w:bookmarkStart w:id="252" w:name="_Toc151193700"/>
      <w:r/>
      <w:bookmarkStart w:id="253" w:name="_Toc151193844"/>
      <w:r/>
      <w:bookmarkStart w:id="254" w:name="_Toc150480768"/>
      <w:r/>
      <w:bookmarkStart w:id="255" w:name="_Toc151193628"/>
      <w:r/>
      <w:bookmarkStart w:id="256" w:name="_Toc164608644"/>
      <w:r/>
      <w:bookmarkStart w:id="257" w:name="_Toc149720823"/>
      <w:r/>
      <w:bookmarkStart w:id="258" w:name="_Toc151190157"/>
      <w:r/>
      <w:bookmarkStart w:id="259" w:name="_Toc164229225"/>
      <w:r/>
      <w:bookmarkStart w:id="260" w:name="_Toc520356155"/>
      <w:r/>
      <w:bookmarkStart w:id="261" w:name="_Toc127161444"/>
      <w:r/>
      <w:bookmarkStart w:id="262" w:name="_Toc195842895"/>
      <w:r>
        <w:rPr>
          <w:rFonts w:hint="eastAsia" w:ascii="宋体" w:hAnsi="宋体" w:eastAsia="宋体" w:cs="宋体"/>
          <w:color w:val="000000"/>
          <w:sz w:val="24"/>
          <w:szCs w:val="22"/>
          <w:lang w:val="en-US" w:eastAsia="zh-CN" w:bidi="ar-SA"/>
        </w:rPr>
        <w:t xml:space="preserve">10</w:t>
      </w:r>
      <w:r>
        <w:rPr>
          <w:rFonts w:hint="eastAsia" w:ascii="宋体" w:hAnsi="宋体" w:eastAsia="宋体" w:cs="宋体"/>
          <w:color w:val="000000"/>
          <w:sz w:val="24"/>
        </w:rPr>
        <w:t xml:space="preserve">报价</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10.1</w:t>
      </w:r>
      <w:r>
        <w:rPr>
          <w:rFonts w:hint="eastAsia" w:ascii="宋体" w:hAnsi="宋体" w:eastAsia="宋体" w:cs="宋体"/>
          <w:color w:val="000000"/>
          <w:sz w:val="24"/>
        </w:rPr>
        <w:t xml:space="preserve">所有响应均以人民币报价。</w:t>
      </w:r>
      <w:r/>
    </w:p>
    <w:p>
      <w:pPr>
        <w:numPr>
          <w:ilvl w:val="1"/>
          <w:numId w:val="0"/>
        </w:numPr>
        <w:ind w:left="1468" w:hanging="90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10.2</w:t>
      </w:r>
      <w:r>
        <w:rPr>
          <w:rFonts w:hint="eastAsia" w:ascii="宋体" w:hAnsi="宋体" w:eastAsia="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10.2.1</w:t>
      </w:r>
      <w:r>
        <w:rPr>
          <w:rFonts w:hint="eastAsia" w:ascii="宋体" w:hAnsi="宋体" w:eastAsia="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10.2.2</w:t>
      </w:r>
      <w:r>
        <w:rPr>
          <w:rFonts w:hint="eastAsia" w:ascii="宋体" w:hAnsi="宋体" w:eastAsia="宋体" w:cs="宋体"/>
          <w:color w:val="000000"/>
          <w:sz w:val="24"/>
        </w:rPr>
        <w:t xml:space="preserve">按照竞争性磋商文件要求完成本项目的全部相关工程或服务费用。</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10.3</w:t>
      </w:r>
      <w:r>
        <w:rPr>
          <w:rFonts w:hint="eastAsia" w:ascii="宋体" w:hAnsi="宋体" w:eastAsia="宋体" w:cs="宋体"/>
          <w:color w:val="000000"/>
          <w:sz w:val="24"/>
        </w:rPr>
        <w:t xml:space="preserve">采购人不得向供应商索要或者接受其给予的赠品、回扣或者与采购无关的其他商品、服务。</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10.4</w:t>
      </w:r>
      <w:r>
        <w:rPr>
          <w:rFonts w:hint="eastAsia" w:ascii="宋体" w:hAnsi="宋体" w:eastAsia="宋体" w:cs="宋体"/>
          <w:color w:val="000000"/>
          <w:sz w:val="24"/>
        </w:rPr>
        <w:t xml:space="preserve">供应商不能提供任何有选择性或可调整的最终报价（竞争性磋商文件另有规定的除外），否则其</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11</w:t>
      </w:r>
      <w:r>
        <w:rPr>
          <w:rFonts w:hint="eastAsia" w:ascii="宋体" w:hAnsi="宋体" w:eastAsia="宋体" w:cs="宋体"/>
          <w:color w:val="000000"/>
          <w:sz w:val="24"/>
        </w:rPr>
        <w:t xml:space="preserve">磋商保证金</w:t>
      </w:r>
      <w:r/>
    </w:p>
    <w:p>
      <w:pPr>
        <w:ind w:firstLine="36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rPr>
        <w:t xml:space="preserve">根据江苏省和常州市的相关文件规定，免收保证金。</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12</w:t>
      </w:r>
      <w:r>
        <w:rPr>
          <w:rFonts w:hint="eastAsia" w:ascii="宋体" w:hAnsi="宋体" w:eastAsia="宋体" w:cs="宋体"/>
          <w:color w:val="000000"/>
          <w:sz w:val="24"/>
        </w:rPr>
        <w:t xml:space="preserve">响应有效期</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12.1</w:t>
      </w:r>
      <w:r>
        <w:rPr>
          <w:rFonts w:hint="eastAsia" w:ascii="宋体" w:hAnsi="宋体" w:eastAsia="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263" w:name="_Toc226337229"/>
      <w:r/>
      <w:bookmarkStart w:id="264" w:name="_Toc151193775"/>
      <w:r/>
      <w:bookmarkStart w:id="265" w:name="_Toc226965806"/>
      <w:r/>
      <w:bookmarkStart w:id="266" w:name="_Toc164229228"/>
      <w:r/>
      <w:bookmarkStart w:id="267" w:name="_Toc520356158"/>
      <w:r/>
      <w:bookmarkStart w:id="268" w:name="_Toc127161447"/>
      <w:r/>
      <w:bookmarkStart w:id="269" w:name="_Toc164608802"/>
      <w:r/>
      <w:bookmarkStart w:id="270" w:name="_Toc151193703"/>
      <w:r/>
      <w:bookmarkStart w:id="271" w:name="_Toc305158875"/>
      <w:r/>
      <w:bookmarkStart w:id="272" w:name="_Toc264969223"/>
      <w:r/>
      <w:bookmarkStart w:id="273" w:name="_Toc195842898"/>
      <w:r/>
      <w:bookmarkStart w:id="274" w:name="_Toc226965723"/>
      <w:r/>
      <w:bookmarkStart w:id="275" w:name="_Toc127151533"/>
      <w:r/>
      <w:bookmarkStart w:id="276" w:name="_Toc164608647"/>
      <w:r/>
      <w:bookmarkStart w:id="277" w:name="_Toc150774738"/>
      <w:r/>
      <w:bookmarkStart w:id="278" w:name="_Toc265228371"/>
      <w:r/>
      <w:bookmarkStart w:id="279" w:name="_Toc305158801"/>
      <w:r/>
      <w:bookmarkStart w:id="280" w:name="_Toc151193921"/>
      <w:r/>
      <w:bookmarkStart w:id="281" w:name="_Toc127151734"/>
      <w:r/>
      <w:bookmarkStart w:id="282" w:name="_Toc142311035"/>
      <w:r/>
      <w:bookmarkStart w:id="283" w:name="_Toc150480771"/>
      <w:r/>
      <w:bookmarkStart w:id="284" w:name="_Toc164351627"/>
      <w:r/>
      <w:bookmarkStart w:id="285" w:name="_Toc226309777"/>
      <w:r/>
      <w:bookmarkStart w:id="286" w:name="_Toc150774633"/>
      <w:r/>
      <w:bookmarkStart w:id="287" w:name="_Toc151193847"/>
      <w:r/>
      <w:bookmarkStart w:id="288" w:name="_Toc164229374"/>
      <w:r/>
      <w:bookmarkStart w:id="289" w:name="_Toc151193631"/>
      <w:r/>
      <w:bookmarkStart w:id="290" w:name="_Toc151190160"/>
      <w:r/>
      <w:bookmarkStart w:id="291" w:name="_Toc149720826"/>
      <w:r/>
      <w:bookmarkStart w:id="292" w:name="_Toc150509284"/>
      <w:r>
        <w:rPr>
          <w:rFonts w:hint="eastAsia" w:ascii="宋体" w:hAnsi="宋体" w:eastAsia="宋体" w:cs="宋体"/>
          <w:color w:val="000000"/>
          <w:sz w:val="24"/>
          <w:szCs w:val="22"/>
          <w:lang w:val="en-US" w:eastAsia="zh-CN" w:bidi="ar-SA"/>
        </w:rPr>
        <w:t xml:space="preserve">13</w:t>
      </w:r>
      <w:r>
        <w:rPr>
          <w:rFonts w:hint="eastAsia" w:ascii="宋体" w:hAnsi="宋体" w:eastAsia="宋体" w:cs="宋体"/>
          <w:color w:val="000000"/>
          <w:sz w:val="24"/>
        </w:rPr>
        <w:t xml:space="preserve">响应文件的签署</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eastAsia="宋体" w:cs="宋体"/>
          <w:color w:val="000000"/>
          <w:sz w:val="24"/>
        </w:rPr>
        <w:t xml:space="preserve">、盖章</w:t>
      </w:r>
      <w:r/>
    </w:p>
    <w:p>
      <w:pPr>
        <w:numPr>
          <w:ilvl w:val="1"/>
          <w:numId w:val="0"/>
        </w:numPr>
        <w:ind w:left="1468" w:hanging="900"/>
        <w:spacing w:line="360" w:lineRule="auto"/>
        <w:tabs>
          <w:tab w:val="left" w:pos="1080" w:leader="none"/>
        </w:tabs>
        <w:rPr>
          <w:rFonts w:hint="eastAsia" w:ascii="宋体" w:hAnsi="宋体" w:eastAsia="宋体" w:cs="宋体"/>
          <w:color w:val="000000"/>
          <w:sz w:val="24"/>
        </w:rPr>
      </w:pPr>
      <w:r/>
      <w:bookmarkStart w:id="293" w:name="_Toc195842899"/>
      <w:r/>
      <w:bookmarkStart w:id="294" w:name="_Toc127151534"/>
      <w:r/>
      <w:bookmarkStart w:id="295" w:name="_Toc305158802"/>
      <w:r/>
      <w:bookmarkStart w:id="296" w:name="_Toc305158876"/>
      <w:r/>
      <w:bookmarkStart w:id="297" w:name="_Toc150509285"/>
      <w:r/>
      <w:bookmarkStart w:id="298" w:name="_Toc150480772"/>
      <w:r/>
      <w:bookmarkStart w:id="299" w:name="_Toc265228372"/>
      <w:r/>
      <w:bookmarkStart w:id="300" w:name="_Toc150774739"/>
      <w:r/>
      <w:bookmarkStart w:id="301" w:name="_Toc142311036"/>
      <w:r/>
      <w:bookmarkStart w:id="302" w:name="_Toc151193632"/>
      <w:r/>
      <w:bookmarkStart w:id="303" w:name="_Toc264969224"/>
      <w:r/>
      <w:bookmarkStart w:id="304" w:name="_Toc151190161"/>
      <w:r/>
      <w:bookmarkStart w:id="305" w:name="_Toc226309778"/>
      <w:r/>
      <w:bookmarkStart w:id="306" w:name="_Toc151193776"/>
      <w:r/>
      <w:bookmarkStart w:id="307" w:name="_Toc151193922"/>
      <w:r/>
      <w:bookmarkStart w:id="308" w:name="_Toc520356159"/>
      <w:r/>
      <w:bookmarkStart w:id="309" w:name="_Toc226965724"/>
      <w:r/>
      <w:bookmarkStart w:id="310" w:name="_Toc226965807"/>
      <w:r/>
      <w:bookmarkStart w:id="311" w:name="_Toc150774634"/>
      <w:r/>
      <w:bookmarkStart w:id="312" w:name="_Toc151193704"/>
      <w:r/>
      <w:bookmarkStart w:id="313" w:name="_Toc226337230"/>
      <w:r/>
      <w:bookmarkStart w:id="314" w:name="_Toc151193848"/>
      <w:r>
        <w:rPr>
          <w:rFonts w:hint="eastAsia" w:ascii="宋体" w:hAnsi="宋体" w:eastAsia="宋体" w:cs="宋体"/>
          <w:color w:val="000000"/>
          <w:sz w:val="24"/>
          <w:szCs w:val="24"/>
          <w:lang w:val="en-US" w:eastAsia="zh-CN" w:bidi="ar-SA"/>
        </w:rPr>
        <w:t xml:space="preserve">13.1</w:t>
      </w:r>
      <w:r>
        <w:rPr>
          <w:rFonts w:hint="eastAsia" w:ascii="宋体" w:hAnsi="宋体" w:eastAsia="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13.2</w:t>
      </w:r>
      <w:r>
        <w:rPr>
          <w:rFonts w:hint="eastAsia" w:ascii="宋体" w:hAnsi="宋体" w:eastAsia="宋体" w:cs="宋体"/>
          <w:color w:val="000000"/>
          <w:sz w:val="24"/>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color w:val="000000"/>
        </w:rPr>
      </w:pPr>
      <w:r>
        <w:rPr>
          <w:rFonts w:hint="eastAsia" w:ascii="宋体" w:hAnsi="宋体" w:eastAsia="宋体" w:cs="宋体"/>
          <w:color w:val="000000"/>
        </w:rPr>
      </w:r>
      <w:r/>
    </w:p>
    <w:p>
      <w:pPr>
        <w:pStyle w:val="1112"/>
        <w:jc w:val="center"/>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响应文件的提交</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bookmarkStart w:id="315" w:name="_Toc127161449"/>
      <w:r/>
      <w:bookmarkStart w:id="316" w:name="_Toc151193633"/>
      <w:r/>
      <w:bookmarkStart w:id="317" w:name="_Toc151193849"/>
      <w:r/>
      <w:bookmarkStart w:id="318" w:name="_Toc226337231"/>
      <w:r/>
      <w:bookmarkStart w:id="319" w:name="_Toc265228373"/>
      <w:r/>
      <w:bookmarkStart w:id="320" w:name="_Toc150774635"/>
      <w:r/>
      <w:bookmarkStart w:id="321" w:name="_Toc164608804"/>
      <w:r/>
      <w:bookmarkStart w:id="322" w:name="_Toc127151535"/>
      <w:r/>
      <w:bookmarkStart w:id="323" w:name="_Toc305158803"/>
      <w:r/>
      <w:bookmarkStart w:id="324" w:name="_Toc305158877"/>
      <w:r/>
      <w:bookmarkStart w:id="325" w:name="_Toc164608649"/>
      <w:r/>
      <w:bookmarkStart w:id="326" w:name="_Toc195842900"/>
      <w:r/>
      <w:bookmarkStart w:id="327" w:name="_Toc149720828"/>
      <w:r/>
      <w:bookmarkStart w:id="328" w:name="_Toc150509286"/>
      <w:r/>
      <w:bookmarkStart w:id="329" w:name="_Toc151193923"/>
      <w:r/>
      <w:bookmarkStart w:id="330" w:name="_Toc151193777"/>
      <w:r/>
      <w:bookmarkStart w:id="331" w:name="_Toc150480773"/>
      <w:r/>
      <w:bookmarkStart w:id="332" w:name="_Toc127151736"/>
      <w:r/>
      <w:bookmarkStart w:id="333" w:name="_Toc226965808"/>
      <w:r/>
      <w:bookmarkStart w:id="334" w:name="_Toc151190162"/>
      <w:r/>
      <w:bookmarkStart w:id="335" w:name="_Toc151193705"/>
      <w:r/>
      <w:bookmarkStart w:id="336" w:name="_Toc264969225"/>
      <w:r/>
      <w:bookmarkStart w:id="337" w:name="_Toc150774740"/>
      <w:r/>
      <w:bookmarkStart w:id="338" w:name="_Toc164229230"/>
      <w:r/>
      <w:bookmarkStart w:id="339" w:name="_Toc520356160"/>
      <w:r/>
      <w:bookmarkStart w:id="340" w:name="_Toc164351629"/>
      <w:r/>
      <w:bookmarkStart w:id="341" w:name="_Toc226309779"/>
      <w:r/>
      <w:bookmarkStart w:id="342" w:name="_Toc142311037"/>
      <w:r/>
      <w:bookmarkStart w:id="343" w:name="_Toc226965725"/>
      <w:r/>
      <w:bookmarkStart w:id="344" w:name="_Toc164229376"/>
      <w:r/>
      <w:bookmarkStart w:id="345" w:name="_Toc520356169"/>
      <w:r>
        <w:rPr>
          <w:rFonts w:hint="eastAsia" w:ascii="宋体" w:hAnsi="宋体" w:eastAsia="宋体" w:cs="宋体"/>
          <w:b/>
          <w:color w:val="000000"/>
          <w:sz w:val="24"/>
          <w:szCs w:val="22"/>
          <w:lang w:val="en-US" w:eastAsia="zh-CN" w:bidi="ar-SA"/>
        </w:rPr>
        <w:t xml:space="preserve">14</w:t>
      </w:r>
      <w:r>
        <w:rPr>
          <w:rFonts w:hint="eastAsia" w:ascii="宋体" w:hAnsi="宋体" w:eastAsia="宋体" w:cs="宋体"/>
          <w:b/>
          <w:color w:val="000000"/>
          <w:sz w:val="24"/>
        </w:rPr>
        <w:t xml:space="preserve">响应文件的</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b/>
          <w:color w:val="000000"/>
          <w:sz w:val="24"/>
        </w:rPr>
        <w:t xml:space="preserve">提交</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14.1</w:t>
      </w:r>
      <w:r>
        <w:rPr>
          <w:rFonts w:hint="eastAsia" w:ascii="宋体" w:hAnsi="宋体" w:eastAsia="宋体" w:cs="宋体"/>
          <w:color w:val="000000"/>
          <w:sz w:val="24"/>
        </w:rPr>
        <w:t xml:space="preserve">本项目使用政府采购一体化平台“苏采云”。供应商根据竞争性磋商文件及政府采购一体化平台“苏采云”供应商操作手册要求编制、生成并提交电子响应文件。</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14.2</w:t>
      </w:r>
      <w:r>
        <w:rPr>
          <w:rFonts w:hint="eastAsia" w:ascii="宋体" w:hAnsi="宋体" w:eastAsia="宋体" w:cs="宋体"/>
          <w:color w:val="000000"/>
          <w:sz w:val="24"/>
        </w:rPr>
        <w:t xml:space="preserve">采购人及采购代理机构拒绝接受通过电子交易平台以外任何形式提交的响应文件，磋商保证金除外。</w:t>
      </w:r>
      <w:r/>
    </w:p>
    <w:p>
      <w:pPr>
        <w:pStyle w:val="1116"/>
        <w:ind w:firstLine="480"/>
        <w:spacing w:before="0" w:line="360" w:lineRule="auto"/>
        <w:rPr>
          <w:rFonts w:hint="eastAsia" w:ascii="宋体" w:hAnsi="宋体" w:eastAsia="宋体" w:cs="宋体"/>
          <w:color w:val="000000"/>
        </w:rPr>
      </w:pPr>
      <w:r>
        <w:rPr>
          <w:rFonts w:hint="eastAsia" w:ascii="宋体" w:hAnsi="宋体" w:eastAsia="宋体" w:cs="宋体"/>
          <w:color w:val="000000"/>
        </w:rPr>
        <w:t xml:space="preserve">14.3响应文件的份数应符合本竞争性磋商文件《供应商须知资料表》中要求。</w:t>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bookmarkStart w:id="346" w:name="_Toc151193850"/>
      <w:r/>
      <w:bookmarkStart w:id="347" w:name="_Toc127151536"/>
      <w:r/>
      <w:bookmarkStart w:id="348" w:name="_Toc150774741"/>
      <w:r/>
      <w:bookmarkStart w:id="349" w:name="_Toc151193634"/>
      <w:r/>
      <w:bookmarkStart w:id="350" w:name="_Toc127151737"/>
      <w:r/>
      <w:bookmarkStart w:id="351" w:name="_Toc150774636"/>
      <w:r/>
      <w:bookmarkStart w:id="352" w:name="_Toc164608650"/>
      <w:r/>
      <w:bookmarkStart w:id="353" w:name="_Toc305158878"/>
      <w:r/>
      <w:bookmarkStart w:id="354" w:name="_Toc164351630"/>
      <w:r/>
      <w:bookmarkStart w:id="355" w:name="_Toc127161450"/>
      <w:r/>
      <w:bookmarkStart w:id="356" w:name="_Toc226337232"/>
      <w:r/>
      <w:bookmarkStart w:id="357" w:name="_Toc142311038"/>
      <w:r/>
      <w:bookmarkStart w:id="358" w:name="_Toc164608805"/>
      <w:r/>
      <w:bookmarkStart w:id="359" w:name="_Toc265228374"/>
      <w:r/>
      <w:bookmarkStart w:id="360" w:name="_Toc195842901"/>
      <w:r/>
      <w:bookmarkStart w:id="361" w:name="_Toc151193924"/>
      <w:r/>
      <w:bookmarkStart w:id="362" w:name="_Toc164229231"/>
      <w:r/>
      <w:bookmarkStart w:id="363" w:name="_Toc226965726"/>
      <w:r/>
      <w:bookmarkStart w:id="364" w:name="_Toc150509287"/>
      <w:r/>
      <w:bookmarkStart w:id="365" w:name="_Toc151190163"/>
      <w:r/>
      <w:bookmarkStart w:id="366" w:name="_Toc520356161"/>
      <w:r/>
      <w:bookmarkStart w:id="367" w:name="_Toc151193706"/>
      <w:r/>
      <w:bookmarkStart w:id="368" w:name="_Toc149720829"/>
      <w:r/>
      <w:bookmarkStart w:id="369" w:name="_Toc151193778"/>
      <w:r/>
      <w:bookmarkStart w:id="370" w:name="_Toc226965809"/>
      <w:r/>
      <w:bookmarkStart w:id="371" w:name="_Toc264969226"/>
      <w:r/>
      <w:bookmarkStart w:id="372" w:name="_Toc305158804"/>
      <w:r/>
      <w:bookmarkStart w:id="373" w:name="_Toc164229377"/>
      <w:r/>
      <w:bookmarkStart w:id="374" w:name="_Toc226309780"/>
      <w:r/>
      <w:bookmarkStart w:id="375" w:name="_Toc150480774"/>
      <w:r>
        <w:rPr>
          <w:rFonts w:hint="eastAsia" w:ascii="宋体" w:hAnsi="宋体" w:eastAsia="宋体" w:cs="宋体"/>
          <w:b/>
          <w:color w:val="000000"/>
          <w:sz w:val="24"/>
          <w:szCs w:val="22"/>
          <w:lang w:val="en-US" w:eastAsia="zh-CN" w:bidi="ar-SA"/>
        </w:rPr>
        <w:t xml:space="preserve">15</w:t>
      </w:r>
      <w:r>
        <w:rPr>
          <w:rFonts w:hint="eastAsia" w:ascii="宋体" w:hAnsi="宋体" w:eastAsia="宋体" w:cs="宋体"/>
          <w:b/>
          <w:color w:val="000000"/>
          <w:sz w:val="24"/>
        </w:rPr>
        <w:t xml:space="preserve">响应文件截止</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eastAsia="宋体" w:cs="宋体"/>
          <w:b/>
          <w:color w:val="000000"/>
          <w:sz w:val="24"/>
        </w:rPr>
        <w:t xml:space="preserve">时间</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15.1</w:t>
      </w:r>
      <w:r>
        <w:rPr>
          <w:rFonts w:hint="eastAsia" w:ascii="宋体" w:hAnsi="宋体" w:eastAsia="宋体" w:cs="宋体"/>
          <w:color w:val="000000"/>
          <w:sz w:val="24"/>
        </w:rPr>
        <w:t xml:space="preserve">供应商应在竞争性磋商文件要求提交响应文件截止时间前，将电子响应文件提交至政府采购一体化平台“苏采云”。</w:t>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bookmarkStart w:id="376" w:name="_Toc226965810"/>
      <w:r/>
      <w:bookmarkStart w:id="377" w:name="_Toc142311039"/>
      <w:r/>
      <w:bookmarkStart w:id="378" w:name="_Toc151193635"/>
      <w:r/>
      <w:bookmarkStart w:id="379" w:name="_Toc150774637"/>
      <w:r/>
      <w:bookmarkStart w:id="380" w:name="_Toc265228375"/>
      <w:r/>
      <w:bookmarkStart w:id="381" w:name="_Toc151193779"/>
      <w:r/>
      <w:bookmarkStart w:id="382" w:name="_Toc305158805"/>
      <w:r/>
      <w:bookmarkStart w:id="383" w:name="_Toc150480775"/>
      <w:r/>
      <w:bookmarkStart w:id="384" w:name="_Toc305158879"/>
      <w:r/>
      <w:bookmarkStart w:id="385" w:name="_Toc164229232"/>
      <w:r/>
      <w:bookmarkStart w:id="386" w:name="_Toc264969227"/>
      <w:r/>
      <w:bookmarkStart w:id="387" w:name="_Toc226965727"/>
      <w:r/>
      <w:bookmarkStart w:id="388" w:name="_Toc150509288"/>
      <w:r/>
      <w:bookmarkStart w:id="389" w:name="_Toc151193707"/>
      <w:r/>
      <w:bookmarkStart w:id="390" w:name="_Toc127151537"/>
      <w:r/>
      <w:bookmarkStart w:id="391" w:name="_Toc164229378"/>
      <w:r/>
      <w:bookmarkStart w:id="392" w:name="_Toc164608651"/>
      <w:r/>
      <w:bookmarkStart w:id="393" w:name="_Toc150774742"/>
      <w:r/>
      <w:bookmarkStart w:id="394" w:name="_Toc127151738"/>
      <w:r/>
      <w:bookmarkStart w:id="395" w:name="_Toc151193925"/>
      <w:r/>
      <w:bookmarkStart w:id="396" w:name="_Toc149720830"/>
      <w:r/>
      <w:bookmarkStart w:id="397" w:name="_Toc164608806"/>
      <w:r/>
      <w:bookmarkStart w:id="398" w:name="_Toc164351631"/>
      <w:r/>
      <w:bookmarkStart w:id="399" w:name="_Toc226337233"/>
      <w:r/>
      <w:bookmarkStart w:id="400" w:name="_Toc151193851"/>
      <w:r/>
      <w:bookmarkStart w:id="401" w:name="_Toc195842902"/>
      <w:r/>
      <w:bookmarkStart w:id="402" w:name="_Toc127161451"/>
      <w:r/>
      <w:bookmarkStart w:id="403" w:name="_Toc151190164"/>
      <w:r/>
      <w:bookmarkStart w:id="404" w:name="_Toc520356162"/>
      <w:r/>
      <w:bookmarkStart w:id="405" w:name="_Toc226309781"/>
      <w:r>
        <w:rPr>
          <w:rFonts w:hint="eastAsia" w:ascii="宋体" w:hAnsi="宋体" w:eastAsia="宋体" w:cs="宋体"/>
          <w:b/>
          <w:color w:val="000000"/>
          <w:sz w:val="24"/>
          <w:szCs w:val="22"/>
          <w:lang w:val="en-US" w:eastAsia="zh-CN" w:bidi="ar-SA"/>
        </w:rPr>
        <w:t xml:space="preserve">16</w:t>
      </w:r>
      <w:r>
        <w:rPr>
          <w:rFonts w:hint="eastAsia" w:ascii="宋体" w:hAnsi="宋体" w:eastAsia="宋体" w:cs="宋体"/>
          <w:b/>
          <w:color w:val="000000"/>
          <w:sz w:val="24"/>
        </w:rPr>
        <w:t xml:space="preserve">响应文件的修改与撤回</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16.1</w:t>
      </w:r>
      <w:r>
        <w:rPr>
          <w:rFonts w:hint="eastAsia" w:ascii="宋体" w:hAnsi="宋体" w:eastAsia="宋体" w:cs="宋体"/>
          <w:color w:val="000000"/>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16.2</w:t>
      </w:r>
      <w:r>
        <w:rPr>
          <w:rFonts w:hint="eastAsia" w:ascii="宋体" w:hAnsi="宋体" w:eastAsia="宋体" w:cs="宋体"/>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128"/>
        <w:ind w:firstLine="562"/>
        <w:spacing w:before="0" w:line="360" w:lineRule="auto"/>
        <w:tabs>
          <w:tab w:val="left" w:pos="0" w:leader="none"/>
        </w:tabs>
        <w:rPr>
          <w:rFonts w:hint="eastAsia" w:ascii="宋体" w:hAnsi="宋体" w:eastAsia="宋体" w:cs="宋体"/>
          <w:color w:val="000000"/>
          <w:sz w:val="28"/>
        </w:rPr>
      </w:pPr>
      <w:r/>
      <w:bookmarkStart w:id="406" w:name="_Toc150774743"/>
      <w:r/>
      <w:bookmarkStart w:id="407" w:name="_Toc150509289"/>
      <w:r/>
      <w:bookmarkStart w:id="408" w:name="_Toc151193780"/>
      <w:r/>
      <w:bookmarkStart w:id="409" w:name="_Toc151193708"/>
      <w:r/>
      <w:bookmarkStart w:id="410" w:name="_Toc226965811"/>
      <w:r/>
      <w:bookmarkStart w:id="411" w:name="_Toc264969228"/>
      <w:r/>
      <w:bookmarkStart w:id="412" w:name="_Toc226309782"/>
      <w:r/>
      <w:bookmarkStart w:id="413" w:name="_Toc151193926"/>
      <w:r/>
      <w:bookmarkStart w:id="414" w:name="_Toc226965728"/>
      <w:r/>
      <w:bookmarkStart w:id="415" w:name="_Toc151193636"/>
      <w:r/>
      <w:bookmarkStart w:id="416" w:name="_Toc305158806"/>
      <w:r/>
      <w:bookmarkStart w:id="417" w:name="_Toc142311040"/>
      <w:r/>
      <w:bookmarkStart w:id="418" w:name="_Toc150774638"/>
      <w:r/>
      <w:bookmarkStart w:id="419" w:name="_Toc305158880"/>
      <w:r/>
      <w:bookmarkStart w:id="420" w:name="_Toc151193852"/>
      <w:r/>
      <w:bookmarkStart w:id="421" w:name="_Toc226337234"/>
      <w:r/>
      <w:bookmarkStart w:id="422" w:name="_Toc127151538"/>
      <w:r/>
      <w:bookmarkStart w:id="423" w:name="_Toc150480776"/>
      <w:r/>
      <w:bookmarkStart w:id="424" w:name="_Toc195842903"/>
      <w:r/>
      <w:bookmarkStart w:id="425" w:name="_Toc520356163"/>
      <w:r/>
      <w:bookmarkStart w:id="426" w:name="_Toc151190165"/>
      <w:r/>
      <w:bookmarkStart w:id="427" w:name="_Toc265228376"/>
      <w:r>
        <w:rPr>
          <w:rFonts w:hint="eastAsia" w:ascii="宋体" w:hAnsi="宋体" w:eastAsia="宋体" w:cs="宋体"/>
          <w:color w:val="000000"/>
          <w:sz w:val="28"/>
        </w:rPr>
        <w:t xml:space="preserve">五   </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hint="eastAsia" w:ascii="宋体" w:hAnsi="宋体" w:eastAsia="宋体" w:cs="宋体"/>
          <w:color w:val="000000"/>
          <w:sz w:val="28"/>
        </w:rPr>
        <w:t xml:space="preserve">评审</w:t>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rPr>
          <w:rFonts w:hint="eastAsia" w:ascii="宋体" w:hAnsi="宋体" w:eastAsia="宋体" w:cs="宋体"/>
          <w:b/>
          <w:color w:val="000000"/>
          <w:sz w:val="24"/>
          <w:szCs w:val="22"/>
          <w:lang w:val="en-US" w:eastAsia="zh-CN" w:bidi="ar-SA"/>
        </w:rPr>
        <w:t xml:space="preserve">17</w:t>
      </w:r>
      <w:r>
        <w:rPr>
          <w:rFonts w:hint="eastAsia" w:ascii="宋体" w:hAnsi="宋体" w:eastAsia="宋体" w:cs="宋体"/>
          <w:b/>
          <w:color w:val="000000"/>
          <w:sz w:val="24"/>
        </w:rPr>
        <w:t xml:space="preserve">响应文件的解密与开启</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17.1</w:t>
      </w:r>
      <w:r>
        <w:rPr>
          <w:rFonts w:hint="eastAsia" w:ascii="宋体" w:hAnsi="宋体" w:eastAsia="宋体" w:cs="宋体"/>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17.2</w:t>
      </w:r>
      <w:r>
        <w:rPr>
          <w:rFonts w:hint="eastAsia" w:ascii="宋体" w:hAnsi="宋体" w:eastAsia="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17.3</w:t>
      </w:r>
      <w:r>
        <w:rPr>
          <w:rFonts w:hint="eastAsia" w:ascii="宋体" w:hAnsi="宋体" w:eastAsia="宋体" w:cs="宋体"/>
          <w:color w:val="000000"/>
          <w:sz w:val="24"/>
        </w:rPr>
        <w:t xml:space="preserve">供应商不足3家的，不予解密。</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bookmarkStart w:id="428" w:name="_Toc520356165"/>
      <w:r>
        <w:rPr>
          <w:rFonts w:hint="eastAsia" w:ascii="宋体" w:hAnsi="宋体" w:eastAsia="宋体" w:cs="宋体"/>
          <w:color w:val="000000"/>
          <w:sz w:val="24"/>
          <w:szCs w:val="24"/>
          <w:lang w:val="en-US" w:eastAsia="zh-CN" w:bidi="ar-SA"/>
        </w:rPr>
        <w:t xml:space="preserve">17.4</w:t>
      </w:r>
      <w:r>
        <w:rPr>
          <w:rFonts w:hint="eastAsia" w:ascii="宋体" w:hAnsi="宋体" w:eastAsia="宋体" w:cs="宋体"/>
          <w:color w:val="000000"/>
          <w:sz w:val="24"/>
        </w:rPr>
        <w:t xml:space="preserve">本项目不公开报价。</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17.5</w:t>
      </w:r>
      <w:r>
        <w:rPr>
          <w:rFonts w:hint="eastAsia" w:ascii="宋体" w:hAnsi="宋体" w:eastAsia="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17.6</w:t>
      </w:r>
      <w:r>
        <w:rPr>
          <w:rFonts w:hint="eastAsia" w:ascii="宋体" w:hAnsi="宋体" w:eastAsia="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17.7</w:t>
      </w:r>
      <w:r>
        <w:rPr>
          <w:rFonts w:hint="eastAsia" w:ascii="宋体" w:hAnsi="宋体" w:eastAsia="宋体" w:cs="宋体"/>
          <w:color w:val="000000"/>
          <w:sz w:val="24"/>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28"/>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rPr>
          <w:rFonts w:hint="eastAsia" w:ascii="宋体" w:hAnsi="宋体" w:eastAsia="宋体" w:cs="宋体"/>
          <w:b/>
          <w:color w:val="000000"/>
          <w:sz w:val="24"/>
          <w:szCs w:val="22"/>
          <w:lang w:val="en-US" w:eastAsia="zh-CN" w:bidi="ar-SA"/>
        </w:rPr>
        <w:t xml:space="preserve">18</w:t>
      </w:r>
      <w:r>
        <w:rPr>
          <w:rFonts w:hint="eastAsia" w:ascii="宋体" w:hAnsi="宋体" w:eastAsia="宋体" w:cs="宋体"/>
          <w:b/>
          <w:color w:val="000000"/>
          <w:sz w:val="24"/>
        </w:rPr>
        <w:t xml:space="preserve">磋商小组</w:t>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18.1</w:t>
      </w:r>
      <w:r>
        <w:rPr>
          <w:rFonts w:hint="eastAsia" w:ascii="宋体" w:hAnsi="宋体" w:eastAsia="宋体" w:cs="宋体"/>
          <w:color w:val="000000"/>
          <w:sz w:val="24"/>
        </w:rPr>
        <w:t xml:space="preserve">磋商小组根据政府采购有关规定和本次采购项目的特点进行组建，并负责具体评审事务，独立履行职责。</w:t>
      </w:r>
      <w:bookmarkStart w:id="429" w:name="_Toc520356166"/>
      <w:r/>
      <w:r/>
    </w:p>
    <w:p>
      <w:pPr>
        <w:numPr>
          <w:ilvl w:val="1"/>
          <w:numId w:val="0"/>
        </w:numPr>
        <w:ind w:left="0" w:firstLine="480"/>
        <w:spacing w:line="360" w:lineRule="auto"/>
        <w:tabs>
          <w:tab w:val="left" w:pos="0" w:leader="none"/>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18.2</w:t>
      </w:r>
      <w:r>
        <w:rPr>
          <w:rFonts w:hint="eastAsia" w:ascii="宋体" w:hAnsi="宋体" w:eastAsia="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29"/>
      <w:r/>
      <w:r/>
    </w:p>
    <w:p>
      <w:pPr>
        <w:numPr>
          <w:ilvl w:val="0"/>
          <w:numId w:val="0"/>
        </w:numPr>
        <w:ind w:left="0" w:firstLine="482"/>
        <w:spacing w:line="360" w:lineRule="auto"/>
        <w:tabs>
          <w:tab w:val="left" w:pos="0" w:leader="none"/>
        </w:tabs>
        <w:rPr>
          <w:rFonts w:hint="eastAsia" w:ascii="宋体" w:hAnsi="宋体" w:eastAsia="宋体" w:cs="宋体"/>
          <w:b/>
          <w:color w:val="000000"/>
          <w:sz w:val="24"/>
        </w:rPr>
        <w:outlineLvl w:val="1"/>
      </w:pPr>
      <w:r>
        <w:rPr>
          <w:rFonts w:hint="eastAsia" w:ascii="宋体" w:hAnsi="宋体" w:eastAsia="宋体" w:cs="宋体"/>
          <w:b/>
          <w:color w:val="000000"/>
          <w:sz w:val="24"/>
          <w:szCs w:val="22"/>
          <w:lang w:val="en-US" w:eastAsia="zh-CN" w:bidi="ar-SA"/>
        </w:rPr>
        <w:t xml:space="preserve">19</w:t>
      </w:r>
      <w:r>
        <w:rPr>
          <w:rFonts w:hint="eastAsia" w:ascii="宋体" w:hAnsi="宋体" w:eastAsia="宋体" w:cs="宋体"/>
          <w:b/>
          <w:color w:val="000000"/>
          <w:sz w:val="24"/>
        </w:rPr>
        <w:t xml:space="preserve">评审方法和评审标准</w:t>
      </w:r>
      <w:r/>
    </w:p>
    <w:p>
      <w:pPr>
        <w:ind w:left="1080"/>
        <w:spacing w:line="360" w:lineRule="auto"/>
        <w:tabs>
          <w:tab w:val="left" w:pos="360" w:leader="none"/>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见第三章《评审方法和评审标准》。</w:t>
      </w:r>
      <w:r/>
    </w:p>
    <w:p>
      <w:pPr>
        <w:pStyle w:val="1130"/>
        <w:rPr>
          <w:rFonts w:hint="eastAsia" w:ascii="宋体" w:hAnsi="宋体" w:eastAsia="宋体" w:cs="宋体"/>
          <w:color w:val="000000"/>
        </w:rPr>
      </w:pPr>
      <w:r>
        <w:rPr>
          <w:rFonts w:hint="eastAsia" w:ascii="宋体" w:hAnsi="宋体" w:eastAsia="宋体" w:cs="宋体"/>
          <w:color w:val="000000"/>
        </w:rPr>
      </w:r>
      <w:r/>
    </w:p>
    <w:p>
      <w:pPr>
        <w:pStyle w:val="1112"/>
        <w:jc w:val="center"/>
        <w:spacing w:before="0" w:line="360" w:lineRule="auto"/>
        <w:rPr>
          <w:rFonts w:hint="eastAsia" w:ascii="宋体" w:hAnsi="宋体" w:eastAsia="宋体" w:cs="宋体"/>
          <w:color w:val="000000"/>
          <w:sz w:val="28"/>
        </w:rPr>
      </w:pPr>
      <w:r/>
      <w:bookmarkStart w:id="430" w:name="_Toc226965735"/>
      <w:r/>
      <w:bookmarkStart w:id="431" w:name="_Toc150480783"/>
      <w:r/>
      <w:bookmarkStart w:id="432" w:name="_Toc265228383"/>
      <w:r/>
      <w:bookmarkStart w:id="433" w:name="_Toc264969235"/>
      <w:r/>
      <w:bookmarkStart w:id="434" w:name="_Toc226337241"/>
      <w:r/>
      <w:bookmarkStart w:id="435" w:name="_Toc150774645"/>
      <w:r/>
      <w:bookmarkStart w:id="436" w:name="_Toc305158887"/>
      <w:r/>
      <w:bookmarkStart w:id="437" w:name="_Toc150509296"/>
      <w:r/>
      <w:bookmarkStart w:id="438" w:name="_Toc151193643"/>
      <w:r/>
      <w:bookmarkStart w:id="439" w:name="_Toc150774750"/>
      <w:r/>
      <w:bookmarkStart w:id="440" w:name="_Toc151193933"/>
      <w:r/>
      <w:bookmarkStart w:id="441" w:name="_Toc142311047"/>
      <w:r/>
      <w:bookmarkStart w:id="442" w:name="_Toc151193787"/>
      <w:r/>
      <w:bookmarkStart w:id="443" w:name="_Toc127151545"/>
      <w:r/>
      <w:bookmarkStart w:id="444" w:name="_Toc226965818"/>
      <w:r/>
      <w:bookmarkStart w:id="445" w:name="_Toc151190172"/>
      <w:r/>
      <w:bookmarkStart w:id="446" w:name="_Toc151193859"/>
      <w:r/>
      <w:bookmarkStart w:id="447" w:name="_Toc151193715"/>
      <w:r/>
      <w:bookmarkStart w:id="448" w:name="_Toc305158813"/>
      <w:r/>
      <w:bookmarkStart w:id="449" w:name="_Toc226309789"/>
      <w:r/>
      <w:bookmarkStart w:id="450" w:name="_Toc195842910"/>
      <w:r>
        <w:rPr>
          <w:rFonts w:hint="eastAsia" w:ascii="宋体" w:hAnsi="宋体" w:eastAsia="宋体" w:cs="宋体"/>
          <w:color w:val="000000"/>
          <w:sz w:val="28"/>
        </w:rPr>
        <w:t xml:space="preserve">六   </w:t>
      </w:r>
      <w:bookmarkEnd w:id="345"/>
      <w:r>
        <w:rPr>
          <w:rFonts w:hint="eastAsia" w:ascii="宋体" w:hAnsi="宋体" w:eastAsia="宋体" w:cs="宋体"/>
          <w:color w:val="000000"/>
          <w:sz w:val="28"/>
        </w:rPr>
        <w:t xml:space="preserve">确定</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color w:val="000000"/>
          <w:sz w:val="28"/>
        </w:rPr>
        <w:t xml:space="preserve">成交</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451" w:name="_Toc305158889"/>
      <w:r/>
      <w:bookmarkStart w:id="452" w:name="_Toc151193789"/>
      <w:r/>
      <w:bookmarkStart w:id="453" w:name="_Toc164608661"/>
      <w:r/>
      <w:bookmarkStart w:id="454" w:name="_Toc264969237"/>
      <w:r/>
      <w:bookmarkStart w:id="455" w:name="_Toc150774752"/>
      <w:r/>
      <w:bookmarkStart w:id="456" w:name="_Toc127151547"/>
      <w:r/>
      <w:bookmarkStart w:id="457" w:name="_Toc151193645"/>
      <w:r/>
      <w:bookmarkStart w:id="458" w:name="_Toc226965737"/>
      <w:r/>
      <w:bookmarkStart w:id="459" w:name="_Toc164351641"/>
      <w:r/>
      <w:bookmarkStart w:id="460" w:name="_Toc164608816"/>
      <w:r/>
      <w:bookmarkStart w:id="461" w:name="_Toc151193861"/>
      <w:r/>
      <w:bookmarkStart w:id="462" w:name="_Toc226337243"/>
      <w:r/>
      <w:bookmarkStart w:id="463" w:name="_Toc195842912"/>
      <w:r/>
      <w:bookmarkStart w:id="464" w:name="_Toc151190174"/>
      <w:r/>
      <w:bookmarkStart w:id="465" w:name="_Toc150774647"/>
      <w:r/>
      <w:bookmarkStart w:id="466" w:name="_Toc149720840"/>
      <w:r/>
      <w:bookmarkStart w:id="467" w:name="_Toc164229388"/>
      <w:r/>
      <w:bookmarkStart w:id="468" w:name="_Toc151193935"/>
      <w:r/>
      <w:bookmarkStart w:id="469" w:name="_Toc150480785"/>
      <w:r/>
      <w:bookmarkStart w:id="470" w:name="_Toc164229242"/>
      <w:r/>
      <w:bookmarkStart w:id="471" w:name="_Toc226965820"/>
      <w:r/>
      <w:bookmarkStart w:id="472" w:name="_Toc150509298"/>
      <w:r/>
      <w:bookmarkStart w:id="473" w:name="_Toc142311049"/>
      <w:r/>
      <w:bookmarkStart w:id="474" w:name="_Toc265228385"/>
      <w:r/>
      <w:bookmarkStart w:id="475" w:name="_Toc226309791"/>
      <w:r/>
      <w:bookmarkStart w:id="476" w:name="_Toc127161461"/>
      <w:r/>
      <w:bookmarkStart w:id="477" w:name="_Toc151193717"/>
      <w:r/>
      <w:bookmarkStart w:id="478" w:name="_Toc305158815"/>
      <w:r/>
      <w:bookmarkStart w:id="479" w:name="_Toc127151748"/>
      <w:r>
        <w:rPr>
          <w:rFonts w:hint="eastAsia" w:ascii="宋体" w:hAnsi="宋体" w:eastAsia="宋体" w:cs="宋体"/>
          <w:color w:val="000000"/>
          <w:sz w:val="24"/>
          <w:szCs w:val="22"/>
          <w:lang w:val="en-US" w:eastAsia="zh-CN" w:bidi="ar-SA"/>
        </w:rPr>
        <w:t xml:space="preserve">20</w:t>
      </w:r>
      <w:r>
        <w:rPr>
          <w:rFonts w:hint="eastAsia" w:ascii="宋体" w:hAnsi="宋体" w:eastAsia="宋体" w:cs="宋体"/>
          <w:color w:val="000000"/>
          <w:sz w:val="24"/>
        </w:rPr>
        <w:t xml:space="preserve">确定成交供应商</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20.1</w:t>
      </w:r>
      <w:r>
        <w:rPr>
          <w:rFonts w:hint="eastAsia" w:ascii="宋体" w:hAnsi="宋体" w:eastAsia="宋体" w:cs="宋体"/>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480" w:name="_Toc305158817"/>
      <w:r/>
      <w:bookmarkStart w:id="481" w:name="_Toc305158891"/>
      <w:r/>
      <w:bookmarkStart w:id="482" w:name="_Toc264969239"/>
      <w:r/>
      <w:bookmarkStart w:id="483" w:name="_Toc151193647"/>
      <w:r/>
      <w:bookmarkStart w:id="484" w:name="_Toc164351643"/>
      <w:r/>
      <w:bookmarkStart w:id="485" w:name="_Toc164608663"/>
      <w:r/>
      <w:bookmarkStart w:id="486" w:name="_Toc195842914"/>
      <w:r/>
      <w:bookmarkStart w:id="487" w:name="_Toc142311051"/>
      <w:r/>
      <w:bookmarkStart w:id="488" w:name="_Toc150774754"/>
      <w:r/>
      <w:bookmarkStart w:id="489" w:name="_Toc149720842"/>
      <w:r/>
      <w:bookmarkStart w:id="490" w:name="_Toc150774649"/>
      <w:r/>
      <w:bookmarkStart w:id="491" w:name="_Toc127161463"/>
      <w:r/>
      <w:bookmarkStart w:id="492" w:name="_Toc164229390"/>
      <w:r/>
      <w:bookmarkStart w:id="493" w:name="_Toc127151750"/>
      <w:r/>
      <w:bookmarkStart w:id="494" w:name="_Toc150509300"/>
      <w:r/>
      <w:bookmarkStart w:id="495" w:name="_Toc164608818"/>
      <w:r/>
      <w:bookmarkStart w:id="496" w:name="_Toc226965739"/>
      <w:r/>
      <w:bookmarkStart w:id="497" w:name="_Toc265228387"/>
      <w:r/>
      <w:bookmarkStart w:id="498" w:name="_Toc127151549"/>
      <w:r/>
      <w:bookmarkStart w:id="499" w:name="_Toc226309793"/>
      <w:r/>
      <w:bookmarkStart w:id="500" w:name="_Toc151190176"/>
      <w:r/>
      <w:bookmarkStart w:id="501" w:name="_Toc226965822"/>
      <w:r/>
      <w:bookmarkStart w:id="502" w:name="_Toc150480787"/>
      <w:r/>
      <w:bookmarkStart w:id="503" w:name="_Toc151193937"/>
      <w:r/>
      <w:bookmarkStart w:id="504" w:name="_Toc151193863"/>
      <w:r/>
      <w:bookmarkStart w:id="505" w:name="_Toc164229244"/>
      <w:r/>
      <w:bookmarkStart w:id="506" w:name="_Toc151193791"/>
      <w:r/>
      <w:bookmarkStart w:id="507" w:name="_Toc226337245"/>
      <w:r/>
      <w:bookmarkStart w:id="508" w:name="_Toc151193719"/>
      <w:r/>
      <w:bookmarkStart w:id="509" w:name="_Toc520356176"/>
      <w:r/>
      <w:bookmarkStart w:id="510" w:name="_Ref467306425"/>
      <w:r/>
      <w:bookmarkStart w:id="511" w:name="_Ref467307090"/>
      <w:r>
        <w:rPr>
          <w:rFonts w:hint="eastAsia" w:ascii="宋体" w:hAnsi="宋体" w:eastAsia="宋体" w:cs="宋体"/>
          <w:color w:val="000000"/>
          <w:sz w:val="24"/>
          <w:szCs w:val="22"/>
          <w:lang w:val="en-US" w:eastAsia="zh-CN" w:bidi="ar-SA"/>
        </w:rPr>
        <w:t xml:space="preserve">21</w:t>
      </w:r>
      <w:r>
        <w:rPr>
          <w:rFonts w:hint="eastAsia" w:ascii="宋体" w:hAnsi="宋体" w:eastAsia="宋体" w:cs="宋体"/>
          <w:color w:val="000000"/>
          <w:sz w:val="24"/>
        </w:rPr>
        <w:t xml:space="preserve">成交公告与成交通知书</w:t>
      </w:r>
      <w:bookmarkEnd w:id="480"/>
      <w:r/>
      <w:bookmarkEnd w:id="481"/>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21.1</w:t>
      </w:r>
      <w:r>
        <w:rPr>
          <w:rFonts w:hint="eastAsia" w:ascii="宋体" w:hAnsi="宋体" w:eastAsia="宋体" w:cs="宋体"/>
          <w:color w:val="000000"/>
          <w:sz w:val="24"/>
        </w:rPr>
        <w:t xml:space="preserve">采购人或采购代理机构将在成交供应商确定后2个工作日内，在常州市政府采购网、江苏省政府采购网公告成交结果，同时向成交供应商发出成交通知书，成交公告期限为1个工作日。</w:t>
      </w:r>
      <w:r/>
    </w:p>
    <w:p>
      <w:pPr>
        <w:numPr>
          <w:ilvl w:val="1"/>
          <w:numId w:val="0"/>
        </w:numPr>
        <w:ind w:left="1080"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21.2</w:t>
      </w:r>
      <w:r>
        <w:rPr>
          <w:rFonts w:hint="eastAsia" w:ascii="宋体" w:hAnsi="宋体" w:eastAsia="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22</w:t>
      </w:r>
      <w:r>
        <w:rPr>
          <w:rFonts w:hint="eastAsia" w:ascii="宋体" w:hAnsi="宋体" w:eastAsia="宋体" w:cs="宋体"/>
          <w:color w:val="000000"/>
          <w:sz w:val="24"/>
        </w:rPr>
        <w:t xml:space="preserve">终止</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22.1</w:t>
      </w:r>
      <w:r>
        <w:rPr>
          <w:rFonts w:hint="eastAsia" w:ascii="宋体" w:hAnsi="宋体" w:eastAsia="宋体" w:cs="宋体"/>
          <w:color w:val="000000"/>
          <w:sz w:val="24"/>
        </w:rPr>
        <w:t xml:space="preserve">在采购中，出现下列情形之一的，采购人或采购代理机构将终止竞争性磋商采购活动，发布项目终止公告并说明原因，重新开展采购活动：</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22.1.1</w:t>
      </w:r>
      <w:r>
        <w:rPr>
          <w:rFonts w:hint="eastAsia" w:ascii="宋体" w:hAnsi="宋体" w:eastAsia="宋体" w:cs="宋体"/>
          <w:color w:val="000000"/>
          <w:sz w:val="24"/>
        </w:rPr>
        <w:t xml:space="preserve">因情况变化，不再符合规定的竞争性磋商采购方式适用情形的；</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22.1.2</w:t>
      </w:r>
      <w:r>
        <w:rPr>
          <w:rFonts w:hint="eastAsia" w:ascii="宋体" w:hAnsi="宋体" w:eastAsia="宋体" w:cs="宋体"/>
          <w:color w:val="000000"/>
          <w:sz w:val="24"/>
        </w:rPr>
        <w:t xml:space="preserve">出现影响采购公正的违法、违规行为的；</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22.1.3</w:t>
      </w:r>
      <w:r>
        <w:rPr>
          <w:rFonts w:hint="eastAsia" w:ascii="宋体" w:hAnsi="宋体" w:eastAsia="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22.1.4</w:t>
      </w:r>
      <w:r>
        <w:rPr>
          <w:rFonts w:hint="eastAsia" w:ascii="宋体" w:hAnsi="宋体" w:eastAsia="宋体" w:cs="宋体"/>
          <w:color w:val="000000"/>
          <w:spacing w:val="2"/>
          <w:sz w:val="24"/>
        </w:rPr>
        <w:t xml:space="preserve">平台系统</w:t>
      </w:r>
      <w:r>
        <w:rPr>
          <w:rFonts w:hint="eastAsia" w:ascii="宋体" w:hAnsi="宋体" w:eastAsia="宋体" w:cs="宋体"/>
          <w:color w:val="000000"/>
          <w:sz w:val="24"/>
        </w:rPr>
        <w:t xml:space="preserve">出现序号17.7的所述情形，情况严重且影响采购活动公平、公正性的。</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bookmarkStart w:id="512" w:name="_Toc264969240"/>
      <w:r/>
      <w:bookmarkStart w:id="513" w:name="_Toc151193938"/>
      <w:r/>
      <w:bookmarkStart w:id="514" w:name="_Toc150509301"/>
      <w:r/>
      <w:bookmarkStart w:id="515" w:name="_Toc164229245"/>
      <w:r/>
      <w:bookmarkStart w:id="516" w:name="_Toc127151550"/>
      <w:r/>
      <w:bookmarkStart w:id="517" w:name="_Toc305158818"/>
      <w:r/>
      <w:bookmarkStart w:id="518" w:name="_Toc226965823"/>
      <w:r/>
      <w:bookmarkStart w:id="519" w:name="_Toc150774650"/>
      <w:r/>
      <w:bookmarkStart w:id="520" w:name="_Toc150774755"/>
      <w:r/>
      <w:bookmarkStart w:id="521" w:name="_Toc151193792"/>
      <w:r/>
      <w:bookmarkStart w:id="522" w:name="_Toc127161464"/>
      <w:r/>
      <w:bookmarkStart w:id="523" w:name="_Toc226965740"/>
      <w:r/>
      <w:bookmarkStart w:id="524" w:name="_Toc226337246"/>
      <w:r/>
      <w:bookmarkStart w:id="525" w:name="_Toc151193648"/>
      <w:r/>
      <w:bookmarkStart w:id="526" w:name="_Ref467307204"/>
      <w:r/>
      <w:bookmarkStart w:id="527" w:name="_Toc142311052"/>
      <w:r/>
      <w:bookmarkStart w:id="528" w:name="_Toc164608664"/>
      <w:r/>
      <w:bookmarkStart w:id="529" w:name="_Toc305158892"/>
      <w:r/>
      <w:bookmarkStart w:id="530" w:name="_Toc164229391"/>
      <w:r/>
      <w:bookmarkStart w:id="531" w:name="_Ref467307062"/>
      <w:r/>
      <w:bookmarkStart w:id="532" w:name="_Ref467306377"/>
      <w:r/>
      <w:bookmarkStart w:id="533" w:name="_Toc520356175"/>
      <w:r/>
      <w:bookmarkStart w:id="534" w:name="_Toc151193720"/>
      <w:r/>
      <w:bookmarkStart w:id="535" w:name="_Toc127151751"/>
      <w:r/>
      <w:bookmarkStart w:id="536" w:name="_Toc149720843"/>
      <w:r/>
      <w:bookmarkStart w:id="537" w:name="_Toc226309794"/>
      <w:r/>
      <w:bookmarkStart w:id="538" w:name="_Toc151193864"/>
      <w:r/>
      <w:bookmarkStart w:id="539" w:name="_Toc265228388"/>
      <w:r/>
      <w:bookmarkStart w:id="540" w:name="_Toc195842915"/>
      <w:r/>
      <w:bookmarkStart w:id="541" w:name="_Toc164608819"/>
      <w:r/>
      <w:bookmarkStart w:id="542" w:name="_Toc151190177"/>
      <w:r/>
      <w:bookmarkStart w:id="543" w:name="_Toc150480788"/>
      <w:r/>
      <w:bookmarkStart w:id="544" w:name="_Toc164351644"/>
      <w:r/>
      <w:bookmarkStart w:id="545" w:name="_Ref467306978"/>
      <w:r>
        <w:rPr>
          <w:rFonts w:hint="eastAsia" w:ascii="宋体" w:hAnsi="宋体" w:eastAsia="宋体" w:cs="宋体"/>
          <w:color w:val="000000"/>
          <w:sz w:val="24"/>
          <w:szCs w:val="22"/>
          <w:lang w:val="en-US" w:eastAsia="zh-CN" w:bidi="ar-SA"/>
        </w:rPr>
        <w:t xml:space="preserve">23</w:t>
      </w:r>
      <w:r>
        <w:rPr>
          <w:rFonts w:hint="eastAsia" w:ascii="宋体" w:hAnsi="宋体" w:eastAsia="宋体" w:cs="宋体"/>
          <w:color w:val="000000"/>
          <w:sz w:val="24"/>
        </w:rPr>
        <w:t xml:space="preserve">签订合同</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23.1</w:t>
      </w:r>
      <w:r>
        <w:rPr>
          <w:rFonts w:hint="eastAsia" w:ascii="宋体" w:hAnsi="宋体" w:eastAsia="宋体" w:cs="宋体"/>
          <w:color w:val="000000"/>
          <w:sz w:val="24"/>
        </w:rPr>
        <w:t xml:space="preserve">采购人与成交供应商将在成交通知书发出之日起30日内，按照磋商文件确定的合同文本以及采购标的、采购金额、技术和服务要求等事项签订政府采购合同。</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23.2</w:t>
      </w:r>
      <w:r>
        <w:rPr>
          <w:rFonts w:hint="eastAsia" w:ascii="宋体" w:hAnsi="宋体" w:eastAsia="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23.3</w:t>
      </w:r>
      <w:r>
        <w:rPr>
          <w:rFonts w:hint="eastAsia" w:ascii="宋体" w:hAnsi="宋体" w:eastAsia="宋体" w:cs="宋体"/>
          <w:color w:val="000000"/>
          <w:sz w:val="24"/>
        </w:rPr>
        <w:t xml:space="preserve">联合体获得成交资格的，联合体各方应当共同与采购人签订合同，就成交项目向采购人承担连带责任。</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23.4</w:t>
      </w:r>
      <w:r>
        <w:rPr>
          <w:rFonts w:hint="eastAsia" w:ascii="宋体" w:hAnsi="宋体" w:eastAsia="宋体" w:cs="宋体"/>
          <w:color w:val="000000"/>
          <w:sz w:val="24"/>
        </w:rPr>
        <w:t xml:space="preserve">政府采购合同不能转包。</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23.5</w:t>
      </w:r>
      <w:r>
        <w:rPr>
          <w:rFonts w:hint="eastAsia" w:ascii="宋体" w:hAnsi="宋体" w:eastAsia="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4"/>
        </w:rPr>
        <w:t xml:space="preserve">否则响应无效</w:t>
      </w:r>
      <w:r>
        <w:rPr>
          <w:rFonts w:hint="eastAsia" w:ascii="宋体" w:hAnsi="宋体" w:eastAsia="宋体" w:cs="宋体"/>
          <w:color w:val="000000"/>
          <w:sz w:val="24"/>
        </w:rPr>
        <w:t xml:space="preserve">。成交供应商就采购项目和分包项目向采购人负责，分包供应商就分包项目承担责任。</w:t>
      </w:r>
      <w:bookmarkEnd w:id="509"/>
      <w:r/>
      <w:bookmarkEnd w:id="510"/>
      <w:r/>
      <w:bookmarkEnd w:id="511"/>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24</w:t>
      </w:r>
      <w:r>
        <w:rPr>
          <w:rFonts w:hint="eastAsia" w:ascii="宋体" w:hAnsi="宋体" w:eastAsia="宋体" w:cs="宋体"/>
          <w:color w:val="000000"/>
          <w:sz w:val="24"/>
        </w:rPr>
        <w:t xml:space="preserve">询问与质疑</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24.1</w:t>
      </w:r>
      <w:r>
        <w:rPr>
          <w:rFonts w:hint="eastAsia" w:ascii="宋体" w:hAnsi="宋体" w:eastAsia="宋体" w:cs="宋体"/>
          <w:color w:val="000000"/>
          <w:sz w:val="24"/>
        </w:rPr>
        <w:t xml:space="preserve">询问</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24.1.1</w:t>
      </w:r>
      <w:r>
        <w:rPr>
          <w:rFonts w:hint="eastAsia" w:ascii="宋体" w:hAnsi="宋体" w:eastAsia="宋体" w:cs="宋体"/>
          <w:color w:val="000000"/>
          <w:sz w:val="24"/>
        </w:rPr>
        <w:t xml:space="preserve">供应商对政府采购活动事项有疑问的，可依法提出询问，并按《供应商须知资料表》载明的形式送达采购人或采购代理机构。</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24.1.2</w:t>
      </w:r>
      <w:r>
        <w:rPr>
          <w:rFonts w:hint="eastAsia" w:ascii="宋体" w:hAnsi="宋体" w:eastAsia="宋体" w:cs="宋体"/>
          <w:color w:val="000000"/>
          <w:sz w:val="24"/>
        </w:rPr>
        <w:t xml:space="preserve">采购人或采购代理机构对供应商依法提出的询问，在3个工作日内作出答复，但答复的内容不得涉及商业秘密。</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24.2</w:t>
      </w:r>
      <w:r>
        <w:rPr>
          <w:rFonts w:hint="eastAsia" w:ascii="宋体" w:hAnsi="宋体" w:eastAsia="宋体" w:cs="宋体"/>
          <w:color w:val="000000"/>
          <w:sz w:val="24"/>
        </w:rPr>
        <w:t xml:space="preserve">质疑</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24.2.1</w:t>
      </w:r>
      <w:r>
        <w:rPr>
          <w:rFonts w:hint="eastAsia" w:ascii="宋体" w:hAnsi="宋体" w:eastAsia="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24.2.2</w:t>
      </w:r>
      <w:r>
        <w:rPr>
          <w:rFonts w:hint="eastAsia" w:ascii="宋体" w:hAnsi="宋体" w:eastAsia="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24.2.3</w:t>
      </w:r>
      <w:r>
        <w:rPr>
          <w:rFonts w:hint="eastAsia" w:ascii="宋体" w:hAnsi="宋体" w:eastAsia="宋体" w:cs="宋体"/>
          <w:color w:val="000000"/>
          <w:sz w:val="24"/>
        </w:rPr>
        <w:t xml:space="preserve">质疑函须使用财政部制定的范本文件。（下载网址：</w:t>
      </w:r>
      <w:r>
        <w:rPr>
          <w:rFonts w:hint="eastAsia" w:ascii="宋体" w:hAnsi="宋体" w:eastAsia="宋体" w:cs="宋体"/>
        </w:rPr>
        <w:fldChar w:fldCharType="begin"/>
      </w:r>
      <w:r>
        <w:rPr>
          <w:rFonts w:hint="eastAsia" w:ascii="宋体" w:hAnsi="宋体" w:eastAsia="宋体" w:cs="宋体"/>
        </w:rPr>
        <w:instrText xml:space="preserve"> HYPERLINK "http://gks.mof.gov.cn/ztztz/zhengfucaigouguanli/201802/t20180201_2804589.htm" </w:instrText>
      </w:r>
      <w:r>
        <w:rPr>
          <w:rFonts w:hint="eastAsia" w:ascii="宋体" w:hAnsi="宋体" w:eastAsia="宋体" w:cs="宋体"/>
        </w:rPr>
        <w:fldChar w:fldCharType="separate"/>
      </w:r>
      <w:r>
        <w:rPr>
          <w:rStyle w:val="1125"/>
          <w:rFonts w:hint="eastAsia" w:ascii="宋体" w:hAnsi="宋体" w:eastAsia="宋体" w:cs="宋体"/>
          <w:color w:val="000000"/>
        </w:rPr>
        <w:t xml:space="preserve">http</w:t>
      </w:r>
      <w:r>
        <w:rPr>
          <w:rStyle w:val="1125"/>
          <w:rFonts w:hint="eastAsia" w:ascii="宋体" w:hAnsi="宋体" w:cs="宋体"/>
          <w:color w:val="000000"/>
          <w:lang w:eastAsia="zh-CN"/>
        </w:rPr>
        <w:t xml:space="preserve">：</w:t>
      </w:r>
      <w:r>
        <w:rPr>
          <w:rStyle w:val="1125"/>
          <w:rFonts w:hint="eastAsia" w:ascii="宋体" w:hAnsi="宋体" w:eastAsia="宋体" w:cs="宋体"/>
          <w:color w:val="000000"/>
        </w:rPr>
        <w:t xml:space="preserve">//gk</w:t>
      </w:r>
      <w:bookmarkStart w:id="546" w:name="_Hlt100654014"/>
      <w:r>
        <w:rPr>
          <w:rStyle w:val="1125"/>
          <w:rFonts w:hint="eastAsia" w:ascii="宋体" w:hAnsi="宋体" w:eastAsia="宋体" w:cs="宋体"/>
          <w:color w:val="000000"/>
        </w:rPr>
        <w:t xml:space="preserve">s</w:t>
      </w:r>
      <w:bookmarkEnd w:id="546"/>
      <w:r>
        <w:rPr>
          <w:rStyle w:val="1125"/>
          <w:rFonts w:hint="eastAsia" w:ascii="宋体" w:hAnsi="宋体" w:eastAsia="宋体" w:cs="宋体"/>
          <w:color w:val="000000"/>
        </w:rPr>
        <w:t xml:space="preserve">.m</w:t>
      </w:r>
      <w:bookmarkStart w:id="547" w:name="_Hlt100653993"/>
      <w:r/>
      <w:bookmarkStart w:id="548" w:name="_Hlt100653994"/>
      <w:r>
        <w:rPr>
          <w:rStyle w:val="1125"/>
          <w:rFonts w:hint="eastAsia" w:ascii="宋体" w:hAnsi="宋体" w:eastAsia="宋体" w:cs="宋体"/>
          <w:color w:val="000000"/>
        </w:rPr>
        <w:t xml:space="preserve">o</w:t>
      </w:r>
      <w:bookmarkEnd w:id="547"/>
      <w:r/>
      <w:bookmarkEnd w:id="548"/>
      <w:r/>
      <w:bookmarkStart w:id="549" w:name="_Hlt101169156"/>
      <w:r>
        <w:rPr>
          <w:rStyle w:val="1125"/>
          <w:rFonts w:hint="eastAsia" w:ascii="宋体" w:hAnsi="宋体" w:eastAsia="宋体" w:cs="宋体"/>
          <w:color w:val="000000"/>
        </w:rPr>
        <w:t xml:space="preserve">f</w:t>
      </w:r>
      <w:bookmarkEnd w:id="549"/>
      <w:r>
        <w:rPr>
          <w:rStyle w:val="1125"/>
          <w:rFonts w:hint="eastAsia" w:ascii="宋体" w:hAnsi="宋体" w:eastAsia="宋体" w:cs="宋体"/>
          <w:color w:val="000000"/>
        </w:rPr>
        <w:t xml:space="preserve">.gov.cn/ztztz/zhengfucaigouguanli/201802/t20180201_2804589.htm</w:t>
      </w:r>
      <w:r>
        <w:rPr>
          <w:rStyle w:val="1125"/>
          <w:rFonts w:hint="eastAsia" w:ascii="宋体" w:hAnsi="宋体" w:eastAsia="宋体" w:cs="宋体"/>
          <w:color w:val="000000"/>
        </w:rPr>
        <w:fldChar w:fldCharType="end"/>
      </w:r>
      <w:r>
        <w:rPr>
          <w:rFonts w:hint="eastAsia" w:ascii="宋体" w:hAnsi="宋体" w:eastAsia="宋体" w:cs="宋体"/>
          <w:color w:val="000000"/>
        </w:rPr>
        <w:t xml:space="preserve">）</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24.2.4</w:t>
      </w:r>
      <w:r>
        <w:rPr>
          <w:rFonts w:hint="eastAsia"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24.2.5</w:t>
      </w:r>
      <w:r>
        <w:rPr>
          <w:rFonts w:hint="eastAsia" w:ascii="宋体" w:hAnsi="宋体" w:eastAsia="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24.3</w:t>
      </w:r>
      <w:r>
        <w:rPr>
          <w:rFonts w:hint="eastAsia" w:ascii="宋体" w:hAnsi="宋体" w:eastAsia="宋体" w:cs="宋体"/>
          <w:color w:val="000000"/>
          <w:sz w:val="24"/>
        </w:rPr>
        <w:t xml:space="preserve">接收询问和质疑的联系部门、联系电话和通讯地址见《供应商须知资料表》。</w:t>
      </w:r>
      <w:r/>
    </w:p>
    <w:p>
      <w:pPr>
        <w:numPr>
          <w:ilvl w:val="0"/>
          <w:numId w:val="0"/>
        </w:numPr>
        <w:ind w:left="357" w:hanging="357"/>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25</w:t>
      </w:r>
      <w:r>
        <w:rPr>
          <w:rFonts w:hint="eastAsia" w:ascii="宋体" w:hAnsi="宋体" w:eastAsia="宋体" w:cs="宋体"/>
          <w:color w:val="000000"/>
          <w:sz w:val="24"/>
        </w:rPr>
        <w:t xml:space="preserve">代理费</w:t>
      </w:r>
      <w:r/>
    </w:p>
    <w:p>
      <w:pPr>
        <w:numPr>
          <w:ilvl w:val="1"/>
          <w:numId w:val="0"/>
        </w:numPr>
        <w:ind w:left="1077" w:hanging="720"/>
        <w:spacing w:line="360" w:lineRule="auto"/>
        <w:tabs>
          <w:tab w:val="left" w:pos="1080"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4"/>
          <w:lang w:val="en-US" w:eastAsia="zh-CN" w:bidi="ar-SA"/>
        </w:rPr>
        <w:t xml:space="preserve">25.1</w:t>
      </w:r>
      <w:r>
        <w:rPr>
          <w:rFonts w:hint="eastAsia" w:ascii="宋体" w:hAnsi="宋体" w:eastAsia="宋体" w:cs="宋体"/>
          <w:color w:val="000000"/>
          <w:sz w:val="24"/>
        </w:rPr>
        <w:t xml:space="preserve">收费对象、收费标准及缴纳时间见《供应商须知资料表》。由成交供应商支付的，成交供应商须一次性向采购代理机构缴纳代理费，报价应包含代理费用。</w:t>
      </w:r>
      <w:r/>
    </w:p>
    <w:p>
      <w:pPr>
        <w:numPr>
          <w:ilvl w:val="1"/>
          <w:numId w:val="2"/>
        </w:numPr>
        <w:ind w:left="1077" w:hanging="720"/>
        <w:spacing w:line="360" w:lineRule="auto"/>
        <w:tabs>
          <w:tab w:val="left" w:pos="1080" w:leader="none"/>
          <w:tab w:val="left" w:pos="2014" w:leader="none"/>
        </w:tabs>
        <w:rPr>
          <w:rFonts w:hint="eastAsia" w:ascii="宋体" w:hAnsi="宋体" w:eastAsia="宋体" w:cs="宋体"/>
          <w:color w:val="000000"/>
          <w:sz w:val="24"/>
        </w:rPr>
        <w:sectPr>
          <w:footerReference w:type="even" r:id="rId14"/>
          <w:footnotePr/>
          <w:endnotePr/>
          <w:type w:val="nextPage"/>
          <w:pgSz w:w="11907" w:h="16840" w:orient="portrait"/>
          <w:pgMar w:top="1100" w:right="1191" w:bottom="1100" w:left="1191" w:header="567" w:footer="567" w:gutter="0"/>
          <w:cols w:num="1" w:sep="0" w:space="1701" w:equalWidth="1"/>
          <w:docGrid w:linePitch="360"/>
        </w:sectPr>
      </w:pPr>
      <w:r/>
      <w:bookmarkStart w:id="550" w:name="_Toc226337250"/>
      <w:r/>
      <w:bookmarkStart w:id="551" w:name="_Toc265228392"/>
      <w:r/>
      <w:bookmarkStart w:id="552" w:name="_Toc305158896"/>
      <w:r/>
      <w:bookmarkStart w:id="553" w:name="_Toc226965827"/>
      <w:r/>
      <w:bookmarkStart w:id="554" w:name="_Toc264969244"/>
      <w:r/>
      <w:bookmarkStart w:id="555" w:name="_Toc142311056"/>
      <w:r/>
      <w:bookmarkStart w:id="556" w:name="_Toc305158822"/>
      <w:r/>
      <w:bookmarkStart w:id="557" w:name="_Toc353825544"/>
      <w:r/>
      <w:bookmarkStart w:id="558" w:name="_Toc150480792"/>
      <w:r/>
      <w:bookmarkStart w:id="559" w:name="_Toc353873934"/>
      <w:r/>
      <w:bookmarkStart w:id="560" w:name="_Toc353873664"/>
      <w:r/>
      <w:bookmarkStart w:id="561" w:name="_Toc127151554"/>
      <w:r/>
      <w:bookmarkStart w:id="562" w:name="_Toc150774759"/>
      <w:r/>
      <w:r/>
    </w:p>
    <w:p>
      <w:pPr>
        <w:jc w:val="center"/>
        <w:spacing w:line="360" w:lineRule="auto"/>
        <w:rPr>
          <w:rFonts w:hint="eastAsia" w:ascii="宋体" w:hAnsi="宋体" w:eastAsia="宋体" w:cs="宋体"/>
          <w:b/>
          <w:color w:val="000000"/>
          <w:sz w:val="36"/>
          <w:szCs w:val="36"/>
        </w:rPr>
        <w:outlineLvl w:val="0"/>
      </w:pPr>
      <w:r/>
      <w:bookmarkStart w:id="563" w:name="_Toc104818927"/>
      <w:r>
        <w:rPr>
          <w:rFonts w:hint="eastAsia" w:ascii="宋体" w:hAnsi="宋体" w:eastAsia="宋体" w:cs="宋体"/>
          <w:b/>
          <w:color w:val="000000"/>
          <w:sz w:val="36"/>
          <w:szCs w:val="36"/>
        </w:rPr>
        <w:t xml:space="preserve">第三章   </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rFonts w:hint="eastAsia" w:ascii="宋体" w:hAnsi="宋体" w:eastAsia="宋体" w:cs="宋体"/>
          <w:b/>
          <w:color w:val="000000"/>
          <w:sz w:val="36"/>
          <w:szCs w:val="36"/>
        </w:rPr>
        <w:t xml:space="preserve">评审程序、评审方法和评审标准</w:t>
      </w:r>
      <w:bookmarkEnd w:id="563"/>
      <w:r/>
      <w:bookmarkStart w:id="564" w:name="_Toc487900382"/>
      <w:r/>
      <w:r/>
    </w:p>
    <w:p>
      <w:pPr>
        <w:pStyle w:val="1112"/>
        <w:jc w:val="center"/>
        <w:spacing w:before="0"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一、评审程序</w:t>
      </w:r>
      <w:bookmarkEnd w:id="564"/>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bookmarkStart w:id="565" w:name="_Toc142311043"/>
      <w:r/>
      <w:bookmarkStart w:id="566" w:name="_Toc151190168"/>
      <w:r/>
      <w:bookmarkStart w:id="567" w:name="_Toc164229236"/>
      <w:r/>
      <w:bookmarkStart w:id="568" w:name="_Toc195842906"/>
      <w:r/>
      <w:bookmarkStart w:id="569" w:name="_Toc164351635"/>
      <w:r/>
      <w:bookmarkStart w:id="570" w:name="_Toc151193929"/>
      <w:r/>
      <w:bookmarkStart w:id="571" w:name="_Toc151193639"/>
      <w:r/>
      <w:bookmarkStart w:id="572" w:name="_Toc127151742"/>
      <w:r/>
      <w:bookmarkStart w:id="573" w:name="_Toc164608655"/>
      <w:r/>
      <w:bookmarkStart w:id="574" w:name="_Toc265228379"/>
      <w:r/>
      <w:bookmarkStart w:id="575" w:name="_Toc150774641"/>
      <w:r/>
      <w:bookmarkStart w:id="576" w:name="_Toc150509292"/>
      <w:r/>
      <w:bookmarkStart w:id="577" w:name="_Toc151193783"/>
      <w:r/>
      <w:bookmarkStart w:id="578" w:name="_Toc151193711"/>
      <w:r/>
      <w:bookmarkStart w:id="579" w:name="_Toc226965814"/>
      <w:r/>
      <w:bookmarkStart w:id="580" w:name="_Toc150774746"/>
      <w:r/>
      <w:bookmarkStart w:id="581" w:name="_Toc127161455"/>
      <w:r/>
      <w:bookmarkStart w:id="582" w:name="_Toc264969231"/>
      <w:r/>
      <w:bookmarkStart w:id="583" w:name="_Toc305158883"/>
      <w:r/>
      <w:bookmarkStart w:id="584" w:name="_Toc226309785"/>
      <w:r/>
      <w:bookmarkStart w:id="585" w:name="_Toc164608810"/>
      <w:r/>
      <w:bookmarkStart w:id="586" w:name="_Toc305158809"/>
      <w:r/>
      <w:bookmarkStart w:id="587" w:name="_Toc149720834"/>
      <w:r/>
      <w:bookmarkStart w:id="588" w:name="_Toc226337237"/>
      <w:r/>
      <w:bookmarkStart w:id="589" w:name="_Toc226965731"/>
      <w:r/>
      <w:bookmarkStart w:id="590" w:name="_Toc164229382"/>
      <w:r/>
      <w:bookmarkStart w:id="591" w:name="_Toc150480779"/>
      <w:r/>
      <w:bookmarkStart w:id="592" w:name="_Toc151193855"/>
      <w:r/>
      <w:bookmarkStart w:id="593" w:name="_Toc127151541"/>
      <w:r/>
      <w:bookmarkStart w:id="594" w:name="_Toc353825551"/>
      <w:r/>
      <w:bookmarkStart w:id="595" w:name="_Toc353873941"/>
      <w:r>
        <w:rPr>
          <w:rFonts w:hint="eastAsia" w:ascii="宋体" w:hAnsi="宋体" w:eastAsia="宋体" w:cs="宋体"/>
          <w:color w:val="000000"/>
          <w:sz w:val="24"/>
          <w:szCs w:val="22"/>
          <w:lang w:val="en-US" w:eastAsia="zh-CN" w:bidi="ar-SA"/>
        </w:rPr>
        <w:t xml:space="preserve">1</w:t>
      </w:r>
      <w:r>
        <w:rPr>
          <w:rFonts w:hint="eastAsia" w:ascii="宋体" w:hAnsi="宋体" w:eastAsia="宋体" w:cs="宋体"/>
          <w:color w:val="000000"/>
          <w:sz w:val="24"/>
        </w:rPr>
        <w:t xml:space="preserve">响应文件的</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eastAsia="宋体" w:cs="宋体"/>
          <w:color w:val="000000"/>
          <w:sz w:val="24"/>
        </w:rPr>
        <w:t xml:space="preserve">资格性检查和符合性审查</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1.1</w:t>
      </w:r>
      <w:r>
        <w:rPr>
          <w:rFonts w:hint="eastAsia" w:ascii="宋体" w:hAnsi="宋体" w:eastAsia="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4"/>
        </w:rPr>
        <w:t xml:space="preserve">无效响应</w:t>
      </w:r>
      <w:r>
        <w:rPr>
          <w:rFonts w:hint="eastAsia" w:ascii="宋体" w:hAnsi="宋体" w:eastAsia="宋体" w:cs="宋体"/>
          <w:color w:val="000000"/>
          <w:sz w:val="24"/>
        </w:rPr>
        <w:t xml:space="preserve">处理，磋商小组应当告知提交响应文件的供应商。</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1.2</w:t>
      </w:r>
      <w:r>
        <w:rPr>
          <w:rFonts w:hint="eastAsia" w:ascii="宋体" w:hAnsi="宋体" w:eastAsia="宋体" w:cs="宋体"/>
          <w:color w:val="000000"/>
          <w:sz w:val="24"/>
        </w:rPr>
        <w:t xml:space="preserve">《资格性检查要求》中对格式有要求的，除竞争性磋商文件另有规定外，均为“实质性格式”文件。</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1.3</w:t>
      </w:r>
      <w:r>
        <w:rPr>
          <w:rFonts w:hint="eastAsia" w:ascii="宋体" w:hAnsi="宋体" w:eastAsia="宋体" w:cs="宋体"/>
          <w:color w:val="000000"/>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资格性检查要求</w:t>
      </w:r>
      <w:r/>
    </w:p>
    <w:tbl>
      <w:tblPr>
        <w:tblStyle w:val="940"/>
        <w:tblW w:w="9210"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800"/>
        <w:gridCol w:w="4245"/>
        <w:gridCol w:w="2265"/>
      </w:tblGrid>
      <w:tr>
        <w:trPr>
          <w:cantSplit/>
          <w:trHeight w:val="541"/>
          <w:tblHeader/>
        </w:trPr>
        <w:tc>
          <w:tcPr>
            <w:tcW w:w="900" w:type="dxa"/>
            <w:vAlign w:val="center"/>
            <w:textDirection w:val="lrTb"/>
            <w:noWrap w:val="false"/>
          </w:tcPr>
          <w:p>
            <w:pPr>
              <w:jc w:val="center"/>
              <w:tabs>
                <w:tab w:val="left" w:pos="1080" w:leader="none"/>
              </w:tabs>
              <w:rPr>
                <w:rFonts w:hint="eastAsia" w:ascii="宋体" w:hAnsi="宋体" w:eastAsia="宋体" w:cs="宋体"/>
                <w:b/>
                <w:color w:val="000000"/>
                <w:sz w:val="24"/>
              </w:rPr>
            </w:pPr>
            <w:r/>
            <w:bookmarkStart w:id="596" w:name="_Hlt487972895"/>
            <w:r/>
            <w:bookmarkEnd w:id="596"/>
            <w:r>
              <w:rPr>
                <w:rFonts w:hint="eastAsia" w:ascii="宋体" w:hAnsi="宋体" w:eastAsia="宋体" w:cs="宋体"/>
                <w:b/>
                <w:color w:val="000000"/>
                <w:sz w:val="24"/>
              </w:rPr>
              <w:t xml:space="preserve">序号</w:t>
            </w:r>
            <w:r/>
          </w:p>
        </w:tc>
        <w:tc>
          <w:tcPr>
            <w:tcW w:w="1800" w:type="dxa"/>
            <w:vAlign w:val="center"/>
            <w:textDirection w:val="lrTb"/>
            <w:noWrap w:val="false"/>
          </w:tcPr>
          <w:p>
            <w:pPr>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p>
        </w:tc>
        <w:tc>
          <w:tcPr>
            <w:tcW w:w="4245" w:type="dxa"/>
            <w:vAlign w:val="center"/>
            <w:textDirection w:val="lrTb"/>
            <w:noWrap w:val="false"/>
          </w:tcPr>
          <w:p>
            <w:pPr>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p>
        </w:tc>
        <w:tc>
          <w:tcPr>
            <w:tcW w:w="2265" w:type="dxa"/>
            <w:vAlign w:val="center"/>
            <w:textDirection w:val="lrTb"/>
            <w:noWrap w:val="false"/>
          </w:tcPr>
          <w:p>
            <w:pPr>
              <w:jc w:val="center"/>
              <w:tabs>
                <w:tab w:val="left" w:pos="1080" w:leader="none"/>
              </w:tabs>
              <w:rPr>
                <w:rFonts w:hint="eastAsia" w:ascii="宋体" w:hAnsi="宋体" w:eastAsia="宋体" w:cs="宋体"/>
                <w:b/>
                <w:color w:val="000000"/>
                <w:sz w:val="24"/>
              </w:rPr>
            </w:pPr>
            <w:r>
              <w:rPr>
                <w:rFonts w:hint="eastAsia" w:ascii="宋体" w:hAnsi="宋体" w:eastAsia="宋体" w:cs="宋体"/>
                <w:b/>
                <w:color w:val="000000"/>
                <w:sz w:val="24"/>
              </w:rPr>
              <w:t xml:space="preserve">格式要求</w:t>
            </w:r>
            <w:r/>
          </w:p>
        </w:tc>
      </w:tr>
      <w:tr>
        <w:trPr>
          <w:cantSplit/>
          <w:trHeight w:val="983"/>
        </w:trPr>
        <w:tc>
          <w:tcPr>
            <w:tcW w:w="900" w:type="dxa"/>
            <w:vAlign w:val="center"/>
            <w:textDirection w:val="lrTb"/>
            <w:noWrap w:val="false"/>
          </w:tcPr>
          <w:p>
            <w:pPr>
              <w:jc w:val="center"/>
              <w:tabs>
                <w:tab w:val="left" w:pos="1080"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p>
        </w:tc>
        <w:tc>
          <w:tcPr>
            <w:tcW w:w="1800"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bCs/>
                <w:sz w:val="24"/>
              </w:rPr>
              <w:t xml:space="preserve">营业执照副本（事业单位法人证书）</w:t>
            </w:r>
            <w:r/>
          </w:p>
        </w:tc>
        <w:tc>
          <w:tcPr>
            <w:tcW w:w="424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bCs/>
                <w:sz w:val="24"/>
              </w:rPr>
              <w:t xml:space="preserve">营业执照副本和税务登记证副本(或“三证合一”的营业执照副本）或事业单位法人证书</w:t>
            </w:r>
            <w:r/>
          </w:p>
        </w:tc>
        <w:tc>
          <w:tcPr>
            <w:tcW w:w="2265" w:type="dxa"/>
            <w:vAlign w:val="center"/>
            <w:textDirection w:val="lrTb"/>
            <w:noWrap w:val="false"/>
          </w:tcPr>
          <w:p>
            <w:pPr>
              <w:spacing w:before="109" w:after="109"/>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提供电子件或电子证照</w:t>
            </w:r>
            <w:r/>
          </w:p>
        </w:tc>
      </w:tr>
      <w:tr>
        <w:trPr>
          <w:cantSplit/>
          <w:trHeight w:val="737"/>
        </w:trPr>
        <w:tc>
          <w:tcPr>
            <w:tcW w:w="900" w:type="dxa"/>
            <w:vAlign w:val="center"/>
            <w:textDirection w:val="lrTb"/>
            <w:noWrap w:val="false"/>
          </w:tcPr>
          <w:p>
            <w:pPr>
              <w:jc w:val="center"/>
              <w:tabs>
                <w:tab w:val="left" w:pos="1080"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p>
        </w:tc>
        <w:tc>
          <w:tcPr>
            <w:tcW w:w="1800"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供应商资格声明函</w:t>
            </w:r>
            <w:r/>
          </w:p>
        </w:tc>
        <w:tc>
          <w:tcPr>
            <w:tcW w:w="424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提供了符合采购文件要求的《供应商资格声明函》。</w:t>
            </w:r>
            <w:r/>
          </w:p>
        </w:tc>
        <w:tc>
          <w:tcPr>
            <w:tcW w:w="226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w:t>
            </w:r>
            <w:r/>
          </w:p>
        </w:tc>
      </w:tr>
      <w:tr>
        <w:trPr>
          <w:cantSplit/>
          <w:trHeight w:val="451"/>
        </w:trPr>
        <w:tc>
          <w:tcPr>
            <w:tcW w:w="900" w:type="dxa"/>
            <w:vAlign w:val="center"/>
            <w:textDirection w:val="lrTb"/>
            <w:noWrap w:val="false"/>
          </w:tcPr>
          <w:p>
            <w:pPr>
              <w:jc w:val="center"/>
              <w:tabs>
                <w:tab w:val="left" w:pos="1080"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p>
        </w:tc>
        <w:tc>
          <w:tcPr>
            <w:tcW w:w="1800"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供应商信用记录</w:t>
            </w:r>
            <w:r/>
          </w:p>
        </w:tc>
        <w:tc>
          <w:tcPr>
            <w:tcW w:w="4245" w:type="dxa"/>
            <w:vAlign w:val="center"/>
            <w:textDirection w:val="lrTb"/>
            <w:noWrap w:val="false"/>
          </w:tcPr>
          <w:p>
            <w:pPr>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查询渠道：信用中国网站</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rPr>
              <w:t xml:space="preserve">中国政府采购网（www.creditchina.gov.cn、www.ccgp.gov.cn）；</w:t>
            </w:r>
            <w:r/>
          </w:p>
          <w:p>
            <w:pPr>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。联合体形式响应的，联合体成员存在不良信用记录，视同联合体存在不良信用记录。</w:t>
            </w:r>
            <w:r/>
          </w:p>
        </w:tc>
        <w:tc>
          <w:tcPr>
            <w:tcW w:w="2265" w:type="dxa"/>
            <w:vAlign w:val="center"/>
            <w:textDirection w:val="lrTb"/>
            <w:noWrap w:val="false"/>
          </w:tcPr>
          <w:p>
            <w:pPr>
              <w:tabs>
                <w:tab w:val="left" w:pos="1080" w:leader="none"/>
              </w:tabs>
              <w:rPr>
                <w:rFonts w:hint="eastAsia" w:ascii="宋体" w:hAnsi="宋体" w:eastAsia="宋体" w:cs="宋体"/>
                <w:color w:val="000000"/>
                <w:sz w:val="24"/>
              </w:rPr>
            </w:pPr>
            <w:r/>
            <w:bookmarkStart w:id="597" w:name="OLE_LINK31"/>
            <w:r>
              <w:rPr>
                <w:rFonts w:hint="eastAsia" w:ascii="宋体" w:hAnsi="宋体" w:eastAsia="宋体" w:cs="宋体"/>
                <w:color w:val="000000"/>
                <w:sz w:val="24"/>
              </w:rPr>
              <w:t xml:space="preserve">无须供应商提供，由采购人或采购代理机构查询。</w:t>
            </w:r>
            <w:bookmarkEnd w:id="597"/>
            <w:r/>
            <w:r/>
          </w:p>
        </w:tc>
      </w:tr>
      <w:tr>
        <w:trPr>
          <w:cantSplit/>
          <w:trHeight w:val="5060"/>
        </w:trPr>
        <w:tc>
          <w:tcPr>
            <w:tcW w:w="900" w:type="dxa"/>
            <w:vAlign w:val="center"/>
            <w:textDirection w:val="lrTb"/>
            <w:noWrap w:val="false"/>
          </w:tcPr>
          <w:p>
            <w:pPr>
              <w:jc w:val="center"/>
              <w:tabs>
                <w:tab w:val="left" w:pos="1080"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p>
        </w:tc>
        <w:tc>
          <w:tcPr>
            <w:tcW w:w="1800"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中小企业声明函</w:t>
            </w:r>
            <w:r/>
          </w:p>
        </w:tc>
        <w:tc>
          <w:tcPr>
            <w:tcW w:w="4245" w:type="dxa"/>
            <w:vAlign w:val="center"/>
            <w:textDirection w:val="lrTb"/>
            <w:noWrap w:val="false"/>
          </w:tcPr>
          <w:p>
            <w:pPr>
              <w:tabs>
                <w:tab w:val="left" w:pos="108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如采购公告中明确专门面向中小/小微企业采购，须按下述要求提供材料；未专门面向中小/小微企业采购，此项不作为资审条件。</w:t>
            </w:r>
            <w:r/>
          </w:p>
          <w:p>
            <w:pPr>
              <w:tabs>
                <w:tab w:val="left" w:pos="108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bCs/>
                <w:color w:val="000000"/>
                <w:sz w:val="24"/>
              </w:rPr>
            </w:pPr>
            <w:r>
              <w:rPr>
                <w:rFonts w:hint="eastAsia" w:ascii="宋体" w:hAnsi="宋体" w:eastAsia="宋体" w:cs="宋体"/>
                <w:bCs/>
                <w:color w:val="000000"/>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b/>
                <w:color w:val="000000"/>
                <w:sz w:val="24"/>
              </w:rPr>
            </w:pPr>
            <w:r>
              <w:rPr>
                <w:rFonts w:hint="eastAsia" w:ascii="宋体" w:hAnsi="宋体" w:eastAsia="宋体" w:cs="宋体"/>
                <w:bCs/>
                <w:color w:val="000000"/>
                <w:sz w:val="24"/>
              </w:rPr>
              <w:t xml:space="preserve">注2：残疾人福利性单位须按磋商文件要求提供《残疾人福利性单位声明函》。</w:t>
            </w:r>
            <w:r/>
          </w:p>
        </w:tc>
        <w:tc>
          <w:tcPr>
            <w:tcW w:w="226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格式见《响应文件格式》</w:t>
            </w:r>
            <w:r/>
          </w:p>
        </w:tc>
      </w:tr>
      <w:tr>
        <w:trPr>
          <w:cantSplit/>
          <w:trHeight w:val="862"/>
        </w:trPr>
        <w:tc>
          <w:tcPr>
            <w:tcW w:w="900" w:type="dxa"/>
            <w:vAlign w:val="center"/>
            <w:textDirection w:val="lrTb"/>
            <w:noWrap w:val="false"/>
          </w:tcPr>
          <w:p>
            <w:pPr>
              <w:jc w:val="center"/>
              <w:tabs>
                <w:tab w:val="left" w:pos="1080" w:leader="none"/>
              </w:tabs>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p>
        </w:tc>
        <w:tc>
          <w:tcPr>
            <w:tcW w:w="1800"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其他特定资格要求</w:t>
            </w:r>
            <w:r/>
          </w:p>
        </w:tc>
        <w:tc>
          <w:tcPr>
            <w:tcW w:w="424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如有，见第一章《采购邀请》</w:t>
            </w:r>
            <w:r/>
          </w:p>
        </w:tc>
        <w:tc>
          <w:tcPr>
            <w:tcW w:w="2265" w:type="dxa"/>
            <w:vAlign w:val="center"/>
            <w:textDirection w:val="lrTb"/>
            <w:noWrap w:val="false"/>
          </w:tcPr>
          <w:p>
            <w:pPr>
              <w:tabs>
                <w:tab w:val="left" w:pos="1080" w:leader="none"/>
              </w:tabs>
              <w:rPr>
                <w:rFonts w:hint="eastAsia" w:ascii="宋体" w:hAnsi="宋体" w:eastAsia="宋体" w:cs="宋体"/>
                <w:color w:val="000000"/>
                <w:sz w:val="24"/>
              </w:rPr>
            </w:pPr>
            <w:r>
              <w:rPr>
                <w:rFonts w:hint="eastAsia" w:ascii="宋体" w:hAnsi="宋体" w:eastAsia="宋体" w:cs="宋体"/>
                <w:color w:val="000000"/>
                <w:sz w:val="24"/>
              </w:rPr>
              <w:t xml:space="preserve">提供证明文件的电子件或电子证照</w:t>
            </w:r>
            <w:r/>
          </w:p>
        </w:tc>
      </w:tr>
    </w:tbl>
    <w:p>
      <w:pPr>
        <w:jc w:val="left"/>
        <w:widowControl/>
        <w:rPr>
          <w:rFonts w:hint="eastAsia" w:ascii="Calibri" w:hAnsi="Calibri" w:eastAsia="宋体" w:cs="黑体"/>
          <w:sz w:val="21"/>
          <w:szCs w:val="22"/>
          <w:lang w:val="en-US" w:eastAsia="zh-CN" w:bidi="ar-SA"/>
        </w:rPr>
      </w:pPr>
      <w:r>
        <w:rPr>
          <w:rFonts w:hint="eastAsia" w:ascii="Calibri" w:hAnsi="Calibri" w:eastAsia="宋体" w:cs="黑体"/>
          <w:sz w:val="21"/>
          <w:szCs w:val="22"/>
          <w:lang w:val="en-US" w:eastAsia="zh-CN" w:bidi="ar-SA"/>
        </w:rPr>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1.4</w:t>
      </w:r>
      <w:r>
        <w:rPr>
          <w:rFonts w:hint="eastAsia" w:ascii="宋体" w:hAnsi="宋体" w:eastAsia="宋体" w:cs="宋体"/>
          <w:color w:val="000000"/>
          <w:sz w:val="24"/>
        </w:rPr>
        <w:t xml:space="preserve">《符合性审查要求》见下表：</w:t>
      </w:r>
      <w:r/>
    </w:p>
    <w:p>
      <w:pPr>
        <w:jc w:val="center"/>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符合性审查要求</w:t>
      </w:r>
      <w:r/>
    </w:p>
    <w:tbl>
      <w:tblPr>
        <w:tblStyle w:val="940"/>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85"/>
        <w:gridCol w:w="6236"/>
      </w:tblGrid>
      <w:tr>
        <w:trPr>
          <w:jc w:val="center"/>
          <w:trHeight w:val="636"/>
        </w:trPr>
        <w:tc>
          <w:tcPr>
            <w:tcW w:w="900"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785" w:type="dxa"/>
            <w:vAlign w:val="center"/>
            <w:textDirection w:val="lrTb"/>
            <w:noWrap w:val="false"/>
          </w:tcPr>
          <w:p>
            <w:pPr>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p>
        </w:tc>
        <w:tc>
          <w:tcPr>
            <w:tcW w:w="6236" w:type="dxa"/>
            <w:vAlign w:val="center"/>
            <w:textDirection w:val="lrTb"/>
            <w:noWrap w:val="false"/>
          </w:tcPr>
          <w:p>
            <w:pPr>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1977"/>
        </w:trPr>
        <w:tc>
          <w:tcPr>
            <w:tcW w:w="90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响应函、法定代表人资格证明书（或授权委托书）和政府采购供应商信用承诺书</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按磋商文件要求提供响应函、法定代表人资格证明书（或授权委托书）和政府采购供应商信用承诺书；</w:t>
            </w:r>
            <w:r/>
          </w:p>
        </w:tc>
      </w:tr>
      <w:tr>
        <w:trPr>
          <w:jc w:val="center"/>
          <w:trHeight w:val="662"/>
        </w:trPr>
        <w:tc>
          <w:tcPr>
            <w:tcW w:w="90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响应完整性</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未将一个采购包中的内容拆开响应；</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响应报价</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响应报价未超过磋商文件中规定的项目/采购包预算金额或者项目/采购包最高限价</w:t>
            </w:r>
            <w:r>
              <w:rPr>
                <w:rFonts w:hint="eastAsia" w:ascii="宋体" w:hAnsi="宋体" w:eastAsia="宋体" w:cs="宋体"/>
                <w:b w:val="0"/>
                <w:bCs w:val="0"/>
                <w:color w:val="000000"/>
                <w:sz w:val="24"/>
                <w:szCs w:val="24"/>
                <w:highlight w:val="none"/>
                <w:lang w:val="en-US" w:eastAsia="zh-CN"/>
              </w:rPr>
              <w:t xml:space="preserve">及控制单价</w:t>
            </w:r>
            <w:r>
              <w:rPr>
                <w:rFonts w:hint="eastAsia" w:ascii="宋体" w:hAnsi="宋体" w:eastAsia="宋体" w:cs="宋体"/>
                <w:color w:val="000000"/>
                <w:sz w:val="24"/>
                <w:szCs w:val="24"/>
                <w:highlight w:val="none"/>
              </w:rPr>
              <w:t xml:space="preserve">；</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响应文件未出现可选择性或可调整的报价（磋商文件另有规定的除外）；</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报价合理性</w:t>
            </w:r>
            <w:r/>
          </w:p>
        </w:tc>
        <w:tc>
          <w:tcPr>
            <w:tcW w:w="6236"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val="en-US" w:eastAsia="zh-CN"/>
              </w:rPr>
              <w:t xml:space="preserve">财政部</w:t>
            </w:r>
            <w:r>
              <w:rPr>
                <w:rFonts w:hint="eastAsia" w:ascii="宋体" w:hAnsi="宋体" w:eastAsia="宋体" w:cs="宋体"/>
                <w:color w:val="000000"/>
                <w:sz w:val="24"/>
                <w:highlight w:val="none"/>
              </w:rPr>
              <w:t xml:space="preserve">《关于推动解决政府采购异常低价问题的通知》财库〔2026〕2号文件之规定：当评审过程中出现下列情形之一的，评审委员会应当启动异常低价投标（响应）审查程序： </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投标（响应）报价低于采购项目最高限价45%的，即投标（响应）报价&lt;采购项目最高限价×45%；</w:t>
            </w:r>
            <w:r/>
          </w:p>
          <w:p>
            <w:pPr>
              <w:jc w:val="lef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评审委员会基于专业判断，认为供应商报价过低，有可能影响产品质量或者不能诚信履约的其他情形</w:t>
            </w:r>
            <w:r>
              <w:rPr>
                <w:rFonts w:hint="eastAsia" w:ascii="宋体" w:hAnsi="宋体" w:eastAsia="宋体" w:cs="宋体"/>
                <w:color w:val="000000"/>
                <w:sz w:val="24"/>
                <w:highlight w:val="none"/>
                <w:lang w:eastAsia="zh-CN"/>
              </w:rPr>
              <w:t xml:space="preserve">。</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响应有效期</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响应文件中承诺的响应有效期满足磋商文件中载明的响应有效期的；</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按照磋商文件要求签署、加盖公章的；</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标记为“实质性格式”的文件均按磋商文件要求提供；</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9</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响应文件满足磋商文件第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章《采购需求》中★号条款要求的；</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报价的修正（如有）</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不涉及报价修正，或响应文件报价出现前后不一致时，供应商对修正后的报价予以确认；（如有）</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国家有关部门对供应商的响应产品有强制性规定或要求的</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1）采购的产品若属于《节能产品政府采购品目清单》范围中政府强制采购产品，则供应商所报产品必须获得国家确定的认证机构出具的、处于有效期之内的节能产品认证证书；</w:t>
            </w:r>
            <w:r/>
          </w:p>
        </w:tc>
      </w:tr>
      <w:tr>
        <w:trPr>
          <w:jc w:val="center"/>
          <w:trHeight w:val="998"/>
        </w:trPr>
        <w:tc>
          <w:tcPr>
            <w:tcW w:w="90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公平竞争</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供应商遵循公平竞争的原则，不存在恶意串通，妨碍其他供应商的竞争行为，不存在损害采购人或者其他供应商的合法权益情形的；</w:t>
            </w:r>
            <w:r/>
          </w:p>
        </w:tc>
      </w:tr>
      <w:tr>
        <w:trPr>
          <w:jc w:val="center"/>
          <w:trHeight w:val="3563"/>
        </w:trPr>
        <w:tc>
          <w:tcPr>
            <w:tcW w:w="90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串通响应</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w:t>
            </w:r>
            <w:r/>
          </w:p>
        </w:tc>
        <w:tc>
          <w:tcPr>
            <w:tcW w:w="1785" w:type="dxa"/>
            <w:vAlign w:val="center"/>
            <w:textDirection w:val="lrTb"/>
            <w:noWrap w:val="false"/>
          </w:tcPr>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附加条件</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响应文件未含有采购人不能接受的附加条件的；</w:t>
            </w:r>
            <w:r/>
          </w:p>
        </w:tc>
      </w:tr>
      <w:tr>
        <w:trPr>
          <w:jc w:val="center"/>
          <w:trHeight w:val="685"/>
        </w:trPr>
        <w:tc>
          <w:tcPr>
            <w:tcW w:w="900" w:type="dxa"/>
            <w:vAlign w:val="center"/>
            <w:textDirection w:val="lrTb"/>
            <w:noWrap w:val="false"/>
          </w:tcPr>
          <w:p>
            <w:pPr>
              <w:jc w:val="center"/>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p>
        </w:tc>
        <w:tc>
          <w:tcPr>
            <w:tcW w:w="1785" w:type="dxa"/>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p>
        </w:tc>
        <w:tc>
          <w:tcPr>
            <w:tcW w:w="6236"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供应商、响应文件不存在不符合法律、法规和磋商文件规定的其他无效情形。</w:t>
            </w:r>
            <w:r/>
          </w:p>
        </w:tc>
      </w:tr>
    </w:tbl>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2</w:t>
      </w:r>
      <w:r>
        <w:rPr>
          <w:rFonts w:hint="eastAsia" w:ascii="宋体" w:hAnsi="宋体" w:eastAsia="宋体" w:cs="宋体"/>
          <w:color w:val="000000"/>
          <w:sz w:val="24"/>
        </w:rPr>
        <w:t xml:space="preserve">磋商、响应文件有关事项的澄清、说明或者更正和最终报价</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2.1</w:t>
      </w:r>
      <w:r>
        <w:rPr>
          <w:rFonts w:hint="eastAsia" w:ascii="宋体" w:hAnsi="宋体" w:eastAsia="宋体" w:cs="宋体"/>
          <w:color w:val="000000"/>
          <w:sz w:val="24"/>
        </w:rPr>
        <w:t xml:space="preserve">磋商小组所有成员应当集中与单一供应商分别进行磋商，并给予所有参加磋商的供应商平等的磋商机会。</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2.2</w:t>
      </w:r>
      <w:r>
        <w:rPr>
          <w:rFonts w:hint="eastAsia" w:ascii="宋体" w:hAnsi="宋体" w:eastAsia="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2.3</w:t>
      </w:r>
      <w:r>
        <w:rPr>
          <w:rFonts w:hint="eastAsia" w:ascii="宋体" w:hAnsi="宋体" w:eastAsia="宋体" w:cs="宋体"/>
          <w:color w:val="000000"/>
          <w:sz w:val="24"/>
        </w:rPr>
        <w:t xml:space="preserve">对磋商文件作出的实质性变动是磋商文件的有效组成部分，磋商小组应当及时通过“苏采云”系统以书面形式同时通知所有参加磋商的供应商。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2.4</w:t>
      </w:r>
      <w:r>
        <w:rPr>
          <w:rFonts w:hint="eastAsia" w:ascii="宋体" w:hAnsi="宋体" w:eastAsia="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2.5</w:t>
      </w:r>
      <w:r>
        <w:rPr>
          <w:rFonts w:hint="eastAsia" w:ascii="宋体" w:hAnsi="宋体" w:eastAsia="宋体" w:cs="宋体"/>
          <w:color w:val="000000"/>
          <w:sz w:val="24"/>
        </w:rPr>
        <w:t xml:space="preserve">响应文件的澄清、说明或者更正：</w:t>
      </w:r>
      <w:r/>
    </w:p>
    <w:p>
      <w:pPr>
        <w:ind w:left="1080"/>
        <w:spacing w:line="360" w:lineRule="auto"/>
        <w:tabs>
          <w:tab w:val="left" w:pos="1980"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b/>
          <w:color w:val="000000"/>
          <w:sz w:val="24"/>
        </w:rPr>
      </w:pPr>
      <w:r>
        <w:rPr>
          <w:rFonts w:hint="eastAsia" w:ascii="宋体" w:hAnsi="宋体" w:eastAsia="宋体" w:cs="宋体"/>
          <w:b w:val="0"/>
          <w:color w:val="000000"/>
          <w:sz w:val="24"/>
          <w:szCs w:val="24"/>
          <w:lang w:val="en-US" w:eastAsia="zh-CN" w:bidi="ar-SA"/>
        </w:rPr>
        <w:t xml:space="preserve">2.6</w:t>
      </w:r>
      <w:r>
        <w:rPr>
          <w:rFonts w:hint="eastAsia" w:ascii="宋体" w:hAnsi="宋体" w:eastAsia="宋体" w:cs="宋体"/>
          <w:b/>
          <w:color w:val="000000"/>
          <w:sz w:val="24"/>
        </w:rPr>
        <w:t xml:space="preserve">磋商结束后，磋商小组将要求所有实质性响应的供应商在规定时间内通过“苏采云”系统提交最终报价。</w:t>
      </w:r>
      <w:r>
        <w:rPr>
          <w:rFonts w:hint="eastAsia" w:ascii="宋体" w:hAnsi="宋体" w:eastAsia="宋体" w:cs="宋体"/>
          <w:b/>
          <w:bCs/>
          <w:color w:val="000000"/>
          <w:sz w:val="24"/>
        </w:rPr>
        <w:t xml:space="preserve">本项目采用两次报价。响应文件的磋商报价作为首次报价，在磋商小组资格审查符合性审查结束后，所有继续参加磋商的供应商在规定时间内提交最终报价，最终报价作为评定成交的依据。供应商未在磋商小组规定的时间内在苏采</w:t>
      </w:r>
      <w:r>
        <w:rPr>
          <w:rFonts w:hint="eastAsia" w:ascii="宋体" w:hAnsi="宋体" w:eastAsia="宋体" w:cs="宋体"/>
          <w:b/>
          <w:bCs/>
          <w:color w:val="000000"/>
          <w:sz w:val="24"/>
          <w:lang w:val="en-US" w:eastAsia="zh-CN"/>
        </w:rPr>
        <w:t xml:space="preserve">云</w:t>
      </w:r>
      <w:r>
        <w:rPr>
          <w:rFonts w:hint="eastAsia" w:ascii="宋体" w:hAnsi="宋体" w:eastAsia="宋体" w:cs="宋体"/>
          <w:b/>
          <w:bCs/>
          <w:color w:val="000000"/>
          <w:sz w:val="24"/>
        </w:rPr>
        <w:t xml:space="preserve">系统中提交最后报价的视为放弃磋商，其响应文件按无效响应处理。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2.7</w:t>
      </w:r>
      <w:r>
        <w:rPr>
          <w:rFonts w:hint="eastAsia" w:ascii="宋体" w:hAnsi="宋体" w:eastAsia="宋体" w:cs="宋体"/>
          <w:color w:val="000000"/>
          <w:sz w:val="24"/>
        </w:rPr>
        <w:t xml:space="preserve">磋商文件能够详细列明采购标的的技术、服务要求的，磋商结束后，磋商小组应当要求所有实质</w:t>
      </w:r>
      <w:r>
        <w:rPr>
          <w:rFonts w:hint="eastAsia" w:ascii="宋体" w:hAnsi="宋体" w:eastAsia="宋体" w:cs="宋体"/>
          <w:color w:val="000000"/>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2.8</w:t>
      </w:r>
      <w:r>
        <w:rPr>
          <w:rFonts w:hint="eastAsia" w:ascii="宋体" w:hAnsi="宋体" w:eastAsia="宋体" w:cs="宋体"/>
          <w:color w:val="000000"/>
          <w:sz w:val="24"/>
        </w:rPr>
        <w:t xml:space="preserve">最终报价是供应商响应文件的有效组成部分。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2.9</w:t>
      </w:r>
      <w:r>
        <w:rPr>
          <w:rFonts w:hint="eastAsia" w:ascii="宋体" w:hAnsi="宋体" w:eastAsia="宋体" w:cs="宋体"/>
          <w:color w:val="000000"/>
          <w:sz w:val="24"/>
        </w:rPr>
        <w:t xml:space="preserve">已提交响应文件的供应商，在提交最终报价之前，可以根据磋商情况退出磋商。</w:t>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3</w:t>
      </w:r>
      <w:r>
        <w:rPr>
          <w:rFonts w:hint="eastAsia" w:ascii="宋体" w:hAnsi="宋体" w:eastAsia="宋体" w:cs="宋体"/>
          <w:color w:val="000000"/>
          <w:sz w:val="24"/>
        </w:rPr>
        <w:t xml:space="preserve">最终报价的算术修正及政策调整</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3.1</w:t>
      </w:r>
      <w:r>
        <w:rPr>
          <w:rFonts w:hint="eastAsia" w:ascii="宋体" w:hAnsi="宋体" w:eastAsia="宋体" w:cs="宋体"/>
          <w:color w:val="000000"/>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4"/>
        </w:rPr>
        <w:t xml:space="preserve">响应无效</w:t>
      </w:r>
      <w:r>
        <w:rPr>
          <w:rFonts w:hint="eastAsia" w:ascii="宋体" w:hAnsi="宋体" w:eastAsia="宋体" w:cs="宋体"/>
          <w:color w:val="000000"/>
          <w:sz w:val="24"/>
        </w:rPr>
        <w:t xml:space="preserve">。</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3.2</w:t>
      </w:r>
      <w:r>
        <w:rPr>
          <w:rFonts w:hint="eastAsia" w:ascii="宋体" w:hAnsi="宋体" w:eastAsia="宋体" w:cs="宋体"/>
          <w:color w:val="000000"/>
          <w:sz w:val="24"/>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3.2.1</w:t>
      </w:r>
      <w:r>
        <w:rPr>
          <w:rFonts w:hint="eastAsia" w:ascii="宋体" w:hAnsi="宋体" w:eastAsia="宋体" w:cs="宋体"/>
          <w:color w:val="000000"/>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4"/>
        </w:rPr>
      </w:pPr>
      <w:r>
        <w:rPr>
          <w:rFonts w:hint="eastAsia" w:ascii="宋体" w:hAnsi="宋体" w:eastAsia="宋体" w:cs="宋体"/>
          <w:color w:val="000000"/>
          <w:sz w:val="24"/>
        </w:rPr>
        <w:t xml:space="preserve">☑无，按下述3.2.2-3.2.5项规定修正。</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3.2.</w:t>
      </w:r>
      <w:bookmarkStart w:id="649" w:name="_GoBack"/>
      <w:r/>
      <w:bookmarkEnd w:id="649"/>
      <w:r>
        <w:rPr>
          <w:rFonts w:hint="eastAsia" w:ascii="宋体" w:hAnsi="宋体" w:eastAsia="宋体" w:cs="宋体"/>
          <w:color w:val="000000"/>
          <w:sz w:val="24"/>
          <w:szCs w:val="22"/>
          <w:lang w:val="en-US" w:eastAsia="zh-CN" w:bidi="ar-SA"/>
        </w:rPr>
        <w:t xml:space="preserve">2</w:t>
      </w:r>
      <w:r>
        <w:rPr>
          <w:rFonts w:hint="eastAsia" w:ascii="宋体" w:hAnsi="宋体" w:eastAsia="宋体" w:cs="宋体"/>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3.2.3</w:t>
      </w:r>
      <w:r>
        <w:rPr>
          <w:rFonts w:hint="eastAsia" w:ascii="宋体" w:hAnsi="宋体" w:eastAsia="宋体" w:cs="宋体"/>
          <w:color w:val="000000"/>
          <w:sz w:val="24"/>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3.2.4</w:t>
      </w:r>
      <w:r>
        <w:rPr>
          <w:rFonts w:hint="eastAsia" w:ascii="宋体" w:hAnsi="宋体" w:eastAsia="宋体" w:cs="宋体"/>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eastAsia="宋体" w:cs="宋体"/>
          <w:sz w:val="24"/>
        </w:rPr>
      </w:pPr>
      <w:r>
        <w:rPr>
          <w:rFonts w:hint="eastAsia" w:ascii="宋体" w:hAnsi="宋体" w:eastAsia="宋体" w:cs="宋体"/>
          <w:sz w:val="24"/>
          <w:szCs w:val="22"/>
          <w:lang w:val="en-US" w:eastAsia="zh-CN" w:bidi="ar-SA"/>
        </w:rPr>
        <w:t xml:space="preserve">3.2.5</w:t>
      </w:r>
      <w:r>
        <w:rPr>
          <w:rFonts w:hint="eastAsia" w:ascii="宋体" w:hAnsi="宋体" w:eastAsia="宋体" w:cs="宋体"/>
          <w:sz w:val="24"/>
        </w:rPr>
        <w:t xml:space="preserve">同时出现两种以上不一致的，按照前款规定的顺序修正。修正后的报价经供应商书面确认后产生约束力，供应商不确认的，</w:t>
      </w:r>
      <w:r>
        <w:rPr>
          <w:rFonts w:hint="eastAsia" w:ascii="宋体" w:hAnsi="宋体" w:eastAsia="宋体" w:cs="宋体"/>
          <w:b/>
          <w:sz w:val="24"/>
        </w:rPr>
        <w:t xml:space="preserve">其响应无效</w:t>
      </w:r>
      <w:r>
        <w:rPr>
          <w:rFonts w:hint="eastAsia" w:ascii="宋体" w:hAnsi="宋体" w:eastAsia="宋体" w:cs="宋体"/>
          <w:sz w:val="24"/>
        </w:rPr>
        <w:t xml:space="preserve">。</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sz w:val="28"/>
          <w:szCs w:val="24"/>
        </w:rPr>
      </w:pPr>
      <w:r>
        <w:rPr>
          <w:rFonts w:hint="eastAsia" w:ascii="宋体" w:hAnsi="宋体" w:eastAsia="宋体" w:cs="宋体"/>
          <w:b w:val="0"/>
          <w:sz w:val="24"/>
          <w:szCs w:val="24"/>
          <w:lang w:val="en-US" w:eastAsia="zh-CN" w:bidi="ar-SA"/>
        </w:rPr>
        <w:t xml:space="preserve">3.3</w:t>
      </w:r>
      <w:r>
        <w:rPr>
          <w:rFonts w:hint="eastAsia" w:ascii="宋体" w:hAnsi="宋体" w:eastAsia="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3.3.1</w:t>
      </w:r>
      <w:r>
        <w:rPr>
          <w:rFonts w:hint="eastAsia" w:ascii="宋体" w:hAnsi="宋体" w:eastAsia="宋体" w:cs="宋体"/>
          <w:color w:val="000000"/>
          <w:sz w:val="24"/>
        </w:rPr>
        <w:t xml:space="preserve">对于未预留份额专门面向中小企业采购的采购项目，以及预留份额项目中的非预留部分采购包，对</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报价给予</w:t>
      </w:r>
      <w:r>
        <w:rPr>
          <w:rFonts w:hint="eastAsia" w:ascii="宋体" w:hAnsi="宋体" w:eastAsia="宋体" w:cs="宋体"/>
          <w:b/>
          <w:bCs/>
          <w:color w:val="000000"/>
          <w:sz w:val="24"/>
          <w:u w:val="single"/>
        </w:rPr>
        <w:t xml:space="preserve">20%</w:t>
      </w:r>
      <w:r>
        <w:rPr>
          <w:rFonts w:hint="eastAsia" w:ascii="宋体" w:hAnsi="宋体" w:eastAsia="宋体" w:cs="宋体"/>
          <w:color w:val="000000"/>
          <w:sz w:val="24"/>
        </w:rPr>
        <w:t xml:space="preserve">的扣除，用扣除后的价格参加评审。</w:t>
      </w:r>
      <w:r/>
    </w:p>
    <w:p>
      <w:pPr>
        <w:numPr>
          <w:ilvl w:val="2"/>
          <w:numId w:val="0"/>
        </w:numPr>
        <w:ind w:left="1980" w:hanging="900"/>
        <w:spacing w:line="360" w:lineRule="auto"/>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3.3.2</w:t>
      </w:r>
      <w:r>
        <w:rPr>
          <w:rFonts w:hint="eastAsia" w:ascii="宋体" w:hAnsi="宋体" w:eastAsia="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组成联合体或者允许大中型企业向一家或者多家</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分包的采购项目，对于联合协议或者分包意向协议约定</w:t>
      </w:r>
      <w:r>
        <w:rPr>
          <w:rFonts w:hint="eastAsia" w:ascii="宋体" w:hAnsi="宋体" w:eastAsia="宋体" w:cs="宋体"/>
          <w:b/>
          <w:color w:val="000000"/>
          <w:sz w:val="24"/>
        </w:rPr>
        <w:t xml:space="preserve">小微企业</w:t>
      </w:r>
      <w:r>
        <w:rPr>
          <w:rFonts w:hint="eastAsia" w:ascii="宋体" w:hAnsi="宋体" w:eastAsia="宋体" w:cs="宋体"/>
          <w:color w:val="000000"/>
          <w:sz w:val="24"/>
        </w:rPr>
        <w:t xml:space="preserve">的合同份额占到合同总金额 30%以上的联合体或者大中型企业的报价给予4%的扣除，用扣除后的价格参加评审。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3.3.3</w:t>
      </w:r>
      <w:r>
        <w:rPr>
          <w:rFonts w:hint="eastAsia" w:ascii="宋体" w:hAnsi="宋体" w:eastAsia="宋体" w:cs="宋体"/>
          <w:color w:val="000000"/>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3.3.4</w:t>
      </w:r>
      <w:r>
        <w:rPr>
          <w:rFonts w:hint="eastAsia" w:ascii="宋体" w:hAnsi="宋体" w:eastAsia="宋体" w:cs="宋体"/>
          <w:color w:val="000000"/>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3.3.5</w:t>
      </w:r>
      <w:r>
        <w:rPr>
          <w:rFonts w:hint="eastAsia" w:ascii="宋体" w:hAnsi="宋体" w:eastAsia="宋体" w:cs="宋体"/>
          <w:color w:val="000000"/>
          <w:sz w:val="24"/>
        </w:rPr>
        <w:t xml:space="preserve">中小企业参加政府采购活动，应当按照竞争性磋商文件给定的格式出具《中小企业声明函》，否则不得享受相关中小企业扶持政策。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3.3.6</w:t>
      </w:r>
      <w:r>
        <w:rPr>
          <w:rFonts w:hint="eastAsia" w:ascii="宋体" w:hAnsi="宋体" w:eastAsia="宋体" w:cs="宋体"/>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3.3.7</w:t>
      </w:r>
      <w:r>
        <w:rPr>
          <w:rFonts w:hint="eastAsia" w:ascii="宋体" w:hAnsi="宋体" w:eastAsia="宋体" w:cs="宋体"/>
          <w:color w:val="000000"/>
          <w:sz w:val="24"/>
        </w:rPr>
        <w:t xml:space="preserve">残疾人福利性单位按竞争性磋商文件要求提供了《残疾人福利性单位声明函》（见附件）的，视同小微企业。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3.3.8</w:t>
      </w:r>
      <w:r>
        <w:rPr>
          <w:rFonts w:hint="eastAsia" w:ascii="宋体" w:hAnsi="宋体" w:eastAsia="宋体" w:cs="宋体"/>
          <w:color w:val="000000"/>
          <w:sz w:val="24"/>
        </w:rPr>
        <w:t xml:space="preserve">若供应商同时属于小型或微型企业、监狱企业、残疾人福利性单位中的两种及以上，将不重复享受小微企业价格扣减的优惠政策。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14" w:leader="none"/>
        </w:tabs>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3.3.9</w:t>
      </w:r>
      <w:r>
        <w:rPr>
          <w:rFonts w:hint="eastAsia" w:ascii="宋体" w:hAnsi="宋体" w:eastAsia="宋体" w:cs="宋体"/>
          <w:color w:val="000000"/>
          <w:sz w:val="24"/>
        </w:rPr>
        <w:t xml:space="preserve">其他为落实政府采购政策实施的优先采购：/。</w:t>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4</w:t>
      </w:r>
      <w:r>
        <w:rPr>
          <w:rFonts w:hint="eastAsia" w:ascii="宋体" w:hAnsi="宋体" w:eastAsia="宋体" w:cs="宋体"/>
          <w:color w:val="000000"/>
          <w:sz w:val="24"/>
        </w:rPr>
        <w:t xml:space="preserve">磋商环节及提交最终报价后如出现以下情况的，供应商的</w:t>
      </w:r>
      <w:r>
        <w:rPr>
          <w:rFonts w:hint="eastAsia" w:ascii="宋体" w:hAnsi="宋体" w:eastAsia="宋体" w:cs="宋体"/>
          <w:b/>
          <w:color w:val="000000"/>
          <w:sz w:val="24"/>
        </w:rPr>
        <w:t xml:space="preserve">响应文件无效</w:t>
      </w:r>
      <w:r>
        <w:rPr>
          <w:rFonts w:hint="eastAsia" w:ascii="宋体" w:hAnsi="宋体" w:eastAsia="宋体" w:cs="宋体"/>
          <w:color w:val="000000"/>
          <w:sz w:val="24"/>
        </w:rPr>
        <w:t xml:space="preserve">：</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4.1</w:t>
      </w:r>
      <w:r>
        <w:rPr>
          <w:rFonts w:hint="eastAsia" w:ascii="宋体" w:hAnsi="宋体" w:eastAsia="宋体" w:cs="宋体"/>
          <w:color w:val="000000"/>
          <w:sz w:val="24"/>
        </w:rPr>
        <w:t xml:space="preserve">供应商对实质性变动不予确认的；</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4.2</w:t>
      </w:r>
      <w:r>
        <w:rPr>
          <w:rFonts w:hint="eastAsia" w:ascii="宋体" w:hAnsi="宋体" w:eastAsia="宋体" w:cs="宋体"/>
          <w:color w:val="000000"/>
          <w:sz w:val="24"/>
        </w:rPr>
        <w:t xml:space="preserve">不满足磋商文件★号条款或磋商文件技术指标超出磋商文件《采购需求》中主要技术参数允许偏差的最大范围的（如有）；</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4.3</w:t>
      </w:r>
      <w:r>
        <w:rPr>
          <w:rFonts w:hint="eastAsia" w:ascii="宋体" w:hAnsi="宋体" w:eastAsia="宋体" w:cs="宋体"/>
          <w:color w:val="000000"/>
          <w:sz w:val="24"/>
        </w:rPr>
        <w:t xml:space="preserve">未按照磋商小组规定的时间、逾期提交最终报价的；</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4.4</w:t>
      </w:r>
      <w:r>
        <w:rPr>
          <w:rFonts w:hint="eastAsia" w:ascii="宋体" w:hAnsi="宋体" w:eastAsia="宋体" w:cs="宋体"/>
          <w:color w:val="000000"/>
          <w:sz w:val="24"/>
        </w:rPr>
        <w:t xml:space="preserve">如供应商的最终报价超过竞争性磋商文件中规定的项目/采购包预算金额或者项目/采购包最高限价的；</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4.5</w:t>
      </w:r>
      <w:r>
        <w:rPr>
          <w:rFonts w:hint="eastAsia" w:ascii="宋体" w:hAnsi="宋体" w:eastAsia="宋体" w:cs="宋体"/>
          <w:color w:val="000000"/>
          <w:sz w:val="24"/>
        </w:rPr>
        <w:t xml:space="preserve">响应文件中出现可选择性或可调整的报价的（竞争性磋商文件另有规定的除外）；</w:t>
      </w:r>
      <w:r/>
    </w:p>
    <w:p>
      <w:pPr>
        <w:numPr>
          <w:ilvl w:val="1"/>
          <w:numId w:val="0"/>
        </w:numPr>
        <w:ind w:left="1077" w:hanging="720"/>
        <w:spacing w:line="360" w:lineRule="auto"/>
        <w:tabs>
          <w:tab w:val="left" w:pos="1080"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4.6</w:t>
      </w:r>
      <w:r>
        <w:rPr>
          <w:rFonts w:hint="eastAsia" w:ascii="宋体" w:hAnsi="宋体" w:eastAsia="宋体" w:cs="宋体"/>
          <w:color w:val="000000"/>
          <w:sz w:val="24"/>
        </w:rPr>
        <w:t xml:space="preserve">最终报价出现前后不一致，供应商对修正后的报价不予确认的；</w:t>
      </w:r>
      <w:r/>
    </w:p>
    <w:p>
      <w:pPr>
        <w:numPr>
          <w:ilvl w:val="1"/>
          <w:numId w:val="0"/>
        </w:numPr>
        <w:ind w:left="1077" w:hanging="720"/>
        <w:spacing w:line="360" w:lineRule="auto"/>
        <w:tabs>
          <w:tab w:val="left" w:pos="10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szCs w:val="24"/>
          <w:lang w:val="en-US" w:eastAsia="zh-CN" w:bidi="ar-SA"/>
        </w:rPr>
        <w:t xml:space="preserve">4.7</w:t>
      </w:r>
      <w:r>
        <w:rPr>
          <w:rFonts w:hint="eastAsia" w:ascii="宋体" w:hAnsi="宋体" w:eastAsia="宋体" w:cs="宋体"/>
          <w:b w:val="0"/>
          <w:bCs w:val="0"/>
          <w:color w:val="000000"/>
          <w:sz w:val="24"/>
          <w:highlight w:val="none"/>
          <w:u w:val="none"/>
        </w:rPr>
        <w:t xml:space="preserve">其他：根据</w:t>
      </w:r>
      <w:r>
        <w:rPr>
          <w:rFonts w:hint="eastAsia" w:ascii="宋体" w:hAnsi="宋体" w:eastAsia="宋体" w:cs="宋体"/>
          <w:b w:val="0"/>
          <w:bCs w:val="0"/>
          <w:color w:val="000000"/>
          <w:sz w:val="24"/>
          <w:highlight w:val="none"/>
          <w:u w:val="none"/>
          <w:lang w:val="en-US" w:eastAsia="zh-CN"/>
        </w:rPr>
        <w:t xml:space="preserve">财政部</w:t>
      </w:r>
      <w:r>
        <w:rPr>
          <w:rFonts w:hint="eastAsia" w:ascii="宋体" w:hAnsi="宋体" w:eastAsia="宋体" w:cs="宋体"/>
          <w:b w:val="0"/>
          <w:bCs w:val="0"/>
          <w:color w:val="000000"/>
          <w:sz w:val="24"/>
          <w:highlight w:val="none"/>
          <w:u w:val="none"/>
        </w:rPr>
        <w:t xml:space="preserve">《关于推动解决政府采购异常低价问题的通知》财库〔2026〕2号文件之规定：当评审过程中出现下列情形之一的，评审委员会应当启动异常低价投标（响应）审查程序：</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lang w:val="en-US" w:eastAsia="zh-CN"/>
        </w:rPr>
        <w:t xml:space="preserve">4.7.</w:t>
      </w:r>
      <w:r>
        <w:rPr>
          <w:rFonts w:hint="eastAsia" w:ascii="宋体" w:hAnsi="宋体" w:eastAsia="宋体" w:cs="宋体"/>
          <w:b w:val="0"/>
          <w:bCs w:val="0"/>
          <w:color w:val="000000"/>
          <w:sz w:val="24"/>
          <w:highlight w:val="none"/>
          <w:u w:val="none"/>
        </w:rPr>
        <w:t xml:space="preserve">1投标（响应）报价低于全部通过符合性审查供应商投标（响应）报价平均值50%的，即投标（响应）报价&lt;全部通过符合性审查供应商投标（响应）报价平均值×50%；</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lang w:val="en-US" w:eastAsia="zh-CN"/>
        </w:rPr>
        <w:t xml:space="preserve">4.7.</w:t>
      </w:r>
      <w:r>
        <w:rPr>
          <w:rFonts w:hint="eastAsia" w:ascii="宋体" w:hAnsi="宋体" w:eastAsia="宋体" w:cs="宋体"/>
          <w:b w:val="0"/>
          <w:bCs w:val="0"/>
          <w:color w:val="000000"/>
          <w:sz w:val="24"/>
          <w:highlight w:val="none"/>
          <w:u w:val="none"/>
        </w:rPr>
        <w:t xml:space="preserve">2投标（响应）报价低于通过符合性审查的次低报价供应商投标（响应）报价50%的，即投标（响应）报价&lt;通过符合性审查的次低报价供应商投标（响应）报价×50%；</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lang w:val="en-US" w:eastAsia="zh-CN"/>
        </w:rPr>
        <w:t xml:space="preserve">4.7.</w:t>
      </w:r>
      <w:r>
        <w:rPr>
          <w:rFonts w:hint="eastAsia" w:ascii="宋体" w:hAnsi="宋体" w:eastAsia="宋体" w:cs="宋体"/>
          <w:b w:val="0"/>
          <w:bCs w:val="0"/>
          <w:color w:val="000000"/>
          <w:sz w:val="24"/>
          <w:highlight w:val="none"/>
          <w:u w:val="none"/>
        </w:rPr>
        <w:t xml:space="preserve">3投标（响应）报价低于采购项目最高限价45%的，即投标（响应）报价&lt;采购项目最高限价×45%；</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highlight w:val="none"/>
          <w:u w:val="none"/>
          <w:lang w:val="en-US" w:eastAsia="zh-CN"/>
        </w:rPr>
        <w:t xml:space="preserve">4.7.</w:t>
      </w:r>
      <w:r>
        <w:rPr>
          <w:rFonts w:hint="eastAsia" w:ascii="宋体" w:hAnsi="宋体" w:eastAsia="宋体" w:cs="宋体"/>
          <w:b w:val="0"/>
          <w:bCs w:val="0"/>
          <w:color w:val="000000"/>
          <w:sz w:val="24"/>
          <w:highlight w:val="none"/>
          <w:u w:val="none"/>
        </w:rPr>
        <w:t xml:space="preserve">4评审委员会基于专业判断，认为供应商报价过低，有可能影响产品质量或者不能诚信履约的其他情形</w:t>
      </w:r>
      <w:r>
        <w:rPr>
          <w:rFonts w:hint="eastAsia" w:ascii="宋体" w:hAnsi="宋体" w:eastAsia="宋体" w:cs="宋体"/>
          <w:b w:val="0"/>
          <w:bCs w:val="0"/>
          <w:color w:val="000000"/>
          <w:sz w:val="24"/>
          <w:highlight w:val="none"/>
          <w:u w:val="none"/>
          <w:lang w:eastAsia="zh-CN"/>
        </w:rPr>
        <w:t xml:space="preserve">。</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评审委员会启动异常低价投标（响应）审查后，属于前述第4.7.1项至第4.7.4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1075" w:firstLine="0"/>
        <w:spacing w:line="360" w:lineRule="auto"/>
        <w:tabs>
          <w:tab w:val="left" w:pos="1080" w:leader="none"/>
        </w:tabs>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bookmarkEnd w:id="594"/>
      <w:r/>
      <w:bookmarkEnd w:id="595"/>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5</w:t>
      </w:r>
      <w:r>
        <w:rPr>
          <w:rFonts w:hint="eastAsia" w:ascii="宋体" w:hAnsi="宋体" w:eastAsia="宋体" w:cs="宋体"/>
          <w:color w:val="000000"/>
          <w:sz w:val="24"/>
        </w:rPr>
        <w:t xml:space="preserve">评审方法和评审标准</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5.1</w:t>
      </w:r>
      <w:r>
        <w:rPr>
          <w:rFonts w:hint="eastAsia" w:ascii="宋体" w:hAnsi="宋体" w:eastAsia="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5.2</w:t>
      </w:r>
      <w:r>
        <w:rPr>
          <w:rFonts w:hint="eastAsia" w:ascii="宋体" w:hAnsi="宋体" w:eastAsia="宋体" w:cs="宋体"/>
          <w:color w:val="000000"/>
          <w:sz w:val="24"/>
        </w:rPr>
        <w:t xml:space="preserve">竞争性磋商文件中没有规定的评审标准不得作为评审依据。</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5.3</w:t>
      </w:r>
      <w:r>
        <w:rPr>
          <w:rFonts w:hint="eastAsia" w:ascii="宋体" w:hAnsi="宋体" w:eastAsia="宋体" w:cs="宋体"/>
          <w:color w:val="000000"/>
          <w:sz w:val="24"/>
        </w:rPr>
        <w:t xml:space="preserve">非政府强制采购的节能产品或环境标志产品，依据品目清单和认证证书实施政府优先采购。优先采购的具体规定（如涉及）/。</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5.4</w:t>
      </w:r>
      <w:r>
        <w:rPr>
          <w:rFonts w:hint="eastAsia" w:ascii="宋体" w:hAnsi="宋体" w:eastAsia="宋体" w:cs="宋体"/>
          <w:color w:val="000000"/>
          <w:sz w:val="24"/>
        </w:rPr>
        <w:t xml:space="preserve">关于无线局域网认证产品政府采购清单中的产品，优先采购的具体规定（如涉及）/。</w:t>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6</w:t>
      </w:r>
      <w:r>
        <w:rPr>
          <w:rFonts w:hint="eastAsia" w:ascii="宋体" w:hAnsi="宋体" w:eastAsia="宋体" w:cs="宋体"/>
          <w:color w:val="000000"/>
          <w:sz w:val="24"/>
        </w:rPr>
        <w:t xml:space="preserve">确定</w:t>
      </w:r>
      <w:bookmarkStart w:id="598" w:name="_Toc264969236"/>
      <w:r/>
      <w:bookmarkStart w:id="599" w:name="_Toc164351640"/>
      <w:r/>
      <w:bookmarkStart w:id="600" w:name="_Toc150774751"/>
      <w:r/>
      <w:bookmarkStart w:id="601" w:name="_Toc164229241"/>
      <w:r/>
      <w:bookmarkStart w:id="602" w:name="_Toc127151546"/>
      <w:r/>
      <w:bookmarkStart w:id="603" w:name="_Toc127151747"/>
      <w:r/>
      <w:bookmarkStart w:id="604" w:name="_Toc226337242"/>
      <w:r/>
      <w:bookmarkStart w:id="605" w:name="_Toc226309790"/>
      <w:r/>
      <w:bookmarkStart w:id="606" w:name="_Toc150774646"/>
      <w:r/>
      <w:bookmarkStart w:id="607" w:name="_Toc265228384"/>
      <w:r/>
      <w:bookmarkStart w:id="608" w:name="_Toc164608815"/>
      <w:r/>
      <w:bookmarkStart w:id="609" w:name="_Toc151190173"/>
      <w:r/>
      <w:bookmarkStart w:id="610" w:name="_Toc151193788"/>
      <w:r/>
      <w:bookmarkStart w:id="611" w:name="_Toc127161460"/>
      <w:r/>
      <w:bookmarkStart w:id="612" w:name="_Toc151193860"/>
      <w:r/>
      <w:bookmarkStart w:id="613" w:name="_Toc195842911"/>
      <w:r/>
      <w:bookmarkStart w:id="614" w:name="_Toc305158888"/>
      <w:r/>
      <w:bookmarkStart w:id="615" w:name="_Toc520356170"/>
      <w:r/>
      <w:bookmarkStart w:id="616" w:name="_Toc149720839"/>
      <w:r/>
      <w:bookmarkStart w:id="617" w:name="_Toc226965736"/>
      <w:r/>
      <w:bookmarkStart w:id="618" w:name="_Toc164229387"/>
      <w:r/>
      <w:bookmarkStart w:id="619" w:name="_Toc305158814"/>
      <w:r/>
      <w:bookmarkStart w:id="620" w:name="_Toc150480784"/>
      <w:r/>
      <w:bookmarkStart w:id="621" w:name="_Toc164608660"/>
      <w:r/>
      <w:bookmarkStart w:id="622" w:name="_Toc151193716"/>
      <w:r/>
      <w:bookmarkStart w:id="623" w:name="_Toc151193934"/>
      <w:r/>
      <w:bookmarkStart w:id="624" w:name="_Toc226965819"/>
      <w:r/>
      <w:bookmarkStart w:id="625" w:name="_Ref467307010"/>
      <w:r/>
      <w:bookmarkStart w:id="626" w:name="_Toc150509297"/>
      <w:r/>
      <w:bookmarkStart w:id="627" w:name="_Toc151193644"/>
      <w:r/>
      <w:bookmarkStart w:id="628" w:name="_Toc142311048"/>
      <w:r>
        <w:rPr>
          <w:rFonts w:hint="eastAsia" w:ascii="宋体" w:hAnsi="宋体" w:eastAsia="宋体" w:cs="宋体"/>
          <w:color w:val="000000"/>
          <w:sz w:val="24"/>
        </w:rPr>
        <w:t xml:space="preserve">成交候选人名单</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6.1</w:t>
      </w:r>
      <w:r>
        <w:rPr>
          <w:rFonts w:hint="eastAsia" w:ascii="宋体" w:hAnsi="宋体" w:eastAsia="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6.2</w:t>
      </w:r>
      <w:r>
        <w:rPr>
          <w:rFonts w:hint="eastAsia" w:ascii="宋体" w:hAnsi="宋体" w:eastAsia="宋体" w:cs="宋体"/>
          <w:color w:val="000000"/>
          <w:sz w:val="24"/>
          <w:szCs w:val="20"/>
        </w:rPr>
        <w:t xml:space="preserve">磋商小组根据上述供应商排序，依次推荐排序前</w:t>
      </w:r>
      <w:r>
        <w:rPr>
          <w:rFonts w:hint="eastAsia" w:ascii="宋体" w:hAnsi="宋体" w:eastAsia="宋体" w:cs="宋体"/>
          <w:color w:val="000000"/>
          <w:sz w:val="24"/>
        </w:rPr>
        <w:t xml:space="preserve">3名</w:t>
      </w:r>
      <w:r>
        <w:rPr>
          <w:rFonts w:hint="eastAsia" w:ascii="宋体" w:hAnsi="宋体" w:eastAsia="宋体" w:cs="宋体"/>
          <w:color w:val="000000"/>
          <w:sz w:val="24"/>
          <w:szCs w:val="20"/>
        </w:rPr>
        <w:t xml:space="preserve">的供应商为</w:t>
      </w:r>
      <w:r>
        <w:rPr>
          <w:rFonts w:hint="eastAsia" w:ascii="宋体" w:hAnsi="宋体" w:eastAsia="宋体" w:cs="宋体"/>
          <w:color w:val="000000"/>
          <w:sz w:val="24"/>
          <w:szCs w:val="21"/>
        </w:rPr>
        <w:t xml:space="preserve">成交候选供应商</w:t>
      </w:r>
      <w:r>
        <w:rPr>
          <w:rFonts w:hint="eastAsia" w:ascii="宋体" w:hAnsi="宋体" w:eastAsia="宋体" w:cs="宋体"/>
          <w:color w:val="000000"/>
          <w:sz w:val="24"/>
          <w:szCs w:val="20"/>
        </w:rPr>
        <w:t xml:space="preserve">（若在磋商文件允许的情形下提交最终报价的供应商为二家，则依次推荐二名供应商为成交候选供应商），并编写评审报告。</w:t>
      </w:r>
      <w:r/>
    </w:p>
    <w:p>
      <w:pPr>
        <w:numPr>
          <w:ilvl w:val="1"/>
          <w:numId w:val="0"/>
        </w:numPr>
        <w:ind w:left="1077" w:hanging="720"/>
        <w:spacing w:line="360" w:lineRule="auto"/>
        <w:tabs>
          <w:tab w:val="left" w:pos="1080" w:leader="none"/>
          <w:tab w:val="left" w:pos="1872" w:leader="none"/>
        </w:tabs>
        <w:rPr>
          <w:rFonts w:hint="eastAsia" w:ascii="宋体" w:hAnsi="宋体" w:eastAsia="宋体" w:cs="宋体"/>
          <w:color w:val="000000"/>
          <w:sz w:val="24"/>
        </w:rPr>
      </w:pPr>
      <w:r>
        <w:rPr>
          <w:rFonts w:hint="eastAsia" w:ascii="宋体" w:hAnsi="宋体" w:eastAsia="宋体" w:cs="宋体"/>
          <w:b w:val="0"/>
          <w:color w:val="000000"/>
          <w:sz w:val="24"/>
          <w:szCs w:val="24"/>
          <w:lang w:val="en-US" w:eastAsia="zh-CN" w:bidi="ar-SA"/>
        </w:rPr>
        <w:t xml:space="preserve">6.3</w:t>
      </w:r>
      <w:r>
        <w:rPr>
          <w:rFonts w:hint="eastAsia" w:ascii="宋体" w:hAnsi="宋体" w:eastAsia="宋体" w:cs="宋体"/>
          <w:color w:val="000000"/>
          <w:sz w:val="24"/>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rFonts w:hint="eastAsia" w:ascii="宋体" w:hAnsi="宋体" w:eastAsia="宋体" w:cs="宋体"/>
          <w:color w:val="000000"/>
          <w:sz w:val="24"/>
        </w:rPr>
        <w:outlineLvl w:val="1"/>
      </w:pPr>
      <w:r>
        <w:rPr>
          <w:rFonts w:hint="eastAsia" w:ascii="宋体" w:hAnsi="宋体" w:eastAsia="宋体" w:cs="宋体"/>
          <w:color w:val="000000"/>
          <w:sz w:val="24"/>
          <w:szCs w:val="22"/>
          <w:lang w:val="en-US" w:eastAsia="zh-CN" w:bidi="ar-SA"/>
        </w:rPr>
        <w:t xml:space="preserve">7</w:t>
      </w:r>
      <w:r>
        <w:rPr>
          <w:rFonts w:hint="eastAsia" w:ascii="宋体" w:hAnsi="宋体" w:eastAsia="宋体" w:cs="宋体"/>
          <w:color w:val="000000"/>
          <w:sz w:val="24"/>
        </w:rPr>
        <w:t xml:space="preserve">报告违法行为</w:t>
      </w:r>
      <w:r/>
    </w:p>
    <w:p>
      <w:pPr>
        <w:ind w:firstLine="480"/>
        <w:jc w:val="both"/>
        <w:spacing w:line="360" w:lineRule="auto"/>
        <w:widowControl/>
        <w:tabs>
          <w:tab w:val="left" w:pos="1080" w:leader="none"/>
          <w:tab w:val="left" w:pos="1589"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t xml:space="preserve">磋商小组在评审过程中发现供应商有行贿、提供虚假材料或者串通等违法行为时，有向采购人、采购代理机构或者有关部门报告的职责。</w:t>
      </w:r>
      <w:r/>
    </w:p>
    <w:p>
      <w:pPr>
        <w:ind w:firstLine="480"/>
        <w:jc w:val="center"/>
        <w:spacing w:line="360" w:lineRule="auto"/>
        <w:widowControl/>
        <w:tabs>
          <w:tab w:val="left" w:pos="1080" w:leader="none"/>
          <w:tab w:val="left" w:pos="1589" w:leader="none"/>
          <w:tab w:val="left" w:pos="1872" w:leader="none"/>
        </w:tabs>
        <w:rPr>
          <w:rFonts w:hint="eastAsia" w:ascii="宋体" w:hAnsi="宋体" w:eastAsia="宋体" w:cs="宋体"/>
          <w:color w:val="000000"/>
          <w:sz w:val="24"/>
        </w:rPr>
      </w:pPr>
      <w:r>
        <w:rPr>
          <w:rFonts w:hint="eastAsia" w:ascii="宋体" w:hAnsi="宋体" w:eastAsia="宋体" w:cs="宋体"/>
          <w:color w:val="000000"/>
          <w:sz w:val="24"/>
        </w:rPr>
      </w:r>
      <w:r/>
    </w:p>
    <w:p>
      <w:pPr>
        <w:ind w:firstLine="480"/>
        <w:jc w:val="center"/>
        <w:spacing w:line="360" w:lineRule="auto"/>
        <w:widowControl/>
        <w:tabs>
          <w:tab w:val="left" w:pos="1080" w:leader="none"/>
          <w:tab w:val="left" w:pos="1589" w:leader="none"/>
          <w:tab w:val="left" w:pos="1872" w:leader="none"/>
        </w:tabs>
        <w:rPr>
          <w:rFonts w:hint="eastAsia" w:ascii="宋体" w:hAnsi="宋体" w:eastAsia="宋体" w:cs="宋体"/>
          <w:b/>
          <w:bCs/>
          <w:color w:val="ff0000"/>
          <w:sz w:val="24"/>
        </w:rPr>
      </w:pPr>
      <w:r>
        <w:rPr>
          <w:rFonts w:hint="eastAsia" w:ascii="宋体" w:hAnsi="宋体" w:eastAsia="宋体" w:cs="宋体"/>
          <w:b/>
          <w:color w:val="000000"/>
          <w:sz w:val="28"/>
          <w:szCs w:val="28"/>
        </w:rPr>
        <w:t xml:space="preserve">二、评审标准</w:t>
      </w:r>
      <w:r/>
    </w:p>
    <w:tbl>
      <w:tblPr>
        <w:tblStyle w:val="940"/>
        <w:tblW w:w="943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335"/>
        <w:gridCol w:w="765"/>
        <w:gridCol w:w="4680"/>
        <w:gridCol w:w="1965"/>
      </w:tblGrid>
      <w:tr>
        <w:trPr>
          <w:trHeight w:val="664"/>
        </w:trPr>
        <w:tc>
          <w:tcPr>
            <w:tcW w:w="690" w:type="dxa"/>
            <w:vAlign w:val="center"/>
            <w:textDirection w:val="lrTb"/>
            <w:noWrap w:val="false"/>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335" w:type="dxa"/>
            <w:vAlign w:val="center"/>
            <w:textDirection w:val="lrTb"/>
            <w:noWrap w:val="false"/>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 xml:space="preserve">评分因素</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W w:w="4680" w:type="dxa"/>
            <w:vAlign w:val="center"/>
            <w:textDirection w:val="lrTb"/>
            <w:noWrap w:val="false"/>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 xml:space="preserve">评分标准</w:t>
            </w:r>
            <w:r/>
          </w:p>
        </w:tc>
        <w:tc>
          <w:tcPr>
            <w:tcW w:w="1965" w:type="dxa"/>
            <w:vAlign w:val="center"/>
            <w:textDirection w:val="lrTb"/>
            <w:noWrap w:val="false"/>
          </w:tcPr>
          <w:p>
            <w:pPr>
              <w:pStyle w:val="1131"/>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1976"/>
        </w:trPr>
        <w:tc>
          <w:tcPr>
            <w:tcW w:w="690" w:type="dxa"/>
            <w:vAlign w:val="center"/>
            <w:textDirection w:val="lrTb"/>
            <w:noWrap w:val="false"/>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 xml:space="preserve">1</w:t>
            </w:r>
            <w:r/>
          </w:p>
        </w:tc>
        <w:tc>
          <w:tcPr>
            <w:tcW w:w="1335" w:type="dxa"/>
            <w:vAlign w:val="center"/>
            <w:textDirection w:val="lrTb"/>
            <w:noWrap w:val="false"/>
          </w:tcPr>
          <w:p>
            <w:pPr>
              <w:ind w:firstLine="28"/>
              <w:jc w:val="center"/>
              <w:rPr>
                <w:rFonts w:hint="eastAsia" w:ascii="宋体" w:hAnsi="宋体" w:eastAsia="宋体" w:cs="宋体"/>
                <w:b/>
                <w:bCs/>
                <w:sz w:val="21"/>
                <w:szCs w:val="21"/>
              </w:rPr>
            </w:pPr>
            <w:r>
              <w:rPr>
                <w:rFonts w:hint="eastAsia" w:ascii="宋体" w:hAnsi="宋体" w:eastAsia="宋体" w:cs="宋体"/>
                <w:b/>
                <w:bCs/>
                <w:sz w:val="21"/>
                <w:szCs w:val="21"/>
              </w:rPr>
              <w:t xml:space="preserve">价格分</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b/>
                <w:bCs/>
                <w:color w:val="000000"/>
                <w:sz w:val="21"/>
                <w:szCs w:val="21"/>
                <w:lang w:val="en-US" w:eastAsia="zh-CN"/>
              </w:rPr>
            </w:pPr>
            <w:r>
              <w:rPr>
                <w:rFonts w:hint="eastAsia" w:ascii="宋体" w:hAnsi="宋体" w:cs="宋体"/>
                <w:b/>
                <w:bCs/>
                <w:color w:val="000000"/>
                <w:sz w:val="21"/>
                <w:szCs w:val="21"/>
                <w:highlight w:val="none"/>
                <w:lang w:val="en-US" w:eastAsia="zh-CN"/>
              </w:rPr>
              <w:t xml:space="preserve">30</w:t>
            </w:r>
            <w:r/>
          </w:p>
        </w:tc>
        <w:tc>
          <w:tcPr>
            <w:tcW w:w="468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满足磋商文件要求且最终投标</w:t>
            </w:r>
            <w:r>
              <w:rPr>
                <w:rFonts w:hint="eastAsia" w:ascii="宋体" w:hAnsi="宋体" w:eastAsia="宋体" w:cs="宋体"/>
                <w:sz w:val="21"/>
                <w:szCs w:val="21"/>
                <w:lang w:val="en-US" w:eastAsia="zh-CN"/>
              </w:rPr>
              <w:t xml:space="preserve">优惠率</w:t>
            </w:r>
            <w:r>
              <w:rPr>
                <w:rFonts w:hint="eastAsia" w:ascii="宋体" w:hAnsi="宋体" w:eastAsia="宋体" w:cs="宋体"/>
                <w:sz w:val="21"/>
                <w:szCs w:val="21"/>
              </w:rPr>
              <w:t xml:space="preserve">最</w:t>
            </w:r>
            <w:r>
              <w:rPr>
                <w:rFonts w:hint="eastAsia" w:ascii="宋体" w:hAnsi="宋体" w:eastAsia="宋体" w:cs="宋体"/>
                <w:sz w:val="21"/>
                <w:szCs w:val="21"/>
                <w:lang w:val="en-US" w:eastAsia="zh-CN"/>
              </w:rPr>
              <w:t xml:space="preserve">高</w:t>
            </w:r>
            <w:r>
              <w:rPr>
                <w:rFonts w:hint="eastAsia" w:ascii="宋体" w:hAnsi="宋体" w:eastAsia="宋体" w:cs="宋体"/>
                <w:sz w:val="21"/>
                <w:szCs w:val="21"/>
              </w:rPr>
              <w:t xml:space="preserve">的投标</w:t>
            </w:r>
            <w:r>
              <w:rPr>
                <w:rFonts w:hint="eastAsia" w:ascii="宋体" w:hAnsi="宋体" w:eastAsia="宋体" w:cs="宋体"/>
                <w:sz w:val="21"/>
                <w:szCs w:val="21"/>
                <w:lang w:val="en-US" w:eastAsia="zh-CN"/>
              </w:rPr>
              <w:t xml:space="preserve">优惠率</w:t>
            </w:r>
            <w:r>
              <w:rPr>
                <w:rFonts w:hint="eastAsia" w:ascii="宋体" w:hAnsi="宋体" w:eastAsia="宋体" w:cs="宋体"/>
                <w:sz w:val="21"/>
                <w:szCs w:val="21"/>
              </w:rPr>
              <w:t xml:space="preserve">为磋商基准</w:t>
            </w:r>
            <w:r>
              <w:rPr>
                <w:rFonts w:hint="eastAsia" w:ascii="宋体" w:hAnsi="宋体" w:eastAsia="宋体" w:cs="宋体"/>
                <w:sz w:val="21"/>
                <w:szCs w:val="21"/>
                <w:lang w:val="en-US" w:eastAsia="zh-CN"/>
              </w:rPr>
              <w:t xml:space="preserve">优惠率</w:t>
            </w:r>
            <w:r>
              <w:rPr>
                <w:rFonts w:hint="eastAsia" w:ascii="宋体" w:hAnsi="宋体" w:eastAsia="宋体" w:cs="宋体"/>
                <w:sz w:val="21"/>
                <w:szCs w:val="21"/>
              </w:rPr>
              <w:t xml:space="preserve">，其价格分为满分。其他供应商的价格分统一按照下列公式计算：</w:t>
            </w:r>
            <w:r/>
          </w:p>
          <w:p>
            <w:pPr>
              <w:rPr>
                <w:rFonts w:hint="eastAsia" w:ascii="宋体" w:hAnsi="宋体" w:eastAsia="宋体" w:cs="宋体"/>
                <w:sz w:val="21"/>
                <w:szCs w:val="21"/>
              </w:rPr>
            </w:pPr>
            <w:r>
              <w:rPr>
                <w:rFonts w:hint="eastAsia" w:ascii="宋体" w:hAnsi="宋体" w:eastAsia="宋体" w:cs="宋体"/>
                <w:sz w:val="21"/>
                <w:szCs w:val="21"/>
              </w:rPr>
              <w:t xml:space="preserve">价格分得分＝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磋商</w:t>
            </w:r>
            <w:r>
              <w:rPr>
                <w:rFonts w:hint="eastAsia" w:ascii="宋体" w:hAnsi="宋体" w:eastAsia="宋体" w:cs="宋体"/>
                <w:sz w:val="21"/>
                <w:szCs w:val="21"/>
              </w:rPr>
              <w:t xml:space="preserve">基准</w:t>
            </w:r>
            <w:r>
              <w:rPr>
                <w:rFonts w:hint="eastAsia" w:ascii="宋体" w:hAnsi="宋体" w:eastAsia="宋体" w:cs="宋体"/>
                <w:sz w:val="21"/>
                <w:szCs w:val="21"/>
                <w:lang w:val="en-US" w:eastAsia="zh-CN"/>
              </w:rPr>
              <w:t xml:space="preserve">优惠率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最终</w:t>
            </w: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优惠</w:t>
            </w:r>
            <w:r>
              <w:rPr>
                <w:rFonts w:hint="eastAsia" w:ascii="宋体" w:hAnsi="宋体" w:eastAsia="宋体" w:cs="宋体"/>
                <w:sz w:val="21"/>
                <w:szCs w:val="21"/>
              </w:rPr>
              <w:t xml:space="preserve">率</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分值</w:t>
            </w:r>
            <w:r>
              <w:rPr>
                <w:rFonts w:hint="eastAsia" w:ascii="宋体" w:hAnsi="宋体" w:eastAsia="宋体" w:cs="宋体"/>
                <w:sz w:val="21"/>
                <w:szCs w:val="21"/>
              </w:rPr>
              <w:t xml:space="preserve">。</w:t>
            </w:r>
            <w:r/>
          </w:p>
        </w:tc>
        <w:tc>
          <w:tcPr>
            <w:tcW w:w="196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此处最终报价指经过报价修正，及因落实政府采购政策进行价格调整后的最终报价，详见第三章《评标方法和评标标准》。</w:t>
            </w:r>
            <w:r/>
          </w:p>
        </w:tc>
      </w:tr>
      <w:tr>
        <w:trPr>
          <w:trHeight w:val="528"/>
        </w:trPr>
        <w:tc>
          <w:tcPr>
            <w:tcW w:w="690" w:type="dxa"/>
            <w:vAlign w:val="center"/>
            <w:textDirection w:val="lrTb"/>
            <w:noWrap w:val="false"/>
          </w:tcPr>
          <w:p>
            <w:pPr>
              <w:ind w:firstLine="28"/>
              <w:jc w:val="center"/>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W w:w="1335" w:type="dxa"/>
            <w:vAlign w:val="center"/>
            <w:textDirection w:val="lrTb"/>
            <w:noWrap w:val="false"/>
          </w:tcPr>
          <w:p>
            <w:pPr>
              <w:ind w:firstLine="28"/>
              <w:jc w:val="center"/>
              <w:rPr>
                <w:rFonts w:hint="eastAsia" w:ascii="宋体" w:hAnsi="宋体" w:eastAsia="宋体" w:cs="宋体"/>
                <w:b/>
                <w:bCs/>
                <w:sz w:val="21"/>
                <w:szCs w:val="21"/>
              </w:rPr>
            </w:pPr>
            <w:r>
              <w:rPr>
                <w:rFonts w:hint="eastAsia" w:ascii="宋体" w:hAnsi="宋体" w:eastAsia="宋体" w:cs="宋体"/>
                <w:b/>
                <w:bCs/>
                <w:sz w:val="21"/>
                <w:szCs w:val="21"/>
              </w:rPr>
              <w:t xml:space="preserve">主观分</w:t>
            </w:r>
            <w:r/>
          </w:p>
        </w:tc>
        <w:tc>
          <w:tcPr>
            <w:tcW w:w="76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30</w:t>
            </w:r>
            <w:r/>
          </w:p>
        </w:tc>
        <w:tc>
          <w:tcPr>
            <w:gridSpan w:val="2"/>
            <w:tcW w:w="6645" w:type="dxa"/>
            <w:vAlign w:val="center"/>
            <w:textDirection w:val="lrTb"/>
            <w:noWrap w:val="false"/>
          </w:tcPr>
          <w:p>
            <w:pPr>
              <w:ind w:left="-38"/>
              <w:rPr>
                <w:rFonts w:hint="eastAsia" w:ascii="宋体" w:hAnsi="宋体" w:eastAsia="宋体" w:cs="宋体"/>
                <w:sz w:val="21"/>
                <w:szCs w:val="21"/>
              </w:rPr>
            </w:pPr>
            <w:r>
              <w:rPr>
                <w:rFonts w:hint="eastAsia" w:ascii="宋体" w:hAnsi="宋体" w:eastAsia="宋体" w:cs="宋体"/>
                <w:sz w:val="21"/>
                <w:szCs w:val="21"/>
              </w:rPr>
            </w:r>
            <w:r/>
          </w:p>
        </w:tc>
      </w:tr>
      <w:tr>
        <w:trPr>
          <w:trHeight w:val="1844"/>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sz w:val="21"/>
                <w:szCs w:val="21"/>
                <w:lang w:val="en-US" w:eastAsia="zh-CN"/>
              </w:rPr>
              <w:t xml:space="preserve">2.1</w:t>
            </w:r>
            <w:r/>
          </w:p>
        </w:tc>
        <w:tc>
          <w:tcPr>
            <w:tcW w:w="1335" w:type="dxa"/>
            <w:vAlign w:val="center"/>
            <w:textDirection w:val="lrTb"/>
            <w:noWrap w:val="false"/>
          </w:tcPr>
          <w:p>
            <w:pPr>
              <w:pStyle w:val="1132"/>
              <w:jc w:val="center"/>
              <w:keepLines/>
              <w:keepNext/>
              <w:pageBreakBefore w:val="0"/>
              <w:spacing w:before="71" w:line="22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对本项目的理解和技术建议</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1"/>
                <w:szCs w:val="21"/>
                <w:lang w:val="en-US" w:eastAsia="zh-CN"/>
              </w:rPr>
              <w:suppressLineNumbers w:val="0"/>
            </w:pPr>
            <w:r>
              <w:rPr>
                <w:rFonts w:hint="eastAsia" w:ascii="宋体" w:hAnsi="宋体" w:cs="宋体"/>
                <w:b w:val="0"/>
                <w:bCs/>
                <w:sz w:val="21"/>
                <w:szCs w:val="21"/>
                <w:lang w:val="en-US" w:eastAsia="zh-CN"/>
              </w:rPr>
              <w:t xml:space="preserve">5</w:t>
            </w:r>
            <w:r/>
          </w:p>
        </w:tc>
        <w:tc>
          <w:tcPr>
            <w:tcW w:w="4680" w:type="dxa"/>
            <w:vAlign w:val="center"/>
            <w:textDirection w:val="lrTb"/>
            <w:noWrap w:val="false"/>
          </w:tcPr>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（一）评分内容：</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供应商针对本项目的理解和技术建议，包含但不限于以下内容：</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(1)针对本项目特点提出养护方面的建议；</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(2)对养护工作的实施方案；</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(3)为提高本项目的质量和技术水平提出的相关建议；</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（二）评审依据：</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1.考察以上内容,每满足任意一项内容得20%，最高得60%。</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2.在上述基础上，专家根据各供应商的具体响应内容按照量化的评审因素指标进一步评审。</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（1）阐述方案总体设计科学合理对采购要求应答完整、清晰、有针对性的，评审为优加40%；</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（2）阐述方案总体设计较合理的，评审为良加20%；</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（3）阐述方案总体设计一般的，评审为中加10%；</w:t>
            </w:r>
            <w:r/>
          </w:p>
          <w:p>
            <w:pPr>
              <w:keepLines w:val="0"/>
              <w:keepNext w:val="0"/>
              <w:pageBreakBefore w:val="0"/>
              <w:spacing w:line="280" w:lineRule="exact"/>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（4）阐述方案总体设计不完整的，评审为差不加分。</w:t>
            </w:r>
            <w:r/>
          </w:p>
          <w:p>
            <w:pPr>
              <w:ind w:left="0" w:right="0" w:firstLine="28"/>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bCs/>
                <w:sz w:val="21"/>
                <w:szCs w:val="21"/>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rHeight w:val="1683"/>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sz w:val="21"/>
                <w:szCs w:val="21"/>
                <w:lang w:val="en-US" w:eastAsia="zh-CN"/>
              </w:rPr>
              <w:t xml:space="preserve">2.2</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针对本项目提供的市政道路养护服务工作流程和标准比较</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default" w:ascii="宋体" w:hAnsi="宋体" w:eastAsia="宋体" w:cs="宋体"/>
                <w:b w:val="0"/>
                <w:bCs w:val="0"/>
                <w:color w:val="000000"/>
                <w:sz w:val="21"/>
                <w:szCs w:val="21"/>
                <w:lang w:val="en-US" w:eastAsia="zh-CN"/>
              </w:rPr>
              <w:suppressLineNumbers w:val="0"/>
            </w:pPr>
            <w:r>
              <w:rPr>
                <w:rFonts w:hint="eastAsia" w:ascii="宋体" w:hAnsi="宋体" w:cs="宋体"/>
                <w:b w:val="0"/>
                <w:bCs w:val="0"/>
                <w:color w:val="000000"/>
                <w:sz w:val="21"/>
                <w:szCs w:val="21"/>
                <w:lang w:val="en-US" w:eastAsia="zh-CN"/>
              </w:rPr>
              <w:t xml:space="preserve">5</w:t>
            </w:r>
            <w:r/>
          </w:p>
        </w:tc>
        <w:tc>
          <w:tcPr>
            <w:tcW w:w="4680"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针对本项目提供的市政道路养护服务工作流程和标准比较，包含但不限于以下内容：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(1)项目实施流程；</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(2)工作实施路线；</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(3)养护服务内容和工作准则制定；</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w:t>
            </w: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（1）阐述方案总体设计科学合理对采购要求应答完整、清晰、有针对性的，评审为优加40%；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（2）阐述方案总体设计较合理的，评审为良加20%；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（4）阐述方案总体设计不完整的，评审为差不加分。</w:t>
            </w:r>
            <w:r/>
          </w:p>
          <w:p>
            <w:pPr>
              <w:ind w:left="0" w:right="0" w:firstLine="28"/>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rHeight w:val="2012"/>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b w:val="0"/>
                <w:bCs/>
                <w:sz w:val="21"/>
                <w:szCs w:val="21"/>
                <w:highlight w:val="none"/>
                <w:lang w:val="en-US" w:eastAsia="zh-CN"/>
              </w:rPr>
              <w:t xml:space="preserve">2.3</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针对本项目的养护作业区域划分安排方案</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1"/>
                <w:szCs w:val="21"/>
                <w:highlight w:val="none"/>
                <w:lang w:eastAsia="zh-CN"/>
              </w:rPr>
              <w:suppressLineNumbers w:val="0"/>
            </w:pPr>
            <w:r>
              <w:rPr>
                <w:rFonts w:hint="eastAsia" w:ascii="宋体" w:hAnsi="宋体" w:cs="宋体"/>
                <w:b w:val="0"/>
                <w:bCs/>
                <w:sz w:val="21"/>
                <w:szCs w:val="21"/>
                <w:highlight w:val="none"/>
                <w:lang w:val="en-US" w:eastAsia="zh-CN"/>
              </w:rPr>
              <w:t xml:space="preserve">5</w:t>
            </w:r>
            <w:r/>
          </w:p>
        </w:tc>
        <w:tc>
          <w:tcPr>
            <w:tcW w:w="4680"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针对本项目的养护作业区域划分安排方案，包含但不限于以下内容：</w:t>
            </w:r>
            <w:r/>
          </w:p>
          <w:p>
            <w:pPr>
              <w:numPr>
                <w:ilvl w:val="0"/>
                <w:numId w:val="0"/>
              </w:numPr>
              <w:ind w:right="0"/>
              <w:jc w:val="left"/>
              <w:keepLines w:val="0"/>
              <w:keepNext w:val="0"/>
              <w:spacing w:before="0" w:beforeAutospacing="0" w:after="0" w:afterAutospacing="0"/>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）养护作业区域划分安排</w:t>
            </w:r>
            <w:r>
              <w:rPr>
                <w:rFonts w:hint="eastAsia" w:ascii="宋体" w:hAnsi="宋体" w:eastAsia="宋体" w:cs="宋体"/>
                <w:b w:val="0"/>
                <w:bCs w:val="0"/>
                <w:color w:val="000000"/>
                <w:sz w:val="21"/>
                <w:szCs w:val="21"/>
                <w:highlight w:val="none"/>
                <w:lang w:val="en-US" w:eastAsia="zh-CN"/>
              </w:rPr>
              <w:t xml:space="preserve">；</w:t>
            </w:r>
            <w:r/>
          </w:p>
          <w:p>
            <w:pPr>
              <w:numPr>
                <w:ilvl w:val="0"/>
                <w:numId w:val="0"/>
              </w:numPr>
              <w:ind w:right="0"/>
              <w:jc w:val="left"/>
              <w:keepLines w:val="0"/>
              <w:keepNext w:val="0"/>
              <w:spacing w:before="0" w:beforeAutospacing="0" w:after="0" w:afterAutospacing="0"/>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）对应区域配备的养护工作人员</w:t>
            </w:r>
            <w:r>
              <w:rPr>
                <w:rFonts w:hint="eastAsia" w:ascii="宋体" w:hAnsi="宋体" w:eastAsia="宋体" w:cs="宋体"/>
                <w:b w:val="0"/>
                <w:bCs w:val="0"/>
                <w:color w:val="000000"/>
                <w:sz w:val="21"/>
                <w:szCs w:val="21"/>
                <w:highlight w:val="none"/>
                <w:lang w:val="en-US" w:eastAsia="zh-CN"/>
              </w:rPr>
              <w:t xml:space="preserve">；</w:t>
            </w:r>
            <w:r/>
          </w:p>
          <w:p>
            <w:pPr>
              <w:numPr>
                <w:ilvl w:val="0"/>
                <w:numId w:val="0"/>
              </w:numPr>
              <w:ind w:right="0"/>
              <w:jc w:val="left"/>
              <w:keepLines w:val="0"/>
              <w:keepNext w:val="0"/>
              <w:spacing w:before="0" w:beforeAutospacing="0" w:after="0" w:afterAutospacing="0"/>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（3）作业设备的配置安排；</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1.考察以上内容,每满足任意一项内容得20%，最高得60%。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2.在上述基础上，专家根据各</w:t>
            </w:r>
            <w:r>
              <w:rPr>
                <w:rFonts w:hint="eastAsia" w:ascii="宋体" w:hAnsi="宋体" w:eastAsia="宋体" w:cs="宋体"/>
                <w:bCs/>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（1）阐述方案总体设计科学合理对采购要求应答完整、清晰、有针对性的，评审为优加40%；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（2）阐述方案总体设计较合理的，评审为良加20%；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（4）阐述方案总体设计不完整的，评审为差不加分。</w:t>
            </w:r>
            <w:r/>
          </w:p>
          <w:p>
            <w:pPr>
              <w:ind w:left="0" w:right="0" w:firstLine="28"/>
              <w:jc w:val="left"/>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highlight w:val="yellow"/>
              </w:rPr>
            </w:pPr>
            <w:r>
              <w:rPr>
                <w:rFonts w:hint="eastAsia" w:ascii="宋体" w:hAnsi="宋体" w:eastAsia="宋体" w:cs="宋体"/>
                <w:color w:val="ff0000"/>
                <w:sz w:val="21"/>
                <w:szCs w:val="21"/>
                <w:highlight w:val="yellow"/>
              </w:rPr>
            </w:r>
            <w:r/>
          </w:p>
        </w:tc>
      </w:tr>
      <w:tr>
        <w:trPr>
          <w:trHeight w:val="2252"/>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sz w:val="21"/>
                <w:szCs w:val="21"/>
                <w:lang w:val="en-US" w:eastAsia="zh-CN"/>
              </w:rPr>
              <w:t xml:space="preserve">2.4</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针对本项目服务内容的紧急抢险、临时突发各类可能出现的情况分析</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cs="宋体"/>
                <w:b w:val="0"/>
                <w:bCs/>
                <w:sz w:val="21"/>
                <w:szCs w:val="21"/>
                <w:lang w:val="en-US" w:eastAsia="zh-CN"/>
              </w:rPr>
              <w:t xml:space="preserve">5</w:t>
            </w:r>
            <w:r/>
          </w:p>
        </w:tc>
        <w:tc>
          <w:tcPr>
            <w:tcW w:w="4680"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针对本项目服务内容的紧急抢险、临时突发各类可能出现的情况分析，包含但不限于以下内容：</w:t>
            </w:r>
            <w:r/>
          </w:p>
          <w:p>
            <w:pPr>
              <w:numPr>
                <w:ilvl w:val="0"/>
                <w:numId w:val="0"/>
              </w:numPr>
              <w:ind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（1）项目实施过程中可能产生的突发情况；</w:t>
            </w:r>
            <w:r/>
          </w:p>
          <w:p>
            <w:pPr>
              <w:numPr>
                <w:ilvl w:val="0"/>
                <w:numId w:val="0"/>
              </w:numPr>
              <w:ind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（2）紧急事态的处理方案和应急预案；</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0%，最高得60%。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w:t>
            </w: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（1）阐述方案总体设计科学合理对采购要求应答完整、清晰、有针对性的，评审为优加40%；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（2）阐述方案总体设计较合理的，评审为良加20%；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（4）阐述方案总体设计不完整的，评审为差不加分。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sz w:val="21"/>
                <w:szCs w:val="21"/>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rHeight w:val="592"/>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sz w:val="21"/>
                <w:szCs w:val="21"/>
                <w:lang w:val="en-US" w:eastAsia="zh-CN"/>
              </w:rPr>
              <w:t xml:space="preserve">2.5</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针对本项目服务期间与其他相关单位、部门的综合协调处理方案分析</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cs="宋体"/>
                <w:b w:val="0"/>
                <w:bCs/>
                <w:sz w:val="21"/>
                <w:szCs w:val="21"/>
                <w:lang w:val="en-US" w:eastAsia="zh-CN"/>
              </w:rPr>
              <w:t xml:space="preserve">5</w:t>
            </w:r>
            <w:r/>
          </w:p>
        </w:tc>
        <w:tc>
          <w:tcPr>
            <w:tcW w:w="4680"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（一）评分内容：</w:t>
            </w:r>
            <w:r/>
          </w:p>
          <w:p>
            <w:pPr>
              <w:numPr>
                <w:ilvl w:val="0"/>
                <w:numId w:val="0"/>
              </w:numPr>
              <w:ind w:right="0"/>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highlight w:val="none"/>
                <w:lang w:val="en-US" w:eastAsia="zh-CN"/>
              </w:rPr>
              <w:t xml:space="preserve">针对本项目服务期间与其他相关单位、部门的综合协调处理方案分析，包含但不限于以下内容：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（1）实施养护维修作业期间与服务范围内的各个街道、物业、居民及其它相关单位、部门综合协调处理方案；</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1.考察以上内容,满足</w:t>
            </w:r>
            <w:r>
              <w:rPr>
                <w:rFonts w:hint="eastAsia" w:ascii="宋体" w:hAnsi="宋体" w:cs="宋体"/>
                <w:sz w:val="21"/>
                <w:szCs w:val="21"/>
                <w:lang w:val="en-US" w:eastAsia="zh-CN"/>
              </w:rPr>
              <w:t xml:space="preserve">以上</w:t>
            </w:r>
            <w:r>
              <w:rPr>
                <w:rFonts w:hint="eastAsia" w:ascii="宋体" w:hAnsi="宋体" w:eastAsia="宋体" w:cs="宋体"/>
                <w:sz w:val="21"/>
                <w:szCs w:val="21"/>
                <w:lang w:val="en-US" w:eastAsia="zh-CN"/>
              </w:rPr>
              <w:t xml:space="preserve">内容得</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%，最高得60%。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w:t>
            </w: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（1）阐述方案总体设计科学合理对采购要求应答完整、清晰、有针对性的，评审为优加40%；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（2）阐述方案总体设计较合理的，评审为良加20%；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（4）阐述方案总体设计不完整的，评审为差不加分。</w:t>
            </w:r>
            <w:r/>
          </w:p>
          <w:p>
            <w:pPr>
              <w:ind w:right="0"/>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sz w:val="21"/>
                <w:szCs w:val="21"/>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rHeight w:val="1584"/>
        </w:trPr>
        <w:tc>
          <w:tcPr>
            <w:tcW w:w="690"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b w:val="0"/>
                <w:bCs/>
                <w:sz w:val="21"/>
                <w:szCs w:val="21"/>
                <w:lang w:val="en-US" w:eastAsia="zh-CN"/>
              </w:rPr>
              <w:t xml:space="preserve">2.6</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针对本项目的安全文明作业计划安排措施方案</w:t>
            </w:r>
            <w:r/>
          </w:p>
        </w:tc>
        <w:tc>
          <w:tcPr>
            <w:tcW w:w="765" w:type="dxa"/>
            <w:vAlign w:val="center"/>
            <w:textDirection w:val="lrTb"/>
            <w:noWrap w:val="false"/>
          </w:tcPr>
          <w:p>
            <w:pPr>
              <w:ind w:left="0" w:right="0" w:firstLine="28"/>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b w:val="0"/>
                <w:bCs/>
                <w:sz w:val="21"/>
                <w:szCs w:val="21"/>
                <w:lang w:val="en-US" w:eastAsia="zh-CN"/>
              </w:rPr>
              <w:t xml:space="preserve">5</w:t>
            </w:r>
            <w:r/>
          </w:p>
        </w:tc>
        <w:tc>
          <w:tcPr>
            <w:tcW w:w="4680" w:type="dxa"/>
            <w:vAlign w:val="center"/>
            <w:textDirection w:val="lrTb"/>
            <w:noWrap w:val="false"/>
          </w:tcPr>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（一）评分内容：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针对本项目的安全文明作业计划安排措施方案，包含但不限于以下内容：</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（1）根据养护服务特点，服务过程中的文明作业措施方案（包括夜间和节假日管理人员的合理调配、换岗，组织管理体系科学，能够有效实施管理工作</w:t>
            </w:r>
            <w:r>
              <w:rPr>
                <w:rFonts w:hint="eastAsia" w:ascii="宋体" w:hAnsi="宋体" w:cs="宋体"/>
                <w:sz w:val="21"/>
                <w:szCs w:val="21"/>
                <w:lang w:val="en-US" w:eastAsia="zh-CN"/>
              </w:rPr>
              <w:t xml:space="preserve">等）</w:t>
            </w:r>
            <w:r>
              <w:rPr>
                <w:rFonts w:hint="eastAsia" w:ascii="宋体" w:hAnsi="宋体" w:eastAsia="宋体" w:cs="宋体"/>
                <w:sz w:val="21"/>
                <w:szCs w:val="21"/>
                <w:lang w:val="en-US" w:eastAsia="zh-CN"/>
              </w:rPr>
              <w:t xml:space="preserve">；</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（二）评审依据：</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1.考察以上内容,满足以上内容得60%，最高得60%。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w:t>
            </w:r>
            <w:r>
              <w:rPr>
                <w:rFonts w:hint="eastAsia" w:ascii="宋体" w:hAnsi="宋体" w:eastAsia="宋体" w:cs="宋体"/>
                <w:bCs/>
                <w:sz w:val="21"/>
                <w:szCs w:val="21"/>
                <w:lang w:val="en-US" w:eastAsia="zh-CN"/>
              </w:rPr>
              <w:t xml:space="preserve">供应商</w:t>
            </w:r>
            <w:r>
              <w:rPr>
                <w:rFonts w:hint="eastAsia" w:ascii="宋体" w:hAnsi="宋体" w:eastAsia="宋体" w:cs="宋体"/>
                <w:sz w:val="21"/>
                <w:szCs w:val="21"/>
                <w:lang w:val="en-US" w:eastAsia="zh-CN"/>
              </w:rPr>
              <w:t xml:space="preserve">的具体响应内容按照量化的评审因素指标进一步评审。</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（1）阐述方案总体设计科学合理对采购要求应答完整、清晰、有针对性的，评审为优加40%；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（2）阐述方案总体设计较合理的，评审为良加20%；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（3）阐述方案总体设计一般的，评审为中加10%；</w:t>
            </w:r>
            <w:r/>
          </w:p>
          <w:p>
            <w:pPr>
              <w:ind w:left="0" w:right="0" w:firstLine="0"/>
              <w:keepLines w:val="0"/>
              <w:keepNext w:val="0"/>
              <w:pageBreakBefore w:val="0"/>
              <w:spacing w:before="0" w:beforeAutospacing="0" w:after="0" w:afterAutospacing="0" w:line="28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（4）阐述方案总体设计不完整的，评审为差不加分。</w:t>
            </w:r>
            <w:r/>
          </w:p>
          <w:p>
            <w:pPr>
              <w:ind w:left="0" w:right="0" w:firstLine="28"/>
              <w:jc w:val="left"/>
              <w:keepLines w:val="0"/>
              <w:keepNext w:val="0"/>
              <w:spacing w:before="0" w:beforeAutospacing="0" w:after="0" w:afterAutospacing="0"/>
              <w:rPr>
                <w:rFonts w:hint="eastAsia" w:ascii="宋体" w:hAnsi="宋体" w:eastAsia="宋体" w:cs="宋体"/>
                <w:b w:val="0"/>
                <w:bCs/>
                <w:sz w:val="21"/>
                <w:szCs w:val="21"/>
                <w:lang w:val="en-US" w:eastAsia="zh-CN"/>
              </w:rPr>
              <w:suppressLineNumbers w:val="0"/>
            </w:pPr>
            <w:r>
              <w:rPr>
                <w:rFonts w:hint="eastAsia" w:ascii="宋体" w:hAnsi="宋体" w:eastAsia="宋体" w:cs="宋体"/>
                <w:sz w:val="21"/>
                <w:szCs w:val="21"/>
                <w:lang w:val="en-US" w:eastAsia="zh-CN"/>
              </w:rPr>
              <w:t xml:space="preserve">（5）不提供不得分。</w:t>
            </w:r>
            <w:r/>
          </w:p>
        </w:tc>
        <w:tc>
          <w:tcPr>
            <w:tcW w:w="1965" w:type="dxa"/>
            <w:vAlign w:val="center"/>
            <w:textDirection w:val="lrTb"/>
            <w:noWrap w:val="false"/>
          </w:tcPr>
          <w:p>
            <w:pPr>
              <w:ind w:left="-38"/>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r>
        <w:trPr>
          <w:trHeight w:val="455"/>
        </w:trPr>
        <w:tc>
          <w:tcPr>
            <w:tcW w:w="690" w:type="dxa"/>
            <w:vAlign w:val="center"/>
            <w:textDirection w:val="lrTb"/>
            <w:noWrap w:val="false"/>
          </w:tcPr>
          <w:p>
            <w:pPr>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p>
        </w:tc>
        <w:tc>
          <w:tcPr>
            <w:tcW w:w="1335" w:type="dxa"/>
            <w:vAlign w:val="center"/>
            <w:textDirection w:val="lrTb"/>
            <w:noWrap w:val="false"/>
          </w:tcPr>
          <w:p>
            <w:pPr>
              <w:ind w:firstLine="28"/>
              <w:jc w:val="center"/>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客观分</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40</w:t>
            </w:r>
            <w:r/>
          </w:p>
        </w:tc>
        <w:tc>
          <w:tcPr>
            <w:gridSpan w:val="2"/>
            <w:tcW w:w="6645"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868"/>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b w:val="0"/>
                <w:bCs/>
                <w:color w:val="000000"/>
                <w:sz w:val="21"/>
                <w:szCs w:val="21"/>
                <w:highlight w:val="none"/>
                <w:lang w:val="en-US" w:eastAsia="zh-CN"/>
              </w:rPr>
              <w:t xml:space="preserve">企业业绩</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p>
        </w:tc>
        <w:tc>
          <w:tcPr>
            <w:tcW w:w="4680" w:type="dxa"/>
            <w:vAlign w:val="center"/>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供应商近三年（磋商截止时间往前推）承揽的已竣工类似项目业绩的，有一</w:t>
            </w: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p>
            <w:pP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注：1、提供合同</w:t>
            </w:r>
            <w:r>
              <w:rPr>
                <w:rFonts w:hint="eastAsia" w:ascii="宋体" w:hAnsi="宋体" w:cs="宋体"/>
                <w:b/>
                <w:bCs/>
                <w:color w:val="000000"/>
                <w:sz w:val="21"/>
                <w:szCs w:val="21"/>
                <w:highlight w:val="none"/>
                <w:lang w:val="en-US" w:eastAsia="zh-CN"/>
              </w:rPr>
              <w:t xml:space="preserve">（内容含相关业绩信息即可）</w:t>
            </w:r>
            <w:r>
              <w:rPr>
                <w:rFonts w:hint="eastAsia" w:ascii="宋体" w:hAnsi="宋体" w:eastAsia="宋体" w:cs="宋体"/>
                <w:b/>
                <w:bCs/>
                <w:color w:val="000000"/>
                <w:sz w:val="21"/>
                <w:szCs w:val="21"/>
                <w:highlight w:val="none"/>
                <w:lang w:val="en-US" w:eastAsia="zh-CN"/>
              </w:rPr>
              <w:t xml:space="preserve">及竣工（完工）验收证明的</w:t>
            </w:r>
            <w:r>
              <w:rPr>
                <w:rFonts w:hint="eastAsia" w:ascii="宋体" w:hAnsi="宋体" w:cs="宋体"/>
                <w:b/>
                <w:bCs/>
                <w:color w:val="000000"/>
                <w:sz w:val="21"/>
                <w:szCs w:val="21"/>
                <w:highlight w:val="none"/>
                <w:lang w:val="en-US" w:eastAsia="zh-CN"/>
              </w:rPr>
              <w:t xml:space="preserve">证明材料</w:t>
            </w:r>
            <w:r>
              <w:rPr>
                <w:rFonts w:hint="eastAsia" w:ascii="宋体" w:hAnsi="宋体" w:eastAsia="宋体" w:cs="宋体"/>
                <w:b/>
                <w:bCs/>
                <w:color w:val="000000"/>
                <w:sz w:val="21"/>
                <w:szCs w:val="21"/>
                <w:highlight w:val="none"/>
                <w:lang w:val="en-US" w:eastAsia="zh-CN"/>
              </w:rPr>
              <w:t xml:space="preserve">，时间以合同签订时间为准。未提供或提供不全</w:t>
            </w:r>
            <w:r>
              <w:rPr>
                <w:rFonts w:hint="eastAsia" w:ascii="宋体" w:hAnsi="宋体" w:cs="宋体"/>
                <w:b/>
                <w:bCs/>
                <w:color w:val="000000"/>
                <w:sz w:val="21"/>
                <w:szCs w:val="21"/>
                <w:highlight w:val="none"/>
                <w:lang w:val="en-US" w:eastAsia="zh-CN"/>
              </w:rPr>
              <w:t xml:space="preserve">的</w:t>
            </w:r>
            <w:r>
              <w:rPr>
                <w:rFonts w:hint="eastAsia" w:ascii="宋体" w:hAnsi="宋体" w:eastAsia="宋体" w:cs="宋体"/>
                <w:b/>
                <w:bCs/>
                <w:color w:val="000000"/>
                <w:sz w:val="21"/>
                <w:szCs w:val="21"/>
                <w:highlight w:val="none"/>
                <w:lang w:val="en-US" w:eastAsia="zh-CN"/>
              </w:rPr>
              <w:t xml:space="preserve">不得分。</w:t>
            </w:r>
            <w:r/>
          </w:p>
        </w:tc>
        <w:tc>
          <w:tcPr>
            <w:tcW w:w="1965" w:type="dxa"/>
            <w:vAlign w:val="center"/>
            <w:textDirection w:val="lrTb"/>
            <w:noWrap w:val="false"/>
          </w:tcPr>
          <w:p>
            <w:pPr>
              <w:ind w:left="-38"/>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3460"/>
        </w:trPr>
        <w:tc>
          <w:tcPr>
            <w:tcW w:w="690" w:type="dxa"/>
            <w:vAlign w:val="center"/>
            <w:textDirection w:val="lrTb"/>
            <w:noWrap w:val="false"/>
          </w:tcPr>
          <w:p>
            <w:pPr>
              <w:pStyle w:val="1133"/>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人员配备</w:t>
            </w:r>
            <w:r/>
          </w:p>
        </w:tc>
        <w:tc>
          <w:tcPr>
            <w:tcW w:w="76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p>
        </w:tc>
        <w:tc>
          <w:tcPr>
            <w:tcW w:w="4680" w:type="dxa"/>
            <w:vAlign w:val="center"/>
            <w:textDirection w:val="lrTb"/>
            <w:noWrap w:val="false"/>
          </w:tcPr>
          <w:p>
            <w:pPr>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项目组成员：</w:t>
            </w:r>
            <w:r/>
          </w:p>
          <w:p>
            <w:pPr>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项目负责人</w:t>
            </w:r>
            <w:r>
              <w:rPr>
                <w:rFonts w:hint="eastAsia" w:ascii="宋体" w:hAnsi="宋体" w:cs="宋体"/>
                <w:b w:val="0"/>
                <w:bCs/>
                <w:color w:val="000000"/>
                <w:sz w:val="21"/>
                <w:szCs w:val="21"/>
                <w:highlight w:val="none"/>
                <w:lang w:val="en-US" w:eastAsia="zh-CN"/>
              </w:rPr>
              <w:t xml:space="preserve">（限评1人）</w:t>
            </w:r>
            <w:r>
              <w:rPr>
                <w:rFonts w:hint="eastAsia" w:ascii="宋体" w:hAnsi="宋体" w:eastAsia="宋体" w:cs="宋体"/>
                <w:b w:val="0"/>
                <w:bCs/>
                <w:color w:val="000000"/>
                <w:sz w:val="21"/>
                <w:szCs w:val="21"/>
                <w:highlight w:val="none"/>
                <w:lang w:val="en-US" w:eastAsia="zh-CN"/>
              </w:rPr>
              <w:t xml:space="preserve">具有建设工程类中级职称得</w:t>
            </w: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分，建设工程类高级及以上职称得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分，本项最高得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w:t>
            </w:r>
            <w:r/>
          </w:p>
          <w:p>
            <w:pPr>
              <w:spacing w:line="312" w:lineRule="auto"/>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2、施工现场安全负责人为注册安全工程师得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分，本项最高得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p>
          <w:p>
            <w:pPr>
              <w:spacing w:line="312" w:lineRule="auto"/>
              <w:rPr>
                <w:rFonts w:hint="default"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注：以上人员打分不重复，提供</w:t>
            </w:r>
            <w:r>
              <w:rPr>
                <w:rFonts w:hint="eastAsia" w:ascii="宋体" w:hAnsi="宋体" w:cs="宋体"/>
                <w:b/>
                <w:color w:val="000000"/>
                <w:sz w:val="21"/>
                <w:szCs w:val="21"/>
                <w:highlight w:val="none"/>
                <w:lang w:val="en-US" w:eastAsia="zh-CN"/>
              </w:rPr>
              <w:t xml:space="preserve">以上人员</w:t>
            </w:r>
            <w:r>
              <w:rPr>
                <w:rFonts w:hint="eastAsia" w:ascii="宋体" w:hAnsi="宋体" w:eastAsia="宋体" w:cs="宋体"/>
                <w:b/>
                <w:color w:val="000000"/>
                <w:sz w:val="21"/>
                <w:szCs w:val="21"/>
                <w:highlight w:val="none"/>
                <w:lang w:val="en-US" w:eastAsia="zh-CN"/>
              </w:rPr>
              <w:t xml:space="preserve">相关证书及响应人为其缴纳的近半年（从</w:t>
            </w:r>
            <w:r>
              <w:rPr>
                <w:rFonts w:hint="eastAsia" w:ascii="宋体" w:hAnsi="宋体" w:cs="宋体"/>
                <w:b/>
                <w:color w:val="000000"/>
                <w:sz w:val="21"/>
                <w:szCs w:val="21"/>
                <w:highlight w:val="none"/>
                <w:lang w:val="en-US" w:eastAsia="zh-CN"/>
              </w:rPr>
              <w:t xml:space="preserve">磋商</w:t>
            </w:r>
            <w:r>
              <w:rPr>
                <w:rFonts w:hint="eastAsia" w:ascii="宋体" w:hAnsi="宋体" w:eastAsia="宋体" w:cs="宋体"/>
                <w:b/>
                <w:color w:val="000000"/>
                <w:sz w:val="21"/>
                <w:szCs w:val="21"/>
                <w:highlight w:val="none"/>
                <w:lang w:val="en-US" w:eastAsia="zh-CN"/>
              </w:rPr>
              <w:t xml:space="preserve">截止时间往前推）任意一月的社保证明材料</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如为</w:t>
            </w:r>
            <w:r>
              <w:rPr>
                <w:rFonts w:hint="eastAsia" w:ascii="宋体" w:hAnsi="宋体" w:eastAsia="宋体" w:cs="宋体"/>
                <w:b/>
                <w:color w:val="000000"/>
                <w:sz w:val="21"/>
                <w:szCs w:val="21"/>
                <w:highlight w:val="none"/>
              </w:rPr>
              <w:t xml:space="preserve">退休人员</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需</w:t>
            </w:r>
            <w:r>
              <w:rPr>
                <w:rFonts w:hint="eastAsia" w:ascii="宋体" w:hAnsi="宋体" w:eastAsia="宋体" w:cs="宋体"/>
                <w:b/>
                <w:color w:val="000000"/>
                <w:sz w:val="21"/>
                <w:szCs w:val="21"/>
                <w:highlight w:val="none"/>
              </w:rPr>
              <w:t xml:space="preserve">提供返聘合同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相关证书及</w:t>
            </w:r>
            <w:r>
              <w:rPr>
                <w:rFonts w:hint="eastAsia" w:ascii="宋体" w:hAnsi="宋体" w:eastAsia="宋体" w:cs="宋体"/>
                <w:b/>
                <w:color w:val="000000"/>
                <w:sz w:val="21"/>
                <w:szCs w:val="21"/>
                <w:highlight w:val="none"/>
              </w:rPr>
              <w:t xml:space="preserve">退休证明材料。</w:t>
            </w:r>
            <w:r>
              <w:rPr>
                <w:rFonts w:hint="eastAsia" w:ascii="宋体" w:hAnsi="宋体" w:eastAsia="宋体" w:cs="宋体"/>
                <w:b/>
                <w:bCs/>
                <w:color w:val="000000"/>
                <w:sz w:val="21"/>
                <w:szCs w:val="21"/>
                <w:highlight w:val="none"/>
                <w:lang w:val="en-US" w:eastAsia="zh-CN"/>
              </w:rPr>
              <w:t xml:space="preserve">未提供或提供不全的不得分</w:t>
            </w:r>
            <w:r>
              <w:rPr>
                <w:rFonts w:hint="eastAsia" w:ascii="宋体" w:hAnsi="宋体" w:cs="宋体"/>
                <w:b/>
                <w:color w:val="000000"/>
                <w:sz w:val="21"/>
                <w:szCs w:val="21"/>
                <w:highlight w:val="none"/>
                <w:lang w:val="en-US" w:eastAsia="zh-CN"/>
              </w:rPr>
              <w:t xml:space="preserve">。</w:t>
            </w:r>
            <w:r/>
          </w:p>
        </w:tc>
        <w:tc>
          <w:tcPr>
            <w:tcW w:w="1965" w:type="dxa"/>
            <w:vAlign w:val="center"/>
            <w:textDirection w:val="lrTb"/>
            <w:noWrap w:val="false"/>
          </w:tcPr>
          <w:p>
            <w:pPr>
              <w:ind w:left="-38"/>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r>
            <w:r/>
          </w:p>
        </w:tc>
      </w:tr>
      <w:tr>
        <w:trPr>
          <w:trHeight w:val="465"/>
        </w:trPr>
        <w:tc>
          <w:tcPr>
            <w:tcW w:w="690" w:type="dxa"/>
            <w:vAlign w:val="center"/>
            <w:textDirection w:val="lrTb"/>
            <w:noWrap w:val="false"/>
          </w:tcPr>
          <w:p>
            <w:pPr>
              <w:pStyle w:val="1133"/>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p>
        </w:tc>
        <w:tc>
          <w:tcPr>
            <w:tcW w:w="1335" w:type="dxa"/>
            <w:vAlign w:val="center"/>
            <w:textDirection w:val="lrTb"/>
            <w:noWrap w:val="false"/>
          </w:tcPr>
          <w:p>
            <w:pPr>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拟投入设备</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22</w:t>
            </w:r>
            <w:r/>
          </w:p>
        </w:tc>
        <w:tc>
          <w:tcPr>
            <w:tcW w:w="4680" w:type="dxa"/>
            <w:vAlign w:val="center"/>
            <w:textDirection w:val="lrTb"/>
            <w:noWrap w:val="false"/>
          </w:tcPr>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1、配备巡查车辆(皮卡)，有1辆得1分，最多得2分；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2、配备下水道疏通清洗车，有1辆得1分，最多得2分；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3、配备10吨以上洒水车，有1辆得1分，最多得2分；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4、配备高空作业车，有1辆得1分，最多得2分</w:t>
            </w:r>
            <w:r>
              <w:rPr>
                <w:rFonts w:hint="eastAsia" w:ascii="宋体" w:hAnsi="宋体" w:cs="宋体"/>
                <w:color w:val="000000"/>
                <w:sz w:val="21"/>
                <w:szCs w:val="21"/>
                <w:highlight w:val="none"/>
                <w:lang w:val="en-US" w:eastAsia="zh-CN" w:bidi="ar-SA"/>
              </w:rPr>
              <w:t xml:space="preserve">；</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5、配备发电机50KW以上设备，有1台得1分，最多得2分；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6、配备吸污车，有1辆得1分，最多得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7、配备高压清洗车，有1辆得1分，最多得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8、配备120米</w:t>
            </w:r>
            <w:r>
              <w:rPr>
                <w:rFonts w:hint="eastAsia" w:ascii="宋体" w:hAnsi="宋体" w:cs="宋体"/>
                <w:color w:val="000000"/>
                <w:sz w:val="21"/>
                <w:szCs w:val="21"/>
                <w:highlight w:val="none"/>
                <w:lang w:val="en-US" w:eastAsia="zh-CN" w:bidi="ar-SA"/>
              </w:rPr>
              <w:t xml:space="preserve">及以上</w:t>
            </w:r>
            <w:r>
              <w:rPr>
                <w:rFonts w:hint="eastAsia" w:ascii="宋体" w:hAnsi="宋体" w:eastAsia="宋体" w:cs="宋体"/>
                <w:color w:val="000000"/>
                <w:sz w:val="21"/>
                <w:szCs w:val="21"/>
                <w:highlight w:val="none"/>
                <w:lang w:val="en-US" w:eastAsia="zh-CN" w:bidi="ar-SA"/>
              </w:rPr>
              <w:t xml:space="preserve">多功能抑尘车，有1辆得1分，最多得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9、配备管道潜望镜网检测设备，有1台得1分，最多得1分；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10、配备CCTV检测机器人管网检测，有1台得1分，最多得1分；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11、配备挖掘机，有一台得1分，最多得2分；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12、配备4吨~8吨装载机，有一台得1分，最多得2分；</w:t>
            </w:r>
            <w:r/>
          </w:p>
          <w:p>
            <w:pPr>
              <w:spacing w:line="31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车辆自有的需提供车辆照片(车牌清晰可辨)、机动车登记证书、行驶证、发票；车辆租赁的需提供车辆照片(车牌清晰可辨)、机动车登记证书、行驶证、租赁合同，租赁合同期限必须满足该项目的服务期限；</w:t>
            </w:r>
            <w:r/>
          </w:p>
          <w:p>
            <w:pPr>
              <w:spacing w:line="31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2）其他设备自有的需提供设备购买发票；其他设备如为租赁的则需提供租赁合同及租赁发票，租赁合同期限必须满足该项目的服务期限；</w:t>
            </w:r>
            <w:r/>
          </w:p>
          <w:p>
            <w:pPr>
              <w:spacing w:line="312"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3）如提供的资料不能反映上述设备（车辆）要求的规格及主要生产能力的则需同时提供其他证明资料以</w:t>
            </w:r>
            <w:r>
              <w:rPr>
                <w:rFonts w:hint="eastAsia" w:ascii="宋体" w:hAnsi="宋体" w:cs="宋体"/>
                <w:b/>
                <w:bCs/>
                <w:color w:val="000000"/>
                <w:sz w:val="21"/>
                <w:szCs w:val="21"/>
                <w:highlight w:val="none"/>
                <w:lang w:val="en-US" w:eastAsia="zh-CN" w:bidi="ar-SA"/>
              </w:rPr>
              <w:t xml:space="preserve">便于</w:t>
            </w:r>
            <w:r>
              <w:rPr>
                <w:rFonts w:hint="eastAsia" w:ascii="宋体" w:hAnsi="宋体" w:eastAsia="宋体" w:cs="宋体"/>
                <w:b/>
                <w:bCs/>
                <w:color w:val="000000"/>
                <w:sz w:val="21"/>
                <w:szCs w:val="21"/>
                <w:highlight w:val="none"/>
                <w:lang w:val="en-US" w:eastAsia="zh-CN" w:bidi="ar-SA"/>
              </w:rPr>
              <w:t xml:space="preserve">证明拟投入的设备</w:t>
            </w:r>
            <w:r>
              <w:rPr>
                <w:rFonts w:hint="eastAsia" w:ascii="宋体" w:hAnsi="宋体" w:cs="宋体"/>
                <w:b/>
                <w:bCs/>
                <w:color w:val="000000"/>
                <w:sz w:val="21"/>
                <w:szCs w:val="21"/>
                <w:highlight w:val="none"/>
                <w:lang w:val="en-US" w:eastAsia="zh-CN" w:bidi="ar-SA"/>
              </w:rPr>
              <w:t xml:space="preserve">（车辆）</w:t>
            </w:r>
            <w:r>
              <w:rPr>
                <w:rFonts w:hint="eastAsia" w:ascii="宋体" w:hAnsi="宋体" w:eastAsia="宋体" w:cs="宋体"/>
                <w:b/>
                <w:bCs/>
                <w:color w:val="000000"/>
                <w:sz w:val="21"/>
                <w:szCs w:val="21"/>
                <w:highlight w:val="none"/>
                <w:lang w:val="en-US" w:eastAsia="zh-CN" w:bidi="ar-SA"/>
              </w:rPr>
              <w:t xml:space="preserve">满足上述要求的规格及生产能力，否则不得分。</w:t>
            </w:r>
            <w:r/>
          </w:p>
          <w:p>
            <w:pPr>
              <w:spacing w:line="3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4）未提供或提供不全</w:t>
            </w:r>
            <w:r>
              <w:rPr>
                <w:rFonts w:hint="eastAsia" w:ascii="宋体" w:hAnsi="宋体" w:cs="宋体"/>
                <w:b/>
                <w:bCs/>
                <w:color w:val="000000"/>
                <w:sz w:val="21"/>
                <w:szCs w:val="21"/>
                <w:highlight w:val="none"/>
                <w:lang w:val="en-US" w:eastAsia="zh-CN" w:bidi="ar-SA"/>
              </w:rPr>
              <w:t xml:space="preserve">的</w:t>
            </w:r>
            <w:r>
              <w:rPr>
                <w:rFonts w:hint="eastAsia" w:ascii="宋体" w:hAnsi="宋体" w:eastAsia="宋体" w:cs="宋体"/>
                <w:b/>
                <w:bCs/>
                <w:color w:val="000000"/>
                <w:sz w:val="21"/>
                <w:szCs w:val="21"/>
                <w:highlight w:val="none"/>
                <w:lang w:val="en-US" w:eastAsia="zh-CN" w:bidi="ar-SA"/>
              </w:rPr>
              <w:t xml:space="preserve">不得分。</w:t>
            </w:r>
            <w:r/>
          </w:p>
        </w:tc>
        <w:tc>
          <w:tcPr>
            <w:tcW w:w="1965" w:type="dxa"/>
            <w:vAlign w:val="center"/>
            <w:textDirection w:val="lrTb"/>
            <w:noWrap w:val="false"/>
          </w:tcPr>
          <w:p>
            <w:pPr>
              <w:ind w:left="-38"/>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r>
            <w:r/>
          </w:p>
        </w:tc>
      </w:tr>
      <w:tr>
        <w:trPr>
          <w:trHeight w:val="565"/>
        </w:trPr>
        <w:tc>
          <w:tcPr>
            <w:gridSpan w:val="2"/>
            <w:tcW w:w="2025" w:type="dxa"/>
            <w:vAlign w:val="center"/>
            <w:textDirection w:val="lrTb"/>
            <w:noWrap w:val="false"/>
          </w:tcPr>
          <w:p>
            <w:pPr>
              <w:ind w:firstLine="28"/>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合计</w:t>
            </w:r>
            <w:r/>
          </w:p>
        </w:tc>
        <w:tc>
          <w:tcPr>
            <w:tcW w:w="765" w:type="dxa"/>
            <w:vAlign w:val="center"/>
            <w:textDirection w:val="lrTb"/>
            <w:noWrap w:val="false"/>
          </w:tcPr>
          <w:p>
            <w:pPr>
              <w:ind w:firstLine="28"/>
              <w:jc w:val="center"/>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100</w:t>
            </w:r>
            <w:r/>
          </w:p>
        </w:tc>
        <w:tc>
          <w:tcPr>
            <w:gridSpan w:val="2"/>
            <w:tcW w:w="6645" w:type="dxa"/>
            <w:vAlign w:val="center"/>
            <w:textDirection w:val="lrTb"/>
            <w:noWrap w:val="false"/>
          </w:tcPr>
          <w:p>
            <w:pPr>
              <w:rPr>
                <w:rFonts w:hint="eastAsia" w:ascii="宋体" w:hAnsi="宋体" w:eastAsia="宋体" w:cs="宋体"/>
                <w:color w:val="ff0000"/>
                <w:sz w:val="21"/>
                <w:szCs w:val="21"/>
              </w:rPr>
            </w:pPr>
            <w:r>
              <w:rPr>
                <w:rFonts w:hint="eastAsia" w:ascii="宋体" w:hAnsi="宋体" w:eastAsia="宋体" w:cs="宋体"/>
                <w:color w:val="ff0000"/>
                <w:sz w:val="21"/>
                <w:szCs w:val="21"/>
              </w:rPr>
            </w:r>
            <w:r/>
          </w:p>
        </w:tc>
      </w:tr>
    </w:tbl>
    <w:p>
      <w:pPr>
        <w:ind w:firstLine="420"/>
        <w:rPr>
          <w:rFonts w:hint="eastAsia" w:ascii="宋体" w:hAnsi="宋体" w:eastAsia="宋体" w:cs="宋体"/>
          <w:color w:val="ff0000"/>
          <w:szCs w:val="21"/>
          <w:highlight w:val="yellow"/>
        </w:rPr>
      </w:pPr>
      <w:r>
        <w:rPr>
          <w:rFonts w:hint="eastAsia" w:ascii="宋体" w:hAnsi="宋体" w:eastAsia="宋体" w:cs="宋体"/>
          <w:color w:val="ff0000"/>
          <w:szCs w:val="21"/>
          <w:highlight w:val="yellow"/>
        </w:rPr>
      </w:r>
      <w:r/>
    </w:p>
    <w:p>
      <w:pPr>
        <w:ind w:firstLine="42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 评审标准中要求提供的证明文件及资料通过“苏采云系统”按对应评分项目（或数字编号）分别制作上传，必须加盖公章，保证内容具体、印章完整、清晰可辨。未按以上要求制作上传的，经磋商小组成员半数以上认定后作不得分处理。</w:t>
      </w:r>
      <w:r/>
    </w:p>
    <w:p>
      <w:pPr>
        <w:jc w:val="left"/>
        <w:spacing w:line="360" w:lineRule="auto"/>
        <w:rPr>
          <w:rFonts w:hint="eastAsia" w:ascii="宋体" w:hAnsi="宋体" w:eastAsia="宋体" w:cs="宋体"/>
          <w:color w:val="ff0000"/>
          <w:sz w:val="24"/>
          <w:szCs w:val="24"/>
          <w:highlight w:val="yellow"/>
        </w:rPr>
        <w:sectPr>
          <w:footnotePr/>
          <w:endnotePr/>
          <w:type w:val="nextPage"/>
          <w:pgSz w:w="11906" w:h="16838" w:orient="portrait"/>
          <w:pgMar w:top="1440" w:right="1474" w:bottom="1440" w:left="1474" w:header="851" w:footer="992" w:gutter="0"/>
          <w:cols w:num="1" w:sep="0" w:space="1701" w:equalWidth="1"/>
          <w:docGrid w:linePitch="360"/>
        </w:sectPr>
      </w:pPr>
      <w:r>
        <w:rPr>
          <w:rFonts w:hint="eastAsia" w:ascii="宋体" w:hAnsi="宋体" w:eastAsia="宋体" w:cs="宋体"/>
          <w:color w:val="ff0000"/>
          <w:sz w:val="24"/>
          <w:szCs w:val="24"/>
          <w:highlight w:val="yellow"/>
        </w:rPr>
      </w:r>
      <w:r/>
    </w:p>
    <w:p>
      <w:pPr>
        <w:pStyle w:val="1111"/>
        <w:rPr>
          <w:rFonts w:hint="eastAsia" w:ascii="宋体" w:hAnsi="宋体" w:eastAsia="宋体" w:cs="宋体"/>
          <w:color w:val="000000"/>
          <w:sz w:val="22"/>
          <w:szCs w:val="32"/>
        </w:rPr>
      </w:pPr>
      <w:r/>
      <w:bookmarkStart w:id="629" w:name="_Toc123719648"/>
      <w:r>
        <w:rPr>
          <w:rFonts w:hint="eastAsia" w:ascii="宋体" w:hAnsi="宋体" w:eastAsia="宋体" w:cs="宋体"/>
          <w:color w:val="000000"/>
          <w:sz w:val="32"/>
          <w:szCs w:val="32"/>
        </w:rPr>
        <w:t xml:space="preserve">第四章 采购需求</w:t>
      </w:r>
      <w:bookmarkEnd w:id="629"/>
      <w:r/>
      <w:bookmarkStart w:id="630" w:name="_Toc123719649"/>
      <w:r/>
      <w:bookmarkStart w:id="631" w:name="_Toc104818929"/>
      <w:r/>
      <w:r/>
    </w:p>
    <w:p>
      <w:pPr>
        <w:pStyle w:val="1135"/>
        <w:contextualSpacing/>
        <w:ind w:firstLine="48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一、采购标的</w:t>
      </w:r>
      <w:r/>
    </w:p>
    <w:p>
      <w:pPr>
        <w:pStyle w:val="1135"/>
        <w:contextualSpacing/>
        <w:ind w:firstLine="480"/>
        <w:jc w:val="left"/>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1．项目名称：</w:t>
      </w:r>
      <w:r>
        <w:rPr>
          <w:rFonts w:hint="eastAsia" w:ascii="宋体" w:hAnsi="宋体" w:cs="宋体"/>
          <w:b w:val="0"/>
          <w:bCs w:val="0"/>
          <w:color w:val="000000"/>
          <w:sz w:val="21"/>
          <w:szCs w:val="21"/>
          <w:lang w:eastAsia="zh-CN"/>
        </w:rPr>
        <w:t xml:space="preserve">2026年度金科园西区市政养护项目</w:t>
      </w:r>
      <w:r/>
    </w:p>
    <w:p>
      <w:pPr>
        <w:pStyle w:val="1135"/>
        <w:contextualSpacing/>
        <w:ind w:firstLine="480"/>
        <w:jc w:val="left"/>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2．预算金额：</w:t>
      </w:r>
      <w:r>
        <w:rPr>
          <w:rFonts w:hint="eastAsia" w:ascii="宋体" w:hAnsi="宋体" w:eastAsia="宋体" w:cs="宋体"/>
          <w:b w:val="0"/>
          <w:bCs w:val="0"/>
          <w:sz w:val="21"/>
          <w:szCs w:val="21"/>
          <w:lang w:val="en-US" w:eastAsia="zh-CN"/>
        </w:rPr>
        <w:t xml:space="preserve">1</w:t>
      </w:r>
      <w:r>
        <w:rPr>
          <w:rFonts w:hint="eastAsia" w:ascii="宋体" w:hAnsi="宋体" w:cs="宋体"/>
          <w:b w:val="0"/>
          <w:bCs w:val="0"/>
          <w:sz w:val="21"/>
          <w:szCs w:val="21"/>
          <w:lang w:val="en-US" w:eastAsia="zh-CN"/>
        </w:rPr>
        <w:t xml:space="preserve">80</w:t>
      </w:r>
      <w:r>
        <w:rPr>
          <w:rFonts w:hint="eastAsia" w:ascii="宋体" w:hAnsi="宋体" w:eastAsia="宋体" w:cs="宋体"/>
          <w:b w:val="0"/>
          <w:bCs w:val="0"/>
          <w:sz w:val="21"/>
          <w:szCs w:val="21"/>
        </w:rPr>
        <w:t xml:space="preserve">万元</w:t>
      </w:r>
      <w:r/>
    </w:p>
    <w:p>
      <w:pPr>
        <w:pStyle w:val="1135"/>
        <w:contextualSpacing/>
        <w:ind w:firstLine="480"/>
        <w:jc w:val="left"/>
        <w:spacing w:line="36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3．最高限价</w:t>
      </w:r>
      <w:r>
        <w:rPr>
          <w:rFonts w:hint="eastAsia" w:ascii="宋体" w:hAnsi="宋体" w:cs="宋体"/>
          <w:b w:val="0"/>
          <w:bCs w:val="0"/>
          <w:sz w:val="21"/>
          <w:szCs w:val="21"/>
          <w:lang w:val="en-US" w:eastAsia="zh-CN"/>
        </w:rPr>
        <w:t xml:space="preserve">：</w:t>
      </w:r>
      <w:r>
        <w:rPr>
          <w:rFonts w:hint="eastAsia" w:ascii="宋体" w:hAnsi="宋体" w:eastAsia="宋体" w:cs="宋体"/>
          <w:b w:val="0"/>
          <w:bCs w:val="0"/>
          <w:sz w:val="21"/>
          <w:szCs w:val="21"/>
          <w:lang w:val="en-US" w:eastAsia="zh-CN"/>
        </w:rPr>
        <w:t xml:space="preserve">控制优惠率10%，投标优惠率不得低于控制优惠率，否则作无效标处理</w:t>
      </w:r>
      <w:r>
        <w:rPr>
          <w:rFonts w:hint="eastAsia" w:ascii="宋体" w:hAnsi="宋体" w:eastAsia="宋体" w:cs="宋体"/>
          <w:b w:val="0"/>
          <w:bCs w:val="0"/>
          <w:sz w:val="21"/>
          <w:szCs w:val="21"/>
          <w:lang w:eastAsia="zh-CN"/>
        </w:rPr>
        <w:t xml:space="preserve">。</w:t>
      </w:r>
      <w:r/>
    </w:p>
    <w:p>
      <w:pPr>
        <w:pStyle w:val="1135"/>
        <w:contextualSpacing/>
        <w:ind w:firstLine="480"/>
        <w:jc w:val="left"/>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4．采购项目概况：</w:t>
      </w:r>
      <w:r>
        <w:rPr>
          <w:rFonts w:hint="eastAsia" w:ascii="宋体" w:hAnsi="宋体" w:eastAsia="宋体" w:cs="宋体"/>
          <w:b w:val="0"/>
          <w:bCs w:val="0"/>
          <w:sz w:val="21"/>
          <w:szCs w:val="21"/>
          <w:lang w:val="en-US" w:eastAsia="zh-CN"/>
        </w:rPr>
        <w:t xml:space="preserve">对金科园西区进行管养，具体内容包括：</w:t>
      </w:r>
      <w:r>
        <w:rPr>
          <w:rFonts w:hint="eastAsia" w:ascii="宋体" w:hAnsi="宋体" w:cs="宋体"/>
          <w:b w:val="0"/>
          <w:bCs w:val="0"/>
          <w:sz w:val="21"/>
          <w:szCs w:val="21"/>
          <w:highlight w:val="none"/>
          <w:lang w:val="en-US" w:eastAsia="zh-CN"/>
        </w:rPr>
        <w:t xml:space="preserve">路灯、绿化、</w:t>
      </w:r>
      <w:r>
        <w:rPr>
          <w:rFonts w:hint="eastAsia" w:ascii="宋体" w:hAnsi="宋体" w:eastAsia="宋体" w:cs="宋体"/>
          <w:b w:val="0"/>
          <w:bCs w:val="0"/>
          <w:sz w:val="21"/>
          <w:szCs w:val="21"/>
          <w:lang w:val="en-US" w:eastAsia="zh-CN"/>
        </w:rPr>
        <w:t xml:space="preserve">道路、管网、河道及退红线区域的日常巡视与检查；破损道路维修、雨污水管道维修与疏通、窨井修复、桥梁的维护保养；以及汛期防汛和冬季铲雪除冰等应急抢险任务。具体每次任务以采购人的任务单为准。具体采购范围及所应达到的具体要求，以本</w:t>
      </w:r>
      <w:r>
        <w:rPr>
          <w:rFonts w:hint="eastAsia" w:ascii="宋体" w:hAnsi="宋体" w:cs="宋体"/>
          <w:b w:val="0"/>
          <w:bCs w:val="0"/>
          <w:sz w:val="21"/>
          <w:szCs w:val="21"/>
          <w:lang w:val="en-US" w:eastAsia="zh-CN"/>
        </w:rPr>
        <w:t xml:space="preserve">磋商</w:t>
      </w:r>
      <w:r>
        <w:rPr>
          <w:rFonts w:hint="eastAsia" w:ascii="宋体" w:hAnsi="宋体" w:eastAsia="宋体" w:cs="宋体"/>
          <w:b w:val="0"/>
          <w:bCs w:val="0"/>
          <w:sz w:val="21"/>
          <w:szCs w:val="21"/>
          <w:lang w:val="en-US" w:eastAsia="zh-CN"/>
        </w:rPr>
        <w:t xml:space="preserve">文件中商务、技术和服务的相应规定为准。</w:t>
      </w:r>
      <w:r>
        <w:rPr>
          <w:rFonts w:hint="eastAsia" w:ascii="宋体" w:hAnsi="宋体" w:cs="宋体"/>
          <w:b w:val="0"/>
          <w:bCs w:val="0"/>
          <w:sz w:val="21"/>
          <w:szCs w:val="21"/>
          <w:lang w:val="en-US" w:eastAsia="zh-CN"/>
        </w:rPr>
        <w:t xml:space="preserve">响应</w:t>
      </w:r>
      <w:r>
        <w:rPr>
          <w:rFonts w:hint="eastAsia" w:ascii="宋体" w:hAnsi="宋体" w:eastAsia="宋体" w:cs="宋体"/>
          <w:b w:val="0"/>
          <w:bCs w:val="0"/>
          <w:sz w:val="21"/>
          <w:szCs w:val="21"/>
          <w:lang w:val="en-US" w:eastAsia="zh-CN"/>
        </w:rPr>
        <w:t xml:space="preserve">人的</w:t>
      </w:r>
      <w:r>
        <w:rPr>
          <w:rFonts w:hint="eastAsia" w:ascii="宋体" w:hAnsi="宋体" w:cs="宋体"/>
          <w:b w:val="0"/>
          <w:bCs w:val="0"/>
          <w:sz w:val="21"/>
          <w:szCs w:val="21"/>
          <w:lang w:val="en-US" w:eastAsia="zh-CN"/>
        </w:rPr>
        <w:t xml:space="preserve">响应</w:t>
      </w:r>
      <w:r>
        <w:rPr>
          <w:rFonts w:hint="eastAsia" w:ascii="宋体" w:hAnsi="宋体" w:eastAsia="宋体" w:cs="宋体"/>
          <w:b w:val="0"/>
          <w:bCs w:val="0"/>
          <w:sz w:val="21"/>
          <w:szCs w:val="21"/>
          <w:lang w:val="en-US" w:eastAsia="zh-CN"/>
        </w:rPr>
        <w:t xml:space="preserve">文件必须满足本次采购的实质目的。</w:t>
      </w:r>
      <w:r>
        <w:rPr>
          <w:rFonts w:hint="eastAsia" w:ascii="宋体" w:hAnsi="宋体" w:cs="宋体"/>
          <w:b w:val="0"/>
          <w:bCs w:val="0"/>
          <w:sz w:val="21"/>
          <w:szCs w:val="21"/>
          <w:lang w:val="en-US" w:eastAsia="zh-CN"/>
        </w:rPr>
        <w:t xml:space="preserve">响应</w:t>
      </w:r>
      <w:r>
        <w:rPr>
          <w:rFonts w:hint="eastAsia" w:ascii="宋体" w:hAnsi="宋体" w:eastAsia="宋体" w:cs="宋体"/>
          <w:b w:val="0"/>
          <w:bCs w:val="0"/>
          <w:sz w:val="21"/>
          <w:szCs w:val="21"/>
          <w:lang w:val="en-US" w:eastAsia="zh-CN"/>
        </w:rPr>
        <w:t xml:space="preserve">人若存在任何理解上无法确定之处，均应当按照</w:t>
      </w:r>
      <w:r>
        <w:rPr>
          <w:rFonts w:hint="eastAsia" w:ascii="宋体" w:hAnsi="宋体" w:cs="宋体"/>
          <w:b w:val="0"/>
          <w:bCs w:val="0"/>
          <w:sz w:val="21"/>
          <w:szCs w:val="21"/>
          <w:lang w:val="en-US" w:eastAsia="zh-CN"/>
        </w:rPr>
        <w:t xml:space="preserve">磋商</w:t>
      </w:r>
      <w:r>
        <w:rPr>
          <w:rFonts w:hint="eastAsia" w:ascii="宋体" w:hAnsi="宋体" w:eastAsia="宋体" w:cs="宋体"/>
          <w:b w:val="0"/>
          <w:bCs w:val="0"/>
          <w:sz w:val="21"/>
          <w:szCs w:val="21"/>
          <w:lang w:val="en-US" w:eastAsia="zh-CN"/>
        </w:rPr>
        <w:t xml:space="preserve">文件所规定的</w:t>
      </w:r>
      <w:r>
        <w:rPr>
          <w:rFonts w:hint="eastAsia" w:ascii="宋体" w:hAnsi="宋体" w:cs="宋体"/>
          <w:b w:val="0"/>
          <w:bCs w:val="0"/>
          <w:sz w:val="21"/>
          <w:szCs w:val="21"/>
          <w:lang w:val="en-US" w:eastAsia="zh-CN"/>
        </w:rPr>
        <w:t xml:space="preserve">响应</w:t>
      </w:r>
      <w:r>
        <w:rPr>
          <w:rFonts w:hint="eastAsia" w:ascii="宋体" w:hAnsi="宋体" w:eastAsia="宋体" w:cs="宋体"/>
          <w:b w:val="0"/>
          <w:bCs w:val="0"/>
          <w:sz w:val="21"/>
          <w:szCs w:val="21"/>
          <w:lang w:val="en-US" w:eastAsia="zh-CN"/>
        </w:rPr>
        <w:t xml:space="preserve">前的澄清等程序提出，否则，可能导致的任何不利后果均应当由</w:t>
      </w:r>
      <w:r>
        <w:rPr>
          <w:rFonts w:hint="eastAsia" w:ascii="宋体" w:hAnsi="宋体" w:cs="宋体"/>
          <w:b w:val="0"/>
          <w:bCs w:val="0"/>
          <w:sz w:val="21"/>
          <w:szCs w:val="21"/>
          <w:lang w:val="en-US" w:eastAsia="zh-CN"/>
        </w:rPr>
        <w:t xml:space="preserve">响应</w:t>
      </w:r>
      <w:r>
        <w:rPr>
          <w:rFonts w:hint="eastAsia" w:ascii="宋体" w:hAnsi="宋体" w:eastAsia="宋体" w:cs="宋体"/>
          <w:b w:val="0"/>
          <w:bCs w:val="0"/>
          <w:sz w:val="21"/>
          <w:szCs w:val="21"/>
          <w:lang w:val="en-US" w:eastAsia="zh-CN"/>
        </w:rPr>
        <w:t xml:space="preserve">人自行承担</w:t>
      </w:r>
      <w:r>
        <w:rPr>
          <w:rFonts w:hint="eastAsia" w:ascii="宋体" w:hAnsi="宋体" w:cs="宋体"/>
          <w:b w:val="0"/>
          <w:bCs w:val="0"/>
          <w:sz w:val="21"/>
          <w:szCs w:val="21"/>
          <w:lang w:val="en-US" w:eastAsia="zh-CN"/>
        </w:rPr>
        <w:t xml:space="preserve">。</w:t>
      </w:r>
      <w:r/>
    </w:p>
    <w:p>
      <w:pPr>
        <w:pStyle w:val="1135"/>
        <w:contextualSpacing/>
        <w:ind w:firstLine="480"/>
        <w:jc w:val="left"/>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val="en-US" w:eastAsia="zh-CN" w:bidi="ar-SA"/>
        </w:rPr>
        <w:t xml:space="preserve">合同履行期限：一年或年度合同履约总额（即承包人送审金额）达到180万元时，年度合同将自动终止</w:t>
      </w:r>
      <w:r>
        <w:rPr>
          <w:rFonts w:hint="eastAsia" w:ascii="宋体" w:hAnsi="宋体" w:eastAsia="宋体" w:cs="宋体"/>
          <w:b w:val="0"/>
          <w:bCs w:val="0"/>
          <w:color w:val="000000"/>
          <w:sz w:val="21"/>
          <w:szCs w:val="21"/>
          <w:highlight w:val="none"/>
          <w:lang w:val="en-US" w:eastAsia="zh-CN"/>
        </w:rPr>
        <w:t xml:space="preserve">。</w:t>
      </w:r>
      <w:r/>
    </w:p>
    <w:p>
      <w:pPr>
        <w:pStyle w:val="1136"/>
        <w:contextualSpacing/>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6．是/否接受联合体投标：否。</w:t>
      </w:r>
      <w:r/>
    </w:p>
    <w:p>
      <w:pPr>
        <w:pStyle w:val="1136"/>
        <w:contextualSpacing/>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7．是/否接受分支机构参与响应：否。</w:t>
      </w:r>
      <w:r/>
    </w:p>
    <w:p>
      <w:pPr>
        <w:pStyle w:val="1136"/>
        <w:contextualSpacing/>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8．是/否属于政府购买服务：是。</w:t>
      </w:r>
      <w:r/>
    </w:p>
    <w:p>
      <w:pPr>
        <w:pStyle w:val="1136"/>
        <w:contextualSpacing/>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9．是/否接受进口产品投标：否。</w:t>
      </w:r>
      <w:r/>
    </w:p>
    <w:p>
      <w:pPr>
        <w:pStyle w:val="1136"/>
        <w:contextualSpacing/>
        <w:ind w:firstLine="48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10．是/否专门面向中小企业预留采购份额：</w:t>
      </w:r>
      <w:r>
        <w:rPr>
          <w:rFonts w:hint="eastAsia" w:ascii="宋体" w:hAnsi="宋体" w:eastAsia="宋体" w:cs="宋体"/>
          <w:b w:val="0"/>
          <w:bCs w:val="0"/>
          <w:color w:val="000000"/>
          <w:sz w:val="21"/>
          <w:szCs w:val="21"/>
          <w:highlight w:val="none"/>
          <w:lang w:val="en-US" w:eastAsia="zh-CN"/>
        </w:rPr>
        <w:t xml:space="preserve">是</w:t>
      </w:r>
      <w:r>
        <w:rPr>
          <w:rFonts w:hint="eastAsia" w:ascii="宋体" w:hAnsi="宋体" w:eastAsia="宋体" w:cs="宋体"/>
          <w:b w:val="0"/>
          <w:bCs w:val="0"/>
          <w:color w:val="000000"/>
          <w:sz w:val="21"/>
          <w:szCs w:val="21"/>
          <w:highlight w:val="none"/>
        </w:rPr>
        <w:t xml:space="preserve">。</w:t>
      </w:r>
      <w:r/>
    </w:p>
    <w:p>
      <w:pPr>
        <w:ind w:firstLine="48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11．本项目的特定资格要求：</w:t>
      </w:r>
      <w:r/>
    </w:p>
    <w:p>
      <w:pPr>
        <w:ind w:firstLine="48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（1）供应商具备市政公用工程施工总承包三级及以上资质证书； </w:t>
      </w:r>
      <w:r/>
    </w:p>
    <w:p>
      <w:pPr>
        <w:ind w:firstLine="48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（2）供应商具有省级及以上行政主管部门颁发的在有效期内的《安全生产许可证》； </w:t>
      </w:r>
      <w:r/>
    </w:p>
    <w:p>
      <w:pPr>
        <w:ind w:firstLine="48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（3）项目负责人具备市政公用工程二级及以上的注册建造师证书及安全生产考核合格证（B证）</w:t>
      </w:r>
      <w:r>
        <w:rPr>
          <w:rFonts w:hint="eastAsia" w:ascii="宋体" w:hAnsi="宋体" w:cs="宋体"/>
          <w:b w:val="0"/>
          <w:bCs w:val="0"/>
          <w:color w:val="000000"/>
          <w:sz w:val="21"/>
          <w:szCs w:val="21"/>
          <w:highlight w:val="none"/>
          <w:lang w:val="en-US" w:eastAsia="zh-CN"/>
        </w:rPr>
        <w:t xml:space="preserve">。</w:t>
      </w:r>
      <w:r/>
    </w:p>
    <w:p>
      <w:pPr>
        <w:pStyle w:val="1135"/>
        <w:contextualSpacing/>
        <w:ind w:firstLine="48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二、商务要求</w:t>
      </w:r>
      <w:r/>
    </w:p>
    <w:p>
      <w:pPr>
        <w:pStyle w:val="1137"/>
        <w:contextualSpacing/>
        <w:ind w:firstLine="48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付款条件：</w:t>
      </w:r>
      <w:r>
        <w:rPr>
          <w:rFonts w:hint="eastAsia" w:ascii="宋体" w:hAnsi="宋体" w:cs="宋体"/>
          <w:b/>
          <w:bCs/>
          <w:sz w:val="21"/>
          <w:szCs w:val="21"/>
          <w:highlight w:val="none"/>
          <w:lang w:val="en-US" w:eastAsia="zh-CN"/>
        </w:rPr>
        <w:t xml:space="preserve">服务期满后根据</w:t>
      </w:r>
      <w:r>
        <w:rPr>
          <w:rFonts w:hint="eastAsia" w:ascii="宋体" w:hAnsi="宋体" w:eastAsia="宋体" w:cs="宋体"/>
          <w:b/>
          <w:bCs/>
          <w:sz w:val="21"/>
          <w:szCs w:val="21"/>
          <w:highlight w:val="none"/>
        </w:rPr>
        <w:t xml:space="preserve">审计单位</w:t>
      </w:r>
      <w:r>
        <w:rPr>
          <w:rFonts w:hint="eastAsia" w:ascii="宋体" w:hAnsi="宋体" w:cs="宋体"/>
          <w:b/>
          <w:bCs/>
          <w:sz w:val="21"/>
          <w:szCs w:val="21"/>
          <w:highlight w:val="none"/>
          <w:lang w:val="en-US" w:eastAsia="zh-CN"/>
        </w:rPr>
        <w:t xml:space="preserve">出具的</w:t>
      </w:r>
      <w:r>
        <w:rPr>
          <w:rFonts w:hint="eastAsia" w:ascii="宋体" w:hAnsi="宋体" w:eastAsia="宋体" w:cs="宋体"/>
          <w:b/>
          <w:bCs/>
          <w:sz w:val="21"/>
          <w:szCs w:val="21"/>
          <w:highlight w:val="none"/>
        </w:rPr>
        <w:t xml:space="preserve">审定</w:t>
      </w:r>
      <w:r>
        <w:rPr>
          <w:rFonts w:hint="eastAsia" w:ascii="宋体" w:hAnsi="宋体" w:cs="宋体"/>
          <w:b/>
          <w:bCs/>
          <w:sz w:val="21"/>
          <w:szCs w:val="21"/>
          <w:highlight w:val="none"/>
          <w:lang w:val="en-US" w:eastAsia="zh-CN"/>
        </w:rPr>
        <w:t xml:space="preserve">单付至审定价</w:t>
      </w:r>
      <w:r>
        <w:rPr>
          <w:rFonts w:hint="eastAsia" w:ascii="宋体" w:hAnsi="宋体" w:eastAsia="宋体" w:cs="宋体"/>
          <w:b/>
          <w:bCs/>
          <w:sz w:val="21"/>
          <w:szCs w:val="21"/>
          <w:highlight w:val="none"/>
        </w:rPr>
        <w:t xml:space="preserve">的97%；剩余</w:t>
      </w:r>
      <w:r>
        <w:rPr>
          <w:rFonts w:hint="eastAsia" w:ascii="宋体" w:hAnsi="宋体" w:eastAsia="宋体" w:cs="宋体"/>
          <w:b/>
          <w:bCs/>
          <w:sz w:val="21"/>
          <w:szCs w:val="21"/>
        </w:rPr>
        <w:t xml:space="preserve">3%价款在养护服务质保期（</w:t>
      </w:r>
      <w:r>
        <w:rPr>
          <w:rFonts w:hint="eastAsia" w:ascii="宋体" w:hAnsi="宋体" w:eastAsia="宋体" w:cs="宋体"/>
          <w:b/>
          <w:bCs/>
          <w:sz w:val="21"/>
          <w:szCs w:val="21"/>
          <w:lang w:val="en-US" w:eastAsia="zh-CN"/>
        </w:rPr>
        <w:t xml:space="preserve">24</w:t>
      </w:r>
      <w:r>
        <w:rPr>
          <w:rFonts w:hint="eastAsia" w:ascii="宋体" w:hAnsi="宋体" w:eastAsia="宋体" w:cs="宋体"/>
          <w:b/>
          <w:bCs/>
          <w:sz w:val="21"/>
          <w:szCs w:val="21"/>
        </w:rPr>
        <w:t xml:space="preserve">个月）满后，30日内付清。如被列为复核审计项目，以复核审计结果作为最终结算依据。</w:t>
      </w:r>
      <w:r/>
    </w:p>
    <w:p>
      <w:pPr>
        <w:pStyle w:val="1137"/>
        <w:contextualSpacing/>
        <w:ind w:firstLine="48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质保期</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2年，具体</w:t>
      </w:r>
      <w:r>
        <w:rPr>
          <w:rFonts w:hint="eastAsia" w:ascii="宋体" w:hAnsi="宋体" w:eastAsia="宋体" w:cs="宋体"/>
          <w:sz w:val="21"/>
          <w:szCs w:val="21"/>
          <w:lang w:val="en-US" w:eastAsia="zh-CN"/>
        </w:rPr>
        <w:t xml:space="preserve">详见工程质量保修书。</w:t>
      </w:r>
      <w:r/>
    </w:p>
    <w:p>
      <w:pPr>
        <w:pStyle w:val="1137"/>
        <w:contextualSpacing/>
        <w:ind w:firstLine="480"/>
        <w:jc w:val="left"/>
        <w:spacing w:line="360" w:lineRule="auto"/>
        <w:rPr>
          <w:rFonts w:hint="eastAsia" w:ascii="宋体" w:hAnsi="宋体" w:eastAsia="宋体" w:cs="宋体"/>
          <w:b/>
          <w:bCs/>
          <w:color w:val="ff0000"/>
          <w:sz w:val="21"/>
          <w:szCs w:val="21"/>
          <w:highlight w:val="yellow"/>
        </w:rPr>
      </w:pPr>
      <w:r>
        <w:rPr>
          <w:rFonts w:hint="eastAsia" w:ascii="宋体" w:hAnsi="宋体" w:eastAsia="宋体" w:cs="宋体"/>
          <w:sz w:val="21"/>
          <w:szCs w:val="21"/>
          <w:lang w:val="en-US" w:eastAsia="zh-CN"/>
        </w:rPr>
        <w:t xml:space="preserve">3.质量要求</w:t>
      </w:r>
      <w:r>
        <w:rPr>
          <w:rFonts w:hint="eastAsia" w:ascii="宋体" w:hAnsi="宋体" w:cs="宋体"/>
          <w:sz w:val="21"/>
          <w:szCs w:val="21"/>
          <w:lang w:val="en-US" w:eastAsia="zh-CN"/>
        </w:rPr>
        <w:t xml:space="preserve">：合格，满足甲方采购要求</w:t>
      </w:r>
      <w:r>
        <w:rPr>
          <w:rFonts w:hint="eastAsia" w:ascii="宋体" w:hAnsi="宋体" w:eastAsia="宋体" w:cs="宋体"/>
          <w:sz w:val="21"/>
          <w:szCs w:val="21"/>
        </w:rPr>
        <w:t xml:space="preserve">。</w:t>
      </w:r>
      <w:r/>
    </w:p>
    <w:p>
      <w:pPr>
        <w:pStyle w:val="1135"/>
        <w:contextualSpacing/>
        <w:ind w:firstLine="480"/>
        <w:jc w:val="left"/>
        <w:spacing w:line="360" w:lineRule="auto"/>
        <w:rPr>
          <w:rFonts w:hint="eastAsia" w:ascii="宋体" w:hAnsi="宋体" w:eastAsia="宋体" w:cs="宋体"/>
          <w:color w:val="000000"/>
          <w:highlight w:val="magenta"/>
        </w:rPr>
      </w:pPr>
      <w:r>
        <w:rPr>
          <w:rFonts w:hint="eastAsia" w:ascii="宋体" w:hAnsi="宋体" w:eastAsia="宋体" w:cs="宋体"/>
          <w:b/>
          <w:bCs/>
          <w:sz w:val="21"/>
          <w:szCs w:val="21"/>
        </w:rPr>
        <w:t xml:space="preserve">三、技术要求</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（一）</w:t>
      </w:r>
      <w:r>
        <w:rPr>
          <w:rFonts w:hint="eastAsia" w:ascii="宋体" w:hAnsi="宋体" w:eastAsia="宋体" w:cs="宋体"/>
          <w:b/>
          <w:bCs w:val="0"/>
          <w:color w:val="000000"/>
          <w:sz w:val="21"/>
          <w:szCs w:val="21"/>
          <w:highlight w:val="none"/>
        </w:rPr>
        <w:t xml:space="preserve">养护基本要求：</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1.市政设施日常养护范围：</w:t>
      </w:r>
      <w:r>
        <w:rPr>
          <w:rFonts w:hint="eastAsia" w:ascii="宋体" w:hAnsi="宋体" w:cs="宋体"/>
          <w:bCs/>
          <w:color w:val="000000"/>
          <w:sz w:val="21"/>
          <w:szCs w:val="21"/>
          <w:highlight w:val="none"/>
          <w:lang w:val="en-US" w:eastAsia="zh-CN"/>
        </w:rPr>
        <w:t xml:space="preserve">路灯、绿化、</w:t>
      </w:r>
      <w:r>
        <w:rPr>
          <w:rFonts w:hint="eastAsia" w:ascii="宋体" w:hAnsi="宋体" w:eastAsia="宋体" w:cs="宋体"/>
          <w:bCs/>
          <w:color w:val="000000"/>
          <w:sz w:val="21"/>
          <w:szCs w:val="21"/>
          <w:highlight w:val="none"/>
        </w:rPr>
        <w:t xml:space="preserve">车行道（沥青、混凝土）、非机动车道（沥青、混凝土）、人行道与侧平石、桥梁（桥面、桥栏杆、桥梁伸缩缝、挡土墙）、雨污水管网、其他市政及配套附属设施的养护维修，特殊情况按甲方要求进行维护服务。</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市政设施日常养护作业内容：</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（1）路面部分：</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①路面坑洼、下沉的填补翻修；</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②麻面、拥包、龟裂、角裂、啃边、翻浆、纵横缝等病害的处理；</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③路面伸缩缝和其它裂缝的清理，并做好灌、封处理及重新灌注填缝料工程；</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（2）人行道与侧平石：</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①人行道板的缺损、塌陷、松翘等，保持道板面平整无积水；</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②侧平石（含绿化侧平石）损坏、水毁塌后的更换修补，零星缺失的补缺工程；</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③侧石侧翻与平石凸陷阻水的整修，保持侧平石稳固、直顺、完整及美观。</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（3）桥梁：</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①桥面铺装层坑洼的小修小补及桥面伸缩缝的清理与填缝；</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②桥面侧石的修复和桥面排水设施的清理；</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③桥栏杆缺损、裂缝、剥落的修补工程；</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④挡土墙一般损坏修复和杂草、树丛的清理工作。</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（4）雨污水管网：</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①杜绝污水外溢、检查井、进水井内无淤积物；</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②各种井盖无缺失、无破损、无轧响。</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rPr>
        <w:t xml:space="preserve">维护（或修理）工作要求：</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1.养护服务流程：</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巡检发现（或接到采购人任务通知）→服务商响应→服务商尽快赶到现场察看并拍照、记录→服务商提交养护方案→得到采购人签发养护任务联系单进行相关作业→ 采购人进行复查及签证确认→整理资料建立、建全服务台账。</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服务商提供服务项目管理人员名单，人员应相对固定，做到在故障突发时随叫随到。</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2.服务商工作安全要求：</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（1）维修保养队伍必须加强管理，遵守作业现场的一切规章制度，文明施工，注意安全，一切伤亡事故由服务商承担负全责；</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商维修保养人员、施工机械或在运输装卸等实施过程中对其他设备及邻近管线等造成损坏的，应由服务商负责修复及承担一切费用(若因特殊情况，如突击抢险、抢修、排涝等应急处理，来不及对养护区域内管线管网等进行逐一排查定位的，由此造成损坏的，由服务商负责协调解决，服务商不承担一切责任)；</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（3）服务过程中注意保护现场已存在的公共设施。</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3.具体维护要求内容</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维护目标：雨污水管道、路面、人行道、桥梁等市政设施的巡查、疏通、修复，以及其它市政零星、应急事项。目的是为了市政基础设施的完好及使用安全。</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商必须落实维护各个环节，做好市政设施检、维护、保养和运行管理工作，保证各市政设施良好、运行正常、稳定，技术资料、原始记录齐全（各种图纸、说明书和巡检记录、维护日志、现场影像等有关资料），建立相关台账。</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（三）</w:t>
      </w:r>
      <w:r>
        <w:rPr>
          <w:rFonts w:hint="eastAsia" w:ascii="宋体" w:hAnsi="宋体" w:eastAsia="宋体" w:cs="宋体"/>
          <w:b/>
          <w:bCs w:val="0"/>
          <w:color w:val="000000"/>
          <w:sz w:val="21"/>
          <w:szCs w:val="21"/>
          <w:highlight w:val="none"/>
        </w:rPr>
        <w:t xml:space="preserve">市政道路养护实施要求：</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1.按照住建部《城镇道路养护技术规范》，市政道路服务商必须制定养护质量保证体系，严格工程质量操作流程；</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2.服务商按《市政道路养护任务单》要求与内容实施养护，养护工程量必须经采购</w:t>
      </w:r>
      <w:r>
        <w:rPr>
          <w:rFonts w:hint="eastAsia" w:ascii="宋体" w:hAnsi="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及工程监理现场验收后，按规定签证确认；</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3.涉及工程开挖、修复路面等养护工程，按有关规定办理相关手续。采购人履行施工管理职能，负责组织协调、工程质量、工作量实际签证和验收工作；</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4.养护施工现场做好安全警示和作业围挡，遵守工程施工规范与相关管理要求，参照公路养护安全作业规程标准实施，做到文明施工；</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5.服务商应及时响应采购人检查发现问题的整改，并落实回复。</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eastAsia="zh-CN"/>
        </w:rPr>
        <w:t xml:space="preserve">（</w:t>
      </w:r>
      <w:r>
        <w:rPr>
          <w:rFonts w:hint="eastAsia" w:ascii="宋体" w:hAnsi="宋体" w:cs="宋体"/>
          <w:b/>
          <w:bCs w:val="0"/>
          <w:color w:val="000000"/>
          <w:sz w:val="21"/>
          <w:szCs w:val="21"/>
          <w:highlight w:val="none"/>
          <w:lang w:val="en-US" w:eastAsia="zh-CN"/>
        </w:rPr>
        <w:t xml:space="preserve">四</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污水管网巡检：</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经开区污水管网陈年老旧，过去设计、施工用材多为塑料波纹管，均已老化，随时坍塌、错口、断裂、破损，造成污水外流，由于以前没有系统全面对经开区污水管网进行管养过，为此，必须加强日常养护巡查管理。具体措施如下： </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巡检内容：污水管网及附属设施，重点查看污水管网、企业乱接乱排、河湖荡水质变化等情况。具体为：污水管网、河渠、井盖丢失、井座损坏、管井沉降、错口、脱节、破损、孔洞、异管外穿、排水设施损坏、污水外流、河沟渠荡水质变色污染、各企业小区商铺私接雨水污水管道和乱排污水。</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2.管理办法：</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（1）巡查单位按照合同规定开展污水管网、沿线河道等进行巡查检查，每日汇总巡检单位的巡检记录，建立台账。</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（2）巡检发现污水管网存在问题后，应立即报采纳人，由采购人指令服务商立即组织抢修队伍进行抢修。</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（3）巡检单位日常巡检污水管道网、沿线河道，做到污水管网内的污水不得流入雨水管网或河湖荡等外环境。</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（五）</w:t>
      </w:r>
      <w:r>
        <w:rPr>
          <w:rFonts w:hint="eastAsia" w:ascii="宋体" w:hAnsi="宋体" w:eastAsia="宋体" w:cs="宋体"/>
          <w:b/>
          <w:bCs w:val="0"/>
          <w:color w:val="000000"/>
          <w:sz w:val="21"/>
          <w:szCs w:val="21"/>
          <w:highlight w:val="none"/>
        </w:rPr>
        <w:t xml:space="preserve">道路、雨水管网等巡检：</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1.市政道路巡查主要内容：巡查路面烂凼、烂板、塌陷、坑洼、起拱、侧平石缺损、人行道破损等。</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2.雨水管网巡检主要内容：雨水管道堵塞破损、连接管堵塞破损、检查井盖框缺损、雨水口盖框缺损、出水口水质变化等。</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3.巡检频率：经开区主干道及商业网点附近道路每日至少巡视一次，城市次干道及居民密集居住区附近道路每两日至少巡视一次，城市支路及背街小巷每周至少巡视两次（特殊时期巡查频次见甲方指令）。</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（六）</w:t>
      </w:r>
      <w:r>
        <w:rPr>
          <w:rFonts w:hint="eastAsia" w:ascii="宋体" w:hAnsi="宋体" w:eastAsia="宋体" w:cs="宋体"/>
          <w:b/>
          <w:bCs w:val="0"/>
          <w:color w:val="000000"/>
          <w:sz w:val="21"/>
          <w:szCs w:val="21"/>
          <w:highlight w:val="none"/>
        </w:rPr>
        <w:t xml:space="preserve">巡检台账管理：</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1.建立台账：污水管网、沿线河道巡检台账；市政道路、雨水管网巡检台账。</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2.台账内容：</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（1）污水管网、沿线河道台账：污水管网日常巡检记录表、河道日常巡检记录表、巡检影像照片、联系单（或社会综合治理案卷信息表）等；</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（2）市政道路、雨水管网巡检台账：市政道路巡检记录表、雨水管网巡检记录表、巡检影像照片、联系单（或社会综合治理案卷信息表）等。</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3.台账管理：以上台账，每半月汇总一次，巡检单位抄送一份交由采购人审核并存档。</w:t>
      </w:r>
      <w:r/>
    </w:p>
    <w:p>
      <w:pPr>
        <w:ind w:firstLine="422"/>
        <w:spacing w:line="360" w:lineRule="auto"/>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rPr>
        <w:t xml:space="preserve">安全文明施工措施及环保责任：</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1.服务商须为维护人员配备印有维护单位名称的现场作业安全服或反光背心，现场作业时应明示安全警示标志和作业围挡。</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2.维护工作实施过程中，服务商不得将施工材料/设备与人员共用一辆车辆运输，不得违反相关道路交通法规。服务商需具有施工必须具备的安全警示和作业围挡设备设施。</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3.服务商应及时响应采购人检查发现问题的整改，并落实回复。</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施工作业区管理要求：施工现场应围挡整齐，沿街及重要部位须按采购人要求设置，并保证安全美观，施工标语内容须征得采购人认可；现场布局合理整洁，无杂草、积水、异味，场内道路必须进行硬化并保证畅通；各种材料应堆放整齐，施工垃圾须定点堆放，及时清运，严禁在施工现场以外堆放材料。服务商人员必须遵守劳动纪律，在工作中按规定正确佩带和使用个人防护用品，严禁袒胸露背，穿拖鞋上岗。土方、泥浆等外运过程，严格按程序操作，不得在施工区域内外遗洒，同时应有避免扬尘的措施。</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在施工过程中，发生交通、施工、机电、消防等安全事故，要立即抢救伤者，采取措施减少财产损失，保护现场，积极主动的配合采购人处理事故。同时现场应有专门负责安全、文明施工的管理人员，定期检查，发现问题及时整改；对采购人提出的其他有关安全、文明施工等方面问题必须积极配合，认真履行。</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6.采购人有权随时进行监督、检查，并有权责令服务商清除不安全隐患的权利。</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7.对养护巡查不到位引起的安全事故责任：</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（1）自身巡查、施工过程中的人生安全等事故负全部责任；</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（2）路面、雨污水管道等巡查不到位引起的安全事故负相关责任。</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其他要求</w:t>
      </w:r>
      <w:r/>
    </w:p>
    <w:p>
      <w:pPr>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考核办法：</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常考核由采购人及监理单位根据每月任务单下达情况结合考核标准对服务商日常养护工作开展考核。考核内容主要包括市政排水设施养护任务单执行情况、市政排水养护质量执行情况、文明施工以及巡查考核情况四个方面。</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考核综合得分小于 80分（不包括80 分）为不合格，连续两个月或累计三个月考核不合格，则终止当年养护合同，并按采购约定扣除相应巡视养护费用；考核合格的可继续履约。</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2.内部业务资料质量检查考核主要是指服务商为保证设施养护目标的实现编制的养护、维修记录。资料抽查每季度进行一次，采购人和监理单位可联合检查也可单独检查。</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安全考核严格按照《中华人民共和国安全生产法》的有关规定，并建立有总监负责制的安全管理体系，落实安全工作责任制，若因服务商操作不当而引起的安全责任事故，则应严肃处理，并给予相应的经济处罚。</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4.养护维修质量应严格按照《城镇道路养护技术规范》等相关规定执行。若服务商实施的项目质量不符国家、地方或采购人相关要求的，采购人可要求服务商无偿返工。</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5.每次考核完成后，及时宣布考核结果及存在的问题，并限期服务商进行整改，如不能及时处理需上报说明原因。</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6.如现场遇到特殊情况的由供应商决定处置方案，供应商中途有权对考核办法进行调整、细化。</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7.考核内容及评定标准：详见附件1。</w:t>
      </w:r>
      <w:r/>
    </w:p>
    <w:p>
      <w:pPr>
        <w:spacing w:line="360" w:lineRule="auto"/>
        <w:rPr>
          <w:rFonts w:hint="eastAsia" w:ascii="宋体" w:hAnsi="宋体" w:eastAsia="宋体" w:cs="宋体"/>
          <w:b/>
          <w:bCs w:val="0"/>
          <w:color w:val="000000"/>
          <w:sz w:val="22"/>
          <w:szCs w:val="22"/>
          <w:highlight w:val="none"/>
          <w:lang w:val="en-US" w:eastAsia="zh-CN" w:bidi="ar-SA"/>
        </w:rPr>
      </w:pPr>
      <w:r>
        <w:rPr>
          <w:rFonts w:hint="eastAsia" w:ascii="宋体" w:hAnsi="宋体" w:cs="宋体"/>
          <w:b/>
          <w:bCs w:val="0"/>
          <w:color w:val="000000"/>
          <w:sz w:val="22"/>
          <w:szCs w:val="22"/>
          <w:highlight w:val="none"/>
          <w:lang w:val="en-US" w:eastAsia="zh-CN" w:bidi="ar-SA"/>
        </w:rPr>
        <w:t xml:space="preserve">（九）</w:t>
      </w:r>
      <w:r>
        <w:rPr>
          <w:rFonts w:hint="eastAsia" w:ascii="宋体" w:hAnsi="宋体" w:eastAsia="宋体" w:cs="宋体"/>
          <w:b/>
          <w:bCs w:val="0"/>
          <w:color w:val="000000"/>
          <w:sz w:val="22"/>
          <w:szCs w:val="22"/>
          <w:highlight w:val="none"/>
          <w:lang w:val="en-US" w:eastAsia="zh-CN" w:bidi="ar-SA"/>
        </w:rPr>
        <w:t xml:space="preserve">采购标的对应的中小企业划分标准所属行业一览表</w:t>
      </w:r>
      <w:r/>
    </w:p>
    <w:tbl>
      <w:tblPr>
        <w:tblStyle w:val="940"/>
        <w:tblW w:w="93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670"/>
        <w:gridCol w:w="3858"/>
      </w:tblGrid>
      <w:tr>
        <w:trPr>
          <w:cantSplit/>
          <w:jc w:val="center"/>
          <w:trHeight w:val="567"/>
        </w:trPr>
        <w:tc>
          <w:tcPr>
            <w:tcW w:w="8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p>
        </w:tc>
        <w:tc>
          <w:tcPr>
            <w:tcW w:w="46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采购标的</w:t>
            </w:r>
            <w:r/>
          </w:p>
        </w:tc>
        <w:tc>
          <w:tcPr>
            <w:tcW w:w="385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对应中小企业划分标准所属行业</w:t>
            </w:r>
            <w:r/>
          </w:p>
        </w:tc>
      </w:tr>
      <w:tr>
        <w:trPr>
          <w:cantSplit/>
          <w:jc w:val="center"/>
          <w:trHeight w:val="567"/>
        </w:trPr>
        <w:tc>
          <w:tcPr>
            <w:tcW w:w="82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p>
        </w:tc>
        <w:tc>
          <w:tcPr>
            <w:tcW w:w="46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2026年度金科园西区市政养护项目</w:t>
            </w:r>
            <w:r/>
          </w:p>
        </w:tc>
        <w:tc>
          <w:tcPr>
            <w:tcW w:w="385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p>
        </w:tc>
      </w:tr>
    </w:tbl>
    <w:p>
      <w:pPr>
        <w:jc w:val="both"/>
        <w:keepLines w:val="0"/>
        <w:keepNext w:val="0"/>
        <w:pageBreakBefore w:val="0"/>
        <w:spacing w:line="440" w:lineRule="atLeast"/>
        <w:widowControl w:val="off"/>
        <w:rPr>
          <w:rFonts w:hint="eastAsia" w:ascii="宋体" w:hAnsi="宋体" w:eastAsia="宋体" w:cs="宋体"/>
          <w:b/>
          <w:bCs w:val="0"/>
          <w:color w:val="000000"/>
          <w:sz w:val="22"/>
          <w:szCs w:val="22"/>
          <w:highlight w:val="none"/>
          <w:lang w:val="en-US" w:eastAsia="zh-CN" w:bidi="ar-SA"/>
        </w:rPr>
      </w:pPr>
      <w:r>
        <w:rPr>
          <w:rFonts w:hint="eastAsia" w:ascii="宋体" w:hAnsi="宋体" w:cs="宋体"/>
          <w:b/>
          <w:bCs w:val="0"/>
          <w:color w:val="000000"/>
          <w:sz w:val="22"/>
          <w:szCs w:val="22"/>
          <w:highlight w:val="none"/>
          <w:lang w:val="en-US" w:eastAsia="zh-CN" w:bidi="ar-SA"/>
        </w:rPr>
        <w:t xml:space="preserve">（十）</w:t>
      </w:r>
      <w:r>
        <w:rPr>
          <w:rFonts w:hint="eastAsia" w:ascii="宋体" w:hAnsi="宋体" w:eastAsia="宋体" w:cs="宋体"/>
          <w:b/>
          <w:bCs w:val="0"/>
          <w:color w:val="000000"/>
          <w:sz w:val="22"/>
          <w:szCs w:val="22"/>
          <w:highlight w:val="none"/>
          <w:lang w:val="en-US" w:eastAsia="zh-CN" w:bidi="ar-SA"/>
        </w:rPr>
        <w:t xml:space="preserve">服务类产品控制价清单</w:t>
      </w:r>
      <w:r/>
    </w:p>
    <w:tbl>
      <w:tblPr>
        <w:tblStyle w:val="940"/>
        <w:tblW w:w="49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455"/>
        <w:gridCol w:w="4670"/>
        <w:gridCol w:w="750"/>
        <w:gridCol w:w="735"/>
        <w:gridCol w:w="1068"/>
      </w:tblGrid>
      <w:tr>
        <w:trPr>
          <w:cantSplit/>
          <w:jc w:val="center"/>
          <w:trHeight w:val="767"/>
        </w:trPr>
        <w:tc>
          <w:tcPr>
            <w:tcW w:w="66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序号</w:t>
            </w:r>
            <w:r/>
          </w:p>
        </w:tc>
        <w:tc>
          <w:tcPr>
            <w:tcW w:w="145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服务名称</w:t>
            </w:r>
            <w:r/>
          </w:p>
        </w:tc>
        <w:tc>
          <w:tcPr>
            <w:tcW w:w="46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服务内容</w:t>
            </w:r>
            <w:r/>
          </w:p>
        </w:tc>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w:t>
            </w:r>
            <w:r/>
          </w:p>
        </w:tc>
        <w:tc>
          <w:tcPr>
            <w:tcW w:w="73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数量</w:t>
            </w:r>
            <w:r/>
          </w:p>
        </w:tc>
        <w:tc>
          <w:tcPr>
            <w:tcW w:w="10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单价金额（元）</w:t>
            </w:r>
            <w:r/>
          </w:p>
        </w:tc>
      </w:tr>
      <w:tr>
        <w:trPr>
          <w:cantSplit/>
          <w:jc w:val="center"/>
          <w:trHeight w:val="3363"/>
        </w:trPr>
        <w:tc>
          <w:tcPr>
            <w:tcW w:w="66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p>
        </w:tc>
        <w:tc>
          <w:tcPr>
            <w:tcW w:w="1455"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2026年度金科园西区市政养护项目</w:t>
            </w:r>
            <w:r/>
          </w:p>
        </w:tc>
        <w:tc>
          <w:tcPr>
            <w:tcW w:w="4670" w:type="dxa"/>
            <w:vAlign w:val="center"/>
            <w:textDirection w:val="lrTb"/>
            <w:noWrap w:val="false"/>
          </w:tcPr>
          <w:p>
            <w:pPr>
              <w:ind w:firstLine="0"/>
              <w:jc w:val="left"/>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对金科园西区进行管养，具体内容包括：</w:t>
            </w:r>
            <w:r>
              <w:rPr>
                <w:rFonts w:hint="eastAsia" w:ascii="宋体" w:hAnsi="宋体" w:cs="宋体"/>
                <w:color w:val="000000"/>
                <w:sz w:val="21"/>
                <w:szCs w:val="21"/>
                <w:highlight w:val="none"/>
                <w:lang w:val="en-US" w:eastAsia="zh-CN"/>
              </w:rPr>
              <w:t xml:space="preserve">路灯、绿化、</w:t>
            </w:r>
            <w:r>
              <w:rPr>
                <w:rFonts w:hint="eastAsia" w:ascii="宋体" w:hAnsi="宋体" w:eastAsia="宋体" w:cs="宋体"/>
                <w:color w:val="000000"/>
                <w:sz w:val="21"/>
                <w:szCs w:val="21"/>
                <w:highlight w:val="none"/>
                <w:lang w:val="en-US" w:eastAsia="zh-CN"/>
              </w:rPr>
              <w:t xml:space="preserve">道路、管网、河道及退红线区域的日常巡视与检查；破损道路维修、雨污水管道维修与疏通、窨井修复、桥梁的维护保养；以及汛期防汛和冬季铲雪除冰等应急抢险任务。具体每次任务以采购人的任务单为准。具体采购范围及所应达到的具体要求，以本磋商文件中商务、技术和服务的相应规定为准。响应人的响应文件必须满足本次采购的实质目的。响应人若存在任何理解上无法确定之处，均应当按照磋商文件所规定的响应前的澄清等程序提出，否则，可能导致的任何不利后果均应当由响应人自行承担。</w:t>
            </w:r>
            <w:r/>
          </w:p>
        </w:tc>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w:t>
            </w:r>
            <w:r/>
          </w:p>
        </w:tc>
        <w:tc>
          <w:tcPr>
            <w:tcW w:w="73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1068"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1740000</w:t>
            </w:r>
            <w:r/>
          </w:p>
        </w:tc>
      </w:tr>
      <w:tr>
        <w:trPr>
          <w:cantSplit/>
          <w:jc w:val="center"/>
          <w:trHeight w:val="817"/>
        </w:trPr>
        <w:tc>
          <w:tcPr>
            <w:tcW w:w="662"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1455"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467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对金科园西区道路、管网、河道、退红线区域的巡视、检查；</w:t>
            </w:r>
            <w:r/>
          </w:p>
        </w:tc>
        <w:tc>
          <w:tcPr>
            <w:tcW w:w="750"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w:t>
            </w:r>
            <w:r/>
          </w:p>
        </w:tc>
        <w:tc>
          <w:tcPr>
            <w:tcW w:w="735"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1068"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60000</w:t>
            </w:r>
            <w:r/>
          </w:p>
        </w:tc>
      </w:tr>
      <w:tr>
        <w:trPr>
          <w:cantSplit/>
          <w:jc w:val="center"/>
          <w:trHeight w:val="567"/>
        </w:trPr>
        <w:tc>
          <w:tcPr>
            <w:gridSpan w:val="5"/>
            <w:tcW w:w="827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p>
        </w:tc>
        <w:tc>
          <w:tcPr>
            <w:tcW w:w="1068"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180</w:t>
            </w:r>
            <w:r>
              <w:rPr>
                <w:rFonts w:hint="eastAsia" w:ascii="宋体" w:hAnsi="宋体" w:eastAsia="宋体" w:cs="宋体"/>
                <w:color w:val="000000"/>
                <w:sz w:val="21"/>
                <w:szCs w:val="21"/>
                <w:highlight w:val="none"/>
                <w:lang w:val="en-US" w:eastAsia="zh-CN"/>
              </w:rPr>
              <w:t xml:space="preserve">0000</w:t>
            </w:r>
            <w:r/>
          </w:p>
        </w:tc>
      </w:tr>
    </w:tbl>
    <w:p>
      <w:pPr>
        <w:jc w:val="left"/>
        <w:spacing w:before="60" w:line="184"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jc w:val="left"/>
        <w:spacing w:before="60" w:line="184" w:lineRule="auto"/>
        <w:rPr>
          <w:rFonts w:hint="eastAsia" w:ascii="宋体" w:hAnsi="宋体" w:cs="宋体"/>
          <w:bCs/>
          <w:color w:val="000000"/>
          <w:szCs w:val="21"/>
          <w:highlight w:val="none"/>
        </w:rPr>
        <w:sectPr>
          <w:footerReference w:type="default" r:id="rId15"/>
          <w:footnotePr/>
          <w:endnotePr/>
          <w:type w:val="nextPage"/>
          <w:pgSz w:w="11906" w:h="16839" w:orient="portrait"/>
          <w:pgMar w:top="1431" w:right="1310" w:bottom="400" w:left="1309" w:header="850" w:footer="850" w:gutter="0"/>
          <w:cols w:num="1" w:sep="0" w:space="1701" w:equalWidth="1"/>
          <w:docGrid w:linePitch="360"/>
        </w:sectPr>
      </w:pPr>
      <w:r>
        <w:rPr>
          <w:rFonts w:hint="eastAsia" w:ascii="宋体" w:hAnsi="宋体" w:cs="宋体"/>
          <w:bCs/>
          <w:color w:val="000000"/>
          <w:szCs w:val="21"/>
          <w:highlight w:val="none"/>
        </w:rPr>
      </w:r>
      <w:r/>
    </w:p>
    <w:p>
      <w:pPr>
        <w:jc w:val="left"/>
        <w:spacing w:before="60" w:line="184" w:lineRule="auto"/>
        <w:rPr>
          <w:rFonts w:ascii="宋体" w:hAnsi="宋体" w:cs="宋体"/>
          <w:bCs/>
          <w:color w:val="000000"/>
          <w:szCs w:val="21"/>
          <w:highlight w:val="none"/>
        </w:rPr>
      </w:pPr>
      <w:r>
        <w:rPr>
          <w:rFonts w:hint="eastAsia" w:ascii="宋体" w:hAnsi="宋体" w:cs="宋体"/>
          <w:bCs/>
          <w:color w:val="000000"/>
          <w:szCs w:val="21"/>
          <w:highlight w:val="none"/>
        </w:rPr>
        <w:t xml:space="preserve">附件1</w:t>
      </w:r>
      <w:r/>
    </w:p>
    <w:p>
      <w:pPr>
        <w:jc w:val="center"/>
        <w:spacing w:before="60" w:line="184" w:lineRule="auto"/>
        <w:rPr>
          <w:rFonts w:hint="eastAsia" w:ascii="宋体" w:hAnsi="宋体" w:eastAsia="宋体" w:cs="宋体"/>
          <w:color w:val="000000"/>
          <w:spacing w:val="-5"/>
          <w:sz w:val="32"/>
          <w:szCs w:val="32"/>
          <w:highlight w:val="none"/>
        </w:rPr>
      </w:pPr>
      <w:r>
        <w:rPr>
          <w:rFonts w:ascii="宋体" w:hAnsi="宋体" w:cs="宋体"/>
          <w:color w:val="000000"/>
          <w:spacing w:val="-1"/>
          <w:sz w:val="32"/>
          <w:szCs w:val="32"/>
          <w:highlight w:val="none"/>
        </w:rPr>
        <w:t xml:space="preserve">市政设施养护考核表</w:t>
      </w:r>
      <w:r/>
    </w:p>
    <w:tbl>
      <w:tblPr>
        <w:tblStyle w:val="1142"/>
        <w:tblpPr w:horzAnchor="page" w:tblpX="1481" w:vertAnchor="text" w:tblpY="125" w:leftFromText="180" w:topFromText="0" w:rightFromText="180" w:bottomFromText="0"/>
        <w:tblW w:w="95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6"/>
        <w:gridCol w:w="1072"/>
        <w:gridCol w:w="506"/>
        <w:gridCol w:w="5223"/>
        <w:gridCol w:w="667"/>
        <w:gridCol w:w="724"/>
        <w:gridCol w:w="669"/>
      </w:tblGrid>
      <w:tr>
        <w:trPr>
          <w:cantSplit/>
          <w:trHeight w:val="578"/>
        </w:trPr>
        <w:tc>
          <w:tcPr>
            <w:tcW w:w="656"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序号</w:t>
            </w:r>
            <w:r/>
          </w:p>
        </w:tc>
        <w:tc>
          <w:tcPr>
            <w:tcW w:w="1072"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考核内容</w:t>
            </w:r>
            <w:r/>
          </w:p>
        </w:tc>
        <w:tc>
          <w:tcPr>
            <w:gridSpan w:val="2"/>
            <w:tcW w:w="5729"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评分标准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分值</w:t>
            </w:r>
            <w:r/>
          </w:p>
        </w:tc>
        <w:tc>
          <w:tcPr>
            <w:tcW w:w="724"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得分</w:t>
            </w:r>
            <w:r/>
          </w:p>
        </w:tc>
        <w:tc>
          <w:tcPr>
            <w:tcW w:w="669"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备注</w:t>
            </w:r>
            <w:r/>
          </w:p>
        </w:tc>
      </w:tr>
      <w:tr>
        <w:trPr>
          <w:cantSplit/>
          <w:trHeight w:val="1225"/>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一</w:t>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市政排水设施养护任务单执行情况</w:t>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按期落实市政养护任务单，根据任务单的时间及时处置， 未按时处置且无相关延期申请的一次扣 0.1 分，涉及道路 维修、管道抢修的工程上报维修方案，不上报扣 0.1 分， 扣完为止。未经中心许可擅自进行维修，发现一处扣 5 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64"/>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养护工程项目实施前需提前 1 天上报监理和甲方，如不上 报直接施工一次扣 0.5 分，造成城市长效考核扣分的一次 扣 0.5 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609"/>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养护工程按任务单实施，出现实际情况与任务单不符的及 时上报变更，不上报擅自变更的一处扣 0.5 分，造成返工 的一次扣 1 分，每月底按期上报下月度维修计划，不上报 扣 0.5分，扣完为止。</w:t>
            </w:r>
            <w:r/>
          </w:p>
        </w:tc>
        <w:tc>
          <w:tcPr>
            <w:tcW w:w="667" w:type="dxa"/>
            <w:vAlign w:val="center"/>
            <w:vMerge w:val="restart"/>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w:t>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23"/>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每月 3日前上报上月完成工作量。不上报扣 1分/月。</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99"/>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按养护维修时限完结巡查养护系统内工单。否则扣 0.2分/ 日。</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38"/>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按养护维修时限要求完成各项维修任务。否则扣0.2分/日。</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725"/>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二</w:t>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市政排水养护质量执行情况</w:t>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在市政设施养护工程中，涉及工程验收的，经监理、甲方验收。验收不过关的扣 1分/次，扣完为止。</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463"/>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因施工质量导致返工的。扣 5分/次。</w:t>
            </w:r>
            <w:r/>
          </w:p>
        </w:tc>
        <w:tc>
          <w:tcPr>
            <w:tcW w:w="667" w:type="dxa"/>
            <w:vAlign w:val="center"/>
            <w:vMerge w:val="restart"/>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20</w:t>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沥青道路</w:t>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维修作业时的沥青料温度须符合规范要求。不符合要求的扣 1分/次。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沥青路面铣刨规范，边线整齐，底层平整。不符合要求的扣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粘结层撒布须饱满均匀，无露白现象，不符合要求的扣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沥青摊铺平整，与井框或其他构筑物高差不大于5mm。不符合要求的扣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沥青碾压规范，压实充分，表面颗粒无离析、松散现象。不符合要求的扣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9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冬季沥青摊铺后，接缝位置须采用石油沥青灌缝，不符合要求的扣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沥青路面灌缝开槽机须配备吸尘装置，不配备的扣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开槽宽度不低于1cm，深度 1-3cm，深宽比不超过2：1,灌缝密实均匀，不符合要求的扣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混凝土道 路</w:t>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混凝土浇筑前应确保基底整洁、无杂物，不符合要求的扣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混凝土须振捣密实、无离析现象，不符合要求的扣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混凝土表面平整、无蜂窝麻面、裂缝现象，不符合要求的扣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6" w:hanging="12"/>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与井框或其他构筑物高差不大于 5mm，不符合要求的扣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32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混凝土路面棱边顺直，无边角剥落现象，不符合要求的扣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w:t>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人行道面层砌块铺装前应确保基底平整、无杂物，不符合要求的扣 0.5分/次。</w:t>
            </w:r>
            <w:r/>
          </w:p>
        </w:tc>
        <w:tc>
          <w:tcPr>
            <w:tcW w:w="667"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p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p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p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铺装时，应确保砂浆饱满、砌块底部无脱空现象，不符合要求的扣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铺装平整度满足要求，砌块间高差不大于 5mm ，不符合要求的扣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与井框或其他构筑物高差不大于 5mm ，不符合要求的扣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人行道砌块间填充饱满，不符合要求的扣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盲道、坡道铺装时严格按照无障碍建设指南进行施工，未按要求施工的扣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侧平石、树池安放顺直，灌浆饱满，不符合要求的扣0.5分/次。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排水 设施</w:t>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井盖与井框完好，吻合，安放平稳、启闭灵活，井框与路面高差不超过正负 15mm 。不符合要求的扣 0.5分/次。</w:t>
            </w:r>
            <w:r/>
          </w:p>
        </w:tc>
        <w:tc>
          <w:tcPr>
            <w:tcW w:w="667"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p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p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p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井内踏步完好、井壁无破损，井内无杂物。不符合要求的扣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管道插接口完好，坡度顺畅，管壁无破损、无泄漏。不符合要求的扣 1分/次。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检查井、雨水口清掏完毕后，积泥深度不得高于 5cm。 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检查井内安全网设施完好无缺损。不符合要求的扣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管辖泵站及闸门运行良好，按规定及时维护。否则扣1 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96"/>
        </w:trPr>
        <w:tc>
          <w:tcPr>
            <w:tcW w:w="656"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三</w:t>
            </w:r>
            <w:r/>
          </w:p>
        </w:tc>
        <w:tc>
          <w:tcPr>
            <w:tcW w:w="1072" w:type="dxa"/>
            <w:vAlign w:val="center"/>
            <w:textDirection w:val="lrTb"/>
            <w:noWrap w:val="false"/>
          </w:tcPr>
          <w:p>
            <w:pPr>
              <w:ind w:left="26" w:right="90"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现场文明施工情况</w:t>
            </w:r>
            <w:r/>
          </w:p>
        </w:tc>
        <w:tc>
          <w:tcPr>
            <w:gridSpan w:val="2"/>
            <w:tcW w:w="5729"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需配备专职的安全人员。未配备或配备不满足要求的扣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按规定进行全员安全教育。否则扣1分/次。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养护作业现场内人员必须穿戴干净、整洁并具有反光功能的安全标识服和防护帽。否则扣 0.5分/人次。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养护作业现场应根据规范设置明显安全标志及安全防护，安排专人疏导现场交通。否则扣 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夜间施工时，养护作业区应有足够的照明，并设置频闪警示标志。否则扣 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大面积养护作业现场使用雾炮车等降尘设施。否则扣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养护作业区裸土、堆放易造成扬尘的材料采用符合标准的防尘网覆盖。否则扣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养护作业现场建筑材料集中整齐堆放。否则扣 1分/次。养护作业现场施工完成后需做到工完料尽场地清。否则扣2分/次。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发生承担主要责任以上的安全事故。扣 10分/次。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未对存在安全隐患的市政设施 2小时内消除安全隐患或采取安全防护措施，扣5分/次。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由于施工原因被群众投诉或媒体曝光。扣 5分/次。</w:t>
            </w:r>
            <w:r/>
          </w:p>
        </w:tc>
        <w:tc>
          <w:tcPr>
            <w:tcW w:w="667"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p>
        </w:tc>
        <w:tc>
          <w:tcPr>
            <w:tcW w:w="724"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四</w:t>
            </w:r>
            <w:r/>
          </w:p>
        </w:tc>
        <w:tc>
          <w:tcPr>
            <w:tcW w:w="1072" w:type="dxa"/>
            <w:vAlign w:val="center"/>
            <w:vMerge w:val="restart"/>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巡查考核  情况</w:t>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市政巡查：不定期抽查市政设施的完好情况，核实市政设施损坏的问题是否在上报的问题库中，若不在，发现一处扣 0.5分。</w:t>
            </w:r>
            <w:r/>
          </w:p>
        </w:tc>
        <w:tc>
          <w:tcPr>
            <w:tcW w:w="667"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20</w:t>
            </w:r>
            <w:r/>
          </w:p>
        </w:tc>
        <w:tc>
          <w:tcPr>
            <w:tcW w:w="724"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continue"/>
            <w:textDirection w:val="lrTb"/>
            <w:noWrap w:val="false"/>
          </w:tcPr>
          <w:p>
            <w:pPr>
              <w:ind w:left="26" w:hanging="12"/>
              <w:jc w:val="center"/>
              <w:keepLines w:val="0"/>
              <w:keepNext/>
              <w:pageBreakBefore w:val="0"/>
              <w:spacing w:before="51" w:line="246" w:lineRule="auto"/>
              <w:widowControl/>
            </w:pPr>
            <w:r/>
            <w:r/>
          </w:p>
        </w:tc>
        <w:tc>
          <w:tcPr>
            <w:tcW w:w="1072" w:type="dxa"/>
            <w:vAlign w:val="center"/>
            <w:vMerge w:val="continue"/>
            <w:textDirection w:val="lrTb"/>
            <w:noWrap w:val="false"/>
          </w:tcPr>
          <w:p>
            <w:pPr>
              <w:ind w:left="26" w:hanging="12"/>
              <w:jc w:val="center"/>
              <w:keepLines w:val="0"/>
              <w:keepNext/>
              <w:pageBreakBefore w:val="0"/>
              <w:spacing w:before="51" w:line="246" w:lineRule="auto"/>
              <w:widowControl/>
            </w:pPr>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排水巡查：不定期抽查排水管网及附属设施和河道排口，核实日常巡查日志是否与实际情况相符，若不相符，发现一次扣0.5分。</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按要求合理配足巡查人员，4辆电动车，2辆汽车。未按要求配足人员和车辆，每缺一次扣 1分。</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90"/>
        </w:trPr>
        <w:tc>
          <w:tcPr>
            <w:tcW w:w="656"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五</w:t>
            </w:r>
            <w:r/>
          </w:p>
        </w:tc>
        <w:tc>
          <w:tcPr>
            <w:tcW w:w="1072"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加分项</w:t>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新闻媒体表扬或正面宣传的，加 2分/次</w:t>
            </w:r>
            <w:r/>
          </w:p>
        </w:tc>
        <w:tc>
          <w:tcPr>
            <w:tcW w:w="667" w:type="dxa"/>
            <w:vAlign w:val="center"/>
            <w:vMerge w:val="restart"/>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05"/>
        </w:trPr>
        <w:tc>
          <w:tcPr>
            <w:tcW w:w="656" w:type="dxa"/>
            <w:vAlign w:val="center"/>
            <w:vMerge w:val="continue"/>
            <w:textDirection w:val="lrTb"/>
            <w:noWrap w:val="false"/>
          </w:tcPr>
          <w:p>
            <w:pPr>
              <w:ind w:left="26" w:hanging="12"/>
              <w:keepLines w:val="0"/>
              <w:keepNext/>
              <w:pageBreakBefore w:val="0"/>
              <w:spacing w:before="51" w:line="246" w:lineRule="auto"/>
              <w:widowControl/>
            </w:pPr>
            <w:r/>
            <w:r/>
          </w:p>
        </w:tc>
        <w:tc>
          <w:tcPr>
            <w:tcW w:w="1072" w:type="dxa"/>
            <w:vAlign w:val="center"/>
            <w:vMerge w:val="continue"/>
            <w:textDirection w:val="lrTb"/>
            <w:noWrap w:val="false"/>
          </w:tcPr>
          <w:p>
            <w:pPr>
              <w:ind w:left="26" w:hanging="12"/>
              <w:keepLines w:val="0"/>
              <w:keepNext/>
              <w:pageBreakBefore w:val="0"/>
              <w:spacing w:before="51" w:line="246" w:lineRule="auto"/>
              <w:widowControl/>
            </w:pPr>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不在养护范围内的突击应急工作，加2分/次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50"/>
        </w:trPr>
        <w:tc>
          <w:tcPr>
            <w:tcW w:w="656" w:type="dxa"/>
            <w:vAlign w:val="center"/>
            <w:textDirection w:val="lrTb"/>
            <w:noWrap w:val="false"/>
          </w:tcPr>
          <w:p>
            <w:pPr>
              <w:ind w:left="26" w:hanging="12"/>
              <w:keepLines w:val="0"/>
              <w:keepNext/>
              <w:pageBreakBefore w:val="0"/>
              <w:spacing w:before="51" w:line="246" w:lineRule="auto"/>
              <w:widowControl/>
            </w:pPr>
            <w:r/>
            <w:r/>
          </w:p>
        </w:tc>
        <w:tc>
          <w:tcPr>
            <w:tcW w:w="1072" w:type="dxa"/>
            <w:vAlign w:val="center"/>
            <w:textDirection w:val="lrTb"/>
            <w:noWrap w:val="false"/>
          </w:tcPr>
          <w:p>
            <w:pPr>
              <w:ind w:left="26" w:hanging="12"/>
              <w:jc w:val="center"/>
              <w:keepLines w:val="0"/>
              <w:keepNext/>
              <w:pageBreakBefore w:val="0"/>
              <w:spacing w:before="51" w:line="246" w:lineRule="auto"/>
              <w:widowControl/>
              <w:rPr>
                <w:rFonts w:hint="eastAsia" w:eastAsia="宋体"/>
                <w:lang w:val="en-US" w:eastAsia="zh-CN"/>
              </w:rPr>
            </w:pPr>
            <w:r>
              <w:rPr>
                <w:rFonts w:hint="eastAsia"/>
                <w:lang w:val="en-US" w:eastAsia="zh-CN"/>
              </w:rPr>
              <w:t xml:space="preserve">合计</w:t>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7"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100</w:t>
            </w:r>
            <w:r/>
          </w:p>
        </w:tc>
        <w:tc>
          <w:tcPr>
            <w:tcW w:w="724"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40"/>
        </w:trPr>
        <w:tc>
          <w:tcPr>
            <w:gridSpan w:val="7"/>
            <w:tcW w:w="9517"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注：80分（含）合格，每扣1分扣服务商500元服务费。</w:t>
            </w:r>
            <w:r/>
          </w:p>
        </w:tc>
      </w:tr>
    </w:tbl>
    <w:p>
      <w:pPr>
        <w:pStyle w:val="1143"/>
        <w:rPr>
          <w:color w:val="000000"/>
          <w:highlight w:val="none"/>
        </w:rPr>
        <w:sectPr>
          <w:footerReference w:type="default" r:id="rId16"/>
          <w:footnotePr/>
          <w:endnotePr/>
          <w:type w:val="nextPage"/>
          <w:pgSz w:w="11910" w:h="16840" w:orient="portrait"/>
          <w:pgMar w:top="1431" w:right="1264" w:bottom="1134" w:left="1361" w:header="0" w:footer="991" w:gutter="0"/>
          <w:cols w:num="1" w:sep="0" w:space="1701" w:equalWidth="1"/>
          <w:docGrid w:linePitch="360"/>
        </w:sectPr>
      </w:pPr>
      <w:r>
        <w:rPr>
          <w:color w:val="000000"/>
          <w:highlight w:val="none"/>
        </w:rPr>
      </w:r>
      <w:r/>
    </w:p>
    <w:tbl>
      <w:tblPr>
        <w:tblStyle w:val="940"/>
        <w:tblpPr w:horzAnchor="page" w:tblpX="1362" w:vertAnchor="text" w:tblpY="97" w:leftFromText="180" w:topFromText="0" w:rightFromText="180" w:bottomFromText="0"/>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1455"/>
        <w:gridCol w:w="2160"/>
        <w:gridCol w:w="1485"/>
        <w:gridCol w:w="1395"/>
        <w:gridCol w:w="1230"/>
        <w:gridCol w:w="925"/>
      </w:tblGrid>
      <w:tr>
        <w:trPr>
          <w:trHeight w:val="522"/>
        </w:trPr>
        <w:tc>
          <w:tcPr>
            <w:gridSpan w:val="7"/>
            <w:tcBorders>
              <w:top w:val="none" w:color="000000" w:sz="4" w:space="0"/>
              <w:left w:val="none" w:color="000000" w:sz="4" w:space="0"/>
              <w:bottom w:val="none" w:color="000000" w:sz="4" w:space="0"/>
              <w:right w:val="none" w:color="000000" w:sz="4" w:space="0"/>
            </w:tcBorders>
            <w:tcW w:w="9400" w:type="dxa"/>
            <w:vAlign w:val="center"/>
            <w:textDirection w:val="lrTb"/>
            <w:noWrap/>
          </w:tcPr>
          <w:p>
            <w:pPr>
              <w:jc w:val="lef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附件2：园区市政养护明细</w:t>
            </w:r>
            <w:r/>
          </w:p>
        </w:tc>
      </w:tr>
      <w:tr>
        <w:trPr>
          <w:trHeight w:val="10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55" w:type="dxa"/>
            <w:vAlign w:val="center"/>
            <w:textDirection w:val="lrTb"/>
            <w:noWrap/>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路名</w:t>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路段</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污水管长度（米）</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雨水管长度（米）</w:t>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道路长度</w:t>
            </w:r>
            <w:r/>
          </w:p>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（公里）</w:t>
            </w:r>
            <w:r/>
          </w:p>
        </w:tc>
        <w:tc>
          <w:tcPr>
            <w:tcBorders>
              <w:top w:val="single" w:color="000000" w:sz="4" w:space="0"/>
              <w:left w:val="none" w:color="000000" w:sz="4" w:space="0"/>
              <w:bottom w:val="single" w:color="000000" w:sz="4" w:space="0"/>
              <w:right w:val="single" w:color="000000" w:sz="4" w:space="0"/>
            </w:tcBorders>
            <w:tcW w:w="925" w:type="dxa"/>
            <w:vAlign w:val="center"/>
            <w:textDirection w:val="lrTb"/>
            <w:noWrap/>
          </w:tcPr>
          <w:p>
            <w:pPr>
              <w:jc w:val="center"/>
              <w:keepLines w:val="0"/>
              <w:keepNext w:val="0"/>
              <w:pageBreakBefore w:val="0"/>
              <w:spacing w:line="240" w:lineRule="auto"/>
              <w:widowControl/>
              <w:rPr>
                <w:rFonts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桥梁（座）</w:t>
            </w:r>
            <w:r/>
          </w:p>
        </w:tc>
      </w:tr>
      <w:tr>
        <w:trPr>
          <w:trHeight w:val="42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丹阳门北路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盐港路-良常路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2540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2.54</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西城路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盐港路-良常路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1283</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1283</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1.283</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红山路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西城路-金沙大道</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1879</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1879</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1.879</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荆元路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圩门路-红山路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1694</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1694</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1.694</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后关路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圩门路-荆元路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1661</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1661</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1.661</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圩门路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白塔路-S241</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1089</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1089</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1.089</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西园路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荆元路-S241</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527</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527</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0.527</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54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道歧路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荆元路-后关路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500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500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0.5</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后关路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金沙大道-新潘路</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0.42</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新潘路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金沙大道-金城大道</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2.4</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402"/>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元巷西路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金沙大道西侧</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1.6</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r>
      <w:tr>
        <w:trPr>
          <w:trHeight w:val="540"/>
        </w:trPr>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p>
        </w:tc>
        <w:tc>
          <w:tcPr>
            <w:tcBorders>
              <w:top w:val="non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临港路</w:t>
            </w:r>
            <w:r/>
          </w:p>
        </w:tc>
        <w:tc>
          <w:tcPr>
            <w:tcBorders>
              <w:top w:val="non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元巷西路南侧</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0.8</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p>
        </w:tc>
      </w:tr>
      <w:tr>
        <w:trPr>
          <w:trHeight w:val="402"/>
        </w:trPr>
        <w:tc>
          <w:tcPr>
            <w:gridSpan w:val="3"/>
            <w:tcBorders>
              <w:top w:val="none" w:color="000000" w:sz="4" w:space="0"/>
              <w:left w:val="single" w:color="000000" w:sz="4" w:space="0"/>
              <w:bottom w:val="single" w:color="000000" w:sz="4" w:space="0"/>
              <w:right w:val="single" w:color="000000" w:sz="4" w:space="0"/>
            </w:tcBorders>
            <w:tcW w:w="436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合计</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8633</w:t>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11173</w:t>
            </w:r>
            <w:r/>
          </w:p>
        </w:tc>
        <w:tc>
          <w:tcPr>
            <w:tcBorders>
              <w:top w:val="non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16.393</w:t>
            </w:r>
            <w:r/>
          </w:p>
        </w:tc>
        <w:tc>
          <w:tcPr>
            <w:tcBorders>
              <w:top w:val="none" w:color="000000" w:sz="4" w:space="0"/>
              <w:left w:val="non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line="240" w:lineRule="auto"/>
              <w:widowControl/>
              <w:rPr>
                <w:rFonts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bl>
    <w:p>
      <w:pPr>
        <w:keepLines w:val="0"/>
        <w:keepNext w:val="0"/>
        <w:pageBreakBefore w:val="0"/>
        <w:spacing w:line="240" w:lineRule="auto"/>
      </w:pPr>
      <w:r/>
      <w:r/>
    </w:p>
    <w:p>
      <w:pPr>
        <w:pStyle w:val="1111"/>
        <w:keepLines w:val="0"/>
        <w:keepNext w:val="0"/>
        <w:pageBreakBefore w:val="0"/>
        <w:spacing w:line="240" w:lineRule="auto"/>
        <w:rPr>
          <w:rFonts w:hint="eastAsia" w:ascii="宋体" w:hAnsi="宋体" w:eastAsia="宋体" w:cs="宋体"/>
          <w:color w:val="000000"/>
        </w:rPr>
        <w:sectPr>
          <w:footnotePr/>
          <w:endnotePr/>
          <w:type w:val="nextPage"/>
          <w:pgSz w:w="11910" w:h="16840" w:orient="portrait"/>
          <w:pgMar w:top="1431" w:right="1264" w:bottom="1134" w:left="1361" w:header="0" w:footer="991" w:gutter="0"/>
          <w:cols w:num="1" w:sep="0" w:space="1701" w:equalWidth="1"/>
          <w:docGrid w:linePitch="360"/>
        </w:sectPr>
      </w:pPr>
      <w:r>
        <w:rPr>
          <w:rFonts w:hint="eastAsia" w:ascii="宋体" w:hAnsi="宋体" w:eastAsia="宋体" w:cs="宋体"/>
          <w:color w:val="000000"/>
        </w:rPr>
      </w:r>
      <w:r/>
    </w:p>
    <w:p>
      <w:pPr>
        <w:pStyle w:val="1111"/>
        <w:rPr>
          <w:rFonts w:hint="eastAsia" w:ascii="宋体" w:hAnsi="宋体" w:eastAsia="宋体" w:cs="宋体"/>
          <w:color w:val="000000"/>
        </w:rPr>
      </w:pPr>
      <w:r>
        <w:rPr>
          <w:rFonts w:hint="eastAsia" w:ascii="宋体" w:hAnsi="宋体" w:eastAsia="宋体" w:cs="宋体"/>
          <w:color w:val="000000"/>
        </w:rPr>
        <w:t xml:space="preserve">第五章合同草案条款</w:t>
      </w:r>
      <w:bookmarkEnd w:id="630"/>
      <w:r/>
      <w:bookmarkEnd w:id="631"/>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jc w:val="center"/>
        <w:rPr>
          <w:rFonts w:hint="eastAsia" w:ascii="宋体" w:hAnsi="宋体" w:eastAsia="宋体" w:cs="宋体"/>
          <w:color w:val="000000"/>
          <w:sz w:val="36"/>
          <w:szCs w:val="36"/>
          <w:highlight w:val="none"/>
        </w:rPr>
      </w:pPr>
      <w:r/>
      <w:bookmarkStart w:id="632" w:name="_Toc104818930"/>
      <w:r/>
      <w:bookmarkStart w:id="633" w:name="_Toc123719650"/>
      <w:r/>
      <w:r/>
    </w:p>
    <w:p>
      <w:pPr>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36"/>
          <w:szCs w:val="36"/>
          <w:highlight w:val="none"/>
        </w:rPr>
        <w:t xml:space="preserve">合同协议书</w:t>
      </w:r>
      <w:r/>
    </w:p>
    <w:p>
      <w:pPr>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63"/>
        <w:rPr>
          <w:rFonts w:hint="eastAsia" w:eastAsia="宋体"/>
          <w:lang w:eastAsia="zh-CN"/>
        </w:rPr>
      </w:pPr>
      <w:r>
        <w:rPr>
          <w:rFonts w:hint="eastAsia" w:eastAsia="宋体"/>
          <w:lang w:eastAsia="zh-CN"/>
        </w:rPr>
      </w:r>
      <w:r/>
    </w:p>
    <w:p>
      <w:pPr>
        <w:rPr>
          <w:rFonts w:hint="eastAsia"/>
          <w:lang w:eastAsia="zh-CN"/>
        </w:rPr>
      </w:pPr>
      <w:r>
        <w:rPr>
          <w:rFonts w:hint="eastAsia"/>
          <w:lang w:eastAsia="zh-CN"/>
        </w:rPr>
      </w:r>
      <w:r/>
    </w:p>
    <w:p>
      <w:pPr>
        <w:rPr>
          <w:rFonts w:hint="eastAsia"/>
        </w:rPr>
      </w:pPr>
      <w:r>
        <w:rPr>
          <w:rFonts w:hint="eastAsia"/>
        </w:rPr>
      </w:r>
      <w:r/>
    </w:p>
    <w:p>
      <w:pPr>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1680"/>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p>
    <w:p>
      <w:pPr>
        <w:ind w:firstLine="1680"/>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u w:val="single"/>
        </w:rPr>
        <w:t xml:space="preserve">                              </w:t>
      </w:r>
      <w:r/>
    </w:p>
    <w:p>
      <w:pPr>
        <w:ind w:firstLine="1680"/>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合同编号：</w:t>
      </w:r>
      <w:r>
        <w:rPr>
          <w:rFonts w:hint="eastAsia" w:ascii="宋体" w:hAnsi="宋体" w:eastAsia="宋体" w:cs="宋体"/>
          <w:color w:val="000000"/>
          <w:sz w:val="28"/>
          <w:szCs w:val="28"/>
          <w:highlight w:val="none"/>
          <w:u w:val="single"/>
        </w:rPr>
        <w:t xml:space="preserve">                              </w:t>
      </w:r>
      <w:r/>
    </w:p>
    <w:p>
      <w:pPr>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1680"/>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采购人（甲方）：</w:t>
      </w:r>
      <w:r>
        <w:rPr>
          <w:rFonts w:hint="eastAsia" w:ascii="宋体" w:hAnsi="宋体" w:eastAsia="宋体" w:cs="宋体"/>
          <w:color w:val="000000"/>
          <w:sz w:val="28"/>
          <w:szCs w:val="28"/>
          <w:highlight w:val="none"/>
          <w:u w:val="single"/>
        </w:rPr>
        <w:t xml:space="preserve">                        </w:t>
      </w:r>
      <w:r/>
    </w:p>
    <w:p>
      <w:pPr>
        <w:pStyle w:val="1122"/>
        <w:ind w:firstLine="1680"/>
        <w:spacing w:before="0" w:beforeAutospacing="0" w:after="0" w:afterAutospacing="0" w:line="600" w:lineRule="auto"/>
        <w:rPr>
          <w:rFonts w:hint="eastAsia" w:ascii="宋体" w:hAnsi="宋体" w:eastAsia="宋体" w:cs="宋体"/>
          <w:color w:val="000000"/>
        </w:rPr>
      </w:pPr>
      <w:r>
        <w:rPr>
          <w:rFonts w:hint="eastAsia" w:ascii="宋体" w:hAnsi="宋体" w:eastAsia="宋体" w:cs="宋体"/>
          <w:color w:val="000000"/>
          <w:sz w:val="28"/>
          <w:szCs w:val="28"/>
          <w:highlight w:val="none"/>
        </w:rPr>
        <w:t xml:space="preserve">中标供应商（乙方）：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b/>
          <w:color w:val="000000"/>
          <w:sz w:val="32"/>
          <w:szCs w:val="32"/>
          <w:lang w:val="en-US" w:eastAsia="zh-CN"/>
        </w:rPr>
        <w:t xml:space="preserve"> </w:t>
      </w:r>
      <w:r/>
    </w:p>
    <w:p>
      <w:pPr>
        <w:ind w:firstLine="1985"/>
        <w:rPr>
          <w:rFonts w:hint="eastAsia" w:ascii="宋体" w:hAnsi="宋体" w:eastAsia="宋体" w:cs="宋体"/>
          <w:b/>
          <w:bCs/>
          <w:color w:val="000000"/>
          <w:sz w:val="32"/>
        </w:rPr>
      </w:pPr>
      <w:r>
        <w:rPr>
          <w:rFonts w:hint="eastAsia" w:ascii="宋体" w:hAnsi="宋体" w:eastAsia="宋体" w:cs="宋体"/>
          <w:b/>
          <w:bCs/>
          <w:color w:val="000000"/>
          <w:sz w:val="32"/>
        </w:rPr>
      </w:r>
      <w:r/>
    </w:p>
    <w:p>
      <w:pPr>
        <w:jc w:val="center"/>
        <w:rPr>
          <w:rFonts w:hint="eastAsia" w:ascii="宋体" w:hAnsi="宋体" w:eastAsia="宋体" w:cs="宋体"/>
          <w:bCs/>
          <w:color w:val="000000"/>
          <w:sz w:val="32"/>
          <w:u w:val="single"/>
          <w:lang w:val="en-US" w:eastAsia="zh-CN"/>
        </w:rPr>
      </w:pPr>
      <w:r>
        <w:rPr>
          <w:rFonts w:hint="eastAsia" w:ascii="宋体" w:hAnsi="宋体" w:eastAsia="宋体" w:cs="宋体"/>
          <w:color w:val="000000"/>
          <w:sz w:val="28"/>
          <w:szCs w:val="28"/>
          <w:highlight w:val="none"/>
          <w:lang w:val="en-US" w:eastAsia="zh-CN" w:bidi="ar-SA"/>
        </w:rPr>
        <w:t xml:space="preserve">签订日期：    年   月   日</w:t>
      </w:r>
      <w:r/>
    </w:p>
    <w:p>
      <w:pPr>
        <w:jc w:val="both"/>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jc w:val="center"/>
        <w:spacing w:afterAutospacing="0" w:line="570" w:lineRule="exact"/>
        <w:rPr>
          <w:rFonts w:hint="eastAsia" w:ascii="宋体" w:hAnsi="宋体" w:eastAsia="宋体" w:cs="宋体"/>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rPr>
        <w:t xml:space="preserve">常州市政府采购合同（服务）（合同编号）</w:t>
      </w:r>
      <w:r/>
    </w:p>
    <w:p>
      <w:pPr>
        <w:spacing w:before="183" w:before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2026年度金科园西区市政养护项目</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spacing w:line="360" w:lineRule="auto"/>
        <w:rPr>
          <w:rFonts w:hint="default"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甲方：</w:t>
      </w:r>
      <w:r>
        <w:rPr>
          <w:rFonts w:hint="eastAsia" w:ascii="宋体" w:hAnsi="宋体" w:cs="宋体"/>
          <w:color w:val="000000"/>
          <w:sz w:val="21"/>
          <w:szCs w:val="21"/>
          <w:highlight w:val="none"/>
          <w:u w:val="single"/>
          <w:lang w:val="en-US" w:eastAsia="zh-CN"/>
        </w:rPr>
        <w:t xml:space="preserve">                 </w:t>
      </w:r>
      <w:r/>
    </w:p>
    <w:p>
      <w:pPr>
        <w:spacing w:line="360" w:lineRule="auto"/>
        <w:rPr>
          <w:rFonts w:hint="default"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w:t>
      </w:r>
      <w:r>
        <w:rPr>
          <w:rFonts w:hint="eastAsia" w:ascii="宋体" w:hAnsi="宋体" w:cs="宋体"/>
          <w:color w:val="000000"/>
          <w:sz w:val="21"/>
          <w:szCs w:val="21"/>
          <w:highlight w:val="none"/>
          <w:u w:val="single"/>
          <w:lang w:val="en-US" w:eastAsia="zh-CN"/>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cs="宋体"/>
          <w:color w:val="000000"/>
          <w:sz w:val="21"/>
          <w:szCs w:val="21"/>
          <w:highlight w:val="none"/>
          <w:u w:val="single"/>
          <w:lang w:val="en-US" w:eastAsia="zh-CN"/>
        </w:rPr>
        <w:t xml:space="preserve">2026年度金科园西区市政养护项目</w:t>
      </w:r>
      <w:r>
        <w:rPr>
          <w:rFonts w:hint="eastAsia" w:ascii="宋体" w:hAnsi="宋体" w:cs="宋体"/>
          <w:color w:val="000000"/>
          <w:sz w:val="21"/>
          <w:szCs w:val="21"/>
          <w:highlight w:val="none"/>
          <w:u w:val="none"/>
          <w:lang w:val="en-US" w:eastAsia="zh-CN"/>
        </w:rPr>
        <w:t xml:space="preserve">竞争性磋商</w:t>
      </w:r>
      <w:r>
        <w:rPr>
          <w:rFonts w:hint="eastAsia" w:ascii="宋体" w:hAnsi="宋体" w:eastAsia="宋体" w:cs="宋体"/>
          <w:color w:val="000000"/>
          <w:sz w:val="21"/>
          <w:szCs w:val="21"/>
          <w:highlight w:val="none"/>
        </w:rPr>
        <w:t xml:space="preserve">的结果，签署本合同。</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一、合同内容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标的名称：</w:t>
      </w:r>
      <w:r>
        <w:rPr>
          <w:rFonts w:hint="eastAsia" w:ascii="宋体" w:hAnsi="宋体" w:cs="宋体"/>
          <w:color w:val="000000"/>
          <w:sz w:val="21"/>
          <w:szCs w:val="21"/>
          <w:highlight w:val="none"/>
          <w:lang w:eastAsia="zh-CN"/>
        </w:rPr>
        <w:t xml:space="preserve">2026年度金科园西区市政养护项目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1.2标的质量：</w:t>
      </w:r>
      <w:r>
        <w:rPr>
          <w:rFonts w:hint="eastAsia" w:ascii="宋体" w:hAnsi="宋体" w:eastAsia="宋体" w:cs="宋体"/>
          <w:color w:val="000000"/>
          <w:sz w:val="21"/>
          <w:szCs w:val="21"/>
          <w:highlight w:val="none"/>
          <w:lang w:val="en-US" w:eastAsia="zh-CN"/>
        </w:rPr>
        <w:t xml:space="preserve">合格</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标的数量（规模）：</w:t>
      </w:r>
      <w:r/>
    </w:p>
    <w:tbl>
      <w:tblPr>
        <w:tblStyle w:val="940"/>
        <w:tblpPr w:horzAnchor="margin" w:tblpX="403" w:vertAnchor="text" w:tblpY="173" w:leftFromText="180" w:topFromText="0" w:rightFromText="180" w:bottomFromText="0"/>
        <w:tblW w:w="465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403"/>
        <w:gridCol w:w="3583"/>
        <w:gridCol w:w="748"/>
        <w:gridCol w:w="733"/>
      </w:tblGrid>
      <w:tr>
        <w:trPr>
          <w:trHeight w:val="457"/>
        </w:trPr>
        <w:tc>
          <w:tcPr>
            <w:tcW w:w="7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序号</w:t>
            </w:r>
            <w:r/>
          </w:p>
        </w:tc>
        <w:tc>
          <w:tcPr>
            <w:tcW w:w="340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项目编号</w:t>
            </w:r>
            <w:r/>
          </w:p>
        </w:tc>
        <w:tc>
          <w:tcPr>
            <w:tcW w:w="35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服务需求名称（标的名称）</w:t>
            </w:r>
            <w:r/>
          </w:p>
        </w:tc>
        <w:tc>
          <w:tcPr>
            <w:tcW w:w="7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数量</w:t>
            </w:r>
            <w:r/>
          </w:p>
        </w:tc>
        <w:tc>
          <w:tcPr>
            <w:tcW w:w="7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单位</w:t>
            </w:r>
            <w:r/>
          </w:p>
        </w:tc>
      </w:tr>
      <w:tr>
        <w:trPr>
          <w:trHeight w:val="527"/>
        </w:trPr>
        <w:tc>
          <w:tcPr>
            <w:tcW w:w="70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1</w:t>
            </w:r>
            <w:r/>
          </w:p>
        </w:tc>
        <w:tc>
          <w:tcPr>
            <w:tcW w:w="3404" w:type="dxa"/>
            <w:vAlign w:val="center"/>
            <w:textDirection w:val="lrTb"/>
            <w:noWrap w:val="false"/>
          </w:tcPr>
          <w:p>
            <w:p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rPr>
              <w:outlineLvl w:val="9"/>
              <w:suppressLineNumbers w:val="0"/>
            </w:pPr>
            <w:r>
              <w:rPr>
                <w:rFonts w:hint="eastAsia" w:ascii="宋体" w:hAnsi="宋体" w:eastAsia="宋体" w:cs="宋体"/>
                <w:bCs/>
                <w:color w:val="000000"/>
                <w:sz w:val="21"/>
                <w:szCs w:val="21"/>
                <w:highlight w:val="none"/>
                <w:lang w:val="en-US" w:eastAsia="zh-CN"/>
              </w:rPr>
            </w:r>
            <w:r/>
          </w:p>
        </w:tc>
        <w:tc>
          <w:tcPr>
            <w:tcW w:w="358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cs="宋体"/>
                <w:color w:val="000000"/>
                <w:sz w:val="21"/>
                <w:szCs w:val="21"/>
                <w:highlight w:val="none"/>
                <w:lang w:eastAsia="zh-CN"/>
              </w:rPr>
              <w:t xml:space="preserve">2026年度金科园西区市政养护项目</w:t>
            </w:r>
            <w:r/>
          </w:p>
        </w:tc>
        <w:tc>
          <w:tcPr>
            <w:tcW w:w="7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7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t xml:space="preserve">项</w:t>
            </w:r>
            <w:r/>
          </w:p>
        </w:tc>
      </w:tr>
    </w:tbl>
    <w:p>
      <w:pPr>
        <w:ind w:firstLine="420"/>
        <w:spacing w:before="183" w:before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1.4 履行时间（期限）：</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lang w:val="en-US" w:eastAsia="zh-CN"/>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年</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lang w:val="en-US" w:eastAsia="zh-CN"/>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月</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u w:val="single"/>
          <w:lang w:val="en-US" w:eastAsia="zh-CN"/>
        </w:rPr>
        <w:t xml:space="preserve">  </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日到</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年</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月</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日；</w:t>
      </w:r>
      <w:r>
        <w:rPr>
          <w:rFonts w:hint="eastAsia" w:ascii="宋体" w:hAnsi="宋体" w:eastAsia="宋体" w:cs="Times New Roman"/>
          <w:color w:val="000000"/>
          <w:szCs w:val="24"/>
          <w:highlight w:val="none"/>
          <w:lang w:val="en-US" w:eastAsia="zh-CN"/>
        </w:rPr>
        <w:t xml:space="preserve">年度合同履约总额（即承包人送审金额）达到180万元时，年度合同将自动终止</w:t>
      </w:r>
      <w:r>
        <w:rPr>
          <w:rFonts w:hint="eastAsia" w:ascii="宋体" w:hAnsi="宋体" w:eastAsia="宋体" w:cs="Times New Roman"/>
          <w:color w:val="000000"/>
          <w:szCs w:val="24"/>
          <w:highlight w:val="none"/>
        </w:rPr>
        <w:t xml:space="preserve">。（注：以先达到者为准）</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1.5 履行地点：</w:t>
      </w:r>
      <w:r>
        <w:rPr>
          <w:rFonts w:hint="eastAsia" w:ascii="宋体" w:hAnsi="宋体" w:eastAsia="宋体" w:cs="宋体"/>
          <w:color w:val="000000"/>
          <w:sz w:val="21"/>
          <w:szCs w:val="21"/>
          <w:highlight w:val="none"/>
          <w:lang w:val="en-US" w:eastAsia="zh-CN"/>
        </w:rPr>
        <w:t xml:space="preserve">金坛区</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二、合同金额</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 本合同中标优惠率为：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%，人民币价款为180万元/年。</w:t>
      </w:r>
      <w:r/>
    </w:p>
    <w:p>
      <w:pPr>
        <w:ind w:firstLine="420"/>
        <w:spacing w:line="40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2.2</w:t>
      </w:r>
      <w:r>
        <w:rPr>
          <w:rFonts w:hint="eastAsia" w:ascii="宋体" w:hAnsi="宋体" w:eastAsia="宋体" w:cs="Times New Roman"/>
          <w:color w:val="000000"/>
          <w:szCs w:val="24"/>
          <w:highlight w:val="none"/>
        </w:rPr>
        <w:t xml:space="preserve">本合同服务期限内合同固定</w:t>
      </w:r>
      <w:r>
        <w:rPr>
          <w:rFonts w:hint="eastAsia" w:ascii="宋体" w:hAnsi="宋体" w:eastAsia="宋体" w:cs="Times New Roman"/>
          <w:color w:val="000000"/>
          <w:szCs w:val="24"/>
          <w:highlight w:val="none"/>
          <w:lang w:val="en-US" w:eastAsia="zh-CN"/>
        </w:rPr>
        <w:t xml:space="preserve">优惠</w:t>
      </w:r>
      <w:r>
        <w:rPr>
          <w:rFonts w:hint="eastAsia" w:ascii="宋体" w:hAnsi="宋体" w:eastAsia="宋体" w:cs="Times New Roman"/>
          <w:color w:val="000000"/>
          <w:szCs w:val="24"/>
          <w:highlight w:val="none"/>
        </w:rPr>
        <w:t xml:space="preserve">率不变，有另行规定的除外。按实结算项目的结算金额以项目完成后审计部门的审计结果作为结算依据。</w:t>
      </w:r>
      <w:r/>
    </w:p>
    <w:p>
      <w:pPr>
        <w:ind w:firstLine="420"/>
        <w:spacing w:line="40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本合同价款采用固定</w:t>
      </w:r>
      <w:r>
        <w:rPr>
          <w:rFonts w:hint="eastAsia" w:ascii="宋体" w:hAnsi="宋体" w:eastAsia="宋体" w:cs="Times New Roman"/>
          <w:color w:val="000000"/>
          <w:szCs w:val="24"/>
          <w:highlight w:val="none"/>
          <w:lang w:val="en-US" w:eastAsia="zh-CN"/>
        </w:rPr>
        <w:t xml:space="preserve">优惠率</w:t>
      </w:r>
      <w:r>
        <w:rPr>
          <w:rFonts w:hint="eastAsia" w:ascii="宋体" w:hAnsi="宋体" w:eastAsia="宋体" w:cs="Times New Roman"/>
          <w:color w:val="000000"/>
          <w:szCs w:val="24"/>
          <w:highlight w:val="none"/>
        </w:rPr>
        <w:t xml:space="preserve">方式确定。</w:t>
      </w:r>
      <w:r/>
    </w:p>
    <w:p>
      <w:pPr>
        <w:ind w:firstLine="420"/>
        <w:spacing w:line="40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.1工程量按实计量，先由乙方巡查报</w:t>
      </w:r>
      <w:r>
        <w:rPr>
          <w:rFonts w:hint="eastAsia" w:ascii="宋体" w:hAnsi="宋体" w:cs="Times New Roman"/>
          <w:color w:val="000000"/>
          <w:szCs w:val="24"/>
          <w:highlight w:val="none"/>
          <w:lang w:val="en-US" w:eastAsia="zh-CN"/>
        </w:rPr>
        <w:t xml:space="preserve">甲方</w:t>
      </w:r>
      <w:r>
        <w:rPr>
          <w:rFonts w:hint="eastAsia" w:ascii="宋体" w:hAnsi="宋体" w:eastAsia="宋体" w:cs="Times New Roman"/>
          <w:color w:val="000000"/>
          <w:szCs w:val="24"/>
          <w:highlight w:val="none"/>
        </w:rPr>
        <w:t xml:space="preserve">，下发施工通知联系单，最后凭通知联系单和签证单参照中标固定优惠率结算。</w:t>
      </w:r>
      <w:r/>
    </w:p>
    <w:p>
      <w:pPr>
        <w:ind w:firstLine="420"/>
        <w:spacing w:line="400" w:lineRule="exact"/>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2结算原则为：依据《建设工程工程量清单计价规范》（GB50500-2013）、2014年《江苏省市政工程计价定额》、2014年《江苏省安装工程计价定额》、《江苏省2013年市政设施养护维修定额》等计价规则中的标准并按中标固定优惠率进行结算，定额使用顺序按前列顺序，即2014年《江苏省市政工程计价定额》已包含内容套用其定额，没有的，优先套用2014年《江苏省安装工程计价定额》，如仍没有的，套用《江苏省2013年市政设施养护维修定额》，上述定额都不包含的，按相关规定或市场价执行，中标固定优惠率不变。</w:t>
      </w:r>
      <w:r/>
    </w:p>
    <w:p>
      <w:pPr>
        <w:ind w:firstLine="420"/>
        <w:spacing w:line="40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.3要求结算按季度编制，计价材料价格的按项目施工当期常州信息价执行，无信息价的材料由审计确认；人工价格按实施期间的相关文件执行。</w:t>
      </w:r>
      <w:r/>
    </w:p>
    <w:p>
      <w:pPr>
        <w:ind w:firstLine="420"/>
        <w:spacing w:line="40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.4市政设施巡查按照发包方要求执行。市政设施巡查（含道路、管网、河道、退红线区域）</w:t>
      </w:r>
      <w:r>
        <w:rPr>
          <w:rFonts w:hint="eastAsia" w:ascii="宋体" w:hAnsi="宋体" w:eastAsia="宋体" w:cs="Times New Roman"/>
          <w:color w:val="000000"/>
          <w:szCs w:val="24"/>
          <w:highlight w:val="none"/>
          <w:lang w:val="en-US" w:eastAsia="zh-CN"/>
        </w:rPr>
        <w:t xml:space="preserve">6</w:t>
      </w:r>
      <w:r>
        <w:rPr>
          <w:rFonts w:hint="eastAsia" w:ascii="宋体" w:hAnsi="宋体" w:eastAsia="宋体" w:cs="Times New Roman"/>
          <w:color w:val="000000"/>
          <w:szCs w:val="24"/>
          <w:highlight w:val="none"/>
        </w:rPr>
        <w:t xml:space="preserve">万元/年（价格不做调整），每次巡查必须有巡查记录并经甲方签字确认。</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Times New Roman"/>
          <w:color w:val="000000"/>
          <w:szCs w:val="24"/>
          <w:highlight w:val="none"/>
          <w:lang w:val="en-US" w:eastAsia="zh-CN"/>
        </w:rPr>
        <w:t xml:space="preserve">2.3</w:t>
      </w:r>
      <w:r>
        <w:rPr>
          <w:rFonts w:hint="eastAsia" w:ascii="宋体" w:hAnsi="宋体" w:eastAsia="宋体" w:cs="Times New Roman"/>
          <w:color w:val="000000"/>
          <w:szCs w:val="24"/>
          <w:highlight w:val="none"/>
        </w:rPr>
        <w:t xml:space="preserve">.5结算审计以审计机关复核审计结果作为最终结算依据。工程结算经审计审定后，核减率在8%以内（含）的由建设方支付全部审计费；核减率在8%～12%，建设方、承包方各支付一半审计费；核减率在12%以上（不含），由承包方全额支付审计费。前述分段不为累进制。如被列为复核审计项目，以复核审计结果作为最终结算依据。</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三、技术资料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四、知识产权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jc w:val="both"/>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五、产权担保</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5.1 乙方保证所交付的服务（包含与服务相关的货物）的所有权完全属于乙方且无任何抵押、查封等产权瑕疵。</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六、履约保证金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u w:val="single"/>
          <w:lang w:val="en-US" w:eastAsia="zh-CN"/>
        </w:rPr>
        <w:t xml:space="preserve">收取</w:t>
      </w:r>
      <w:r>
        <w:rPr>
          <w:rFonts w:hint="eastAsia" w:ascii="宋体" w:hAnsi="宋体" w:eastAsia="宋体" w:cs="宋体"/>
          <w:color w:val="000000"/>
          <w:sz w:val="21"/>
          <w:szCs w:val="21"/>
          <w:highlight w:val="none"/>
        </w:rPr>
        <w:t xml:space="preserve">履约保证金。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乙方交纳人民币</w:t>
      </w:r>
      <w:r>
        <w:rPr>
          <w:rFonts w:hint="eastAsia" w:ascii="宋体" w:hAnsi="宋体" w:cs="宋体"/>
          <w:color w:val="000000"/>
          <w:sz w:val="21"/>
          <w:szCs w:val="21"/>
          <w:highlight w:val="none"/>
          <w:u w:val="single"/>
          <w:lang w:val="en-US" w:eastAsia="zh-CN"/>
        </w:rPr>
        <w:t xml:space="preserve"> 90000.00 </w:t>
      </w:r>
      <w:r>
        <w:rPr>
          <w:rFonts w:hint="eastAsia" w:ascii="宋体" w:hAnsi="宋体" w:eastAsia="宋体" w:cs="宋体"/>
          <w:color w:val="000000"/>
          <w:sz w:val="21"/>
          <w:szCs w:val="21"/>
          <w:highlight w:val="none"/>
        </w:rPr>
        <w:t xml:space="preserve">元作为本合同的履约保证金。（不得超过合同金额的5%）。供应商可以自主选择以支票、汇票、本票、保函（保险）等非现金形式交纳或提交，按照省市有关文件精神，鼓励优先采用电子履约保函（保险）形式。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 合同履行结束后，甲方应及时退还交纳的履约保证金。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6.2.1履约保证金退还方式：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6.2.2履约保证金退还时间：</w:t>
      </w:r>
      <w:r>
        <w:rPr>
          <w:rFonts w:hint="eastAsia" w:ascii="宋体" w:hAnsi="宋体" w:eastAsia="宋体" w:cs="宋体"/>
          <w:color w:val="000000"/>
          <w:sz w:val="21"/>
          <w:szCs w:val="21"/>
          <w:highlight w:val="none"/>
          <w:u w:val="single"/>
        </w:rPr>
        <w:t xml:space="preserve">项目履约验收合格后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6.2.3履约保证金退还条件：</w:t>
      </w:r>
      <w:r>
        <w:rPr>
          <w:rFonts w:hint="eastAsia" w:ascii="宋体" w:hAnsi="宋体" w:eastAsia="宋体" w:cs="宋体"/>
          <w:color w:val="000000"/>
          <w:sz w:val="21"/>
          <w:szCs w:val="21"/>
          <w:highlight w:val="none"/>
          <w:u w:val="single"/>
        </w:rPr>
        <w:t xml:space="preserve">项目履约验收合格后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6.2.4履约保证金不予退还的情形：</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①违反合同义务且未承担违约责任：  </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②未按时履行违约责任； </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③未能履行与甲方签订的合同，且损失超出保证金金额；</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七、合同转包或分包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乙方不得将合同标的转包给他人履行。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乙方不得将合同标的分包给他人履行。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乙方如有转包或未经甲方同意的分包行为，甲方有权解除合同。</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八、合同款项支付</w:t>
      </w:r>
      <w:r/>
    </w:p>
    <w:p>
      <w:pPr>
        <w:ind w:firstLine="420"/>
        <w:keepLines w:val="0"/>
        <w:keepNext w:val="0"/>
        <w:pageBreakBefore w:val="0"/>
        <w:spacing w:line="360" w:lineRule="auto"/>
        <w:widowControl w:val="off"/>
        <w:rPr>
          <w:rFonts w:ascii="宋体" w:hAnsi="宋体" w:eastAsia="宋体" w:cs="Times New Roman"/>
          <w:b/>
          <w:bCs/>
          <w:color w:val="000000"/>
          <w:szCs w:val="24"/>
          <w:highlight w:val="none"/>
        </w:rPr>
      </w:pPr>
      <w:r>
        <w:rPr>
          <w:rFonts w:hint="eastAsia" w:ascii="宋体" w:hAnsi="宋体" w:eastAsia="宋体" w:cs="宋体"/>
          <w:color w:val="000000"/>
          <w:sz w:val="21"/>
          <w:szCs w:val="21"/>
          <w:highlight w:val="none"/>
        </w:rPr>
        <w:t xml:space="preserve">8.1付款</w:t>
      </w:r>
      <w:r>
        <w:rPr>
          <w:rFonts w:hint="eastAsia" w:ascii="宋体" w:hAnsi="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w:t>
      </w:r>
      <w:r>
        <w:rPr>
          <w:rFonts w:hint="eastAsia" w:ascii="宋体" w:hAnsi="宋体" w:cs="Times New Roman"/>
          <w:b/>
          <w:bCs/>
          <w:color w:val="000000"/>
          <w:szCs w:val="24"/>
          <w:highlight w:val="none"/>
          <w:lang w:eastAsia="zh-CN"/>
        </w:rPr>
        <w:t xml:space="preserve">服务期满后根据审计单位出具的审定单付至审定价的97%</w:t>
      </w:r>
      <w:r>
        <w:rPr>
          <w:rFonts w:hint="eastAsia" w:ascii="宋体" w:hAnsi="宋体" w:eastAsia="宋体" w:cs="Times New Roman"/>
          <w:b/>
          <w:bCs/>
          <w:color w:val="000000"/>
          <w:szCs w:val="24"/>
          <w:highlight w:val="none"/>
        </w:rPr>
        <w:t xml:space="preserve">；剩余3%价款在养护服务质保期（</w:t>
      </w:r>
      <w:r>
        <w:rPr>
          <w:rFonts w:hint="eastAsia" w:ascii="宋体" w:hAnsi="宋体" w:eastAsia="宋体" w:cs="Times New Roman"/>
          <w:b/>
          <w:bCs/>
          <w:color w:val="000000"/>
          <w:szCs w:val="24"/>
          <w:highlight w:val="none"/>
          <w:lang w:val="en-US" w:eastAsia="zh-CN"/>
        </w:rPr>
        <w:t xml:space="preserve">24</w:t>
      </w:r>
      <w:r>
        <w:rPr>
          <w:rFonts w:hint="eastAsia" w:ascii="宋体" w:hAnsi="宋体" w:eastAsia="宋体" w:cs="Times New Roman"/>
          <w:b/>
          <w:bCs/>
          <w:color w:val="000000"/>
          <w:szCs w:val="24"/>
          <w:highlight w:val="none"/>
        </w:rPr>
        <w:t xml:space="preserve">个月）满后，30日内付清。</w:t>
      </w:r>
      <w:r>
        <w:rPr>
          <w:rFonts w:hint="eastAsia" w:ascii="宋体" w:hAnsi="宋体" w:eastAsia="宋体" w:cs="宋体"/>
          <w:b/>
          <w:bCs/>
          <w:color w:val="000000"/>
          <w:szCs w:val="21"/>
          <w:highlight w:val="none"/>
        </w:rPr>
        <w:t xml:space="preserve">如被列为复核审计项目，以复核审计结果作为最终结算依据。</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九、税费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本合同执行中相关的一切税费均由乙方负担。</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十、项目验收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甲方依法组织履约验收工作。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对于实际使用人和甲方分离的项目，甲方邀请实际使用人参与验收。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如有必要，甲方邀请参加本项目的其他供应商或第三方专业机构及专家参与验收，相关意见将作为验收书的参考资料。</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十一、违约责任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甲方无正当理由拒绝接受乙方提供服务的，甲方向乙方偿付拒绝接受服务合同价款总值的违约金。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甲方无故逾期验收和办理合同款项支付手续的,甲方应按逾期付款总额每日向乙方支付违约金。</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乙方所提供服务的标准不符合合同规定及招标文件规定标准的，甲方有权拒绝接受服务，并可单方面解除合同。</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十二、不可抗力事件处理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不可抗力事件发生后，应立即通知对方，并寄送有关权威机构出具的证明。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不可抗力事件延续120天以上，双方应通过友好协商，确定是否继续履行合同。</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十三、解决争议的方法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13.1双方在签订、履行合同中所发生的一切争议，应通过友好协商解决。如协商不成，由</w:t>
      </w:r>
      <w:r>
        <w:rPr>
          <w:rFonts w:hint="eastAsia" w:ascii="宋体" w:hAnsi="宋体" w:cs="宋体"/>
          <w:color w:val="000000"/>
          <w:sz w:val="21"/>
          <w:szCs w:val="21"/>
          <w:highlight w:val="none"/>
          <w:lang w:val="en-US" w:eastAsia="zh-CN"/>
        </w:rPr>
        <w:t xml:space="preserve">常州市金坛区</w:t>
      </w:r>
      <w:r>
        <w:rPr>
          <w:rFonts w:hint="eastAsia" w:ascii="宋体" w:hAnsi="宋体" w:eastAsia="宋体" w:cs="宋体"/>
          <w:color w:val="000000"/>
          <w:sz w:val="21"/>
          <w:szCs w:val="21"/>
          <w:highlight w:val="none"/>
        </w:rPr>
        <w:t xml:space="preserve">人民法院管辖。</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十四、合同生效及其他</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合同经双方法定代表人或授权委托代表人签字并加盖单位公章后生效。</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本合同未尽事宜，遵照《中华人民共和国民法典》</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《中华人民共和国政府采购法》有关条文执行。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份，具有同等法律效力，甲方、乙方各执</w:t>
      </w:r>
      <w:r>
        <w:rPr>
          <w:rFonts w:hint="eastAsia" w:ascii="宋体" w:hAnsi="宋体" w:eastAsia="宋体" w:cs="宋体"/>
          <w:color w:val="000000"/>
          <w:sz w:val="21"/>
          <w:szCs w:val="21"/>
          <w:highlight w:val="none"/>
          <w:lang w:val="en-US" w:eastAsia="zh-CN"/>
        </w:rPr>
        <w:t xml:space="preserve">叁</w:t>
      </w:r>
      <w:r>
        <w:rPr>
          <w:rFonts w:hint="eastAsia" w:ascii="宋体" w:hAnsi="宋体" w:eastAsia="宋体" w:cs="宋体"/>
          <w:color w:val="000000"/>
          <w:sz w:val="21"/>
          <w:szCs w:val="21"/>
          <w:highlight w:val="none"/>
        </w:rPr>
        <w:t xml:space="preserve">份。</w:t>
      </w:r>
      <w:r/>
    </w:p>
    <w:p>
      <w:pPr>
        <w:ind w:firstLine="420"/>
        <w:jc w:val="both"/>
        <w:spacing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十五、其他</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15.1保修及售后服务</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15.1.1乙方应按招标文件规定的服务要求、技术要求、质量标准向甲方提供服务。</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15.1.2质量保证：合格，满足甲方采购要求。</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乙方必须严格按照工程量清单、工程技术要求及有关工程施工规范、规格和标准施工，并无条件的接受甲方委托的监理单位全方位、全过程的监督管理。</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对养护服务响应时间及工程质量要求按相关规范、规定及甲方要求执行。</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本工程过程中的一切安全责任全部由</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负责并承担因此发生的全部费用。</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材料设备供应：由</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负责采购，但乙方应服从甲方或监理组织的抽检、验收，不合格材料由甲方或监理标识后，</w:t>
      </w:r>
      <w:r>
        <w:rPr>
          <w:rFonts w:hint="eastAsia" w:ascii="宋体" w:hAnsi="宋体" w:cs="宋体"/>
          <w:color w:val="000000"/>
          <w:sz w:val="21"/>
          <w:szCs w:val="21"/>
          <w:highlight w:val="none"/>
          <w:lang w:val="en-US" w:eastAsia="zh-CN" w:bidi="ar-SA"/>
        </w:rPr>
        <w:t xml:space="preserve">乙方</w:t>
      </w:r>
      <w:r>
        <w:rPr>
          <w:rFonts w:hint="eastAsia" w:ascii="宋体" w:hAnsi="宋体" w:eastAsia="宋体" w:cs="宋体"/>
          <w:color w:val="000000"/>
          <w:sz w:val="21"/>
          <w:szCs w:val="21"/>
          <w:highlight w:val="none"/>
          <w:lang w:val="en-US" w:eastAsia="zh-CN" w:bidi="ar-SA"/>
        </w:rPr>
        <w:t xml:space="preserve">限时运出场外。</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16其他：</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16.1竣工验收前的成品保护。</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16.2如遇抗洪、抢险、救灾等突发性应急情况，乙方需服从</w:t>
      </w:r>
      <w:r>
        <w:rPr>
          <w:rFonts w:hint="eastAsia" w:ascii="宋体" w:hAnsi="宋体" w:cs="宋体"/>
          <w:color w:val="000000"/>
          <w:sz w:val="21"/>
          <w:szCs w:val="21"/>
          <w:highlight w:val="none"/>
          <w:lang w:val="en-US" w:eastAsia="zh-CN" w:bidi="ar-SA"/>
        </w:rPr>
        <w:t xml:space="preserve">甲方</w:t>
      </w:r>
      <w:r>
        <w:rPr>
          <w:rFonts w:hint="eastAsia" w:ascii="宋体" w:hAnsi="宋体" w:eastAsia="宋体" w:cs="宋体"/>
          <w:color w:val="000000"/>
          <w:sz w:val="21"/>
          <w:szCs w:val="21"/>
          <w:highlight w:val="none"/>
          <w:lang w:val="en-US" w:eastAsia="zh-CN" w:bidi="ar-SA"/>
        </w:rPr>
        <w:t xml:space="preserve">调度，在规定时间内提供人员、机械配合作业（发生费用按实结算）。</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16.3人员考核：乙方项目主要负责人（注册建造师等）施工期间必须常驻现场，如发现中标项目主要负责人未经业主批准不在现场一次扣除违约金2000元人民币，发现三次以上按合同违约处理。</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16.4工程建设过程中乙方办理相关手续，需甲方配合的，乙方从中积极协调，若因乙方而影响手续办理，乙方承担全部责任，拖延一天扣除违约金1000元。同时根据规定须由乙方缴纳的各项费用，乙方必须按时、足额缴纳。</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16.5为协调好各施工单位正常施工，乙方须无条件接受甲方临时调整工程进度，施工用场地。因此发生增加费用，在调整进度或场地时双方协调确定。</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16.6乙方应保证甲方支付的工程款专款专用，不得拖欠民工工资；且按照相关规定向有关部门交纳民工工资保证金。承包人必须按国家和地方规定，与每一位建筑工人签订用工合同，及时足额发放工人工资。否则，乙方同意甲方直接用工程款补足工人工资。并且甲方有权单方面终止合同，并追偿工期违约和信誉等损失。如出现民工至甲方办公室或相关政府部门聚众围堵现象，或进行媒体曝光，每出现一次承包人需向甲方支付违约金10万元。</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16.7乙方必须无条件按照甲方下达的抢修、维修任务并在工期内完成，延期造成的交通安全及其他安全事故由承包人全部负责。</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16.8乙方有义务配合甲方解决各项地方外部矛盾。</w:t>
      </w:r>
      <w:r/>
    </w:p>
    <w:p>
      <w:p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w:t>
      </w:r>
      <w:r/>
    </w:p>
    <w:p>
      <w:p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地址：</w:t>
      </w:r>
      <w:r/>
    </w:p>
    <w:p>
      <w:p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法定代表人或授权代表：</w:t>
      </w:r>
      <w:r/>
    </w:p>
    <w:p>
      <w:p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w:t>
      </w:r>
      <w:r/>
    </w:p>
    <w:p>
      <w:pPr>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bookmarkStart w:id="634" w:name="_Hlt16619369"/>
      <w:r/>
      <w:bookmarkEnd w:id="634"/>
      <w:r/>
      <w:r/>
    </w:p>
    <w:p>
      <w:pPr>
        <w:ind w:firstLine="480"/>
        <w:jc w:val="left"/>
        <w:spacing w:line="400" w:lineRule="exact"/>
        <w:rPr>
          <w:rFonts w:hint="eastAsia" w:eastAsia="宋体" w:cs="宋体"/>
          <w:b/>
          <w:color w:val="000000"/>
          <w:sz w:val="21"/>
        </w:rPr>
      </w:pPr>
      <w:r>
        <w:rPr>
          <w:rFonts w:hint="eastAsia" w:eastAsia="宋体" w:cs="宋体"/>
          <w:b/>
          <w:color w:val="000000"/>
          <w:sz w:val="21"/>
        </w:rPr>
      </w:r>
      <w:r/>
    </w:p>
    <w:p>
      <w:pPr>
        <w:ind w:firstLine="480"/>
        <w:jc w:val="left"/>
        <w:spacing w:line="400" w:lineRule="exact"/>
        <w:rPr>
          <w:rFonts w:hint="eastAsia" w:eastAsia="宋体" w:cs="宋体"/>
          <w:b/>
          <w:color w:val="000000"/>
          <w:sz w:val="21"/>
        </w:rPr>
      </w:pPr>
      <w:r>
        <w:rPr>
          <w:rFonts w:hint="eastAsia" w:eastAsia="宋体" w:cs="宋体"/>
          <w:b/>
          <w:color w:val="000000"/>
          <w:sz w:val="21"/>
        </w:rPr>
      </w:r>
      <w:r/>
    </w:p>
    <w:p>
      <w:pPr>
        <w:ind w:firstLine="480"/>
        <w:jc w:val="left"/>
        <w:spacing w:line="400" w:lineRule="exact"/>
        <w:rPr>
          <w:rFonts w:ascii="宋体" w:hAnsi="宋体" w:cs="Times New Roman"/>
          <w:color w:val="000000"/>
          <w:szCs w:val="21"/>
          <w:highlight w:val="none"/>
        </w:rPr>
      </w:pPr>
      <w:r>
        <w:rPr>
          <w:rFonts w:hint="eastAsia" w:eastAsia="宋体" w:cs="宋体"/>
          <w:b/>
          <w:color w:val="000000"/>
          <w:sz w:val="21"/>
        </w:rPr>
        <w:t xml:space="preserve">注：以上合同供参考，具体以双方协商一致后签订的合同为准。</w:t>
      </w:r>
      <w:r>
        <w:rPr>
          <w:rFonts w:hint="eastAsia" w:ascii="宋体" w:hAnsi="宋体" w:cs="Times New Roman"/>
          <w:color w:val="000000"/>
          <w:szCs w:val="21"/>
          <w:highlight w:val="none"/>
        </w:rPr>
        <w:br w:type="page" w:clear="all"/>
      </w:r>
      <w:r>
        <w:rPr>
          <w:rFonts w:hint="eastAsia" w:ascii="宋体" w:hAnsi="宋体" w:cs="Times New Roman"/>
          <w:color w:val="000000"/>
          <w:szCs w:val="21"/>
          <w:highlight w:val="none"/>
        </w:rPr>
        <w:t xml:space="preserve">附件1：</w:t>
      </w:r>
      <w:r/>
    </w:p>
    <w:p>
      <w:pPr>
        <w:jc w:val="center"/>
        <w:spacing w:line="380" w:lineRule="exact"/>
        <w:rPr>
          <w:rFonts w:ascii="宋体" w:hAnsi="宋体" w:cs="Times New Roman"/>
          <w:b/>
          <w:color w:val="000000"/>
          <w:szCs w:val="21"/>
          <w:highlight w:val="none"/>
        </w:rPr>
      </w:pPr>
      <w:r>
        <w:rPr>
          <w:rFonts w:ascii="宋体" w:hAnsi="宋体" w:cs="Times New Roman"/>
          <w:b/>
          <w:color w:val="000000"/>
          <w:szCs w:val="21"/>
          <w:highlight w:val="none"/>
        </w:rPr>
        <w:t xml:space="preserve">工程质量保修书</w:t>
      </w:r>
      <w:r/>
    </w:p>
    <w:p>
      <w:pPr>
        <w:pStyle w:val="1144"/>
        <w:spacing w:line="320" w:lineRule="exact"/>
        <w:rPr>
          <w:rFonts w:hAnsi="宋体"/>
          <w:color w:val="000000"/>
          <w:szCs w:val="21"/>
          <w:highlight w:val="none"/>
          <w:u w:val="single"/>
        </w:rPr>
      </w:pPr>
      <w:r>
        <w:rPr>
          <w:rFonts w:hint="eastAsia" w:hAnsi="宋体"/>
          <w:color w:val="000000"/>
          <w:szCs w:val="21"/>
          <w:highlight w:val="none"/>
        </w:rPr>
        <w:t xml:space="preserve">    </w:t>
      </w:r>
      <w:r>
        <w:rPr>
          <w:rFonts w:hint="eastAsia" w:hAnsi="宋体"/>
          <w:color w:val="000000"/>
          <w:szCs w:val="21"/>
          <w:highlight w:val="none"/>
          <w:lang w:val="en-US" w:eastAsia="zh-CN"/>
        </w:rPr>
        <w:t xml:space="preserve">甲方</w:t>
      </w:r>
      <w:r>
        <w:rPr>
          <w:rFonts w:hint="eastAsia" w:hAnsi="宋体"/>
          <w:color w:val="000000"/>
          <w:szCs w:val="21"/>
          <w:highlight w:val="none"/>
        </w:rPr>
        <w:t xml:space="preserve">（全称）：</w:t>
      </w:r>
      <w:r/>
    </w:p>
    <w:p>
      <w:pPr>
        <w:pStyle w:val="1144"/>
        <w:spacing w:line="320" w:lineRule="exact"/>
        <w:rPr>
          <w:rFonts w:hAnsi="宋体"/>
          <w:color w:val="000000"/>
          <w:szCs w:val="21"/>
          <w:highlight w:val="none"/>
          <w:u w:val="single"/>
        </w:rPr>
      </w:pPr>
      <w:r>
        <w:rPr>
          <w:rFonts w:hint="eastAsia" w:hAnsi="宋体"/>
          <w:color w:val="000000"/>
          <w:szCs w:val="21"/>
          <w:highlight w:val="none"/>
        </w:rPr>
        <w:t xml:space="preserve">    </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（全称）：</w:t>
      </w:r>
      <w:r/>
    </w:p>
    <w:p>
      <w:pPr>
        <w:pStyle w:val="1144"/>
        <w:ind w:left="280" w:firstLine="290"/>
        <w:spacing w:line="320" w:lineRule="exact"/>
        <w:rPr>
          <w:rFonts w:hAnsi="宋体"/>
          <w:color w:val="000000"/>
          <w:szCs w:val="21"/>
          <w:highlight w:val="none"/>
        </w:rPr>
      </w:pPr>
      <w:r>
        <w:rPr>
          <w:rFonts w:hint="eastAsia" w:hAnsi="宋体"/>
          <w:color w:val="000000"/>
          <w:szCs w:val="21"/>
          <w:highlight w:val="none"/>
        </w:rPr>
        <w:t xml:space="preserve">为保证</w:t>
      </w:r>
      <w:r>
        <w:rPr>
          <w:rFonts w:hint="eastAsia" w:hAnsi="宋体"/>
          <w:color w:val="000000"/>
          <w:szCs w:val="21"/>
          <w:highlight w:val="none"/>
          <w:u w:val="single"/>
        </w:rPr>
        <w:t xml:space="preserve">                </w:t>
      </w:r>
      <w:r>
        <w:rPr>
          <w:rFonts w:hint="eastAsia" w:hAnsi="宋体"/>
          <w:color w:val="000000"/>
          <w:szCs w:val="21"/>
          <w:highlight w:val="none"/>
        </w:rPr>
        <w:t xml:space="preserve">（</w:t>
      </w:r>
      <w:r>
        <w:rPr>
          <w:rFonts w:hint="eastAsia" w:hAnsi="宋体"/>
          <w:color w:val="000000"/>
          <w:szCs w:val="21"/>
          <w:highlight w:val="none"/>
          <w:lang w:val="en-US" w:eastAsia="zh-CN"/>
        </w:rPr>
        <w:t xml:space="preserve">项目</w:t>
      </w:r>
      <w:r>
        <w:rPr>
          <w:rFonts w:hint="eastAsia" w:hAnsi="宋体"/>
          <w:color w:val="000000"/>
          <w:szCs w:val="21"/>
          <w:highlight w:val="none"/>
        </w:rPr>
        <w:t xml:space="preserve">名称）在合理使用期限内正常使用，</w:t>
      </w:r>
      <w:r>
        <w:rPr>
          <w:rFonts w:hint="eastAsia" w:hAnsi="宋体"/>
          <w:color w:val="000000"/>
          <w:szCs w:val="21"/>
          <w:highlight w:val="none"/>
          <w:lang w:val="en-US" w:eastAsia="zh-CN"/>
        </w:rPr>
        <w:t xml:space="preserve">甲方乙方</w:t>
      </w:r>
      <w:r>
        <w:rPr>
          <w:rFonts w:hint="eastAsia" w:hAnsi="宋体"/>
          <w:color w:val="000000"/>
          <w:szCs w:val="21"/>
          <w:highlight w:val="none"/>
        </w:rPr>
        <w:t xml:space="preserve">协商一致签订工程质量保修书。</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在质量保修期内按照有关管理规定及双方约定承担工程质量保修责任。</w:t>
      </w:r>
      <w:r/>
    </w:p>
    <w:p>
      <w:pPr>
        <w:pStyle w:val="1144"/>
        <w:spacing w:line="320" w:lineRule="exact"/>
        <w:rPr>
          <w:rFonts w:hAnsi="宋体"/>
          <w:color w:val="000000"/>
          <w:szCs w:val="21"/>
          <w:highlight w:val="none"/>
        </w:rPr>
      </w:pPr>
      <w:r>
        <w:rPr>
          <w:rFonts w:hint="eastAsia" w:hAnsi="宋体"/>
          <w:color w:val="000000"/>
          <w:szCs w:val="21"/>
          <w:highlight w:val="none"/>
        </w:rPr>
        <w:t xml:space="preserve">    一、工程质量保修范围和内容</w:t>
      </w:r>
      <w:r/>
    </w:p>
    <w:p>
      <w:pPr>
        <w:pStyle w:val="1144"/>
        <w:spacing w:line="320" w:lineRule="exact"/>
        <w:rPr>
          <w:rFonts w:hAnsi="宋体"/>
          <w:color w:val="000000"/>
          <w:szCs w:val="21"/>
          <w:highlight w:val="none"/>
        </w:rPr>
      </w:pPr>
      <w:r>
        <w:rPr>
          <w:rFonts w:hint="eastAsia" w:hAnsi="宋体"/>
          <w:color w:val="000000"/>
          <w:szCs w:val="21"/>
          <w:highlight w:val="none"/>
        </w:rPr>
        <w:t xml:space="preserve">   质量保修范围包括招标清单内的所有项目。具体质量保修内容双方约定如下：</w:t>
      </w:r>
      <w:r>
        <w:rPr>
          <w:rFonts w:hint="eastAsia" w:hAnsi="宋体"/>
          <w:b/>
          <w:color w:val="000000"/>
          <w:szCs w:val="21"/>
          <w:highlight w:val="none"/>
          <w:u w:val="single"/>
        </w:rPr>
        <w:t xml:space="preserve">按现行国家有关法律、法规规定的承包人所有承包范围内项目工程质量缺陷。</w:t>
      </w:r>
      <w:r/>
    </w:p>
    <w:p>
      <w:pPr>
        <w:pStyle w:val="1144"/>
        <w:spacing w:line="320" w:lineRule="exact"/>
        <w:rPr>
          <w:rFonts w:hAnsi="宋体"/>
          <w:color w:val="000000"/>
          <w:szCs w:val="21"/>
          <w:highlight w:val="none"/>
        </w:rPr>
      </w:pPr>
      <w:r>
        <w:rPr>
          <w:rFonts w:hint="eastAsia" w:hAnsi="宋体"/>
          <w:color w:val="000000"/>
          <w:szCs w:val="21"/>
          <w:highlight w:val="none"/>
        </w:rPr>
        <w:t xml:space="preserve">    二、质量保修期</w:t>
      </w:r>
      <w:r/>
    </w:p>
    <w:p>
      <w:pPr>
        <w:pStyle w:val="1144"/>
        <w:spacing w:line="320" w:lineRule="exact"/>
        <w:rPr>
          <w:rFonts w:hAnsi="宋体"/>
          <w:color w:val="000000"/>
          <w:szCs w:val="21"/>
          <w:highlight w:val="none"/>
        </w:rPr>
      </w:pPr>
      <w:r>
        <w:rPr>
          <w:rFonts w:hint="eastAsia" w:hAnsi="宋体"/>
          <w:color w:val="000000"/>
          <w:szCs w:val="21"/>
          <w:highlight w:val="none"/>
        </w:rPr>
        <w:t xml:space="preserve">    质量保修期从工程实际竣工之日算起。分单项竣工验收的工程，按单项工程分别计算质量保修期。</w:t>
      </w:r>
      <w:r/>
    </w:p>
    <w:p>
      <w:pPr>
        <w:pStyle w:val="1144"/>
        <w:spacing w:line="320" w:lineRule="exact"/>
        <w:rPr>
          <w:rFonts w:hAnsi="宋体"/>
          <w:color w:val="000000"/>
          <w:szCs w:val="21"/>
          <w:highlight w:val="none"/>
        </w:rPr>
      </w:pPr>
      <w:r>
        <w:rPr>
          <w:rFonts w:hint="eastAsia" w:hAnsi="宋体"/>
          <w:color w:val="000000"/>
          <w:szCs w:val="21"/>
          <w:highlight w:val="none"/>
        </w:rPr>
        <w:t xml:space="preserve">    双方根据国家有关规定，结合具体工程约定质量保修期如下。</w:t>
      </w:r>
      <w:r/>
    </w:p>
    <w:p>
      <w:pPr>
        <w:pStyle w:val="1144"/>
        <w:ind w:left="840" w:hanging="840"/>
        <w:spacing w:line="320" w:lineRule="exact"/>
        <w:rPr>
          <w:rFonts w:hAnsi="宋体"/>
          <w:color w:val="000000"/>
          <w:szCs w:val="21"/>
          <w:highlight w:val="none"/>
        </w:rPr>
      </w:pPr>
      <w:r>
        <w:rPr>
          <w:rFonts w:hint="eastAsia" w:hAnsi="宋体"/>
          <w:color w:val="000000"/>
          <w:szCs w:val="21"/>
          <w:highlight w:val="none"/>
        </w:rPr>
        <w:t xml:space="preserve">    l、土建工程为</w:t>
      </w:r>
      <w:r>
        <w:rPr>
          <w:rFonts w:hint="eastAsia" w:hAnsi="宋体"/>
          <w:b/>
          <w:bCs/>
          <w:color w:val="000000"/>
          <w:szCs w:val="21"/>
          <w:highlight w:val="none"/>
          <w:u w:val="single"/>
        </w:rPr>
        <w:t xml:space="preserve">房屋的合理使用 </w:t>
      </w:r>
      <w:r>
        <w:rPr>
          <w:rFonts w:hint="eastAsia" w:hAnsi="宋体"/>
          <w:color w:val="000000"/>
          <w:szCs w:val="21"/>
          <w:highlight w:val="none"/>
        </w:rPr>
        <w:t xml:space="preserve">年，屋面防水、墙面、厨房、卫生间渗漏为</w:t>
      </w:r>
      <w:r>
        <w:rPr>
          <w:rFonts w:hint="eastAsia" w:hAnsi="宋体"/>
          <w:b/>
          <w:color w:val="000000"/>
          <w:szCs w:val="21"/>
          <w:highlight w:val="none"/>
          <w:u w:val="single"/>
        </w:rPr>
        <w:t xml:space="preserve">5</w:t>
      </w:r>
      <w:r>
        <w:rPr>
          <w:rFonts w:hint="eastAsia" w:hAnsi="宋体"/>
          <w:color w:val="000000"/>
          <w:szCs w:val="21"/>
          <w:highlight w:val="none"/>
        </w:rPr>
        <w:t xml:space="preserve">年；</w:t>
      </w:r>
      <w:r/>
    </w:p>
    <w:p>
      <w:pPr>
        <w:pStyle w:val="1144"/>
        <w:spacing w:line="320" w:lineRule="exact"/>
        <w:rPr>
          <w:rFonts w:hAnsi="宋体"/>
          <w:color w:val="000000"/>
          <w:szCs w:val="21"/>
          <w:highlight w:val="none"/>
        </w:rPr>
      </w:pPr>
      <w:r>
        <w:rPr>
          <w:rFonts w:hint="eastAsia" w:hAnsi="宋体"/>
          <w:color w:val="000000"/>
          <w:szCs w:val="21"/>
          <w:highlight w:val="none"/>
        </w:rPr>
        <w:t xml:space="preserve">    2、电气管线、上下水管安装工程为</w:t>
      </w:r>
      <w:r>
        <w:rPr>
          <w:rFonts w:hint="eastAsia" w:hAnsi="宋体"/>
          <w:color w:val="000000"/>
          <w:szCs w:val="21"/>
          <w:highlight w:val="none"/>
          <w:u w:val="single"/>
        </w:rPr>
        <w:t xml:space="preserve">  2  </w:t>
      </w:r>
      <w:r>
        <w:rPr>
          <w:rFonts w:hint="eastAsia" w:hAnsi="宋体"/>
          <w:color w:val="000000"/>
          <w:szCs w:val="21"/>
          <w:highlight w:val="none"/>
        </w:rPr>
        <w:t xml:space="preserve">年；</w:t>
      </w:r>
      <w:r/>
    </w:p>
    <w:p>
      <w:pPr>
        <w:pStyle w:val="1144"/>
        <w:spacing w:line="320" w:lineRule="exact"/>
        <w:rPr>
          <w:rFonts w:hAnsi="宋体"/>
          <w:color w:val="000000"/>
          <w:szCs w:val="21"/>
          <w:highlight w:val="none"/>
        </w:rPr>
      </w:pPr>
      <w:r>
        <w:rPr>
          <w:rFonts w:hint="eastAsia" w:hAnsi="宋体"/>
          <w:color w:val="000000"/>
          <w:szCs w:val="21"/>
          <w:highlight w:val="none"/>
        </w:rPr>
        <w:t xml:space="preserve">    3、供热及制冷为</w:t>
      </w:r>
      <w:r>
        <w:rPr>
          <w:rFonts w:hint="eastAsia" w:hAnsi="宋体"/>
          <w:color w:val="000000"/>
          <w:szCs w:val="21"/>
          <w:highlight w:val="none"/>
          <w:u w:val="single"/>
        </w:rPr>
        <w:t xml:space="preserve"> 2</w:t>
      </w:r>
      <w:r>
        <w:rPr>
          <w:rFonts w:hint="eastAsia" w:hAnsi="宋体"/>
          <w:color w:val="000000"/>
          <w:szCs w:val="21"/>
          <w:highlight w:val="none"/>
        </w:rPr>
        <w:t xml:space="preserve">个采暖期及制冷期；</w:t>
      </w:r>
      <w:r/>
    </w:p>
    <w:p>
      <w:pPr>
        <w:pStyle w:val="1144"/>
        <w:ind w:firstLine="480"/>
        <w:spacing w:line="320" w:lineRule="exact"/>
        <w:rPr>
          <w:rFonts w:hAnsi="宋体"/>
          <w:color w:val="000000"/>
          <w:szCs w:val="21"/>
          <w:highlight w:val="none"/>
        </w:rPr>
      </w:pPr>
      <w:r>
        <w:rPr>
          <w:rFonts w:hint="eastAsia" w:hAnsi="宋体"/>
          <w:color w:val="000000"/>
          <w:szCs w:val="21"/>
          <w:highlight w:val="none"/>
        </w:rPr>
        <w:t xml:space="preserve">4、室外的上下水和小区道路等市政公用工程为</w:t>
      </w:r>
      <w:r>
        <w:rPr>
          <w:rFonts w:hint="eastAsia" w:hAnsi="宋体"/>
          <w:color w:val="000000"/>
          <w:szCs w:val="21"/>
          <w:highlight w:val="none"/>
          <w:u w:val="single"/>
        </w:rPr>
        <w:t xml:space="preserve">  2 </w:t>
      </w:r>
      <w:r>
        <w:rPr>
          <w:rFonts w:hint="eastAsia" w:hAnsi="宋体"/>
          <w:color w:val="000000"/>
          <w:szCs w:val="21"/>
          <w:highlight w:val="none"/>
        </w:rPr>
        <w:t xml:space="preserve">年；</w:t>
      </w:r>
      <w:r/>
    </w:p>
    <w:p>
      <w:pPr>
        <w:pStyle w:val="1144"/>
        <w:ind w:firstLine="480"/>
        <w:spacing w:line="320" w:lineRule="exact"/>
        <w:rPr>
          <w:rFonts w:hAnsi="宋体"/>
          <w:color w:val="000000"/>
          <w:szCs w:val="21"/>
          <w:highlight w:val="none"/>
        </w:rPr>
      </w:pPr>
      <w:r>
        <w:rPr>
          <w:rFonts w:hint="eastAsia" w:hAnsi="宋体"/>
          <w:color w:val="000000"/>
          <w:szCs w:val="21"/>
          <w:highlight w:val="none"/>
        </w:rPr>
        <w:t xml:space="preserve">5、本</w:t>
      </w:r>
      <w:r>
        <w:rPr>
          <w:rFonts w:hint="eastAsia" w:hAnsi="宋体"/>
          <w:color w:val="000000"/>
          <w:szCs w:val="21"/>
          <w:highlight w:val="none"/>
          <w:lang w:val="en-US" w:eastAsia="zh-CN"/>
        </w:rPr>
        <w:t xml:space="preserve">项目</w:t>
      </w:r>
      <w:r>
        <w:rPr>
          <w:rFonts w:hint="eastAsia" w:hAnsi="宋体"/>
          <w:color w:val="000000"/>
          <w:szCs w:val="21"/>
          <w:highlight w:val="none"/>
        </w:rPr>
        <w:t xml:space="preserve">质保期为</w:t>
      </w:r>
      <w:r>
        <w:rPr>
          <w:rFonts w:hint="eastAsia" w:hAnsi="宋体"/>
          <w:color w:val="000000"/>
          <w:szCs w:val="21"/>
          <w:highlight w:val="none"/>
          <w:u w:val="single"/>
        </w:rPr>
        <w:t xml:space="preserve">2</w:t>
      </w:r>
      <w:r>
        <w:rPr>
          <w:rFonts w:hint="eastAsia" w:hAnsi="宋体"/>
          <w:color w:val="000000"/>
          <w:szCs w:val="21"/>
          <w:highlight w:val="none"/>
        </w:rPr>
        <w:t xml:space="preserve">年。</w:t>
      </w:r>
      <w:r/>
    </w:p>
    <w:p>
      <w:pPr>
        <w:pStyle w:val="1144"/>
        <w:spacing w:line="320" w:lineRule="exact"/>
        <w:rPr>
          <w:rFonts w:hAnsi="宋体"/>
          <w:color w:val="000000"/>
          <w:szCs w:val="21"/>
          <w:highlight w:val="none"/>
        </w:rPr>
      </w:pPr>
      <w:r>
        <w:rPr>
          <w:rFonts w:hint="eastAsia" w:hAnsi="宋体"/>
          <w:color w:val="000000"/>
          <w:szCs w:val="21"/>
          <w:highlight w:val="none"/>
        </w:rPr>
        <w:t xml:space="preserve">  三、质量保修责任</w:t>
      </w:r>
      <w:r/>
    </w:p>
    <w:p>
      <w:pPr>
        <w:pStyle w:val="1144"/>
        <w:spacing w:line="320" w:lineRule="exact"/>
        <w:rPr>
          <w:rFonts w:hAnsi="宋体"/>
          <w:color w:val="000000"/>
          <w:szCs w:val="21"/>
          <w:highlight w:val="none"/>
        </w:rPr>
      </w:pPr>
      <w:r>
        <w:rPr>
          <w:rFonts w:hint="eastAsia" w:hAnsi="宋体"/>
          <w:color w:val="000000"/>
          <w:szCs w:val="21"/>
          <w:highlight w:val="none"/>
        </w:rPr>
        <w:t xml:space="preserve">    l、属于保修范围和内容的项目，如货物出现质量问题，电话响应无法解决，</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必须在接报修电话</w:t>
      </w:r>
      <w:r>
        <w:rPr>
          <w:rFonts w:hint="eastAsia" w:hAnsi="宋体"/>
          <w:b/>
          <w:color w:val="000000"/>
          <w:szCs w:val="21"/>
          <w:highlight w:val="none"/>
          <w:u w:val="single"/>
        </w:rPr>
        <w:t xml:space="preserve"> 2</w:t>
      </w:r>
      <w:r>
        <w:rPr>
          <w:rFonts w:hint="eastAsia" w:hAnsi="宋体"/>
          <w:color w:val="000000"/>
          <w:szCs w:val="21"/>
          <w:highlight w:val="none"/>
        </w:rPr>
        <w:t xml:space="preserve">小时内到达现场,</w:t>
      </w:r>
      <w:r>
        <w:rPr>
          <w:rFonts w:hint="eastAsia" w:hAnsi="宋体"/>
          <w:b/>
          <w:color w:val="000000"/>
          <w:szCs w:val="21"/>
          <w:highlight w:val="none"/>
          <w:u w:val="single"/>
        </w:rPr>
        <w:t xml:space="preserve">24</w:t>
      </w:r>
      <w:r>
        <w:rPr>
          <w:rFonts w:hint="eastAsia" w:hAnsi="宋体"/>
          <w:color w:val="000000"/>
          <w:szCs w:val="21"/>
          <w:highlight w:val="none"/>
        </w:rPr>
        <w:t xml:space="preserve">小时内解决问题。</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不在约定期限内派人修理，</w:t>
      </w:r>
      <w:r>
        <w:rPr>
          <w:rFonts w:hint="eastAsia" w:hAnsi="宋体"/>
          <w:color w:val="000000"/>
          <w:szCs w:val="21"/>
          <w:highlight w:val="none"/>
          <w:lang w:val="en-US" w:eastAsia="zh-CN"/>
        </w:rPr>
        <w:t xml:space="preserve">甲方</w:t>
      </w:r>
      <w:r>
        <w:rPr>
          <w:rFonts w:hint="eastAsia" w:hAnsi="宋体"/>
          <w:color w:val="000000"/>
          <w:szCs w:val="21"/>
          <w:highlight w:val="none"/>
        </w:rPr>
        <w:t xml:space="preserve">可委托其他人员修理，保修费用从质量保修金内扣除。</w:t>
      </w:r>
      <w:r/>
    </w:p>
    <w:p>
      <w:pPr>
        <w:pStyle w:val="1144"/>
        <w:spacing w:line="320" w:lineRule="exact"/>
        <w:rPr>
          <w:rFonts w:hAnsi="宋体"/>
          <w:color w:val="000000"/>
          <w:szCs w:val="21"/>
          <w:highlight w:val="none"/>
        </w:rPr>
      </w:pPr>
      <w:r>
        <w:rPr>
          <w:rFonts w:hint="eastAsia" w:hAnsi="宋体"/>
          <w:color w:val="000000"/>
          <w:szCs w:val="21"/>
          <w:highlight w:val="none"/>
        </w:rPr>
        <w:t xml:space="preserve">    2、发生须紧急抢修事故，</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接到事故通知后，应立即到达事故现场抢修。非</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施工质量引起的事故，抢修费用由</w:t>
      </w:r>
      <w:r>
        <w:rPr>
          <w:rFonts w:hint="eastAsia" w:hAnsi="宋体"/>
          <w:color w:val="000000"/>
          <w:szCs w:val="21"/>
          <w:highlight w:val="none"/>
          <w:lang w:val="en-US" w:eastAsia="zh-CN"/>
        </w:rPr>
        <w:t xml:space="preserve">甲方</w:t>
      </w:r>
      <w:r>
        <w:rPr>
          <w:rFonts w:hint="eastAsia" w:hAnsi="宋体"/>
          <w:color w:val="000000"/>
          <w:szCs w:val="21"/>
          <w:highlight w:val="none"/>
        </w:rPr>
        <w:t xml:space="preserve">承担。</w:t>
      </w:r>
      <w:r/>
    </w:p>
    <w:p>
      <w:pPr>
        <w:pStyle w:val="1144"/>
        <w:spacing w:line="320" w:lineRule="exact"/>
        <w:rPr>
          <w:rFonts w:hAnsi="宋体"/>
          <w:color w:val="000000"/>
          <w:szCs w:val="21"/>
          <w:highlight w:val="none"/>
        </w:rPr>
      </w:pPr>
      <w:r>
        <w:rPr>
          <w:rFonts w:hint="eastAsia" w:hAnsi="宋体"/>
          <w:color w:val="000000"/>
          <w:szCs w:val="21"/>
          <w:highlight w:val="none"/>
        </w:rPr>
        <w:t xml:space="preserve">    3、在国家规定的工程合理使用期限内，</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确保地基基础工程和主体结构的质量。因</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原因致使工程在合理使用期限内造成人身和财产损害的，</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应承担损害赔偿责任。</w:t>
      </w:r>
      <w:r/>
    </w:p>
    <w:p>
      <w:pPr>
        <w:pStyle w:val="1144"/>
        <w:ind w:firstLine="465"/>
        <w:spacing w:line="320" w:lineRule="exact"/>
        <w:rPr>
          <w:rFonts w:hAnsi="宋体"/>
          <w:color w:val="000000"/>
          <w:szCs w:val="21"/>
          <w:highlight w:val="none"/>
        </w:rPr>
      </w:pPr>
      <w:r>
        <w:rPr>
          <w:rFonts w:hint="eastAsia" w:hAnsi="宋体"/>
          <w:color w:val="000000"/>
          <w:szCs w:val="21"/>
          <w:highlight w:val="none"/>
        </w:rPr>
        <w:t xml:space="preserve">四、质量保修金的支付</w:t>
      </w:r>
      <w:r/>
    </w:p>
    <w:p>
      <w:pPr>
        <w:pStyle w:val="1144"/>
        <w:ind w:firstLine="465"/>
        <w:spacing w:line="320" w:lineRule="exact"/>
        <w:rPr>
          <w:rFonts w:hAnsi="宋体"/>
          <w:color w:val="000000"/>
          <w:szCs w:val="21"/>
          <w:highlight w:val="none"/>
        </w:rPr>
      </w:pPr>
      <w:r>
        <w:rPr>
          <w:rFonts w:hint="eastAsia" w:hAnsi="宋体"/>
          <w:color w:val="000000"/>
          <w:szCs w:val="21"/>
          <w:highlight w:val="none"/>
        </w:rPr>
        <w:t xml:space="preserve">本</w:t>
      </w:r>
      <w:r>
        <w:rPr>
          <w:rFonts w:hint="eastAsia" w:hAnsi="宋体"/>
          <w:color w:val="000000"/>
          <w:szCs w:val="21"/>
          <w:highlight w:val="none"/>
          <w:lang w:val="en-US" w:eastAsia="zh-CN"/>
        </w:rPr>
        <w:t xml:space="preserve">项目</w:t>
      </w:r>
      <w:r>
        <w:rPr>
          <w:rFonts w:hint="eastAsia" w:hAnsi="宋体"/>
          <w:color w:val="000000"/>
          <w:szCs w:val="21"/>
          <w:highlight w:val="none"/>
        </w:rPr>
        <w:t xml:space="preserve">约定的质量保修金为合同价款的</w:t>
      </w:r>
      <w:r>
        <w:rPr>
          <w:rFonts w:hint="eastAsia" w:hAnsi="宋体"/>
          <w:color w:val="000000"/>
          <w:szCs w:val="21"/>
          <w:highlight w:val="none"/>
          <w:u w:val="single"/>
        </w:rPr>
        <w:t xml:space="preserve"> 3 </w:t>
      </w:r>
      <w:r>
        <w:rPr>
          <w:rFonts w:hint="eastAsia" w:hAnsi="宋体"/>
          <w:color w:val="000000"/>
          <w:szCs w:val="21"/>
          <w:highlight w:val="none"/>
        </w:rPr>
        <w:t xml:space="preserve">%。</w:t>
      </w:r>
      <w:r/>
    </w:p>
    <w:p>
      <w:pPr>
        <w:pStyle w:val="1144"/>
        <w:spacing w:line="320" w:lineRule="exact"/>
        <w:rPr>
          <w:rFonts w:hAnsi="宋体"/>
          <w:color w:val="000000"/>
          <w:szCs w:val="21"/>
          <w:highlight w:val="none"/>
        </w:rPr>
      </w:pPr>
      <w:r>
        <w:rPr>
          <w:rFonts w:hint="eastAsia" w:hAnsi="宋体"/>
          <w:color w:val="000000"/>
          <w:szCs w:val="21"/>
          <w:highlight w:val="none"/>
        </w:rPr>
        <w:t xml:space="preserve">    五、质量保修金的返还</w:t>
      </w:r>
      <w:r/>
    </w:p>
    <w:p>
      <w:pPr>
        <w:pStyle w:val="1144"/>
        <w:spacing w:line="320" w:lineRule="exact"/>
        <w:rPr>
          <w:rFonts w:hAnsi="宋体"/>
          <w:color w:val="000000"/>
          <w:szCs w:val="21"/>
          <w:highlight w:val="none"/>
        </w:rPr>
      </w:pPr>
      <w:r>
        <w:rPr>
          <w:rFonts w:hint="eastAsia" w:hAnsi="宋体"/>
          <w:color w:val="000000"/>
          <w:szCs w:val="21"/>
          <w:highlight w:val="none"/>
        </w:rPr>
        <w:t xml:space="preserve">    </w:t>
      </w:r>
      <w:r>
        <w:rPr>
          <w:rFonts w:hint="eastAsia" w:hAnsi="宋体"/>
          <w:color w:val="000000"/>
          <w:szCs w:val="21"/>
          <w:highlight w:val="none"/>
          <w:lang w:val="en-US" w:eastAsia="zh-CN"/>
        </w:rPr>
        <w:t xml:space="preserve">甲方</w:t>
      </w:r>
      <w:r>
        <w:rPr>
          <w:rFonts w:hint="eastAsia" w:hAnsi="宋体"/>
          <w:color w:val="000000"/>
          <w:szCs w:val="21"/>
          <w:highlight w:val="none"/>
        </w:rPr>
        <w:t xml:space="preserve">在质量保修期满后14天内。将剩余保修金（无息）返还</w:t>
      </w:r>
      <w:r>
        <w:rPr>
          <w:rFonts w:hint="eastAsia" w:hAnsi="宋体"/>
          <w:color w:val="000000"/>
          <w:szCs w:val="21"/>
          <w:highlight w:val="none"/>
          <w:lang w:val="en-US" w:eastAsia="zh-CN"/>
        </w:rPr>
        <w:t xml:space="preserve">乙方</w:t>
      </w:r>
      <w:r>
        <w:rPr>
          <w:rFonts w:hint="eastAsia" w:hAnsi="宋体"/>
          <w:color w:val="000000"/>
          <w:szCs w:val="21"/>
          <w:highlight w:val="none"/>
        </w:rPr>
        <w:t xml:space="preserve">。</w:t>
      </w:r>
      <w:r/>
    </w:p>
    <w:p>
      <w:pPr>
        <w:pStyle w:val="1144"/>
        <w:spacing w:line="320" w:lineRule="exact"/>
        <w:rPr>
          <w:rFonts w:hAnsi="宋体"/>
          <w:color w:val="000000"/>
          <w:szCs w:val="21"/>
          <w:highlight w:val="none"/>
        </w:rPr>
      </w:pPr>
      <w:r>
        <w:rPr>
          <w:rFonts w:hint="eastAsia" w:hAnsi="宋体"/>
          <w:color w:val="000000"/>
          <w:szCs w:val="21"/>
          <w:highlight w:val="none"/>
        </w:rPr>
        <w:t xml:space="preserve">六、其他</w:t>
      </w:r>
      <w:r/>
    </w:p>
    <w:p>
      <w:pPr>
        <w:pStyle w:val="1144"/>
        <w:ind w:firstLine="420"/>
        <w:spacing w:line="320" w:lineRule="exact"/>
        <w:rPr>
          <w:rFonts w:hAnsi="宋体"/>
          <w:color w:val="000000"/>
          <w:szCs w:val="21"/>
          <w:highlight w:val="none"/>
          <w:u w:val="single"/>
        </w:rPr>
      </w:pPr>
      <w:r>
        <w:rPr>
          <w:rFonts w:hint="eastAsia" w:hAnsi="宋体"/>
          <w:color w:val="000000"/>
          <w:szCs w:val="21"/>
          <w:highlight w:val="none"/>
        </w:rPr>
        <w:t xml:space="preserve">双方约定的其他工程质量保修事项：</w:t>
      </w:r>
      <w:r>
        <w:rPr>
          <w:rFonts w:hint="eastAsia" w:hAnsi="宋体"/>
          <w:color w:val="000000"/>
          <w:szCs w:val="21"/>
          <w:highlight w:val="none"/>
          <w:u w:val="single"/>
        </w:rPr>
        <w:t xml:space="preserve">   /   。</w:t>
      </w:r>
      <w:r/>
    </w:p>
    <w:p>
      <w:pPr>
        <w:pStyle w:val="1144"/>
        <w:ind w:firstLine="420"/>
        <w:spacing w:line="320" w:lineRule="exact"/>
        <w:rPr>
          <w:rFonts w:hAnsi="宋体"/>
          <w:color w:val="000000"/>
          <w:szCs w:val="21"/>
          <w:highlight w:val="none"/>
          <w:u w:val="single"/>
        </w:rPr>
      </w:pPr>
      <w:r>
        <w:rPr>
          <w:rFonts w:hint="eastAsia" w:hAnsi="宋体"/>
          <w:color w:val="000000"/>
          <w:szCs w:val="21"/>
          <w:highlight w:val="none"/>
        </w:rPr>
        <w:t xml:space="preserve">本</w:t>
      </w:r>
      <w:r>
        <w:rPr>
          <w:rFonts w:hint="eastAsia" w:hAnsi="宋体"/>
          <w:color w:val="000000"/>
          <w:szCs w:val="21"/>
          <w:highlight w:val="none"/>
          <w:lang w:val="en-US" w:eastAsia="zh-CN"/>
        </w:rPr>
        <w:t xml:space="preserve">项目</w:t>
      </w:r>
      <w:r>
        <w:rPr>
          <w:rFonts w:hint="eastAsia" w:hAnsi="宋体"/>
          <w:color w:val="000000"/>
          <w:szCs w:val="21"/>
          <w:highlight w:val="none"/>
        </w:rPr>
        <w:t xml:space="preserve">质量保修书作为合同附件，与合同具有同等效力。 </w:t>
      </w:r>
      <w:r/>
    </w:p>
    <w:p>
      <w:pPr>
        <w:spacing w:line="320" w:lineRule="exact"/>
        <w:rPr>
          <w:rFonts w:ascii="宋体" w:hAnsi="宋体" w:cs="Times New Roman"/>
          <w:color w:val="000000"/>
          <w:szCs w:val="21"/>
          <w:highlight w:val="none"/>
        </w:rPr>
      </w:pPr>
      <w:r>
        <w:rPr>
          <w:rFonts w:ascii="宋体" w:hAnsi="宋体" w:cs="Times New Roman"/>
          <w:color w:val="000000"/>
          <w:szCs w:val="21"/>
          <w:highlight w:val="none"/>
        </w:rPr>
      </w:r>
      <w:r/>
    </w:p>
    <w:p>
      <w:pPr>
        <w:ind w:firstLine="480"/>
        <w:spacing w:line="400" w:lineRule="exact"/>
        <w:rPr>
          <w:rFonts w:ascii="宋体" w:hAnsi="宋体" w:cs="Times New Roman"/>
          <w:color w:val="000000"/>
          <w:szCs w:val="24"/>
          <w:highlight w:val="none"/>
        </w:rPr>
      </w:pPr>
      <w:r>
        <w:rPr>
          <w:rFonts w:hint="eastAsia" w:ascii="Times New Roman" w:hAnsi="宋体" w:cs="Times New Roman"/>
          <w:color w:val="000000"/>
          <w:szCs w:val="21"/>
          <w:highlight w:val="none"/>
          <w:lang w:val="en-US" w:eastAsia="zh-CN"/>
        </w:rPr>
        <w:t xml:space="preserve">甲方</w:t>
      </w:r>
      <w:r>
        <w:rPr>
          <w:rFonts w:hint="eastAsia" w:ascii="宋体" w:hAnsi="宋体" w:cs="Times New Roman"/>
          <w:color w:val="000000"/>
          <w:szCs w:val="24"/>
          <w:highlight w:val="none"/>
        </w:rPr>
        <w:t xml:space="preserve">：                                   </w:t>
      </w:r>
      <w:r>
        <w:rPr>
          <w:rFonts w:hint="eastAsia" w:ascii="宋体" w:hAnsi="宋体" w:cs="Times New Roman"/>
          <w:color w:val="000000"/>
          <w:szCs w:val="24"/>
          <w:highlight w:val="none"/>
          <w:lang w:val="en-US" w:eastAsia="zh-CN"/>
        </w:rPr>
        <w:t xml:space="preserve">  </w:t>
      </w:r>
      <w:r>
        <w:rPr>
          <w:rFonts w:hint="eastAsia" w:ascii="Times New Roman" w:hAnsi="宋体" w:cs="Times New Roman"/>
          <w:color w:val="000000"/>
          <w:szCs w:val="21"/>
          <w:highlight w:val="none"/>
          <w:lang w:val="en-US" w:eastAsia="zh-CN"/>
        </w:rPr>
        <w:t xml:space="preserve">乙方</w:t>
      </w:r>
      <w:r>
        <w:rPr>
          <w:rFonts w:hint="eastAsia" w:ascii="宋体" w:hAnsi="宋体" w:cs="Times New Roman"/>
          <w:color w:val="000000"/>
          <w:szCs w:val="24"/>
          <w:highlight w:val="none"/>
        </w:rPr>
        <w:t xml:space="preserve">：</w:t>
      </w:r>
      <w:r/>
    </w:p>
    <w:p>
      <w:pPr>
        <w:ind w:firstLine="480"/>
        <w:spacing w:line="400" w:lineRule="exact"/>
        <w:rPr>
          <w:rFonts w:ascii="宋体" w:hAnsi="宋体" w:cs="Times New Roman"/>
          <w:color w:val="000000"/>
          <w:szCs w:val="24"/>
          <w:highlight w:val="none"/>
        </w:rPr>
      </w:pPr>
      <w:r>
        <w:rPr>
          <w:rFonts w:hint="eastAsia" w:ascii="宋体" w:hAnsi="宋体" w:cs="Times New Roman"/>
          <w:color w:val="000000"/>
          <w:szCs w:val="24"/>
          <w:highlight w:val="none"/>
        </w:rPr>
        <w:t xml:space="preserve">地址：                                   </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rPr>
        <w:t xml:space="preserve">地址：</w:t>
      </w:r>
      <w:r/>
    </w:p>
    <w:p>
      <w:pPr>
        <w:ind w:firstLine="480"/>
        <w:spacing w:line="400" w:lineRule="exact"/>
        <w:rPr>
          <w:rFonts w:ascii="宋体" w:hAnsi="宋体" w:cs="Times New Roman"/>
          <w:color w:val="000000"/>
          <w:szCs w:val="24"/>
          <w:highlight w:val="none"/>
        </w:rPr>
      </w:pPr>
      <w:r>
        <w:rPr>
          <w:rFonts w:hint="eastAsia" w:ascii="宋体" w:hAnsi="宋体" w:cs="Times New Roman"/>
          <w:color w:val="000000"/>
          <w:szCs w:val="24"/>
          <w:highlight w:val="none"/>
        </w:rPr>
        <w:t xml:space="preserve">法人或授权代表（签字</w:t>
      </w:r>
      <w:r>
        <w:rPr>
          <w:rFonts w:hint="eastAsia" w:ascii="宋体" w:hAnsi="宋体" w:cs="Times New Roman"/>
          <w:color w:val="000000"/>
          <w:szCs w:val="24"/>
          <w:highlight w:val="none"/>
          <w:lang w:val="en-US" w:eastAsia="zh-CN"/>
        </w:rPr>
        <w:t xml:space="preserve">或盖章</w:t>
      </w:r>
      <w:r>
        <w:rPr>
          <w:rFonts w:hint="eastAsia" w:ascii="宋体" w:hAnsi="宋体" w:cs="Times New Roman"/>
          <w:color w:val="000000"/>
          <w:szCs w:val="24"/>
          <w:highlight w:val="none"/>
        </w:rPr>
        <w:t xml:space="preserve">）：          </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rPr>
        <w:t xml:space="preserve"> 法人或授权代表（签字</w:t>
      </w:r>
      <w:r>
        <w:rPr>
          <w:rFonts w:hint="eastAsia" w:ascii="宋体" w:hAnsi="宋体" w:cs="Times New Roman"/>
          <w:color w:val="000000"/>
          <w:szCs w:val="24"/>
          <w:highlight w:val="none"/>
          <w:lang w:val="en-US" w:eastAsia="zh-CN"/>
        </w:rPr>
        <w:t xml:space="preserve">或盖章</w:t>
      </w:r>
      <w:r>
        <w:rPr>
          <w:rFonts w:hint="eastAsia" w:ascii="宋体" w:hAnsi="宋体" w:cs="Times New Roman"/>
          <w:color w:val="000000"/>
          <w:szCs w:val="24"/>
          <w:highlight w:val="none"/>
        </w:rPr>
        <w:t xml:space="preserve">）：</w:t>
      </w:r>
      <w:r/>
    </w:p>
    <w:p>
      <w:pPr>
        <w:ind w:firstLine="480"/>
        <w:spacing w:line="400" w:lineRule="exact"/>
        <w:rPr>
          <w:rFonts w:ascii="宋体" w:hAnsi="宋体" w:cs="Times New Roman"/>
          <w:color w:val="000000"/>
          <w:szCs w:val="24"/>
          <w:highlight w:val="none"/>
        </w:rPr>
      </w:pPr>
      <w:r>
        <w:rPr>
          <w:rFonts w:hint="eastAsia" w:ascii="宋体" w:hAnsi="宋体" w:cs="Times New Roman"/>
          <w:color w:val="000000"/>
          <w:szCs w:val="24"/>
          <w:highlight w:val="none"/>
          <w:lang w:val="en-US" w:eastAsia="zh-CN"/>
        </w:rPr>
        <w:t xml:space="preserve">日期：</w:t>
      </w:r>
      <w:r>
        <w:rPr>
          <w:rFonts w:hint="eastAsia" w:ascii="宋体" w:hAnsi="宋体" w:cs="Times New Roman"/>
          <w:color w:val="000000"/>
          <w:szCs w:val="24"/>
          <w:highlight w:val="none"/>
        </w:rPr>
        <w:t xml:space="preserve">      </w:t>
      </w:r>
      <w:r>
        <w:rPr>
          <w:rFonts w:hint="eastAsia" w:ascii="宋体" w:hAnsi="宋体" w:cs="Times New Roman"/>
          <w:color w:val="000000"/>
          <w:szCs w:val="24"/>
          <w:highlight w:val="none"/>
          <w:lang w:val="en-US" w:eastAsia="zh-CN"/>
        </w:rPr>
        <w:t xml:space="preserve">                               日期：</w:t>
      </w:r>
      <w:r>
        <w:rPr>
          <w:rFonts w:hint="eastAsia" w:ascii="宋体" w:hAnsi="宋体" w:cs="Times New Roman"/>
          <w:color w:val="000000"/>
          <w:szCs w:val="24"/>
          <w:highlight w:val="none"/>
        </w:rPr>
        <w:t xml:space="preserve">                              </w:t>
      </w:r>
      <w:r/>
    </w:p>
    <w:p>
      <w:pPr>
        <w:jc w:val="left"/>
        <w:spacing w:line="320" w:lineRule="exact"/>
        <w:tabs>
          <w:tab w:val="left" w:pos="0" w:leader="none"/>
          <w:tab w:val="left" w:pos="993" w:leader="none"/>
          <w:tab w:val="left" w:pos="1134" w:leader="none"/>
        </w:tabs>
        <w:rPr>
          <w:rFonts w:ascii="宋体" w:hAnsi="宋体"/>
          <w:b/>
          <w:color w:val="000000"/>
          <w:szCs w:val="21"/>
          <w:highlight w:val="none"/>
        </w:rPr>
        <w:sectPr>
          <w:footerReference w:type="default" r:id="rId17"/>
          <w:footnotePr/>
          <w:endnotePr/>
          <w:type w:val="nextPage"/>
          <w:pgSz w:w="11906" w:h="16838" w:orient="portrait"/>
          <w:pgMar w:top="1135" w:right="1134" w:bottom="1135" w:left="1134" w:header="851" w:footer="992" w:gutter="0"/>
          <w:cols w:num="1" w:sep="0" w:space="1701" w:equalWidth="1"/>
          <w:docGrid w:linePitch="360"/>
        </w:sectPr>
        <w:outlineLvl w:val="0"/>
      </w:pPr>
      <w:r>
        <w:rPr>
          <w:rFonts w:ascii="宋体" w:hAnsi="宋体"/>
          <w:b/>
          <w:color w:val="000000"/>
          <w:szCs w:val="21"/>
          <w:highlight w:val="none"/>
        </w:rPr>
      </w:r>
      <w:r/>
    </w:p>
    <w:p>
      <w:pPr>
        <w:pStyle w:val="1144"/>
        <w:spacing w:line="360" w:lineRule="auto"/>
        <w:rPr>
          <w:rFonts w:hAnsi="宋体"/>
          <w:color w:val="000000"/>
          <w:szCs w:val="21"/>
          <w:highlight w:val="none"/>
        </w:rPr>
      </w:pPr>
      <w:r>
        <w:rPr>
          <w:rFonts w:hint="eastAsia" w:hAnsi="宋体"/>
          <w:color w:val="000000"/>
          <w:szCs w:val="21"/>
          <w:highlight w:val="none"/>
        </w:rPr>
        <w:t xml:space="preserve">附件2：</w:t>
      </w:r>
      <w:r/>
    </w:p>
    <w:p>
      <w:pPr>
        <w:jc w:val="center"/>
        <w:spacing w:before="120" w:beforeAutospacing="0" w:after="120" w:afterAutospacing="0" w:line="360" w:lineRule="auto"/>
        <w:widowControl/>
        <w:rPr>
          <w:rFonts w:hint="default" w:ascii="Times New Roman" w:hAnsi="Times New Roman" w:eastAsia="宋体" w:cs="宋体"/>
          <w:b/>
          <w:color w:val="000000"/>
          <w:sz w:val="24"/>
          <w:szCs w:val="24"/>
          <w:highlight w:val="none"/>
          <w:lang w:val="en-US" w:eastAsia="zh-CN" w:bidi="ar-SA"/>
        </w:rPr>
        <w:outlineLvl w:val="1"/>
      </w:pPr>
      <w:r>
        <w:rPr>
          <w:rFonts w:hint="eastAsia" w:ascii="Times New Roman" w:hAnsi="Times New Roman" w:eastAsia="宋体" w:cs="宋体"/>
          <w:b/>
          <w:color w:val="000000"/>
          <w:sz w:val="24"/>
          <w:szCs w:val="24"/>
          <w:highlight w:val="none"/>
          <w:lang w:val="en-US" w:eastAsia="zh-CN" w:bidi="ar-SA"/>
        </w:rPr>
        <w:t xml:space="preserve">安全生产合同</w:t>
      </w:r>
      <w:r/>
    </w:p>
    <w:p>
      <w:pPr>
        <w:ind w:firstLine="420"/>
        <w:spacing w:line="400" w:lineRule="exact"/>
        <w:rPr>
          <w:rFonts w:ascii="Times New Roman" w:hAnsi="Times New Roman" w:cs="Times New Roman"/>
          <w:color w:val="000000"/>
          <w:szCs w:val="21"/>
          <w:highlight w:val="none"/>
        </w:rPr>
      </w:pPr>
      <w:r>
        <w:rPr>
          <w:rFonts w:hint="eastAsia" w:ascii="Times New Roman" w:hAnsi="Times New Roman" w:cs="宋体"/>
          <w:color w:val="000000"/>
          <w:szCs w:val="21"/>
          <w:highlight w:val="none"/>
        </w:rPr>
        <w:t xml:space="preserve">采购人：　　</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以下简称“甲方”</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w:t>
      </w:r>
      <w:r/>
    </w:p>
    <w:p>
      <w:pPr>
        <w:ind w:firstLine="420"/>
        <w:spacing w:line="400" w:lineRule="exact"/>
        <w:rPr>
          <w:rFonts w:ascii="Times New Roman" w:hAnsi="Times New Roman" w:cs="Times New Roman"/>
          <w:color w:val="000000"/>
          <w:szCs w:val="21"/>
          <w:highlight w:val="none"/>
        </w:rPr>
      </w:pPr>
      <w:r>
        <w:rPr>
          <w:rFonts w:hint="eastAsia" w:ascii="Times New Roman" w:hAnsi="Times New Roman" w:cs="宋体"/>
          <w:color w:val="000000"/>
          <w:szCs w:val="21"/>
          <w:highlight w:val="none"/>
        </w:rPr>
        <w:t xml:space="preserve">供应商：</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以下简称“乙方”</w:t>
      </w:r>
      <w:r>
        <w:rPr>
          <w:rFonts w:ascii="Times New Roman" w:hAnsi="Times New Roman" w:cs="Times New Roman"/>
          <w:color w:val="000000"/>
          <w:szCs w:val="21"/>
          <w:highlight w:val="none"/>
        </w:rPr>
        <w:t xml:space="preserve"> </w:t>
      </w:r>
      <w:r>
        <w:rPr>
          <w:rFonts w:hint="eastAsia" w:ascii="Times New Roman" w:hAnsi="Times New Roman" w:cs="宋体"/>
          <w:color w:val="000000"/>
          <w:szCs w:val="21"/>
          <w:highlight w:val="none"/>
        </w:rPr>
        <w:t xml:space="preserve">）</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为在 </w:t>
      </w:r>
      <w:r>
        <w:rPr>
          <w:rFonts w:hint="eastAsia" w:hAnsi="宋体"/>
          <w:color w:val="000000"/>
          <w:szCs w:val="21"/>
          <w:highlight w:val="none"/>
          <w:u w:val="single"/>
        </w:rPr>
        <w:t xml:space="preserve">                 </w:t>
      </w:r>
      <w:r>
        <w:rPr>
          <w:rFonts w:hint="eastAsia" w:hAnsi="宋体"/>
          <w:color w:val="000000"/>
          <w:szCs w:val="21"/>
          <w:highlight w:val="none"/>
        </w:rPr>
        <w:t xml:space="preserve">合同的实施过程中创造安全、高效的施工环境，切实搞好本项目的安全管理工作，项目实施过程中达到“零责任事故，无人员重伤、无人员死亡事故”的安全目标，特此签订安全生产合同。具体如下：</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一、甲方职责</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1．严格遵守国家有关安全生产的法律法规，认真执行工程承包合同中的有关安全要求。</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2．按照“安全第一、预防为主”和坚持“管生产必需管安全”的原则进行安全生产管理，做到生产与安全工作同时计划、布置、检查、总结和评比。</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3．传达中央及地方有关安全生产的精神。</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4．组织对乙方施工现场安全生产检查，监督乙方及时处理发现的各种安全隐患。</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二、乙方职责</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1．严格遵守国家有关安全生产的法律法规、有关安全生产的规定，认真执行工程承包合同中的有关安全要求，接受甲方和监理工程师对安全生产工作的指导。</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3．建立健全安全生产责任制网络。从派往项目实施的项目经理到生产工人（</w:t>
      </w:r>
      <w:r>
        <w:rPr>
          <w:rFonts w:hint="eastAsia" w:hAnsi="宋体"/>
          <w:color w:val="000000"/>
          <w:szCs w:val="21"/>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4．乙方在任何时侯都应采取各种合理的预防措施，防止其人员发生任何违法、违禁、暴力、违规或妨碍治安的行为。</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6．加强施工中交通运输安全管理，各种运输机械等需划定运输路线行驶。</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7．对于易燃易爆的材料除应专门有效封闭、妥善保管之外，还应配备有足够的消防设施，所有施工人员都应熟悉消防设备的性能和使用方法。</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8．操作人员上岗，必须按规定穿戴防护用品。施工负责人和安全检查员应随时检查劳动防护用品的穿戴情况，不按规定穿戴防护用品的人员不得上岗。</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10．施工现场必须具有相关的安全标志牌。</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11．建立主要危险源备案制度，要明确潜在隐患、防范措施和落实责任人。</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w:t>
      </w:r>
      <w:r>
        <w:rPr>
          <w:rFonts w:hint="eastAsia" w:ascii="宋体" w:hAnsi="宋体" w:eastAsia="宋体" w:cs="Times New Roman"/>
          <w:color w:val="000000"/>
          <w:szCs w:val="21"/>
          <w:highlight w:val="none"/>
        </w:rPr>
        <w:t xml:space="preserve">责任人</w:t>
      </w:r>
      <w:r>
        <w:rPr>
          <w:rFonts w:hint="eastAsia" w:hAnsi="宋体"/>
          <w:color w:val="000000"/>
          <w:szCs w:val="21"/>
          <w:highlight w:val="none"/>
        </w:rPr>
        <w:t xml:space="preserve">。</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三、违约责任</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如因乙方违约造成安全事故，将报请有关部门依法追究责任。</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本合同一式</w:t>
      </w:r>
      <w:r>
        <w:rPr>
          <w:rFonts w:hint="eastAsia" w:hAnsi="宋体"/>
          <w:color w:val="000000"/>
          <w:szCs w:val="21"/>
          <w:highlight w:val="none"/>
          <w:lang w:val="en-US" w:eastAsia="zh-CN"/>
        </w:rPr>
        <w:t xml:space="preserve">陆</w:t>
      </w:r>
      <w:r>
        <w:rPr>
          <w:rFonts w:hint="eastAsia" w:hAnsi="宋体"/>
          <w:color w:val="000000"/>
          <w:szCs w:val="21"/>
          <w:highlight w:val="none"/>
        </w:rPr>
        <w:t xml:space="preserve">份，由双方法定代表人或其授权的代理人签署和加盖公章后生效，全部工程竣工验收后失效。</w:t>
      </w:r>
      <w:r/>
    </w:p>
    <w:p>
      <w:pPr>
        <w:pStyle w:val="1144"/>
        <w:ind w:left="280" w:firstLine="290"/>
        <w:spacing w:line="400" w:lineRule="exact"/>
        <w:rPr>
          <w:rFonts w:hint="eastAsia" w:hAnsi="宋体"/>
          <w:color w:val="000000"/>
          <w:szCs w:val="21"/>
          <w:highlight w:val="none"/>
        </w:rPr>
      </w:pPr>
      <w:r>
        <w:rPr>
          <w:rFonts w:hint="eastAsia" w:hAnsi="宋体"/>
          <w:color w:val="000000"/>
          <w:szCs w:val="21"/>
          <w:highlight w:val="none"/>
        </w:rPr>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甲      方：                         乙    方：                     </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法定代表人（或授权代理人）：         法定代表人（或授权代理人）：</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地       址：                        地     址：             </w:t>
      </w:r>
      <w:r/>
    </w:p>
    <w:p>
      <w:pPr>
        <w:pStyle w:val="1144"/>
        <w:ind w:left="280" w:firstLine="290"/>
        <w:spacing w:line="400" w:lineRule="exact"/>
        <w:rPr>
          <w:rFonts w:hAnsi="宋体"/>
          <w:color w:val="000000"/>
          <w:szCs w:val="21"/>
          <w:highlight w:val="none"/>
        </w:rPr>
      </w:pPr>
      <w:r>
        <w:rPr>
          <w:rFonts w:hint="eastAsia" w:hAnsi="宋体"/>
          <w:color w:val="000000"/>
          <w:szCs w:val="21"/>
          <w:highlight w:val="none"/>
        </w:rPr>
        <w:t xml:space="preserve">电       话：                        电     话：              </w:t>
      </w:r>
      <w:r/>
    </w:p>
    <w:p>
      <w:pPr>
        <w:pStyle w:val="1144"/>
        <w:ind w:left="280" w:firstLine="290"/>
        <w:spacing w:line="400" w:lineRule="exact"/>
        <w:rPr>
          <w:rFonts w:hAnsi="宋体"/>
          <w:color w:val="000000"/>
          <w:szCs w:val="21"/>
          <w:highlight w:val="none"/>
        </w:rPr>
      </w:pPr>
      <w:r>
        <w:rPr>
          <w:rFonts w:hAnsi="宋体"/>
          <w:color w:val="000000"/>
          <w:szCs w:val="21"/>
          <w:highlight w:val="none"/>
        </w:rPr>
      </w:r>
      <w:r/>
    </w:p>
    <w:p>
      <w:pPr>
        <w:spacing w:line="380" w:lineRule="exact"/>
        <w:rPr>
          <w:rFonts w:hint="eastAsia" w:ascii="宋体" w:hAnsi="宋体" w:eastAsia="宋体" w:cs="宋体"/>
          <w:b w:val="0"/>
          <w:bCs/>
          <w:color w:val="000000"/>
          <w:sz w:val="21"/>
          <w:szCs w:val="21"/>
          <w:highlight w:val="none"/>
          <w:lang w:eastAsia="zh-CN"/>
        </w:rPr>
      </w:pPr>
      <w:r>
        <w:rPr>
          <w:rFonts w:hint="eastAsia" w:hAnsi="宋体"/>
          <w:color w:val="000000"/>
          <w:szCs w:val="21"/>
          <w:highlight w:val="none"/>
        </w:rPr>
        <w:t xml:space="preserve">     签订日期：      年    月    日</w:t>
      </w:r>
      <w:r/>
    </w:p>
    <w:p>
      <w:pPr>
        <w:rPr>
          <w:rFonts w:hint="eastAsia" w:ascii="宋体" w:hAnsi="宋体" w:eastAsia="宋体" w:cs="宋体"/>
          <w:b/>
          <w:color w:val="ff0000"/>
          <w:sz w:val="21"/>
        </w:rPr>
        <w:sectPr>
          <w:footnotePr/>
          <w:endnotePr/>
          <w:type w:val="nextPage"/>
          <w:pgSz w:w="11910" w:h="16840" w:orient="portrait"/>
          <w:pgMar w:top="1431" w:right="1264" w:bottom="1134" w:left="1361" w:header="0" w:footer="991" w:gutter="0"/>
          <w:cols w:num="1" w:sep="0" w:space="1701" w:equalWidth="1"/>
          <w:docGrid w:linePitch="360"/>
        </w:sectPr>
      </w:pPr>
      <w:r>
        <w:rPr>
          <w:rFonts w:hint="eastAsia" w:ascii="宋体" w:hAnsi="宋体" w:eastAsia="宋体" w:cs="宋体"/>
          <w:b/>
          <w:color w:val="ff0000"/>
          <w:sz w:val="21"/>
        </w:rPr>
      </w:r>
      <w:r/>
    </w:p>
    <w:p>
      <w:pPr>
        <w:jc w:val="left"/>
        <w:spacing w:before="60" w:line="184"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附件</w:t>
      </w:r>
      <w:r>
        <w:rPr>
          <w:rFonts w:hint="eastAsia" w:ascii="宋体" w:hAnsi="宋体" w:eastAsia="宋体" w:cs="宋体"/>
          <w:bCs/>
          <w:color w:val="000000"/>
          <w:szCs w:val="21"/>
          <w:highlight w:val="none"/>
          <w:lang w:val="en-US" w:eastAsia="zh-CN"/>
        </w:rPr>
        <w:t xml:space="preserve">3：</w:t>
      </w:r>
      <w:r/>
    </w:p>
    <w:p>
      <w:pPr>
        <w:jc w:val="center"/>
        <w:spacing w:before="60" w:line="184" w:lineRule="auto"/>
        <w:rPr>
          <w:rFonts w:hint="eastAsia" w:ascii="宋体" w:hAnsi="宋体" w:eastAsia="宋体" w:cs="宋体"/>
          <w:color w:val="000000"/>
          <w:spacing w:val="-5"/>
          <w:sz w:val="32"/>
          <w:szCs w:val="32"/>
          <w:highlight w:val="none"/>
        </w:rPr>
      </w:pPr>
      <w:r>
        <w:rPr>
          <w:rFonts w:ascii="宋体" w:hAnsi="宋体" w:eastAsia="宋体" w:cs="宋体"/>
          <w:color w:val="000000"/>
          <w:spacing w:val="-1"/>
          <w:sz w:val="32"/>
          <w:szCs w:val="32"/>
          <w:highlight w:val="none"/>
        </w:rPr>
        <w:t xml:space="preserve">市政设施养护考核表</w:t>
      </w:r>
      <w:r/>
    </w:p>
    <w:tbl>
      <w:tblPr>
        <w:tblStyle w:val="1142"/>
        <w:tblpPr w:horzAnchor="page" w:tblpX="1481" w:vertAnchor="text" w:tblpY="125" w:leftFromText="180" w:topFromText="0" w:rightFromText="180" w:bottomFromText="0"/>
        <w:tblW w:w="951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6"/>
        <w:gridCol w:w="1072"/>
        <w:gridCol w:w="506"/>
        <w:gridCol w:w="5223"/>
        <w:gridCol w:w="667"/>
        <w:gridCol w:w="724"/>
        <w:gridCol w:w="669"/>
      </w:tblGrid>
      <w:tr>
        <w:trPr>
          <w:cantSplit/>
          <w:trHeight w:val="578"/>
        </w:trPr>
        <w:tc>
          <w:tcPr>
            <w:tcW w:w="656"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序号</w:t>
            </w:r>
            <w:r/>
          </w:p>
        </w:tc>
        <w:tc>
          <w:tcPr>
            <w:tcW w:w="1072"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考核内容</w:t>
            </w:r>
            <w:r/>
          </w:p>
        </w:tc>
        <w:tc>
          <w:tcPr>
            <w:gridSpan w:val="2"/>
            <w:tcW w:w="5729" w:type="dxa"/>
            <w:vAlign w:val="center"/>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评分标准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分值</w:t>
            </w:r>
            <w:r/>
          </w:p>
        </w:tc>
        <w:tc>
          <w:tcPr>
            <w:tcW w:w="724"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得分</w:t>
            </w:r>
            <w:r/>
          </w:p>
        </w:tc>
        <w:tc>
          <w:tcPr>
            <w:tcW w:w="669"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备注</w:t>
            </w:r>
            <w:r/>
          </w:p>
        </w:tc>
      </w:tr>
      <w:tr>
        <w:trPr>
          <w:cantSplit/>
          <w:trHeight w:val="1225"/>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一</w:t>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市政排水设施养护任务单执行情况</w:t>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按期落实市政养护任务单，根据任务单的时间及时处置， 未按时处置且无相关延期申请的一次扣 0.1 分，涉及道路 维修、管道抢修的工程上报维修方案，不上报扣 0.1 分， 扣完为止。未经中心许可擅自进行维修，发现一处扣 5 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64"/>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养护工程项目实施前需提前 1 天上报监理和甲方，如不上 报直接施工一次扣 0.5 分，造成城市长效考核扣分的一次 扣 0.5 分。</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609"/>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养护工程按任务单实施，出现实际情况与任务单不符的及 时上报变更，不上报擅自变更的一处扣 0.5 分，造成返工 的一次扣 1 分，每月底按期上报下月度维修计划，不上报 扣 0.5分，扣完为止。</w:t>
            </w:r>
            <w:r/>
          </w:p>
        </w:tc>
        <w:tc>
          <w:tcPr>
            <w:tcW w:w="667" w:type="dxa"/>
            <w:vAlign w:val="center"/>
            <w:vMerge w:val="restart"/>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w:t>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23"/>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每月 3日前上报上月完成工作量。不上报扣 1分/月。</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99"/>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按养护维修时限完结巡查养护系统内工单。否则扣 0.2分/ 日。</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38"/>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按养护维修时限要求完成各项维修任务。否则扣0.2分/日。</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725"/>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二</w:t>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市政排水养护质量执行情况</w:t>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在市政设施养护工程中，涉及工程验收的，经监理、甲方验收。验收不过关的扣 1分/次，扣完为止。</w:t>
            </w:r>
            <w:r/>
          </w:p>
        </w:tc>
        <w:tc>
          <w:tcPr>
            <w:tcW w:w="667" w:type="dxa"/>
            <w:vAlign w:val="center"/>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463"/>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因施工质量导致返工的。扣 5分/次。</w:t>
            </w:r>
            <w:r/>
          </w:p>
        </w:tc>
        <w:tc>
          <w:tcPr>
            <w:tcW w:w="667" w:type="dxa"/>
            <w:vAlign w:val="center"/>
            <w:vMerge w:val="restart"/>
            <w:textDirection w:val="lrTb"/>
            <w:noWrap w:val="false"/>
          </w:tcPr>
          <w:p>
            <w:pPr>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20</w:t>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沥青道路</w:t>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维修作业时的沥青料温度须符合规范要求。不符合要求的扣 1分/次。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沥青路面铣刨规范，边线整齐，底层平整。不符合要求的扣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粘结层撒布须饱满均匀，无露白现象，不符合要求的扣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沥青摊铺平整，与井框或其他构筑物高差不大于5mm。不符合要求的扣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沥青碾压规范，压实充分，表面颗粒无离析、松散现象。不符合要求的扣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9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冬季沥青摊铺后，接缝位置须采用石油沥青灌缝，不符合要求的扣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沥青路面灌缝开槽机须配备吸尘装置，不配备的扣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开槽宽度不低于1cm，深度 1-3cm，深宽比不超过2：1,灌缝密实均匀，不符合要求的扣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混凝土道 路</w:t>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混凝土浇筑前应确保基底整洁、无杂物，不符合要求的扣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混凝土须振捣密实、无离析现象，不符合要求的扣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混凝土表面平整、无蜂窝麻面、裂缝现象，不符合要求的扣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320"/>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6" w:hanging="12"/>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与井框或其他构筑物高差不大于 5mm，不符合要求的扣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32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center"/>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混凝土路面棱边顺直，无边角剥落现象，不符合要求的扣 0.5分/次。</w:t>
            </w:r>
            <w:r/>
          </w:p>
        </w:tc>
        <w:tc>
          <w:tcPr>
            <w:tcW w:w="667" w:type="dxa"/>
            <w:vAlign w:val="center"/>
            <w:vMerge w:val="continue"/>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w:t>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人行道面层砌块铺装前应确保基底平整、无杂物，不符合要求的扣 0.5分/次。</w:t>
            </w:r>
            <w:r/>
          </w:p>
        </w:tc>
        <w:tc>
          <w:tcPr>
            <w:tcW w:w="667"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142" w:firstLine="400"/>
              <w:jc w:val="center"/>
              <w:keepLines w:val="0"/>
              <w:keepNext/>
              <w:pageBreakBefore w:val="0"/>
              <w:spacing w:line="240" w:lineRule="auto"/>
              <w:widowControl/>
              <w:tabs>
                <w:tab w:val="left" w:pos="900" w:leader="none"/>
                <w:tab w:val="left" w:pos="1980" w:leader="none"/>
              </w:tabs>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eastAsia="宋体"/>
              </w:rPr>
            </w:pPr>
            <w:r>
              <w:rPr>
                <w:rFonts w:eastAsia="宋体"/>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eastAsia="宋体"/>
              </w:rPr>
            </w:pPr>
            <w:r>
              <w:rPr>
                <w:rFonts w:eastAsia="宋体"/>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eastAsia="宋体"/>
              </w:rPr>
            </w:pPr>
            <w:r>
              <w:rPr>
                <w:rFonts w:eastAsia="宋体"/>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铺装时，应确保砂浆饱满、砌块底部无脱空现象，不符合要求的扣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铺装平整度满足要求，砌块间高差不大于 5mm ，不符合要求的扣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与井框或其他构筑物高差不大于 5mm ，不符合要求的扣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人行道砌块间填充饱满，不符合要求的扣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盲道、坡道铺装时严格按照无障碍建设指南进行施工，未按要求施工的扣 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112"/>
        </w:trPr>
        <w:tc>
          <w:tcPr>
            <w:tcW w:w="656" w:type="dxa"/>
            <w:vAlign w:val="center"/>
            <w:vMerge w:val="continue"/>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侧平石、树池安放顺直，灌浆饱满，不符合要求的扣0.5分/次。</w:t>
            </w:r>
            <w:r/>
          </w:p>
        </w:tc>
        <w:tc>
          <w:tcPr>
            <w:tcW w:w="667"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排水 设施</w:t>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井盖与井框完好，吻合，安放平稳、启闭灵活，井框与路面高差不超过正负 15mm 。不符合要求的扣 0.5分/次。</w:t>
            </w:r>
            <w:r/>
          </w:p>
        </w:tc>
        <w:tc>
          <w:tcPr>
            <w:tcW w:w="667" w:type="dxa"/>
            <w:vAlign w:val="center"/>
            <w:vMerge w:val="restart"/>
            <w:textDirection w:val="lrTb"/>
            <w:noWrap w:val="false"/>
          </w:tcPr>
          <w:p>
            <w:pPr>
              <w:ind w:left="27" w:right="1" w:hanging="14"/>
              <w:jc w:val="center"/>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7" w:right="1" w:hanging="14"/>
              <w:jc w:val="left"/>
              <w:keepLines w:val="0"/>
              <w:keepNext/>
              <w:pageBreakBefore w:val="0"/>
              <w:spacing w:before="51" w:line="24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eastAsia="宋体"/>
              </w:rPr>
            </w:pPr>
            <w:r>
              <w:rPr>
                <w:rFonts w:eastAsia="宋体"/>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eastAsia="宋体"/>
              </w:rPr>
            </w:pPr>
            <w:r>
              <w:rPr>
                <w:rFonts w:eastAsia="宋体"/>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eastAsia="宋体"/>
              </w:rPr>
            </w:pPr>
            <w:r>
              <w:rPr>
                <w:rFonts w:eastAsia="宋体"/>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井内踏步完好、井壁无破损，井内无杂物。不符合要求的扣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管道插接口完好，坡度顺畅，管壁无破损、无泄漏。不符合要求的扣 1分/次。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检查井、雨水口清掏完毕后，积泥深度不得高于 5cm。 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检查井内安全网设施完好无缺损。不符合要求的扣 0.5分/次。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99"/>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06"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5223" w:type="dxa"/>
            <w:vAlign w:val="top"/>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管辖泵站及闸门运行良好，按规定及时维护。否则扣1 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96"/>
        </w:trPr>
        <w:tc>
          <w:tcPr>
            <w:tcW w:w="656"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三</w:t>
            </w:r>
            <w:r/>
          </w:p>
        </w:tc>
        <w:tc>
          <w:tcPr>
            <w:tcW w:w="1072" w:type="dxa"/>
            <w:vAlign w:val="center"/>
            <w:textDirection w:val="lrTb"/>
            <w:noWrap w:val="false"/>
          </w:tcPr>
          <w:p>
            <w:pPr>
              <w:ind w:left="26" w:right="90"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现场文明施工情况</w:t>
            </w:r>
            <w:r/>
          </w:p>
        </w:tc>
        <w:tc>
          <w:tcPr>
            <w:gridSpan w:val="2"/>
            <w:tcW w:w="5729"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需配备专职的安全人员。未配备或配备不满足要求的扣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按规定进行全员安全教育。否则扣1分/次。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养护作业现场内人员必须穿戴干净、整洁并具有反光功能的安全标识服和防护帽。否则扣 0.5分/人次。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养护作业现场应根据规范设置明显安全标志及安全防护，安排专人疏导现场交通。否则扣 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夜间施工时，养护作业区应有足够的照明，并设置频闪警示标志。否则扣 1分/次。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大面积养护作业现场使用雾炮车等降尘设施。否则扣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养护作业区裸土、堆放易造成扬尘的材料采用符合标准的防尘网覆盖。否则扣 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养护作业现场建筑材料集中整齐堆放。否则扣 1分/次。养护作业现场施工完成后需做到工完料尽场地清。否则扣2分/次。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发生承担主要责任以上的安全事故。扣 10分/次。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未对存在安全隐患的市政设施 2小时内消除安全隐患或采取安全防护措施，扣5分/次。</w:t>
            </w:r>
            <w:r/>
          </w:p>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由于施工原因被群众投诉或媒体曝光。扣 5分/次。</w:t>
            </w:r>
            <w:r/>
          </w:p>
        </w:tc>
        <w:tc>
          <w:tcPr>
            <w:tcW w:w="667"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p>
        </w:tc>
        <w:tc>
          <w:tcPr>
            <w:tcW w:w="724"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四</w:t>
            </w:r>
            <w:r/>
          </w:p>
        </w:tc>
        <w:tc>
          <w:tcPr>
            <w:tcW w:w="1072" w:type="dxa"/>
            <w:vAlign w:val="center"/>
            <w:vMerge w:val="restart"/>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巡查考核  情况</w:t>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市政巡查：不定期抽查市政设施的完好情况，核实市政设施损坏的问题是否在上报的问题库中，若不在，发现一处扣 0.5分。</w:t>
            </w:r>
            <w:r/>
          </w:p>
        </w:tc>
        <w:tc>
          <w:tcPr>
            <w:tcW w:w="667"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20</w:t>
            </w:r>
            <w:r/>
          </w:p>
        </w:tc>
        <w:tc>
          <w:tcPr>
            <w:tcW w:w="724"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eastAsia="宋体"/>
              </w:rPr>
            </w:pPr>
            <w:r>
              <w:rPr>
                <w:rFonts w:eastAsia="宋体"/>
              </w:rPr>
            </w:r>
            <w:r/>
          </w:p>
        </w:tc>
        <w:tc>
          <w:tcPr>
            <w:tcW w:w="1072" w:type="dxa"/>
            <w:vAlign w:val="center"/>
            <w:vMerge w:val="continue"/>
            <w:textDirection w:val="lrTb"/>
            <w:noWrap w:val="false"/>
          </w:tcPr>
          <w:p>
            <w:pPr>
              <w:ind w:left="26" w:hanging="12"/>
              <w:jc w:val="center"/>
              <w:keepLines w:val="0"/>
              <w:keepNext/>
              <w:pageBreakBefore w:val="0"/>
              <w:spacing w:before="51" w:line="246" w:lineRule="auto"/>
              <w:widowControl/>
              <w:rPr>
                <w:rFonts w:eastAsia="宋体"/>
              </w:rPr>
            </w:pPr>
            <w:r>
              <w:rPr>
                <w:rFonts w:eastAsia="宋体"/>
              </w:rPr>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排水巡查：不定期抽查排水管网及附属设施和河道排口，核实日常巡查日志是否与实际情况相符，若不相符，发现一次扣0.5分。</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203"/>
        </w:trPr>
        <w:tc>
          <w:tcPr>
            <w:tcW w:w="656"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1072"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gridSpan w:val="2"/>
            <w:tcW w:w="5729" w:type="dxa"/>
            <w:vAlign w:val="top"/>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按要求合理配足巡查人员，4辆电动车，2辆汽车。未按要求配足人员和车辆，每缺一次扣 1分。</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490"/>
        </w:trPr>
        <w:tc>
          <w:tcPr>
            <w:tcW w:w="656"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五</w:t>
            </w:r>
            <w:r/>
          </w:p>
        </w:tc>
        <w:tc>
          <w:tcPr>
            <w:tcW w:w="1072" w:type="dxa"/>
            <w:vAlign w:val="center"/>
            <w:vMerge w:val="restart"/>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加分项</w:t>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新闻媒体表扬或正面宣传的，加 2分/次</w:t>
            </w:r>
            <w:r/>
          </w:p>
        </w:tc>
        <w:tc>
          <w:tcPr>
            <w:tcW w:w="667" w:type="dxa"/>
            <w:vAlign w:val="center"/>
            <w:vMerge w:val="restart"/>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restart"/>
            <w:textDirection w:val="lrTb"/>
            <w:noWrap w:val="false"/>
          </w:tcPr>
          <w:p>
            <w:pPr>
              <w:ind w:left="26" w:hanging="12"/>
              <w:jc w:val="left"/>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05"/>
        </w:trPr>
        <w:tc>
          <w:tcPr>
            <w:tcW w:w="656" w:type="dxa"/>
            <w:vAlign w:val="center"/>
            <w:vMerge w:val="continue"/>
            <w:textDirection w:val="lrTb"/>
            <w:noWrap w:val="false"/>
          </w:tcPr>
          <w:p>
            <w:pPr>
              <w:ind w:left="26" w:hanging="12"/>
              <w:keepLines w:val="0"/>
              <w:keepNext/>
              <w:pageBreakBefore w:val="0"/>
              <w:spacing w:before="51" w:line="246" w:lineRule="auto"/>
              <w:widowControl/>
              <w:rPr>
                <w:rFonts w:eastAsia="宋体"/>
              </w:rPr>
            </w:pPr>
            <w:r>
              <w:rPr>
                <w:rFonts w:eastAsia="宋体"/>
              </w:rPr>
            </w:r>
            <w:r/>
          </w:p>
        </w:tc>
        <w:tc>
          <w:tcPr>
            <w:tcW w:w="1072" w:type="dxa"/>
            <w:vAlign w:val="center"/>
            <w:vMerge w:val="continue"/>
            <w:textDirection w:val="lrTb"/>
            <w:noWrap w:val="false"/>
          </w:tcPr>
          <w:p>
            <w:pPr>
              <w:ind w:left="26" w:hanging="12"/>
              <w:keepLines w:val="0"/>
              <w:keepNext/>
              <w:pageBreakBefore w:val="0"/>
              <w:spacing w:before="51" w:line="246" w:lineRule="auto"/>
              <w:widowControl/>
              <w:rPr>
                <w:rFonts w:eastAsia="宋体"/>
              </w:rPr>
            </w:pPr>
            <w:r>
              <w:rPr>
                <w:rFonts w:eastAsia="宋体"/>
              </w:rPr>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不在养护范围内的突击应急工作，加2分/次</w:t>
            </w:r>
            <w:r/>
          </w:p>
        </w:tc>
        <w:tc>
          <w:tcPr>
            <w:tcW w:w="667" w:type="dxa"/>
            <w:vAlign w:val="center"/>
            <w:vMerge w:val="continue"/>
            <w:textDirection w:val="lrTb"/>
            <w:noWrap w:val="false"/>
          </w:tcPr>
          <w:p>
            <w:pPr>
              <w:ind w:left="26" w:hanging="12"/>
              <w:jc w:val="center"/>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724" w:type="dxa"/>
            <w:vAlign w:val="center"/>
            <w:vMerge w:val="continue"/>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vMerge w:val="continue"/>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50"/>
        </w:trPr>
        <w:tc>
          <w:tcPr>
            <w:tcW w:w="656" w:type="dxa"/>
            <w:vAlign w:val="center"/>
            <w:textDirection w:val="lrTb"/>
            <w:noWrap w:val="false"/>
          </w:tcPr>
          <w:p>
            <w:pPr>
              <w:ind w:left="26" w:hanging="12"/>
              <w:keepLines w:val="0"/>
              <w:keepNext/>
              <w:pageBreakBefore w:val="0"/>
              <w:spacing w:before="51" w:line="246" w:lineRule="auto"/>
              <w:widowControl/>
              <w:rPr>
                <w:rFonts w:eastAsia="宋体"/>
              </w:rPr>
            </w:pPr>
            <w:r>
              <w:rPr>
                <w:rFonts w:eastAsia="宋体"/>
              </w:rPr>
            </w:r>
            <w:r/>
          </w:p>
        </w:tc>
        <w:tc>
          <w:tcPr>
            <w:tcW w:w="1072" w:type="dxa"/>
            <w:vAlign w:val="center"/>
            <w:textDirection w:val="lrTb"/>
            <w:noWrap w:val="false"/>
          </w:tcPr>
          <w:p>
            <w:pPr>
              <w:ind w:left="26" w:hanging="12"/>
              <w:jc w:val="center"/>
              <w:keepLines w:val="0"/>
              <w:keepNext/>
              <w:pageBreakBefore w:val="0"/>
              <w:spacing w:before="51" w:line="246" w:lineRule="auto"/>
              <w:widowControl/>
              <w:rPr>
                <w:rFonts w:hint="eastAsia" w:eastAsia="宋体"/>
                <w:lang w:val="en-US" w:eastAsia="zh-CN"/>
              </w:rPr>
            </w:pPr>
            <w:r>
              <w:rPr>
                <w:rFonts w:hint="eastAsia" w:eastAsia="宋体"/>
                <w:lang w:val="en-US" w:eastAsia="zh-CN"/>
              </w:rPr>
              <w:t xml:space="preserve">合计</w:t>
            </w:r>
            <w:r/>
          </w:p>
        </w:tc>
        <w:tc>
          <w:tcPr>
            <w:gridSpan w:val="2"/>
            <w:tcW w:w="572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7" w:type="dxa"/>
            <w:vAlign w:val="center"/>
            <w:textDirection w:val="lrTb"/>
            <w:noWrap w:val="false"/>
          </w:tcPr>
          <w:p>
            <w:pPr>
              <w:ind w:left="26" w:hanging="12"/>
              <w:jc w:val="center"/>
              <w:keepLines w:val="0"/>
              <w:keepNext/>
              <w:pageBreakBefore w:val="0"/>
              <w:spacing w:before="51" w:line="246" w:lineRule="auto"/>
              <w:widowControl/>
              <w:rPr>
                <w:rFonts w:hint="default"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100</w:t>
            </w:r>
            <w:r/>
          </w:p>
        </w:tc>
        <w:tc>
          <w:tcPr>
            <w:tcW w:w="724"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c>
          <w:tcPr>
            <w:tcW w:w="669"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cantSplit/>
          <w:trHeight w:val="540"/>
        </w:trPr>
        <w:tc>
          <w:tcPr>
            <w:gridSpan w:val="7"/>
            <w:tcW w:w="9517" w:type="dxa"/>
            <w:vAlign w:val="center"/>
            <w:textDirection w:val="lrTb"/>
            <w:noWrap w:val="false"/>
          </w:tcPr>
          <w:p>
            <w:pPr>
              <w:ind w:left="26" w:hanging="12"/>
              <w:keepLines w:val="0"/>
              <w:keepNext/>
              <w:pageBreakBefore w:val="0"/>
              <w:spacing w:before="51" w:line="246"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注：80分（含）合格，每扣1分扣服务商500元服务费。</w:t>
            </w:r>
            <w:r/>
          </w:p>
        </w:tc>
      </w:tr>
    </w:tbl>
    <w:p>
      <w:pPr>
        <w:pStyle w:val="1111"/>
        <w:rPr>
          <w:rFonts w:hint="eastAsia" w:ascii="宋体" w:hAnsi="宋体" w:eastAsia="宋体" w:cs="宋体"/>
          <w:color w:val="000000"/>
        </w:rPr>
        <w:sectPr>
          <w:footerReference w:type="default" r:id="rId18"/>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eastAsia="宋体" w:cs="宋体"/>
          <w:color w:val="000000"/>
        </w:rPr>
      </w:r>
      <w:r/>
    </w:p>
    <w:p>
      <w:pPr>
        <w:pStyle w:val="1111"/>
        <w:rPr>
          <w:rFonts w:hint="eastAsia" w:ascii="宋体" w:hAnsi="宋体" w:eastAsia="宋体" w:cs="宋体"/>
          <w:color w:val="000000"/>
        </w:rPr>
      </w:pPr>
      <w:r>
        <w:rPr>
          <w:rFonts w:hint="eastAsia" w:ascii="宋体" w:hAnsi="宋体" w:eastAsia="宋体" w:cs="宋体"/>
          <w:color w:val="000000"/>
        </w:rPr>
        <w:t xml:space="preserve">第六章  响应文件格式</w:t>
      </w:r>
      <w:bookmarkEnd w:id="632"/>
      <w:r/>
      <w:bookmarkEnd w:id="633"/>
      <w:r/>
      <w:r/>
    </w:p>
    <w:p>
      <w:pPr>
        <w:contextualSpacing/>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供应商编制文件须知：</w:t>
      </w:r>
      <w:r/>
    </w:p>
    <w:p>
      <w:pPr>
        <w:contextualSpacing/>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1、供应商按照采购文件要求编制响应文件，编制中涉及格式资料的，应按照本部分提供的内容和格式（所有表格的格式可扩展）填写提交。</w:t>
      </w:r>
      <w:r/>
    </w:p>
    <w:p>
      <w:pPr>
        <w:contextualSpacing/>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p>
    <w:p>
      <w:pPr>
        <w:contextualSpacing/>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3、全部声明和问题的回答及所附材料必须是真实的、准确的和完整的。</w:t>
      </w:r>
      <w:r/>
    </w:p>
    <w:p>
      <w:pPr>
        <w:contextualSpacing/>
        <w:ind w:firstLine="480"/>
        <w:spacing w:line="360" w:lineRule="auto"/>
        <w:rPr>
          <w:rFonts w:hint="eastAsia" w:ascii="宋体" w:hAnsi="宋体" w:eastAsia="宋体" w:cs="宋体"/>
          <w:bCs/>
          <w:color w:val="000000"/>
          <w:sz w:val="24"/>
        </w:rPr>
        <w:sectPr>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eastAsia="宋体" w:cs="宋体"/>
          <w:bCs/>
          <w:color w:val="000000"/>
          <w:sz w:val="24"/>
        </w:rPr>
        <w:t xml:space="preserve">4、供应商需按照磋商文件要求，加盖公章、签名。</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响应文件</w:t>
      </w:r>
      <w:r>
        <w:rPr>
          <w:rFonts w:hint="eastAsia" w:ascii="宋体" w:hAnsi="宋体" w:eastAsia="宋体" w:cs="宋体"/>
          <w:b/>
          <w:color w:val="000000"/>
          <w:sz w:val="24"/>
          <w:highlight w:val="none"/>
        </w:rPr>
        <w:t xml:space="preserve">封面（非实质性格式）</w:t>
      </w:r>
      <w:r/>
    </w:p>
    <w:p>
      <w:pPr>
        <w:jc w:val="center"/>
        <w:spacing w:line="360" w:lineRule="auto"/>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jc w:val="both"/>
        <w:spacing w:line="360" w:lineRule="auto"/>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jc w:val="center"/>
        <w:spacing w:line="360" w:lineRule="auto"/>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响 应 文 件</w:t>
      </w:r>
      <w:r/>
    </w:p>
    <w:p>
      <w:pPr>
        <w:jc w:val="center"/>
        <w:spacing w:line="360" w:lineRule="auto"/>
        <w:rPr>
          <w:rFonts w:hint="eastAsia" w:ascii="宋体" w:hAnsi="宋体" w:eastAsia="宋体" w:cs="宋体"/>
          <w:b/>
          <w:color w:val="000000"/>
          <w:spacing w:val="60"/>
          <w:sz w:val="36"/>
          <w:szCs w:val="36"/>
          <w:highlight w:val="none"/>
        </w:rPr>
      </w:pPr>
      <w:r>
        <w:rPr>
          <w:rFonts w:hint="eastAsia" w:ascii="宋体" w:hAnsi="宋体" w:eastAsia="宋体" w:cs="宋体"/>
          <w:b/>
          <w:color w:val="000000"/>
          <w:spacing w:val="60"/>
          <w:sz w:val="36"/>
          <w:szCs w:val="36"/>
          <w:highlight w:val="none"/>
        </w:rPr>
      </w:r>
      <w:r/>
    </w:p>
    <w:p>
      <w:pPr>
        <w:jc w:val="center"/>
        <w:spacing w:line="360" w:lineRule="auto"/>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jc w:val="center"/>
        <w:spacing w:line="360" w:lineRule="auto"/>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供应商名称 ：</w:t>
      </w:r>
      <w:bookmarkStart w:id="635" w:name="_Hlk149916267"/>
      <w:r>
        <w:rPr>
          <w:rFonts w:hint="eastAsia" w:ascii="宋体" w:hAnsi="宋体" w:eastAsia="宋体" w:cs="宋体"/>
          <w:b/>
          <w:color w:val="000000"/>
          <w:sz w:val="36"/>
          <w:highlight w:val="none"/>
          <w:u w:val="single"/>
        </w:rPr>
        <w:t xml:space="preserve">（加盖CA电子公章）</w:t>
      </w:r>
      <w:bookmarkEnd w:id="635"/>
      <w:r/>
      <w:r/>
    </w:p>
    <w:p>
      <w:pPr>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日      期 ：</w:t>
      </w:r>
      <w:r>
        <w:rPr>
          <w:rFonts w:hint="eastAsia" w:ascii="宋体" w:hAnsi="宋体" w:eastAsia="宋体" w:cs="宋体"/>
          <w:b/>
          <w:color w:val="000000"/>
          <w:sz w:val="36"/>
          <w:highlight w:val="none"/>
          <w:u w:val="single"/>
        </w:rPr>
        <w:t xml:space="preserve">                   </w:t>
      </w:r>
      <w:r/>
    </w:p>
    <w:p>
      <w:pPr>
        <w:rPr>
          <w:rFonts w:hint="eastAsia" w:ascii="宋体" w:hAnsi="宋体" w:eastAsia="宋体" w:cs="宋体"/>
          <w:b/>
          <w:color w:val="000000"/>
          <w:sz w:val="36"/>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
          <w:color w:val="000000"/>
          <w:sz w:val="36"/>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 满足《中华人民共和国政府采购法》第二十二条规定及法律法规的其他规定</w:t>
      </w:r>
      <w:r/>
    </w:p>
    <w:p>
      <w:pPr>
        <w:spacing w:line="360" w:lineRule="auto"/>
        <w:rPr>
          <w:rFonts w:hint="eastAsia" w:ascii="宋体" w:hAnsi="宋体" w:eastAsia="宋体" w:cs="宋体"/>
          <w:bCs/>
          <w:color w:val="000000"/>
          <w:sz w:val="24"/>
          <w:highlight w:val="none"/>
        </w:rPr>
        <w:outlineLvl w:val="2"/>
      </w:pPr>
      <w:r>
        <w:rPr>
          <w:rFonts w:hint="eastAsia" w:ascii="宋体" w:hAnsi="宋体" w:eastAsia="宋体" w:cs="宋体"/>
          <w:color w:val="000000"/>
          <w:sz w:val="24"/>
          <w:szCs w:val="20"/>
          <w:highlight w:val="none"/>
        </w:rPr>
        <w:t xml:space="preserve">1</w:t>
      </w:r>
      <w:r>
        <w:rPr>
          <w:rFonts w:hint="eastAsia" w:ascii="宋体" w:hAnsi="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 </w:t>
      </w:r>
      <w:r>
        <w:rPr>
          <w:rFonts w:hint="eastAsia" w:ascii="宋体" w:hAnsi="宋体" w:eastAsia="宋体" w:cs="宋体"/>
          <w:bCs/>
          <w:color w:val="000000"/>
          <w:sz w:val="24"/>
          <w:highlight w:val="none"/>
        </w:rPr>
        <w:t xml:space="preserve">供应商资格声明函（实质性格式）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供应商资格声明函</w:t>
      </w:r>
      <w:r/>
    </w:p>
    <w:p>
      <w:pPr>
        <w:pStyle w:val="1115"/>
        <w:ind w:firstLine="480"/>
        <w:spacing w:line="460" w:lineRule="exact"/>
        <w:rPr>
          <w:rFonts w:hint="eastAsia" w:ascii="宋体" w:hAnsi="宋体" w:eastAsia="宋体" w:cs="宋体"/>
          <w:bCs/>
          <w:color w:val="000000"/>
          <w:highlight w:val="none"/>
          <w:lang w:eastAsia="zh-CN"/>
        </w:rPr>
      </w:pPr>
      <w:r>
        <w:rPr>
          <w:rFonts w:hint="eastAsia" w:ascii="宋体" w:hAnsi="宋体" w:eastAsia="宋体" w:cs="宋体"/>
          <w:bCs/>
          <w:color w:val="000000"/>
          <w:highlight w:val="none"/>
        </w:rPr>
        <w:t xml:space="preserve">致：</w:t>
      </w:r>
      <w:r>
        <w:rPr>
          <w:rFonts w:hint="eastAsia" w:ascii="宋体" w:hAnsi="宋体" w:eastAsia="宋体" w:cs="宋体"/>
          <w:bCs/>
          <w:color w:val="000000"/>
          <w:highlight w:val="none"/>
          <w:lang w:eastAsia="zh-CN"/>
        </w:rPr>
        <w:t xml:space="preserve">江苏安邦南汇工程咨询有限公司</w:t>
      </w:r>
      <w:r/>
    </w:p>
    <w:p>
      <w:pPr>
        <w:pStyle w:val="1115"/>
        <w:ind w:firstLine="1024"/>
        <w:spacing w:line="460" w:lineRule="exact"/>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常州市金坛区金城镇人民政府</w:t>
      </w:r>
      <w:r/>
    </w:p>
    <w:p>
      <w:pPr>
        <w:pStyle w:val="1115"/>
        <w:ind w:firstLine="480"/>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按照《中华人民共和国政府采购法》第二十二条和磋商文件的规定，我单位郑重声明如下：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一、我单位是按照中华人民共和国法律规定登记注册的，注册地点为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，全称为</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，统一社会信用代码为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，法定代表人（单位负责人）为</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，具有独立承担民事责任的能力（如属于分公司经总公司授权参与项目，由总公司承担民事责任的，需提供总公司项目授权书）。</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二、我单位未被“国家企业信用信息系统”列入经营异常名录或者严重违法企业名单。</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三、我单位具有良好的商业信誉（指供应商经营状况良好，无本资格声明第十条情形）和健全的财务会计制度。</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四、我单位依法进行纳税和社会保险申报并实际履行了义务。</w:t>
      </w:r>
      <w:r/>
    </w:p>
    <w:p>
      <w:pPr>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cs="宋体"/>
          <w:bCs/>
          <w:color w:val="000000"/>
          <w:sz w:val="24"/>
          <w:highlight w:val="none"/>
          <w:lang w:eastAsia="zh-CN"/>
        </w:rPr>
        <w:t xml:space="preserve">：</w:t>
      </w:r>
      <w:r/>
    </w:p>
    <w:p>
      <w:pPr>
        <w:contextualSpacing/>
        <w:ind w:firstLine="480"/>
        <w:spacing w:line="360" w:lineRule="auto"/>
        <w:rPr>
          <w:rFonts w:hint="eastAsia" w:ascii="宋体" w:hAnsi="宋体" w:eastAsia="宋体" w:cs="宋体"/>
          <w:bCs/>
          <w:color w:val="000000"/>
          <w:sz w:val="24"/>
          <w:highlight w:val="none"/>
          <w:u w:val="none"/>
          <w:lang w:val="en-US" w:eastAsia="zh-CN"/>
        </w:rPr>
      </w:pPr>
      <w:r>
        <w:rPr>
          <w:rFonts w:hint="eastAsia" w:ascii="宋体" w:hAnsi="宋体" w:eastAsia="宋体" w:cs="宋体"/>
          <w:bCs/>
          <w:color w:val="000000"/>
          <w:sz w:val="24"/>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none"/>
          <w:lang w:val="en-US" w:eastAsia="zh-CN"/>
        </w:rPr>
        <w:t xml:space="preserve">           </w:t>
      </w:r>
      <w:r>
        <w:rPr>
          <w:rFonts w:hint="eastAsia" w:ascii="宋体" w:hAnsi="宋体" w:eastAsia="宋体" w:cs="宋体"/>
          <w:bCs/>
          <w:color w:val="000000"/>
          <w:sz w:val="24"/>
          <w:highlight w:val="none"/>
          <w:lang w:val="en-US" w:eastAsia="zh-CN"/>
        </w:rPr>
        <w:t xml:space="preserve">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主要专业技术能力有：</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七、我单位具备法律、行政法规规定的其他条件。</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1、与我单位的法定代表人（单位负责人）为同一人的其他单位如下：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2、我单位直接控股的其他单位如下：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3、与我单位存在管理关系的其他单位如下：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九、我单位不属于为本项目提供整体设计、规范编制或者项目管理、监理、检测等服务的供应商。</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十、我单位无以下不良信用记录情形：</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3、不符合《政府采购法》第二十二条规定的条件。</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供应商：（加盖CA电子公章）</w:t>
      </w:r>
      <w:r/>
    </w:p>
    <w:p>
      <w:pPr>
        <w:contextualSpacing/>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法定代表人（或单位负责人）签字或盖章：</w:t>
      </w:r>
      <w:r/>
    </w:p>
    <w:p>
      <w:pPr>
        <w:contextualSpacing/>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474" w:bottom="1440" w:left="1474" w:header="851" w:footer="992" w:gutter="0"/>
          <w:cols w:num="1" w:sep="0" w:space="1701" w:equalWidth="1"/>
          <w:docGrid w:linePitch="360"/>
        </w:sectPr>
      </w:pPr>
      <w:r>
        <w:rPr>
          <w:rFonts w:hint="eastAsia" w:ascii="宋体" w:hAnsi="宋体" w:eastAsia="宋体" w:cs="宋体"/>
          <w:bCs/>
          <w:color w:val="000000"/>
          <w:sz w:val="24"/>
          <w:highlight w:val="none"/>
        </w:rPr>
        <w:t xml:space="preserve">说明：供应商承诺不实的，依据《政府采购法》第七十七条“提供虚假材料谋取中标、成交的”有关规定予以处理。</w:t>
      </w:r>
      <w:r/>
    </w:p>
    <w:p>
      <w:pPr>
        <w:contextualSpacing/>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 落实政府采购政策需满足的资格要求</w:t>
      </w:r>
      <w:r/>
    </w:p>
    <w:p>
      <w:pPr>
        <w:contextualSpacing/>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2-1</w:t>
      </w:r>
      <w:r>
        <w:rPr>
          <w:rFonts w:hint="eastAsia" w:ascii="宋体" w:hAnsi="宋体" w:eastAsia="宋体" w:cs="宋体"/>
          <w:bCs/>
          <w:color w:val="000000"/>
          <w:sz w:val="24"/>
          <w:highlight w:val="none"/>
        </w:rPr>
        <w:t xml:space="preserve"> 中小企业声明函</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（1）如本项目（包）不专门面向中小企业预留采购份额，供应商非必须提供；当小微企业拟享受中小企业扶持政策时，仍应提供《中小企业声明函》，否则不得享受相关中小企业扶持政策。</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（2）如本项目（包）专门面向中小/小微企业采购，须提供《中小企业声明函》（实质性格式）。</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（4）其它</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1）中小企业参加政府采购活动，应当出具此格式文件。《中小企业声明函》由参加政府采购活动的供应商出具。联合体响应的，《中小企业声明函》由牵头人出具。</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3）对于多标的的采购项目，供应商应充分、准确地了解所投产品制造企业信息。对相关情况了解不清楚的，不建议填报本声明函。</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中小企业声明函（</w:t>
      </w:r>
      <w:r>
        <w:rPr>
          <w:rFonts w:hint="eastAsia" w:ascii="宋体" w:hAnsi="宋体" w:eastAsia="宋体" w:cs="宋体"/>
          <w:b/>
          <w:bCs/>
          <w:color w:val="000000"/>
          <w:sz w:val="28"/>
          <w:szCs w:val="28"/>
          <w:highlight w:val="none"/>
        </w:rPr>
        <w:t xml:space="preserve">工程、</w:t>
      </w:r>
      <w:r>
        <w:rPr>
          <w:rFonts w:hint="eastAsia" w:ascii="宋体" w:hAnsi="宋体" w:eastAsia="宋体" w:cs="宋体"/>
          <w:b/>
          <w:color w:val="000000"/>
          <w:sz w:val="28"/>
          <w:szCs w:val="28"/>
          <w:highlight w:val="none"/>
        </w:rPr>
        <w:t xml:space="preserve">服务）格式</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（采购文件中明确的所属行业）</w:t>
      </w:r>
      <w:r>
        <w:rPr>
          <w:rFonts w:hint="eastAsia" w:ascii="宋体" w:hAnsi="宋体" w:eastAsia="宋体" w:cs="宋体"/>
          <w:bCs/>
          <w:color w:val="000000"/>
          <w:sz w:val="24"/>
          <w:highlight w:val="none"/>
        </w:rPr>
        <w:t xml:space="preserve">行业；承建（承接）企业为</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，从业人员______人，营业收入为______万元，资产总额为______万元1，属于</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u w:val="single"/>
        </w:rPr>
        <w:t xml:space="preserve">（标的名称）</w:t>
      </w:r>
      <w:r>
        <w:rPr>
          <w:rFonts w:hint="eastAsia" w:ascii="宋体" w:hAnsi="宋体" w:eastAsia="宋体" w:cs="宋体"/>
          <w:bCs/>
          <w:color w:val="000000"/>
          <w:sz w:val="24"/>
          <w:highlight w:val="none"/>
        </w:rPr>
        <w:t xml:space="preserve">，属于</w:t>
      </w:r>
      <w:r>
        <w:rPr>
          <w:rFonts w:hint="eastAsia" w:ascii="宋体" w:hAnsi="宋体" w:eastAsia="宋体" w:cs="宋体"/>
          <w:bCs/>
          <w:color w:val="000000"/>
          <w:sz w:val="24"/>
          <w:highlight w:val="none"/>
          <w:u w:val="single"/>
        </w:rPr>
        <w:t xml:space="preserve">（采购文件中明确的所属行业）</w:t>
      </w:r>
      <w:r>
        <w:rPr>
          <w:rFonts w:hint="eastAsia" w:ascii="宋体" w:hAnsi="宋体" w:eastAsia="宋体" w:cs="宋体"/>
          <w:bCs/>
          <w:color w:val="000000"/>
          <w:sz w:val="24"/>
          <w:highlight w:val="none"/>
        </w:rPr>
        <w:t xml:space="preserve">行业；承建（承接）企业为</w:t>
      </w:r>
      <w:r>
        <w:rPr>
          <w:rFonts w:hint="eastAsia" w:ascii="宋体" w:hAnsi="宋体" w:eastAsia="宋体" w:cs="宋体"/>
          <w:bCs/>
          <w:color w:val="000000"/>
          <w:sz w:val="24"/>
          <w:highlight w:val="none"/>
          <w:u w:val="single"/>
        </w:rPr>
        <w:t xml:space="preserve">（企业名称）</w:t>
      </w:r>
      <w:r>
        <w:rPr>
          <w:rFonts w:hint="eastAsia" w:ascii="宋体" w:hAnsi="宋体" w:eastAsia="宋体" w:cs="宋体"/>
          <w:bCs/>
          <w:color w:val="000000"/>
          <w:sz w:val="24"/>
          <w:highlight w:val="none"/>
        </w:rPr>
        <w:t xml:space="preserve">，从业人员______人，营业收入为______万元，资产总额为______万元，属于</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（中型企业、小型企业、微型企业）</w:t>
      </w:r>
      <w:r>
        <w:rPr>
          <w:rFonts w:hint="eastAsia" w:ascii="宋体" w:hAnsi="宋体" w:eastAsia="宋体" w:cs="宋体"/>
          <w:bCs/>
          <w:color w:val="000000"/>
          <w:sz w:val="24"/>
          <w:highlight w:val="none"/>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本企业对上述声明内容的真实性负责。如有虚假，将依法承担相应责任。</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单位名称（加盖CA电子公章）：________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 期：________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Style w:val="940"/>
        <w:tblW w:w="9120" w:type="dxa"/>
        <w:tblInd w:w="275"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20"/>
      </w:tblGrid>
      <w:tr>
        <w:trPr/>
        <w:tc>
          <w:tcPr>
            <w:tcW w:w="9120" w:type="dxa"/>
            <w:vAlign w:val="top"/>
            <w:textDirection w:val="lrTb"/>
            <w:noWrap w:val="false"/>
          </w:tcPr>
          <w:p>
            <w:pPr>
              <w:contextualSpacing/>
              <w:spacing w:line="360" w:lineRule="auto"/>
              <w:rPr>
                <w:rFonts w:hint="eastAsia" w:ascii="宋体" w:hAnsi="宋体" w:eastAsia="宋体" w:cs="宋体"/>
                <w:bCs/>
                <w:color w:val="000000"/>
                <w:sz w:val="24"/>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center"/>
        <w:rPr>
          <w:rFonts w:hint="eastAsia" w:ascii="宋体" w:hAnsi="宋体" w:eastAsia="宋体" w:cs="宋体"/>
          <w:b/>
          <w:color w:val="000000"/>
          <w:sz w:val="36"/>
          <w:szCs w:val="36"/>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
          <w:color w:val="000000"/>
          <w:sz w:val="36"/>
          <w:szCs w:val="36"/>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残疾人福利性单位声明函格式</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sz w:val="24"/>
          <w:highlight w:val="none"/>
        </w:rPr>
        <w:t xml:space="preserve">（请进行勾选）</w:t>
      </w:r>
      <w:r>
        <w:rPr>
          <w:rFonts w:hint="eastAsia" w:ascii="宋体" w:hAnsi="宋体" w:eastAsia="宋体" w:cs="宋体"/>
          <w:bCs/>
          <w:color w:val="000000"/>
          <w:sz w:val="24"/>
          <w:highlight w:val="none"/>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□不属于符合条件的残疾人福利性单位。</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单位名称（加盖CA电子公章）：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日期：</w:t>
      </w:r>
      <w:r/>
    </w:p>
    <w:p>
      <w:pPr>
        <w:jc w:val="center"/>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color w:val="000000"/>
          <w:sz w:val="24"/>
          <w:highlight w:val="none"/>
        </w:rPr>
        <w:br w:type="page" w:clear="all"/>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3 本项目的特定资格要求</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spacing w:line="360" w:lineRule="auto"/>
        <w:rPr>
          <w:rFonts w:hint="eastAsia" w:ascii="宋体" w:hAnsi="宋体" w:cs="宋体"/>
          <w:color w:val="000000"/>
          <w:sz w:val="24"/>
          <w:szCs w:val="20"/>
          <w:highlight w:val="none"/>
          <w:lang w:eastAsia="zh-CN"/>
        </w:rPr>
        <w:outlineLvl w:val="2"/>
      </w:pPr>
      <w:r>
        <w:rPr>
          <w:rFonts w:hint="eastAsia" w:ascii="宋体" w:hAnsi="宋体" w:eastAsia="宋体" w:cs="宋体"/>
          <w:color w:val="000000"/>
          <w:sz w:val="24"/>
          <w:szCs w:val="20"/>
          <w:highlight w:val="none"/>
        </w:rPr>
        <w:t xml:space="preserve">3-2其他特定资格要求</w:t>
      </w:r>
      <w:r>
        <w:rPr>
          <w:rFonts w:hint="eastAsia" w:ascii="宋体" w:hAnsi="宋体" w:cs="宋体"/>
          <w:color w:val="000000"/>
          <w:sz w:val="24"/>
          <w:szCs w:val="20"/>
          <w:highlight w:val="none"/>
          <w:lang w:eastAsia="zh-CN"/>
        </w:rPr>
        <w:t xml:space="preserve">：</w:t>
      </w:r>
      <w:r/>
    </w:p>
    <w:p>
      <w:pPr>
        <w:spacing w:line="360" w:lineRule="auto"/>
        <w:rPr>
          <w:rFonts w:hint="eastAsia" w:ascii="宋体" w:hAnsi="宋体" w:cs="宋体"/>
          <w:color w:val="000000"/>
          <w:sz w:val="24"/>
          <w:szCs w:val="20"/>
          <w:highlight w:val="none"/>
          <w:lang w:eastAsia="zh-CN"/>
        </w:rPr>
        <w:outlineLvl w:val="2"/>
      </w:pPr>
      <w:r>
        <w:rPr>
          <w:rFonts w:hint="eastAsia" w:ascii="宋体" w:hAnsi="宋体" w:cs="宋体"/>
          <w:color w:val="000000"/>
          <w:sz w:val="24"/>
          <w:szCs w:val="20"/>
          <w:highlight w:val="none"/>
          <w:lang w:val="en-US" w:eastAsia="zh-CN"/>
        </w:rPr>
        <w:t xml:space="preserve">（1）供应商具备市政公用工程施工总承包三级及以上资质证书； </w:t>
      </w:r>
      <w:r/>
    </w:p>
    <w:p>
      <w:pPr>
        <w:spacing w:line="360" w:lineRule="auto"/>
        <w:rPr>
          <w:rFonts w:hint="eastAsia" w:ascii="宋体" w:hAnsi="宋体" w:cs="宋体"/>
          <w:color w:val="000000"/>
          <w:sz w:val="24"/>
          <w:szCs w:val="20"/>
          <w:highlight w:val="none"/>
          <w:lang w:eastAsia="zh-CN"/>
        </w:rPr>
        <w:outlineLvl w:val="2"/>
      </w:pPr>
      <w:r>
        <w:rPr>
          <w:rFonts w:hint="eastAsia" w:ascii="宋体" w:hAnsi="宋体" w:cs="宋体"/>
          <w:color w:val="000000"/>
          <w:sz w:val="24"/>
          <w:szCs w:val="20"/>
          <w:highlight w:val="none"/>
          <w:lang w:val="en-US" w:eastAsia="zh-CN"/>
        </w:rPr>
        <w:t xml:space="preserve">（2）供应商具有省级及以上行政主管部门颁发的在有效期内的《安全生产许可证》； </w:t>
      </w:r>
      <w:r/>
    </w:p>
    <w:p>
      <w:pPr>
        <w:spacing w:line="360" w:lineRule="auto"/>
        <w:rPr>
          <w:rFonts w:hint="eastAsia" w:ascii="宋体" w:hAnsi="宋体" w:cs="宋体"/>
          <w:color w:val="000000"/>
          <w:sz w:val="24"/>
          <w:szCs w:val="20"/>
          <w:highlight w:val="none"/>
          <w:lang w:val="en-US" w:eastAsia="zh-CN"/>
        </w:rPr>
        <w:outlineLvl w:val="2"/>
      </w:pPr>
      <w:r>
        <w:rPr>
          <w:rFonts w:hint="eastAsia" w:ascii="宋体" w:hAnsi="宋体" w:cs="宋体"/>
          <w:color w:val="000000"/>
          <w:sz w:val="24"/>
          <w:szCs w:val="20"/>
          <w:highlight w:val="none"/>
          <w:lang w:val="en-US" w:eastAsia="zh-CN"/>
        </w:rPr>
        <w:t xml:space="preserve">（3）项目负责人具备市政公用工程二级及以上的注册建造师证书及安全生产考核合格证（B证）。</w:t>
      </w:r>
      <w:r/>
    </w:p>
    <w:p>
      <w:pPr>
        <w:spacing w:line="360" w:lineRule="auto"/>
        <w:rPr>
          <w:rFonts w:hint="eastAsia" w:ascii="宋体" w:hAnsi="宋体" w:eastAsia="宋体" w:cs="宋体"/>
          <w:color w:val="000000"/>
          <w:sz w:val="24"/>
          <w:szCs w:val="20"/>
          <w:highlight w:val="none"/>
          <w:lang w:eastAsia="zh-CN"/>
        </w:rPr>
        <w:outlineLvl w:val="2"/>
      </w:pPr>
      <w:r>
        <w:rPr>
          <w:rFonts w:hint="eastAsia" w:ascii="宋体" w:hAnsi="宋体" w:eastAsia="宋体" w:cs="宋体"/>
          <w:color w:val="000000"/>
          <w:sz w:val="24"/>
          <w:szCs w:val="20"/>
          <w:highlight w:val="none"/>
          <w:lang w:eastAsia="zh-CN"/>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widowControl/>
        <w:rPr>
          <w:rFonts w:hint="eastAsia" w:ascii="宋体" w:hAnsi="宋体" w:eastAsia="宋体" w:cs="宋体"/>
          <w:color w:val="000000"/>
          <w:sz w:val="24"/>
          <w:szCs w:val="20"/>
          <w:highlight w:val="none"/>
        </w:rPr>
      </w:pPr>
      <w:r>
        <w:rPr>
          <w:rFonts w:hint="eastAsia" w:ascii="宋体" w:hAnsi="宋体" w:cs="宋体"/>
          <w:color w:val="000000"/>
          <w:sz w:val="24"/>
          <w:highlight w:val="none"/>
          <w:lang w:val="en-US" w:eastAsia="zh-CN"/>
        </w:rPr>
        <w:t xml:space="preserve">4 </w:t>
      </w:r>
      <w:r>
        <w:rPr>
          <w:rFonts w:hint="eastAsia" w:ascii="宋体" w:hAnsi="宋体" w:eastAsia="宋体" w:cs="宋体"/>
          <w:color w:val="000000"/>
          <w:sz w:val="24"/>
          <w:highlight w:val="none"/>
        </w:rPr>
        <w:t xml:space="preserve">响应函</w:t>
      </w:r>
      <w:r>
        <w:rPr>
          <w:rFonts w:hint="eastAsia" w:ascii="宋体" w:hAnsi="宋体" w:eastAsia="宋体" w:cs="宋体"/>
          <w:color w:val="000000"/>
          <w:sz w:val="24"/>
          <w:szCs w:val="20"/>
          <w:highlight w:val="none"/>
        </w:rPr>
        <w:t xml:space="preserve">（实质性格式）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响应函</w:t>
      </w:r>
      <w:r/>
    </w:p>
    <w:p>
      <w:pPr>
        <w:pStyle w:val="1115"/>
        <w:ind w:firstLine="480"/>
        <w:spacing w:line="460" w:lineRule="exact"/>
        <w:rPr>
          <w:rFonts w:hint="eastAsia" w:ascii="宋体" w:hAnsi="宋体" w:eastAsia="宋体" w:cs="宋体"/>
          <w:color w:val="000000"/>
          <w:highlight w:val="none"/>
          <w:lang w:eastAsia="zh-CN"/>
        </w:rPr>
      </w:pPr>
      <w:r>
        <w:rPr>
          <w:rFonts w:hint="eastAsia" w:ascii="宋体" w:hAnsi="宋体" w:eastAsia="宋体" w:cs="宋体"/>
          <w:bCs/>
          <w:color w:val="000000"/>
          <w:highlight w:val="none"/>
        </w:rPr>
        <w:t xml:space="preserve">致：</w:t>
      </w:r>
      <w:r>
        <w:rPr>
          <w:rFonts w:hint="eastAsia" w:ascii="宋体" w:hAnsi="宋体" w:eastAsia="宋体" w:cs="宋体"/>
          <w:bCs/>
          <w:color w:val="000000"/>
          <w:highlight w:val="none"/>
          <w:lang w:eastAsia="zh-CN"/>
        </w:rPr>
        <w:t xml:space="preserve">江苏安邦南汇工程咨询有限公司</w:t>
      </w:r>
      <w:r/>
    </w:p>
    <w:p>
      <w:pPr>
        <w:pStyle w:val="1115"/>
        <w:ind w:firstLine="960"/>
        <w:spacing w:line="460" w:lineRule="exact"/>
        <w:rPr>
          <w:rFonts w:hint="eastAsia" w:ascii="宋体" w:hAnsi="宋体" w:eastAsia="宋体" w:cs="宋体"/>
          <w:color w:val="000000"/>
          <w:highlight w:val="none"/>
          <w:lang w:eastAsia="zh-CN"/>
        </w:rPr>
      </w:pPr>
      <w:r>
        <w:rPr>
          <w:rFonts w:hint="eastAsia" w:ascii="宋体" w:hAnsi="宋体" w:eastAsia="宋体" w:cs="宋体"/>
          <w:bCs/>
          <w:color w:val="000000"/>
          <w:highlight w:val="none"/>
          <w:lang w:eastAsia="zh-CN"/>
        </w:rPr>
        <w:t xml:space="preserve">常州市金坛区金城镇人民政府</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我方参加你方就___________（项目名称，项目编号）组织的政府采购活动，并对此项目进行响应。</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 我方已详细审查全部磋商文件，自愿参与响应并承诺如下：</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（1）本响应有效期为自提交响应文件的截止之日起60个日历日。</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（2）除合同条款及采购需求偏离表列出的偏离外，我方响应磋商文件的全部要求。</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（3）我方已提供的全部文件资料是真实、准确的，并对此承担一切法律后果。</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 其他补充条款（如有）：___________。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与本响应有关的一切正式往来信函请寄：</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地址_________________________</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传真_________________________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电话_________________________</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电子函件_____________________</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供应商名称（加盖CA电子公章） ___________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日期：_____年______月______日    </w:t>
      </w:r>
      <w:r/>
    </w:p>
    <w:p>
      <w:pPr>
        <w:contextualSpacing/>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Cs/>
          <w:color w:val="000000"/>
          <w:sz w:val="24"/>
          <w:highlight w:val="none"/>
        </w:rPr>
      </w:r>
      <w:r/>
    </w:p>
    <w:p>
      <w:pPr>
        <w:spacing w:line="360" w:lineRule="auto"/>
        <w:rPr>
          <w:rFonts w:hint="eastAsia" w:ascii="宋体" w:hAnsi="宋体" w:eastAsia="宋体" w:cs="宋体"/>
          <w:color w:val="000000"/>
          <w:sz w:val="24"/>
          <w:highlight w:val="none"/>
        </w:rPr>
        <w:outlineLvl w:val="2"/>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 法定代表人资格证明书（实质性格式）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法定代表人资格证明书</w:t>
      </w:r>
      <w:r/>
    </w:p>
    <w:p>
      <w:pPr>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单位名称</w:t>
      </w:r>
      <w:r>
        <w:rPr>
          <w:rFonts w:hint="eastAsia" w:ascii="宋体" w:hAnsi="宋体" w:cs="宋体"/>
          <w:bCs/>
          <w:color w:val="000000"/>
          <w:sz w:val="24"/>
          <w:highlight w:val="none"/>
          <w:lang w:eastAsia="zh-CN"/>
        </w:rPr>
        <w:t xml:space="preserve">：</w:t>
      </w:r>
      <w:r/>
    </w:p>
    <w:p>
      <w:pPr>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地址</w:t>
      </w:r>
      <w:r>
        <w:rPr>
          <w:rFonts w:hint="eastAsia" w:ascii="宋体" w:hAnsi="宋体" w:cs="宋体"/>
          <w:bCs/>
          <w:color w:val="000000"/>
          <w:sz w:val="24"/>
          <w:highlight w:val="none"/>
          <w:lang w:eastAsia="zh-CN"/>
        </w:rPr>
        <w:t xml:space="preserve">：</w:t>
      </w:r>
      <w:r/>
    </w:p>
    <w:p>
      <w:pPr>
        <w:contextualSpacing/>
        <w:ind w:firstLine="480"/>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姓名</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性别</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年龄</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职务</w:t>
      </w:r>
      <w:r>
        <w:rPr>
          <w:rFonts w:hint="eastAsia" w:ascii="宋体" w:hAnsi="宋体" w:cs="宋体"/>
          <w:bCs/>
          <w:color w:val="000000"/>
          <w:sz w:val="24"/>
          <w:highlight w:val="none"/>
          <w:lang w:eastAsia="zh-CN"/>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w:t>
      </w:r>
      <w:r>
        <w:rPr>
          <w:rFonts w:hint="eastAsia" w:ascii="宋体" w:hAnsi="宋体" w:eastAsia="宋体" w:cs="宋体"/>
          <w:bCs/>
          <w:color w:val="000000"/>
          <w:sz w:val="24"/>
          <w:highlight w:val="none"/>
          <w:u w:val="single"/>
        </w:rPr>
        <w:t xml:space="preserve">（供应商名称）</w:t>
      </w:r>
      <w:r>
        <w:rPr>
          <w:rFonts w:hint="eastAsia" w:ascii="宋体" w:hAnsi="宋体" w:eastAsia="宋体" w:cs="宋体"/>
          <w:bCs/>
          <w:color w:val="000000"/>
          <w:sz w:val="24"/>
          <w:highlight w:val="none"/>
        </w:rPr>
        <w:t xml:space="preserve">的法定代表人。为参与</w:t>
      </w:r>
      <w:r>
        <w:rPr>
          <w:rFonts w:hint="eastAsia" w:ascii="宋体" w:hAnsi="宋体" w:eastAsia="宋体" w:cs="宋体"/>
          <w:bCs/>
          <w:color w:val="000000"/>
          <w:sz w:val="24"/>
          <w:highlight w:val="none"/>
          <w:u w:val="single"/>
        </w:rPr>
        <w:t xml:space="preserve">（项目名称）</w:t>
      </w:r>
      <w:r>
        <w:rPr>
          <w:rFonts w:hint="eastAsia" w:ascii="宋体" w:hAnsi="宋体" w:eastAsia="宋体" w:cs="宋体"/>
          <w:bCs/>
          <w:color w:val="000000"/>
          <w:sz w:val="24"/>
          <w:highlight w:val="none"/>
        </w:rPr>
        <w:t xml:space="preserve">的政府采购活动，签署、澄清确认、递交、撤回、修改上述项目的响应文件、进行合同磋商、签署合同和处理与之有关的一切事务。</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特此证明。</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附：法定代表人（单位负责人）有效期内的身份证正反面复印件。</w:t>
      </w:r>
      <w:r/>
    </w:p>
    <w:tbl>
      <w:tblPr>
        <w:tblStyle w:val="940"/>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5"/>
        <w:gridCol w:w="4353"/>
      </w:tblGrid>
      <w:tr>
        <w:trPr>
          <w:trHeight w:val="2034"/>
        </w:trPr>
        <w:tc>
          <w:tcPr>
            <w:tcW w:w="4515" w:type="dxa"/>
            <w:vAlign w:val="top"/>
            <w:textDirection w:val="lrTb"/>
            <w:noWrap w:val="false"/>
          </w:tcPr>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353" w:type="dxa"/>
            <w:vAlign w:val="top"/>
            <w:textDirection w:val="lrTb"/>
            <w:noWrap w:val="false"/>
          </w:tcPr>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供应商：（加盖CA电子公章）</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1.若供应商为事业单位或其他组织或分支机构（仅当磋商文件注明允许分支机构响应的），则法定代表人（单位负责人）处的签署人可为单位负责人。</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2.供应商为自然人的情形，可不提供本《法定代表人资格证明书》。</w:t>
      </w:r>
      <w:r/>
    </w:p>
    <w:p>
      <w:pPr>
        <w:contextualSpacing/>
        <w:ind w:firstLine="480"/>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Cs/>
          <w:color w:val="000000"/>
          <w:sz w:val="24"/>
          <w:highlight w:val="none"/>
        </w:rPr>
      </w:r>
      <w:r/>
    </w:p>
    <w:p>
      <w:p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授权委托书（实质性格式）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授权委托书</w:t>
      </w:r>
      <w:r/>
    </w:p>
    <w:p>
      <w:pPr>
        <w:contextualSpacing/>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本授权委托书声明：__________________（供应商名称）的_______________（法定代表人姓名、职务）代表供应商授权_______________________（被授权人的姓名、职务）为</w:t>
      </w:r>
      <w:r>
        <w:rPr>
          <w:rFonts w:hint="eastAsia" w:ascii="宋体" w:hAnsi="宋体" w:eastAsia="宋体" w:cs="宋体"/>
          <w:bCs/>
          <w:color w:val="000000"/>
          <w:sz w:val="24"/>
          <w:highlight w:val="none"/>
          <w:u w:val="single"/>
        </w:rPr>
        <w:t xml:space="preserve">      （项目名称）  </w:t>
      </w:r>
      <w:r>
        <w:rPr>
          <w:rFonts w:hint="eastAsia" w:ascii="宋体" w:hAnsi="宋体" w:eastAsia="宋体" w:cs="宋体"/>
          <w:bCs/>
          <w:color w:val="000000"/>
          <w:sz w:val="24"/>
          <w:highlight w:val="none"/>
        </w:rPr>
        <w:t xml:space="preserve">项目的合法代理人，全权负责参加本次政府采购项目的采购活动、签订合约以及与之相关的各项工作。本供应商对代理人的所有签名负全部责任。</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本授权书于__________年_______月________日签字生效，特此声明。</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                       日期：</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职务：                                       联系电话：</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                                   地址：</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身份证号码：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委托代理人签字或盖章：                       日期：</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职务：                                       联系电话：</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                                   地址：</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身份证号码：</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供应商：（加盖CA电子公章）</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地址：                                        电话：</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传真：                                        邮编：</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开户行：</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账</w:t>
      </w:r>
      <w:r>
        <w:rPr>
          <w:rFonts w:hint="eastAsia" w:ascii="宋体" w:hAnsi="宋体" w:eastAsia="宋体" w:cs="宋体"/>
          <w:bCs/>
          <w:color w:val="000000"/>
          <w:sz w:val="24"/>
          <w:highlight w:val="none"/>
        </w:rPr>
        <w:t xml:space="preserve">号：</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附：委托代理人有效期内的身份证正反面复印件。</w:t>
      </w:r>
      <w:r/>
    </w:p>
    <w:tbl>
      <w:tblPr>
        <w:tblStyle w:val="940"/>
        <w:tblW w:w="0" w:type="auto"/>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5"/>
        <w:gridCol w:w="4245"/>
      </w:tblGrid>
      <w:tr>
        <w:trPr>
          <w:trHeight w:val="1700"/>
        </w:trPr>
        <w:tc>
          <w:tcPr>
            <w:tcW w:w="4395" w:type="dxa"/>
            <w:vAlign w:val="top"/>
            <w:textDirection w:val="lrTb"/>
            <w:noWrap w:val="false"/>
          </w:tcPr>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4245" w:type="dxa"/>
            <w:vAlign w:val="top"/>
            <w:textDirection w:val="lrTb"/>
            <w:noWrap w:val="false"/>
          </w:tcPr>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1.若供应商为事业单位或其他组织或分支机构（仅当磋商文件注明允许分支机构响应的），则法定代表人处的签署人可为单位负责人。</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2.法定代表人参加磋商会议时，提供《法定代表人资格证明书》。</w:t>
      </w:r>
      <w:r/>
    </w:p>
    <w:p>
      <w:pPr>
        <w:contextualSpacing/>
        <w:ind w:firstLine="480"/>
        <w:spacing w:line="360" w:lineRule="auto"/>
        <w:rPr>
          <w:rFonts w:hint="eastAsia" w:ascii="宋体" w:hAnsi="宋体" w:eastAsia="宋体" w:cs="宋体"/>
          <w:b/>
          <w:bCs w:val="0"/>
          <w:color w:val="ff0000"/>
          <w:sz w:val="24"/>
          <w:highlight w:val="none"/>
        </w:rPr>
      </w:pPr>
      <w:r>
        <w:rPr>
          <w:rFonts w:hint="eastAsia" w:ascii="宋体" w:hAnsi="宋体" w:eastAsia="宋体" w:cs="宋体"/>
          <w:bCs/>
          <w:color w:val="000000"/>
          <w:sz w:val="24"/>
          <w:highlight w:val="none"/>
        </w:rPr>
        <w:t xml:space="preserve">3.委托代理人参加磋商会议时，</w:t>
      </w:r>
      <w:r>
        <w:rPr>
          <w:rFonts w:hint="eastAsia" w:ascii="宋体" w:hAnsi="宋体" w:eastAsia="宋体" w:cs="宋体"/>
          <w:b/>
          <w:bCs w:val="0"/>
          <w:color w:val="000000"/>
          <w:sz w:val="24"/>
          <w:highlight w:val="none"/>
        </w:rPr>
        <w:t xml:space="preserve">提供</w:t>
      </w:r>
      <w:r>
        <w:rPr>
          <w:rFonts w:hint="eastAsia" w:ascii="宋体" w:hAnsi="宋体" w:eastAsia="宋体" w:cs="宋体"/>
          <w:b/>
          <w:bCs w:val="0"/>
          <w:color w:val="000000"/>
          <w:sz w:val="24"/>
          <w:szCs w:val="20"/>
          <w:highlight w:val="none"/>
          <w:lang w:eastAsia="zh-CN"/>
        </w:rPr>
        <w:t xml:space="preserve">《</w:t>
      </w:r>
      <w:r>
        <w:rPr>
          <w:rFonts w:hint="eastAsia" w:ascii="宋体" w:hAnsi="宋体" w:eastAsia="宋体" w:cs="宋体"/>
          <w:b/>
          <w:bCs w:val="0"/>
          <w:color w:val="000000"/>
          <w:sz w:val="24"/>
          <w:szCs w:val="20"/>
          <w:highlight w:val="none"/>
        </w:rPr>
        <w:t xml:space="preserve">授权委托书</w:t>
      </w:r>
      <w:r>
        <w:rPr>
          <w:rFonts w:hint="eastAsia" w:ascii="宋体" w:hAnsi="宋体" w:eastAsia="宋体" w:cs="宋体"/>
          <w:b/>
          <w:bCs w:val="0"/>
          <w:color w:val="000000"/>
          <w:sz w:val="24"/>
          <w:szCs w:val="20"/>
          <w:highlight w:val="none"/>
          <w:lang w:eastAsia="zh-CN"/>
        </w:rPr>
        <w:t xml:space="preserve">》</w:t>
      </w:r>
      <w:r>
        <w:rPr>
          <w:rFonts w:hint="eastAsia" w:ascii="宋体" w:hAnsi="宋体" w:eastAsia="宋体" w:cs="宋体"/>
          <w:b/>
          <w:bCs w:val="0"/>
          <w:color w:val="000000"/>
          <w:sz w:val="24"/>
          <w:highlight w:val="none"/>
        </w:rPr>
        <w:t xml:space="preserve">。</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4.供应商为自然人的情形，可不提供本《授权委托书》。</w:t>
      </w:r>
      <w:r/>
    </w:p>
    <w:p>
      <w:pPr>
        <w:contextualSpacing/>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406" w:bottom="1440" w:left="1519" w:header="851" w:footer="992" w:gutter="0"/>
          <w:cols w:num="1" w:sep="0" w:space="1701" w:equalWidth="1"/>
          <w:docGrid w:linePitch="360"/>
        </w:sectPr>
      </w:pPr>
      <w:r>
        <w:rPr>
          <w:rFonts w:hint="eastAsia" w:ascii="宋体" w:hAnsi="宋体" w:eastAsia="宋体" w:cs="宋体"/>
          <w:bCs/>
          <w:color w:val="000000"/>
          <w:sz w:val="24"/>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 政府采购供应商信用承诺书（实质性格式）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政府采购供应商信用承诺书</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
          <w:bCs w:val="0"/>
          <w:color w:val="000000"/>
          <w:sz w:val="24"/>
          <w:highlight w:val="none"/>
        </w:rPr>
        <w:t xml:space="preserve">七、承诺本单位在信用中国网站中无重大违法违规、较重或严重失信记录</w:t>
      </w:r>
      <w:r>
        <w:rPr>
          <w:rFonts w:hint="eastAsia" w:ascii="宋体" w:hAnsi="宋体" w:eastAsia="宋体" w:cs="宋体"/>
          <w:bCs/>
          <w:color w:val="000000"/>
          <w:sz w:val="24"/>
          <w:highlight w:val="none"/>
        </w:rPr>
        <w:t xml:space="preserve">。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九、根据政府采购相关法律法规的规定需要作出的其他承诺。 </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供应商名称（加盖CA电子公章）：____________</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日期：_____年______月______日   </w:t>
      </w:r>
      <w:r/>
    </w:p>
    <w:p>
      <w:pPr>
        <w:spacing w:line="360" w:lineRule="auto"/>
        <w:rPr>
          <w:rFonts w:hint="eastAsia" w:ascii="宋体" w:hAnsi="宋体" w:eastAsia="宋体" w:cs="宋体"/>
          <w:color w:val="000000"/>
          <w:sz w:val="24"/>
          <w:szCs w:val="20"/>
          <w:highlight w:val="none"/>
        </w:rPr>
        <w:sectPr>
          <w:footnotePr/>
          <w:endnotePr/>
          <w:type w:val="nextPage"/>
          <w:pgSz w:w="11906" w:h="16838" w:orient="portrait"/>
          <w:pgMar w:top="1440" w:right="1519" w:bottom="1440" w:left="1519" w:header="851" w:footer="992" w:gutter="0"/>
          <w:cols w:num="1" w:sep="0" w:space="1701" w:equalWidth="1"/>
          <w:docGrid w:linePitch="360"/>
        </w:sectPr>
        <w:outlineLvl w:val="2"/>
      </w:pPr>
      <w:r>
        <w:rPr>
          <w:rFonts w:hint="eastAsia" w:ascii="宋体" w:hAnsi="宋体" w:eastAsia="宋体" w:cs="宋体"/>
          <w:color w:val="000000"/>
          <w:sz w:val="24"/>
          <w:szCs w:val="20"/>
          <w:highlight w:val="none"/>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 报价一览表</w:t>
      </w:r>
      <w:r/>
    </w:p>
    <w:p>
      <w:pPr>
        <w:jc w:val="center"/>
        <w:spacing w:line="360" w:lineRule="auto"/>
        <w:rPr>
          <w:rFonts w:hint="eastAsia" w:ascii="宋体" w:hAnsi="宋体" w:eastAsia="宋体" w:cs="宋体"/>
          <w:b/>
          <w:color w:val="000000"/>
          <w:sz w:val="28"/>
          <w:szCs w:val="28"/>
          <w:highlight w:val="none"/>
        </w:rPr>
      </w:pPr>
      <w:r/>
      <w:bookmarkStart w:id="636" w:name="_Toc226965748"/>
      <w:r/>
      <w:bookmarkStart w:id="637" w:name="_Toc226965831"/>
      <w:r/>
      <w:bookmarkStart w:id="638" w:name="_Toc265228396"/>
      <w:r/>
      <w:bookmarkStart w:id="639" w:name="_Toc226337254"/>
      <w:r/>
      <w:bookmarkStart w:id="640" w:name="_Toc305158826"/>
      <w:r/>
      <w:bookmarkStart w:id="641" w:name="_Toc226309802"/>
      <w:r/>
      <w:bookmarkStart w:id="642" w:name="_Toc264969248"/>
      <w:r/>
      <w:bookmarkStart w:id="643" w:name="_Toc164608672"/>
      <w:r/>
      <w:bookmarkStart w:id="644" w:name="_Toc195842923"/>
      <w:r/>
      <w:bookmarkStart w:id="645" w:name="_Toc164608827"/>
      <w:r/>
      <w:bookmarkStart w:id="646" w:name="_Toc305158900"/>
      <w:r>
        <w:rPr>
          <w:rFonts w:hint="eastAsia" w:ascii="宋体" w:hAnsi="宋体" w:eastAsia="宋体" w:cs="宋体"/>
          <w:b/>
          <w:color w:val="000000"/>
          <w:sz w:val="28"/>
          <w:szCs w:val="28"/>
          <w:highlight w:val="none"/>
        </w:rPr>
        <w:t xml:space="preserve">报价一览表</w:t>
      </w:r>
      <w:bookmarkEnd w:id="636"/>
      <w:r/>
      <w:bookmarkEnd w:id="637"/>
      <w:r/>
      <w:bookmarkEnd w:id="638"/>
      <w:r/>
      <w:bookmarkEnd w:id="639"/>
      <w:r/>
      <w:bookmarkEnd w:id="640"/>
      <w:r/>
      <w:bookmarkEnd w:id="641"/>
      <w:r/>
      <w:bookmarkEnd w:id="642"/>
      <w:r/>
      <w:bookmarkEnd w:id="643"/>
      <w:r/>
      <w:bookmarkEnd w:id="644"/>
      <w:r/>
      <w:bookmarkEnd w:id="645"/>
      <w:r/>
      <w:bookmarkEnd w:id="646"/>
      <w:r/>
      <w:r/>
    </w:p>
    <w:p>
      <w:pPr>
        <w:spacing w:line="360" w:lineRule="auto"/>
        <w:rPr>
          <w:rFonts w:hint="eastAsia" w:ascii="宋体" w:hAnsi="宋体" w:eastAsia="宋体" w:cs="宋体"/>
          <w:color w:val="000000"/>
          <w:sz w:val="24"/>
          <w:szCs w:val="20"/>
          <w:highlight w:val="none"/>
        </w:rPr>
      </w:pPr>
      <w:r>
        <w:rPr>
          <w:rFonts w:hint="eastAsia" w:ascii="宋体" w:hAnsi="宋体" w:eastAsia="宋体" w:cs="宋体"/>
          <w:b/>
          <w:color w:val="000000"/>
          <w:sz w:val="24"/>
          <w:highlight w:val="none"/>
        </w:rPr>
        <w:t xml:space="preserve">（一）供应商在提交响应文件时，应按照投标工具（苏采云客户端）的提示流程编制提交报价一览表，报价一览表格式以投标工具中的为准。</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本项目采用优惠率报价，供应商根据成本自行决定报价，应包括成本、法定税费和相应的利润，应涵盖本项目采购范围和磋商文件所列的各项内容中所述的全部。</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（三）本项目报价以优惠率进行报价。</w:t>
      </w:r>
      <w:r/>
    </w:p>
    <w:p>
      <w:pPr>
        <w:spacing w:line="360" w:lineRule="auto"/>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例：优惠20个点，则报价填写 20 %；投标报价填写错误不做修正。</w:t>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cs="宋体"/>
          <w:b w:val="0"/>
          <w:bCs w:val="0"/>
          <w:color w:val="000000"/>
          <w:sz w:val="24"/>
          <w:szCs w:val="20"/>
          <w:highlight w:val="none"/>
          <w:lang w:val="en-US" w:eastAsia="zh-CN"/>
        </w:rPr>
        <w:t xml:space="preserve">8</w:t>
      </w:r>
      <w:r>
        <w:rPr>
          <w:rFonts w:hint="eastAsia" w:ascii="宋体" w:hAnsi="宋体" w:eastAsia="宋体" w:cs="宋体"/>
          <w:b w:val="0"/>
          <w:bCs w:val="0"/>
          <w:color w:val="000000"/>
          <w:sz w:val="24"/>
          <w:szCs w:val="20"/>
          <w:highlight w:val="none"/>
        </w:rPr>
        <w:t xml:space="preserve"> </w:t>
      </w:r>
      <w:r>
        <w:rPr>
          <w:rFonts w:hint="eastAsia" w:ascii="宋体" w:hAnsi="宋体" w:eastAsia="宋体" w:cs="宋体"/>
          <w:color w:val="000000"/>
          <w:sz w:val="24"/>
          <w:szCs w:val="20"/>
          <w:highlight w:val="none"/>
        </w:rPr>
        <w:t xml:space="preserve">合同条款偏离表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合同条款偏离表</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项目编号：_______________     项目名称：_____________________</w:t>
      </w:r>
      <w:r/>
    </w:p>
    <w:tbl>
      <w:tblPr>
        <w:tblStyle w:val="9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980"/>
        <w:gridCol w:w="1680"/>
        <w:gridCol w:w="1725"/>
        <w:gridCol w:w="1735"/>
        <w:gridCol w:w="876"/>
      </w:tblGrid>
      <w:tr>
        <w:trPr>
          <w:jc w:val="center"/>
          <w:trHeight w:val="930"/>
        </w:trPr>
        <w:tc>
          <w:tcPr>
            <w:gridSpan w:val="6"/>
            <w:tcW w:w="8838" w:type="dxa"/>
            <w:vAlign w:val="center"/>
            <w:textDirection w:val="lrTb"/>
            <w:noWrap w:val="false"/>
          </w:tcPr>
          <w:p>
            <w:pPr>
              <w:contextualSpacing/>
              <w:jc w:val="lef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对本项目合同条款的偏离情况</w:t>
            </w:r>
            <w:r>
              <w:rPr>
                <w:rFonts w:hint="eastAsia" w:ascii="宋体" w:hAnsi="宋体" w:eastAsia="宋体" w:cs="宋体"/>
                <w:bCs/>
                <w:color w:val="000000"/>
                <w:sz w:val="24"/>
                <w:highlight w:val="none"/>
              </w:rPr>
              <w:t xml:space="preserve">（请进行勾选）：</w:t>
            </w:r>
            <w:r/>
          </w:p>
          <w:p>
            <w:pPr>
              <w:contextualSpacing/>
              <w:jc w:val="lef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□无偏离</w:t>
            </w:r>
            <w:r>
              <w:rPr>
                <w:rFonts w:hint="eastAsia" w:ascii="宋体" w:hAnsi="宋体" w:eastAsia="宋体" w:cs="宋体"/>
                <w:bCs/>
                <w:color w:val="000000"/>
                <w:sz w:val="24"/>
                <w:highlight w:val="none"/>
              </w:rPr>
              <w:t xml:space="preserve">（如无偏离，仅勾选无偏离即可）</w:t>
            </w:r>
            <w:r/>
          </w:p>
          <w:p>
            <w:pPr>
              <w:contextualSpacing/>
              <w:jc w:val="left"/>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□有偏离</w:t>
            </w:r>
            <w:r>
              <w:rPr>
                <w:rFonts w:hint="eastAsia" w:ascii="宋体" w:hAnsi="宋体" w:eastAsia="宋体" w:cs="宋体"/>
                <w:bCs/>
                <w:color w:val="000000"/>
                <w:sz w:val="24"/>
                <w:highlight w:val="none"/>
              </w:rPr>
              <w:t xml:space="preserve">（如有负偏离，则须在本表中对负偏离项逐一列明）</w:t>
            </w:r>
            <w:r/>
          </w:p>
        </w:tc>
      </w:tr>
      <w:tr>
        <w:trPr>
          <w:jc w:val="center"/>
          <w:trHeight w:val="930"/>
        </w:trPr>
        <w:tc>
          <w:tcPr>
            <w:tcW w:w="842"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198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磋商文件条目号（页码）</w:t>
            </w:r>
            <w:r/>
          </w:p>
        </w:tc>
        <w:tc>
          <w:tcPr>
            <w:tcW w:w="1680"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磋商文件要求</w:t>
            </w:r>
            <w:r/>
          </w:p>
        </w:tc>
        <w:tc>
          <w:tcPr>
            <w:tcW w:w="172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响应文件内容</w:t>
            </w:r>
            <w:r/>
          </w:p>
        </w:tc>
        <w:tc>
          <w:tcPr>
            <w:tcW w:w="1735"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偏离情况</w:t>
            </w:r>
            <w:r/>
          </w:p>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（据实填写）</w:t>
            </w:r>
            <w:r/>
          </w:p>
        </w:tc>
        <w:tc>
          <w:tcPr>
            <w:tcW w:w="876" w:type="dxa"/>
            <w:vAlign w:val="center"/>
            <w:textDirection w:val="lrTb"/>
            <w:noWrap w:val="false"/>
          </w:tcPr>
          <w:p>
            <w:pPr>
              <w:contextualSpacing/>
              <w:jc w:val="center"/>
              <w:keepLines w:val="0"/>
              <w:keepNext w:val="0"/>
              <w:pageBreakBefore w:val="0"/>
              <w:spacing w:line="24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w:t>
            </w:r>
            <w:r/>
          </w:p>
        </w:tc>
      </w:tr>
      <w:tr>
        <w:trPr>
          <w:jc w:val="center"/>
          <w:trHeight w:val="930"/>
        </w:trPr>
        <w:tc>
          <w:tcPr>
            <w:tcW w:w="842"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2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3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76"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Height w:val="930"/>
        </w:trPr>
        <w:tc>
          <w:tcPr>
            <w:tcW w:w="842"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2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3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76"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Height w:val="930"/>
        </w:trPr>
        <w:tc>
          <w:tcPr>
            <w:tcW w:w="842"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2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3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76"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Height w:val="930"/>
        </w:trPr>
        <w:tc>
          <w:tcPr>
            <w:tcW w:w="842"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9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8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2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73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876"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1.对合同条款中的所有要求，除本表所列明的所有偏离外，均视作供应商已对之理解和响应。</w:t>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szCs w:val="24"/>
          <w:highlight w:val="none"/>
        </w:rPr>
        <w:t xml:space="preserve">加盖CA电子公章</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highlight w:val="none"/>
        </w:rPr>
        <w:t xml:space="preserve">：    ____________</w:t>
      </w:r>
      <w:r/>
    </w:p>
    <w:p>
      <w:pPr>
        <w:contextualSpacing/>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Cs/>
          <w:color w:val="000000"/>
          <w:sz w:val="24"/>
          <w:highlight w:val="none"/>
        </w:rPr>
        <w:t xml:space="preserve">日期：_____年______月______日</w:t>
      </w:r>
      <w:r/>
    </w:p>
    <w:p>
      <w:pPr>
        <w:spacing w:line="360" w:lineRule="auto"/>
        <w:rPr>
          <w:rFonts w:hint="eastAsia" w:ascii="宋体" w:hAnsi="宋体" w:eastAsia="宋体" w:cs="宋体"/>
          <w:color w:val="000000"/>
          <w:sz w:val="24"/>
          <w:szCs w:val="20"/>
          <w:highlight w:val="none"/>
        </w:rPr>
        <w:outlineLvl w:val="2"/>
      </w:pPr>
      <w:r>
        <w:rPr>
          <w:rFonts w:hint="eastAsia" w:ascii="宋体" w:hAnsi="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采购需求偏离表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项目编号：_______________     项目名称：_____________________</w:t>
      </w:r>
      <w:r/>
    </w:p>
    <w:tbl>
      <w:tblPr>
        <w:tblStyle w:val="9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270"/>
        <w:gridCol w:w="1929"/>
        <w:gridCol w:w="1930"/>
        <w:gridCol w:w="2369"/>
        <w:gridCol w:w="771"/>
      </w:tblGrid>
      <w:tr>
        <w:trPr>
          <w:jc w:val="center"/>
          <w:trHeight w:val="930"/>
        </w:trPr>
        <w:tc>
          <w:tcPr>
            <w:gridSpan w:val="6"/>
            <w:tcW w:w="9084" w:type="dxa"/>
            <w:vAlign w:val="center"/>
            <w:textDirection w:val="lrTb"/>
            <w:noWrap w:val="false"/>
          </w:tcPr>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对本项目采购需求的偏离情况（请进行勾选）：</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p>
          <w:p>
            <w:pPr>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如有负偏离，</w:t>
            </w:r>
            <w:r>
              <w:rPr>
                <w:rFonts w:hint="eastAsia" w:ascii="宋体" w:hAnsi="宋体" w:eastAsia="宋体" w:cs="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磋商文件</w:t>
            </w:r>
            <w:r>
              <w:rPr>
                <w:rFonts w:hint="eastAsia" w:ascii="宋体" w:hAnsi="宋体" w:eastAsia="宋体" w:cs="宋体"/>
                <w:color w:val="000000"/>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磋商文件</w:t>
            </w:r>
            <w:r>
              <w:rPr>
                <w:rFonts w:hint="eastAsia" w:ascii="宋体" w:hAnsi="宋体" w:eastAsia="宋体" w:cs="宋体"/>
                <w:color w:val="000000"/>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0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5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rFonts w:hint="eastAsia" w:ascii="宋体" w:hAnsi="宋体" w:eastAsia="宋体" w:cs="宋体"/>
          <w:color w:val="000000"/>
          <w:sz w:val="24"/>
          <w:highlight w:val="none"/>
        </w:rPr>
        <w:t xml:space="preserve">。</w:t>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szCs w:val="24"/>
          <w:highlight w:val="none"/>
        </w:rPr>
        <w:t xml:space="preserve">加盖CA电子公章</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z w:val="24"/>
          <w:highlight w:val="none"/>
          <w:lang w:val="zh-CN"/>
        </w:rPr>
        <w:t xml:space="preserve">：    ____________</w:t>
      </w:r>
      <w:r/>
    </w:p>
    <w:p>
      <w:pPr>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szCs w:val="20"/>
          <w:highlight w:val="none"/>
        </w:rPr>
        <w:t xml:space="preserve">日期：_____年______月______日   </w:t>
      </w:r>
      <w:r/>
    </w:p>
    <w:p>
      <w:p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szCs w:val="20"/>
          <w:highlight w:val="none"/>
        </w:rPr>
        <w:br w:type="page" w:clear="all"/>
      </w:r>
      <w:r/>
    </w:p>
    <w:p>
      <w:p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 参加本项目人员一览表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参加本项目人员一览表</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项目编号： </w:t>
      </w:r>
      <w:r/>
    </w:p>
    <w:tbl>
      <w:tblPr>
        <w:tblStyle w:val="94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性别</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年龄</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毕业学校和学历</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专业</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职称</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专业培训及证书</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责任</w:t>
            </w:r>
            <w:r/>
          </w:p>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或分工</w:t>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项目经历或主要工作</w:t>
            </w:r>
            <w:r/>
          </w:p>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业绩</w:t>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W w:w="76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945"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contextualSpacing/>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注：参加本项目人员须是供应商正式职工。</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szCs w:val="24"/>
          <w:highlight w:val="none"/>
        </w:rPr>
        <w:t xml:space="preserve">加盖CA电子公章</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highlight w:val="none"/>
        </w:rPr>
        <w:t xml:space="preserve">：    ____________</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日期：_____年______月______日   </w:t>
      </w:r>
      <w:bookmarkStart w:id="647" w:name="_Toc288738839"/>
      <w:r/>
      <w:bookmarkStart w:id="648" w:name="_Toc288738397"/>
      <w:r/>
      <w:r/>
    </w:p>
    <w:p>
      <w:pPr>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 相关业绩案例一览表</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相关业绩案例一览表</w:t>
      </w:r>
      <w:bookmarkEnd w:id="647"/>
      <w:r/>
      <w:bookmarkEnd w:id="648"/>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项目编号：                   </w:t>
      </w:r>
      <w:r/>
    </w:p>
    <w:tbl>
      <w:tblPr>
        <w:tblStyle w:val="940"/>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contextualSpacing/>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szCs w:val="24"/>
          <w:highlight w:val="none"/>
        </w:rPr>
        <w:t xml:space="preserve">加盖CA电子公章</w:t>
      </w:r>
      <w:r>
        <w:rPr>
          <w:rFonts w:hint="eastAsia" w:ascii="宋体" w:hAnsi="宋体" w:eastAsia="宋体" w:cs="宋体"/>
          <w:color w:val="000000"/>
          <w:spacing w:val="8"/>
          <w:sz w:val="24"/>
          <w:szCs w:val="24"/>
          <w:highlight w:val="none"/>
        </w:rPr>
        <w:t xml:space="preserve">）</w:t>
      </w:r>
      <w:r>
        <w:rPr>
          <w:rFonts w:hint="eastAsia" w:ascii="宋体" w:hAnsi="宋体" w:eastAsia="宋体" w:cs="宋体"/>
          <w:bCs/>
          <w:color w:val="000000"/>
          <w:sz w:val="24"/>
          <w:highlight w:val="none"/>
        </w:rPr>
        <w:t xml:space="preserve">：____________</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日期：_____年______月______日   </w:t>
      </w:r>
      <w:r/>
    </w:p>
    <w:p>
      <w:pPr>
        <w:contextualSpacing/>
        <w:spacing w:line="360" w:lineRule="auto"/>
        <w:rPr>
          <w:rFonts w:hint="eastAsia" w:ascii="宋体" w:hAnsi="宋体" w:eastAsia="宋体" w:cs="宋体"/>
          <w:bCs/>
          <w:color w:val="000000"/>
          <w:sz w:val="24"/>
          <w:highlight w:val="none"/>
        </w:rPr>
        <w:sectPr>
          <w:footnotePr/>
          <w:endnotePr/>
          <w:type w:val="nextPage"/>
          <w:pgSz w:w="11906" w:h="16838" w:orient="portrait"/>
          <w:pgMar w:top="1440" w:right="1519" w:bottom="1440" w:left="1519" w:header="851" w:footer="992" w:gutter="0"/>
          <w:cols w:num="1" w:sep="0" w:space="1701" w:equalWidth="1"/>
          <w:docGrid w:linePitch="360"/>
        </w:sectPr>
      </w:pPr>
      <w:r>
        <w:rPr>
          <w:rFonts w:hint="eastAsia" w:ascii="宋体" w:hAnsi="宋体" w:eastAsia="宋体" w:cs="宋体"/>
          <w:bCs/>
          <w:color w:val="000000"/>
          <w:sz w:val="24"/>
          <w:highlight w:val="none"/>
        </w:rPr>
      </w:r>
      <w:r/>
    </w:p>
    <w:p>
      <w:pPr>
        <w:spacing w:line="360" w:lineRule="auto"/>
        <w:rPr>
          <w:rFonts w:hint="eastAsia" w:ascii="宋体" w:hAnsi="宋体" w:eastAsia="宋体" w:cs="宋体"/>
          <w:color w:val="000000"/>
          <w:sz w:val="24"/>
          <w:highlight w:val="none"/>
        </w:rPr>
        <w:outlineLvl w:val="2"/>
      </w:pPr>
      <w:r>
        <w:rPr>
          <w:rFonts w:hint="eastAsia" w:ascii="宋体" w:hAnsi="宋体" w:eastAsia="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bCs/>
          <w:color w:val="000000"/>
          <w:sz w:val="24"/>
          <w:highlight w:val="none"/>
        </w:rPr>
        <w:t xml:space="preserve"> </w:t>
      </w:r>
      <w:r>
        <w:rPr>
          <w:rFonts w:hint="eastAsia" w:ascii="宋体" w:hAnsi="宋体" w:eastAsia="宋体" w:cs="宋体"/>
          <w:color w:val="000000"/>
          <w:sz w:val="24"/>
          <w:highlight w:val="none"/>
        </w:rPr>
        <w:t xml:space="preserve">磋商文件要求提供、</w:t>
      </w:r>
      <w:r>
        <w:rPr>
          <w:rFonts w:hint="eastAsia" w:ascii="宋体" w:hAnsi="宋体" w:eastAsia="宋体" w:cs="宋体"/>
          <w:color w:val="000000"/>
          <w:sz w:val="24"/>
          <w:szCs w:val="20"/>
          <w:highlight w:val="none"/>
        </w:rPr>
        <w:t xml:space="preserve">评分标准要求以及</w:t>
      </w:r>
      <w:r>
        <w:rPr>
          <w:rFonts w:hint="eastAsia" w:ascii="宋体" w:hAnsi="宋体" w:eastAsia="宋体" w:cs="宋体"/>
          <w:color w:val="000000"/>
          <w:sz w:val="24"/>
          <w:highlight w:val="none"/>
        </w:rPr>
        <w:t xml:space="preserve">供应商认为应附的其他材料</w:t>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contextualSpacing/>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519" w:bottom="1440"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Arial Unicode MS">
    <w:panose1 w:val="020B0604020202020204"/>
  </w:font>
  <w:font w:name="Arial">
    <w:panose1 w:val="020B0604020202020204"/>
  </w:font>
  <w:font w:name="仿宋_GB2312">
    <w:panose1 w:val="02010609060101010101"/>
  </w:font>
  <w:font w:name="黑体">
    <w:panose1 w:val="02010609060101010101"/>
  </w:font>
  <w:font w:name="CIDFont+F4">
    <w:panose1 w:val="020B0503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51388" cy="162780"/>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flipH="0" flipV="0">
                        <a:off x="0" y="0"/>
                        <a:ext cx="45138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shd w:val="nil" w:color="auto"/>
                            <w:tabs>
                              <w:tab w:val="clear" w:pos="7143" w:leader="none"/>
                              <w:tab w:val="clear" w:pos="14287" w:leader="none"/>
                            </w:tabs>
                            <w:rPr>
                              <w14:ligatures w14:val="none"/>
                            </w:rP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35.5pt;height:12.8pt;mso-wrap-distance-left:9.0pt;mso-wrap-distance-top:0.0pt;mso-wrap-distance-right:9.0pt;mso-wrap-distance-bottom:0.0pt;v-text-anchor:top;visibility:visible;" filled="f" stroked="f" strokeweight="0.50pt">
              <v:textbox inset="0,0,0,0">
                <w:txbxContent>
                  <w:p>
                    <w:pPr>
                      <w:pStyle w:val="947"/>
                      <w:shd w:val="nil" w:color="auto"/>
                      <w:tabs>
                        <w:tab w:val="clear" w:pos="7143" w:leader="none"/>
                        <w:tab w:val="clear" w:pos="14287" w:leader="none"/>
                      </w:tabs>
                      <w:rPr>
                        <w14:ligatures w14:val="none"/>
                      </w:rP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rStyle w:val="1124"/>
      </w:rPr>
      <w:framePr w:wrap="around" w:vAnchor="text" w:hAnchor="margin" w:xAlign="right" w:y="1"/>
    </w:pPr>
    <w:r>
      <w:fldChar w:fldCharType="begin"/>
    </w:r>
    <w:r>
      <w:rPr>
        <w:rStyle w:val="1124"/>
      </w:rPr>
      <w:instrText xml:space="preserve">PAGE  </w:instrText>
    </w:r>
    <w:r>
      <w:fldChar w:fldCharType="separate"/>
    </w:r>
    <w:r>
      <w:rPr>
        <w:rStyle w:val="1124"/>
      </w:rPr>
      <w:t xml:space="preserve">1</w:t>
    </w:r>
    <w:r>
      <w:fldChar w:fldCharType="end"/>
    </w:r>
    <w:r/>
  </w:p>
  <w:p>
    <w:pPr>
      <w:pStyle w:val="111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Times New Roman" w:eastAsia="宋体" w:cs="Times New Roman"/>
        <w:sz w:val="2"/>
        <w:szCs w:val="24"/>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00"/>
      <w:spacing w:line="222" w:lineRule="auto"/>
      <w:rPr>
        <w:rFonts w:ascii="宋体" w:hAnsi="宋体" w:eastAsia="宋体" w:cs="宋体"/>
        <w:sz w:val="11"/>
        <w:szCs w:val="11"/>
      </w:rPr>
    </w:pPr>
    <w:r>
      <w:rPr>
        <w:sz w:val="1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Times New Roman" w:cs="Times New Roman"/>
        <w:sz w:val="2"/>
        <w:szCs w:val="24"/>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005"/>
      <w:spacing w:line="222" w:lineRule="auto"/>
      <w:rPr>
        <w:rFonts w:ascii="宋体" w:hAnsi="宋体" w:eastAsia="宋体" w:cs="宋体"/>
        <w:sz w:val="11"/>
        <w:szCs w:val="11"/>
      </w:rPr>
    </w:pPr>
    <w:r>
      <w:rPr>
        <w:sz w:val="1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06996" cy="162780"/>
              <wp:effectExtent l="3175" t="3175" r="3175" b="3175"/>
              <wp:wrapNone/>
              <wp:docPr id="7" name="文本框 19"/>
              <wp:cNvGraphicFramePr/>
              <a:graphic xmlns:a="http://schemas.openxmlformats.org/drawingml/2006/main">
                <a:graphicData uri="http://schemas.microsoft.com/office/word/2010/wordprocessingShape">
                  <wps:wsp>
                    <wps:cNvPr id="0" name=""/>
                    <wps:cNvSpPr txBox="1"/>
                    <wps:spPr bwMode="auto">
                      <a:xfrm flipH="0" flipV="0">
                        <a:off x="0" y="0"/>
                        <a:ext cx="30699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24.2pt;height:12.8pt;mso-wrap-distance-left:9.0pt;mso-wrap-distance-top:0.0pt;mso-wrap-distance-right:9.0pt;mso-wrap-distance-bottom:0.0pt;v-text-anchor:top;visibility:visible;" filled="f" stroked="f" strokeweight="0.50pt">
              <v:textbox inset="0,0,0,0">
                <w:txbxContent>
                  <w:p>
                    <w:pPr>
                      <w:pStyle w:val="947"/>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rPr>
        <w:rFonts w:hint="eastAsia"/>
      </w:rPr>
    </w:pPr>
    <w:r>
      <w:rPr>
        <w:rFonts w:hint="eastAsia"/>
      </w:rPr>
    </w:r>
    <w:r/>
  </w:p>
  <w:p>
    <w:pPr>
      <w:pStyle w:val="1119"/>
      <w:jc w:val="right"/>
      <w:rPr>
        <w:rFonts w:hint="eastAsia"/>
      </w:rPr>
    </w:pPr>
    <w:r>
      <w:rPr>
        <w:rFonts w:hint="eastAsia"/>
      </w:rPr>
    </w:r>
    <w:r/>
  </w:p>
  <w:p>
    <w:pPr>
      <w:pStyle w:val="1119"/>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9" w:default="1">
    <w:name w:val="Normal"/>
    <w:link w:val="1140"/>
    <w:uiPriority w:val="0"/>
    <w:qFormat/>
    <w:pPr>
      <w:jc w:val="both"/>
      <w:widowControl w:val="off"/>
    </w:pPr>
    <w:rPr>
      <w:rFonts w:hint="default" w:ascii="Calibri" w:hAnsi="Calibri" w:eastAsia="宋体" w:cs="黑体"/>
      <w:sz w:val="21"/>
      <w:szCs w:val="22"/>
      <w:lang w:val="en-US" w:eastAsia="zh-CN" w:bidi="ar-SA"/>
    </w:rPr>
  </w:style>
  <w:style w:type="paragraph" w:styleId="930">
    <w:name w:val="Heading 1"/>
    <w:basedOn w:val="929"/>
    <w:next w:val="929"/>
    <w:link w:val="964"/>
    <w:uiPriority w:val="9"/>
    <w:qFormat/>
    <w:pPr>
      <w:keepLines/>
      <w:keepNext/>
      <w:spacing w:before="480" w:after="200"/>
      <w:outlineLvl w:val="0"/>
    </w:pPr>
    <w:rPr>
      <w:rFonts w:ascii="Arial" w:hAnsi="Arial" w:eastAsia="Arial" w:cs="Arial"/>
      <w:sz w:val="40"/>
      <w:szCs w:val="40"/>
    </w:rPr>
  </w:style>
  <w:style w:type="paragraph" w:styleId="931">
    <w:name w:val="Heading 2"/>
    <w:basedOn w:val="929"/>
    <w:next w:val="929"/>
    <w:link w:val="965"/>
    <w:uiPriority w:val="9"/>
    <w:unhideWhenUsed/>
    <w:qFormat/>
    <w:pPr>
      <w:keepLines/>
      <w:keepNext/>
      <w:spacing w:before="360" w:after="200"/>
      <w:outlineLvl w:val="1"/>
    </w:pPr>
    <w:rPr>
      <w:rFonts w:ascii="Arial" w:hAnsi="Arial" w:eastAsia="Arial" w:cs="Arial"/>
      <w:sz w:val="34"/>
    </w:rPr>
  </w:style>
  <w:style w:type="paragraph" w:styleId="932">
    <w:name w:val="Heading 3"/>
    <w:basedOn w:val="929"/>
    <w:next w:val="929"/>
    <w:link w:val="966"/>
    <w:uiPriority w:val="9"/>
    <w:unhideWhenUsed/>
    <w:qFormat/>
    <w:pPr>
      <w:keepLines/>
      <w:keepNext/>
      <w:spacing w:before="320" w:after="200"/>
      <w:outlineLvl w:val="2"/>
    </w:pPr>
    <w:rPr>
      <w:rFonts w:ascii="Arial" w:hAnsi="Arial" w:eastAsia="Arial" w:cs="Arial"/>
      <w:sz w:val="30"/>
      <w:szCs w:val="30"/>
    </w:rPr>
  </w:style>
  <w:style w:type="paragraph" w:styleId="933">
    <w:name w:val="Heading 4"/>
    <w:basedOn w:val="929"/>
    <w:next w:val="929"/>
    <w:link w:val="967"/>
    <w:uiPriority w:val="9"/>
    <w:unhideWhenUsed/>
    <w:qFormat/>
    <w:pPr>
      <w:keepLines/>
      <w:keepNext/>
      <w:spacing w:before="320" w:after="200"/>
      <w:outlineLvl w:val="3"/>
    </w:pPr>
    <w:rPr>
      <w:rFonts w:ascii="Arial" w:hAnsi="Arial" w:eastAsia="Arial" w:cs="Arial"/>
      <w:b/>
      <w:bCs/>
      <w:sz w:val="26"/>
      <w:szCs w:val="26"/>
    </w:rPr>
  </w:style>
  <w:style w:type="paragraph" w:styleId="934">
    <w:name w:val="Heading 5"/>
    <w:basedOn w:val="929"/>
    <w:next w:val="929"/>
    <w:link w:val="968"/>
    <w:uiPriority w:val="9"/>
    <w:unhideWhenUsed/>
    <w:qFormat/>
    <w:pPr>
      <w:keepLines/>
      <w:keepNext/>
      <w:spacing w:before="320" w:after="200"/>
      <w:outlineLvl w:val="4"/>
    </w:pPr>
    <w:rPr>
      <w:rFonts w:ascii="Arial" w:hAnsi="Arial" w:eastAsia="Arial" w:cs="Arial"/>
      <w:b/>
      <w:bCs/>
      <w:sz w:val="24"/>
      <w:szCs w:val="24"/>
    </w:rPr>
  </w:style>
  <w:style w:type="paragraph" w:styleId="935">
    <w:name w:val="Heading 6"/>
    <w:basedOn w:val="929"/>
    <w:next w:val="929"/>
    <w:link w:val="969"/>
    <w:uiPriority w:val="9"/>
    <w:unhideWhenUsed/>
    <w:qFormat/>
    <w:pPr>
      <w:keepLines/>
      <w:keepNext/>
      <w:spacing w:before="320" w:after="200"/>
      <w:outlineLvl w:val="5"/>
    </w:pPr>
    <w:rPr>
      <w:rFonts w:ascii="Arial" w:hAnsi="Arial" w:eastAsia="Arial" w:cs="Arial"/>
      <w:b/>
      <w:bCs/>
      <w:sz w:val="22"/>
      <w:szCs w:val="22"/>
    </w:rPr>
  </w:style>
  <w:style w:type="paragraph" w:styleId="936">
    <w:name w:val="Heading 7"/>
    <w:basedOn w:val="929"/>
    <w:next w:val="929"/>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37">
    <w:name w:val="Heading 8"/>
    <w:basedOn w:val="929"/>
    <w:next w:val="929"/>
    <w:link w:val="971"/>
    <w:uiPriority w:val="9"/>
    <w:unhideWhenUsed/>
    <w:qFormat/>
    <w:pPr>
      <w:keepLines/>
      <w:keepNext/>
      <w:spacing w:before="320" w:after="200"/>
      <w:outlineLvl w:val="7"/>
    </w:pPr>
    <w:rPr>
      <w:rFonts w:ascii="Arial" w:hAnsi="Arial" w:eastAsia="Arial" w:cs="Arial"/>
      <w:i/>
      <w:iCs/>
      <w:sz w:val="22"/>
      <w:szCs w:val="22"/>
    </w:rPr>
  </w:style>
  <w:style w:type="paragraph" w:styleId="938">
    <w:name w:val="Heading 9"/>
    <w:basedOn w:val="929"/>
    <w:next w:val="929"/>
    <w:link w:val="972"/>
    <w:uiPriority w:val="9"/>
    <w:unhideWhenUsed/>
    <w:qFormat/>
    <w:pPr>
      <w:keepLines/>
      <w:keepNext/>
      <w:spacing w:before="320" w:after="200"/>
      <w:outlineLvl w:val="8"/>
    </w:pPr>
    <w:rPr>
      <w:rFonts w:ascii="Arial" w:hAnsi="Arial" w:eastAsia="Arial" w:cs="Arial"/>
      <w:i/>
      <w:iCs/>
      <w:sz w:val="21"/>
      <w:szCs w:val="21"/>
    </w:rPr>
  </w:style>
  <w:style w:type="character" w:styleId="939" w:default="1">
    <w:name w:val="Default Paragraph Font"/>
    <w:uiPriority w:val="1"/>
    <w:semiHidden/>
    <w:unhideWhenUsed/>
    <w:qFormat/>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toc 7"/>
    <w:basedOn w:val="929"/>
    <w:next w:val="929"/>
    <w:uiPriority w:val="39"/>
    <w:unhideWhenUsed/>
    <w:qFormat/>
    <w:pPr>
      <w:ind w:left="1701" w:right="0" w:firstLine="0"/>
      <w:spacing w:after="57"/>
    </w:pPr>
  </w:style>
  <w:style w:type="paragraph" w:styleId="942">
    <w:name w:val="Caption"/>
    <w:basedOn w:val="929"/>
    <w:next w:val="9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3">
    <w:name w:val="toc 5"/>
    <w:basedOn w:val="929"/>
    <w:next w:val="929"/>
    <w:uiPriority w:val="39"/>
    <w:unhideWhenUsed/>
    <w:qFormat/>
    <w:pPr>
      <w:ind w:left="1134" w:right="0" w:firstLine="0"/>
      <w:spacing w:after="57"/>
    </w:pPr>
  </w:style>
  <w:style w:type="paragraph" w:styleId="944">
    <w:name w:val="toc 3"/>
    <w:basedOn w:val="929"/>
    <w:next w:val="929"/>
    <w:uiPriority w:val="39"/>
    <w:unhideWhenUsed/>
    <w:qFormat/>
    <w:pPr>
      <w:ind w:left="567" w:right="0" w:firstLine="0"/>
      <w:spacing w:after="57"/>
    </w:pPr>
  </w:style>
  <w:style w:type="paragraph" w:styleId="945">
    <w:name w:val="toc 8"/>
    <w:basedOn w:val="929"/>
    <w:next w:val="929"/>
    <w:uiPriority w:val="39"/>
    <w:unhideWhenUsed/>
    <w:qFormat/>
    <w:pPr>
      <w:ind w:left="1984" w:right="0" w:firstLine="0"/>
      <w:spacing w:after="57"/>
    </w:pPr>
  </w:style>
  <w:style w:type="paragraph" w:styleId="946">
    <w:name w:val="endnote text"/>
    <w:basedOn w:val="929"/>
    <w:link w:val="1109"/>
    <w:uiPriority w:val="99"/>
    <w:semiHidden/>
    <w:unhideWhenUsed/>
    <w:qFormat/>
    <w:pPr>
      <w:spacing w:after="0" w:line="240" w:lineRule="auto"/>
    </w:pPr>
    <w:rPr>
      <w:sz w:val="20"/>
    </w:rPr>
  </w:style>
  <w:style w:type="paragraph" w:styleId="947">
    <w:name w:val="Footer"/>
    <w:basedOn w:val="929"/>
    <w:link w:val="982"/>
    <w:uiPriority w:val="99"/>
    <w:unhideWhenUsed/>
    <w:qFormat/>
    <w:pPr>
      <w:spacing w:after="0" w:line="240" w:lineRule="auto"/>
      <w:tabs>
        <w:tab w:val="center" w:pos="7143" w:leader="none"/>
        <w:tab w:val="right" w:pos="14287" w:leader="none"/>
      </w:tabs>
    </w:pPr>
  </w:style>
  <w:style w:type="paragraph" w:styleId="948">
    <w:name w:val="Header"/>
    <w:basedOn w:val="929"/>
    <w:link w:val="980"/>
    <w:uiPriority w:val="99"/>
    <w:unhideWhenUsed/>
    <w:qFormat/>
    <w:pPr>
      <w:spacing w:after="0" w:line="240" w:lineRule="auto"/>
      <w:tabs>
        <w:tab w:val="center" w:pos="7143" w:leader="none"/>
        <w:tab w:val="right" w:pos="14287" w:leader="none"/>
      </w:tabs>
    </w:pPr>
  </w:style>
  <w:style w:type="paragraph" w:styleId="949">
    <w:name w:val="toc 1"/>
    <w:basedOn w:val="929"/>
    <w:next w:val="929"/>
    <w:uiPriority w:val="39"/>
    <w:unhideWhenUsed/>
    <w:qFormat/>
    <w:pPr>
      <w:ind w:left="0" w:right="0" w:firstLine="0"/>
      <w:spacing w:after="57"/>
    </w:pPr>
  </w:style>
  <w:style w:type="paragraph" w:styleId="950">
    <w:name w:val="toc 4"/>
    <w:basedOn w:val="929"/>
    <w:next w:val="929"/>
    <w:uiPriority w:val="39"/>
    <w:unhideWhenUsed/>
    <w:qFormat/>
    <w:pPr>
      <w:ind w:left="850" w:right="0" w:firstLine="0"/>
      <w:spacing w:after="57"/>
    </w:pPr>
  </w:style>
  <w:style w:type="paragraph" w:styleId="951">
    <w:name w:val="Subtitle"/>
    <w:basedOn w:val="929"/>
    <w:next w:val="929"/>
    <w:link w:val="975"/>
    <w:uiPriority w:val="11"/>
    <w:qFormat/>
    <w:pPr>
      <w:spacing w:before="200" w:after="200"/>
    </w:pPr>
    <w:rPr>
      <w:sz w:val="24"/>
      <w:szCs w:val="24"/>
    </w:rPr>
  </w:style>
  <w:style w:type="paragraph" w:styleId="952">
    <w:name w:val="footnote text"/>
    <w:basedOn w:val="929"/>
    <w:link w:val="1108"/>
    <w:uiPriority w:val="99"/>
    <w:semiHidden/>
    <w:unhideWhenUsed/>
    <w:qFormat/>
    <w:pPr>
      <w:spacing w:after="40" w:line="240" w:lineRule="auto"/>
    </w:pPr>
    <w:rPr>
      <w:sz w:val="18"/>
    </w:rPr>
  </w:style>
  <w:style w:type="paragraph" w:styleId="953">
    <w:name w:val="toc 6"/>
    <w:basedOn w:val="929"/>
    <w:next w:val="929"/>
    <w:uiPriority w:val="39"/>
    <w:unhideWhenUsed/>
    <w:qFormat/>
    <w:pPr>
      <w:ind w:left="1417" w:right="0" w:firstLine="0"/>
      <w:spacing w:after="57"/>
    </w:pPr>
  </w:style>
  <w:style w:type="paragraph" w:styleId="954">
    <w:name w:val="table of figures"/>
    <w:basedOn w:val="929"/>
    <w:next w:val="929"/>
    <w:uiPriority w:val="99"/>
    <w:unhideWhenUsed/>
    <w:qFormat/>
    <w:pPr>
      <w:spacing w:after="0" w:afterAutospacing="0"/>
    </w:pPr>
  </w:style>
  <w:style w:type="paragraph" w:styleId="955">
    <w:name w:val="toc 2"/>
    <w:basedOn w:val="929"/>
    <w:next w:val="929"/>
    <w:uiPriority w:val="39"/>
    <w:unhideWhenUsed/>
    <w:qFormat/>
    <w:pPr>
      <w:ind w:left="283" w:right="0" w:firstLine="0"/>
      <w:spacing w:after="57"/>
    </w:pPr>
  </w:style>
  <w:style w:type="paragraph" w:styleId="956">
    <w:name w:val="toc 9"/>
    <w:basedOn w:val="929"/>
    <w:next w:val="929"/>
    <w:uiPriority w:val="39"/>
    <w:unhideWhenUsed/>
    <w:qFormat/>
    <w:pPr>
      <w:ind w:left="2268" w:right="0" w:firstLine="0"/>
      <w:spacing w:after="57"/>
    </w:pPr>
  </w:style>
  <w:style w:type="paragraph" w:styleId="957">
    <w:name w:val="Normal (Web)"/>
    <w:basedOn w:val="929"/>
    <w:uiPriority w:val="99"/>
    <w:semiHidden/>
    <w:unhideWhenUsed/>
    <w:qFormat/>
    <w:rPr>
      <w:sz w:val="24"/>
    </w:rPr>
  </w:style>
  <w:style w:type="paragraph" w:styleId="958">
    <w:name w:val="Title"/>
    <w:basedOn w:val="929"/>
    <w:next w:val="929"/>
    <w:link w:val="974"/>
    <w:uiPriority w:val="10"/>
    <w:qFormat/>
    <w:pPr>
      <w:contextualSpacing/>
      <w:spacing w:before="300" w:after="200"/>
    </w:pPr>
    <w:rPr>
      <w:sz w:val="48"/>
      <w:szCs w:val="48"/>
    </w:rPr>
  </w:style>
  <w:style w:type="table" w:styleId="9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0">
    <w:name w:val="endnote reference"/>
    <w:uiPriority w:val="99"/>
    <w:semiHidden/>
    <w:unhideWhenUsed/>
    <w:qFormat/>
    <w:rPr>
      <w:vertAlign w:val="superscript"/>
    </w:rPr>
  </w:style>
  <w:style w:type="character" w:styleId="961">
    <w:name w:val="Hyperlink"/>
    <w:uiPriority w:val="99"/>
    <w:unhideWhenUsed/>
    <w:qFormat/>
    <w:rPr>
      <w:color w:val="0000ff" w:themeColor="hyperlink"/>
      <w:u w:val="single"/>
      <w14:textFill>
        <w14:solidFill>
          <w14:schemeClr w14:val="hlink"/>
        </w14:solidFill>
      </w14:textFill>
    </w:rPr>
  </w:style>
  <w:style w:type="character" w:styleId="962">
    <w:name w:val="footnote reference"/>
    <w:uiPriority w:val="99"/>
    <w:unhideWhenUsed/>
    <w:qFormat/>
    <w:rPr>
      <w:vertAlign w:val="superscript"/>
    </w:rPr>
  </w:style>
  <w:style w:type="paragraph" w:styleId="963" w:customStyle="1">
    <w:name w:val="标题 31"/>
    <w:basedOn w:val="929"/>
    <w:next w:val="929"/>
    <w:uiPriority w:val="0"/>
    <w:qFormat/>
    <w:pPr>
      <w:keepLines/>
      <w:keepNext/>
      <w:spacing w:before="260" w:after="260" w:line="416" w:lineRule="auto"/>
      <w:outlineLvl w:val="2"/>
    </w:pPr>
    <w:rPr>
      <w:b/>
      <w:bCs/>
      <w:sz w:val="32"/>
      <w:szCs w:val="32"/>
    </w:rPr>
  </w:style>
  <w:style w:type="character" w:styleId="964" w:customStyle="1">
    <w:name w:val="Heading 1 Char"/>
    <w:link w:val="930"/>
    <w:uiPriority w:val="9"/>
    <w:qFormat/>
    <w:rPr>
      <w:rFonts w:ascii="Arial" w:hAnsi="Arial" w:eastAsia="Arial" w:cs="Arial"/>
      <w:sz w:val="40"/>
      <w:szCs w:val="40"/>
    </w:rPr>
  </w:style>
  <w:style w:type="character" w:styleId="965" w:customStyle="1">
    <w:name w:val="Heading 2 Char"/>
    <w:link w:val="931"/>
    <w:uiPriority w:val="9"/>
    <w:qFormat/>
    <w:rPr>
      <w:rFonts w:ascii="Arial" w:hAnsi="Arial" w:eastAsia="Arial" w:cs="Arial"/>
      <w:sz w:val="34"/>
    </w:rPr>
  </w:style>
  <w:style w:type="character" w:styleId="966" w:customStyle="1">
    <w:name w:val="Heading 3 Char"/>
    <w:link w:val="932"/>
    <w:uiPriority w:val="9"/>
    <w:qFormat/>
    <w:rPr>
      <w:rFonts w:ascii="Arial" w:hAnsi="Arial" w:eastAsia="Arial" w:cs="Arial"/>
      <w:sz w:val="30"/>
      <w:szCs w:val="30"/>
    </w:rPr>
  </w:style>
  <w:style w:type="character" w:styleId="967" w:customStyle="1">
    <w:name w:val="Heading 4 Char"/>
    <w:link w:val="933"/>
    <w:uiPriority w:val="9"/>
    <w:qFormat/>
    <w:rPr>
      <w:rFonts w:ascii="Arial" w:hAnsi="Arial" w:eastAsia="Arial" w:cs="Arial"/>
      <w:b/>
      <w:bCs/>
      <w:sz w:val="26"/>
      <w:szCs w:val="26"/>
    </w:rPr>
  </w:style>
  <w:style w:type="character" w:styleId="968" w:customStyle="1">
    <w:name w:val="Heading 5 Char"/>
    <w:link w:val="934"/>
    <w:uiPriority w:val="9"/>
    <w:qFormat/>
    <w:rPr>
      <w:rFonts w:ascii="Arial" w:hAnsi="Arial" w:eastAsia="Arial" w:cs="Arial"/>
      <w:b/>
      <w:bCs/>
      <w:sz w:val="24"/>
      <w:szCs w:val="24"/>
    </w:rPr>
  </w:style>
  <w:style w:type="character" w:styleId="969" w:customStyle="1">
    <w:name w:val="Heading 6 Char"/>
    <w:link w:val="935"/>
    <w:uiPriority w:val="9"/>
    <w:qFormat/>
    <w:rPr>
      <w:rFonts w:ascii="Arial" w:hAnsi="Arial" w:eastAsia="Arial" w:cs="Arial"/>
      <w:b/>
      <w:bCs/>
      <w:sz w:val="22"/>
      <w:szCs w:val="22"/>
    </w:rPr>
  </w:style>
  <w:style w:type="character" w:styleId="970" w:customStyle="1">
    <w:name w:val="Heading 7 Char"/>
    <w:link w:val="936"/>
    <w:uiPriority w:val="9"/>
    <w:qFormat/>
    <w:rPr>
      <w:rFonts w:ascii="Arial" w:hAnsi="Arial" w:eastAsia="Arial" w:cs="Arial"/>
      <w:b/>
      <w:bCs/>
      <w:i/>
      <w:iCs/>
      <w:sz w:val="22"/>
      <w:szCs w:val="22"/>
    </w:rPr>
  </w:style>
  <w:style w:type="character" w:styleId="971" w:customStyle="1">
    <w:name w:val="Heading 8 Char"/>
    <w:link w:val="937"/>
    <w:uiPriority w:val="9"/>
    <w:qFormat/>
    <w:rPr>
      <w:rFonts w:ascii="Arial" w:hAnsi="Arial" w:eastAsia="Arial" w:cs="Arial"/>
      <w:i/>
      <w:iCs/>
      <w:sz w:val="22"/>
      <w:szCs w:val="22"/>
    </w:rPr>
  </w:style>
  <w:style w:type="character" w:styleId="972" w:customStyle="1">
    <w:name w:val="Heading 9 Char"/>
    <w:link w:val="938"/>
    <w:uiPriority w:val="9"/>
    <w:qFormat/>
    <w:rPr>
      <w:rFonts w:ascii="Arial" w:hAnsi="Arial" w:eastAsia="Arial" w:cs="Arial"/>
      <w:i/>
      <w:iCs/>
      <w:sz w:val="21"/>
      <w:szCs w:val="21"/>
    </w:rPr>
  </w:style>
  <w:style w:type="paragraph" w:styleId="973">
    <w:name w:val="No Spacing"/>
    <w:uiPriority w:val="1"/>
    <w:qFormat/>
    <w:pPr>
      <w:spacing w:before="0" w:after="0" w:line="240" w:lineRule="auto"/>
    </w:pPr>
    <w:rPr>
      <w:rFonts w:hint="default" w:ascii="Times New Roman" w:hAnsi="Times New Roman" w:eastAsia="宋体" w:cs="Times New Roman"/>
    </w:rPr>
  </w:style>
  <w:style w:type="character" w:styleId="974" w:customStyle="1">
    <w:name w:val="Title Char"/>
    <w:link w:val="958"/>
    <w:uiPriority w:val="10"/>
    <w:qFormat/>
    <w:rPr>
      <w:sz w:val="48"/>
      <w:szCs w:val="48"/>
    </w:rPr>
  </w:style>
  <w:style w:type="character" w:styleId="975" w:customStyle="1">
    <w:name w:val="Subtitle Char"/>
    <w:link w:val="951"/>
    <w:uiPriority w:val="11"/>
    <w:qFormat/>
    <w:rPr>
      <w:sz w:val="24"/>
      <w:szCs w:val="24"/>
    </w:rPr>
  </w:style>
  <w:style w:type="paragraph" w:styleId="976">
    <w:name w:val="Quote"/>
    <w:basedOn w:val="929"/>
    <w:next w:val="929"/>
    <w:link w:val="977"/>
    <w:uiPriority w:val="29"/>
    <w:qFormat/>
    <w:pPr>
      <w:ind w:left="720" w:right="720"/>
    </w:pPr>
    <w:rPr>
      <w:i/>
    </w:rPr>
  </w:style>
  <w:style w:type="character" w:styleId="977" w:customStyle="1">
    <w:name w:val="Quote Char"/>
    <w:link w:val="976"/>
    <w:uiPriority w:val="29"/>
    <w:qFormat/>
    <w:rPr>
      <w:i/>
    </w:rPr>
  </w:style>
  <w:style w:type="paragraph" w:styleId="978">
    <w:name w:val="Intense Quote"/>
    <w:basedOn w:val="929"/>
    <w:next w:val="929"/>
    <w:link w:val="9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Intense Quote Char"/>
    <w:link w:val="978"/>
    <w:uiPriority w:val="30"/>
    <w:qFormat/>
    <w:rPr>
      <w:i/>
    </w:rPr>
  </w:style>
  <w:style w:type="character" w:styleId="980" w:customStyle="1">
    <w:name w:val="Header Char"/>
    <w:link w:val="948"/>
    <w:uiPriority w:val="99"/>
    <w:qFormat/>
  </w:style>
  <w:style w:type="character" w:styleId="981" w:customStyle="1">
    <w:name w:val="Footer Char"/>
    <w:link w:val="947"/>
    <w:uiPriority w:val="99"/>
    <w:qFormat/>
  </w:style>
  <w:style w:type="character" w:styleId="982" w:customStyle="1">
    <w:name w:val="Caption Char"/>
    <w:link w:val="947"/>
    <w:uiPriority w:val="99"/>
    <w:qFormat/>
  </w:style>
  <w:style w:type="table" w:styleId="9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8" w:customStyle="1">
    <w:name w:val="Footnote Text Char"/>
    <w:link w:val="952"/>
    <w:uiPriority w:val="99"/>
    <w:qFormat/>
    <w:rPr>
      <w:sz w:val="18"/>
    </w:rPr>
  </w:style>
  <w:style w:type="character" w:styleId="1109" w:customStyle="1">
    <w:name w:val="Endnote Text Char"/>
    <w:link w:val="946"/>
    <w:uiPriority w:val="99"/>
    <w:qFormat/>
    <w:rPr>
      <w:sz w:val="20"/>
    </w:rPr>
  </w:style>
  <w:style w:type="paragraph" w:styleId="1110" w:customStyle="1">
    <w:name w:val="TOC Heading"/>
    <w:uiPriority w:val="39"/>
    <w:unhideWhenUsed/>
    <w:qFormat/>
    <w:rPr>
      <w:rFonts w:hint="default" w:ascii="Times New Roman" w:hAnsi="Times New Roman" w:eastAsia="宋体" w:cs="Times New Roman"/>
    </w:rPr>
  </w:style>
  <w:style w:type="paragraph" w:styleId="1111" w:customStyle="1">
    <w:name w:val="标题 11"/>
    <w:basedOn w:val="929"/>
    <w:next w:val="929"/>
    <w:uiPriority w:val="0"/>
    <w:qFormat/>
    <w:pPr>
      <w:jc w:val="center"/>
      <w:spacing w:line="360" w:lineRule="auto"/>
      <w:outlineLvl w:val="0"/>
    </w:pPr>
    <w:rPr>
      <w:b/>
      <w:sz w:val="36"/>
      <w:szCs w:val="36"/>
    </w:rPr>
  </w:style>
  <w:style w:type="paragraph" w:styleId="1112" w:customStyle="1">
    <w:name w:val="标题 211"/>
    <w:basedOn w:val="929"/>
    <w:next w:val="929"/>
    <w:uiPriority w:val="0"/>
    <w:qFormat/>
    <w:pPr>
      <w:keepLines/>
      <w:keepNext/>
      <w:spacing w:before="260" w:after="260" w:line="416" w:lineRule="auto"/>
      <w:outlineLvl w:val="1"/>
    </w:pPr>
    <w:rPr>
      <w:rFonts w:ascii="Arial" w:hAnsi="Arial" w:eastAsia="黑体"/>
      <w:b/>
      <w:bCs/>
      <w:sz w:val="32"/>
      <w:szCs w:val="32"/>
    </w:rPr>
  </w:style>
  <w:style w:type="character" w:styleId="1113" w:customStyle="1">
    <w:name w:val="默认段落字体1"/>
    <w:link w:val="929"/>
    <w:uiPriority w:val="0"/>
    <w:semiHidden/>
    <w:qFormat/>
  </w:style>
  <w:style w:type="table" w:styleId="1114" w:customStyle="1">
    <w:name w:val="普通表格1"/>
    <w:uiPriority w:val="0"/>
    <w:semiHidden/>
    <w:qFormat/>
    <w:tblPr/>
  </w:style>
  <w:style w:type="paragraph" w:styleId="1115" w:customStyle="1">
    <w:name w:val="正文缩进1"/>
    <w:basedOn w:val="929"/>
    <w:uiPriority w:val="0"/>
    <w:qFormat/>
    <w:pPr>
      <w:ind w:firstLine="420"/>
      <w:jc w:val="left"/>
    </w:pPr>
    <w:rPr>
      <w:rFonts w:ascii="宋体"/>
      <w:sz w:val="24"/>
    </w:rPr>
  </w:style>
  <w:style w:type="paragraph" w:styleId="1116" w:customStyle="1">
    <w:name w:val="正文文本11"/>
    <w:basedOn w:val="929"/>
    <w:uiPriority w:val="0"/>
    <w:qFormat/>
    <w:pPr>
      <w:spacing w:before="120" w:line="22" w:lineRule="atLeast"/>
      <w:tabs>
        <w:tab w:val="left" w:pos="567" w:leader="none"/>
      </w:tabs>
    </w:pPr>
    <w:rPr>
      <w:rFonts w:ascii="宋体" w:hAnsi="宋体" w:cs="Times New Roman"/>
      <w:sz w:val="24"/>
      <w:szCs w:val="24"/>
    </w:rPr>
  </w:style>
  <w:style w:type="paragraph" w:styleId="1117" w:customStyle="1">
    <w:name w:val="纯文本1"/>
    <w:basedOn w:val="929"/>
    <w:uiPriority w:val="99"/>
    <w:qFormat/>
    <w:rPr>
      <w:rFonts w:ascii="宋体" w:hAnsi="Courier New" w:cs="Times New Roman"/>
      <w:szCs w:val="20"/>
    </w:rPr>
  </w:style>
  <w:style w:type="paragraph" w:styleId="1118" w:customStyle="1">
    <w:name w:val="页脚1"/>
    <w:basedOn w:val="929"/>
    <w:uiPriority w:val="0"/>
    <w:qFormat/>
    <w:pPr>
      <w:jc w:val="left"/>
      <w:tabs>
        <w:tab w:val="center" w:pos="4153" w:leader="none"/>
        <w:tab w:val="right" w:pos="8306" w:leader="none"/>
      </w:tabs>
    </w:pPr>
    <w:rPr>
      <w:sz w:val="18"/>
      <w:szCs w:val="18"/>
    </w:rPr>
  </w:style>
  <w:style w:type="paragraph" w:styleId="1119" w:customStyle="1">
    <w:name w:val="页眉1"/>
    <w:basedOn w:val="929"/>
    <w:uiPriority w:val="0"/>
    <w:qFormat/>
    <w:pPr>
      <w:jc w:val="center"/>
      <w:tabs>
        <w:tab w:val="center" w:pos="4153" w:leader="none"/>
        <w:tab w:val="right" w:pos="8306" w:leader="none"/>
      </w:tabs>
      <w:pBdr>
        <w:bottom w:val="single" w:color="000000" w:sz="6" w:space="1"/>
      </w:pBdr>
    </w:pPr>
    <w:rPr>
      <w:sz w:val="18"/>
      <w:szCs w:val="18"/>
    </w:rPr>
  </w:style>
  <w:style w:type="paragraph" w:styleId="1120" w:customStyle="1">
    <w:name w:val="目录 11"/>
    <w:basedOn w:val="929"/>
    <w:next w:val="929"/>
    <w:uiPriority w:val="0"/>
    <w:qFormat/>
    <w:rPr>
      <w:rFonts w:ascii="宋体" w:hAnsi="宋体" w:cs="宋体"/>
      <w:b/>
      <w:sz w:val="32"/>
    </w:rPr>
  </w:style>
  <w:style w:type="paragraph" w:styleId="1121" w:customStyle="1">
    <w:name w:val="副标题1"/>
    <w:basedOn w:val="929"/>
    <w:next w:val="929"/>
    <w:uiPriority w:val="11"/>
    <w:qFormat/>
    <w:pPr>
      <w:jc w:val="center"/>
      <w:spacing w:before="240" w:after="60" w:line="312" w:lineRule="auto"/>
      <w:outlineLvl w:val="1"/>
    </w:pPr>
    <w:rPr>
      <w:rFonts w:ascii="Calibri" w:hAnsi="Calibri" w:eastAsia="宋体" w:cs="Times New Roman"/>
      <w:b/>
      <w:bCs/>
      <w:sz w:val="32"/>
      <w:szCs w:val="32"/>
    </w:rPr>
  </w:style>
  <w:style w:type="paragraph" w:styleId="1122" w:customStyle="1">
    <w:name w:val="普通(网站)1"/>
    <w:basedOn w:val="929"/>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table" w:styleId="1123" w:customStyle="1">
    <w:name w:val="网格型1"/>
    <w:basedOn w:val="1114"/>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1124" w:customStyle="1">
    <w:name w:val="页码1"/>
    <w:basedOn w:val="1113"/>
    <w:link w:val="929"/>
    <w:uiPriority w:val="0"/>
    <w:qFormat/>
  </w:style>
  <w:style w:type="character" w:styleId="1125" w:customStyle="1">
    <w:name w:val="超链接1"/>
    <w:link w:val="929"/>
    <w:uiPriority w:val="0"/>
    <w:qFormat/>
    <w:rPr>
      <w:color w:val="0000ff"/>
      <w:u w:val="single"/>
    </w:rPr>
  </w:style>
  <w:style w:type="character" w:styleId="1126" w:customStyle="1">
    <w:name w:val="NormalCharacter1"/>
    <w:link w:val="929"/>
    <w:uiPriority w:val="0"/>
    <w:qFormat/>
  </w:style>
  <w:style w:type="paragraph" w:styleId="1127">
    <w:name w:val="List Paragraph"/>
    <w:basedOn w:val="929"/>
    <w:uiPriority w:val="0"/>
    <w:qFormat/>
    <w:pPr>
      <w:ind w:firstLine="420"/>
    </w:pPr>
  </w:style>
  <w:style w:type="paragraph" w:styleId="1128" w:customStyle="1">
    <w:name w:val="标题 21"/>
    <w:basedOn w:val="929"/>
    <w:next w:val="1129"/>
    <w:uiPriority w:val="0"/>
    <w:qFormat/>
    <w:pPr>
      <w:jc w:val="center"/>
      <w:keepLines/>
      <w:keepNext/>
      <w:spacing w:before="120" w:line="300" w:lineRule="auto"/>
      <w:outlineLvl w:val="1"/>
    </w:pPr>
    <w:rPr>
      <w:rFonts w:ascii="Arial" w:hAnsi="Arial" w:eastAsia="黑体"/>
      <w:b/>
      <w:sz w:val="30"/>
      <w:szCs w:val="20"/>
    </w:rPr>
  </w:style>
  <w:style w:type="paragraph" w:styleId="1129" w:customStyle="1">
    <w:name w:val="正文缩进11"/>
    <w:basedOn w:val="929"/>
    <w:uiPriority w:val="0"/>
    <w:qFormat/>
    <w:pPr>
      <w:ind w:firstLine="420"/>
      <w:jc w:val="left"/>
    </w:pPr>
    <w:rPr>
      <w:rFonts w:ascii="宋体"/>
      <w:sz w:val="24"/>
    </w:rPr>
  </w:style>
  <w:style w:type="paragraph" w:styleId="1130" w:customStyle="1">
    <w:name w:val="正文文本1"/>
    <w:basedOn w:val="929"/>
    <w:uiPriority w:val="0"/>
    <w:qFormat/>
    <w:pPr>
      <w:spacing w:before="120" w:line="22" w:lineRule="atLeast"/>
      <w:tabs>
        <w:tab w:val="left" w:pos="567" w:leader="none"/>
      </w:tabs>
    </w:pPr>
    <w:rPr>
      <w:rFonts w:ascii="宋体" w:hAnsi="宋体"/>
      <w:sz w:val="24"/>
    </w:rPr>
  </w:style>
  <w:style w:type="paragraph" w:styleId="1131" w:customStyle="1">
    <w:name w:val="图例"/>
    <w:basedOn w:val="929"/>
    <w:uiPriority w:val="0"/>
    <w:qFormat/>
    <w:pPr>
      <w:jc w:val="center"/>
      <w:spacing w:before="120" w:after="120" w:line="360" w:lineRule="auto"/>
    </w:pPr>
    <w:rPr>
      <w:rFonts w:ascii="Times New Roman" w:hAnsi="Times New Roman" w:eastAsia="仿宋_GB2312" w:cs="Times New Roman"/>
      <w:b/>
      <w:sz w:val="24"/>
      <w:szCs w:val="20"/>
    </w:rPr>
  </w:style>
  <w:style w:type="paragraph" w:styleId="1132" w:customStyle="1">
    <w:name w:val="Table Text"/>
    <w:basedOn w:val="929"/>
    <w:uiPriority w:val="0"/>
    <w:semiHidden/>
    <w:qFormat/>
    <w:rPr>
      <w:rFonts w:ascii="宋体" w:hAnsi="宋体" w:eastAsia="宋体" w:cs="宋体"/>
      <w:sz w:val="24"/>
      <w:szCs w:val="24"/>
      <w:lang w:val="en-US" w:eastAsia="en-US" w:bidi="ar-SA"/>
    </w:rPr>
  </w:style>
  <w:style w:type="paragraph" w:styleId="1133" w:customStyle="1">
    <w:name w:val="列表段落1"/>
    <w:basedOn w:val="929"/>
    <w:uiPriority w:val="0"/>
    <w:qFormat/>
    <w:pPr>
      <w:ind w:firstLine="420"/>
    </w:pPr>
    <w:rPr>
      <w:rFonts w:ascii="Times New Roman" w:hAnsi="Times New Roman"/>
    </w:rPr>
  </w:style>
  <w:style w:type="character" w:styleId="1134" w:customStyle="1">
    <w:name w:val="font01"/>
    <w:basedOn w:val="1113"/>
    <w:link w:val="929"/>
    <w:uiPriority w:val="0"/>
    <w:qFormat/>
    <w:rPr>
      <w:rFonts w:hint="eastAsia" w:ascii="宋体" w:hAnsi="宋体" w:eastAsia="宋体" w:cs="宋体"/>
      <w:color w:val="000000"/>
      <w:sz w:val="22"/>
      <w:szCs w:val="22"/>
      <w:u w:val="none"/>
    </w:rPr>
  </w:style>
  <w:style w:type="paragraph" w:styleId="1135" w:customStyle="1">
    <w:name w:val="列出段落3"/>
    <w:basedOn w:val="929"/>
    <w:uiPriority w:val="34"/>
    <w:qFormat/>
    <w:pPr>
      <w:ind w:firstLine="420"/>
    </w:pPr>
  </w:style>
  <w:style w:type="paragraph" w:styleId="1136" w:customStyle="1">
    <w:name w:val="列出段落5"/>
    <w:basedOn w:val="929"/>
    <w:uiPriority w:val="34"/>
    <w:qFormat/>
    <w:pPr>
      <w:ind w:firstLine="420"/>
    </w:pPr>
  </w:style>
  <w:style w:type="paragraph" w:styleId="1137" w:customStyle="1">
    <w:name w:val="列出段落4"/>
    <w:basedOn w:val="929"/>
    <w:uiPriority w:val="34"/>
    <w:qFormat/>
    <w:pPr>
      <w:ind w:firstLine="420"/>
    </w:pPr>
  </w:style>
  <w:style w:type="paragraph" w:styleId="1138" w:customStyle="1">
    <w:name w:val="正文文本缩进 21"/>
    <w:uiPriority w:val="0"/>
    <w:qFormat/>
    <w:pPr>
      <w:ind w:firstLine="480"/>
      <w:jc w:val="both"/>
      <w:widowControl w:val="off"/>
    </w:pPr>
    <w:rPr>
      <w:rFonts w:hint="default" w:ascii="仿宋_GB2312" w:hAnsi="Times New Roman" w:eastAsia="仿宋_GB2312" w:cs="Times New Roman"/>
      <w:sz w:val="24"/>
      <w:szCs w:val="24"/>
      <w:lang w:val="en-US" w:eastAsia="zh-CN" w:bidi="ar-SA"/>
    </w:rPr>
  </w:style>
  <w:style w:type="paragraph" w:styleId="1139" w:customStyle="1">
    <w:name w:val="一、"/>
    <w:basedOn w:val="929"/>
    <w:uiPriority w:val="0"/>
    <w:qFormat/>
    <w:pPr>
      <w:ind w:firstLine="640"/>
    </w:pPr>
    <w:rPr>
      <w:rFonts w:ascii="黑体" w:hAnsi="黑体" w:eastAsia="黑体" w:cs="Times New Roman"/>
      <w:szCs w:val="32"/>
    </w:rPr>
  </w:style>
  <w:style w:type="character" w:styleId="1140" w:customStyle="1">
    <w:name w:val="fontstyle01"/>
    <w:basedOn w:val="1113"/>
    <w:link w:val="929"/>
    <w:uiPriority w:val="99"/>
    <w:qFormat/>
    <w:rPr>
      <w:rFonts w:ascii="CIDFont+F4" w:hAnsi="CIDFont+F4" w:cs="Times New Roman"/>
      <w:color w:val="000000"/>
      <w:sz w:val="24"/>
      <w:szCs w:val="24"/>
    </w:rPr>
  </w:style>
  <w:style w:type="paragraph" w:styleId="1141" w:customStyle="1">
    <w:name w:val="Default"/>
    <w:uiPriority w:val="0"/>
    <w:qFormat/>
    <w:pPr>
      <w:widowControl w:val="off"/>
    </w:pPr>
    <w:rPr>
      <w:rFonts w:hint="default" w:ascii="Symbol" w:hAnsi="Symbol" w:eastAsia="宋体" w:cs="Symbol"/>
      <w:color w:val="000000"/>
      <w:sz w:val="24"/>
      <w:szCs w:val="24"/>
      <w:lang w:val="en-US" w:eastAsia="zh-CN" w:bidi="ar-SA"/>
    </w:rPr>
  </w:style>
  <w:style w:type="table" w:styleId="1142" w:customStyle="1">
    <w:name w:val="Table Normal"/>
    <w:uiPriority w:val="2"/>
    <w:semiHidden/>
    <w:qFormat/>
    <w:pPr>
      <w:widowControl w:val="off"/>
    </w:pPr>
    <w:rPr>
      <w:rFonts w:ascii="Calibri" w:hAnsi="Calibri"/>
      <w:sz w:val="22"/>
      <w:szCs w:val="22"/>
      <w:lang w:val="en-US" w:eastAsia="en-US" w:bidi="ar-SA"/>
    </w:rPr>
    <w:tblPr/>
  </w:style>
  <w:style w:type="paragraph" w:styleId="1143" w:customStyle="1">
    <w:name w:val="标题 311"/>
    <w:next w:val="929"/>
    <w:uiPriority w:val="0"/>
    <w:qFormat/>
    <w:pPr>
      <w:jc w:val="left"/>
      <w:keepLines/>
      <w:keepNext/>
      <w:spacing w:before="360" w:after="120"/>
      <w:widowControl w:val="off"/>
      <w:outlineLvl w:val="2"/>
    </w:pPr>
    <w:rPr>
      <w:rFonts w:hint="default" w:ascii="宋体" w:hAnsi="Times New Roman" w:eastAsia="宋体" w:cs="Times New Roman"/>
      <w:b/>
      <w:sz w:val="24"/>
      <w:szCs w:val="20"/>
      <w:u w:val="single"/>
      <w:lang w:val="en-US" w:eastAsia="zh-CN" w:bidi="ar-SA"/>
    </w:rPr>
  </w:style>
  <w:style w:type="paragraph" w:styleId="1144" w:customStyle="1">
    <w:name w:val="纯文本11"/>
    <w:uiPriority w:val="0"/>
    <w:qFormat/>
    <w:pPr>
      <w:jc w:val="both"/>
      <w:widowControl w:val="off"/>
    </w:pPr>
    <w:rPr>
      <w:rFonts w:hint="eastAsia" w:ascii="宋体" w:hAnsi="Courier New" w:eastAsia="宋体" w:cs="Times New Roman"/>
      <w:sz w:val="21"/>
      <w:szCs w:val="20"/>
      <w:lang w:val="en-US" w:eastAsia="zh-CN" w:bidi="ar-SA"/>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滕霞</cp:lastModifiedBy>
  <cp:revision>6</cp:revision>
  <dcterms:created xsi:type="dcterms:W3CDTF">2023-12-12T06:41:00Z</dcterms:created>
  <dcterms:modified xsi:type="dcterms:W3CDTF">2026-05-22T08:08:21Z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4665073C069D4A61B5DBE8320C344DEB_13</vt:lpwstr>
  </property>
  <property fmtid="{D5CDD505-2E9C-101B-9397-08002B2CF9AE}" pid="4" name="KSOTemplateDocerSaveRecord">
    <vt:lpwstr>eyJoZGlkIjoiZjFmZWIzNDg2MmIzZjExOTIzMmViNTBmYTMwYTk0ZWYiLCJ1c2VySWQiOiIxNDQ3NTg4ODQ1In0=</vt:lpwstr>
  </property>
</Properties>
</file>