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0"/>
        <w:shd w:val="clear" w:color="auto" w:fill="auto"/>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765"/>
        <w:ind w:firstLine="0"/>
        <w:jc w:val="both"/>
        <w:shd w:val="clear" w:color="auto" w:fill="auto"/>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765"/>
        <w:ind w:firstLine="0"/>
        <w:jc w:val="center"/>
        <w:shd w:val="clear" w:color="auto" w:fill="auto"/>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765"/>
        <w:ind w:firstLine="0"/>
        <w:jc w:val="center"/>
        <w:shd w:val="clear" w:color="auto" w:fill="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65"/>
        <w:ind w:firstLine="0"/>
        <w:jc w:val="center"/>
        <w:shd w:val="clear" w:color="auto" w:fill="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65"/>
        <w:ind w:firstLine="0"/>
        <w:jc w:val="center"/>
        <w:shd w:val="clear" w:color="auto" w:fill="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76"/>
        <w:ind w:firstLine="1920"/>
        <w:jc w:val="left"/>
        <w:shd w:val="clear" w:color="auto" w:fill="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JSZC-320214-JZCG-G2026-0054</w:t>
      </w:r>
      <w:r>
        <w:rPr>
          <w:rFonts w:hint="eastAsia" w:ascii="黑体" w:hAnsi="华文中宋" w:eastAsia="黑体"/>
          <w:bCs/>
          <w:color w:val="000000"/>
          <w:sz w:val="32"/>
          <w:szCs w:val="32"/>
          <w:highlight w:val="none"/>
          <w:lang w:eastAsia="zh-CN"/>
        </w:rPr>
      </w:r>
      <w:r/>
    </w:p>
    <w:p>
      <w:pPr>
        <w:pStyle w:val="676"/>
        <w:ind w:firstLine="1920"/>
        <w:jc w:val="left"/>
        <w:shd w:val="clear" w:color="auto" w:fill="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江溪街道综治中心物业服务采购</w:t>
      </w:r>
      <w:r>
        <w:rPr>
          <w:rFonts w:hint="eastAsia" w:ascii="黑体" w:hAnsi="华文中宋" w:eastAsia="黑体"/>
          <w:bCs/>
          <w:color w:val="000000"/>
          <w:sz w:val="32"/>
          <w:szCs w:val="32"/>
          <w:highlight w:val="none"/>
          <w:lang w:eastAsia="zh-CN"/>
        </w:rPr>
      </w:r>
      <w:r/>
    </w:p>
    <w:p>
      <w:pPr>
        <w:pStyle w:val="676"/>
        <w:ind w:firstLine="1920"/>
        <w:jc w:val="left"/>
        <w:shd w:val="clear" w:color="auto" w:fill="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无锡市新吴区人民政府江溪街道办事处</w:t>
      </w:r>
      <w:r>
        <w:rPr>
          <w:rFonts w:hint="eastAsia" w:ascii="黑体" w:hAnsi="华文中宋" w:eastAsia="黑体"/>
          <w:bCs/>
          <w:color w:val="000000"/>
          <w:sz w:val="32"/>
          <w:szCs w:val="32"/>
          <w:highlight w:val="none"/>
          <w:lang w:eastAsia="zh-CN"/>
        </w:rPr>
      </w:r>
      <w:r/>
    </w:p>
    <w:p>
      <w:pPr>
        <w:pStyle w:val="676"/>
        <w:jc w:val="center"/>
        <w:shd w:val="clear" w:color="auto" w:fill="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5"/>
        <w:ind w:firstLine="0"/>
        <w:jc w:val="center"/>
        <w:spacing w:before="0" w:after="0"/>
        <w:shd w:val="clear" w:color="auto" w:fill="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5"/>
        <w:ind w:firstLine="0"/>
        <w:jc w:val="center"/>
        <w:spacing w:before="0" w:after="0"/>
        <w:shd w:val="clear" w:color="auto" w:fill="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5"/>
        <w:ind w:firstLine="0"/>
        <w:jc w:val="center"/>
        <w:spacing w:before="0" w:after="0"/>
        <w:shd w:val="clear" w:color="auto" w:fill="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5"/>
        <w:ind w:firstLine="0"/>
        <w:jc w:val="center"/>
        <w:spacing w:before="0" w:after="0"/>
        <w:shd w:val="clear" w:color="auto" w:fill="auto"/>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65"/>
        <w:ind w:firstLine="0"/>
        <w:jc w:val="center"/>
        <w:shd w:val="clear" w:color="auto" w:fill="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 </w:t>
      </w:r>
      <w:r>
        <w:rPr>
          <w:rFonts w:hint="eastAsia" w:ascii="黑体" w:hAnsi="华文中宋" w:eastAsia="黑体"/>
          <w:bCs/>
          <w:color w:val="000000"/>
          <w:sz w:val="32"/>
          <w:szCs w:val="32"/>
          <w:highlight w:val="none"/>
        </w:rPr>
        <w:t xml:space="preserve">7 月</w:t>
      </w:r>
      <w:r>
        <w:rPr>
          <w:rFonts w:ascii="黑体" w:hAnsi="华文中宋" w:eastAsia="黑体"/>
          <w:bCs/>
          <w:color w:val="000000"/>
          <w:sz w:val="32"/>
          <w:szCs w:val="32"/>
          <w:highlight w:val="none"/>
        </w:rPr>
      </w:r>
      <w:r/>
    </w:p>
    <w:p>
      <w:pPr>
        <w:pStyle w:val="765"/>
        <w:ind w:firstLine="0"/>
        <w:jc w:val="center"/>
        <w:shd w:val="clear" w:color="auto" w:fill="auto"/>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676"/>
        <w:jc w:val="center"/>
        <w:spacing w:line="480" w:lineRule="auto"/>
        <w:shd w:val="clear" w:color="auto" w:fill="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676"/>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676"/>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676"/>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676"/>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676"/>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676"/>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676"/>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676"/>
        <w:ind w:firstLine="480"/>
        <w:spacing w:line="500" w:lineRule="exact"/>
        <w:shd w:val="clear" w:color="auto" w:fill="auto"/>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无锡市新吴区人民政府江溪街道办事处</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无锡市公共资源交易中心新吴分中心</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江溪街道综治中心物业服务采购</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JSZC-320214-JZCG-G2026-0054</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676"/>
        <w:ind w:firstLine="480"/>
        <w:spacing w:line="500" w:lineRule="exact"/>
        <w:shd w:val="clear" w:color="auto" w:fill="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76"/>
        <w:ind w:firstLine="480"/>
        <w:spacing w:line="500" w:lineRule="exact"/>
        <w:shd w:val="clear" w:color="auto" w:fill="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江溪街道综治中心物业服务采购</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年7月23日09点30分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9"/>
        <w:ind w:firstLine="452"/>
        <w:keepLines w:val="0"/>
        <w:keepNext w:val="0"/>
        <w:spacing w:before="0" w:after="0" w:line="500" w:lineRule="exact"/>
        <w:shd w:val="clear" w:color="auto" w:fill="auto"/>
        <w:rPr>
          <w:color w:val="000000"/>
          <w:sz w:val="30"/>
          <w:szCs w:val="30"/>
          <w:highlight w:val="none"/>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76"/>
        <w:ind w:firstLine="480"/>
        <w:spacing w:line="500" w:lineRule="exact"/>
        <w:shd w:val="clear" w:color="auto" w:fil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JSZC-320214-JZCG-G2026-0054</w:t>
      </w:r>
      <w:r>
        <w:rPr>
          <w:rFonts w:hint="eastAsia" w:ascii="宋体" w:hAnsi="宋体" w:eastAsia="宋体"/>
          <w:color w:val="000000"/>
          <w:sz w:val="24"/>
          <w:szCs w:val="24"/>
          <w:highlight w:val="none"/>
          <w:lang w:eastAsia="zh-CN"/>
        </w:rPr>
      </w:r>
      <w:r/>
    </w:p>
    <w:p>
      <w:pPr>
        <w:pStyle w:val="676"/>
        <w:ind w:firstLine="480"/>
        <w:spacing w:line="500" w:lineRule="exact"/>
        <w:shd w:val="clear" w:color="auto" w:fil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江溪街道综治中心物业服务采购</w:t>
      </w:r>
      <w:r>
        <w:rPr>
          <w:rFonts w:hint="eastAsia" w:ascii="宋体" w:hAnsi="宋体" w:eastAsia="宋体"/>
          <w:color w:val="000000"/>
          <w:sz w:val="24"/>
          <w:szCs w:val="24"/>
          <w:highlight w:val="none"/>
          <w:lang w:eastAsia="zh-CN"/>
        </w:rPr>
      </w:r>
      <w:r/>
    </w:p>
    <w:p>
      <w:pPr>
        <w:pStyle w:val="676"/>
        <w:ind w:firstLine="480"/>
        <w:spacing w:line="500" w:lineRule="exact"/>
        <w:shd w:val="clear" w:color="auto" w:fill="auto"/>
        <w:rPr>
          <w:rFonts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w:t>
      </w:r>
      <w:r>
        <w:rPr>
          <w:rFonts w:hint="eastAsia"/>
          <w:color w:val="000000"/>
          <w:highlight w:val="none"/>
        </w:rPr>
        <w:t xml:space="preserve">272.4</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color w:val="000000"/>
          <w:highlight w:val="none"/>
        </w:rPr>
        <w:t xml:space="preserve">272.4</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76"/>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79"/>
        <w:ind w:firstLine="452"/>
        <w:keepLines w:val="0"/>
        <w:keepNext w:val="0"/>
        <w:spacing w:before="0" w:after="0" w:line="500" w:lineRule="exact"/>
        <w:shd w:val="clear" w:color="auto" w:fill="auto"/>
        <w:rPr>
          <w:color w:val="000000"/>
          <w:sz w:val="30"/>
          <w:szCs w:val="30"/>
          <w:highlight w:val="none"/>
        </w:rPr>
      </w:pPr>
      <w:r/>
      <w:bookmarkStart w:id="12" w:name="_Toc28359003"/>
      <w:r/>
      <w:bookmarkStart w:id="13" w:name="_Toc28359080"/>
      <w:r/>
      <w:bookmarkStart w:id="14" w:name="_Toc38985264"/>
      <w:r/>
      <w:bookmarkStart w:id="15" w:name="_Toc35393622"/>
      <w:r/>
      <w:bookmarkStart w:id="16" w:name="_Toc35393791"/>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76"/>
        <w:ind w:firstLine="480"/>
        <w:spacing w:line="500" w:lineRule="exact"/>
        <w:shd w:val="clear" w:color="auto" w:fill="auto"/>
        <w:rPr>
          <w:rFonts w:ascii="宋体" w:hAnsi="宋体"/>
          <w:color w:val="000000"/>
          <w:sz w:val="24"/>
          <w:szCs w:val="24"/>
          <w:highlight w:val="none"/>
        </w:rPr>
      </w:pPr>
      <w:r/>
      <w:bookmarkStart w:id="17" w:name="_Toc38985265"/>
      <w:r/>
      <w:bookmarkStart w:id="18" w:name="_Toc28359081"/>
      <w:r/>
      <w:bookmarkStart w:id="19" w:name="_Toc35393792"/>
      <w:r/>
      <w:bookmarkStart w:id="20" w:name="_Toc35393623"/>
      <w:r/>
      <w:bookmarkStart w:id="21"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76"/>
        <w:ind w:firstLine="480"/>
        <w:spacing w:line="500" w:lineRule="exact"/>
        <w:shd w:val="clear" w:color="auto" w:fill="auto"/>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79"/>
        <w:ind w:firstLine="452"/>
        <w:keepLines w:val="0"/>
        <w:keepNext w:val="0"/>
        <w:spacing w:before="0" w:after="0" w:line="500" w:lineRule="exact"/>
        <w:shd w:val="clear" w:color="auto" w:fill="auto"/>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76"/>
        <w:ind w:firstLine="540"/>
        <w:spacing w:line="500" w:lineRule="exact"/>
        <w:shd w:val="clear" w:color="auto" w:fill="auto"/>
        <w:rPr>
          <w:rFonts w:hint="eastAsia" w:ascii="宋体" w:hAnsi="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676"/>
        <w:ind w:firstLine="54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676"/>
        <w:ind w:firstLine="540"/>
        <w:spacing w:line="500" w:lineRule="exact"/>
        <w:shd w:val="clear" w:color="auto" w:fill="auto"/>
        <w:rPr>
          <w:rStyle w:val="753"/>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53"/>
          <w:color w:val="000000"/>
          <w:highlight w:val="none"/>
        </w:rPr>
      </w:r>
      <w:r/>
    </w:p>
    <w:p>
      <w:pPr>
        <w:pStyle w:val="676"/>
        <w:ind w:firstLine="540"/>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9"/>
        <w:ind w:firstLine="452"/>
        <w:keepLines w:val="0"/>
        <w:keepNext w:val="0"/>
        <w:spacing w:before="0" w:after="0" w:line="500" w:lineRule="exact"/>
        <w:shd w:val="clear" w:color="auto" w:fill="auto"/>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年7月23日09点30分（北京时间）</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79"/>
        <w:ind w:firstLine="452"/>
        <w:keepLines w:val="0"/>
        <w:keepNext w:val="0"/>
        <w:spacing w:before="0" w:after="0" w:line="500" w:lineRule="exact"/>
        <w:shd w:val="clear" w:color="auto" w:fill="auto"/>
        <w:rPr>
          <w:color w:val="000000"/>
          <w:sz w:val="30"/>
          <w:szCs w:val="30"/>
          <w:highlight w:val="none"/>
        </w:rPr>
      </w:pPr>
      <w:r/>
      <w:bookmarkStart w:id="27" w:name="_Toc35393625"/>
      <w:r/>
      <w:bookmarkStart w:id="28" w:name="_Toc35393794"/>
      <w:r/>
      <w:bookmarkStart w:id="29" w:name="_Toc28359084"/>
      <w:r/>
      <w:bookmarkStart w:id="30" w:name="_Toc28359007"/>
      <w:r/>
      <w:bookmarkStart w:id="31" w:name="_Toc38985267"/>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76"/>
        <w:ind w:firstLine="480"/>
        <w:spacing w:line="500" w:lineRule="exact"/>
        <w:shd w:val="clear" w:color="auto" w:fill="auto"/>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79"/>
        <w:ind w:firstLine="452"/>
        <w:keepLines w:val="0"/>
        <w:keepNext w:val="0"/>
        <w:spacing w:before="0" w:after="0" w:line="500" w:lineRule="exact"/>
        <w:shd w:val="clear" w:color="auto" w:fill="auto"/>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76"/>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79"/>
        <w:ind w:firstLine="452"/>
        <w:keepLines w:val="0"/>
        <w:keepNext w:val="0"/>
        <w:spacing w:before="0" w:after="0" w:line="500" w:lineRule="exact"/>
        <w:shd w:val="clear" w:color="auto" w:fill="auto"/>
        <w:rPr>
          <w:color w:val="000000"/>
          <w:sz w:val="30"/>
          <w:szCs w:val="30"/>
          <w:highlight w:val="none"/>
        </w:rPr>
      </w:pPr>
      <w:r/>
      <w:bookmarkStart w:id="35" w:name="_Toc35393796"/>
      <w:r/>
      <w:bookmarkStart w:id="36" w:name="_Toc28359085"/>
      <w:r/>
      <w:bookmarkStart w:id="37" w:name="_Toc38985269"/>
      <w:r/>
      <w:bookmarkStart w:id="38" w:name="_Toc35393627"/>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76"/>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76"/>
        <w:ind w:firstLine="480"/>
        <w:spacing w:line="50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无锡市新吴区人民政府江溪街道办事处</w:t>
      </w:r>
      <w:r>
        <w:rPr>
          <w:rFonts w:hint="eastAsia" w:ascii="宋体" w:hAnsi="宋体" w:eastAsia="宋体" w:cs="宋体"/>
          <w:color w:val="000000"/>
          <w:sz w:val="24"/>
          <w:szCs w:val="24"/>
          <w:highlight w:val="none"/>
          <w:lang w:eastAsia="zh-CN"/>
        </w:rPr>
      </w:r>
      <w:r/>
    </w:p>
    <w:p>
      <w:pPr>
        <w:pStyle w:val="676"/>
        <w:ind w:firstLine="480"/>
        <w:spacing w:line="500" w:lineRule="exact"/>
        <w:shd w:val="clear" w:color="auto" w:fil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江苏省无锡市新吴区苏巷路1号</w:t>
      </w:r>
      <w:r>
        <w:rPr>
          <w:rFonts w:hint="eastAsia" w:ascii="宋体" w:hAnsi="宋体" w:eastAsia="宋体" w:cs="宋体"/>
          <w:color w:val="000000"/>
          <w:sz w:val="24"/>
          <w:szCs w:val="24"/>
          <w:highlight w:val="none"/>
        </w:rPr>
      </w:r>
      <w:r/>
    </w:p>
    <w:p>
      <w:pPr>
        <w:pStyle w:val="676"/>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76"/>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76"/>
        <w:ind w:firstLine="480"/>
        <w:spacing w:line="50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76"/>
        <w:ind w:firstLine="480"/>
        <w:spacing w:line="500" w:lineRule="exact"/>
        <w:shd w:val="clear" w:color="auto" w:fill="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676"/>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76"/>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76"/>
        <w:ind w:firstLine="480"/>
        <w:spacing w:line="500" w:lineRule="exact"/>
        <w:shd w:val="clear" w:color="auto" w:fil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rPr>
        <w:t xml:space="preserve">周晓静；电话：0510-82110033</w:t>
      </w:r>
      <w:r>
        <w:rPr>
          <w:rFonts w:hint="eastAsia" w:ascii="宋体" w:hAnsi="宋体" w:eastAsia="宋体" w:cs="宋体"/>
          <w:color w:val="000000"/>
          <w:sz w:val="24"/>
          <w:szCs w:val="24"/>
          <w:highlight w:val="none"/>
        </w:rPr>
      </w:r>
      <w:r/>
    </w:p>
    <w:p>
      <w:pPr>
        <w:pStyle w:val="676"/>
        <w:ind w:firstLine="480"/>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采购人质疑受理联系人：周晓静；电话：0510-82110033</w:t>
      </w:r>
      <w:r>
        <w:rPr>
          <w:rFonts w:hint="eastAsia" w:ascii="宋体" w:hAnsi="宋体" w:eastAsia="宋体" w:cs="宋体"/>
          <w:color w:val="000000"/>
          <w:sz w:val="24"/>
          <w:szCs w:val="24"/>
          <w:highlight w:val="none"/>
        </w:rPr>
      </w:r>
      <w:r/>
    </w:p>
    <w:p>
      <w:pPr>
        <w:pStyle w:val="676"/>
        <w:ind w:firstLine="480"/>
        <w:spacing w:line="500" w:lineRule="exact"/>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交易中心项目联系人：</w:t>
      </w:r>
      <w:r>
        <w:rPr>
          <w:rFonts w:hint="eastAsia" w:ascii="宋体" w:hAnsi="宋体" w:eastAsia="宋体" w:cs="宋体"/>
          <w:color w:val="000000"/>
          <w:sz w:val="24"/>
          <w:szCs w:val="24"/>
          <w:highlight w:val="none"/>
          <w:lang w:val="en-US" w:eastAsia="zh-CN"/>
        </w:rPr>
        <w:t xml:space="preserve">王丽娜</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80595969</w:t>
      </w:r>
      <w:r>
        <w:rPr>
          <w:rFonts w:ascii="宋体" w:hAnsi="宋体" w:eastAsia="宋体" w:cs="宋体"/>
          <w:color w:val="000000"/>
          <w:sz w:val="24"/>
          <w:szCs w:val="24"/>
          <w:highlight w:val="none"/>
          <w:lang w:val="en-US" w:eastAsia="zh-CN"/>
        </w:rPr>
      </w:r>
      <w:r/>
    </w:p>
    <w:p>
      <w:pPr>
        <w:pStyle w:val="679"/>
        <w:ind w:firstLine="452"/>
        <w:keepLines w:val="0"/>
        <w:keepNext w:val="0"/>
        <w:spacing w:before="0" w:after="0" w:line="500" w:lineRule="exact"/>
        <w:shd w:val="clear" w:color="auto" w:fill="auto"/>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676"/>
        <w:ind w:firstLine="480"/>
        <w:jc w:val="left"/>
        <w:spacing w:line="500" w:lineRule="exact"/>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676"/>
        <w:ind w:firstLine="480"/>
        <w:jc w:val="left"/>
        <w:spacing w:line="500" w:lineRule="exact"/>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676"/>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676"/>
        <w:ind w:firstLine="480"/>
        <w:spacing w:line="500" w:lineRule="exact"/>
        <w:shd w:val="clear" w:color="auto" w:fill="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在“江苏政府采购网”发布的更正公告。</w:t>
      </w:r>
      <w:r>
        <w:rPr>
          <w:rFonts w:hint="eastAsia" w:ascii="宋体" w:hAnsi="宋体"/>
          <w:bCs/>
          <w:color w:val="000000"/>
          <w:sz w:val="24"/>
          <w:szCs w:val="24"/>
          <w:highlight w:val="none"/>
        </w:rPr>
      </w:r>
      <w:r/>
    </w:p>
    <w:p>
      <w:pPr>
        <w:pStyle w:val="676"/>
        <w:ind w:firstLine="480"/>
        <w:spacing w:line="500" w:lineRule="exact"/>
        <w:shd w:val="clear" w:color="auto" w:fill="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676"/>
        <w:ind w:firstLine="480"/>
        <w:spacing w:line="500" w:lineRule="exact"/>
        <w:shd w:val="clear" w:color="auto" w:fill="auto"/>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6"/>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679"/>
        <w:ind w:firstLine="452"/>
        <w:keepLines w:val="0"/>
        <w:keepNext w:val="0"/>
        <w:spacing w:before="0" w:after="0" w:line="500" w:lineRule="exact"/>
        <w:shd w:val="clear" w:color="auto" w:fill="auto"/>
        <w:rPr>
          <w:rFonts w:hint="eastAsia"/>
          <w:color w:val="000000"/>
          <w:sz w:val="30"/>
          <w:szCs w:val="30"/>
          <w:highlight w:val="none"/>
        </w:rPr>
      </w:pPr>
      <w:r/>
      <w:bookmarkStart w:id="47" w:name="_Toc120614214"/>
      <w:r/>
      <w:bookmarkStart w:id="48" w:name="_Toc16938519"/>
      <w:r/>
      <w:bookmarkStart w:id="49" w:name="_Toc513029203"/>
      <w:r/>
      <w:bookmarkStart w:id="50" w:name="_Toc20823275"/>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55" w:name="_Toc20823277"/>
      <w:r/>
      <w:bookmarkStart w:id="56" w:name="_Toc513029205"/>
      <w:r/>
      <w:bookmarkStart w:id="57" w:name="_Toc16938521"/>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676"/>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58" w:name="_Toc16938522"/>
      <w:r/>
      <w:bookmarkStart w:id="59" w:name="_Toc20823278"/>
      <w:r/>
      <w:bookmarkStart w:id="60" w:name="_Toc513029206"/>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无锡市公共资源交易中心新吴分中心</w:t>
      </w:r>
      <w:r>
        <w:rPr>
          <w:rFonts w:hint="eastAsia" w:ascii="宋体" w:hAnsi="宋体"/>
          <w:color w:val="000000"/>
          <w:sz w:val="24"/>
          <w:highlight w:val="none"/>
        </w:rPr>
        <w:t xml:space="preserve">（以下简称交易中心）在任何情况下均无义务和责任承担这些费用。</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679"/>
        <w:ind w:firstLine="452"/>
        <w:keepLines w:val="0"/>
        <w:keepNext w:val="0"/>
        <w:spacing w:before="0" w:after="0" w:line="500" w:lineRule="exact"/>
        <w:shd w:val="clear" w:color="auto" w:fill="auto"/>
        <w:rPr>
          <w:rFonts w:hint="eastAsia"/>
          <w:color w:val="000000"/>
          <w:sz w:val="30"/>
          <w:szCs w:val="30"/>
          <w:highlight w:val="none"/>
        </w:rPr>
      </w:pPr>
      <w:r/>
      <w:bookmarkStart w:id="65" w:name="_Toc120614215"/>
      <w:r/>
      <w:bookmarkStart w:id="66" w:name="_Toc513029209"/>
      <w:r/>
      <w:bookmarkStart w:id="67" w:name="_Toc20823281"/>
      <w:r/>
      <w:bookmarkStart w:id="68" w:name="_Toc16938525"/>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69" w:name="_Toc513029210"/>
      <w:r/>
      <w:bookmarkStart w:id="70" w:name="_Toc20823282"/>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76"/>
        <w:ind w:firstLine="480"/>
        <w:spacing w:line="500" w:lineRule="exact"/>
        <w:shd w:val="clear" w:color="auto" w:fill="auto"/>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72" w:name="_Toc462564070"/>
      <w:r/>
      <w:bookmarkStart w:id="73" w:name="_Toc513029211"/>
      <w:r/>
      <w:bookmarkStart w:id="74" w:name="_Toc16938527"/>
      <w:r/>
      <w:bookmarkStart w:id="75" w:name="_Toc20823283"/>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76" w:name="_Toc20823284"/>
      <w:r/>
      <w:bookmarkStart w:id="77" w:name="_Toc16938528"/>
      <w:r/>
      <w:bookmarkStart w:id="78" w:name="_Toc462564071"/>
      <w:r/>
      <w:bookmarkStart w:id="79" w:name="_Toc513029212"/>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679"/>
        <w:ind w:firstLine="452"/>
        <w:keepLines w:val="0"/>
        <w:keepNext w:val="0"/>
        <w:spacing w:before="0" w:after="0" w:line="500" w:lineRule="exact"/>
        <w:shd w:val="clear" w:color="auto" w:fill="auto"/>
        <w:rPr>
          <w:rFonts w:hint="eastAsia"/>
          <w:color w:val="000000"/>
          <w:sz w:val="30"/>
          <w:szCs w:val="30"/>
          <w:highlight w:val="none"/>
        </w:rPr>
      </w:pPr>
      <w:r/>
      <w:bookmarkStart w:id="80" w:name="_Toc16938529"/>
      <w:r/>
      <w:bookmarkStart w:id="81" w:name="_Toc120614216"/>
      <w:r/>
      <w:bookmarkStart w:id="82" w:name="_Toc20823285"/>
      <w:r/>
      <w:bookmarkStart w:id="83" w:name="_Toc462564072"/>
      <w:r/>
      <w:bookmarkStart w:id="84" w:name="_Toc513029213"/>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85" w:name="_Toc20823286"/>
      <w:r/>
      <w:bookmarkStart w:id="86" w:name="_Toc462564073"/>
      <w:r/>
      <w:bookmarkStart w:id="87" w:name="_Toc513029214"/>
      <w:r/>
      <w:bookmarkStart w:id="88" w:name="_Toc16938530"/>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89" w:name="_Toc462564074"/>
      <w:r/>
      <w:bookmarkStart w:id="90" w:name="_Toc16938531"/>
      <w:r/>
      <w:bookmarkStart w:id="91" w:name="_Toc513029215"/>
      <w:r/>
      <w:bookmarkStart w:id="92" w:name="_Toc20823287"/>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676"/>
        <w:ind w:firstLine="480"/>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04" w:name="_Toc49090510"/>
      <w:r/>
      <w:bookmarkStart w:id="105" w:name="_Toc14577359"/>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08" w:name="_Hlt26668983"/>
      <w:r/>
      <w:bookmarkEnd w:id="108"/>
      <w:r/>
      <w:bookmarkStart w:id="109" w:name="_Hlt26954842"/>
      <w:r/>
      <w:bookmarkEnd w:id="109"/>
      <w:r/>
      <w:bookmarkStart w:id="110" w:name="_Hlt26670403"/>
      <w:r/>
      <w:bookmarkEnd w:id="110"/>
      <w:r/>
      <w:bookmarkStart w:id="111" w:name="_Hlt26670425"/>
      <w:r/>
      <w:bookmarkEnd w:id="111"/>
      <w:r/>
      <w:bookmarkStart w:id="112" w:name="_Hlt26954848"/>
      <w:r/>
      <w:bookmarkEnd w:id="112"/>
      <w:r/>
      <w:bookmarkStart w:id="113" w:name="_Hlt26670486"/>
      <w:r/>
      <w:bookmarkEnd w:id="113"/>
      <w:r/>
      <w:bookmarkStart w:id="114" w:name="_Hlt26954844"/>
      <w:r/>
      <w:bookmarkEnd w:id="114"/>
      <w:r/>
      <w:bookmarkStart w:id="115" w:name="_Hlt26954846"/>
      <w:r/>
      <w:bookmarkEnd w:id="115"/>
      <w:r/>
      <w:bookmarkStart w:id="116" w:name="_Hlt26670482"/>
      <w:r/>
      <w:bookmarkEnd w:id="116"/>
      <w:r/>
      <w:bookmarkStart w:id="117" w:name="_Hlt26954731"/>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676"/>
        <w:ind w:firstLine="480"/>
        <w:spacing w:line="500" w:lineRule="exact"/>
        <w:shd w:val="clear" w:color="auto" w:fill="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9"/>
        <w:ind w:firstLine="452"/>
        <w:keepLines w:val="0"/>
        <w:keepNext w:val="0"/>
        <w:spacing w:before="0" w:after="0" w:line="500" w:lineRule="exact"/>
        <w:shd w:val="clear" w:color="auto" w:fill="auto"/>
        <w:rPr>
          <w:rFonts w:hint="eastAsia"/>
          <w:color w:val="000000"/>
          <w:sz w:val="30"/>
          <w:szCs w:val="30"/>
          <w:highlight w:val="none"/>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29" w:name="_Toc16938541"/>
      <w:r/>
      <w:bookmarkStart w:id="130" w:name="_Toc513029225"/>
      <w:r/>
      <w:bookmarkStart w:id="131" w:name="_Toc462564084"/>
      <w:r/>
      <w:bookmarkStart w:id="132" w:name="_Toc20823297"/>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790"/>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513029226"/>
      <w:r/>
      <w:bookmarkStart w:id="134" w:name="_Toc16938542"/>
      <w:r/>
      <w:bookmarkStart w:id="135" w:name="_Toc20823298"/>
      <w:r>
        <w:rPr>
          <w:rFonts w:hint="eastAsia" w:ascii="宋体" w:hAnsi="宋体"/>
          <w:bCs/>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36" w:name="_Toc513029227"/>
      <w:r/>
      <w:bookmarkStart w:id="137" w:name="_Toc20823299"/>
      <w:r/>
      <w:bookmarkStart w:id="138" w:name="_Toc16938543"/>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39" w:name="_Toc513029228"/>
      <w:r/>
      <w:bookmarkStart w:id="140" w:name="_Toc20823300"/>
      <w:r/>
      <w:bookmarkStart w:id="141" w:name="_Toc16938544"/>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679"/>
        <w:ind w:firstLine="452"/>
        <w:keepLines w:val="0"/>
        <w:keepNext w:val="0"/>
        <w:spacing w:before="0" w:after="0" w:line="500" w:lineRule="exact"/>
        <w:shd w:val="clear" w:color="auto" w:fill="auto"/>
        <w:rPr>
          <w:rFonts w:hint="eastAsia"/>
          <w:color w:val="000000"/>
          <w:sz w:val="30"/>
          <w:szCs w:val="30"/>
          <w:highlight w:val="none"/>
        </w:rPr>
      </w:pPr>
      <w:r/>
      <w:bookmarkStart w:id="142" w:name="_Toc513029229"/>
      <w:r/>
      <w:bookmarkStart w:id="143" w:name="_Toc20823301"/>
      <w:r/>
      <w:bookmarkStart w:id="144" w:name="_Toc16938545"/>
      <w:r/>
      <w:bookmarkStart w:id="145" w:name="_Toc120614218"/>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46" w:name="_Toc513029230"/>
      <w:r/>
      <w:bookmarkStart w:id="147" w:name="_Toc20823302"/>
      <w:r/>
      <w:bookmarkStart w:id="148" w:name="_Toc16938546"/>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676"/>
        <w:ind w:firstLine="480"/>
        <w:spacing w:line="500" w:lineRule="exact"/>
        <w:shd w:val="clear" w:color="auto" w:fill="auto"/>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676"/>
        <w:ind w:firstLine="480"/>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49" w:name="_Toc20823303"/>
      <w:r/>
      <w:bookmarkStart w:id="150" w:name="_Toc513029231"/>
      <w:r/>
      <w:bookmarkStart w:id="151" w:name="_Toc16938547"/>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52" w:name="_Toc20823304"/>
      <w:r/>
      <w:bookmarkStart w:id="153" w:name="_Toc513029232"/>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676"/>
        <w:ind w:firstLine="480"/>
        <w:spacing w:line="50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676"/>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55" w:name="_Toc16938549"/>
      <w:r/>
      <w:bookmarkStart w:id="156" w:name="_Toc513029233"/>
      <w:r/>
      <w:bookmarkStart w:id="157" w:name="_Toc20823305"/>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676"/>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676"/>
        <w:ind w:firstLine="480"/>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676"/>
        <w:ind w:firstLine="480"/>
        <w:spacing w:line="5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76"/>
        <w:ind w:firstLine="480"/>
        <w:spacing w:line="5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76"/>
        <w:ind w:firstLine="480"/>
        <w:spacing w:line="5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76"/>
        <w:ind w:firstLine="480"/>
        <w:spacing w:line="500" w:lineRule="exact"/>
        <w:shd w:val="clear" w:color="auto" w:fill="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bookmarkStart w:id="158" w:name="_Toc513029234"/>
      <w:r/>
      <w:bookmarkStart w:id="159" w:name="_Toc16938550"/>
      <w:r/>
      <w:bookmarkStart w:id="160"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6"/>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4"/>
        <w:ind w:firstLine="480"/>
        <w:shd w:val="clear" w:color="auto" w:fill="auto"/>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676"/>
        <w:ind w:left="479"/>
        <w:spacing w:line="500" w:lineRule="exact"/>
        <w:shd w:val="clear" w:color="auto" w:fill="auto"/>
        <w:rPr>
          <w:rFonts w:hint="eastAsia" w:ascii="宋体" w:hAnsi="宋体"/>
          <w:bCs/>
          <w:color w:val="000000"/>
          <w:sz w:val="24"/>
          <w:highlight w:val="none"/>
        </w:rPr>
      </w:pPr>
      <w:r/>
      <w:bookmarkStart w:id="161" w:name="_Toc16938551"/>
      <w:r/>
      <w:bookmarkStart w:id="162" w:name="_Toc513029235"/>
      <w:r/>
      <w:bookmarkStart w:id="163" w:name="_Toc20823307"/>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676"/>
        <w:ind w:firstLine="480"/>
        <w:jc w:val="left"/>
        <w:keepLines w:val="0"/>
        <w:keepNext w:val="0"/>
        <w:shd w:val="clear" w:color="auto" w:fill="auto"/>
        <w:widowControl/>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6"/>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676"/>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676"/>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676"/>
        <w:ind w:left="479"/>
        <w:spacing w:line="5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676"/>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676"/>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676"/>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679"/>
        <w:ind w:firstLine="452"/>
        <w:keepLines w:val="0"/>
        <w:keepNext w:val="0"/>
        <w:spacing w:before="0" w:after="0" w:line="500" w:lineRule="exact"/>
        <w:shd w:val="clear" w:color="auto" w:fill="auto"/>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65" w:name="_Toc513029238"/>
      <w:r/>
      <w:bookmarkStart w:id="166" w:name="_Toc20823310"/>
      <w:r/>
      <w:bookmarkStart w:id="167" w:name="_Toc16938554"/>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676"/>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76"/>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76"/>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76"/>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76"/>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676"/>
        <w:ind w:firstLine="468"/>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679"/>
        <w:ind w:firstLine="452"/>
        <w:keepLines w:val="0"/>
        <w:keepNext w:val="0"/>
        <w:spacing w:before="0" w:after="0" w:line="500" w:lineRule="exact"/>
        <w:shd w:val="clear" w:color="auto" w:fill="auto"/>
        <w:rPr>
          <w:rFonts w:hint="eastAsia"/>
          <w:color w:val="000000"/>
          <w:sz w:val="30"/>
          <w:szCs w:val="30"/>
          <w:highlight w:val="none"/>
        </w:rPr>
      </w:pPr>
      <w:r/>
      <w:bookmarkStart w:id="169" w:name="_Toc120614220"/>
      <w:r/>
      <w:bookmarkStart w:id="170" w:name="_Toc513029236"/>
      <w:r/>
      <w:bookmarkStart w:id="171" w:name="_Toc20823308"/>
      <w:r/>
      <w:bookmarkStart w:id="172" w:name="_Toc16938552"/>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680"/>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676"/>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20823314"/>
      <w:r/>
      <w:bookmarkStart w:id="177" w:name="_Toc16938558"/>
      <w:r/>
      <w:bookmarkStart w:id="178" w:name="_Toc479757207"/>
      <w:r/>
      <w:bookmarkStart w:id="179" w:name="_Toc120614221"/>
      <w:r/>
      <w:bookmarkStart w:id="180" w:name="_Toc513029242"/>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676"/>
        <w:ind w:firstLine="480"/>
        <w:spacing w:line="400" w:lineRule="exact"/>
        <w:shd w:val="clear" w:color="auto" w:fill="auto"/>
        <w:rPr>
          <w:rFonts w:hint="eastAsia" w:ascii="宋体" w:hAnsi="宋体"/>
          <w:bCs/>
          <w:color w:val="000000"/>
          <w:sz w:val="24"/>
          <w:highlight w:val="none"/>
        </w:rPr>
      </w:pPr>
      <w:r/>
      <w:bookmarkStart w:id="181" w:name="_Toc20823315"/>
      <w:r/>
      <w:bookmarkStart w:id="182" w:name="_Toc513029243"/>
      <w:r/>
      <w:bookmarkStart w:id="183" w:name="_Toc16938559"/>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676"/>
        <w:spacing w:line="400" w:lineRule="exact"/>
        <w:shd w:val="clear" w:color="auto" w:fill="auto"/>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5"/>
        <w:spacing w:line="400" w:lineRule="exact"/>
        <w:shd w:val="clear" w:color="auto" w:fill="auto"/>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715"/>
        <w:spacing w:line="400" w:lineRule="exact"/>
        <w:shd w:val="clear" w:color="auto" w:fill="auto"/>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715"/>
        <w:spacing w:line="400" w:lineRule="exact"/>
        <w:shd w:val="clear" w:color="auto" w:fill="auto"/>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715"/>
        <w:spacing w:line="400" w:lineRule="exact"/>
        <w:shd w:val="clear" w:color="auto" w:fill="auto"/>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无锡市公共资源交易中心新吴分中心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第一条 合同标的</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二、项目坐落位置：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olor w:val="000000"/>
          <w:sz w:val="24"/>
          <w:szCs w:val="24"/>
          <w:highlight w:val="none"/>
        </w:rPr>
        <w:t xml:space="preserve">项目总建筑面积：</w:t>
      </w:r>
      <w:r>
        <w:rPr>
          <w:rFonts w:hint="eastAsia" w:ascii="宋体" w:hAnsi="宋体"/>
          <w:color w:val="000000"/>
          <w:sz w:val="24"/>
          <w:szCs w:val="24"/>
          <w:highlight w:val="none"/>
          <w:u w:val="single"/>
        </w:rPr>
        <w:t xml:space="preserve">        </w:t>
      </w:r>
      <w:r>
        <w:rPr>
          <w:rFonts w:ascii="宋体" w:hAnsi="宋体" w:cs="宋体"/>
          <w:color w:val="000000"/>
          <w:sz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三、物业管理服务期限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年。本合同期限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第二条 委托管理事项</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委托物业管理服务内容：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第三条 合同总价款</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一、本合同总价款（含税）为人民币 大写：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元/年）。</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二、本合同执行期间总价不变。</w:t>
      </w:r>
      <w:r>
        <w:rPr>
          <w:rFonts w:ascii="宋体" w:hAnsi="宋体" w:cs="宋体"/>
          <w:color w:val="000000"/>
          <w:sz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三、履约保证金的缴纳和退付</w:t>
      </w:r>
      <w:r>
        <w:rPr>
          <w:rFonts w:hint="eastAsia" w:ascii="宋体" w:hAnsi="宋体" w:cs="宋体"/>
          <w:color w:val="000000"/>
          <w:sz w:val="24"/>
          <w:highlight w:val="none"/>
        </w:rPr>
      </w:r>
      <w:r/>
    </w:p>
    <w:p>
      <w:pPr>
        <w:pStyle w:val="676"/>
        <w:ind w:firstLine="480"/>
        <w:spacing w:line="400" w:lineRule="exact"/>
        <w:shd w:val="clear" w:color="auto" w:fill="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676"/>
        <w:ind w:firstLine="480"/>
        <w:spacing w:line="400" w:lineRule="exact"/>
        <w:shd w:val="clear" w:color="auto" w:fill="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p>
      <w:pPr>
        <w:pStyle w:val="676"/>
        <w:ind w:firstLine="480"/>
        <w:spacing w:line="400" w:lineRule="exact"/>
        <w:shd w:val="clear" w:color="auto" w:fill="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76"/>
        <w:ind w:firstLine="480"/>
        <w:spacing w:line="400" w:lineRule="exact"/>
        <w:shd w:val="clear" w:color="auto" w:fill="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76"/>
        <w:ind w:firstLine="480"/>
        <w:spacing w:line="400" w:lineRule="exact"/>
        <w:shd w:val="clear" w:color="auto" w:fill="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76"/>
        <w:ind w:firstLine="480"/>
        <w:spacing w:line="400" w:lineRule="exact"/>
        <w:shd w:val="clear" w:color="auto" w:fill="auto"/>
        <w:tabs>
          <w:tab w:val="left" w:pos="945" w:leader="none"/>
          <w:tab w:val="left" w:pos="2100" w:leader="none"/>
        </w:tabs>
        <w:rPr>
          <w:rFonts w:ascii="宋体" w:hAnsi="宋体"/>
          <w:b/>
          <w:color w:val="000000"/>
          <w:sz w:val="24"/>
          <w:szCs w:val="24"/>
          <w:highlight w:val="none"/>
        </w:rPr>
      </w:pPr>
      <w:r>
        <w:rPr>
          <w:rFonts w:hint="eastAsia" w:ascii="宋体" w:hAnsi="宋体"/>
          <w:bCs/>
          <w:color w:val="000000"/>
          <w:sz w:val="24"/>
          <w:highlight w:val="none"/>
        </w:rPr>
        <w:t xml:space="preserve">逾期退还履约保证金的违约责任：</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
          <w:color w:val="000000"/>
          <w:sz w:val="24"/>
          <w:szCs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第四条 组成本合同的有关文件</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下列关于采购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一、乙方提供的投标文件和报价表；</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二、中标通知书；</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三、甲乙双方商定的其他文件。</w:t>
      </w:r>
      <w:r>
        <w:rPr>
          <w:rFonts w:ascii="宋体" w:hAnsi="宋体" w:cs="宋体"/>
          <w:color w:val="000000"/>
          <w:sz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第五条 双方权利义务</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一、甲方权利义务</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（二）审议、修改物业管理区域共用部位和共用设施设备使用、公共秩序和环境卫生、绿化维护等方面的规章制度。</w:t>
      </w:r>
      <w:r>
        <w:rPr>
          <w:rFonts w:ascii="宋体" w:hAnsi="宋体" w:cs="宋体"/>
          <w:color w:val="000000"/>
          <w:sz w:val="24"/>
          <w:highlight w:val="none"/>
          <w:u w:val="singl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（三）对物业管理服务质量进行监督检查，对不符合质量标准的管理服务要求乙方整改落实。</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（四）为乙方的管理服务提供必要的工作场所以及</w:t>
      </w:r>
      <w:r>
        <w:rPr>
          <w:rFonts w:hint="eastAsia" w:ascii="宋体" w:hAnsi="宋体"/>
          <w:color w:val="000000"/>
          <w:sz w:val="24"/>
          <w:szCs w:val="24"/>
          <w:highlight w:val="none"/>
        </w:rPr>
        <w:t xml:space="preserve">物业管理服务所必需的水、电供应</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（五）对乙方的节能工作进行指导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提高用能设施设备的能源利用效率。</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（六）根据有关部门的要求，指导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乙方做好控烟、爱国卫生等工作。</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 xml:space="preserve">协助乙方做好物业服务管理工作</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（八）按照合同约定，及时支付</w:t>
      </w:r>
      <w:r>
        <w:rPr>
          <w:rFonts w:ascii="宋体" w:hAnsi="宋体" w:cs="宋体"/>
          <w:color w:val="000000"/>
          <w:sz w:val="24"/>
          <w:highlight w:val="none"/>
        </w:rPr>
        <w:t xml:space="preserve">合同款项。</w:t>
      </w:r>
      <w:r>
        <w:rPr>
          <w:rFonts w:hint="eastAsia"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olor w:val="000000"/>
          <w:sz w:val="24"/>
          <w:szCs w:val="24"/>
          <w:highlight w:val="none"/>
        </w:rPr>
        <w:t xml:space="preserve">（九）法规、政策规定由甲方承担的其他责任。</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二、乙方权利义务</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（五）对有违反或影响本合同执行，包括影响机关正常办公秩序的行为，乙方应及时整改。</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（六）协助甲方做好物业管理区域内各项节能管理工作，对物业管理服务人员进行节能管理专业培训，加大节能管理力度。</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（九）投保物业公众责任险。</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（十一）法规、政策规定由乙方承担的其他责任。</w:t>
      </w:r>
      <w:r>
        <w:rPr>
          <w:rFonts w:ascii="宋体" w:hAnsi="宋体" w:cs="宋体"/>
          <w:color w:val="000000"/>
          <w:sz w:val="24"/>
          <w:highlight w:val="none"/>
        </w:rPr>
      </w:r>
      <w:r/>
    </w:p>
    <w:p>
      <w:pPr>
        <w:pStyle w:val="676"/>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三、在管理过程中，因下列因素所致的损害构成乙方的免责事由，乙方均不负赔偿之责：</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（一）天灾、地震等不可抗力的事由所致的损害；</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（二）暴动、持械抢劫、破坏、爆炸、火灾、刑事犯罪等违法行为等事由所致的损害；</w:t>
      </w:r>
      <w:r>
        <w:rPr>
          <w:rFonts w:ascii="宋体" w:hAnsi="宋体" w:cs="宋体"/>
          <w:color w:val="000000"/>
          <w:sz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（三）因甲方或第三者之故意、重大过失所致的损害；</w:t>
      </w:r>
      <w:r>
        <w:rPr>
          <w:rFonts w:hint="eastAsia" w:ascii="宋体" w:hAnsi="宋体" w:cs="宋体"/>
          <w:color w:val="000000"/>
          <w:sz w:val="24"/>
          <w:highlight w:val="none"/>
        </w:rPr>
      </w:r>
      <w:r/>
    </w:p>
    <w:p>
      <w:pPr>
        <w:pStyle w:val="676"/>
        <w:ind w:firstLine="480"/>
        <w:spacing w:line="4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（四）因乙方书面建议甲方改善或改进物业管理措施，而甲方未采纳</w:t>
      </w:r>
      <w:r>
        <w:rPr>
          <w:rFonts w:ascii="宋体" w:hAnsi="宋体"/>
          <w:color w:val="000000"/>
          <w:sz w:val="24"/>
          <w:szCs w:val="24"/>
          <w:highlight w:val="none"/>
        </w:rPr>
        <w:t xml:space="preserve">所致的损害</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（五）本合同标的物之共用部分（含共用部位、共用设备设施）自然或非乙方人为的任何损坏。</w:t>
      </w:r>
      <w:r>
        <w:rPr>
          <w:rFonts w:hint="eastAsia"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olor w:val="000000"/>
          <w:sz w:val="24"/>
          <w:szCs w:val="24"/>
          <w:highlight w:val="none"/>
        </w:rPr>
        <w:t xml:space="preserve">（六）除上述各款外，其他不可归责于乙方之事由的。</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ascii="宋体" w:hAnsi="宋体" w:cs="宋体"/>
          <w:color w:val="000000"/>
          <w:sz w:val="24"/>
          <w:highlight w:val="none"/>
        </w:rPr>
        <w:t xml:space="preserve">以上所有事项</w:t>
      </w:r>
      <w:r>
        <w:rPr>
          <w:rFonts w:hint="eastAsia" w:ascii="宋体" w:hAnsi="宋体" w:cs="宋体"/>
          <w:color w:val="000000"/>
          <w:sz w:val="24"/>
          <w:highlight w:val="none"/>
        </w:rPr>
        <w:t xml:space="preserve">因乙方故意或过失所致，或未尽到物业管理职责的，不在此限；</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第六条 质量保证</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一、建立质量管理体系并有效运行，管理服务能够接受质量审核。</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二、管理服务逐步达到接受创优评审条件。</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三、各项承诺指标及所采取的措施详见“招标文件”及投标文件。</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四、其他管理服务质量要求按无锡市有关标准执行。</w:t>
      </w:r>
      <w:r>
        <w:rPr>
          <w:rFonts w:ascii="宋体" w:hAnsi="宋体" w:cs="宋体"/>
          <w:color w:val="000000"/>
          <w:sz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第七条 款项支付</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一、本合同项下所有款项均以人民币支付。</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二、甲方在收到乙方开具相应的增值税发票后按约定支付物业服务费；乙方未提供发票的</w:t>
      </w:r>
      <w:r>
        <w:rPr>
          <w:rFonts w:ascii="宋体" w:hAnsi="宋体" w:cs="宋体"/>
          <w:color w:val="000000"/>
          <w:sz w:val="24"/>
          <w:highlight w:val="none"/>
        </w:rPr>
        <w:t xml:space="preserve">，甲方有权迟延支付款项</w:t>
      </w:r>
      <w:r>
        <w:rPr>
          <w:rFonts w:hint="eastAsia" w:ascii="宋体" w:hAnsi="宋体" w:cs="宋体"/>
          <w:color w:val="000000"/>
          <w:sz w:val="24"/>
          <w:highlight w:val="none"/>
        </w:rPr>
        <w:t xml:space="preserve">且</w:t>
      </w:r>
      <w:r>
        <w:rPr>
          <w:rFonts w:ascii="宋体" w:hAnsi="宋体" w:cs="宋体"/>
          <w:color w:val="000000"/>
          <w:sz w:val="24"/>
          <w:highlight w:val="none"/>
        </w:rPr>
        <w:t xml:space="preserve">不承担违约责任，乙方仍应继续履行本合同项下的全部义务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三、付款方式及进度安排及履约评价考核机制按招标文件执行。</w:t>
      </w:r>
      <w:r>
        <w:rPr>
          <w:rFonts w:ascii="宋体" w:hAnsi="宋体" w:cs="宋体"/>
          <w:color w:val="000000"/>
          <w:sz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第八条 违约责任</w:t>
      </w:r>
      <w:r>
        <w:rPr>
          <w:rFonts w:ascii="宋体" w:hAnsi="宋体" w:cs="宋体"/>
          <w:b/>
          <w:bCs/>
          <w:color w:val="000000"/>
          <w:sz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olor w:val="000000"/>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highlight w:val="none"/>
        </w:rPr>
        <w:t xml:space="preserve"> 或依照法律程序解除部分或全部合同。</w:t>
      </w:r>
      <w:r>
        <w:rPr>
          <w:rFonts w:hint="eastAsia"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二、甲方未按合同约定向乙方支付款项的，每逾期1天甲方向乙方偿付欠款总额的5‰违约金，但累计违约金总额不超过欠款总额的5%。</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四、乙方无正当理由，违反本合同约定，擅自收费或擅自提高收费标准的，对擅自收费部分或超出标准的部分，甲方有权</w:t>
      </w:r>
      <w:r>
        <w:rPr>
          <w:rFonts w:ascii="宋体" w:hAnsi="宋体" w:cs="宋体"/>
          <w:color w:val="000000"/>
          <w:sz w:val="24"/>
          <w:highlight w:val="none"/>
        </w:rPr>
        <w:t xml:space="preserve">拒绝付款</w:t>
      </w:r>
      <w:r>
        <w:rPr>
          <w:rFonts w:hint="eastAsia" w:ascii="宋体" w:hAnsi="宋体" w:cs="宋体"/>
          <w:color w:val="000000"/>
          <w:sz w:val="24"/>
          <w:highlight w:val="none"/>
        </w:rPr>
        <w:t xml:space="preserve">；</w:t>
      </w:r>
      <w:r>
        <w:rPr>
          <w:rFonts w:ascii="宋体" w:hAnsi="宋体" w:cs="宋体"/>
          <w:color w:val="000000"/>
          <w:sz w:val="24"/>
          <w:highlight w:val="none"/>
        </w:rPr>
        <w:t xml:space="preserve">已经支付的，</w:t>
      </w:r>
      <w:r>
        <w:rPr>
          <w:rFonts w:hint="eastAsia" w:ascii="宋体" w:hAnsi="宋体" w:cs="宋体"/>
          <w:color w:val="000000"/>
          <w:sz w:val="24"/>
          <w:highlight w:val="none"/>
        </w:rPr>
        <w:t xml:space="preserve">有权要求乙方双倍返还；造成甲方经济损失的，乙方应予赔偿。</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五、因乙方原因导致重大火灾、失窃、泄密等事件的，甲方有权解除合同，并要求乙方赔偿相关损失。</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 xml:space="preserve">3</w:t>
      </w:r>
      <w:r>
        <w:rPr>
          <w:rFonts w:hint="eastAsia" w:ascii="宋体" w:hAnsi="宋体" w:cs="宋体"/>
          <w:color w:val="000000"/>
          <w:sz w:val="24"/>
          <w:highlight w:val="none"/>
        </w:rPr>
        <w:t xml:space="preserve">0%作为违约金；造成的损失超出前述违约金的，甲方有权要求乙方按照实际损失予以赔偿。</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第九条 合同的生效、变更和终止</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bCs/>
          <w:color w:val="000000"/>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highlight w:val="none"/>
        </w:rPr>
      </w:r>
      <w:r/>
    </w:p>
    <w:p>
      <w:pPr>
        <w:pStyle w:val="676"/>
        <w:ind w:firstLine="480"/>
        <w:spacing w:line="4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三、合同中未有约定的按照有关的法律法规以及国家行业标准或技术文件规定予以解决。</w:t>
      </w:r>
      <w:r>
        <w:rPr>
          <w:rFonts w:hint="eastAsia" w:ascii="宋体" w:hAnsi="宋体"/>
          <w:color w:val="000000"/>
          <w:sz w:val="24"/>
          <w:szCs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bCs/>
          <w:color w:val="000000"/>
          <w:sz w:val="24"/>
          <w:szCs w:val="24"/>
          <w:highlight w:val="none"/>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highlight w:val="none"/>
        </w:rPr>
      </w:r>
      <w:r/>
    </w:p>
    <w:p>
      <w:pPr>
        <w:pStyle w:val="676"/>
        <w:ind w:firstLine="482"/>
        <w:spacing w:line="400" w:lineRule="exact"/>
        <w:shd w:val="clear" w:color="auto" w:fill="auto"/>
        <w:rPr>
          <w:rFonts w:ascii="宋体" w:hAnsi="宋体" w:cs="宋体"/>
          <w:color w:val="000000"/>
          <w:sz w:val="24"/>
          <w:highlight w:val="none"/>
        </w:rPr>
      </w:pPr>
      <w:r>
        <w:rPr>
          <w:rFonts w:hint="eastAsia" w:ascii="宋体" w:hAnsi="宋体" w:cs="宋体"/>
          <w:b/>
          <w:bCs/>
          <w:color w:val="000000"/>
          <w:sz w:val="24"/>
          <w:highlight w:val="none"/>
        </w:rPr>
        <w:t xml:space="preserve">第十条 争议的解决</w:t>
      </w:r>
      <w:r>
        <w:rPr>
          <w:rFonts w:ascii="宋体" w:hAnsi="宋体" w:cs="宋体"/>
          <w:color w:val="000000"/>
          <w:sz w:val="24"/>
          <w:highlight w:val="none"/>
        </w:rPr>
      </w:r>
      <w:r/>
    </w:p>
    <w:p>
      <w:pPr>
        <w:pStyle w:val="676"/>
        <w:ind w:firstLine="480"/>
        <w:spacing w:line="400" w:lineRule="exact"/>
        <w:shd w:val="clear" w:color="auto" w:fill="auto"/>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合同签订后</w:t>
      </w:r>
      <w:r>
        <w:rPr>
          <w:rFonts w:hint="eastAsia" w:ascii="宋体" w:hAnsi="宋体"/>
          <w:color w:val="000000"/>
          <w:sz w:val="24"/>
          <w:szCs w:val="24"/>
          <w:highlight w:val="none"/>
        </w:rPr>
        <w:t xml:space="preserve">甲乙</w:t>
      </w:r>
      <w:r>
        <w:rPr>
          <w:rFonts w:hint="eastAsia" w:ascii="宋体" w:hAnsi="宋体"/>
          <w:bCs/>
          <w:color w:val="000000"/>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由甲乙双方协商处理，若协商不成，</w:t>
      </w:r>
      <w:r>
        <w:rPr>
          <w:rFonts w:hint="eastAsia" w:ascii="宋体" w:hAnsi="宋体"/>
          <w:bCs/>
          <w:color w:val="000000"/>
          <w:sz w:val="24"/>
          <w:szCs w:val="24"/>
          <w:highlight w:val="none"/>
        </w:rPr>
        <w:t xml:space="preserve">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方式处理：</w:t>
      </w:r>
      <w:r>
        <w:rPr>
          <w:rFonts w:hint="eastAsia" w:ascii="宋体" w:hAnsi="宋体"/>
          <w:bCs/>
          <w:color w:val="000000"/>
          <w:sz w:val="24"/>
          <w:szCs w:val="24"/>
          <w:highlight w:val="none"/>
        </w:rPr>
      </w:r>
      <w:r/>
    </w:p>
    <w:p>
      <w:pPr>
        <w:pStyle w:val="676"/>
        <w:spacing w:line="400" w:lineRule="exact"/>
        <w:shd w:val="clear" w:color="auto" w:fill="auto"/>
        <w:tabs>
          <w:tab w:val="left" w:pos="52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一、向无锡仲裁委员会申请仲裁。</w:t>
      </w:r>
      <w:r>
        <w:rPr>
          <w:rFonts w:hint="eastAsia" w:ascii="宋体" w:hAnsi="宋体"/>
          <w:color w:val="000000"/>
          <w:sz w:val="24"/>
          <w:szCs w:val="24"/>
          <w:highlight w:val="none"/>
        </w:rPr>
      </w:r>
      <w:r/>
    </w:p>
    <w:p>
      <w:pPr>
        <w:pStyle w:val="676"/>
        <w:spacing w:line="400" w:lineRule="exact"/>
        <w:shd w:val="clear" w:color="auto" w:fill="auto"/>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二、向甲方所在地法院提起诉讼。</w:t>
      </w:r>
      <w:r>
        <w:rPr>
          <w:rFonts w:hint="eastAsia" w:ascii="宋体" w:hAnsi="宋体"/>
          <w:bCs/>
          <w:color w:val="000000"/>
          <w:sz w:val="24"/>
          <w:szCs w:val="24"/>
          <w:highlight w:val="none"/>
        </w:rPr>
      </w:r>
      <w:r/>
    </w:p>
    <w:p>
      <w:pPr>
        <w:pStyle w:val="676"/>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第十一条 诚实信用及其他</w:t>
      </w:r>
      <w:r>
        <w:rPr>
          <w:rFonts w:ascii="宋体" w:hAnsi="宋体" w:cs="宋体"/>
          <w:b/>
          <w:bCs/>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r>
        <w:rPr>
          <w:rFonts w:ascii="宋体" w:hAnsi="宋体" w:cs="宋体"/>
          <w:color w:val="000000"/>
          <w:sz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二、本合同应按照中华人民共和国的现行法律进行解释。</w:t>
      </w:r>
      <w:r>
        <w:rPr>
          <w:rFonts w:hint="eastAsia"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代表人：                       代表人： </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账号：                         账号： </w:t>
      </w:r>
      <w:r>
        <w:rPr>
          <w:rFonts w:ascii="宋体" w:hAnsi="宋体" w:cs="宋体"/>
          <w:color w:val="000000"/>
          <w:sz w:val="24"/>
          <w:highlight w:val="none"/>
        </w:rPr>
      </w:r>
      <w:r/>
    </w:p>
    <w:p>
      <w:pPr>
        <w:pStyle w:val="67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ascii="宋体" w:hAnsi="宋体" w:cs="宋体"/>
          <w:color w:val="000000"/>
          <w:sz w:val="24"/>
          <w:highlight w:val="none"/>
        </w:rPr>
      </w:r>
      <w:r/>
    </w:p>
    <w:p>
      <w:pPr>
        <w:pStyle w:val="676"/>
        <w:ind w:firstLine="480"/>
        <w:spacing w:line="40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676"/>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676"/>
        <w:ind w:firstLine="600"/>
        <w:jc w:val="left"/>
        <w:spacing w:line="360" w:lineRule="auto"/>
        <w:shd w:val="clear" w:color="auto" w:fill="auto"/>
        <w:rPr>
          <w:rFonts w:hint="eastAsia" w:ascii="黑体" w:hAnsi="黑体" w:eastAsia="黑体"/>
          <w:color w:val="000000"/>
          <w:sz w:val="30"/>
          <w:szCs w:val="30"/>
          <w:highlight w:val="none"/>
        </w:rPr>
      </w:pPr>
      <w:r/>
      <w:bookmarkStart w:id="191" w:name="_Toc49090575"/>
      <w:r/>
      <w:bookmarkStart w:id="192" w:name="_Toc26554093"/>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676"/>
        <w:ind w:firstLine="48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676"/>
        <w:ind w:firstLine="480"/>
        <w:spacing w:line="360" w:lineRule="auto"/>
        <w:shd w:val="clear" w:color="auto" w:fill="auto"/>
        <w:rPr>
          <w:color w:val="000000"/>
          <w:highlight w:val="none"/>
        </w:rPr>
      </w:pPr>
      <w:r>
        <w:rPr>
          <w:rFonts w:hint="eastAsia" w:ascii="宋体" w:hAnsi="宋体"/>
          <w:bCs/>
          <w:color w:val="000000"/>
          <w:sz w:val="24"/>
          <w:szCs w:val="24"/>
          <w:highlight w:val="none"/>
        </w:rPr>
        <w:t xml:space="preserve">本项目标的物所属行业：物业管理</w:t>
      </w:r>
      <w:r>
        <w:rPr>
          <w:color w:val="000000"/>
          <w:highlight w:val="none"/>
        </w:rPr>
      </w:r>
      <w:r/>
    </w:p>
    <w:p>
      <w:pPr>
        <w:pStyle w:val="676"/>
        <w:ind w:firstLine="602"/>
        <w:spacing w:line="360" w:lineRule="auto"/>
        <w:shd w:val="clear" w:color="auto" w:fill="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hint="eastAsia" w:ascii="宋体" w:hAnsi="宋体"/>
          <w:b/>
          <w:color w:val="000000"/>
          <w:sz w:val="30"/>
          <w:szCs w:val="30"/>
          <w:highlight w:val="none"/>
        </w:rPr>
      </w:r>
      <w:r/>
    </w:p>
    <w:p>
      <w:pPr>
        <w:pStyle w:val="676"/>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676"/>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1.项目基本情况</w:t>
      </w:r>
      <w:r>
        <w:rPr>
          <w:rFonts w:hint="eastAsia" w:ascii="宋体" w:hAnsi="宋体"/>
          <w:b/>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1.1物业情况</w:t>
      </w:r>
      <w:r>
        <w:rPr>
          <w:rFonts w:hint="eastAsia" w:ascii="宋体" w:hAnsi="宋体"/>
          <w:color w:val="000000"/>
          <w:sz w:val="24"/>
          <w:highlight w:val="none"/>
        </w:rPr>
      </w:r>
      <w:r/>
    </w:p>
    <w:p>
      <w:pPr>
        <w:pStyle w:val="67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本项目位于</w:t>
      </w:r>
      <w:r>
        <w:rPr>
          <w:rFonts w:hint="eastAsia" w:ascii="Times New Roman" w:hAnsi="Times New Roman" w:cs="宋体"/>
          <w:color w:val="000000"/>
          <w:sz w:val="24"/>
          <w:highlight w:val="none"/>
        </w:rPr>
        <w:t xml:space="preserve">江溪街道综合办公楼，室内</w:t>
      </w:r>
      <w:r>
        <w:rPr>
          <w:rFonts w:hint="eastAsia" w:ascii="Times New Roman" w:hAnsi="Times New Roman" w:cs="宋体"/>
          <w:color w:val="000000"/>
          <w:sz w:val="24"/>
          <w:highlight w:val="none"/>
          <w:lang w:val="zh-CN"/>
        </w:rPr>
        <w:t xml:space="preserve">占地面积4362平方米，总建筑面积约11800平方米，室外占地面积8500平方米。</w:t>
      </w:r>
      <w:r>
        <w:rPr>
          <w:rFonts w:hint="eastAsia" w:ascii="宋体" w:hAnsi="宋体" w:cs="宋体"/>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具体情况以现场实际状况为准。</w:t>
      </w:r>
      <w:r>
        <w:rPr>
          <w:rFonts w:hint="eastAsia" w:ascii="宋体" w:hAnsi="宋体" w:cs="宋体"/>
          <w:color w:val="000000"/>
          <w:sz w:val="24"/>
          <w:highlight w:val="none"/>
        </w:rPr>
        <w:t xml:space="preserve">本项目服务期两年，最高限价：272.4万元。</w:t>
      </w:r>
      <w:r>
        <w:rPr>
          <w:rFonts w:hint="eastAsia" w:ascii="宋体" w:hAnsi="宋体"/>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1.2采购人提供供应商使用的场地、设施、设备、材料等。</w:t>
      </w:r>
      <w:r>
        <w:rPr>
          <w:rFonts w:hint="eastAsia" w:ascii="宋体" w:hAnsi="宋体"/>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【如采购人拥有与物业管理服务有关的且可以无偿提供给供应商在本项目中使用的设施、设备、材料、场地等，可在此列明】</w:t>
      </w:r>
      <w:r>
        <w:rPr>
          <w:rFonts w:hint="eastAsia" w:ascii="宋体" w:hAnsi="宋体"/>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（1）采购人可提供的办公室</w:t>
      </w:r>
      <w:r>
        <w:rPr>
          <w:rFonts w:hint="eastAsia" w:ascii="宋体" w:hAnsi="宋体"/>
          <w:color w:val="000000"/>
          <w:sz w:val="24"/>
          <w:highlight w:val="none"/>
        </w:rPr>
      </w:r>
      <w:r/>
    </w:p>
    <w:tbl>
      <w:tblPr>
        <w:tblStyle w:val="74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序号</w:t>
            </w:r>
            <w:r>
              <w:rPr>
                <w:rFonts w:hint="eastAsia" w:ascii="宋体" w:hAnsi="宋体" w:cs="宋体"/>
                <w:color w:val="000000"/>
                <w:spacing w:val="-1"/>
                <w:szCs w:val="21"/>
                <w:highlight w:val="none"/>
              </w:rPr>
            </w:r>
            <w:r/>
          </w:p>
        </w:tc>
        <w:tc>
          <w:tcPr>
            <w:tcW w:w="139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数量</w:t>
            </w:r>
            <w:r>
              <w:rPr>
                <w:rFonts w:hint="eastAsia" w:ascii="宋体" w:hAnsi="宋体" w:cs="宋体"/>
                <w:color w:val="000000"/>
                <w:spacing w:val="-1"/>
                <w:szCs w:val="21"/>
                <w:highlight w:val="none"/>
              </w:rPr>
            </w:r>
            <w:r/>
          </w:p>
        </w:tc>
        <w:tc>
          <w:tcPr>
            <w:tcW w:w="142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面积㎡</w:t>
            </w:r>
            <w:r>
              <w:rPr>
                <w:rFonts w:hint="eastAsia" w:ascii="宋体" w:hAnsi="宋体" w:cs="宋体"/>
                <w:color w:val="000000"/>
                <w:spacing w:val="-1"/>
                <w:szCs w:val="21"/>
                <w:highlight w:val="none"/>
              </w:rPr>
            </w:r>
            <w:r/>
          </w:p>
        </w:tc>
        <w:tc>
          <w:tcPr>
            <w:tcW w:w="475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办公室内可用设施设备清单</w:t>
            </w:r>
            <w:r>
              <w:rPr>
                <w:rFonts w:hint="eastAsia" w:ascii="宋体" w:hAnsi="宋体" w:cs="宋体"/>
                <w:color w:val="000000"/>
                <w:spacing w:val="-1"/>
                <w:szCs w:val="21"/>
                <w:highlight w:val="none"/>
              </w:rPr>
            </w:r>
            <w:r/>
          </w:p>
        </w:tc>
      </w:tr>
      <w:tr>
        <w:trPr/>
        <w:tc>
          <w:tcPr>
            <w:tcW w:w="948"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39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42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50</w:t>
            </w:r>
            <w:r>
              <w:rPr>
                <w:rFonts w:hint="eastAsia" w:ascii="宋体" w:hAnsi="宋体" w:cs="宋体"/>
                <w:color w:val="000000"/>
                <w:spacing w:val="-1"/>
                <w:szCs w:val="21"/>
                <w:highlight w:val="none"/>
              </w:rPr>
            </w:r>
            <w:r/>
          </w:p>
        </w:tc>
        <w:tc>
          <w:tcPr>
            <w:tcW w:w="475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本项目的物业办公室由采购人提供</w:t>
            </w:r>
            <w:r>
              <w:rPr>
                <w:rFonts w:hint="eastAsia" w:ascii="宋体" w:hAnsi="宋体" w:cs="宋体"/>
                <w:color w:val="000000"/>
                <w:spacing w:val="-1"/>
                <w:szCs w:val="21"/>
                <w:highlight w:val="none"/>
              </w:rPr>
            </w:r>
            <w:r/>
          </w:p>
        </w:tc>
      </w:tr>
      <w:tr>
        <w:trPr/>
        <w:tc>
          <w:tcPr>
            <w:tcW w:w="948"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rPr>
            </w:r>
            <w:r/>
          </w:p>
        </w:tc>
        <w:tc>
          <w:tcPr>
            <w:tcW w:w="139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lang w:eastAsia="en-US"/>
              </w:rPr>
            </w:r>
            <w:r/>
          </w:p>
        </w:tc>
        <w:tc>
          <w:tcPr>
            <w:tcW w:w="142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30</w:t>
            </w:r>
            <w:r>
              <w:rPr>
                <w:rFonts w:hint="eastAsia" w:ascii="宋体" w:hAnsi="宋体" w:cs="宋体"/>
                <w:color w:val="000000"/>
                <w:spacing w:val="-1"/>
                <w:szCs w:val="21"/>
                <w:highlight w:val="none"/>
                <w:lang w:eastAsia="en-US"/>
              </w:rPr>
            </w:r>
            <w:r/>
          </w:p>
        </w:tc>
        <w:tc>
          <w:tcPr>
            <w:tcW w:w="475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本项目的门卫室由采购人提供</w:t>
            </w:r>
            <w:r>
              <w:rPr>
                <w:rFonts w:hint="eastAsia" w:ascii="宋体" w:hAnsi="宋体" w:cs="宋体"/>
                <w:color w:val="000000"/>
                <w:spacing w:val="-1"/>
                <w:szCs w:val="21"/>
                <w:highlight w:val="none"/>
              </w:rPr>
            </w:r>
            <w:r/>
          </w:p>
        </w:tc>
      </w:tr>
      <w:tr>
        <w:trPr/>
        <w:tc>
          <w:tcPr>
            <w:tcW w:w="948"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3</w:t>
            </w:r>
            <w:r>
              <w:rPr>
                <w:rFonts w:hint="eastAsia" w:ascii="宋体" w:hAnsi="宋体" w:cs="宋体"/>
                <w:color w:val="000000"/>
                <w:spacing w:val="-1"/>
                <w:szCs w:val="21"/>
                <w:highlight w:val="none"/>
                <w:lang w:eastAsia="en-US"/>
              </w:rPr>
            </w:r>
            <w:r/>
          </w:p>
        </w:tc>
        <w:tc>
          <w:tcPr>
            <w:tcW w:w="139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lang w:eastAsia="en-US"/>
              </w:rPr>
            </w:r>
            <w:r/>
          </w:p>
        </w:tc>
        <w:tc>
          <w:tcPr>
            <w:tcW w:w="142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68</w:t>
            </w:r>
            <w:r>
              <w:rPr>
                <w:rFonts w:hint="eastAsia" w:ascii="宋体" w:hAnsi="宋体" w:cs="宋体"/>
                <w:color w:val="000000"/>
                <w:spacing w:val="-1"/>
                <w:szCs w:val="21"/>
                <w:highlight w:val="none"/>
                <w:lang w:eastAsia="en-US"/>
              </w:rPr>
            </w:r>
            <w:r/>
          </w:p>
        </w:tc>
        <w:tc>
          <w:tcPr>
            <w:tcW w:w="475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r>
            <w:r/>
          </w:p>
        </w:tc>
      </w:tr>
    </w:tbl>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（2）采购人可提供的物业管理服务设备</w:t>
      </w:r>
      <w:r>
        <w:rPr>
          <w:rFonts w:hint="eastAsia" w:ascii="宋体" w:hAnsi="宋体"/>
          <w:color w:val="000000"/>
          <w:sz w:val="24"/>
          <w:highlight w:val="none"/>
        </w:rPr>
      </w:r>
      <w:r/>
    </w:p>
    <w:tbl>
      <w:tblPr>
        <w:tblStyle w:val="74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357"/>
        <w:gridCol w:w="1013"/>
        <w:gridCol w:w="2135"/>
        <w:gridCol w:w="3051"/>
      </w:tblGrid>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序号</w:t>
            </w:r>
            <w:r>
              <w:rPr>
                <w:rFonts w:hint="eastAsia" w:ascii="宋体" w:hAnsi="宋体" w:cs="宋体"/>
                <w:color w:val="000000"/>
                <w:spacing w:val="-1"/>
                <w:szCs w:val="21"/>
                <w:highlight w:val="none"/>
              </w:rPr>
            </w:r>
            <w:r/>
          </w:p>
        </w:tc>
        <w:tc>
          <w:tcPr>
            <w:tcW w:w="1357"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名称</w:t>
            </w:r>
            <w:r>
              <w:rPr>
                <w:rFonts w:hint="eastAsia" w:ascii="宋体" w:hAnsi="宋体" w:cs="宋体"/>
                <w:color w:val="000000"/>
                <w:spacing w:val="-1"/>
                <w:szCs w:val="21"/>
                <w:highlight w:val="none"/>
              </w:rPr>
            </w:r>
            <w:r/>
          </w:p>
        </w:tc>
        <w:tc>
          <w:tcPr>
            <w:tcW w:w="101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数量</w:t>
            </w:r>
            <w:r>
              <w:rPr>
                <w:rFonts w:hint="eastAsia" w:ascii="宋体" w:hAnsi="宋体" w:cs="宋体"/>
                <w:color w:val="000000"/>
                <w:spacing w:val="-1"/>
                <w:szCs w:val="21"/>
                <w:highlight w:val="none"/>
              </w:rPr>
            </w:r>
            <w:r/>
          </w:p>
        </w:tc>
        <w:tc>
          <w:tcPr>
            <w:tcW w:w="213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用途</w:t>
            </w:r>
            <w:r>
              <w:rPr>
                <w:rFonts w:hint="eastAsia" w:ascii="宋体" w:hAnsi="宋体" w:cs="宋体"/>
                <w:color w:val="000000"/>
                <w:spacing w:val="-1"/>
                <w:szCs w:val="21"/>
                <w:highlight w:val="none"/>
              </w:rPr>
            </w:r>
            <w:r/>
          </w:p>
        </w:tc>
        <w:tc>
          <w:tcPr>
            <w:tcW w:w="3051"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主要技术指标</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357" w:type="dxa"/>
            <w:vAlign w:val="center"/>
            <w:textDirection w:val="lrTb"/>
            <w:noWrap w:val="false"/>
          </w:tcPr>
          <w:p>
            <w:pPr>
              <w:pStyle w:val="676"/>
              <w:jc w:val="center"/>
              <w:spacing w:line="0" w:lineRule="atLeast"/>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微型消防站</w:t>
            </w:r>
            <w:r>
              <w:rPr>
                <w:rFonts w:hint="eastAsia" w:ascii="宋体" w:hAnsi="宋体" w:cs="宋体"/>
                <w:color w:val="000000"/>
                <w:spacing w:val="-1"/>
                <w:szCs w:val="21"/>
                <w:highlight w:val="none"/>
              </w:rPr>
            </w:r>
            <w:r/>
          </w:p>
        </w:tc>
        <w:tc>
          <w:tcPr>
            <w:tcW w:w="1013" w:type="dxa"/>
            <w:vAlign w:val="center"/>
            <w:textDirection w:val="lrTb"/>
            <w:noWrap w:val="false"/>
          </w:tcPr>
          <w:p>
            <w:pPr>
              <w:pStyle w:val="676"/>
              <w:jc w:val="center"/>
              <w:spacing w:line="0" w:lineRule="atLeast"/>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套</w:t>
            </w:r>
            <w:r>
              <w:rPr>
                <w:rFonts w:hint="eastAsia" w:ascii="宋体" w:hAnsi="宋体" w:cs="宋体"/>
                <w:color w:val="000000"/>
                <w:spacing w:val="-1"/>
                <w:szCs w:val="21"/>
                <w:highlight w:val="none"/>
              </w:rPr>
            </w:r>
            <w:r/>
          </w:p>
        </w:tc>
        <w:tc>
          <w:tcPr>
            <w:tcW w:w="2135" w:type="dxa"/>
            <w:vAlign w:val="center"/>
            <w:textDirection w:val="lrTb"/>
            <w:noWrap w:val="false"/>
          </w:tcPr>
          <w:p>
            <w:pPr>
              <w:pStyle w:val="676"/>
              <w:jc w:val="center"/>
              <w:spacing w:line="0" w:lineRule="atLeast"/>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消防安全管理</w:t>
            </w:r>
            <w:r>
              <w:rPr>
                <w:rFonts w:hint="eastAsia" w:ascii="宋体" w:hAnsi="宋体" w:cs="宋体"/>
                <w:color w:val="000000"/>
                <w:spacing w:val="-1"/>
                <w:szCs w:val="21"/>
                <w:highlight w:val="none"/>
              </w:rPr>
            </w:r>
            <w:r/>
          </w:p>
        </w:tc>
        <w:tc>
          <w:tcPr>
            <w:tcW w:w="3051" w:type="dxa"/>
            <w:vAlign w:val="center"/>
            <w:textDirection w:val="lrTb"/>
            <w:noWrap w:val="false"/>
          </w:tcPr>
          <w:p>
            <w:pPr>
              <w:pStyle w:val="676"/>
              <w:jc w:val="center"/>
              <w:spacing w:line="0" w:lineRule="atLeast"/>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按消防规范</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rPr>
            </w:r>
            <w:r/>
          </w:p>
        </w:tc>
        <w:tc>
          <w:tcPr>
            <w:tcW w:w="1357"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101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213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3051"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1357"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w:t>
            </w:r>
            <w:r>
              <w:rPr>
                <w:rFonts w:hint="eastAsia" w:ascii="宋体" w:hAnsi="宋体" w:cs="宋体"/>
                <w:color w:val="000000"/>
                <w:spacing w:val="-1"/>
                <w:szCs w:val="21"/>
                <w:highlight w:val="none"/>
                <w:lang w:eastAsia="en-US"/>
              </w:rPr>
            </w:r>
            <w:r/>
          </w:p>
        </w:tc>
        <w:tc>
          <w:tcPr>
            <w:tcW w:w="101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w:t>
            </w:r>
            <w:r>
              <w:rPr>
                <w:rFonts w:hint="eastAsia" w:ascii="宋体" w:hAnsi="宋体" w:cs="宋体"/>
                <w:color w:val="000000"/>
                <w:spacing w:val="-1"/>
                <w:szCs w:val="21"/>
                <w:highlight w:val="none"/>
                <w:lang w:eastAsia="en-US"/>
              </w:rPr>
            </w:r>
            <w:r/>
          </w:p>
        </w:tc>
        <w:tc>
          <w:tcPr>
            <w:tcW w:w="213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w:t>
            </w:r>
            <w:r>
              <w:rPr>
                <w:rFonts w:hint="eastAsia" w:ascii="宋体" w:hAnsi="宋体" w:cs="宋体"/>
                <w:color w:val="000000"/>
                <w:spacing w:val="-1"/>
                <w:szCs w:val="21"/>
                <w:highlight w:val="none"/>
                <w:lang w:eastAsia="en-US"/>
              </w:rPr>
            </w:r>
            <w:r/>
          </w:p>
        </w:tc>
        <w:tc>
          <w:tcPr>
            <w:tcW w:w="3051"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w:t>
            </w:r>
            <w:r>
              <w:rPr>
                <w:rFonts w:hint="eastAsia" w:ascii="宋体" w:hAnsi="宋体" w:cs="宋体"/>
                <w:color w:val="000000"/>
                <w:spacing w:val="-1"/>
                <w:szCs w:val="21"/>
                <w:highlight w:val="none"/>
                <w:lang w:eastAsia="en-US"/>
              </w:rPr>
            </w:r>
            <w:r/>
          </w:p>
        </w:tc>
      </w:tr>
    </w:tbl>
    <w:p>
      <w:pPr>
        <w:pStyle w:val="676"/>
        <w:numPr>
          <w:ilvl w:val="0"/>
          <w:numId w:val="5"/>
        </w:numPr>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采购人可提供的零星维修材料、低值易耗品</w:t>
      </w:r>
      <w:r>
        <w:rPr>
          <w:rFonts w:hint="eastAsia" w:ascii="宋体" w:hAnsi="宋体"/>
          <w:color w:val="000000"/>
          <w:sz w:val="24"/>
          <w:highlight w:val="none"/>
        </w:rPr>
      </w:r>
      <w:r/>
    </w:p>
    <w:tbl>
      <w:tblPr>
        <w:tblStyle w:val="74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555"/>
        <w:gridCol w:w="815"/>
        <w:gridCol w:w="5186"/>
      </w:tblGrid>
      <w:tr>
        <w:trPr/>
        <w:tc>
          <w:tcPr>
            <w:gridSpan w:val="4"/>
            <w:tcW w:w="8519" w:type="dxa"/>
            <w:vAlign w:val="center"/>
            <w:textDirection w:val="lrTb"/>
            <w:noWrap w:val="false"/>
          </w:tcPr>
          <w:p>
            <w:pPr>
              <w:pStyle w:val="676"/>
              <w:jc w:val="left"/>
              <w:shd w:val="clear" w:color="auto" w:fill="auto"/>
              <w:rPr>
                <w:rFonts w:hint="eastAsia" w:ascii="宋体" w:hAnsi="宋体" w:cs="宋体"/>
                <w:color w:val="000000"/>
                <w:spacing w:val="-1"/>
                <w:szCs w:val="21"/>
                <w:highlight w:val="none"/>
              </w:rPr>
            </w:pPr>
            <w:r>
              <w:rPr>
                <w:rFonts w:hint="eastAsia" w:ascii="宋体" w:hAnsi="宋体" w:cs="宋体"/>
                <w:b/>
                <w:bCs/>
                <w:color w:val="000000"/>
                <w:spacing w:val="-1"/>
                <w:szCs w:val="21"/>
                <w:highlight w:val="none"/>
              </w:rPr>
              <w:t xml:space="preserve">零星维修材料</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序号</w:t>
            </w:r>
            <w:r>
              <w:rPr>
                <w:rFonts w:hint="eastAsia" w:ascii="宋体" w:hAnsi="宋体" w:cs="宋体"/>
                <w:color w:val="000000"/>
                <w:spacing w:val="-1"/>
                <w:szCs w:val="21"/>
                <w:highlight w:val="none"/>
              </w:rPr>
            </w:r>
            <w:r/>
          </w:p>
        </w:tc>
        <w:tc>
          <w:tcPr>
            <w:tcW w:w="155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名称</w:t>
            </w:r>
            <w:r>
              <w:rPr>
                <w:rFonts w:hint="eastAsia" w:ascii="宋体" w:hAnsi="宋体" w:cs="宋体"/>
                <w:color w:val="000000"/>
                <w:spacing w:val="-1"/>
                <w:szCs w:val="21"/>
                <w:highlight w:val="none"/>
              </w:rPr>
            </w:r>
            <w:r/>
          </w:p>
        </w:tc>
        <w:tc>
          <w:tcPr>
            <w:tcW w:w="81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数量</w:t>
            </w:r>
            <w:r>
              <w:rPr>
                <w:rFonts w:hint="eastAsia" w:ascii="宋体" w:hAnsi="宋体" w:cs="宋体"/>
                <w:color w:val="000000"/>
                <w:spacing w:val="-1"/>
                <w:szCs w:val="21"/>
                <w:highlight w:val="none"/>
              </w:rPr>
            </w:r>
            <w:r/>
          </w:p>
        </w:tc>
        <w:tc>
          <w:tcPr>
            <w:tcW w:w="5186"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用途</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55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日常消耗用品</w:t>
            </w:r>
            <w:r>
              <w:rPr>
                <w:rFonts w:hint="eastAsia" w:ascii="宋体" w:hAnsi="宋体" w:cs="宋体"/>
                <w:color w:val="000000"/>
                <w:spacing w:val="-1"/>
                <w:szCs w:val="21"/>
                <w:highlight w:val="none"/>
              </w:rPr>
            </w:r>
            <w:r/>
          </w:p>
        </w:tc>
        <w:tc>
          <w:tcPr>
            <w:tcW w:w="81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r>
            <w:r/>
          </w:p>
        </w:tc>
        <w:tc>
          <w:tcPr>
            <w:tcW w:w="5186"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日常使用</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rPr>
            </w:r>
            <w:r/>
          </w:p>
        </w:tc>
        <w:tc>
          <w:tcPr>
            <w:tcW w:w="155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工程维修配件</w:t>
            </w:r>
            <w:r>
              <w:rPr>
                <w:rFonts w:hint="eastAsia" w:ascii="宋体" w:hAnsi="宋体" w:cs="宋体"/>
                <w:color w:val="000000"/>
                <w:spacing w:val="-1"/>
                <w:szCs w:val="21"/>
                <w:highlight w:val="none"/>
              </w:rPr>
            </w:r>
            <w:r/>
          </w:p>
        </w:tc>
        <w:tc>
          <w:tcPr>
            <w:tcW w:w="81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5186"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日常更换及纵维修使用</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676"/>
              <w:jc w:val="left"/>
              <w:shd w:val="clear" w:color="auto" w:fill="auto"/>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r>
            <w:r/>
          </w:p>
        </w:tc>
        <w:tc>
          <w:tcPr>
            <w:tcW w:w="1555" w:type="dxa"/>
            <w:vAlign w:val="center"/>
            <w:textDirection w:val="lrTb"/>
            <w:noWrap w:val="false"/>
          </w:tcPr>
          <w:p>
            <w:pPr>
              <w:pStyle w:val="676"/>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c>
          <w:tcPr>
            <w:tcW w:w="815" w:type="dxa"/>
            <w:vAlign w:val="center"/>
            <w:textDirection w:val="lrTb"/>
            <w:noWrap w:val="false"/>
          </w:tcPr>
          <w:p>
            <w:pPr>
              <w:pStyle w:val="676"/>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c>
          <w:tcPr>
            <w:tcW w:w="5186" w:type="dxa"/>
            <w:vAlign w:val="center"/>
            <w:textDirection w:val="lrTb"/>
            <w:noWrap w:val="false"/>
          </w:tcPr>
          <w:p>
            <w:pPr>
              <w:pStyle w:val="676"/>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r>
      <w:tr>
        <w:trPr/>
        <w:tc>
          <w:tcPr>
            <w:gridSpan w:val="4"/>
            <w:tcW w:w="8519" w:type="dxa"/>
            <w:vAlign w:val="center"/>
            <w:textDirection w:val="lrTb"/>
            <w:noWrap w:val="false"/>
          </w:tcPr>
          <w:p>
            <w:pPr>
              <w:pStyle w:val="676"/>
              <w:jc w:val="left"/>
              <w:shd w:val="clear" w:color="auto" w:fill="auto"/>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t xml:space="preserve">低值易耗品</w:t>
            </w:r>
            <w:r>
              <w:rPr>
                <w:rFonts w:hint="eastAsia" w:ascii="宋体" w:hAnsi="宋体" w:cs="宋体"/>
                <w:b/>
                <w:bCs/>
                <w:color w:val="000000"/>
                <w:spacing w:val="-1"/>
                <w:szCs w:val="21"/>
                <w:highlight w:val="none"/>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序号</w:t>
            </w:r>
            <w:r>
              <w:rPr>
                <w:rFonts w:hint="eastAsia" w:ascii="宋体" w:hAnsi="宋体" w:cs="宋体"/>
                <w:color w:val="000000"/>
                <w:spacing w:val="-1"/>
                <w:szCs w:val="21"/>
                <w:highlight w:val="none"/>
              </w:rPr>
            </w:r>
            <w:r/>
          </w:p>
        </w:tc>
        <w:tc>
          <w:tcPr>
            <w:tcW w:w="155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名称</w:t>
            </w:r>
            <w:r>
              <w:rPr>
                <w:rFonts w:hint="eastAsia" w:ascii="宋体" w:hAnsi="宋体" w:cs="宋体"/>
                <w:color w:val="000000"/>
                <w:spacing w:val="-1"/>
                <w:szCs w:val="21"/>
                <w:highlight w:val="none"/>
              </w:rPr>
            </w:r>
            <w:r/>
          </w:p>
        </w:tc>
        <w:tc>
          <w:tcPr>
            <w:tcW w:w="81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数量</w:t>
            </w:r>
            <w:r>
              <w:rPr>
                <w:rFonts w:hint="eastAsia" w:ascii="宋体" w:hAnsi="宋体" w:cs="宋体"/>
                <w:color w:val="000000"/>
                <w:spacing w:val="-1"/>
                <w:szCs w:val="21"/>
                <w:highlight w:val="none"/>
              </w:rPr>
            </w:r>
            <w:r/>
          </w:p>
        </w:tc>
        <w:tc>
          <w:tcPr>
            <w:tcW w:w="5186"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用途</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55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垃</w:t>
            </w:r>
            <w:r>
              <w:rPr>
                <w:rFonts w:hint="eastAsia" w:ascii="宋体" w:hAnsi="宋体" w:cs="宋体"/>
                <w:color w:val="000000"/>
                <w:spacing w:val="-1"/>
                <w:szCs w:val="21"/>
                <w:highlight w:val="none"/>
                <w:lang w:eastAsia="en-US"/>
              </w:rPr>
            </w:r>
            <w:r/>
          </w:p>
        </w:tc>
        <w:tc>
          <w:tcPr>
            <w:tcW w:w="81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5186"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rPr>
            </w:r>
            <w:r/>
          </w:p>
        </w:tc>
        <w:tc>
          <w:tcPr>
            <w:tcW w:w="155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815"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5186"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r>
      <w:tr>
        <w:trPr/>
        <w:tc>
          <w:tcPr>
            <w:tcW w:w="963" w:type="dxa"/>
            <w:vAlign w:val="center"/>
            <w:textDirection w:val="lrTb"/>
            <w:noWrap w:val="false"/>
          </w:tcPr>
          <w:p>
            <w:pPr>
              <w:pStyle w:val="676"/>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r>
            <w:r/>
          </w:p>
        </w:tc>
        <w:tc>
          <w:tcPr>
            <w:tcW w:w="1555" w:type="dxa"/>
            <w:vAlign w:val="center"/>
            <w:textDirection w:val="lrTb"/>
            <w:noWrap w:val="false"/>
          </w:tcPr>
          <w:p>
            <w:pPr>
              <w:pStyle w:val="676"/>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c>
          <w:tcPr>
            <w:tcW w:w="815" w:type="dxa"/>
            <w:vAlign w:val="center"/>
            <w:textDirection w:val="lrTb"/>
            <w:noWrap w:val="false"/>
          </w:tcPr>
          <w:p>
            <w:pPr>
              <w:pStyle w:val="676"/>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c>
          <w:tcPr>
            <w:tcW w:w="5186" w:type="dxa"/>
            <w:vAlign w:val="center"/>
            <w:textDirection w:val="lrTb"/>
            <w:noWrap w:val="false"/>
          </w:tcPr>
          <w:p>
            <w:pPr>
              <w:pStyle w:val="676"/>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r>
    </w:tbl>
    <w:p>
      <w:pPr>
        <w:pStyle w:val="676"/>
        <w:spacing w:line="360" w:lineRule="auto"/>
        <w:shd w:val="clear" w:color="auto" w:fill="auto"/>
        <w:rPr>
          <w:rFonts w:hint="eastAsia" w:ascii="宋体" w:hAnsi="宋体" w:eastAsia="微软雅黑"/>
          <w:color w:val="000000"/>
          <w:sz w:val="24"/>
          <w:highlight w:val="none"/>
        </w:rPr>
      </w:pPr>
      <w:r>
        <w:rPr>
          <w:rFonts w:hint="eastAsia" w:ascii="微软雅黑" w:hAnsi="微软雅黑" w:eastAsia="微软雅黑" w:cs="微软雅黑"/>
          <w:b/>
          <w:bCs/>
          <w:color w:val="000000"/>
          <w:spacing w:val="-1"/>
          <w:szCs w:val="21"/>
          <w:highlight w:val="none"/>
          <w:lang w:eastAsia="en-US"/>
        </w:rPr>
        <w:t xml:space="preserve">……</w:t>
      </w:r>
      <w:r>
        <w:rPr>
          <w:rFonts w:hint="eastAsia" w:ascii="宋体" w:hAnsi="宋体" w:eastAsia="微软雅黑"/>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除</w:t>
      </w:r>
      <w:r>
        <w:rPr>
          <w:rFonts w:ascii="宋体" w:hAnsi="宋体"/>
          <w:color w:val="000000"/>
          <w:sz w:val="24"/>
          <w:highlight w:val="none"/>
        </w:rPr>
        <w:t xml:space="preserve">以上所列场地、设施、设备、材料外，与物业管理服务有关的其他场地、设施、设备、材料均由供应商承担。</w:t>
      </w:r>
      <w:r>
        <w:rPr>
          <w:rFonts w:hint="eastAsia" w:ascii="宋体" w:hAnsi="宋体"/>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676"/>
        <w:ind w:firstLine="482"/>
        <w:spacing w:line="360" w:lineRule="auto"/>
        <w:shd w:val="clear" w:color="auto" w:fill="auto"/>
        <w:rPr>
          <w:rFonts w:hint="eastAsia"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物业服务范围</w:t>
      </w:r>
      <w:r>
        <w:rPr>
          <w:rFonts w:hint="eastAsia" w:ascii="宋体" w:hAnsi="宋体"/>
          <w:b/>
          <w:color w:val="000000"/>
          <w:sz w:val="24"/>
          <w:highlight w:val="none"/>
        </w:rPr>
      </w:r>
      <w:r/>
    </w:p>
    <w:p>
      <w:pPr>
        <w:pStyle w:val="676"/>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（1）物业管理（建筑物）</w:t>
      </w:r>
      <w:r>
        <w:rPr>
          <w:rFonts w:hint="eastAsia" w:ascii="宋体" w:hAnsi="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999"/>
      </w:tblGrid>
      <w:tr>
        <w:trPr/>
        <w:tc>
          <w:tcPr>
            <w:tcW w:w="2211" w:type="dxa"/>
            <w:vAlign w:val="center"/>
            <w:textDirection w:val="lrTb"/>
            <w:noWrap w:val="false"/>
          </w:tcPr>
          <w:p>
            <w:pPr>
              <w:pStyle w:val="67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2929" w:type="dxa"/>
            <w:vAlign w:val="center"/>
            <w:textDirection w:val="lrTb"/>
            <w:noWrap w:val="false"/>
          </w:tcPr>
          <w:p>
            <w:pPr>
              <w:pStyle w:val="67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明细</w:t>
            </w:r>
            <w:r>
              <w:rPr>
                <w:rFonts w:hint="eastAsia" w:ascii="宋体" w:hAnsi="宋体" w:cs="宋体"/>
                <w:color w:val="000000"/>
                <w:szCs w:val="21"/>
                <w:highlight w:val="none"/>
              </w:rPr>
            </w:r>
            <w:r/>
          </w:p>
        </w:tc>
        <w:tc>
          <w:tcPr>
            <w:tcW w:w="3999" w:type="dxa"/>
            <w:vAlign w:val="center"/>
            <w:textDirection w:val="lrTb"/>
            <w:noWrap w:val="false"/>
          </w:tcPr>
          <w:p>
            <w:pPr>
              <w:pStyle w:val="67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服务内容及标准</w:t>
            </w:r>
            <w:r>
              <w:rPr>
                <w:rFonts w:hint="eastAsia" w:ascii="宋体" w:hAnsi="宋体" w:cs="宋体"/>
                <w:color w:val="000000"/>
                <w:szCs w:val="21"/>
                <w:highlight w:val="none"/>
              </w:rPr>
            </w:r>
            <w:r/>
          </w:p>
        </w:tc>
      </w:tr>
      <w:tr>
        <w:trPr/>
        <w:tc>
          <w:tcPr>
            <w:tcW w:w="2211" w:type="dxa"/>
            <w:vAlign w:val="center"/>
            <w:textDirection w:val="lrTb"/>
            <w:noWrap w:val="false"/>
          </w:tcPr>
          <w:p>
            <w:pPr>
              <w:pStyle w:val="67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江溪街道综合办公楼室内部分</w:t>
            </w:r>
            <w:r>
              <w:rPr>
                <w:rFonts w:hint="eastAsia" w:ascii="宋体" w:hAnsi="宋体" w:cs="宋体"/>
                <w:color w:val="000000"/>
                <w:szCs w:val="21"/>
                <w:highlight w:val="none"/>
              </w:rPr>
            </w:r>
            <w:r/>
          </w:p>
        </w:tc>
        <w:tc>
          <w:tcPr>
            <w:tcW w:w="2929" w:type="dxa"/>
            <w:vAlign w:val="center"/>
            <w:textDirection w:val="lrTb"/>
            <w:noWrap w:val="false"/>
          </w:tcPr>
          <w:p>
            <w:pPr>
              <w:pStyle w:val="67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占地面积4362平方米，总建筑面积11800平方米。</w:t>
            </w:r>
            <w:r>
              <w:rPr>
                <w:rFonts w:hint="eastAsia" w:ascii="宋体" w:hAnsi="宋体" w:cs="宋体"/>
                <w:color w:val="000000"/>
                <w:szCs w:val="21"/>
                <w:highlight w:val="none"/>
              </w:rPr>
            </w:r>
            <w:r/>
          </w:p>
        </w:tc>
        <w:tc>
          <w:tcPr>
            <w:tcW w:w="3999" w:type="dxa"/>
            <w:vAlign w:val="center"/>
            <w:textDirection w:val="lrTb"/>
            <w:noWrap w:val="false"/>
          </w:tcPr>
          <w:p>
            <w:pPr>
              <w:pStyle w:val="67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室内部分的保洁、保安（秩序维护）、公共服务、房屋、共用设施、设备维护与管理等。</w:t>
            </w:r>
            <w:r>
              <w:rPr>
                <w:rFonts w:hint="eastAsia" w:ascii="宋体" w:hAnsi="宋体" w:cs="宋体"/>
                <w:color w:val="000000"/>
                <w:szCs w:val="21"/>
                <w:highlight w:val="none"/>
              </w:rPr>
            </w:r>
            <w:r/>
          </w:p>
        </w:tc>
      </w:tr>
    </w:tbl>
    <w:p>
      <w:pPr>
        <w:pStyle w:val="676"/>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（2）物业管理（室外）</w:t>
      </w:r>
      <w:r>
        <w:rPr>
          <w:rFonts w:hint="eastAsia" w:ascii="宋体" w:hAnsi="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4029"/>
      </w:tblGrid>
      <w:tr>
        <w:trPr/>
        <w:tc>
          <w:tcPr>
            <w:tcW w:w="2211" w:type="dxa"/>
            <w:vAlign w:val="center"/>
            <w:textDirection w:val="lrTb"/>
            <w:noWrap w:val="false"/>
          </w:tcPr>
          <w:p>
            <w:pPr>
              <w:pStyle w:val="67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2929" w:type="dxa"/>
            <w:vAlign w:val="center"/>
            <w:textDirection w:val="lrTb"/>
            <w:noWrap w:val="false"/>
          </w:tcPr>
          <w:p>
            <w:pPr>
              <w:pStyle w:val="67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明细</w:t>
            </w:r>
            <w:r>
              <w:rPr>
                <w:rFonts w:hint="eastAsia" w:ascii="宋体" w:hAnsi="宋体" w:cs="宋体"/>
                <w:color w:val="000000"/>
                <w:szCs w:val="21"/>
                <w:highlight w:val="none"/>
              </w:rPr>
            </w:r>
            <w:r/>
          </w:p>
        </w:tc>
        <w:tc>
          <w:tcPr>
            <w:tcW w:w="4029" w:type="dxa"/>
            <w:vAlign w:val="center"/>
            <w:textDirection w:val="lrTb"/>
            <w:noWrap w:val="false"/>
          </w:tcPr>
          <w:p>
            <w:pPr>
              <w:pStyle w:val="67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服务内容及标准</w:t>
            </w:r>
            <w:r>
              <w:rPr>
                <w:rFonts w:hint="eastAsia" w:ascii="宋体" w:hAnsi="宋体" w:cs="宋体"/>
                <w:color w:val="000000"/>
                <w:szCs w:val="21"/>
                <w:highlight w:val="none"/>
              </w:rPr>
            </w:r>
            <w:r/>
          </w:p>
        </w:tc>
      </w:tr>
      <w:tr>
        <w:trPr/>
        <w:tc>
          <w:tcPr>
            <w:tcW w:w="2211" w:type="dxa"/>
            <w:vAlign w:val="center"/>
            <w:textDirection w:val="lrTb"/>
            <w:noWrap w:val="false"/>
          </w:tcPr>
          <w:p>
            <w:pPr>
              <w:pStyle w:val="67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江溪街道综合办公楼室外部分</w:t>
            </w:r>
            <w:r>
              <w:rPr>
                <w:rFonts w:hint="eastAsia" w:ascii="宋体" w:hAnsi="宋体" w:cs="宋体"/>
                <w:color w:val="000000"/>
                <w:szCs w:val="21"/>
                <w:highlight w:val="none"/>
              </w:rPr>
            </w:r>
            <w:r/>
          </w:p>
        </w:tc>
        <w:tc>
          <w:tcPr>
            <w:tcW w:w="2929" w:type="dxa"/>
            <w:vAlign w:val="center"/>
            <w:textDirection w:val="lrTb"/>
            <w:noWrap w:val="false"/>
          </w:tcPr>
          <w:p>
            <w:pPr>
              <w:pStyle w:val="67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占地面积8500平方米。</w:t>
            </w:r>
            <w:r>
              <w:rPr>
                <w:rFonts w:hint="eastAsia" w:ascii="宋体" w:hAnsi="宋体" w:cs="宋体"/>
                <w:color w:val="000000"/>
                <w:szCs w:val="21"/>
                <w:highlight w:val="none"/>
              </w:rPr>
            </w:r>
            <w:r/>
          </w:p>
        </w:tc>
        <w:tc>
          <w:tcPr>
            <w:tcW w:w="4029" w:type="dxa"/>
            <w:vAlign w:val="center"/>
            <w:textDirection w:val="lrTb"/>
            <w:noWrap w:val="false"/>
          </w:tcPr>
          <w:p>
            <w:pPr>
              <w:pStyle w:val="67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室外部分的保洁、保安（秩序维护）、弱电系统管理等。</w:t>
            </w:r>
            <w:r>
              <w:rPr>
                <w:rFonts w:hint="eastAsia" w:ascii="宋体" w:hAnsi="宋体" w:cs="宋体"/>
                <w:color w:val="000000"/>
                <w:szCs w:val="21"/>
                <w:highlight w:val="none"/>
              </w:rPr>
            </w:r>
            <w:r/>
          </w:p>
        </w:tc>
      </w:tr>
    </w:tbl>
    <w:p>
      <w:pPr>
        <w:pStyle w:val="676"/>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3.物业管理服务内容及标准</w:t>
      </w:r>
      <w:r>
        <w:rPr>
          <w:rFonts w:hint="eastAsia" w:ascii="宋体" w:hAnsi="宋体"/>
          <w:b/>
          <w:color w:val="000000"/>
          <w:sz w:val="24"/>
          <w:highlight w:val="none"/>
        </w:rPr>
      </w:r>
      <w:r/>
    </w:p>
    <w:p>
      <w:pPr>
        <w:pStyle w:val="676"/>
        <w:ind w:firstLine="480"/>
        <w:spacing w:line="360" w:lineRule="auto"/>
        <w:shd w:val="clear" w:color="auto" w:fill="auto"/>
        <w:rPr>
          <w:rFonts w:hint="eastAsia" w:ascii="宋体" w:hAnsi="宋体"/>
          <w:color w:val="000000"/>
          <w:sz w:val="24"/>
          <w:szCs w:val="21"/>
          <w:highlight w:val="none"/>
        </w:rPr>
      </w:pPr>
      <w:r>
        <w:rPr>
          <w:rFonts w:hint="eastAsia" w:ascii="宋体" w:hAnsi="宋体"/>
          <w:color w:val="000000"/>
          <w:sz w:val="24"/>
          <w:szCs w:val="21"/>
          <w:highlight w:val="none"/>
        </w:rPr>
        <w:t xml:space="preserve">【物业管理服务包括房屋维护服务、公用设施设备维护服务、保洁服务、保安服务等。】</w:t>
      </w:r>
      <w:r>
        <w:rPr>
          <w:rFonts w:hint="eastAsia" w:ascii="宋体" w:hAnsi="宋体"/>
          <w:color w:val="000000"/>
          <w:sz w:val="24"/>
          <w:szCs w:val="21"/>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3.1  房屋维护服务</w:t>
      </w:r>
      <w:r>
        <w:rPr>
          <w:rFonts w:hint="eastAsia"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2835"/>
        <w:gridCol w:w="5422"/>
      </w:tblGrid>
      <w:tr>
        <w:trPr/>
        <w:tc>
          <w:tcPr>
            <w:tcW w:w="899"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835"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5422"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899"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835"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装修管理</w:t>
            </w:r>
            <w:r>
              <w:rPr>
                <w:rFonts w:hint="eastAsia" w:ascii="宋体" w:hAnsi="宋体" w:cs="微软雅黑"/>
                <w:color w:val="000000"/>
                <w:spacing w:val="-1"/>
                <w:szCs w:val="21"/>
                <w:highlight w:val="none"/>
              </w:rPr>
            </w:r>
            <w:r/>
          </w:p>
        </w:tc>
        <w:tc>
          <w:tcPr>
            <w:tcW w:w="5422" w:type="dxa"/>
            <w:vAlign w:val="center"/>
            <w:textDirection w:val="lrTb"/>
            <w:noWrap w:val="false"/>
          </w:tcPr>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1.将室内装饰装修工程的禁止行为和注意事项告知装修人；</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2.对业主（使用人）装修房屋的申请，应在2个工作日内给出同意意见或修改意见，并签定装饰装修管理服务协议；</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3.业主（使用人）装修期间每日巡查装修施工情况；</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4.装修结束组织验收；</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5.验收合格2个月后组织复验；</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6.复验合格后3个工作日内退还装修保证金；</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7.对装修中的违约行为及时劝阻；已造成事实后果或者拒不改正的，应当及时报告有关部门依法处理。</w:t>
            </w:r>
            <w:r>
              <w:rPr>
                <w:rFonts w:hint="eastAsia" w:ascii="宋体" w:hAnsi="宋体" w:cs="微软雅黑"/>
                <w:color w:val="000000"/>
                <w:spacing w:val="-1"/>
                <w:szCs w:val="21"/>
                <w:highlight w:val="none"/>
              </w:rPr>
            </w:r>
            <w:r/>
          </w:p>
        </w:tc>
      </w:tr>
      <w:tr>
        <w:trPr/>
        <w:tc>
          <w:tcPr>
            <w:tcW w:w="899"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835"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建筑物外立面</w:t>
            </w:r>
            <w:r>
              <w:rPr>
                <w:rFonts w:hint="eastAsia" w:ascii="宋体" w:hAnsi="宋体" w:cs="微软雅黑"/>
                <w:color w:val="000000"/>
                <w:spacing w:val="-1"/>
                <w:szCs w:val="21"/>
                <w:highlight w:val="none"/>
              </w:rPr>
            </w:r>
            <w:r/>
          </w:p>
        </w:tc>
        <w:tc>
          <w:tcPr>
            <w:tcW w:w="5422" w:type="dxa"/>
            <w:vAlign w:val="center"/>
            <w:textDirection w:val="lrTb"/>
            <w:noWrap w:val="false"/>
          </w:tcPr>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建筑物外立面为玻璃幕墙、瓷砖、仿石、大理石的，配合第三方外包公司清洗1次；外立面为水刷石、干粘石和喷涂材料的，原则上每5年粉饰1次；外立面为其他材质的，视材质情况定期清洗。因施工等原因致使建筑物、构筑物外立面有明显污迹的，应当及时进行清洗、粉饰。</w:t>
            </w:r>
            <w:r>
              <w:rPr>
                <w:rFonts w:hint="eastAsia" w:ascii="宋体" w:hAnsi="宋体" w:cs="微软雅黑"/>
                <w:color w:val="000000"/>
                <w:spacing w:val="-1"/>
                <w:szCs w:val="21"/>
                <w:highlight w:val="none"/>
              </w:rPr>
            </w:r>
            <w:r/>
          </w:p>
          <w:p>
            <w:pPr>
              <w:pStyle w:val="676"/>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2.委托合同另有约定的按合同约定执行。</w:t>
            </w:r>
            <w:r>
              <w:rPr>
                <w:rFonts w:hint="eastAsia" w:ascii="宋体" w:hAnsi="宋体" w:cs="微软雅黑"/>
                <w:color w:val="000000"/>
                <w:spacing w:val="-1"/>
                <w:szCs w:val="21"/>
                <w:highlight w:val="none"/>
              </w:rPr>
            </w:r>
            <w:r/>
          </w:p>
        </w:tc>
      </w:tr>
      <w:tr>
        <w:trPr/>
        <w:tc>
          <w:tcPr>
            <w:tcW w:w="899"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w:t>
            </w:r>
            <w:r>
              <w:rPr>
                <w:rFonts w:hint="eastAsia" w:ascii="宋体" w:hAnsi="宋体" w:cs="微软雅黑"/>
                <w:color w:val="000000"/>
                <w:spacing w:val="-1"/>
                <w:szCs w:val="21"/>
                <w:highlight w:val="none"/>
                <w:lang w:eastAsia="en-US"/>
              </w:rPr>
            </w:r>
            <w:r/>
          </w:p>
        </w:tc>
        <w:tc>
          <w:tcPr>
            <w:tcW w:w="2835"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422" w:type="dxa"/>
            <w:vAlign w:val="center"/>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bl>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3.2  公用设施设备维护服务</w:t>
      </w:r>
      <w:r>
        <w:rPr>
          <w:rFonts w:hint="eastAsia" w:ascii="宋体" w:hAnsi="宋体"/>
          <w:color w:val="000000"/>
          <w:sz w:val="24"/>
          <w:highlight w:val="none"/>
        </w:rPr>
      </w:r>
      <w:r/>
    </w:p>
    <w:tbl>
      <w:tblPr>
        <w:tblW w:w="91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11"/>
        <w:gridCol w:w="6103"/>
      </w:tblGrid>
      <w:tr>
        <w:trPr/>
        <w:tc>
          <w:tcPr>
            <w:tcW w:w="85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6103"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85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给排水系统及其配套设施</w:t>
            </w:r>
            <w:r>
              <w:rPr>
                <w:rFonts w:hint="eastAsia" w:ascii="宋体" w:hAnsi="宋体" w:cs="微软雅黑"/>
                <w:color w:val="000000"/>
                <w:spacing w:val="-1"/>
                <w:szCs w:val="21"/>
                <w:highlight w:val="none"/>
              </w:rPr>
            </w:r>
            <w:r/>
          </w:p>
        </w:tc>
        <w:tc>
          <w:tcPr>
            <w:tcW w:w="6103" w:type="dxa"/>
            <w:vAlign w:val="top"/>
            <w:textDirection w:val="lrTb"/>
            <w:noWrap w:val="false"/>
          </w:tcPr>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给水设施：按照程序操作，外包单位清洗时无二次污染，有严密的管理设施；保持水池（箱）结构完好，无渗漏，表面和支架不锈蚀，漆膜脱落处及时修补。经常检查保养水箱人孔、进水管、溢水管、泻水管、水位计、液位传感器、浮球阀和各类闸门；冬季水箱有可靠的保温措施，且不得对水质产生污染；</w:t>
            </w:r>
            <w:r>
              <w:rPr>
                <w:rFonts w:hint="eastAsia" w:ascii="宋体" w:hAnsi="宋体" w:cs="微软雅黑"/>
                <w:color w:val="000000"/>
                <w:spacing w:val="-1"/>
                <w:szCs w:val="21"/>
                <w:highlight w:val="none"/>
              </w:rPr>
            </w:r>
            <w:r/>
          </w:p>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保持泵房清洁卫生，良好的通风、照明和采暖，地面排水畅通；</w:t>
            </w:r>
            <w:r>
              <w:rPr>
                <w:rFonts w:hint="eastAsia" w:ascii="宋体" w:hAnsi="宋体" w:cs="微软雅黑"/>
                <w:color w:val="000000"/>
                <w:spacing w:val="-1"/>
                <w:szCs w:val="21"/>
                <w:highlight w:val="none"/>
              </w:rPr>
            </w:r>
            <w:r/>
          </w:p>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2.排水设施：检查排水出入口畅通，井内无积物浮于面上，池盖无污渍、污物，清理后及时清洁现场；</w:t>
            </w:r>
            <w:r>
              <w:rPr>
                <w:rFonts w:hint="eastAsia" w:ascii="宋体" w:hAnsi="宋体" w:cs="微软雅黑"/>
                <w:color w:val="000000"/>
                <w:spacing w:val="-1"/>
                <w:szCs w:val="21"/>
                <w:highlight w:val="none"/>
              </w:rPr>
            </w:r>
            <w:r/>
          </w:p>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楼面落水管落水口等保持完好，开裂、破损等及时报告要求更换，定期检查；</w:t>
            </w:r>
            <w:r>
              <w:rPr>
                <w:rFonts w:hint="eastAsia" w:ascii="宋体" w:hAnsi="宋体" w:cs="微软雅黑"/>
                <w:color w:val="000000"/>
                <w:spacing w:val="-1"/>
                <w:szCs w:val="21"/>
                <w:highlight w:val="none"/>
              </w:rPr>
            </w:r>
            <w:r/>
          </w:p>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清理时地面竖警示牌，必要时加护拦。外包单位清理后达到目视管道内壁无粘附物，井底无沉淀物，水面无漂浮物，水流畅通，井盖上无污渍、污物。</w:t>
            </w:r>
            <w:r>
              <w:rPr>
                <w:rFonts w:hint="eastAsia" w:ascii="宋体" w:hAnsi="宋体" w:cs="微软雅黑"/>
                <w:color w:val="000000"/>
                <w:spacing w:val="-1"/>
                <w:szCs w:val="21"/>
                <w:highlight w:val="none"/>
              </w:rPr>
            </w:r>
            <w:r/>
          </w:p>
        </w:tc>
      </w:tr>
      <w:tr>
        <w:trPr/>
        <w:tc>
          <w:tcPr>
            <w:tcW w:w="85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供配电系统</w:t>
            </w:r>
            <w:r>
              <w:rPr>
                <w:rFonts w:hint="eastAsia" w:ascii="宋体" w:hAnsi="宋体" w:cs="微软雅黑"/>
                <w:color w:val="000000"/>
                <w:spacing w:val="-1"/>
                <w:szCs w:val="21"/>
                <w:highlight w:val="none"/>
                <w:lang w:eastAsia="en-US"/>
              </w:rPr>
            </w:r>
            <w:r/>
          </w:p>
        </w:tc>
        <w:tc>
          <w:tcPr>
            <w:tcW w:w="6103" w:type="dxa"/>
            <w:vAlign w:val="top"/>
            <w:textDirection w:val="lrTb"/>
            <w:noWrap w:val="false"/>
          </w:tcPr>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1.每日检电流互感器、断路器、隔离开关、高压熔断器、配电箱、导线等供配电系统的运行状况，并定时抄表做好记录，出现异常及时报告并采取适当处理；</w:t>
            </w:r>
            <w:r>
              <w:rPr>
                <w:rFonts w:hint="eastAsia" w:ascii="宋体" w:hAnsi="宋体" w:cs="微软雅黑"/>
                <w:color w:val="000000"/>
                <w:spacing w:val="-1"/>
                <w:szCs w:val="21"/>
                <w:highlight w:val="none"/>
              </w:rPr>
            </w:r>
            <w:r/>
          </w:p>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2.潮湿天气时，采用安全有效措施，保持配电房内主要电器设备干燥；</w:t>
            </w:r>
            <w:r>
              <w:rPr>
                <w:rFonts w:hint="eastAsia" w:ascii="宋体" w:hAnsi="宋体" w:cs="微软雅黑"/>
                <w:color w:val="000000"/>
                <w:spacing w:val="-1"/>
                <w:szCs w:val="21"/>
                <w:highlight w:val="none"/>
              </w:rPr>
            </w:r>
            <w:r/>
          </w:p>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3.每月检测1次配电间内有无蛙、鼠、蚁等虫害，如发现马上采取措施杜绝；</w:t>
            </w:r>
            <w:r>
              <w:rPr>
                <w:rFonts w:hint="eastAsia" w:ascii="宋体" w:hAnsi="宋体" w:cs="微软雅黑"/>
                <w:color w:val="000000"/>
                <w:spacing w:val="-1"/>
                <w:szCs w:val="21"/>
                <w:highlight w:val="none"/>
              </w:rPr>
            </w:r>
            <w:r/>
          </w:p>
          <w:p>
            <w:pPr>
              <w:pStyle w:val="676"/>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4.每日填写运行记录，建档备查。</w:t>
            </w:r>
            <w:r>
              <w:rPr>
                <w:rFonts w:hint="eastAsia" w:ascii="宋体" w:hAnsi="宋体" w:cs="微软雅黑"/>
                <w:color w:val="000000"/>
                <w:spacing w:val="-1"/>
                <w:szCs w:val="21"/>
                <w:highlight w:val="none"/>
              </w:rPr>
            </w:r>
            <w:r/>
          </w:p>
        </w:tc>
      </w:tr>
      <w:tr>
        <w:trPr/>
        <w:tc>
          <w:tcPr>
            <w:tcW w:w="85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3</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弱电系统</w:t>
            </w:r>
            <w:r>
              <w:rPr>
                <w:rFonts w:hint="eastAsia" w:ascii="宋体" w:hAnsi="宋体" w:cs="微软雅黑"/>
                <w:color w:val="000000"/>
                <w:spacing w:val="-1"/>
                <w:szCs w:val="21"/>
                <w:highlight w:val="none"/>
                <w:lang w:eastAsia="en-US"/>
              </w:rPr>
            </w:r>
            <w:r/>
          </w:p>
        </w:tc>
        <w:tc>
          <w:tcPr>
            <w:tcW w:w="6103" w:type="dxa"/>
            <w:vAlign w:val="top"/>
            <w:textDirection w:val="lrTb"/>
            <w:noWrap w:val="false"/>
          </w:tcPr>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1.工作时认真负责，精神集中，对异常情况能及时识别；发现异常，及时处理；</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2.有切实可行的维修保养计划；保养、检修及时；</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3.对相关设备、设施定期进行调试，使系统处于最佳工作状态；</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4.工作、维修、养护有记录，特殊系统、设备的进入经过授权，密码有有效保护；</w:t>
            </w:r>
            <w:r>
              <w:rPr>
                <w:rFonts w:hint="eastAsia" w:ascii="宋体" w:hAnsi="宋体" w:cs="微软雅黑"/>
                <w:color w:val="000000"/>
                <w:spacing w:val="-1"/>
                <w:szCs w:val="21"/>
                <w:highlight w:val="none"/>
              </w:rPr>
            </w:r>
            <w:r/>
          </w:p>
        </w:tc>
      </w:tr>
      <w:tr>
        <w:trPr/>
        <w:tc>
          <w:tcPr>
            <w:tcW w:w="85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4</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道路、（车棚、车库）及配套设施</w:t>
            </w:r>
            <w:r>
              <w:rPr>
                <w:rFonts w:hint="eastAsia" w:ascii="宋体" w:hAnsi="宋体" w:cs="微软雅黑"/>
                <w:color w:val="000000"/>
                <w:spacing w:val="-1"/>
                <w:szCs w:val="21"/>
                <w:highlight w:val="none"/>
              </w:rPr>
            </w:r>
            <w:r/>
          </w:p>
        </w:tc>
        <w:tc>
          <w:tcPr>
            <w:tcW w:w="6103" w:type="dxa"/>
            <w:vAlign w:val="top"/>
            <w:textDirection w:val="lrTb"/>
            <w:noWrap w:val="false"/>
          </w:tcPr>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1.加强道路维修与养护，制定详细的道路维修养护计划，按照合同约定实施；</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2.保持道路畅通，路面平坦整齐，排水畅通；</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3.设立报修渠道，并有巡查制度，专人负责，发现损坏及时修补；</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4.按照办公楼规定，劝阻人为损坏路面，制止在路面焚烧垃圾、落叶或其他杂物；</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5.停车场、棚、房完好无损，需要大、中、小修计划提前七个工作日报告；</w:t>
            </w:r>
            <w:r>
              <w:rPr>
                <w:rFonts w:hint="eastAsia" w:ascii="宋体" w:hAnsi="宋体" w:cs="微软雅黑"/>
                <w:color w:val="000000"/>
                <w:spacing w:val="-1"/>
                <w:szCs w:val="21"/>
                <w:highlight w:val="none"/>
              </w:rPr>
            </w:r>
            <w:r/>
          </w:p>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6.停车场内照明设施完好，通道畅通无阻，配备必要的消防设备，符合停车场规范要求，便于管理和车主停放车辆。</w:t>
            </w:r>
            <w:r>
              <w:rPr>
                <w:rFonts w:hint="eastAsia" w:ascii="宋体" w:hAnsi="宋体" w:cs="微软雅黑"/>
                <w:color w:val="000000"/>
                <w:spacing w:val="-1"/>
                <w:szCs w:val="21"/>
                <w:highlight w:val="none"/>
              </w:rPr>
            </w:r>
            <w:r/>
          </w:p>
        </w:tc>
      </w:tr>
      <w:tr>
        <w:trPr/>
        <w:tc>
          <w:tcPr>
            <w:tcW w:w="85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5</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楼道安全管理</w:t>
            </w:r>
            <w:r>
              <w:rPr>
                <w:rFonts w:hint="eastAsia" w:ascii="宋体" w:hAnsi="宋体" w:cs="微软雅黑"/>
                <w:color w:val="000000"/>
                <w:spacing w:val="-1"/>
                <w:szCs w:val="21"/>
                <w:highlight w:val="none"/>
                <w:lang w:eastAsia="en-US"/>
              </w:rPr>
            </w:r>
            <w:r/>
          </w:p>
        </w:tc>
        <w:tc>
          <w:tcPr>
            <w:tcW w:w="6103" w:type="dxa"/>
            <w:vAlign w:val="top"/>
            <w:textDirection w:val="lrTb"/>
            <w:noWrap w:val="false"/>
          </w:tcPr>
          <w:p>
            <w:pPr>
              <w:pStyle w:val="676"/>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楼道处裸露电线处设置安全警示标语并采取防护措施。楼道地面检修口必须用铁板或水泥板封住，消除安全隐患。</w:t>
            </w:r>
            <w:r>
              <w:rPr>
                <w:rFonts w:hint="eastAsia" w:ascii="宋体" w:hAnsi="宋体" w:cs="微软雅黑"/>
                <w:color w:val="000000"/>
                <w:spacing w:val="-1"/>
                <w:szCs w:val="21"/>
                <w:highlight w:val="none"/>
              </w:rPr>
            </w:r>
            <w:r/>
          </w:p>
        </w:tc>
      </w:tr>
    </w:tbl>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3.3 日常维修服务</w:t>
      </w:r>
      <w:r>
        <w:rPr>
          <w:rFonts w:hint="eastAsia"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2623"/>
        <w:gridCol w:w="5341"/>
      </w:tblGrid>
      <w:tr>
        <w:trPr/>
        <w:tc>
          <w:tcPr>
            <w:tcW w:w="1208"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632"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536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1208"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632"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维修</w:t>
            </w:r>
            <w:r>
              <w:rPr>
                <w:rFonts w:hint="eastAsia" w:ascii="宋体" w:hAnsi="宋体" w:cs="微软雅黑"/>
                <w:color w:val="000000"/>
                <w:spacing w:val="-1"/>
                <w:szCs w:val="21"/>
                <w:highlight w:val="none"/>
              </w:rPr>
            </w:r>
            <w:r/>
          </w:p>
        </w:tc>
        <w:tc>
          <w:tcPr>
            <w:tcW w:w="536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除医疗、食堂专用特殊设备以外的其它日常设备。</w:t>
            </w:r>
            <w:r>
              <w:rPr>
                <w:rFonts w:hint="eastAsia" w:ascii="宋体" w:hAnsi="宋体" w:cs="微软雅黑"/>
                <w:color w:val="000000"/>
                <w:spacing w:val="-1"/>
                <w:szCs w:val="21"/>
                <w:highlight w:val="none"/>
              </w:rPr>
            </w:r>
            <w:r/>
          </w:p>
        </w:tc>
      </w:tr>
      <w:tr>
        <w:trPr/>
        <w:tc>
          <w:tcPr>
            <w:tcW w:w="1208"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632"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36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r>
        <w:trPr/>
        <w:tc>
          <w:tcPr>
            <w:tcW w:w="1208"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w:t>
            </w:r>
            <w:r>
              <w:rPr>
                <w:rFonts w:hint="eastAsia" w:ascii="宋体" w:hAnsi="宋体" w:cs="微软雅黑"/>
                <w:color w:val="000000"/>
                <w:spacing w:val="-1"/>
                <w:szCs w:val="21"/>
                <w:highlight w:val="none"/>
                <w:lang w:eastAsia="en-US"/>
              </w:rPr>
            </w:r>
            <w:r/>
          </w:p>
        </w:tc>
        <w:tc>
          <w:tcPr>
            <w:tcW w:w="2632"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361"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bl>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3.4  保洁服务</w:t>
      </w:r>
      <w:r>
        <w:rPr>
          <w:rFonts w:hint="eastAsia" w:ascii="宋体" w:hAnsi="宋体"/>
          <w:color w:val="000000"/>
          <w:sz w:val="24"/>
          <w:highlight w:val="none"/>
        </w:rPr>
      </w:r>
      <w:r/>
    </w:p>
    <w:tbl>
      <w:tblPr>
        <w:tblW w:w="92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233"/>
        <w:gridCol w:w="6290"/>
      </w:tblGrid>
      <w:tr>
        <w:trPr/>
        <w:tc>
          <w:tcPr>
            <w:tcW w:w="709"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233"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6290"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709"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233"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室内、室外、公共部位、其他部位保洁</w:t>
            </w:r>
            <w:r>
              <w:rPr>
                <w:rFonts w:hint="eastAsia" w:ascii="宋体" w:hAnsi="宋体" w:cs="微软雅黑"/>
                <w:color w:val="000000"/>
                <w:spacing w:val="-1"/>
                <w:szCs w:val="21"/>
                <w:highlight w:val="none"/>
              </w:rPr>
            </w:r>
            <w:r/>
          </w:p>
        </w:tc>
        <w:tc>
          <w:tcPr>
            <w:tcW w:w="6290" w:type="dxa"/>
            <w:vAlign w:val="top"/>
            <w:textDirection w:val="lrTb"/>
            <w:noWrap w:val="false"/>
          </w:tcPr>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1.1共用楼道保洁</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每日打扫1次各楼层通道和楼梯台阶，每周拖洗2次；</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水磨石地面和水泥地面每月冲洗1次，大理石地面配合外包每季度抛光打蜡1次；</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每日收集2次业主（使用人）垃圾；</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每日用干净的抹布擦抹1次楼梯扶手；</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各层和通道的防火门、消防栓、玻璃箱内侧、灯具、墙面、地脚线、指示牌等公共设施每月循环清洁1次；</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各梯间墙面、天花板每季除尘1次；每月擦1次楼梯道共用门窗玻璃。地面、梯间基本干净，无垃圾、灰尘、杂物，污渍、水渍，无乱贴乱划，无擅自占用现象，无乱堆乱放；</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扶手护拦基本干净、光亮，清洁结束用干净纸巾擦拭检查20cm无显著脏污；</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梯间顶面无明显蜘蛛网、灰尘，地脚线无明显污渍，地面目视无明显杂物、污迹。</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楼梯道玻璃无灰尘。</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1.2共用卫生间保洁</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每日早、晚对共用卫生间清洁2次，保洁时悬挂醒目标识；</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清洁内容包括：通风换气；冲洗烟灰缸、洁具；清扫地面垃圾、清倒垃圾篓垃圾、换新的垃圾袋；</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用洗洁剂清洗大、小便器；用快捷布擦洗洗手盆并冲洗干净；用毛巾抹墙面、台面、开关、门牌；</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用毛巾擦干净玻璃、镜面；用拖把拖干净地面等；每月2次对共用卫生间进行消杀，发现墙壁有字及时清洁。室内无异味、臭味；地面无烟头、纸屑、污渍、积水，天花板、墙面无灰尘、蜘蛛网，目视墙壁干净，便器洁净无黄渍。</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1.3停车场、共用车库或车棚保洁</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每日清扫1次车库的纸屑和垃圾；及时清除进出口的垃圾；发现油迹、污迹、锈迹，应及时擦洗干净；</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每季车库的集水坑和排水沟盖板，冲刷1次，消防栓、指示牌、指示灯、车位档、防火门等公共设施；</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标识、指示牌等公共设施目视无明显灰尘；墙面、管线基本无污迹、无积灰。</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1.4道路保洁</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清扫2次，保洁时间不少于4小时，保洁人员往返一周时间不超过1小时，目视道路基本干净、整洁，无垃圾、杂物、浮砂，无污迹，无积水、积雪，每100m2痰迹、烟头、纸屑平均不超过5个，无直径1cm以上的石子；地面垃圾滞留时间不能超过1小时；</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每季清洁2次，目视灯具无灰尘，灯具内无蚊虫，灯盖、灯罩、灯座明亮清洁。</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1.5标识、宣传牌、雕塑、信报箱保洁</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宣传栏、通知栏保洁；停水停电等通知，禁止乱张贴，需统一张贴。</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标识、宣传牌每周擦拭1次，雕塑每月擦拭1次。</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清洁后检查无污渍、无积灰，不损伤被清洁物；</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1.6绿化保洁</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1.7门卫、岗亭、监控探头保洁</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门卫、岗亭每周清洁3次，内外地面拖洗干净，擦洗干净内外门窗玻璃、窗台，及其他台面，室内外每月清洁2次，发现不卫生随时处理，保持墙、地面干净、光亮、整洁，保安岗亭随时保洁、无积灰；</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工、器具排放整齐、有序；监控探头每周擦拭1次，镜头用专用纸，探头外表用微湿的毛巾；擦拭不得刮伤镜片，清洁后镜头光亮洁净，探头外表干净无灰尘。</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1.8垃圾桶、果皮箱</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垃圾桶、果皮箱：每日清运2次；</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每日抹布抹1次；</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垃圾桶、果皮箱周围地面无散落垃圾、无污水、无明显污迹；垃圾桶、果皮箱无明显污迹、油污，无明显异味。</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1.9垃圾收集与处理</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保持垃圾桶清洁，回收垃圾桶垃圾后重新铺好新的垃圾袋；再盖好垃圾桶盖；垃圾分类收集；对有毒物质分离特殊处理；建筑垃圾定点堆放。</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1.10卫生消杀</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配合第三方公司进行夏季等蚊、蝇、孳生季节每月消杀1次，其他根据季节和当地情况制定具体计划；灭鼠：指定公司每季进行1次；确保操作人员和业主（使用人）安全，有切实可行措施，不干扰业主（使用人）正常生活，物业做好记录。检查仓库、目视无明显蚊虫在飞。</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公用设施设备的清洁卫生、沟渠、下水管道消毒杀菌无异味。</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四害”防治及处理。按国家卫生城市标准和要求对公共场所和周围环境定期要求外包公司进行预防性卫生消杀，制定详尽的消杀预防方案，消除老鼠蟑螂苍蝇及其他有害昆虫及其滋生条件，做到科学、有效、有记录。完成突发性事件造成的保洁工作，配合做好防汛、防冻、防台风、防火的应急处理。</w:t>
            </w:r>
            <w:r>
              <w:rPr>
                <w:rFonts w:hint="eastAsia" w:ascii="宋体" w:hAnsi="宋体" w:cs="微软雅黑"/>
                <w:color w:val="000000"/>
                <w:spacing w:val="-1"/>
                <w:szCs w:val="21"/>
                <w:highlight w:val="none"/>
              </w:rPr>
            </w:r>
            <w:r/>
          </w:p>
          <w:p>
            <w:pPr>
              <w:pStyle w:val="676"/>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r>
            <w:r/>
          </w:p>
        </w:tc>
      </w:tr>
      <w:tr>
        <w:trPr/>
        <w:tc>
          <w:tcPr>
            <w:tcW w:w="709" w:type="dxa"/>
            <w:vAlign w:val="top"/>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2233" w:type="dxa"/>
            <w:vAlign w:val="top"/>
            <w:textDirection w:val="lrTb"/>
            <w:noWrap w:val="false"/>
          </w:tcPr>
          <w:p>
            <w:pPr>
              <w:pStyle w:val="676"/>
              <w:jc w:val="center"/>
              <w:shd w:val="clear" w:color="auto" w:fill="auto"/>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6290" w:type="dxa"/>
            <w:vAlign w:val="top"/>
            <w:textDirection w:val="lrTb"/>
            <w:noWrap w:val="false"/>
          </w:tcPr>
          <w:p>
            <w:pPr>
              <w:pStyle w:val="676"/>
              <w:jc w:val="center"/>
              <w:shd w:val="clear" w:color="auto" w:fill="auto"/>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709" w:type="dxa"/>
            <w:vAlign w:val="top"/>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W w:w="2233" w:type="dxa"/>
            <w:vAlign w:val="top"/>
            <w:textDirection w:val="lrTb"/>
            <w:noWrap w:val="false"/>
          </w:tcPr>
          <w:p>
            <w:pPr>
              <w:pStyle w:val="676"/>
              <w:jc w:val="center"/>
              <w:shd w:val="clear" w:color="auto" w:fill="auto"/>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6290" w:type="dxa"/>
            <w:vAlign w:val="top"/>
            <w:textDirection w:val="lrTb"/>
            <w:noWrap w:val="false"/>
          </w:tcPr>
          <w:p>
            <w:pPr>
              <w:pStyle w:val="676"/>
              <w:jc w:val="center"/>
              <w:shd w:val="clear" w:color="auto" w:fill="auto"/>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bl>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3.5  绿化服务</w:t>
      </w:r>
      <w:r>
        <w:rPr>
          <w:rFonts w:hint="eastAsia"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621"/>
        <w:gridCol w:w="5379"/>
      </w:tblGrid>
      <w:tr>
        <w:trPr/>
        <w:tc>
          <w:tcPr>
            <w:tcW w:w="1175" w:type="dxa"/>
            <w:vAlign w:val="top"/>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序号</w:t>
            </w:r>
            <w:r>
              <w:rPr>
                <w:rFonts w:hint="eastAsia" w:ascii="宋体" w:hAnsi="宋体" w:cs="宋体"/>
                <w:color w:val="000000"/>
                <w:szCs w:val="21"/>
                <w:highlight w:val="none"/>
                <w:lang w:eastAsia="en-US"/>
              </w:rPr>
            </w:r>
            <w:r/>
          </w:p>
        </w:tc>
        <w:tc>
          <w:tcPr>
            <w:tcW w:w="2638" w:type="dxa"/>
            <w:vAlign w:val="top"/>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服务内容</w:t>
            </w:r>
            <w:r>
              <w:rPr>
                <w:rFonts w:hint="eastAsia" w:ascii="宋体" w:hAnsi="宋体" w:cs="宋体"/>
                <w:color w:val="000000"/>
                <w:szCs w:val="21"/>
                <w:highlight w:val="none"/>
                <w:lang w:eastAsia="en-US"/>
              </w:rPr>
            </w:r>
            <w:r/>
          </w:p>
        </w:tc>
        <w:tc>
          <w:tcPr>
            <w:tcW w:w="5416" w:type="dxa"/>
            <w:vAlign w:val="top"/>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服务标准</w:t>
            </w:r>
            <w:r>
              <w:rPr>
                <w:rFonts w:hint="eastAsia" w:ascii="宋体" w:hAnsi="宋体" w:cs="宋体"/>
                <w:color w:val="000000"/>
                <w:szCs w:val="21"/>
                <w:highlight w:val="none"/>
                <w:lang w:eastAsia="en-US"/>
              </w:rPr>
            </w:r>
            <w:r/>
          </w:p>
        </w:tc>
      </w:tr>
      <w:tr>
        <w:trPr/>
        <w:tc>
          <w:tcPr>
            <w:tcW w:w="1175" w:type="dxa"/>
            <w:vAlign w:val="center"/>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lang w:eastAsia="en-US"/>
              </w:rPr>
            </w:r>
            <w:r/>
          </w:p>
        </w:tc>
        <w:tc>
          <w:tcPr>
            <w:tcW w:w="2638" w:type="dxa"/>
            <w:vAlign w:val="center"/>
            <w:textDirection w:val="lrTb"/>
            <w:noWrap w:val="false"/>
          </w:tcPr>
          <w:p>
            <w:pPr>
              <w:pStyle w:val="676"/>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W w:w="5416" w:type="dxa"/>
            <w:vAlign w:val="center"/>
            <w:textDirection w:val="lrTb"/>
            <w:noWrap w:val="false"/>
          </w:tcPr>
          <w:p>
            <w:pPr>
              <w:pStyle w:val="676"/>
              <w:jc w:val="left"/>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r>
      <w:tr>
        <w:trPr/>
        <w:tc>
          <w:tcPr>
            <w:tcW w:w="1175" w:type="dxa"/>
            <w:vAlign w:val="center"/>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2638" w:type="dxa"/>
            <w:vAlign w:val="center"/>
            <w:textDirection w:val="lrTb"/>
            <w:noWrap w:val="false"/>
          </w:tcPr>
          <w:p>
            <w:pPr>
              <w:pStyle w:val="676"/>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5416" w:type="dxa"/>
            <w:vAlign w:val="center"/>
            <w:textDirection w:val="lrTb"/>
            <w:noWrap w:val="false"/>
          </w:tcPr>
          <w:p>
            <w:pPr>
              <w:pStyle w:val="676"/>
              <w:jc w:val="left"/>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r>
        <w:trPr/>
        <w:tc>
          <w:tcPr>
            <w:tcW w:w="1175" w:type="dxa"/>
            <w:vAlign w:val="center"/>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W w:w="2638" w:type="dxa"/>
            <w:vAlign w:val="center"/>
            <w:textDirection w:val="lrTb"/>
            <w:noWrap w:val="false"/>
          </w:tcPr>
          <w:p>
            <w:pPr>
              <w:pStyle w:val="676"/>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5416" w:type="dxa"/>
            <w:vAlign w:val="center"/>
            <w:textDirection w:val="lrTb"/>
            <w:noWrap w:val="false"/>
          </w:tcPr>
          <w:p>
            <w:pPr>
              <w:pStyle w:val="676"/>
              <w:jc w:val="left"/>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bl>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3.6  保安服务</w:t>
      </w:r>
      <w:r>
        <w:rPr>
          <w:rFonts w:hint="eastAsia" w:ascii="宋体" w:hAnsi="宋体"/>
          <w:color w:val="000000"/>
          <w:sz w:val="24"/>
          <w:highlight w:val="none"/>
        </w:rPr>
      </w:r>
      <w:r/>
    </w:p>
    <w:tbl>
      <w:tblPr>
        <w:tblW w:w="92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935"/>
        <w:gridCol w:w="6428"/>
      </w:tblGrid>
      <w:tr>
        <w:trPr/>
        <w:tc>
          <w:tcPr>
            <w:tcW w:w="916"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1935"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6428" w:type="dxa"/>
            <w:vAlign w:val="top"/>
            <w:textDirection w:val="lrTb"/>
            <w:noWrap w:val="false"/>
          </w:tcPr>
          <w:p>
            <w:pPr>
              <w:pStyle w:val="676"/>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916" w:type="dxa"/>
            <w:vAlign w:val="center"/>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lang w:eastAsia="en-US"/>
              </w:rPr>
            </w:r>
            <w:r/>
          </w:p>
        </w:tc>
        <w:tc>
          <w:tcPr>
            <w:tcW w:w="1935" w:type="dxa"/>
            <w:vAlign w:val="center"/>
            <w:textDirection w:val="lrTb"/>
            <w:noWrap w:val="false"/>
          </w:tcPr>
          <w:p>
            <w:pPr>
              <w:pStyle w:val="676"/>
              <w:jc w:val="center"/>
              <w:shd w:val="clear" w:color="auto" w:fill="auto"/>
              <w:rPr>
                <w:rFonts w:hint="eastAsia" w:ascii="宋体" w:hAnsi="宋体" w:cs="宋体"/>
                <w:color w:val="000000"/>
                <w:szCs w:val="21"/>
                <w:highlight w:val="none"/>
                <w:lang w:eastAsia="en-US"/>
              </w:rPr>
            </w:pPr>
            <w:r>
              <w:rPr>
                <w:rFonts w:hint="eastAsia" w:ascii="Times New Roman" w:hAnsi="Times New Roman"/>
                <w:color w:val="000000"/>
                <w:szCs w:val="21"/>
                <w:highlight w:val="none"/>
              </w:rPr>
              <w:t xml:space="preserve">人员要求</w:t>
            </w:r>
            <w:r>
              <w:rPr>
                <w:rFonts w:hint="eastAsia" w:ascii="宋体" w:hAnsi="宋体" w:cs="宋体"/>
                <w:color w:val="000000"/>
                <w:szCs w:val="21"/>
                <w:highlight w:val="none"/>
                <w:lang w:eastAsia="en-US"/>
              </w:rPr>
            </w:r>
            <w:r/>
          </w:p>
        </w:tc>
        <w:tc>
          <w:tcPr>
            <w:tcW w:w="6428" w:type="dxa"/>
            <w:vAlign w:val="center"/>
            <w:textDirection w:val="lrTb"/>
            <w:noWrap w:val="false"/>
          </w:tcPr>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1.专职安全护卫人员，身体健康，责任心强，工作认真负责，体态良好；</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2.接受过安全护卫或相关训练，训练有素，掌握基本安全护卫技能，并定期进行安全防范学习，增强安全防范能力；</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3.熟悉办公楼环境，熟悉物业管理及有关法律法规，能恰当的处理和应对办公楼护卫工作；思想品质好，作风正派，热爱安全护卫工作，无犯罪记录；</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4.当班时保安人员上岗必须凭证并统一着装（着保安服、系武装带，戴保安帽），并配备对讲装置和其他必备的安全护卫工具及警用器材；</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5.上岗时精神振作，举止应文明，姿态良好，大方、得体，精神振作，姿态良好，抬头挺胸，注意检查和保持仪表；在执勤时不吸烟、吃零食,不袖手、背手、插腰或将手插入衣袋，不弯腰驼背，前倾后靠；讲普通话；</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6.交接班制度完善，并有工作及交接班记录。</w:t>
            </w:r>
            <w:r>
              <w:rPr>
                <w:rFonts w:ascii="Times New Roman" w:hAnsi="Times New Roman"/>
                <w:color w:val="000000"/>
                <w:szCs w:val="21"/>
                <w:highlight w:val="none"/>
              </w:rPr>
            </w:r>
            <w:r/>
          </w:p>
        </w:tc>
      </w:tr>
      <w:tr>
        <w:trPr/>
        <w:tc>
          <w:tcPr>
            <w:tcW w:w="916" w:type="dxa"/>
            <w:vAlign w:val="center"/>
            <w:textDirection w:val="lrTb"/>
            <w:noWrap w:val="false"/>
          </w:tcPr>
          <w:p>
            <w:pPr>
              <w:pStyle w:val="676"/>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1935" w:type="dxa"/>
            <w:vAlign w:val="center"/>
            <w:textDirection w:val="lrTb"/>
            <w:noWrap w:val="false"/>
          </w:tcPr>
          <w:p>
            <w:pPr>
              <w:pStyle w:val="676"/>
              <w:jc w:val="center"/>
              <w:shd w:val="clear" w:color="auto" w:fill="auto"/>
              <w:rPr>
                <w:rFonts w:hint="eastAsia" w:ascii="宋体" w:hAnsi="宋体" w:cs="宋体"/>
                <w:color w:val="000000"/>
                <w:szCs w:val="21"/>
                <w:highlight w:val="none"/>
                <w:lang w:eastAsia="en-US"/>
              </w:rPr>
            </w:pPr>
            <w:r>
              <w:rPr>
                <w:rFonts w:hint="eastAsia" w:ascii="Times New Roman" w:hAnsi="Times New Roman"/>
                <w:color w:val="000000"/>
                <w:szCs w:val="21"/>
                <w:highlight w:val="none"/>
              </w:rPr>
              <w:t xml:space="preserve">门卫</w:t>
            </w:r>
            <w:r>
              <w:rPr>
                <w:rFonts w:hint="eastAsia" w:ascii="宋体" w:hAnsi="宋体" w:cs="宋体"/>
                <w:color w:val="000000"/>
                <w:szCs w:val="21"/>
                <w:highlight w:val="none"/>
                <w:lang w:eastAsia="en-US"/>
              </w:rPr>
            </w:r>
            <w:r/>
          </w:p>
        </w:tc>
        <w:tc>
          <w:tcPr>
            <w:tcW w:w="6428" w:type="dxa"/>
            <w:vAlign w:val="center"/>
            <w:textDirection w:val="lrTb"/>
            <w:noWrap w:val="false"/>
          </w:tcPr>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各出入口24小时有值班看守，主出入口至少有1人驻守，其余出入口至少有一人值守；按照委托合同要求进行进出车辆管理、访客登记，谢绝业主拒绝访问人员和未经业主批准的商贩入内，大件物品搬出实行登记，实施交通指挥交通疏导等工作。</w:t>
            </w:r>
            <w:r>
              <w:rPr>
                <w:rFonts w:ascii="Times New Roman" w:hAnsi="Times New Roman"/>
                <w:color w:val="000000"/>
                <w:szCs w:val="21"/>
                <w:highlight w:val="none"/>
              </w:rPr>
            </w:r>
            <w:r/>
          </w:p>
        </w:tc>
      </w:tr>
      <w:tr>
        <w:trPr/>
        <w:tc>
          <w:tcPr>
            <w:tcW w:w="916" w:type="dxa"/>
            <w:vAlign w:val="center"/>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35" w:type="dxa"/>
            <w:vAlign w:val="center"/>
            <w:textDirection w:val="lrTb"/>
            <w:noWrap w:val="false"/>
          </w:tcPr>
          <w:p>
            <w:pPr>
              <w:pStyle w:val="676"/>
              <w:jc w:val="center"/>
              <w:shd w:val="clear" w:color="auto" w:fill="auto"/>
              <w:rPr>
                <w:rFonts w:hint="eastAsia" w:ascii="宋体" w:hAnsi="宋体" w:cs="宋体"/>
                <w:color w:val="000000"/>
                <w:szCs w:val="21"/>
                <w:highlight w:val="none"/>
                <w:lang w:eastAsia="en-US"/>
              </w:rPr>
            </w:pPr>
            <w:r>
              <w:rPr>
                <w:rFonts w:hint="eastAsia" w:ascii="Times New Roman" w:hAnsi="Times New Roman"/>
                <w:color w:val="000000"/>
                <w:szCs w:val="21"/>
                <w:highlight w:val="none"/>
              </w:rPr>
              <w:t xml:space="preserve">巡逻</w:t>
            </w:r>
            <w:r>
              <w:rPr>
                <w:rFonts w:hint="eastAsia" w:ascii="宋体" w:hAnsi="宋体" w:cs="宋体"/>
                <w:color w:val="000000"/>
                <w:szCs w:val="21"/>
                <w:highlight w:val="none"/>
                <w:lang w:eastAsia="en-US"/>
              </w:rPr>
            </w:r>
            <w:r/>
          </w:p>
        </w:tc>
        <w:tc>
          <w:tcPr>
            <w:tcW w:w="6428" w:type="dxa"/>
            <w:vAlign w:val="center"/>
            <w:textDirection w:val="lrTb"/>
            <w:noWrap w:val="false"/>
          </w:tcPr>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白天巡逻次数不少于4次，夜间巡逻次数不少于4次，重点部位、重点时间以及特殊情况加强巡逻；及时发现和处理不安全隐患；接受业主（使用人）投诉和求助；回答用户的询问；在遇到突发事件时，及时报告警方与管理处，必要时采取正当防卫，防止事态扩大，协助保护现场和证据；安全巡逻有记录有检查。</w:t>
            </w:r>
            <w:r>
              <w:rPr>
                <w:rFonts w:ascii="Times New Roman" w:hAnsi="Times New Roman"/>
                <w:color w:val="000000"/>
                <w:szCs w:val="21"/>
                <w:highlight w:val="none"/>
              </w:rPr>
            </w:r>
            <w:r/>
          </w:p>
        </w:tc>
      </w:tr>
      <w:tr>
        <w:trPr/>
        <w:tc>
          <w:tcPr>
            <w:tcW w:w="916" w:type="dxa"/>
            <w:vAlign w:val="center"/>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35" w:type="dxa"/>
            <w:vAlign w:val="center"/>
            <w:textDirection w:val="lrTb"/>
            <w:noWrap w:val="false"/>
          </w:tcPr>
          <w:p>
            <w:pPr>
              <w:pStyle w:val="676"/>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消防</w:t>
            </w:r>
            <w:r>
              <w:rPr>
                <w:rFonts w:ascii="Times New Roman" w:hAnsi="Times New Roman"/>
                <w:color w:val="000000"/>
                <w:szCs w:val="21"/>
                <w:highlight w:val="none"/>
              </w:rPr>
            </w:r>
            <w:r/>
          </w:p>
        </w:tc>
        <w:tc>
          <w:tcPr>
            <w:tcW w:w="6428" w:type="dxa"/>
            <w:vAlign w:val="center"/>
            <w:textDirection w:val="lrTb"/>
            <w:noWrap w:val="false"/>
          </w:tcPr>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1.健全消防组织，建立消防责任制；</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2.根据防火、灭火的需要，配置相应种类、数量的消防器材、设备和设施；保持消防通道畅通，禁止在消防通道设置路障；</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3.制定防火安全管理办法，指定专人维护、管理消防器材、设备和设施，保持完整好用；</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4.发现火警有义务迅速向消防队报警，并马上派人前往报警地点，迅速采取措施，组织力量救火，抢救生命和物资，派人接应消防车，服从火场总指挥员的统一指挥；</w:t>
            </w:r>
            <w:r>
              <w:rPr>
                <w:rFonts w:ascii="Times New Roman" w:hAnsi="Times New Roman"/>
                <w:color w:val="000000"/>
                <w:szCs w:val="21"/>
                <w:highlight w:val="none"/>
              </w:rPr>
            </w:r>
            <w:r/>
          </w:p>
        </w:tc>
      </w:tr>
      <w:tr>
        <w:trPr/>
        <w:tc>
          <w:tcPr>
            <w:tcW w:w="916" w:type="dxa"/>
            <w:vAlign w:val="center"/>
            <w:textDirection w:val="lrTb"/>
            <w:noWrap w:val="false"/>
          </w:tcPr>
          <w:p>
            <w:pPr>
              <w:pStyle w:val="676"/>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r>
            <w:r/>
          </w:p>
        </w:tc>
        <w:tc>
          <w:tcPr>
            <w:tcW w:w="1935" w:type="dxa"/>
            <w:vAlign w:val="center"/>
            <w:textDirection w:val="lrTb"/>
            <w:noWrap w:val="false"/>
          </w:tcPr>
          <w:p>
            <w:pPr>
              <w:pStyle w:val="676"/>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交通、车辆管理</w:t>
            </w:r>
            <w:r>
              <w:rPr>
                <w:rFonts w:ascii="Times New Roman" w:hAnsi="Times New Roman"/>
                <w:color w:val="000000"/>
                <w:szCs w:val="21"/>
                <w:highlight w:val="none"/>
              </w:rPr>
            </w:r>
            <w:r/>
          </w:p>
        </w:tc>
        <w:tc>
          <w:tcPr>
            <w:tcW w:w="6428" w:type="dxa"/>
            <w:vAlign w:val="center"/>
            <w:textDirection w:val="lrTb"/>
            <w:noWrap w:val="false"/>
          </w:tcPr>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1.有较为完善的车辆管理制度；</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2.办公楼道路设置明显的交通标志；</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3.维持交通秩序，发现车辆未上锁及乱停乱放进行忠告或纠正，发现偷盗车辆、破坏交通设施等现象及时制止；</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4.封闭停车场由专人管理，车辆进场、离场有检查、记录；管理人员责任心强，认真负责。</w:t>
            </w:r>
            <w:r>
              <w:rPr>
                <w:rFonts w:ascii="Times New Roman" w:hAnsi="Times New Roman"/>
                <w:color w:val="000000"/>
                <w:szCs w:val="21"/>
                <w:highlight w:val="none"/>
              </w:rPr>
            </w:r>
            <w:r/>
          </w:p>
        </w:tc>
      </w:tr>
      <w:tr>
        <w:trPr/>
        <w:tc>
          <w:tcPr>
            <w:tcW w:w="916" w:type="dxa"/>
            <w:vAlign w:val="center"/>
            <w:textDirection w:val="lrTb"/>
            <w:noWrap w:val="false"/>
          </w:tcPr>
          <w:p>
            <w:pPr>
              <w:pStyle w:val="676"/>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r>
            <w:r/>
          </w:p>
        </w:tc>
        <w:tc>
          <w:tcPr>
            <w:tcW w:w="1935" w:type="dxa"/>
            <w:vAlign w:val="center"/>
            <w:textDirection w:val="lrTb"/>
            <w:noWrap w:val="false"/>
          </w:tcPr>
          <w:p>
            <w:pPr>
              <w:pStyle w:val="676"/>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紧急事故反应</w:t>
            </w:r>
            <w:r>
              <w:rPr>
                <w:rFonts w:ascii="Times New Roman" w:hAnsi="Times New Roman"/>
                <w:color w:val="000000"/>
                <w:szCs w:val="21"/>
                <w:highlight w:val="none"/>
              </w:rPr>
            </w:r>
            <w:r/>
          </w:p>
        </w:tc>
        <w:tc>
          <w:tcPr>
            <w:tcW w:w="6428" w:type="dxa"/>
            <w:vAlign w:val="center"/>
            <w:textDirection w:val="lrTb"/>
            <w:noWrap w:val="false"/>
          </w:tcPr>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1.制定紧急事故处理预案，至少包括：火灾、爆炸、地震、炸弹恐吓、安全疏散等；</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2.有紧急事件救护组织，并始终处于紧急事故反应状态；</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3.书面描述紧急事故救护组织职责，并让每位成员了解，周期性地进行反应训练；</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4.按消防要求组织进行疏散演习；</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5.对紧急事故做出快速、正确的反应；尽可能减少破坏和损失程度；</w:t>
            </w:r>
            <w:r>
              <w:rPr>
                <w:rFonts w:ascii="Times New Roman" w:hAnsi="Times New Roman"/>
                <w:color w:val="000000"/>
                <w:szCs w:val="21"/>
                <w:highlight w:val="none"/>
              </w:rPr>
            </w:r>
            <w:r/>
          </w:p>
        </w:tc>
      </w:tr>
      <w:tr>
        <w:trPr/>
        <w:tc>
          <w:tcPr>
            <w:tcW w:w="916" w:type="dxa"/>
            <w:vAlign w:val="center"/>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35" w:type="dxa"/>
            <w:vAlign w:val="center"/>
            <w:textDirection w:val="lrTb"/>
            <w:noWrap w:val="false"/>
          </w:tcPr>
          <w:p>
            <w:pPr>
              <w:pStyle w:val="676"/>
              <w:jc w:val="center"/>
              <w:shd w:val="clear" w:color="auto" w:fill="auto"/>
              <w:rPr>
                <w:rFonts w:hint="eastAsia" w:ascii="宋体" w:hAnsi="宋体" w:cs="宋体"/>
                <w:bCs/>
                <w:color w:val="000000"/>
                <w:sz w:val="24"/>
                <w:highlight w:val="none"/>
              </w:rPr>
            </w:pPr>
            <w:r>
              <w:rPr>
                <w:rFonts w:hint="eastAsia" w:ascii="Times New Roman" w:hAnsi="Times New Roman"/>
                <w:color w:val="000000"/>
                <w:szCs w:val="21"/>
                <w:highlight w:val="none"/>
              </w:rPr>
              <w:t xml:space="preserve">其他防范措施</w:t>
            </w:r>
            <w:r>
              <w:rPr>
                <w:rFonts w:hint="eastAsia" w:ascii="宋体" w:hAnsi="宋体" w:cs="宋体"/>
                <w:bCs/>
                <w:color w:val="000000"/>
                <w:sz w:val="24"/>
                <w:highlight w:val="none"/>
              </w:rPr>
            </w:r>
            <w:r/>
          </w:p>
        </w:tc>
        <w:tc>
          <w:tcPr>
            <w:tcW w:w="6428" w:type="dxa"/>
            <w:vAlign w:val="center"/>
            <w:textDirection w:val="lrTb"/>
            <w:noWrap w:val="false"/>
          </w:tcPr>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1.设有业主（使用人）求助与报警电话，24小时有人值守；</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2.接到报警信号，确认后管理处应立即派人赶往现场查看，予以恰当的紧急处理；</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3.涉及人身安全处，设有明显标志并有防护措施；</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4.协助有关部门维持办公楼正常工作秩序，防止不安全事件发生；</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5.对办公楼内外围边界、角落、车库、道路的照明设施加强维护，保持必要的照明；</w:t>
            </w:r>
            <w:r>
              <w:rPr>
                <w:rFonts w:ascii="Times New Roman" w:hAnsi="Times New Roman"/>
                <w:color w:val="000000"/>
                <w:szCs w:val="21"/>
                <w:highlight w:val="none"/>
              </w:rPr>
            </w:r>
            <w:r/>
          </w:p>
          <w:p>
            <w:pPr>
              <w:pStyle w:val="676"/>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6.建立空置房间、设备室、垃圾房、杂物房巡查、钥匙管理及登记备案制度。</w:t>
            </w:r>
            <w:r>
              <w:rPr>
                <w:rFonts w:ascii="Times New Roman" w:hAnsi="Times New Roman"/>
                <w:color w:val="000000"/>
                <w:szCs w:val="21"/>
                <w:highlight w:val="none"/>
              </w:rPr>
            </w:r>
            <w:r/>
          </w:p>
        </w:tc>
      </w:tr>
    </w:tbl>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3.7  其他服务</w:t>
      </w:r>
      <w:r>
        <w:rPr>
          <w:rFonts w:hint="eastAsia" w:ascii="宋体" w:hAnsi="宋体"/>
          <w:color w:val="000000"/>
          <w:sz w:val="24"/>
          <w:highlight w:val="none"/>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876"/>
        <w:gridCol w:w="6487"/>
      </w:tblGrid>
      <w:tr>
        <w:trPr/>
        <w:tc>
          <w:tcPr>
            <w:tcW w:w="922" w:type="dxa"/>
            <w:vAlign w:val="top"/>
            <w:textDirection w:val="lrTb"/>
            <w:noWrap w:val="false"/>
          </w:tcPr>
          <w:p>
            <w:pPr>
              <w:pStyle w:val="676"/>
              <w:jc w:val="center"/>
              <w:shd w:val="clear" w:color="auto" w:fill="auto"/>
              <w:rPr>
                <w:rFonts w:hint="eastAsia" w:ascii="宋体" w:hAnsi="宋体" w:cs="宋体"/>
                <w:color w:val="000000"/>
                <w:szCs w:val="21"/>
                <w:highlight w:val="none"/>
              </w:rPr>
            </w:pPr>
            <w:r>
              <w:rPr>
                <w:rFonts w:ascii="宋体" w:hAnsi="宋体" w:cs="宋体"/>
                <w:color w:val="000000"/>
                <w:szCs w:val="21"/>
                <w:highlight w:val="none"/>
              </w:rPr>
              <w:t xml:space="preserve">序号</w:t>
            </w:r>
            <w:r>
              <w:rPr>
                <w:rFonts w:hint="eastAsia" w:ascii="宋体" w:hAnsi="宋体" w:cs="宋体"/>
                <w:color w:val="000000"/>
                <w:szCs w:val="21"/>
                <w:highlight w:val="none"/>
              </w:rPr>
            </w:r>
            <w:r/>
          </w:p>
        </w:tc>
        <w:tc>
          <w:tcPr>
            <w:tcW w:w="1876" w:type="dxa"/>
            <w:vAlign w:val="top"/>
            <w:textDirection w:val="lrTb"/>
            <w:noWrap w:val="false"/>
          </w:tcPr>
          <w:p>
            <w:pPr>
              <w:pStyle w:val="676"/>
              <w:jc w:val="center"/>
              <w:shd w:val="clear" w:color="auto" w:fill="auto"/>
              <w:rPr>
                <w:rFonts w:hint="eastAsia" w:ascii="宋体" w:hAnsi="宋体" w:cs="宋体"/>
                <w:color w:val="000000"/>
                <w:szCs w:val="21"/>
                <w:highlight w:val="none"/>
              </w:rPr>
            </w:pPr>
            <w:r>
              <w:rPr>
                <w:rFonts w:ascii="宋体" w:hAnsi="宋体" w:cs="宋体"/>
                <w:color w:val="000000"/>
                <w:szCs w:val="21"/>
                <w:highlight w:val="none"/>
              </w:rPr>
              <w:t xml:space="preserve">服务内容</w:t>
            </w:r>
            <w:r>
              <w:rPr>
                <w:rFonts w:hint="eastAsia" w:ascii="宋体" w:hAnsi="宋体" w:cs="宋体"/>
                <w:color w:val="000000"/>
                <w:szCs w:val="21"/>
                <w:highlight w:val="none"/>
              </w:rPr>
            </w:r>
            <w:r/>
          </w:p>
        </w:tc>
        <w:tc>
          <w:tcPr>
            <w:tcW w:w="6487" w:type="dxa"/>
            <w:vAlign w:val="top"/>
            <w:textDirection w:val="lrTb"/>
            <w:noWrap w:val="false"/>
          </w:tcPr>
          <w:p>
            <w:pPr>
              <w:pStyle w:val="676"/>
              <w:jc w:val="center"/>
              <w:shd w:val="clear" w:color="auto" w:fill="auto"/>
              <w:rPr>
                <w:rFonts w:hint="eastAsia" w:ascii="宋体" w:hAnsi="宋体" w:cs="宋体"/>
                <w:color w:val="000000"/>
                <w:szCs w:val="21"/>
                <w:highlight w:val="none"/>
              </w:rPr>
            </w:pPr>
            <w:r>
              <w:rPr>
                <w:rFonts w:ascii="宋体" w:hAnsi="宋体" w:cs="宋体"/>
                <w:color w:val="000000"/>
                <w:szCs w:val="21"/>
                <w:highlight w:val="none"/>
              </w:rPr>
              <w:t xml:space="preserve">服务标准</w:t>
            </w:r>
            <w:r>
              <w:rPr>
                <w:rFonts w:hint="eastAsia" w:ascii="宋体" w:hAnsi="宋体" w:cs="宋体"/>
                <w:color w:val="000000"/>
                <w:szCs w:val="21"/>
                <w:highlight w:val="none"/>
              </w:rPr>
            </w:r>
            <w:r/>
          </w:p>
        </w:tc>
      </w:tr>
      <w:tr>
        <w:trPr/>
        <w:tc>
          <w:tcPr>
            <w:tcW w:w="922" w:type="dxa"/>
            <w:vAlign w:val="top"/>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876" w:type="dxa"/>
            <w:vAlign w:val="top"/>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会议接待</w:t>
            </w:r>
            <w:r>
              <w:rPr>
                <w:rFonts w:hint="eastAsia" w:ascii="宋体" w:hAnsi="宋体" w:cs="宋体"/>
                <w:color w:val="000000"/>
                <w:szCs w:val="21"/>
                <w:highlight w:val="none"/>
              </w:rPr>
            </w:r>
            <w:r/>
          </w:p>
        </w:tc>
        <w:tc>
          <w:tcPr>
            <w:tcW w:w="6487" w:type="dxa"/>
            <w:vAlign w:val="top"/>
            <w:textDirection w:val="lrTb"/>
            <w:noWrap w:val="false"/>
          </w:tcPr>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接待：佩戴统一标志，仪表端庄、大方，衣着整洁，表情自然和蔼、亲切；对业主（使用人）一视同仁；接待时主动、热情、规范；迎送接待业主(使用人)时，用语准确，称呼恰当，问候亲切，语气诚恳，耐心细致；使用文明用语，不应使用服务忌语。</w:t>
            </w:r>
            <w:r>
              <w:rPr>
                <w:rFonts w:hint="eastAsia" w:ascii="宋体" w:hAnsi="宋体" w:cs="宋体"/>
                <w:color w:val="000000"/>
                <w:szCs w:val="21"/>
                <w:highlight w:val="none"/>
              </w:rPr>
            </w:r>
            <w:r/>
          </w:p>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对业主（使用人）的报修与求助应耐心细致，对收费项目及时说明服务标准、服务方式、收费标准等事项，征求业主（使用人）的意见。</w:t>
            </w:r>
            <w:r>
              <w:rPr>
                <w:rFonts w:hint="eastAsia" w:ascii="宋体" w:hAnsi="宋体" w:cs="宋体"/>
                <w:color w:val="000000"/>
                <w:szCs w:val="21"/>
                <w:highlight w:val="none"/>
              </w:rPr>
            </w:r>
            <w:r/>
          </w:p>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2.值守：有完善的值班制度和交接班制度；工作有记录。</w:t>
            </w:r>
            <w:r>
              <w:rPr>
                <w:rFonts w:hint="eastAsia" w:ascii="宋体" w:hAnsi="宋体" w:cs="宋体"/>
                <w:color w:val="000000"/>
                <w:szCs w:val="21"/>
                <w:highlight w:val="none"/>
              </w:rPr>
            </w:r>
            <w:r/>
          </w:p>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服务时限：急修服务10分钟内到位，中修8小时内修复，若不能，要有紧急处理措施，并对业主（使用人）做出合理解释，做出限时承诺。小修2日内修复，特殊情况必须做出说明和限时承诺。服务时限不得以节假日和休息时间顺延。</w:t>
            </w:r>
            <w:r>
              <w:rPr>
                <w:rFonts w:hint="eastAsia" w:ascii="宋体" w:hAnsi="宋体" w:cs="宋体"/>
                <w:color w:val="000000"/>
                <w:szCs w:val="21"/>
                <w:highlight w:val="none"/>
              </w:rPr>
            </w:r>
            <w:r/>
          </w:p>
        </w:tc>
      </w:tr>
      <w:tr>
        <w:trPr/>
        <w:tc>
          <w:tcPr>
            <w:tcW w:w="922" w:type="dxa"/>
            <w:vAlign w:val="top"/>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876" w:type="dxa"/>
            <w:vAlign w:val="top"/>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客房服务</w:t>
            </w:r>
            <w:r>
              <w:rPr>
                <w:rFonts w:hint="eastAsia" w:ascii="宋体" w:hAnsi="宋体" w:cs="宋体"/>
                <w:color w:val="000000"/>
                <w:szCs w:val="21"/>
                <w:highlight w:val="none"/>
              </w:rPr>
            </w:r>
            <w:r/>
          </w:p>
        </w:tc>
        <w:tc>
          <w:tcPr>
            <w:tcW w:w="6487" w:type="dxa"/>
            <w:vAlign w:val="top"/>
            <w:textDirection w:val="lrTb"/>
            <w:noWrap w:val="false"/>
          </w:tcPr>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卫生清洁方面，卧室地面、床底、墙角无灰尘、杂物、毛发及污渍，硬质地面无水渍，地毯洁净无杂物。床品执行一日一换、脏污即换制度，床铺整理平整无褶皱、无污渍。家具、门窗、玻璃、墙面每日擦拭，无积尘、手印、蛛网。卫生间洁具、台面、镜面、地面墙面彻底清洁，无黄垢、水渍、毛发与异味，下水缝隙重点清理，每日通风消杀，保持空气清新。客房垃圾桶每日清空消毒，垃圾日产日清。</w:t>
            </w:r>
            <w:r>
              <w:rPr>
                <w:rFonts w:hint="eastAsia" w:ascii="宋体" w:hAnsi="宋体" w:cs="宋体"/>
                <w:color w:val="000000"/>
                <w:szCs w:val="21"/>
                <w:highlight w:val="none"/>
              </w:rPr>
            </w:r>
            <w:r/>
          </w:p>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物品布置严格执行酒店统一标准，所有用品定点、对称、整齐摆放。床铺铺设规范，床品饱满对齐、平整美观。床头柜、书桌电器及日用品摆放有序，线路收纳整齐。衣柜内部干净无尘，被褥、衣架规整摆放，禁止杂物乱堆。卫生间洗漱用品、毛巾、浴巾统一规整摆放、折叠整齐，干湿分区，整体干净统一。</w:t>
            </w:r>
            <w:r>
              <w:rPr>
                <w:rFonts w:hint="eastAsia" w:ascii="宋体" w:hAnsi="宋体" w:cs="宋体"/>
                <w:color w:val="000000"/>
                <w:szCs w:val="21"/>
                <w:highlight w:val="none"/>
              </w:rPr>
            </w:r>
            <w:r/>
          </w:p>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衣物洗护方面，值班工装及私用衣物统一收纳清洗，严格区分深浅色、内外衣物、工装私服，分开洗涤防止串色。使用酒店专用洗涤用品，规范洗涤、漂洗流程，彻底去除污渍、汗渍，保证衣物洁净无异味、无洗涤剂残留。洗净衣物按材质晾晒或烘干，干爽无尘后统一收纳。</w:t>
            </w:r>
            <w:r>
              <w:rPr>
                <w:rFonts w:hint="eastAsia" w:ascii="宋体" w:hAnsi="宋体" w:cs="宋体"/>
                <w:color w:val="000000"/>
                <w:szCs w:val="21"/>
                <w:highlight w:val="none"/>
              </w:rPr>
            </w:r>
            <w:r/>
          </w:p>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所有工装、衬衫、裤装需标准化熨烫，根据衣物材质调节温度，避免烫损。重点熨烫衣领、袖口、衣襟、裤线等部位，确保衣物平整挺括、无褶皱、无烫痕，裤线笔直规整。熨烫完毕冷却定型后，统一悬挂或折叠，分类收纳摆放。</w:t>
            </w:r>
            <w:r>
              <w:rPr>
                <w:rFonts w:hint="eastAsia" w:ascii="宋体" w:hAnsi="宋体" w:cs="宋体"/>
                <w:color w:val="000000"/>
                <w:szCs w:val="21"/>
                <w:highlight w:val="none"/>
              </w:rPr>
            </w:r>
            <w:r/>
          </w:p>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5.日常管理中，保洁人员每日早中晚三次巡检客房，及时整理凌乱物品、清理杂物、补齐洗漱用品、饮用水等消耗物资，随时恢复客房标准状态。定时开窗通风，保障室内环境舒适。</w:t>
            </w:r>
            <w:r>
              <w:rPr>
                <w:rFonts w:hint="eastAsia" w:ascii="宋体" w:hAnsi="宋体" w:cs="宋体"/>
                <w:color w:val="000000"/>
                <w:szCs w:val="21"/>
                <w:highlight w:val="none"/>
              </w:rPr>
            </w:r>
            <w:r/>
          </w:p>
          <w:p>
            <w:pPr>
              <w:pStyle w:val="676"/>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6.客房验收统一参照酒店客房标准，整体干净整洁、无死角污渍、无异味，物品摆放规范有序，床品洁净平整，洗护熨烫衣物整洁挺括，全面符合酒店值班客房服务内务标准。</w:t>
            </w:r>
            <w:r>
              <w:rPr>
                <w:rFonts w:hint="eastAsia" w:ascii="宋体" w:hAnsi="宋体" w:cs="宋体"/>
                <w:color w:val="000000"/>
                <w:szCs w:val="21"/>
                <w:highlight w:val="none"/>
              </w:rPr>
            </w:r>
            <w:r/>
          </w:p>
        </w:tc>
      </w:tr>
      <w:tr>
        <w:trPr/>
        <w:tc>
          <w:tcPr>
            <w:tcW w:w="922" w:type="dxa"/>
            <w:vAlign w:val="top"/>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876" w:type="dxa"/>
            <w:vAlign w:val="top"/>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档案资料</w:t>
            </w:r>
            <w:r>
              <w:rPr>
                <w:rFonts w:hint="eastAsia" w:ascii="宋体" w:hAnsi="宋体" w:cs="宋体"/>
                <w:color w:val="000000"/>
                <w:szCs w:val="21"/>
                <w:highlight w:val="none"/>
              </w:rPr>
            </w:r>
            <w:r/>
          </w:p>
        </w:tc>
        <w:tc>
          <w:tcPr>
            <w:tcW w:w="6487" w:type="dxa"/>
            <w:vAlign w:val="top"/>
            <w:textDirection w:val="lrTb"/>
            <w:noWrap w:val="false"/>
          </w:tcPr>
          <w:p>
            <w:pPr>
              <w:pStyle w:val="676"/>
              <w:spacing w:line="360" w:lineRule="auto"/>
              <w:shd w:val="clear" w:color="auto" w:fill="auto"/>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档案资料齐全完整；分类成册，管理完善，合理分类，查阅方便；及时变更登记，账物相符。</w:t>
            </w:r>
            <w:r>
              <w:rPr>
                <w:rFonts w:hint="eastAsia" w:ascii="宋体" w:hAnsi="宋体" w:cs="宋体"/>
                <w:color w:val="000000"/>
                <w:szCs w:val="21"/>
                <w:highlight w:val="none"/>
              </w:rPr>
            </w:r>
            <w:r/>
          </w:p>
        </w:tc>
      </w:tr>
      <w:tr>
        <w:trPr/>
        <w:tc>
          <w:tcPr>
            <w:tcW w:w="922" w:type="dxa"/>
            <w:vAlign w:val="top"/>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876" w:type="dxa"/>
            <w:vAlign w:val="top"/>
            <w:textDirection w:val="lrTb"/>
            <w:noWrap w:val="false"/>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培训制度</w:t>
            </w:r>
            <w:r>
              <w:rPr>
                <w:rFonts w:hint="eastAsia" w:ascii="宋体" w:hAnsi="宋体" w:cs="宋体"/>
                <w:color w:val="000000"/>
                <w:szCs w:val="21"/>
                <w:highlight w:val="none"/>
              </w:rPr>
            </w:r>
            <w:r/>
          </w:p>
        </w:tc>
        <w:tc>
          <w:tcPr>
            <w:tcW w:w="6487" w:type="dxa"/>
            <w:vAlign w:val="top"/>
            <w:textDirection w:val="lrTb"/>
            <w:noWrap w:val="false"/>
          </w:tcPr>
          <w:p>
            <w:pPr>
              <w:pStyle w:val="676"/>
              <w:spacing w:line="360" w:lineRule="auto"/>
              <w:shd w:val="clear" w:color="auto" w:fill="auto"/>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物业管理公司具备完备的培训制度，对物业管理从业人员进行岗前培训及阶段性培训管理，使其熟悉工作流程与要求，定期对保安和保洁人员进行安全教育与业务培训。并定期与业主共同进行消防安全培训和组织消防演练。</w:t>
            </w:r>
            <w:r>
              <w:rPr>
                <w:rFonts w:hint="eastAsia" w:ascii="宋体" w:hAnsi="宋体" w:cs="宋体"/>
                <w:color w:val="000000"/>
                <w:szCs w:val="21"/>
                <w:highlight w:val="none"/>
              </w:rPr>
            </w:r>
            <w:r/>
          </w:p>
          <w:p>
            <w:pPr>
              <w:pStyle w:val="676"/>
              <w:spacing w:line="360" w:lineRule="auto"/>
              <w:shd w:val="clear" w:color="auto" w:fill="auto"/>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2.采购方有权根据实际情况对考评要求进行更改、增减。</w:t>
            </w:r>
            <w:r>
              <w:rPr>
                <w:rFonts w:hint="eastAsia" w:ascii="宋体" w:hAnsi="宋体" w:cs="宋体"/>
                <w:color w:val="000000"/>
                <w:szCs w:val="21"/>
                <w:highlight w:val="none"/>
              </w:rPr>
            </w:r>
            <w:r/>
          </w:p>
        </w:tc>
      </w:tr>
    </w:tbl>
    <w:p>
      <w:pPr>
        <w:pStyle w:val="676"/>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4.供应商履行合同所需的设备</w:t>
      </w:r>
      <w:r>
        <w:rPr>
          <w:rFonts w:hint="eastAsia" w:ascii="宋体" w:hAnsi="宋体"/>
          <w:b/>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根据项目实际需求，需要供应商提供作业设备（自有或租赁）用于物业管理服务的，可在下表中列出，举例如下：</w:t>
      </w:r>
      <w:r>
        <w:rPr>
          <w:rFonts w:hint="eastAsia" w:ascii="宋体" w:hAnsi="宋体"/>
          <w:color w:val="000000"/>
          <w:sz w:val="24"/>
          <w:highlight w:val="none"/>
        </w:rPr>
      </w:r>
      <w:r/>
    </w:p>
    <w:tbl>
      <w:tblPr>
        <w:tblStyle w:val="793"/>
        <w:tblW w:w="925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2409"/>
        <w:gridCol w:w="3633"/>
        <w:gridCol w:w="936"/>
        <w:gridCol w:w="1477"/>
      </w:tblGrid>
      <w:tr>
        <w:trPr>
          <w:trHeight w:val="367"/>
        </w:trPr>
        <w:tc>
          <w:tcPr>
            <w:tcW w:w="803" w:type="dxa"/>
            <w:vAlign w:val="top"/>
            <w:textDirection w:val="lrTb"/>
            <w:noWrap w:val="false"/>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hint="eastAsia" w:ascii="微软雅黑" w:hAnsi="微软雅黑" w:eastAsia="微软雅黑" w:cs="微软雅黑"/>
                <w:color w:val="000000"/>
                <w:szCs w:val="21"/>
                <w:highlight w:val="none"/>
                <w:lang w:eastAsia="en-US"/>
              </w:rPr>
            </w:r>
            <w:r/>
          </w:p>
        </w:tc>
        <w:tc>
          <w:tcPr>
            <w:tcW w:w="2409" w:type="dxa"/>
            <w:vAlign w:val="top"/>
            <w:textDirection w:val="lrTb"/>
            <w:noWrap w:val="false"/>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hint="eastAsia" w:ascii="微软雅黑" w:hAnsi="微软雅黑" w:eastAsia="微软雅黑" w:cs="微软雅黑"/>
                <w:color w:val="000000"/>
                <w:szCs w:val="21"/>
                <w:highlight w:val="none"/>
                <w:lang w:eastAsia="en-US"/>
              </w:rPr>
            </w:r>
            <w:r/>
          </w:p>
        </w:tc>
        <w:tc>
          <w:tcPr>
            <w:tcW w:w="3633" w:type="dxa"/>
            <w:vAlign w:val="top"/>
            <w:textDirection w:val="lrTb"/>
            <w:noWrap w:val="false"/>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hint="eastAsia" w:ascii="微软雅黑" w:hAnsi="微软雅黑" w:eastAsia="微软雅黑" w:cs="微软雅黑"/>
                <w:color w:val="000000"/>
                <w:szCs w:val="21"/>
                <w:highlight w:val="none"/>
                <w:lang w:eastAsia="en-US"/>
              </w:rPr>
            </w:r>
            <w:r/>
          </w:p>
        </w:tc>
        <w:tc>
          <w:tcPr>
            <w:tcW w:w="936" w:type="dxa"/>
            <w:vAlign w:val="top"/>
            <w:textDirection w:val="lrTb"/>
            <w:noWrap w:val="false"/>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hint="eastAsia" w:ascii="微软雅黑" w:hAnsi="微软雅黑" w:eastAsia="微软雅黑" w:cs="微软雅黑"/>
                <w:color w:val="000000"/>
                <w:szCs w:val="21"/>
                <w:highlight w:val="none"/>
                <w:lang w:eastAsia="en-US"/>
              </w:rPr>
            </w:r>
            <w:r/>
          </w:p>
        </w:tc>
        <w:tc>
          <w:tcPr>
            <w:tcW w:w="1477" w:type="dxa"/>
            <w:vAlign w:val="top"/>
            <w:textDirection w:val="lrTb"/>
            <w:noWrap w:val="false"/>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hint="eastAsia" w:ascii="微软雅黑" w:hAnsi="微软雅黑" w:eastAsia="微软雅黑" w:cs="微软雅黑"/>
                <w:color w:val="000000"/>
                <w:szCs w:val="21"/>
                <w:highlight w:val="none"/>
                <w:lang w:eastAsia="en-US"/>
              </w:rPr>
            </w:r>
            <w:r/>
          </w:p>
        </w:tc>
      </w:tr>
      <w:tr>
        <w:trPr>
          <w:trHeight w:val="278"/>
        </w:trPr>
        <w:tc>
          <w:tcPr>
            <w:tcW w:w="803"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1</w:t>
            </w:r>
            <w:r>
              <w:rPr>
                <w:rFonts w:hint="eastAsia" w:ascii="宋体" w:hAnsi="宋体" w:cs="Calibri"/>
                <w:color w:val="000000"/>
                <w:szCs w:val="21"/>
                <w:highlight w:val="none"/>
                <w:lang w:eastAsia="en-US"/>
              </w:rPr>
            </w:r>
            <w:r/>
          </w:p>
        </w:tc>
        <w:tc>
          <w:tcPr>
            <w:tcW w:w="2409" w:type="dxa"/>
            <w:vAlign w:val="top"/>
            <w:textDirection w:val="lrTb"/>
            <w:noWrap w:val="false"/>
          </w:tcPr>
          <w:p>
            <w:pPr>
              <w:pStyle w:val="794"/>
              <w:jc w:val="center"/>
              <w:shd w:val="clear" w:color="auto" w:fill="auto"/>
              <w:rPr>
                <w:rFonts w:hint="eastAsia"/>
                <w:color w:val="000000"/>
                <w:highlight w:val="none"/>
              </w:rPr>
            </w:pPr>
            <w:r>
              <w:rPr>
                <w:color w:val="000000"/>
                <w:spacing w:val="-2"/>
                <w:highlight w:val="none"/>
              </w:rPr>
              <w:t xml:space="preserve">基本服务</w:t>
            </w:r>
            <w:r>
              <w:rPr>
                <w:rFonts w:hint="eastAsia"/>
                <w:color w:val="000000"/>
                <w:highlight w:val="none"/>
              </w:rPr>
            </w:r>
            <w:r/>
          </w:p>
        </w:tc>
        <w:tc>
          <w:tcPr>
            <w:tcW w:w="3633" w:type="dxa"/>
            <w:vAlign w:val="top"/>
            <w:textDirection w:val="lrTb"/>
            <w:noWrap w:val="false"/>
          </w:tcPr>
          <w:p>
            <w:pPr>
              <w:pStyle w:val="794"/>
              <w:jc w:val="center"/>
              <w:shd w:val="clear" w:color="auto" w:fill="auto"/>
              <w:rPr>
                <w:rFonts w:hint="eastAsia" w:cs="Calibri"/>
                <w:color w:val="000000"/>
                <w:highlight w:val="none"/>
                <w:lang w:eastAsia="zh-CN"/>
              </w:rPr>
            </w:pPr>
            <w:r>
              <w:rPr>
                <w:rFonts w:hint="eastAsia"/>
                <w:color w:val="000000"/>
                <w:spacing w:val="-2"/>
                <w:highlight w:val="none"/>
                <w:lang w:eastAsia="zh-CN"/>
              </w:rPr>
              <w:t xml:space="preserve">/</w:t>
            </w:r>
            <w:r>
              <w:rPr>
                <w:rFonts w:hint="eastAsia" w:cs="Calibri"/>
                <w:color w:val="000000"/>
                <w:highlight w:val="none"/>
                <w:lang w:eastAsia="zh-CN"/>
              </w:rPr>
            </w:r>
            <w:r/>
          </w:p>
        </w:tc>
        <w:tc>
          <w:tcPr>
            <w:tcW w:w="936"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794"/>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90"/>
        </w:trPr>
        <w:tc>
          <w:tcPr>
            <w:tcW w:w="803"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2</w:t>
            </w:r>
            <w:r>
              <w:rPr>
                <w:rFonts w:hint="eastAsia" w:ascii="宋体" w:hAnsi="宋体" w:cs="Calibri"/>
                <w:color w:val="000000"/>
                <w:szCs w:val="21"/>
                <w:highlight w:val="none"/>
                <w:lang w:eastAsia="en-US"/>
              </w:rPr>
            </w:r>
            <w:r/>
          </w:p>
        </w:tc>
        <w:tc>
          <w:tcPr>
            <w:tcW w:w="2409" w:type="dxa"/>
            <w:vAlign w:val="top"/>
            <w:textDirection w:val="lrTb"/>
            <w:noWrap w:val="false"/>
          </w:tcPr>
          <w:p>
            <w:pPr>
              <w:pStyle w:val="794"/>
              <w:jc w:val="center"/>
              <w:shd w:val="clear" w:color="auto" w:fill="auto"/>
              <w:rPr>
                <w:rFonts w:hint="eastAsia"/>
                <w:color w:val="000000"/>
                <w:highlight w:val="none"/>
              </w:rPr>
            </w:pPr>
            <w:r>
              <w:rPr>
                <w:color w:val="000000"/>
                <w:spacing w:val="-1"/>
                <w:highlight w:val="none"/>
              </w:rPr>
              <w:t xml:space="preserve">房屋维修服务</w:t>
            </w:r>
            <w:r>
              <w:rPr>
                <w:rFonts w:hint="eastAsia"/>
                <w:color w:val="000000"/>
                <w:highlight w:val="none"/>
              </w:rPr>
            </w:r>
            <w:r/>
          </w:p>
        </w:tc>
        <w:tc>
          <w:tcPr>
            <w:tcW w:w="3633" w:type="dxa"/>
            <w:vAlign w:val="top"/>
            <w:textDirection w:val="lrTb"/>
            <w:noWrap w:val="false"/>
          </w:tcPr>
          <w:p>
            <w:pPr>
              <w:pStyle w:val="794"/>
              <w:jc w:val="center"/>
              <w:shd w:val="clear" w:color="auto" w:fill="auto"/>
              <w:rPr>
                <w:rFonts w:hint="eastAsia" w:cs="Calibri"/>
                <w:color w:val="000000"/>
                <w:highlight w:val="none"/>
                <w:lang w:eastAsia="zh-CN"/>
              </w:rPr>
            </w:pPr>
            <w:r>
              <w:rPr>
                <w:rFonts w:hint="eastAsia" w:cs="Calibri"/>
                <w:color w:val="000000"/>
                <w:highlight w:val="none"/>
                <w:lang w:eastAsia="zh-CN"/>
              </w:rPr>
              <w:t xml:space="preserve">/</w:t>
            </w:r>
            <w:r>
              <w:rPr>
                <w:rFonts w:hint="eastAsia" w:cs="Calibri"/>
                <w:color w:val="000000"/>
                <w:highlight w:val="none"/>
                <w:lang w:eastAsia="zh-CN"/>
              </w:rPr>
            </w:r>
            <w:r/>
          </w:p>
        </w:tc>
        <w:tc>
          <w:tcPr>
            <w:tcW w:w="936"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794"/>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3</w:t>
            </w:r>
            <w:r>
              <w:rPr>
                <w:rFonts w:hint="eastAsia" w:ascii="宋体" w:hAnsi="宋体" w:cs="Calibri"/>
                <w:color w:val="000000"/>
                <w:szCs w:val="21"/>
                <w:highlight w:val="none"/>
                <w:lang w:eastAsia="en-US"/>
              </w:rPr>
            </w:r>
            <w:r/>
          </w:p>
        </w:tc>
        <w:tc>
          <w:tcPr>
            <w:tcW w:w="2409" w:type="dxa"/>
            <w:vAlign w:val="top"/>
            <w:textDirection w:val="lrTb"/>
            <w:noWrap w:val="false"/>
          </w:tcPr>
          <w:p>
            <w:pPr>
              <w:pStyle w:val="794"/>
              <w:jc w:val="center"/>
              <w:shd w:val="clear" w:color="auto" w:fill="auto"/>
              <w:rPr>
                <w:rFonts w:hint="eastAsia"/>
                <w:color w:val="000000"/>
                <w:highlight w:val="none"/>
                <w:lang w:eastAsia="zh-CN"/>
              </w:rPr>
            </w:pPr>
            <w:r>
              <w:rPr>
                <w:color w:val="000000"/>
                <w:spacing w:val="-2"/>
                <w:highlight w:val="none"/>
                <w:lang w:eastAsia="zh-CN"/>
              </w:rPr>
              <w:t xml:space="preserve">公用设施设备维护服务</w:t>
            </w:r>
            <w:r>
              <w:rPr>
                <w:rFonts w:hint="eastAsia"/>
                <w:color w:val="000000"/>
                <w:highlight w:val="none"/>
                <w:lang w:eastAsia="zh-CN"/>
              </w:rPr>
            </w:r>
            <w:r/>
          </w:p>
        </w:tc>
        <w:tc>
          <w:tcPr>
            <w:tcW w:w="3633" w:type="dxa"/>
            <w:vAlign w:val="top"/>
            <w:textDirection w:val="lrTb"/>
            <w:noWrap w:val="false"/>
          </w:tcPr>
          <w:p>
            <w:pPr>
              <w:pStyle w:val="794"/>
              <w:jc w:val="center"/>
              <w:shd w:val="clear" w:color="auto" w:fill="auto"/>
              <w:rPr>
                <w:rFonts w:hint="eastAsia" w:cs="Calibri"/>
                <w:color w:val="000000"/>
                <w:highlight w:val="none"/>
                <w:lang w:eastAsia="zh-CN"/>
              </w:rPr>
            </w:pPr>
            <w:r>
              <w:rPr>
                <w:rFonts w:hint="eastAsia" w:cs="Calibri"/>
                <w:color w:val="000000"/>
                <w:highlight w:val="none"/>
                <w:lang w:eastAsia="zh-CN"/>
              </w:rPr>
              <w:t xml:space="preserve">日常使用工具</w:t>
            </w:r>
            <w:r>
              <w:rPr>
                <w:rFonts w:hint="eastAsia" w:cs="Calibri"/>
                <w:color w:val="000000"/>
                <w:highlight w:val="none"/>
                <w:lang w:eastAsia="zh-CN"/>
              </w:rPr>
            </w:r>
            <w:r/>
          </w:p>
        </w:tc>
        <w:tc>
          <w:tcPr>
            <w:tcW w:w="936"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1</w:t>
            </w:r>
            <w:r>
              <w:rPr>
                <w:rFonts w:hint="eastAsia" w:ascii="宋体" w:hAnsi="宋体" w:cs="Calibri"/>
                <w:color w:val="000000"/>
                <w:szCs w:val="21"/>
                <w:highlight w:val="none"/>
                <w:lang w:eastAsia="en-US"/>
              </w:rPr>
            </w:r>
            <w:r/>
          </w:p>
        </w:tc>
        <w:tc>
          <w:tcPr>
            <w:tcW w:w="1477" w:type="dxa"/>
            <w:vAlign w:val="top"/>
            <w:textDirection w:val="lrTb"/>
            <w:noWrap w:val="false"/>
          </w:tcPr>
          <w:p>
            <w:pPr>
              <w:pStyle w:val="794"/>
              <w:jc w:val="center"/>
              <w:shd w:val="clear" w:color="auto" w:fill="auto"/>
              <w:rPr>
                <w:rFonts w:hint="eastAsia"/>
                <w:color w:val="000000"/>
                <w:highlight w:val="none"/>
                <w:lang w:eastAsia="zh-CN"/>
              </w:rPr>
            </w:pPr>
            <w:r>
              <w:rPr>
                <w:rFonts w:hint="eastAsia"/>
                <w:color w:val="000000"/>
                <w:highlight w:val="none"/>
                <w:lang w:eastAsia="zh-CN"/>
              </w:rPr>
              <w:t xml:space="preserve">套</w:t>
            </w:r>
            <w:r>
              <w:rPr>
                <w:rFonts w:hint="eastAsia"/>
                <w:color w:val="000000"/>
                <w:highlight w:val="none"/>
                <w:lang w:eastAsia="zh-CN"/>
              </w:rPr>
            </w:r>
            <w:r/>
          </w:p>
        </w:tc>
      </w:tr>
      <w:tr>
        <w:trPr>
          <w:trHeight w:val="278"/>
        </w:trPr>
        <w:tc>
          <w:tcPr>
            <w:tcW w:w="803"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4</w:t>
            </w:r>
            <w:r>
              <w:rPr>
                <w:rFonts w:hint="eastAsia" w:ascii="宋体" w:hAnsi="宋体" w:cs="Calibri"/>
                <w:color w:val="000000"/>
                <w:szCs w:val="21"/>
                <w:highlight w:val="none"/>
                <w:lang w:eastAsia="en-US"/>
              </w:rPr>
            </w:r>
            <w:r/>
          </w:p>
        </w:tc>
        <w:tc>
          <w:tcPr>
            <w:tcW w:w="2409" w:type="dxa"/>
            <w:vAlign w:val="top"/>
            <w:textDirection w:val="lrTb"/>
            <w:noWrap w:val="false"/>
          </w:tcPr>
          <w:p>
            <w:pPr>
              <w:pStyle w:val="794"/>
              <w:jc w:val="center"/>
              <w:shd w:val="clear" w:color="auto" w:fill="auto"/>
              <w:rPr>
                <w:rFonts w:hint="eastAsia"/>
                <w:color w:val="000000"/>
                <w:highlight w:val="none"/>
              </w:rPr>
            </w:pPr>
            <w:r>
              <w:rPr>
                <w:color w:val="000000"/>
                <w:spacing w:val="-2"/>
                <w:highlight w:val="none"/>
              </w:rPr>
              <w:t xml:space="preserve">保洁服务</w:t>
            </w:r>
            <w:r>
              <w:rPr>
                <w:rFonts w:hint="eastAsia"/>
                <w:color w:val="000000"/>
                <w:highlight w:val="none"/>
              </w:rPr>
            </w:r>
            <w:r/>
          </w:p>
        </w:tc>
        <w:tc>
          <w:tcPr>
            <w:tcW w:w="3633" w:type="dxa"/>
            <w:vAlign w:val="top"/>
            <w:textDirection w:val="lrTb"/>
            <w:noWrap w:val="false"/>
          </w:tcPr>
          <w:p>
            <w:pPr>
              <w:pStyle w:val="794"/>
              <w:jc w:val="center"/>
              <w:shd w:val="clear" w:color="auto" w:fill="auto"/>
              <w:rPr>
                <w:rFonts w:hint="eastAsia" w:cs="Calibri"/>
                <w:color w:val="000000"/>
                <w:highlight w:val="none"/>
                <w:lang w:eastAsia="zh-CN"/>
              </w:rPr>
            </w:pPr>
            <w:r>
              <w:rPr>
                <w:rFonts w:hint="eastAsia" w:cs="Calibri"/>
                <w:color w:val="000000"/>
                <w:highlight w:val="none"/>
                <w:lang w:eastAsia="zh-CN"/>
              </w:rPr>
              <w:t xml:space="preserve">/</w:t>
            </w:r>
            <w:r>
              <w:rPr>
                <w:rFonts w:hint="eastAsia" w:cs="Calibri"/>
                <w:color w:val="000000"/>
                <w:highlight w:val="none"/>
                <w:lang w:eastAsia="zh-CN"/>
              </w:rPr>
            </w:r>
            <w:r/>
          </w:p>
        </w:tc>
        <w:tc>
          <w:tcPr>
            <w:tcW w:w="936"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794"/>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43"/>
        </w:trPr>
        <w:tc>
          <w:tcPr>
            <w:tcW w:w="803"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5</w:t>
            </w:r>
            <w:r>
              <w:rPr>
                <w:rFonts w:hint="eastAsia" w:ascii="宋体" w:hAnsi="宋体" w:cs="Calibri"/>
                <w:color w:val="000000"/>
                <w:szCs w:val="21"/>
                <w:highlight w:val="none"/>
                <w:lang w:eastAsia="en-US"/>
              </w:rPr>
            </w:r>
            <w:r/>
          </w:p>
        </w:tc>
        <w:tc>
          <w:tcPr>
            <w:tcW w:w="2409" w:type="dxa"/>
            <w:vAlign w:val="top"/>
            <w:textDirection w:val="lrTb"/>
            <w:noWrap w:val="false"/>
          </w:tcPr>
          <w:p>
            <w:pPr>
              <w:pStyle w:val="794"/>
              <w:jc w:val="center"/>
              <w:shd w:val="clear" w:color="auto" w:fill="auto"/>
              <w:rPr>
                <w:rFonts w:hint="eastAsia"/>
                <w:color w:val="000000"/>
                <w:highlight w:val="none"/>
              </w:rPr>
            </w:pPr>
            <w:r>
              <w:rPr>
                <w:color w:val="000000"/>
                <w:spacing w:val="-2"/>
                <w:highlight w:val="none"/>
              </w:rPr>
              <w:t xml:space="preserve">绿化服务</w:t>
            </w:r>
            <w:r>
              <w:rPr>
                <w:rFonts w:hint="eastAsia"/>
                <w:color w:val="000000"/>
                <w:highlight w:val="none"/>
              </w:rPr>
            </w:r>
            <w:r/>
          </w:p>
        </w:tc>
        <w:tc>
          <w:tcPr>
            <w:tcW w:w="3633" w:type="dxa"/>
            <w:vAlign w:val="top"/>
            <w:textDirection w:val="lrTb"/>
            <w:noWrap w:val="false"/>
          </w:tcPr>
          <w:p>
            <w:pPr>
              <w:pStyle w:val="794"/>
              <w:jc w:val="center"/>
              <w:shd w:val="clear" w:color="auto" w:fill="auto"/>
              <w:rPr>
                <w:rFonts w:hint="eastAsia" w:cs="Calibri"/>
                <w:color w:val="000000"/>
                <w:highlight w:val="none"/>
                <w:lang w:eastAsia="zh-CN"/>
              </w:rPr>
            </w:pPr>
            <w:r>
              <w:rPr>
                <w:rFonts w:hint="eastAsia" w:cs="Calibri"/>
                <w:color w:val="000000"/>
                <w:highlight w:val="none"/>
                <w:lang w:eastAsia="zh-CN"/>
              </w:rPr>
              <w:t xml:space="preserve">/</w:t>
            </w:r>
            <w:r>
              <w:rPr>
                <w:rFonts w:hint="eastAsia" w:cs="Calibri"/>
                <w:color w:val="000000"/>
                <w:highlight w:val="none"/>
                <w:lang w:eastAsia="zh-CN"/>
              </w:rPr>
            </w:r>
            <w:r/>
          </w:p>
        </w:tc>
        <w:tc>
          <w:tcPr>
            <w:tcW w:w="936"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794"/>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6</w:t>
            </w:r>
            <w:r>
              <w:rPr>
                <w:rFonts w:hint="eastAsia" w:ascii="宋体" w:hAnsi="宋体" w:cs="Calibri"/>
                <w:color w:val="000000"/>
                <w:szCs w:val="21"/>
                <w:highlight w:val="none"/>
                <w:lang w:eastAsia="en-US"/>
              </w:rPr>
            </w:r>
            <w:r/>
          </w:p>
        </w:tc>
        <w:tc>
          <w:tcPr>
            <w:tcW w:w="2409" w:type="dxa"/>
            <w:vAlign w:val="top"/>
            <w:textDirection w:val="lrTb"/>
            <w:noWrap w:val="false"/>
          </w:tcPr>
          <w:p>
            <w:pPr>
              <w:pStyle w:val="794"/>
              <w:jc w:val="center"/>
              <w:shd w:val="clear" w:color="auto" w:fill="auto"/>
              <w:rPr>
                <w:rFonts w:hint="eastAsia"/>
                <w:color w:val="000000"/>
                <w:highlight w:val="none"/>
              </w:rPr>
            </w:pPr>
            <w:r>
              <w:rPr>
                <w:color w:val="000000"/>
                <w:spacing w:val="-2"/>
                <w:highlight w:val="none"/>
              </w:rPr>
              <w:t xml:space="preserve">保安服务</w:t>
            </w:r>
            <w:r>
              <w:rPr>
                <w:rFonts w:hint="eastAsia"/>
                <w:color w:val="000000"/>
                <w:highlight w:val="none"/>
              </w:rPr>
            </w:r>
            <w:r/>
          </w:p>
        </w:tc>
        <w:tc>
          <w:tcPr>
            <w:tcW w:w="3633" w:type="dxa"/>
            <w:vAlign w:val="top"/>
            <w:textDirection w:val="lrTb"/>
            <w:noWrap w:val="false"/>
          </w:tcPr>
          <w:p>
            <w:pPr>
              <w:pStyle w:val="794"/>
              <w:jc w:val="center"/>
              <w:shd w:val="clear" w:color="auto" w:fill="auto"/>
              <w:rPr>
                <w:rFonts w:hint="eastAsia"/>
                <w:color w:val="000000"/>
                <w:highlight w:val="none"/>
              </w:rPr>
            </w:pPr>
            <w:r>
              <w:rPr>
                <w:rFonts w:hint="eastAsia" w:cs="Calibri"/>
                <w:color w:val="000000"/>
                <w:highlight w:val="none"/>
                <w:lang w:eastAsia="zh-CN"/>
              </w:rPr>
              <w:t xml:space="preserve">安全防护盾套</w:t>
            </w:r>
            <w:r>
              <w:rPr>
                <w:rFonts w:hint="eastAsia"/>
                <w:color w:val="000000"/>
                <w:highlight w:val="none"/>
              </w:rPr>
            </w:r>
            <w:r/>
          </w:p>
        </w:tc>
        <w:tc>
          <w:tcPr>
            <w:tcW w:w="936"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1</w:t>
            </w:r>
            <w:r>
              <w:rPr>
                <w:rFonts w:hint="eastAsia" w:ascii="宋体" w:hAnsi="宋体" w:cs="Calibri"/>
                <w:color w:val="000000"/>
                <w:szCs w:val="21"/>
                <w:highlight w:val="none"/>
                <w:lang w:eastAsia="en-US"/>
              </w:rPr>
            </w:r>
            <w:r/>
          </w:p>
        </w:tc>
        <w:tc>
          <w:tcPr>
            <w:tcW w:w="1477" w:type="dxa"/>
            <w:vAlign w:val="top"/>
            <w:textDirection w:val="lrTb"/>
            <w:noWrap w:val="false"/>
          </w:tcPr>
          <w:p>
            <w:pPr>
              <w:pStyle w:val="794"/>
              <w:jc w:val="center"/>
              <w:shd w:val="clear" w:color="auto" w:fill="auto"/>
              <w:rPr>
                <w:rFonts w:hint="eastAsia"/>
                <w:color w:val="000000"/>
                <w:highlight w:val="none"/>
                <w:lang w:eastAsia="zh-CN"/>
              </w:rPr>
            </w:pPr>
            <w:r>
              <w:rPr>
                <w:rFonts w:hint="eastAsia"/>
                <w:color w:val="000000"/>
                <w:highlight w:val="none"/>
                <w:lang w:eastAsia="zh-CN"/>
              </w:rPr>
              <w:t xml:space="preserve">套</w:t>
            </w:r>
            <w:r>
              <w:rPr>
                <w:rFonts w:hint="eastAsia"/>
                <w:color w:val="000000"/>
                <w:highlight w:val="none"/>
                <w:lang w:eastAsia="zh-CN"/>
              </w:rPr>
            </w:r>
            <w:r/>
          </w:p>
        </w:tc>
      </w:tr>
      <w:tr>
        <w:trPr>
          <w:trHeight w:val="278"/>
        </w:trPr>
        <w:tc>
          <w:tcPr>
            <w:tcW w:w="803"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7</w:t>
            </w:r>
            <w:r>
              <w:rPr>
                <w:rFonts w:hint="eastAsia" w:ascii="宋体" w:hAnsi="宋体" w:cs="Calibri"/>
                <w:color w:val="000000"/>
                <w:szCs w:val="21"/>
                <w:highlight w:val="none"/>
                <w:lang w:eastAsia="en-US"/>
              </w:rPr>
            </w:r>
            <w:r/>
          </w:p>
        </w:tc>
        <w:tc>
          <w:tcPr>
            <w:tcW w:w="2409" w:type="dxa"/>
            <w:vAlign w:val="top"/>
            <w:textDirection w:val="lrTb"/>
            <w:noWrap w:val="false"/>
          </w:tcPr>
          <w:p>
            <w:pPr>
              <w:pStyle w:val="794"/>
              <w:jc w:val="center"/>
              <w:shd w:val="clear" w:color="auto" w:fill="auto"/>
              <w:rPr>
                <w:rFonts w:hint="eastAsia"/>
                <w:color w:val="000000"/>
                <w:highlight w:val="none"/>
              </w:rPr>
            </w:pPr>
            <w:r>
              <w:rPr>
                <w:color w:val="000000"/>
                <w:spacing w:val="-1"/>
                <w:highlight w:val="none"/>
              </w:rPr>
              <w:t xml:space="preserve">会议服务</w:t>
            </w:r>
            <w:r>
              <w:rPr>
                <w:rFonts w:hint="eastAsia"/>
                <w:color w:val="000000"/>
                <w:highlight w:val="none"/>
              </w:rPr>
            </w:r>
            <w:r/>
          </w:p>
        </w:tc>
        <w:tc>
          <w:tcPr>
            <w:tcW w:w="3633" w:type="dxa"/>
            <w:vAlign w:val="top"/>
            <w:textDirection w:val="lrTb"/>
            <w:noWrap w:val="false"/>
          </w:tcPr>
          <w:p>
            <w:pPr>
              <w:pStyle w:val="794"/>
              <w:jc w:val="center"/>
              <w:shd w:val="clear" w:color="auto" w:fill="auto"/>
              <w:rPr>
                <w:rFonts w:hint="eastAsia"/>
                <w:color w:val="000000"/>
                <w:highlight w:val="none"/>
              </w:rPr>
            </w:pPr>
            <w:r>
              <w:rPr>
                <w:rFonts w:hint="eastAsia" w:cs="Calibri"/>
                <w:color w:val="000000"/>
                <w:highlight w:val="none"/>
                <w:lang w:eastAsia="zh-CN"/>
              </w:rPr>
              <w:t xml:space="preserve">/</w:t>
            </w:r>
            <w:r>
              <w:rPr>
                <w:rFonts w:hint="eastAsia"/>
                <w:color w:val="000000"/>
                <w:highlight w:val="none"/>
              </w:rPr>
            </w:r>
            <w:r/>
          </w:p>
        </w:tc>
        <w:tc>
          <w:tcPr>
            <w:tcW w:w="936" w:type="dxa"/>
            <w:vAlign w:val="top"/>
            <w:textDirection w:val="lrTb"/>
            <w:noWrap w:val="false"/>
          </w:tcPr>
          <w:p>
            <w:pPr>
              <w:pStyle w:val="676"/>
              <w:jc w:val="center"/>
              <w:shd w:val="clear" w:color="auto" w:fill="auto"/>
              <w:rPr>
                <w:rFonts w:hint="eastAsia" w:ascii="宋体" w:hAnsi="宋体" w:cs="Calibri"/>
                <w:color w:val="000000"/>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highlight w:val="none"/>
                <w:lang w:eastAsia="en-US"/>
              </w:rPr>
            </w:r>
            <w:r/>
          </w:p>
        </w:tc>
        <w:tc>
          <w:tcPr>
            <w:tcW w:w="1477" w:type="dxa"/>
            <w:vAlign w:val="top"/>
            <w:textDirection w:val="lrTb"/>
            <w:noWrap w:val="false"/>
          </w:tcPr>
          <w:p>
            <w:pPr>
              <w:pStyle w:val="794"/>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hint="eastAsia" w:ascii="宋体" w:hAnsi="宋体" w:cs="Calibri"/>
                <w:color w:val="000000"/>
                <w:szCs w:val="21"/>
                <w:highlight w:val="none"/>
                <w:lang w:eastAsia="en-US"/>
              </w:rPr>
              <w:t xml:space="preserve">8</w:t>
            </w:r>
            <w:r>
              <w:rPr>
                <w:rFonts w:hint="eastAsia" w:ascii="宋体" w:hAnsi="宋体" w:cs="Calibri"/>
                <w:color w:val="000000"/>
                <w:szCs w:val="21"/>
                <w:highlight w:val="none"/>
                <w:lang w:eastAsia="en-US"/>
              </w:rPr>
            </w:r>
            <w:r/>
          </w:p>
        </w:tc>
        <w:tc>
          <w:tcPr>
            <w:tcW w:w="2409" w:type="dxa"/>
            <w:vAlign w:val="top"/>
            <w:textDirection w:val="lrTb"/>
            <w:noWrap w:val="false"/>
          </w:tcPr>
          <w:p>
            <w:pPr>
              <w:pStyle w:val="794"/>
              <w:jc w:val="center"/>
              <w:shd w:val="clear" w:color="auto" w:fill="auto"/>
              <w:rPr>
                <w:rFonts w:hint="eastAsia"/>
                <w:color w:val="000000"/>
                <w:spacing w:val="-1"/>
                <w:highlight w:val="none"/>
                <w:lang w:eastAsia="zh-CN"/>
              </w:rPr>
            </w:pPr>
            <w:r>
              <w:rPr>
                <w:rFonts w:hint="eastAsia"/>
                <w:color w:val="000000"/>
                <w:spacing w:val="-1"/>
                <w:highlight w:val="none"/>
              </w:rPr>
              <w:t xml:space="preserve">突发防爆</w:t>
            </w:r>
            <w:r>
              <w:rPr>
                <w:rFonts w:hint="eastAsia"/>
                <w:color w:val="000000"/>
                <w:spacing w:val="-1"/>
                <w:highlight w:val="none"/>
                <w:lang w:eastAsia="zh-CN"/>
              </w:rPr>
            </w:r>
            <w:r/>
          </w:p>
        </w:tc>
        <w:tc>
          <w:tcPr>
            <w:tcW w:w="3633" w:type="dxa"/>
            <w:vAlign w:val="top"/>
            <w:textDirection w:val="lrTb"/>
            <w:noWrap w:val="false"/>
          </w:tcPr>
          <w:p>
            <w:pPr>
              <w:pStyle w:val="794"/>
              <w:jc w:val="center"/>
              <w:shd w:val="clear" w:color="auto" w:fill="auto"/>
              <w:rPr>
                <w:rFonts w:hint="eastAsia"/>
                <w:color w:val="000000"/>
                <w:spacing w:val="-2"/>
                <w:highlight w:val="none"/>
                <w:lang w:eastAsia="zh-CN"/>
              </w:rPr>
            </w:pPr>
            <w:r>
              <w:rPr>
                <w:rFonts w:hint="eastAsia" w:cs="Calibri"/>
                <w:color w:val="000000"/>
                <w:highlight w:val="none"/>
                <w:lang w:eastAsia="zh-CN"/>
              </w:rPr>
              <w:t xml:space="preserve">/</w:t>
            </w:r>
            <w:r>
              <w:rPr>
                <w:rFonts w:hint="eastAsia"/>
                <w:color w:val="000000"/>
                <w:spacing w:val="-2"/>
                <w:highlight w:val="none"/>
                <w:lang w:eastAsia="zh-CN"/>
              </w:rPr>
            </w:r>
            <w:r/>
          </w:p>
        </w:tc>
        <w:tc>
          <w:tcPr>
            <w:tcW w:w="936" w:type="dxa"/>
            <w:vAlign w:val="top"/>
            <w:textDirection w:val="lrTb"/>
            <w:noWrap w:val="false"/>
          </w:tcPr>
          <w:p>
            <w:pPr>
              <w:pStyle w:val="676"/>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794"/>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bl>
    <w:p>
      <w:pPr>
        <w:pStyle w:val="676"/>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注：采购人已无偿提供的作业设备，或准备放置评分项中作考察的，不在此重复要求。</w:t>
      </w:r>
      <w:r>
        <w:rPr>
          <w:rFonts w:hint="eastAsia" w:ascii="宋体" w:hAnsi="宋体"/>
          <w:color w:val="000000"/>
          <w:sz w:val="24"/>
          <w:highlight w:val="none"/>
        </w:rPr>
      </w:r>
      <w:r/>
    </w:p>
    <w:p>
      <w:pPr>
        <w:pStyle w:val="676"/>
        <w:ind w:left="482"/>
        <w:spacing w:line="360" w:lineRule="auto"/>
        <w:shd w:val="clear" w:color="auto" w:fill="auto"/>
        <w:tabs>
          <w:tab w:val="left" w:pos="312" w:leader="none"/>
        </w:tabs>
        <w:rPr>
          <w:rFonts w:hint="eastAsia" w:ascii="宋体" w:hAnsi="宋体"/>
          <w:b/>
          <w:color w:val="000000"/>
          <w:sz w:val="24"/>
          <w:highlight w:val="none"/>
        </w:rPr>
      </w:pPr>
      <w:r>
        <w:rPr>
          <w:rFonts w:hint="eastAsia" w:ascii="宋体" w:hAnsi="宋体"/>
          <w:b/>
          <w:color w:val="000000"/>
          <w:sz w:val="24"/>
          <w:highlight w:val="none"/>
        </w:rPr>
        <w:t xml:space="preserve">5.物业管理服务人员需求</w:t>
      </w:r>
      <w:r>
        <w:rPr>
          <w:rFonts w:hint="eastAsia" w:ascii="宋体" w:hAnsi="宋体"/>
          <w:b/>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本项目人员配置总数不少于19人。本项目允许配置按国家规定可不缴纳社保的人员，该类人员最高不超过项目总配置人数的</w:t>
      </w:r>
      <w:r>
        <w:rPr>
          <w:rFonts w:hint="eastAsia" w:ascii="宋体" w:hAnsi="宋体"/>
          <w:color w:val="000000"/>
          <w:sz w:val="24"/>
          <w:highlight w:val="none"/>
          <w:u w:val="single"/>
        </w:rPr>
        <w:t xml:space="preserve"> 30% </w:t>
      </w:r>
      <w:r>
        <w:rPr>
          <w:rFonts w:hint="eastAsia" w:ascii="宋体" w:hAnsi="宋体"/>
          <w:color w:val="000000"/>
          <w:sz w:val="24"/>
          <w:highlight w:val="none"/>
        </w:rPr>
        <w:t xml:space="preserve">。</w:t>
      </w:r>
      <w:r>
        <w:rPr>
          <w:rFonts w:hint="eastAsia" w:ascii="宋体" w:hAnsi="宋体"/>
          <w:b/>
          <w:bCs/>
          <w:color w:val="000000"/>
          <w:sz w:val="24"/>
          <w:highlight w:val="none"/>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color w:val="000000"/>
          <w:sz w:val="24"/>
          <w:highlight w:val="none"/>
        </w:rPr>
      </w:r>
      <w:r/>
    </w:p>
    <w:tbl>
      <w:tblPr>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0"/>
        <w:gridCol w:w="785"/>
        <w:gridCol w:w="6809"/>
      </w:tblGrid>
      <w:tr>
        <w:trPr>
          <w:trHeight w:val="889"/>
        </w:trPr>
        <w:tc>
          <w:tcPr>
            <w:tcW w:w="870" w:type="dxa"/>
            <w:vAlign w:val="center"/>
            <w:textDirection w:val="lrTb"/>
            <w:noWrap/>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类别</w:t>
            </w:r>
            <w:r>
              <w:rPr>
                <w:rFonts w:hint="eastAsia" w:ascii="微软雅黑" w:hAnsi="微软雅黑" w:eastAsia="微软雅黑" w:cs="微软雅黑"/>
                <w:color w:val="000000"/>
                <w:szCs w:val="21"/>
                <w:highlight w:val="none"/>
                <w:lang w:eastAsia="en-US"/>
              </w:rPr>
            </w:r>
            <w:r/>
          </w:p>
        </w:tc>
        <w:tc>
          <w:tcPr>
            <w:tcW w:w="970" w:type="dxa"/>
            <w:vAlign w:val="center"/>
            <w:textDirection w:val="lrTb"/>
            <w:noWrap/>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岗位</w:t>
            </w:r>
            <w:r>
              <w:rPr>
                <w:rFonts w:hint="eastAsia" w:ascii="微软雅黑" w:hAnsi="微软雅黑" w:eastAsia="微软雅黑" w:cs="微软雅黑"/>
                <w:color w:val="000000"/>
                <w:szCs w:val="21"/>
                <w:highlight w:val="none"/>
                <w:lang w:eastAsia="en-US"/>
              </w:rPr>
            </w:r>
            <w:r/>
          </w:p>
        </w:tc>
        <w:tc>
          <w:tcPr>
            <w:tcW w:w="785" w:type="dxa"/>
            <w:vAlign w:val="center"/>
            <w:textDirection w:val="lrTb"/>
            <w:noWrap/>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en-US"/>
              </w:rPr>
              <w:t xml:space="preserve">人数</w:t>
            </w:r>
            <w:r>
              <w:rPr>
                <w:rFonts w:hint="eastAsia" w:ascii="微软雅黑" w:hAnsi="微软雅黑" w:eastAsia="微软雅黑" w:cs="微软雅黑"/>
                <w:color w:val="000000"/>
                <w:szCs w:val="21"/>
                <w:highlight w:val="none"/>
                <w:lang w:eastAsia="en-US"/>
              </w:rPr>
            </w:r>
            <w:r/>
          </w:p>
        </w:tc>
        <w:tc>
          <w:tcPr>
            <w:tcW w:w="6809" w:type="dxa"/>
            <w:vAlign w:val="center"/>
            <w:textDirection w:val="lrTb"/>
            <w:noWrap/>
          </w:tcPr>
          <w:p>
            <w:pPr>
              <w:pStyle w:val="676"/>
              <w:jc w:val="center"/>
              <w:shd w:val="clear" w:color="auto" w:fill="auto"/>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备注</w:t>
            </w:r>
            <w:r>
              <w:rPr>
                <w:rFonts w:hint="eastAsia" w:ascii="微软雅黑" w:hAnsi="微软雅黑" w:eastAsia="微软雅黑" w:cs="微软雅黑"/>
                <w:color w:val="000000"/>
                <w:szCs w:val="21"/>
                <w:highlight w:val="none"/>
                <w:lang w:eastAsia="en-US"/>
              </w:rPr>
            </w:r>
            <w:r/>
          </w:p>
        </w:tc>
      </w:tr>
      <w:tr>
        <w:trPr/>
        <w:tc>
          <w:tcPr>
            <w:tcW w:w="870" w:type="dxa"/>
            <w:vAlign w:val="center"/>
            <w:vMerge w:val="restart"/>
            <w:textDirection w:val="lrTb"/>
            <w:noWrap/>
          </w:tcPr>
          <w:p>
            <w:pPr>
              <w:pStyle w:val="676"/>
              <w:jc w:val="center"/>
              <w:shd w:val="clear" w:color="auto" w:fill="auto"/>
              <w:widowControl/>
              <w:rPr>
                <w:rFonts w:hint="eastAsia" w:ascii="宋体" w:hAnsi="宋体" w:cs="宋体"/>
                <w:b/>
                <w:bCs/>
                <w:color w:val="000000"/>
                <w:szCs w:val="21"/>
                <w:highlight w:val="none"/>
                <w:lang w:eastAsia="en-US"/>
              </w:rPr>
            </w:pPr>
            <w:r>
              <w:rPr>
                <w:rFonts w:ascii="宋体" w:hAnsi="宋体" w:cs="宋体"/>
                <w:b/>
                <w:bCs/>
                <w:color w:val="000000"/>
                <w:szCs w:val="21"/>
                <w:highlight w:val="none"/>
                <w:lang w:eastAsia="en-US"/>
              </w:rPr>
              <w:t xml:space="preserve">管理</w:t>
            </w:r>
            <w:r>
              <w:rPr>
                <w:rFonts w:hint="eastAsia" w:ascii="宋体" w:hAnsi="宋体" w:cs="宋体"/>
                <w:b/>
                <w:bCs/>
                <w:color w:val="000000"/>
                <w:szCs w:val="21"/>
                <w:highlight w:val="none"/>
                <w:lang w:eastAsia="en-US"/>
              </w:rPr>
            </w:r>
            <w:r/>
          </w:p>
        </w:tc>
        <w:tc>
          <w:tcPr>
            <w:tcW w:w="970" w:type="dxa"/>
            <w:vAlign w:val="center"/>
            <w:textDirection w:val="lrTb"/>
            <w:noWrap/>
          </w:tcPr>
          <w:p>
            <w:pPr>
              <w:pStyle w:val="676"/>
              <w:jc w:val="center"/>
              <w:shd w:val="clear" w:color="auto" w:fill="auto"/>
              <w:widowControl/>
              <w:rPr>
                <w:rFonts w:eastAsia="Calibri" w:cs="Calibri"/>
                <w:b/>
                <w:bCs/>
                <w:color w:val="000000"/>
                <w:szCs w:val="21"/>
                <w:highlight w:val="none"/>
                <w:lang w:eastAsia="en-US"/>
              </w:rPr>
            </w:pPr>
            <w:r>
              <w:rPr>
                <w:rFonts w:hint="eastAsia" w:cs="Calibri"/>
                <w:b/>
                <w:bCs/>
                <w:color w:val="000000"/>
                <w:szCs w:val="21"/>
                <w:highlight w:val="none"/>
              </w:rPr>
              <w:t xml:space="preserve">项目经理</w:t>
            </w:r>
            <w:r>
              <w:rPr>
                <w:rFonts w:eastAsia="Calibri" w:cs="Calibri"/>
                <w:b/>
                <w:bCs/>
                <w:color w:val="000000"/>
                <w:szCs w:val="21"/>
                <w:highlight w:val="none"/>
                <w:lang w:eastAsia="en-US"/>
              </w:rPr>
            </w:r>
            <w:r/>
          </w:p>
        </w:tc>
        <w:tc>
          <w:tcPr>
            <w:tcW w:w="785" w:type="dxa"/>
            <w:vAlign w:val="center"/>
            <w:textDirection w:val="lrTb"/>
            <w:noWrap/>
          </w:tcPr>
          <w:p>
            <w:pPr>
              <w:pStyle w:val="676"/>
              <w:jc w:val="center"/>
              <w:shd w:val="clear" w:color="auto" w:fill="auto"/>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textDirection w:val="lrTb"/>
            <w:noWrap/>
          </w:tcPr>
          <w:p>
            <w:pPr>
              <w:pStyle w:val="676"/>
              <w:shd w:val="clear" w:color="auto" w:fill="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1、基本要求：男女不限，男性不超过65周岁，女性不超过55周岁</w:t>
            </w:r>
            <w:r>
              <w:rPr>
                <w:rFonts w:hint="eastAsia" w:ascii="宋体" w:hAnsi="宋体" w:cs="宋体"/>
                <w:color w:val="000000"/>
                <w:szCs w:val="21"/>
                <w:highlight w:val="none"/>
              </w:rPr>
              <w:t xml:space="preserve">。本项目的项目经理不能任意更换，如确需更换，应取得甲方书面认可，并且更换的新的物业经理的要求不低于原负责人。</w:t>
            </w:r>
            <w:r>
              <w:rPr>
                <w:rFonts w:hint="eastAsia" w:ascii="宋体" w:hAnsi="宋体" w:cs="宋体"/>
                <w:color w:val="000000"/>
                <w:szCs w:val="21"/>
                <w:highlight w:val="none"/>
              </w:rPr>
            </w:r>
            <w:r/>
          </w:p>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（1）主持物业管理人员的招聘、面试工作，具备相当的组织管理能力；</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（2）领导项目物业管理团队做好物业竣工前施工现场及租售处的物业管理，能够为物业管理人员提供日常培训；</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（3）定期与委托方代表展开前期物业工作会议；主持制订、完善物业管理规章制度及流程；</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（4）协助选择合适的物业保险及其他需要外包的物业管理服务供应商；协助物业管理费标准的确定；</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（5）领导项目物业管理团队做好装修改造、保安、清洁、工程设施维护保养等日常管理服务；</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（6）定期主持业主对物业服务之满意度调查，并能够根据反馈，在提供给业主的服务项目及质量上，不断提高；</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（7）具备良好的沟通协调能力，能够与委托方、第三方外包、业主保持良好的关系；</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（8）协助统筹物管的人事及财务管理，能够良好执行年度财务预算计划；</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（9）对外推广物业的优质服务和管理形象；能够不断完善物管制度及管理体系，并对物业管理人员提供定期培训。</w:t>
            </w:r>
            <w:r>
              <w:rPr>
                <w:rFonts w:hint="eastAsia" w:ascii="宋体" w:hAnsi="宋体" w:cs="宋体"/>
                <w:color w:val="000000"/>
                <w:szCs w:val="21"/>
                <w:highlight w:val="none"/>
              </w:rPr>
            </w:r>
            <w:r/>
          </w:p>
        </w:tc>
      </w:tr>
      <w:tr>
        <w:trPr>
          <w:trHeight w:val="1409"/>
        </w:trPr>
        <w:tc>
          <w:tcPr>
            <w:tcW w:w="870" w:type="dxa"/>
            <w:vAlign w:val="top"/>
            <w:vMerge w:val="continue"/>
            <w:textDirection w:val="lrTb"/>
            <w:noWrap/>
          </w:tcPr>
          <w:p>
            <w:pPr>
              <w:pStyle w:val="67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70" w:type="dxa"/>
            <w:vAlign w:val="center"/>
            <w:textDirection w:val="lrTb"/>
            <w:noWrap/>
          </w:tcPr>
          <w:p>
            <w:pPr>
              <w:pStyle w:val="676"/>
              <w:jc w:val="center"/>
              <w:shd w:val="clear" w:color="auto" w:fill="auto"/>
              <w:widowControl/>
              <w:rPr>
                <w:rFonts w:cs="Calibri"/>
                <w:b/>
                <w:bCs/>
                <w:color w:val="000000"/>
                <w:szCs w:val="21"/>
                <w:highlight w:val="none"/>
              </w:rPr>
            </w:pPr>
            <w:r>
              <w:rPr>
                <w:rFonts w:hint="eastAsia" w:cs="Calibri"/>
                <w:b/>
                <w:bCs/>
                <w:color w:val="000000"/>
                <w:szCs w:val="21"/>
                <w:highlight w:val="none"/>
              </w:rPr>
              <w:t xml:space="preserve">接待员</w:t>
            </w:r>
            <w:r>
              <w:rPr>
                <w:rFonts w:cs="Calibri"/>
                <w:b/>
                <w:bCs/>
                <w:color w:val="000000"/>
                <w:szCs w:val="21"/>
                <w:highlight w:val="none"/>
              </w:rPr>
            </w:r>
            <w:r/>
          </w:p>
        </w:tc>
        <w:tc>
          <w:tcPr>
            <w:tcW w:w="785" w:type="dxa"/>
            <w:vAlign w:val="center"/>
            <w:textDirection w:val="lrTb"/>
            <w:noWrap/>
          </w:tcPr>
          <w:p>
            <w:pPr>
              <w:pStyle w:val="676"/>
              <w:jc w:val="center"/>
              <w:shd w:val="clear" w:color="auto" w:fill="auto"/>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textDirection w:val="lrTb"/>
            <w:noWrap/>
          </w:tcPr>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w:t>
            </w:r>
            <w:r>
              <w:rPr>
                <w:rFonts w:hint="eastAsia" w:ascii="宋体" w:hAnsi="宋体" w:cs="宋体"/>
                <w:b/>
                <w:bCs/>
                <w:color w:val="000000"/>
                <w:szCs w:val="21"/>
                <w:highlight w:val="none"/>
              </w:rPr>
              <w:t xml:space="preserve">男女不限，男性不超过65周岁，女性不超过55周岁</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2、岗位职责与要求：</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（1）负责来访客户、人员引导接待，礼貌问好、登记信息、引导至会客室及相关办公室，端茶倒水。</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（2）坚守前台岗位，保持大厅整洁美观，维护办公大厅秩序，做好日常形象迎宾。</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（3）负责办公座机接听、转接，做好来电记录，及时传达相关信息。</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（4）收发登记快递、信件、报刊、文件，分类整理并及时通知各部门领取。</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（5）做好外来人员、施工人员、访客出入登记，配合做好员工考勤辅助工作。</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（6）负责前台及大厅卫生巡检，绿植养护，及时上报设施损坏问题。</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（7）协助会议室布置、会前准备、会后清理，配合日常会务接待工作。</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（8）管理前台办公用品、饮用水、接待用品，及时申领补充。</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（9）严格遵守办公楼管理制度，做好门禁管理、夜间巡查协助，做好安全防范。</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（10）完成领导交办的各类临时性后勤、协助工作。</w:t>
            </w:r>
            <w:r>
              <w:rPr>
                <w:rFonts w:hint="eastAsia" w:ascii="宋体" w:hAnsi="宋体" w:cs="宋体"/>
                <w:color w:val="000000"/>
                <w:szCs w:val="21"/>
                <w:highlight w:val="none"/>
              </w:rPr>
            </w:r>
            <w:r/>
          </w:p>
        </w:tc>
      </w:tr>
      <w:tr>
        <w:trPr>
          <w:trHeight w:val="1522"/>
        </w:trPr>
        <w:tc>
          <w:tcPr>
            <w:tcW w:w="870" w:type="dxa"/>
            <w:vAlign w:val="center"/>
            <w:vMerge w:val="restart"/>
            <w:textDirection w:val="lrTb"/>
            <w:noWrap/>
          </w:tcPr>
          <w:p>
            <w:pPr>
              <w:pStyle w:val="67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秩序维护</w:t>
            </w:r>
            <w:r>
              <w:rPr>
                <w:rFonts w:hint="eastAsia" w:ascii="宋体" w:hAnsi="宋体" w:cs="宋体"/>
                <w:b/>
                <w:bCs/>
                <w:color w:val="000000"/>
                <w:szCs w:val="21"/>
                <w:highlight w:val="none"/>
              </w:rPr>
            </w:r>
            <w:r/>
          </w:p>
        </w:tc>
        <w:tc>
          <w:tcPr>
            <w:tcW w:w="970" w:type="dxa"/>
            <w:vAlign w:val="center"/>
            <w:textDirection w:val="lrTb"/>
            <w:noWrap/>
          </w:tcPr>
          <w:p>
            <w:pPr>
              <w:pStyle w:val="67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保安队长</w:t>
            </w:r>
            <w:r>
              <w:rPr>
                <w:rFonts w:hint="eastAsia" w:ascii="宋体" w:hAnsi="宋体" w:cs="宋体"/>
                <w:b/>
                <w:bCs/>
                <w:color w:val="000000"/>
                <w:szCs w:val="21"/>
                <w:highlight w:val="none"/>
              </w:rPr>
            </w:r>
            <w:r/>
          </w:p>
        </w:tc>
        <w:tc>
          <w:tcPr>
            <w:tcW w:w="785" w:type="dxa"/>
            <w:vAlign w:val="center"/>
            <w:textDirection w:val="lrTb"/>
            <w:noWrap/>
          </w:tcPr>
          <w:p>
            <w:pPr>
              <w:pStyle w:val="676"/>
              <w:jc w:val="center"/>
              <w:shd w:val="clear" w:color="auto" w:fill="auto"/>
              <w:rPr>
                <w:rFonts w:ascii="Arial" w:hAnsi="Arial" w:cs="Calibri"/>
                <w:b/>
                <w:bCs/>
                <w:color w:val="000000"/>
                <w:szCs w:val="21"/>
                <w:highlight w:val="none"/>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rPr>
            </w:r>
            <w:r/>
          </w:p>
        </w:tc>
        <w:tc>
          <w:tcPr>
            <w:tcW w:w="6809" w:type="dxa"/>
            <w:vAlign w:val="center"/>
            <w:vMerge w:val="restart"/>
            <w:textDirection w:val="lrTb"/>
            <w:noWrap/>
          </w:tcPr>
          <w:p>
            <w:pPr>
              <w:pStyle w:val="676"/>
              <w:numPr>
                <w:ilvl w:val="0"/>
                <w:numId w:val="6"/>
              </w:numPr>
              <w:shd w:val="clear" w:color="auto" w:fill="auto"/>
              <w:widowControl/>
              <w:rPr>
                <w:color w:val="000000"/>
                <w:highlight w:val="none"/>
              </w:rPr>
            </w:pPr>
            <w:r>
              <w:rPr>
                <w:rFonts w:hint="eastAsia" w:ascii="宋体" w:hAnsi="宋体" w:cs="宋体"/>
                <w:b/>
                <w:bCs/>
                <w:color w:val="000000"/>
                <w:szCs w:val="21"/>
                <w:highlight w:val="none"/>
              </w:rPr>
              <w:t xml:space="preserve">基本要求：保安队长：男女不限，男性不超过65周岁，女性不超过55周岁；</w:t>
            </w:r>
            <w:r>
              <w:rPr>
                <w:color w:val="000000"/>
                <w:highlight w:val="none"/>
              </w:rPr>
            </w:r>
            <w:r/>
          </w:p>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保安员（巡逻岗、门卫执勤）：男女不限，男性不超过65周岁，女性不超过55周岁。</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（1）负责治安防范、安全保卫和消防管理工作；</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（2）负责把守大门，礼貌接待问询。主动热情为业主提供便利服务，诸如提携物品、备好打气筒、代招出租车等；</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（3）严格核对外来人员务工者，遇访客登记或征得业主的同意后方能进入；大宗物品搬运出，须办理物品出门手续，经业主认可方能放行；</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（5）定期测试消防设施，参加消防演练；遇突发事件，须按规定的程序，负责执行本职范围内的工作；</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（6）熟悉办公楼运行情况，与业主建立友好关系，及时反馈业主的意见和要求；</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（7）对改进管理处工作提出建议；监督检查二次装修有无违规行为，施工人员是否有证；</w:t>
            </w:r>
            <w:r>
              <w:rPr>
                <w:rFonts w:hint="eastAsia" w:ascii="宋体" w:hAnsi="宋体" w:cs="宋体"/>
                <w:color w:val="000000"/>
                <w:szCs w:val="21"/>
                <w:highlight w:val="none"/>
              </w:rPr>
            </w:r>
            <w:r/>
          </w:p>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3、岗位要求：</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（1）门岗保安岗位要求：</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①自身条件：性别：男/女，视力良好、外表端正，初中以上文化，普通话良好，沟通良好；</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②主动热情帮助办公楼内做好协助工作：比如小件物品的搬运工作等；</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③熟悉办公楼的日常工作方式；</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④按标准着装、仪表整洁端正；</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⑤上下班、开门敬礼，用文明礼貌语言。大门开关准确及时、灵活操作。</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（2）巡逻保安岗位要求：</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①按标准着装、仪表整洁端正；</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②具备独立公共秩序维护工作能力，能掌握发生事件，事故等应急预案的基本要求和处理方法；</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rPr>
                <w:rFonts w:hint="eastAsia" w:ascii="宋体" w:hAnsi="宋体" w:cs="宋体"/>
                <w:color w:val="000000"/>
                <w:szCs w:val="21"/>
                <w:highlight w:val="none"/>
              </w:rPr>
            </w:r>
            <w:r/>
          </w:p>
        </w:tc>
      </w:tr>
      <w:tr>
        <w:trPr/>
        <w:tc>
          <w:tcPr>
            <w:tcW w:w="870" w:type="dxa"/>
            <w:vAlign w:val="center"/>
            <w:vMerge w:val="continue"/>
            <w:textDirection w:val="lrTb"/>
            <w:noWrap/>
          </w:tcPr>
          <w:p>
            <w:pPr>
              <w:pStyle w:val="67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970" w:type="dxa"/>
            <w:vAlign w:val="center"/>
            <w:textDirection w:val="lrTb"/>
            <w:noWrap/>
          </w:tcPr>
          <w:p>
            <w:pPr>
              <w:pStyle w:val="67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保安员（巡逻岗、门卫执勤）</w:t>
            </w:r>
            <w:r>
              <w:rPr>
                <w:rFonts w:hint="eastAsia" w:ascii="宋体" w:hAnsi="宋体" w:cs="宋体"/>
                <w:b/>
                <w:bCs/>
                <w:color w:val="000000"/>
                <w:szCs w:val="21"/>
                <w:highlight w:val="none"/>
              </w:rPr>
            </w:r>
            <w:r/>
          </w:p>
        </w:tc>
        <w:tc>
          <w:tcPr>
            <w:tcW w:w="785" w:type="dxa"/>
            <w:vAlign w:val="center"/>
            <w:textDirection w:val="lrTb"/>
            <w:noWrap/>
          </w:tcPr>
          <w:p>
            <w:pPr>
              <w:pStyle w:val="676"/>
              <w:jc w:val="center"/>
              <w:shd w:val="clear" w:color="auto" w:fill="auto"/>
              <w:rPr>
                <w:rFonts w:ascii="Arial" w:hAnsi="Arial" w:cs="Calibri"/>
                <w:b/>
                <w:bCs/>
                <w:color w:val="000000"/>
                <w:szCs w:val="21"/>
                <w:highlight w:val="none"/>
              </w:rPr>
            </w:pPr>
            <w:r>
              <w:rPr>
                <w:rFonts w:hint="eastAsia" w:ascii="Arial" w:hAnsi="Arial" w:cs="Calibri"/>
                <w:b/>
                <w:bCs/>
                <w:color w:val="000000"/>
                <w:szCs w:val="21"/>
                <w:highlight w:val="none"/>
              </w:rPr>
              <w:t xml:space="preserve">不少于9人</w:t>
            </w:r>
            <w:r>
              <w:rPr>
                <w:rFonts w:ascii="Arial" w:hAnsi="Arial" w:cs="Calibri"/>
                <w:b/>
                <w:bCs/>
                <w:color w:val="000000"/>
                <w:szCs w:val="21"/>
                <w:highlight w:val="none"/>
              </w:rPr>
            </w:r>
            <w:r/>
          </w:p>
        </w:tc>
        <w:tc>
          <w:tcPr>
            <w:tcW w:w="6809" w:type="dxa"/>
            <w:vAlign w:val="center"/>
            <w:vMerge w:val="continue"/>
            <w:textDirection w:val="lrTb"/>
            <w:noWrap/>
          </w:tcPr>
          <w:p>
            <w:pPr>
              <w:pStyle w:val="676"/>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r>
        <w:trPr>
          <w:trHeight w:val="4056"/>
        </w:trPr>
        <w:tc>
          <w:tcPr>
            <w:tcW w:w="870" w:type="dxa"/>
            <w:vAlign w:val="center"/>
            <w:textDirection w:val="lrTb"/>
            <w:noWrap/>
          </w:tcPr>
          <w:p>
            <w:pPr>
              <w:pStyle w:val="67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保洁服务</w:t>
            </w:r>
            <w:r>
              <w:rPr>
                <w:rFonts w:hint="eastAsia" w:ascii="宋体" w:hAnsi="宋体" w:cs="宋体"/>
                <w:b/>
                <w:bCs/>
                <w:color w:val="000000"/>
                <w:szCs w:val="21"/>
                <w:highlight w:val="none"/>
              </w:rPr>
            </w:r>
            <w:r/>
          </w:p>
        </w:tc>
        <w:tc>
          <w:tcPr>
            <w:tcW w:w="970" w:type="dxa"/>
            <w:vAlign w:val="center"/>
            <w:textDirection w:val="lrTb"/>
            <w:noWrap/>
          </w:tcPr>
          <w:p>
            <w:pPr>
              <w:pStyle w:val="676"/>
              <w:jc w:val="center"/>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保洁员（含外场保洁）</w:t>
            </w:r>
            <w:r>
              <w:rPr>
                <w:rFonts w:hint="eastAsia" w:ascii="宋体" w:hAnsi="宋体" w:cs="宋体"/>
                <w:b/>
                <w:bCs/>
                <w:color w:val="000000"/>
                <w:szCs w:val="21"/>
                <w:highlight w:val="none"/>
              </w:rPr>
            </w:r>
            <w:r/>
          </w:p>
        </w:tc>
        <w:tc>
          <w:tcPr>
            <w:tcW w:w="785" w:type="dxa"/>
            <w:vAlign w:val="center"/>
            <w:textDirection w:val="lrTb"/>
            <w:noWrap/>
          </w:tcPr>
          <w:p>
            <w:pPr>
              <w:pStyle w:val="676"/>
              <w:jc w:val="center"/>
              <w:shd w:val="clear" w:color="auto" w:fill="auto"/>
              <w:rPr>
                <w:rFonts w:ascii="Arial" w:hAnsi="Arial" w:cs="Calibri"/>
                <w:b/>
                <w:bCs/>
                <w:color w:val="000000"/>
                <w:szCs w:val="21"/>
                <w:highlight w:val="none"/>
              </w:rPr>
            </w:pPr>
            <w:r>
              <w:rPr>
                <w:rFonts w:hint="eastAsia" w:ascii="Arial" w:hAnsi="Arial" w:cs="Calibri"/>
                <w:b/>
                <w:bCs/>
                <w:color w:val="000000"/>
                <w:szCs w:val="21"/>
                <w:highlight w:val="none"/>
              </w:rPr>
              <w:t xml:space="preserve">不少于6人</w:t>
            </w:r>
            <w:r>
              <w:rPr>
                <w:rFonts w:ascii="Arial" w:hAnsi="Arial" w:cs="Calibri"/>
                <w:b/>
                <w:bCs/>
                <w:color w:val="000000"/>
                <w:szCs w:val="21"/>
                <w:highlight w:val="none"/>
              </w:rPr>
            </w:r>
            <w:r/>
          </w:p>
        </w:tc>
        <w:tc>
          <w:tcPr>
            <w:tcW w:w="6809" w:type="dxa"/>
            <w:vAlign w:val="center"/>
            <w:textDirection w:val="lrTb"/>
            <w:noWrap/>
          </w:tcPr>
          <w:p>
            <w:pPr>
              <w:pStyle w:val="676"/>
              <w:numPr>
                <w:ilvl w:val="0"/>
                <w:numId w:val="7"/>
              </w:numP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基本要求：男女不限，男性不超过65周岁，女性不超过55周岁。</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ascii="宋体" w:hAnsi="宋体" w:cs="宋体"/>
                <w:color w:val="000000"/>
                <w:szCs w:val="21"/>
                <w:highlight w:val="none"/>
              </w:rPr>
            </w:r>
            <w:r/>
          </w:p>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3、岗位要求：</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（1）着装仪表：上岗时按规定的方式和位置佩戴工作牌，制服穿着统一整齐，工作鞋要洗刷干净；</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（2）保洁工作时间安排，尽量做到不影响办公楼内部工作；</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（3）重点区域重点对待。</w:t>
            </w:r>
            <w:r>
              <w:rPr>
                <w:rFonts w:hint="eastAsia" w:ascii="宋体" w:hAnsi="宋体" w:cs="宋体"/>
                <w:color w:val="000000"/>
                <w:szCs w:val="21"/>
                <w:highlight w:val="none"/>
              </w:rPr>
            </w:r>
            <w:r/>
          </w:p>
        </w:tc>
      </w:tr>
      <w:tr>
        <w:trPr/>
        <w:tc>
          <w:tcPr>
            <w:tcW w:w="870" w:type="dxa"/>
            <w:vAlign w:val="center"/>
            <w:textDirection w:val="lrTb"/>
            <w:noWrap/>
          </w:tcPr>
          <w:p>
            <w:pPr>
              <w:pStyle w:val="676"/>
              <w:jc w:val="center"/>
              <w:shd w:val="clear" w:color="auto" w:fill="auto"/>
              <w:widowControl/>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t xml:space="preserve">工程（水电）维修服务</w:t>
            </w:r>
            <w:r>
              <w:rPr>
                <w:rFonts w:hint="eastAsia" w:ascii="宋体" w:hAnsi="宋体" w:cs="宋体"/>
                <w:b/>
                <w:bCs/>
                <w:color w:val="000000"/>
                <w:spacing w:val="-1"/>
                <w:szCs w:val="21"/>
                <w:highlight w:val="none"/>
              </w:rPr>
            </w:r>
            <w:r/>
          </w:p>
        </w:tc>
        <w:tc>
          <w:tcPr>
            <w:tcW w:w="970" w:type="dxa"/>
            <w:vAlign w:val="center"/>
            <w:textDirection w:val="lrTb"/>
            <w:noWrap/>
          </w:tcPr>
          <w:p>
            <w:pPr>
              <w:pStyle w:val="676"/>
              <w:jc w:val="center"/>
              <w:shd w:val="clear" w:color="auto" w:fill="auto"/>
              <w:widowControl/>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工程维护人员</w:t>
            </w:r>
            <w:r>
              <w:rPr>
                <w:rFonts w:hint="eastAsia" w:ascii="宋体" w:hAnsi="宋体" w:cs="宋体"/>
                <w:b/>
                <w:bCs/>
                <w:color w:val="000000"/>
                <w:spacing w:val="-2"/>
                <w:szCs w:val="21"/>
                <w:highlight w:val="none"/>
              </w:rPr>
            </w:r>
            <w:r/>
          </w:p>
        </w:tc>
        <w:tc>
          <w:tcPr>
            <w:tcW w:w="785" w:type="dxa"/>
            <w:vAlign w:val="center"/>
            <w:textDirection w:val="lrTb"/>
            <w:noWrap/>
          </w:tcPr>
          <w:p>
            <w:pPr>
              <w:pStyle w:val="676"/>
              <w:jc w:val="center"/>
              <w:shd w:val="clear" w:color="auto" w:fill="auto"/>
              <w:rPr>
                <w:rFonts w:ascii="Arial" w:hAnsi="Arial" w:cs="Calibri"/>
                <w:b/>
                <w:bCs/>
                <w:color w:val="000000"/>
                <w:szCs w:val="21"/>
                <w:highlight w:val="none"/>
              </w:rPr>
            </w:pPr>
            <w:r>
              <w:rPr>
                <w:rFonts w:hint="eastAsia" w:ascii="Arial" w:hAnsi="Arial" w:cs="Calibri"/>
                <w:b/>
                <w:bCs/>
                <w:color w:val="000000"/>
                <w:szCs w:val="21"/>
                <w:highlight w:val="none"/>
              </w:rPr>
              <w:t xml:space="preserve">不少于1人</w:t>
            </w:r>
            <w:r>
              <w:rPr>
                <w:rFonts w:ascii="Arial" w:hAnsi="Arial" w:cs="Calibri"/>
                <w:b/>
                <w:bCs/>
                <w:color w:val="000000"/>
                <w:szCs w:val="21"/>
                <w:highlight w:val="none"/>
              </w:rPr>
            </w:r>
            <w:r/>
          </w:p>
        </w:tc>
        <w:tc>
          <w:tcPr>
            <w:tcW w:w="6809" w:type="dxa"/>
            <w:vAlign w:val="center"/>
            <w:textDirection w:val="lrTb"/>
            <w:noWrap/>
          </w:tcPr>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1、基本要求：男女不限，男性不超过65周岁，女性不超过55周岁；</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（1）负责对设施及设备的接收工作，熟悉各项设备、设施。</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（2）负责工程部人员的选配和管理；负责工程部员工的专业技术培训工作，提高工程部人员的职业道德，专业技能和服务意识；负责工程部人员的年度考评工作；</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（3）负责监督公用设施、设备的正常运行工作，并负责计划的审定；负责监督公用设施设备的保养、维修安全检查的计划的审定；</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（4）完善工程部的各项规章制度，并报上级批准实施；负责制定工程部的低值易耗品、物料、固定资产的每月采购计划，并报管理处审批，协同采购；</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（5）组织并参与设备的大检修，负责制定设备大检修计划并监督实施；每月召开工程部例会，布置、协调工程部内部各项事务；</w:t>
            </w:r>
            <w:r>
              <w:rPr>
                <w:rFonts w:hint="eastAsia" w:ascii="宋体" w:hAnsi="宋体" w:cs="宋体"/>
                <w:color w:val="000000"/>
                <w:szCs w:val="21"/>
                <w:highlight w:val="none"/>
              </w:rPr>
            </w:r>
            <w:r/>
          </w:p>
          <w:p>
            <w:pPr>
              <w:pStyle w:val="67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（6）负责外包服务合同的接洽，并报管理处审批；负责物业使用人对工程部工作的投诉处理，回访；负责工程部不合格服务的处理、纠正和预防措施的实施，跟踪检查等。</w:t>
            </w:r>
            <w:r>
              <w:rPr>
                <w:rFonts w:hint="eastAsia" w:ascii="宋体" w:hAnsi="宋体" w:cs="宋体"/>
                <w:color w:val="000000"/>
                <w:szCs w:val="21"/>
                <w:highlight w:val="none"/>
              </w:rPr>
            </w:r>
            <w:r/>
          </w:p>
        </w:tc>
      </w:tr>
      <w:tr>
        <w:trPr>
          <w:trHeight w:val="527"/>
        </w:trPr>
        <w:tc>
          <w:tcPr>
            <w:gridSpan w:val="2"/>
            <w:tcW w:w="1840" w:type="dxa"/>
            <w:vAlign w:val="center"/>
            <w:textDirection w:val="lrTb"/>
            <w:noWrap/>
          </w:tcPr>
          <w:p>
            <w:pPr>
              <w:pStyle w:val="676"/>
              <w:jc w:val="center"/>
              <w:shd w:val="clear" w:color="auto" w:fill="auto"/>
              <w:widowControl/>
              <w:rPr>
                <w:rFonts w:hint="eastAsia" w:ascii="宋体" w:hAnsi="宋体" w:cs="宋体"/>
                <w:b/>
                <w:color w:val="000000"/>
                <w:spacing w:val="-2"/>
                <w:szCs w:val="21"/>
                <w:highlight w:val="none"/>
              </w:rPr>
            </w:pPr>
            <w:r>
              <w:rPr>
                <w:rFonts w:hint="eastAsia" w:ascii="宋体" w:hAnsi="宋体" w:cs="宋体"/>
                <w:b/>
                <w:color w:val="000000"/>
                <w:spacing w:val="-2"/>
                <w:szCs w:val="21"/>
                <w:highlight w:val="none"/>
              </w:rPr>
              <w:t xml:space="preserve">人员总数</w:t>
            </w:r>
            <w:r>
              <w:rPr>
                <w:rFonts w:hint="eastAsia" w:ascii="宋体" w:hAnsi="宋体" w:cs="宋体"/>
                <w:b/>
                <w:color w:val="000000"/>
                <w:spacing w:val="-2"/>
                <w:szCs w:val="21"/>
                <w:highlight w:val="none"/>
              </w:rPr>
            </w:r>
            <w:r/>
          </w:p>
        </w:tc>
        <w:tc>
          <w:tcPr>
            <w:tcW w:w="785" w:type="dxa"/>
            <w:vAlign w:val="center"/>
            <w:textDirection w:val="lrTb"/>
            <w:noWrap/>
          </w:tcPr>
          <w:p>
            <w:pPr>
              <w:pStyle w:val="676"/>
              <w:jc w:val="center"/>
              <w:shd w:val="clear" w:color="auto" w:fill="auto"/>
              <w:rPr>
                <w:rFonts w:ascii="Arial" w:hAnsi="Arial" w:cs="Calibri"/>
                <w:b/>
                <w:color w:val="000000"/>
                <w:szCs w:val="21"/>
                <w:highlight w:val="none"/>
              </w:rPr>
            </w:pPr>
            <w:r>
              <w:rPr>
                <w:rFonts w:hint="eastAsia" w:ascii="Arial" w:hAnsi="Arial" w:cs="Calibri"/>
                <w:b/>
                <w:color w:val="000000"/>
                <w:szCs w:val="21"/>
                <w:highlight w:val="none"/>
              </w:rPr>
              <w:t xml:space="preserve">不少于19人</w:t>
            </w:r>
            <w:r>
              <w:rPr>
                <w:rFonts w:ascii="Arial" w:hAnsi="Arial" w:cs="Calibri"/>
                <w:b/>
                <w:color w:val="000000"/>
                <w:szCs w:val="21"/>
                <w:highlight w:val="none"/>
              </w:rPr>
            </w:r>
            <w:r/>
          </w:p>
        </w:tc>
        <w:tc>
          <w:tcPr>
            <w:tcW w:w="6809" w:type="dxa"/>
            <w:vAlign w:val="center"/>
            <w:textDirection w:val="lrTb"/>
            <w:noWrap/>
          </w:tcPr>
          <w:p>
            <w:pPr>
              <w:pStyle w:val="676"/>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bl>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676"/>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color w:val="000000"/>
          <w:sz w:val="24"/>
          <w:highlight w:val="none"/>
        </w:rPr>
      </w:r>
      <w:r/>
    </w:p>
    <w:p>
      <w:pPr>
        <w:pStyle w:val="676"/>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6.验收标准与要求</w:t>
      </w:r>
      <w:r>
        <w:rPr>
          <w:rFonts w:hint="eastAsia" w:ascii="宋体" w:hAnsi="宋体"/>
          <w:b/>
          <w:color w:val="000000"/>
          <w:sz w:val="24"/>
          <w:highlight w:val="none"/>
        </w:rPr>
      </w:r>
      <w:r/>
    </w:p>
    <w:p>
      <w:pPr>
        <w:pStyle w:val="676"/>
        <w:ind w:firstLine="480"/>
        <w:spacing w:line="360" w:lineRule="auto"/>
        <w:shd w:val="clear" w:color="auto" w:fill="auto"/>
        <w:rPr>
          <w:rFonts w:hint="eastAsia" w:ascii="宋体" w:hAnsi="宋体"/>
          <w:bCs/>
          <w:color w:val="000000"/>
          <w:sz w:val="24"/>
          <w:highlight w:val="none"/>
        </w:rPr>
      </w:pPr>
      <w:r>
        <w:rPr>
          <w:rFonts w:ascii="宋体" w:hAnsi="宋体"/>
          <w:bCs/>
          <w:color w:val="000000"/>
          <w:sz w:val="24"/>
          <w:highlight w:val="none"/>
        </w:rPr>
        <w:t xml:space="preserve">按照采购合同约定对供应商提供的物业管理服务进行验收，对于供应商未按合同约定提供物业管理服务的，采购人有权依法追究其违约责任。</w:t>
      </w:r>
      <w:r>
        <w:rPr>
          <w:rFonts w:hint="eastAsia" w:ascii="宋体" w:hAnsi="宋体"/>
          <w:bCs/>
          <w:color w:val="000000"/>
          <w:sz w:val="24"/>
          <w:highlight w:val="none"/>
        </w:rPr>
      </w:r>
      <w:r/>
    </w:p>
    <w:p>
      <w:pPr>
        <w:pStyle w:val="676"/>
        <w:ind w:firstLine="480"/>
        <w:spacing w:line="360" w:lineRule="auto"/>
        <w:shd w:val="clear" w:color="auto" w:fill="auto"/>
        <w:rPr>
          <w:rFonts w:hint="eastAsia" w:ascii="宋体" w:hAnsi="宋体"/>
          <w:bCs/>
          <w:color w:val="000000"/>
          <w:sz w:val="24"/>
          <w:highlight w:val="none"/>
        </w:rPr>
      </w:pPr>
      <w:r>
        <w:rPr>
          <w:rFonts w:ascii="宋体" w:hAnsi="宋体"/>
          <w:bCs/>
          <w:color w:val="000000"/>
          <w:sz w:val="24"/>
          <w:highlight w:val="none"/>
        </w:rPr>
        <w:t xml:space="preserve">具体要求：</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  根据考核要求进行考核 </w:t>
      </w:r>
      <w:r>
        <w:rPr>
          <w:rFonts w:ascii="宋体" w:hAnsi="宋体"/>
          <w:bCs/>
          <w:color w:val="000000"/>
          <w:sz w:val="24"/>
          <w:highlight w:val="none"/>
          <w:u w:val="single"/>
        </w:rPr>
        <w:t xml:space="preserve">  </w:t>
      </w:r>
      <w:r>
        <w:rPr>
          <w:rFonts w:ascii="宋体" w:hAnsi="宋体"/>
          <w:bCs/>
          <w:color w:val="000000"/>
          <w:sz w:val="24"/>
          <w:highlight w:val="none"/>
        </w:rPr>
        <w:t xml:space="preserve">（如验收标准、验收主体、时间、方式、程序、内容等）</w:t>
      </w:r>
      <w:r>
        <w:rPr>
          <w:rFonts w:hint="eastAsia" w:ascii="宋体" w:hAnsi="宋体"/>
          <w:bCs/>
          <w:color w:val="000000"/>
          <w:sz w:val="24"/>
          <w:highlight w:val="none"/>
        </w:rPr>
      </w:r>
      <w:r/>
    </w:p>
    <w:p>
      <w:pPr>
        <w:pStyle w:val="676"/>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r>
      <w:r/>
    </w:p>
    <w:p>
      <w:pPr>
        <w:pStyle w:val="67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7.其他要求:</w:t>
      </w:r>
      <w:r>
        <w:rPr>
          <w:rFonts w:hint="eastAsia" w:ascii="宋体" w:hAnsi="宋体" w:cs="宋体"/>
          <w:b/>
          <w:color w:val="000000"/>
          <w:sz w:val="24"/>
          <w:highlight w:val="none"/>
        </w:rPr>
      </w:r>
      <w:r/>
    </w:p>
    <w:p>
      <w:pPr>
        <w:pStyle w:val="67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7.1以下相关费用由供应商承担：</w:t>
      </w:r>
      <w:r>
        <w:rPr>
          <w:rFonts w:hint="eastAsia" w:ascii="宋体" w:hAnsi="宋体" w:cs="宋体"/>
          <w:color w:val="000000"/>
          <w:sz w:val="24"/>
          <w:highlight w:val="none"/>
        </w:rPr>
      </w:r>
      <w:r/>
    </w:p>
    <w:p>
      <w:pPr>
        <w:pStyle w:val="676"/>
        <w:ind w:firstLine="480"/>
        <w:spacing w:line="360" w:lineRule="auto"/>
        <w:shd w:val="clear" w:color="auto" w:fill="auto"/>
        <w:rPr>
          <w:rFonts w:hint="eastAsia" w:ascii="宋体" w:hAnsi="宋体"/>
          <w:color w:val="000000"/>
          <w:sz w:val="24"/>
          <w:szCs w:val="21"/>
          <w:highlight w:val="none"/>
        </w:rPr>
      </w:pPr>
      <w:r>
        <w:rPr>
          <w:rFonts w:hint="eastAsia" w:ascii="宋体" w:hAnsi="宋体"/>
          <w:color w:val="000000"/>
          <w:sz w:val="24"/>
          <w:szCs w:val="21"/>
          <w:highlight w:val="none"/>
        </w:rPr>
        <w:t xml:space="preserve">本项目涉及的零星维修材料、低值易耗品、客耗品等费用，是采购人承担，服务人员相关费用服务费用包含在物业服务项目合同金额之内。</w:t>
      </w:r>
      <w:r>
        <w:rPr>
          <w:rFonts w:hint="eastAsia" w:ascii="宋体" w:hAnsi="宋体"/>
          <w:color w:val="000000"/>
          <w:sz w:val="24"/>
          <w:szCs w:val="21"/>
          <w:highlight w:val="none"/>
        </w:rPr>
      </w:r>
      <w:r/>
    </w:p>
    <w:p>
      <w:pPr>
        <w:pStyle w:val="676"/>
        <w:ind w:firstLine="44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例：低值易耗品费用</w:t>
      </w:r>
      <w:r>
        <w:rPr>
          <w:rFonts w:hint="eastAsia" w:ascii="宋体" w:hAnsi="宋体" w:cs="宋体"/>
          <w:color w:val="000000"/>
          <w:sz w:val="24"/>
          <w:highlight w:val="none"/>
        </w:rPr>
      </w:r>
      <w:r/>
    </w:p>
    <w:p>
      <w:pPr>
        <w:pStyle w:val="67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涉及以下情形的，相关费用包含在物业管理服务采购合同金额之内，由供应商承担：__</w:t>
      </w:r>
      <w:r>
        <w:rPr>
          <w:rFonts w:hint="eastAsia" w:ascii="宋体" w:hAnsi="宋体" w:cs="宋体"/>
          <w:color w:val="000000"/>
          <w:sz w:val="24"/>
          <w:highlight w:val="none"/>
          <w:u w:val="single"/>
        </w:rPr>
        <w:t xml:space="preserve">保洁服装及工作腰包等</w:t>
      </w:r>
      <w:r>
        <w:rPr>
          <w:rFonts w:hint="eastAsia" w:ascii="宋体" w:hAnsi="宋体" w:cs="宋体"/>
          <w:color w:val="000000"/>
          <w:sz w:val="24"/>
          <w:highlight w:val="none"/>
        </w:rPr>
        <w:t xml:space="preserve">（明确涉及的环境维护等服务中需要的低值易耗品以及关于费用方面的规定）。</w:t>
      </w:r>
      <w:r>
        <w:rPr>
          <w:rFonts w:hint="eastAsia" w:ascii="宋体" w:hAnsi="宋体" w:cs="宋体"/>
          <w:color w:val="000000"/>
          <w:sz w:val="24"/>
          <w:highlight w:val="none"/>
        </w:rPr>
      </w:r>
      <w:r/>
    </w:p>
    <w:p>
      <w:pPr>
        <w:pStyle w:val="676"/>
        <w:spacing w:line="360" w:lineRule="auto"/>
        <w:shd w:val="clear" w:color="auto" w:fill="auto"/>
        <w:rPr>
          <w:rFonts w:hint="eastAsia" w:ascii="宋体" w:hAnsi="宋体"/>
          <w:color w:val="000000"/>
          <w:sz w:val="24"/>
          <w:szCs w:val="21"/>
          <w:highlight w:val="none"/>
        </w:rPr>
      </w:pPr>
      <w:r>
        <w:rPr>
          <w:rFonts w:hint="eastAsia" w:ascii="宋体" w:hAnsi="宋体" w:cs="宋体"/>
          <w:color w:val="000000"/>
          <w:sz w:val="24"/>
          <w:highlight w:val="none"/>
        </w:rPr>
        <w:t xml:space="preserve"> </w:t>
      </w:r>
      <w:r>
        <w:rPr>
          <w:rFonts w:hint="eastAsia" w:ascii="宋体" w:hAnsi="宋体"/>
          <w:color w:val="000000"/>
          <w:sz w:val="24"/>
          <w:szCs w:val="21"/>
          <w:highlight w:val="none"/>
        </w:rPr>
        <w:t xml:space="preserve">物业费用有关说明：投标报价除应包括物业管理服务人员的工资（员工工资不得低于规定的无锡市最低工资标准，</w:t>
      </w:r>
      <w:r>
        <w:rPr>
          <w:rFonts w:hint="eastAsia" w:ascii="宋体" w:hAnsi="宋体"/>
          <w:color w:val="000000"/>
          <w:sz w:val="24"/>
          <w:highlight w:val="none"/>
        </w:rPr>
        <w:t xml:space="preserve">本项目如有允许配置按国家规定可不缴纳社保的人员除外，</w:t>
      </w:r>
      <w:r>
        <w:rPr>
          <w:rFonts w:hint="eastAsia" w:ascii="宋体" w:hAnsi="宋体"/>
          <w:color w:val="000000"/>
          <w:sz w:val="24"/>
          <w:szCs w:val="21"/>
          <w:highlight w:val="none"/>
        </w:rPr>
        <w:t xml:space="preserve">其他满足缴纳社保条件的人员必须缴纳养老、医疗、失业、生育、工伤等在内的社会保险）、员工福利费、</w:t>
      </w:r>
      <w:r>
        <w:rPr>
          <w:rFonts w:hint="eastAsia" w:ascii="宋体" w:hAnsi="宋体" w:cs="宋体"/>
          <w:color w:val="000000"/>
          <w:sz w:val="24"/>
          <w:szCs w:val="21"/>
          <w:highlight w:val="none"/>
        </w:rPr>
        <w:t xml:space="preserve">加班费、各类工具耗材、服装、办公费、</w:t>
      </w:r>
      <w:r>
        <w:rPr>
          <w:rFonts w:hint="eastAsia" w:ascii="宋体" w:hAnsi="宋体"/>
          <w:color w:val="000000"/>
          <w:sz w:val="24"/>
          <w:szCs w:val="21"/>
          <w:highlight w:val="none"/>
        </w:rPr>
        <w:t xml:space="preserve">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rPr>
          <w:rFonts w:hint="eastAsia" w:ascii="宋体" w:hAnsi="宋体"/>
          <w:color w:val="000000"/>
          <w:sz w:val="24"/>
          <w:szCs w:val="21"/>
          <w:highlight w:val="none"/>
        </w:rPr>
      </w:r>
      <w:r/>
    </w:p>
    <w:p>
      <w:pPr>
        <w:pStyle w:val="676"/>
        <w:ind w:firstLine="482"/>
        <w:spacing w:before="5" w:line="360" w:lineRule="auto"/>
        <w:shd w:val="clear" w:color="auto" w:fill="auto"/>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（2）物业费用有关说明：</w:t>
      </w:r>
      <w:r>
        <w:rPr>
          <w:rFonts w:hint="eastAsia" w:ascii="宋体" w:hAnsi="宋体"/>
          <w:color w:val="000000"/>
          <w:sz w:val="24"/>
          <w:szCs w:val="21"/>
          <w:highlight w:val="none"/>
        </w:rPr>
        <w:t xml:space="preserve">投标报价除应包括</w:t>
      </w:r>
      <w:r>
        <w:rPr>
          <w:rFonts w:hint="eastAsia" w:ascii="宋体" w:hAnsi="宋体"/>
          <w:color w:val="000000"/>
          <w:sz w:val="24"/>
          <w:highlight w:val="none"/>
        </w:rPr>
        <w:t xml:space="preserve">物业管理服务人员的所有薪酬待遇费用【中标人在依法经营、守法经营中产生的所有人员的薪酬待遇费用，中标人必须严格执行国家及地方政府部门有关最低工资标准的规定和支付加班工资的规定（工作时间不得超过政府规定</w:t>
      </w:r>
      <w:r>
        <w:rPr>
          <w:rFonts w:hint="eastAsia" w:ascii="宋体" w:hAnsi="宋体"/>
          <w:color w:val="000000"/>
          <w:sz w:val="24"/>
          <w:highlight w:val="none"/>
        </w:rPr>
        <w:t xml:space="preserve">的最长工作时间）以及其他有关劳动用工的法律法规；必须为员工缴纳“五险一金”等费用】；高温费、春夏秋冬四季劳保用品等福利费用；加班费；伙食费（中标单位必须给为招标单位服务的全体员工缴纳伙食费，伙食费每月按时交给招标单位食堂，每月三餐伙食费=人数*25元/人/天*21天/月）；管理费（合理利润）；各类证书办理、年检费用；法定税费；办公费；体检、管理、劳务、服装、培训、保修、通讯、安全保卫等各项应有费用，以及为完成采购文件规定的物业管理工作所涉及到的相关费用，投标人报价时应充分考虑服务期内所有可能影响到报价的因素</w:t>
      </w:r>
      <w:r>
        <w:rPr>
          <w:rFonts w:hint="eastAsia" w:ascii="宋体" w:hAnsi="宋体"/>
          <w:b/>
          <w:color w:val="000000"/>
          <w:sz w:val="24"/>
          <w:highlight w:val="none"/>
        </w:rPr>
        <w:t xml:space="preserve">（包括人员最低工资政策性调整风险及政策性文件规定调整的风险）</w:t>
      </w:r>
      <w:r>
        <w:rPr>
          <w:rFonts w:hint="eastAsia" w:ascii="宋体" w:hAnsi="宋体"/>
          <w:color w:val="000000"/>
          <w:sz w:val="24"/>
          <w:highlight w:val="none"/>
        </w:rPr>
        <w:t xml:space="preserve">，一旦中标，总价将包定，即为合同价，不予调整。如发生漏、缺、少项，都将被认为是投标人的报价让利行为，损失自负。</w:t>
      </w:r>
      <w:r>
        <w:rPr>
          <w:rFonts w:hint="eastAsia" w:ascii="宋体" w:hAnsi="宋体"/>
          <w:bCs/>
          <w:color w:val="000000"/>
          <w:sz w:val="24"/>
          <w:szCs w:val="21"/>
          <w:highlight w:val="none"/>
        </w:rPr>
      </w:r>
      <w:r/>
    </w:p>
    <w:p>
      <w:pPr>
        <w:pStyle w:val="676"/>
        <w:ind w:firstLine="480"/>
        <w:spacing w:line="360" w:lineRule="auto"/>
        <w:shd w:val="clear" w:color="auto" w:fill="auto"/>
        <w:rPr>
          <w:rFonts w:hint="eastAsia" w:ascii="宋体" w:hAnsi="宋体" w:cs="宋体"/>
          <w:color w:val="000000"/>
          <w:sz w:val="24"/>
          <w:highlight w:val="none"/>
        </w:rPr>
      </w:pPr>
      <w:r>
        <w:rPr>
          <w:rFonts w:hint="eastAsia" w:ascii="宋体" w:hAnsi="宋体"/>
          <w:color w:val="000000"/>
          <w:sz w:val="24"/>
          <w:szCs w:val="21"/>
          <w:highlight w:val="none"/>
        </w:rPr>
        <w:t xml:space="preserve">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rPr>
          <w:rFonts w:hint="eastAsia" w:ascii="宋体" w:hAnsi="宋体" w:cs="宋体"/>
          <w:color w:val="000000"/>
          <w:sz w:val="24"/>
          <w:highlight w:val="none"/>
        </w:rPr>
      </w:r>
      <w:r/>
    </w:p>
    <w:p>
      <w:pPr>
        <w:pStyle w:val="67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7.2物业管理服务的考核</w:t>
      </w:r>
      <w:r>
        <w:rPr>
          <w:rFonts w:hint="eastAsia" w:ascii="宋体" w:hAnsi="宋体" w:cs="宋体"/>
          <w:color w:val="000000"/>
          <w:sz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具体考核工作由江溪街道办事处负责：</w:t>
      </w:r>
      <w:r>
        <w:rPr>
          <w:rFonts w:hint="eastAsia" w:ascii="宋体" w:hAnsi="宋体" w:cs="宋体"/>
          <w:bCs/>
          <w:color w:val="000000"/>
          <w:sz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考核综合得分≧</w:t>
      </w:r>
      <w:r>
        <w:rPr>
          <w:rFonts w:ascii="宋体" w:hAnsi="宋体" w:cs="宋体"/>
          <w:bCs/>
          <w:color w:val="000000"/>
          <w:sz w:val="24"/>
          <w:highlight w:val="none"/>
        </w:rPr>
        <w:t xml:space="preserve">95</w:t>
      </w:r>
      <w:r>
        <w:rPr>
          <w:rFonts w:hint="eastAsia" w:ascii="宋体" w:hAnsi="宋体" w:cs="宋体"/>
          <w:bCs/>
          <w:color w:val="000000"/>
          <w:sz w:val="24"/>
          <w:highlight w:val="none"/>
        </w:rPr>
        <w:t xml:space="preserve">分</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付当月全额服务费；</w:t>
      </w:r>
      <w:r>
        <w:rPr>
          <w:rFonts w:hint="eastAsia" w:ascii="宋体" w:hAnsi="宋体" w:cs="宋体"/>
          <w:bCs/>
          <w:color w:val="000000"/>
          <w:sz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考核综合得分90-94分,不足95分部分每分扣除100元，扣除当月服务费为100*（95-当月分值）元；</w:t>
      </w:r>
      <w:r>
        <w:rPr>
          <w:rFonts w:hint="eastAsia" w:ascii="宋体" w:hAnsi="宋体" w:cs="宋体"/>
          <w:bCs/>
          <w:color w:val="000000"/>
          <w:sz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考核综合得分80-89分,不足90分部分每分扣除300元，扣除当月费用为1000+300*（90-当月分值）元；</w:t>
      </w:r>
      <w:r>
        <w:rPr>
          <w:rFonts w:hint="eastAsia" w:ascii="宋体" w:hAnsi="宋体" w:cs="宋体"/>
          <w:bCs/>
          <w:color w:val="000000"/>
          <w:sz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4、考核综合得分＜80分，不足80分部分每分扣除500元，扣除当月费用为4000+500*（80-当月分值）元；</w:t>
      </w:r>
      <w:r>
        <w:rPr>
          <w:rFonts w:hint="eastAsia" w:ascii="宋体" w:hAnsi="宋体" w:cs="宋体"/>
          <w:bCs/>
          <w:color w:val="000000"/>
          <w:sz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5、未按规定执行，情节严重者开具处罚单另行处理，月度考核不再重复扣分。</w:t>
      </w:r>
      <w:r>
        <w:rPr>
          <w:rFonts w:hint="eastAsia" w:ascii="宋体" w:hAnsi="宋体" w:cs="宋体"/>
          <w:bCs/>
          <w:color w:val="000000"/>
          <w:sz w:val="24"/>
          <w:highlight w:val="none"/>
        </w:rPr>
      </w:r>
      <w:r/>
    </w:p>
    <w:tbl>
      <w:tblPr>
        <w:tblW w:w="9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07"/>
        <w:gridCol w:w="1960"/>
        <w:gridCol w:w="4354"/>
        <w:gridCol w:w="851"/>
        <w:gridCol w:w="1275"/>
      </w:tblGrid>
      <w:tr>
        <w:trPr>
          <w:trHeight w:val="57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6"/>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考核项目</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考核内容</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考核标准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扣分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扣分原因</w:t>
            </w:r>
            <w:r>
              <w:rPr>
                <w:rFonts w:hint="eastAsia" w:ascii="宋体" w:hAnsi="宋体" w:cs="宋体"/>
                <w:b/>
                <w:bCs/>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一、内部管理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1、公司管理制度健全，各岗位职责、考核标准明确、台帐记录规范</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①无岗位职责，扣1分/项；②制度、各类台帐不健全规范，扣1分；③各岗位考核标准缺失，扣1分/项。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2、按约定人数、持证上岗，着装规范，定期现场巡检查</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保障人员缺岗，影响保障工作的，扣1分/人次；②管理、技术人员、未持证上岗的，扣1分/人次；③工作时间，各岗位未按规定着装，扣1分/人次；④物业管理人员对各值班岗位未定期（尤其是晚上）巡检查每月少于2次或无记录的，扣5分</w:t>
            </w:r>
            <w:r>
              <w:rPr>
                <w:rStyle w:val="795"/>
                <w:color w:val="000000"/>
                <w:highlight w:val="none"/>
                <w:lang w:bidi="ar"/>
              </w:rPr>
              <w:t xml:space="preserve">。</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left"/>
              <w:shd w:val="clear" w:color="auto" w:fill="auto"/>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3、员工培训有计划</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①无计划、台帐记录扣1分；②时间、人员落实不到位扣1分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4、提倡节能降耗，爱护中心所配设施设备</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①发现人为因素有长明灯、长流水、无人空调现象，扣1分；②发现人为损坏的除按原价赔偿外，扣1分/人次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5、服从管理，听从现场指派</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①不服从现场领导指挥或跟踪不到位的，扣1分/人次；②做有损中心声誉的，扣1分/人次；③发现员工上班吵架现象扣1分/人次</w:t>
            </w:r>
            <w:r>
              <w:rPr>
                <w:rStyle w:val="795"/>
                <w:color w:val="000000"/>
                <w:highlight w:val="none"/>
                <w:lang w:bidi="ar"/>
              </w:rPr>
              <w:t xml:space="preserve">。</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6、健全考勤制度，按时到岗，不迟到、早退</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①不按规定考勤、，扣1分/人次；②发现有迟到、早退、离岗现象，扣1分/人次；③上班做私事，扣1分/人次。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7、遵守中心各项规定</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①违反中心各项规定的扣1分/人次；②发现员工有故意行为，除追究其责任外扣1分/人次；③不服从管理或推诿扯皮的扣1分/次。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left"/>
              <w:shd w:val="clear" w:color="auto" w:fill="auto"/>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274"/>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8、服务规范，态度热情，整改及时，严格落实设备的操作维修规定，定期维护</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①态度冷漠、蛮横粗鲁，与服务对象发生争吵扣2分/次；</w:t>
            </w:r>
            <w:r>
              <w:rPr>
                <w:rStyle w:val="796"/>
                <w:color w:val="000000"/>
                <w:highlight w:val="none"/>
                <w:lang w:bidi="ar"/>
              </w:rPr>
              <w:t xml:space="preserve">②服务对象向中心投诉，查实的扣2分/次；③未按要求，在指定区域放置警示标志的，扣1分/次，造成事故的，物业承担相应责任；④出现违规操作设施设备的，扣1分/次，造成事故的，物业承担相应责任；</w:t>
            </w:r>
            <w:r>
              <w:rPr>
                <w:rStyle w:val="797"/>
                <w:color w:val="000000"/>
                <w:highlight w:val="none"/>
                <w:lang w:bidi="ar"/>
              </w:rPr>
              <w:t xml:space="preserve">⑤</w:t>
            </w:r>
            <w:r>
              <w:rPr>
                <w:rStyle w:val="796"/>
                <w:color w:val="000000"/>
                <w:highlight w:val="none"/>
                <w:lang w:bidi="ar"/>
              </w:rPr>
              <w:t xml:space="preserve">上月存在的问题，次月未整改或重复出现的，以2倍分扣除。</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left"/>
              <w:shd w:val="clear" w:color="auto" w:fill="auto"/>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9、档案管理科学，规范</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①未对现有施、竣工图进行整理熟悉的</w:t>
            </w:r>
            <w:r>
              <w:rPr>
                <w:rStyle w:val="795"/>
                <w:color w:val="000000"/>
                <w:highlight w:val="none"/>
                <w:lang w:bidi="ar"/>
              </w:rPr>
              <w:t xml:space="preserve">，</w:t>
            </w:r>
            <w:r>
              <w:rPr>
                <w:rStyle w:val="796"/>
                <w:color w:val="000000"/>
                <w:highlight w:val="none"/>
                <w:lang w:bidi="ar"/>
              </w:rPr>
              <w:t xml:space="preserve">扣1分/次；②日常报修维护记录，归档存档不连续的，扣1分/次。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676"/>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57"/>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二、供电运维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1、做好设备和强弱电房间的卫生清理工作</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①检查发现有堆杂物，扣1分/次；②发现有灰尘、鼠虫害现象，扣1分/次;③无巡检维保台帐记录，扣1分/次。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2、做好办公楼正常的供电保障和停电前主备供转换工作</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①发现有私拉乱接现象，扣1分/次</w:t>
            </w:r>
            <w:r>
              <w:rPr>
                <w:rStyle w:val="795"/>
                <w:color w:val="000000"/>
                <w:highlight w:val="none"/>
                <w:lang w:bidi="ar"/>
              </w:rPr>
              <w:t xml:space="preserve">。</w:t>
            </w:r>
            <w:r>
              <w:rPr>
                <w:rStyle w:val="796"/>
                <w:color w:val="000000"/>
                <w:highlight w:val="none"/>
                <w:lang w:bidi="ar"/>
              </w:rPr>
              <w:t xml:space="preserve">②检修停电无提前通知，扣1分/次；③临时用电未报中心领导批准，扣1分/次。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三、消防运维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2、加强巡检维护，确保消防设备设施齐全、完好无损，可随时启用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①未按中心要求维修更换或漏换设备设施的，扣1分/次，扣当月维保费用；</w:t>
            </w:r>
            <w:r>
              <w:rPr>
                <w:rFonts w:cs="Calibri"/>
                <w:color w:val="000000"/>
                <w:sz w:val="24"/>
                <w:highlight w:val="none"/>
                <w:lang w:bidi="ar"/>
              </w:rPr>
              <w:t xml:space="preserve">②</w:t>
            </w:r>
            <w:r>
              <w:rPr>
                <w:rFonts w:hint="eastAsia" w:ascii="宋体" w:hAnsi="宋体" w:cs="宋体"/>
                <w:color w:val="000000"/>
                <w:sz w:val="24"/>
                <w:highlight w:val="none"/>
                <w:lang w:bidi="ar"/>
              </w:rPr>
              <w:t xml:space="preserve">未对消防安全进行巡检（白、晚各一次）并做好登记的，扣1分/次。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四、电梯运维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2、电梯通风、照明完好，安全警示齐全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①紧急情况下电话无人接听或打不通，扣2分/次，②检查发现通风、照明不正常、扣1分/次。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1、监督维保单位按要求进行检修维保，确保中央空调运行正常</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①未提醒和现场监督维保单位及时进行保养，影响使用扣3分/次；②未按约定时间到现场抢修的，扣5分/次和当月空调维保费50%。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五、安保管理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2、严格执行24小时双人双岗和定时巡检制度，做好台帐记录</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①出现单岗、脱岗和睡岗或其它违反值班规定的，扣5分/次；②未落实3小时巡检一次的（尤其晚上），扣2分/次，造成事故的，物业承担相应责任；③未落实上下班站岗制度的，扣2分/次。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3、人员和车辆进出中心，手续齐全,检查到位</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进出中心外来人员未登记，外来车辆未在在指定位置停放的，扣2分/次；②未对驶离中心车辆进行检查，或放手续不全的入住对象外出的，扣2分/次；③未按疫情防控要求执行，视情况扣2-5分/次。造成事故的，损失由物业承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062"/>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4、严格落实大宗物资出中心查验制度</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①大宗物资运出中心未查验相关手续的，扣2分/次，造成损失的，物业承担。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1清扫及时、垃圾入桶，外场环境整洁</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①外场发现垃圾或乱堆乱放的，扣2分/次；②外场垃圾未做到日产日清，扣1分/次；③垃圾桶未定期清洗消毒的，扣1分/次。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六、环卫管理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2、楼层内部和公共部位卫生清洁、消毒</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公共部位未巡检或楼内垃圾未及时清运的，扣2分/次；②天台未定期清理或有积水的，扣2分/次；③楼层卫生不到位，有垃圾、灰尘和污垢的，扣2分/次；④未按防疫要求做好公共区域消毒的，扣2分/次。造成损失的，由物业承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778"/>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3、保洁用具按规定摆放、使用，定期消毒</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①未按要求摆放保洁用具的，除扣1分/次，引发事故的，物业承担相应责任；②未对保洁用具定期消毒或无记录的，扣1分/次；③未按区域分划使用保洁用具的，扣2分/次。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jc w:val="left"/>
              <w:shd w:val="clear" w:color="auto" w:fill="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67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七、楼房维护、巡检制度完善，维修及时，记录完整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①未按规定的路线、内容进行巡检到位、无记录，扣3分/次，造成损失的，由物业承担；②维修、巡检记录不完整的，扣2分/次。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shd w:val="clear" w:color="auto" w:fill="auto"/>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228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八、给排水运维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对各类报修响应及时；根据维修难易程度在合理的时间内及时修复；室外设施经常保持完好</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w:t>
            </w:r>
            <w:r>
              <w:rPr>
                <w:rStyle w:val="796"/>
                <w:color w:val="000000"/>
                <w:highlight w:val="none"/>
                <w:lang w:bidi="ar"/>
              </w:rPr>
              <w:t xml:space="preserve">建立日常巡检制度，能及时发现问题并修复。无制度扣3分，巡检效果差视情扣2-5分。</w:t>
            </w:r>
            <w:r>
              <w:rPr>
                <w:rStyle w:val="798"/>
                <w:color w:val="000000"/>
                <w:highlight w:val="none"/>
                <w:lang w:bidi="ar"/>
              </w:rPr>
              <w:t xml:space="preserve">②</w:t>
            </w:r>
            <w:r>
              <w:rPr>
                <w:rStyle w:val="796"/>
                <w:color w:val="000000"/>
                <w:highlight w:val="none"/>
                <w:lang w:bidi="ar"/>
              </w:rPr>
              <w:t xml:space="preserve">接到报修通知后维修人员一般应在15钟内到达现场，否则扣2分/次；</w:t>
            </w:r>
            <w:r>
              <w:rPr>
                <w:rStyle w:val="798"/>
                <w:color w:val="000000"/>
                <w:highlight w:val="none"/>
                <w:lang w:bidi="ar"/>
              </w:rPr>
              <w:t xml:space="preserve">③</w:t>
            </w:r>
            <w:r>
              <w:rPr>
                <w:rStyle w:val="796"/>
                <w:color w:val="000000"/>
                <w:highlight w:val="none"/>
                <w:lang w:bidi="ar"/>
              </w:rPr>
              <w:t xml:space="preserve">简单维修当场完成，维修难度大的制定方案，报业主审核确定后按时完成,不能按时完成维修的，扣2分/次；④确保维修质量，维修完成后应请由业主方有关人员确认，否则扣1分/次；</w:t>
            </w:r>
            <w:r>
              <w:rPr>
                <w:rStyle w:val="797"/>
                <w:color w:val="000000"/>
                <w:highlight w:val="none"/>
                <w:lang w:bidi="ar"/>
              </w:rPr>
              <w:t xml:space="preserve">⑤</w:t>
            </w:r>
            <w:r>
              <w:rPr>
                <w:rStyle w:val="796"/>
                <w:color w:val="000000"/>
                <w:highlight w:val="none"/>
                <w:lang w:bidi="ar"/>
              </w:rPr>
              <w:t xml:space="preserve">园内设施不及时修复的，根据情况扣2-5分</w:t>
            </w:r>
            <w:r>
              <w:rPr>
                <w:rStyle w:val="798"/>
                <w:color w:val="000000"/>
                <w:highlight w:val="none"/>
                <w:lang w:bidi="ar"/>
              </w:rPr>
              <w:t xml:space="preserve">；⑥外来工程施工维护，未派现场协调监督的，扣2分/次；</w:t>
            </w:r>
            <w:r>
              <w:rPr>
                <w:rStyle w:val="797"/>
                <w:color w:val="000000"/>
                <w:highlight w:val="none"/>
                <w:lang w:bidi="ar"/>
              </w:rPr>
              <w:t xml:space="preserve">⑦</w:t>
            </w:r>
            <w:r>
              <w:rPr>
                <w:rStyle w:val="798"/>
                <w:color w:val="000000"/>
                <w:highlight w:val="none"/>
                <w:lang w:bidi="ar"/>
              </w:rPr>
              <w:t xml:space="preserve">所有需更换维修零配件，无询价、发票等手续不全的，均由物业承担。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994"/>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九、日常维修</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安全管理要求</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安全岗位责任、安全检查、安全整理、安全教育、安全会议、安全活动、应急处置、特殊岗位作业、施工作业、安全应知应会等相关方面未按相关安全要求执行，按照安全员检查实际情况考核扣分。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十、安全生产</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工作尽心尽责，积极参加中心的各种活动，积极维护集体荣誉，并做出显著成绩</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①得到中心服务对象表扬信，加3-5分/次；</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②及时发现或积极参与各类突发事件处理，取得较好成效，加5分/次。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jc w:val="left"/>
              <w:shd w:val="clear" w:color="auto" w:fill="auto"/>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6"/>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十三、加分项目</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拾金不昧。勇敢担当。</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676"/>
              <w:shd w:val="clear" w:color="auto" w:fill="auto"/>
              <w:widowControl/>
              <w:rPr>
                <w:rFonts w:hint="eastAsia" w:ascii="宋体" w:hAnsi="宋体" w:cs="宋体"/>
                <w:color w:val="000000"/>
                <w:sz w:val="24"/>
                <w:highlight w:val="none"/>
              </w:rPr>
            </w:pPr>
            <w:r>
              <w:rPr>
                <w:rFonts w:cs="Calibri"/>
                <w:color w:val="000000"/>
                <w:sz w:val="24"/>
                <w:highlight w:val="none"/>
              </w:rPr>
              <w:t xml:space="preserve">①</w:t>
            </w:r>
            <w:r>
              <w:rPr>
                <w:rFonts w:hint="eastAsia" w:ascii="宋体" w:hAnsi="宋体" w:cs="宋体"/>
                <w:color w:val="000000"/>
                <w:sz w:val="24"/>
                <w:highlight w:val="none"/>
              </w:rPr>
              <w:t xml:space="preserve">拾到贵重物品归还加5分，</w:t>
            </w:r>
            <w:r>
              <w:rPr>
                <w:rFonts w:cs="Calibri"/>
                <w:color w:val="000000"/>
                <w:sz w:val="24"/>
                <w:highlight w:val="none"/>
              </w:rPr>
              <w:t xml:space="preserve">②</w:t>
            </w:r>
            <w:r>
              <w:rPr>
                <w:rFonts w:hint="eastAsia" w:cs="Calibri"/>
                <w:color w:val="000000"/>
                <w:sz w:val="24"/>
                <w:highlight w:val="none"/>
              </w:rPr>
              <w:t xml:space="preserve">勇于为所服务项目做出突出贡献，爱岗敬业加3-5分/次。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7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7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pStyle w:val="676"/>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合计得分</w:t>
            </w:r>
            <w:r>
              <w:rPr>
                <w:rFonts w:hint="eastAsia" w:ascii="宋体" w:hAnsi="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676"/>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6"/>
        <w:ind w:firstLine="241"/>
        <w:jc w:val="left"/>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8.关于中标后项目进行分包的情况</w:t>
      </w:r>
      <w:r>
        <w:rPr>
          <w:rFonts w:hint="eastAsia" w:ascii="宋体" w:hAnsi="宋体" w:cs="宋体"/>
          <w:b/>
          <w:color w:val="000000"/>
          <w:sz w:val="24"/>
          <w:highlight w:val="none"/>
        </w:rPr>
      </w:r>
      <w:r/>
    </w:p>
    <w:p>
      <w:pPr>
        <w:pStyle w:val="67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明确相应资格条件，接受联合体或同意采取分包方式履行</w:t>
      </w:r>
      <w:r>
        <w:rPr>
          <w:rFonts w:hint="eastAsia" w:ascii="宋体" w:hAnsi="宋体" w:cs="宋体"/>
          <w:color w:val="000000"/>
          <w:sz w:val="24"/>
          <w:highlight w:val="none"/>
        </w:rPr>
      </w:r>
      <w:r/>
    </w:p>
    <w:p>
      <w:pPr>
        <w:pStyle w:val="67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如本项目含有分包事项，请填写分包的具体内容、金额或比例</w:t>
      </w:r>
      <w:r>
        <w:rPr>
          <w:rFonts w:hint="eastAsia" w:ascii="宋体" w:hAnsi="宋体" w:cs="宋体"/>
          <w:color w:val="000000"/>
          <w:sz w:val="24"/>
          <w:highlight w:val="none"/>
        </w:rPr>
      </w:r>
      <w:r/>
    </w:p>
    <w:p>
      <w:pPr>
        <w:pStyle w:val="676"/>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bCs/>
          <w:color w:val="000000"/>
          <w:sz w:val="24"/>
          <w:szCs w:val="21"/>
          <w:highlight w:val="none"/>
        </w:rPr>
        <w:t xml:space="preserve">无</w:t>
      </w:r>
      <w:r>
        <w:rPr>
          <w:rFonts w:hint="eastAsia" w:ascii="宋体" w:hAnsi="宋体" w:cs="宋体"/>
          <w:bCs/>
          <w:color w:val="000000"/>
          <w:sz w:val="24"/>
          <w:highlight w:val="none"/>
        </w:rPr>
      </w:r>
      <w:r/>
    </w:p>
    <w:p>
      <w:pPr>
        <w:pStyle w:val="676"/>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676"/>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6"/>
        <w:ind w:firstLine="602"/>
        <w:spacing w:line="360" w:lineRule="auto"/>
        <w:shd w:val="clear" w:color="auto" w:fill="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76"/>
        <w:numPr>
          <w:ilvl w:val="1"/>
          <w:numId w:val="8"/>
        </w:numPr>
        <w:ind w:left="0" w:firstLine="480"/>
        <w:spacing w:line="360" w:lineRule="auto"/>
        <w:shd w:val="clear" w:color="auto" w:fill="auto"/>
        <w:tabs>
          <w:tab w:val="left" w:pos="780"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945" w:leader="none"/>
        </w:tabs>
        <w:rPr>
          <w:rFonts w:ascii="宋体"/>
          <w:bCs/>
          <w:color w:val="000000"/>
          <w:sz w:val="24"/>
          <w:szCs w:val="24"/>
          <w:highlight w:val="none"/>
        </w:rPr>
      </w:pPr>
      <w:r>
        <w:rPr>
          <w:rFonts w:hint="eastAsia" w:ascii="宋体" w:hAnsi="宋体"/>
          <w:color w:val="000000"/>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服务期限：自签订服务合同生效之日起两年。</w:t>
      </w:r>
      <w:r>
        <w:rPr>
          <w:rFonts w:hint="eastAsia" w:ascii="宋体" w:hAnsi="宋体" w:eastAsia="宋体" w:cs="仿宋_GB2312"/>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付款方式：物业服务费按季度预支付，预支付时间为季后次月的10号，预支付金额为当季度物业服务费用的95%。剩余的5%物业服务费用，由甲方根据小区物业服务考核结果，到年终统一结算。</w:t>
      </w:r>
      <w:r>
        <w:rPr>
          <w:rFonts w:hint="eastAsia" w:ascii="宋体" w:hAnsi="宋体" w:eastAsia="宋体" w:cs="仿宋_GB2312"/>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中标（成交）供应商以履约保函（保险）形式按签约合同价的</w:t>
      </w:r>
      <w:r>
        <w:rPr>
          <w:rFonts w:hint="eastAsia" w:ascii="宋体" w:hAnsi="宋体" w:eastAsia="宋体" w:cs="仿宋_GB2312"/>
          <w:color w:val="000000"/>
          <w:sz w:val="24"/>
          <w:szCs w:val="24"/>
          <w:highlight w:val="none"/>
          <w:lang w:val="en-US" w:eastAsia="zh-CN"/>
        </w:rPr>
        <w:t xml:space="preserve">3</w:t>
      </w:r>
      <w:r>
        <w:rPr>
          <w:rFonts w:hint="eastAsia" w:ascii="宋体" w:hAnsi="宋体" w:eastAsia="宋体" w:cs="仿宋_GB2312"/>
          <w:color w:val="000000"/>
          <w:sz w:val="24"/>
          <w:szCs w:val="24"/>
          <w:highlight w:val="none"/>
        </w:rPr>
        <w:t xml:space="preserve">%提供履约担保。中标（成交）供应商可采用电子履约保函（保险）形式,具体操作可登录江苏政府采购网的保险保函模块进行办理。</w:t>
      </w:r>
      <w:r>
        <w:rPr>
          <w:rFonts w:hint="eastAsia" w:ascii="宋体" w:hAnsi="宋体" w:eastAsia="宋体" w:cs="仿宋_GB2312"/>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本项目合同履行地点： 江溪街道综合办公楼  。中标方必须按采购人要求将本项目中货物送到指定地点(包括可能的分布范围)，并分地实施安装调试。</w:t>
      </w:r>
      <w:r>
        <w:rPr>
          <w:rFonts w:hint="eastAsia" w:ascii="宋体" w:hAnsi="宋体" w:eastAsia="宋体" w:cs="仿宋_GB2312"/>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6"/>
        <w:numPr>
          <w:ilvl w:val="1"/>
          <w:numId w:val="8"/>
        </w:numPr>
        <w:ind w:left="0" w:firstLine="480"/>
        <w:spacing w:line="360" w:lineRule="auto"/>
        <w:shd w:val="clear" w:color="auto" w:fill="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6"/>
        <w:numPr>
          <w:ilvl w:val="1"/>
          <w:numId w:val="8"/>
        </w:numPr>
        <w:ind w:left="0" w:firstLine="480"/>
        <w:spacing w:line="360" w:lineRule="auto"/>
        <w:shd w:val="clear" w:color="auto" w:fill="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6"/>
        <w:numPr>
          <w:ilvl w:val="1"/>
          <w:numId w:val="8"/>
        </w:numPr>
        <w:ind w:left="0" w:firstLine="480"/>
        <w:spacing w:line="360" w:lineRule="auto"/>
        <w:shd w:val="clear" w:color="auto" w:fill="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6"/>
        <w:ind w:left="525"/>
        <w:spacing w:line="360" w:lineRule="auto"/>
        <w:shd w:val="clear" w:color="auto" w:fill="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bCs/>
          <w:color w:val="000000"/>
          <w:sz w:val="24"/>
          <w:szCs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676"/>
        <w:numPr>
          <w:ilvl w:val="1"/>
          <w:numId w:val="9"/>
        </w:numPr>
        <w:ind w:left="0" w:firstLine="525"/>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676"/>
        <w:numPr>
          <w:ilvl w:val="1"/>
          <w:numId w:val="9"/>
        </w:numPr>
        <w:ind w:left="0" w:firstLine="525"/>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676"/>
        <w:numPr>
          <w:ilvl w:val="1"/>
          <w:numId w:val="9"/>
        </w:numPr>
        <w:ind w:left="0" w:firstLine="525"/>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76"/>
        <w:numPr>
          <w:ilvl w:val="1"/>
          <w:numId w:val="9"/>
        </w:numPr>
        <w:ind w:left="0" w:firstLine="525"/>
        <w:spacing w:line="360" w:lineRule="auto"/>
        <w:shd w:val="clear" w:color="auto" w:fill="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676"/>
        <w:numPr>
          <w:ilvl w:val="1"/>
          <w:numId w:val="9"/>
        </w:numPr>
        <w:ind w:left="0" w:firstLine="525"/>
        <w:spacing w:line="360" w:lineRule="auto"/>
        <w:shd w:val="clear" w:color="auto" w:fill="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676"/>
        <w:numPr>
          <w:ilvl w:val="1"/>
          <w:numId w:val="9"/>
        </w:numPr>
        <w:ind w:left="0" w:firstLine="525"/>
        <w:spacing w:line="360" w:lineRule="auto"/>
        <w:shd w:val="clear" w:color="auto" w:fill="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676"/>
        <w:numPr>
          <w:ilvl w:val="1"/>
          <w:numId w:val="9"/>
        </w:numPr>
        <w:ind w:left="0" w:firstLine="480"/>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676"/>
        <w:numPr>
          <w:ilvl w:val="1"/>
          <w:numId w:val="9"/>
        </w:numPr>
        <w:ind w:left="0" w:firstLine="480"/>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676"/>
        <w:numPr>
          <w:ilvl w:val="1"/>
          <w:numId w:val="9"/>
        </w:numPr>
        <w:ind w:left="0" w:firstLine="480"/>
        <w:spacing w:line="360" w:lineRule="auto"/>
        <w:shd w:val="clear" w:color="auto" w:fill="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lang w:val="en"/>
        </w:rPr>
      </w:r>
      <w:r/>
    </w:p>
    <w:p>
      <w:pPr>
        <w:pStyle w:val="676"/>
        <w:numPr>
          <w:ilvl w:val="1"/>
          <w:numId w:val="9"/>
        </w:numPr>
        <w:ind w:left="0" w:firstLine="480"/>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3" w:name="OLE_LINK2"/>
      <w:r/>
      <w:bookmarkStart w:id="194" w:name="OLE_LINK1"/>
      <w:r>
        <w:rPr>
          <w:rFonts w:hint="eastAsia" w:ascii="宋体"/>
          <w:bCs/>
          <w:color w:val="000000"/>
          <w:sz w:val="24"/>
          <w:szCs w:val="24"/>
          <w:highlight w:val="none"/>
        </w:rPr>
        <w:t xml:space="preserve">《保障中小企业款项支付条例》（中华人民共和国国务院令第802号）</w:t>
      </w:r>
      <w:bookmarkEnd w:id="193"/>
      <w:r/>
      <w:bookmarkEnd w:id="194"/>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6"/>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676"/>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5"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765"/>
        <w:ind w:firstLine="602"/>
        <w:spacing w:before="0" w:after="0" w:line="500" w:lineRule="exact"/>
        <w:shd w:val="clear" w:color="auto" w:fill="auto"/>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765"/>
        <w:spacing w:before="0" w:after="0" w:line="500" w:lineRule="exact"/>
        <w:shd w:val="clear" w:color="auto" w:fill="auto"/>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765"/>
        <w:spacing w:before="0" w:after="0" w:line="500" w:lineRule="exact"/>
        <w:shd w:val="clear" w:color="auto" w:fill="auto"/>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765"/>
        <w:spacing w:before="0" w:after="0" w:line="500" w:lineRule="exact"/>
        <w:shd w:val="clear" w:color="auto" w:fill="auto"/>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765"/>
        <w:spacing w:before="0" w:after="0" w:line="500" w:lineRule="exact"/>
        <w:shd w:val="clear" w:color="auto" w:fill="auto"/>
        <w:rPr>
          <w:rFonts w:hint="eastAsia" w:cs="Arial"/>
          <w:b/>
          <w:color w:val="000000"/>
          <w:sz w:val="30"/>
          <w:szCs w:val="3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765"/>
        <w:ind w:firstLine="562"/>
        <w:spacing w:before="0" w:after="0" w:line="500" w:lineRule="exact"/>
        <w:shd w:val="clear" w:color="auto" w:fill="auto"/>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676"/>
        <w:ind w:firstLine="482"/>
        <w:jc w:val="left"/>
        <w:spacing w:line="500" w:lineRule="exact"/>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6"/>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676"/>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676"/>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676"/>
        <w:ind w:firstLine="480"/>
        <w:jc w:val="left"/>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676"/>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676"/>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76"/>
        <w:ind w:firstLine="480"/>
        <w:jc w:val="left"/>
        <w:spacing w:line="500" w:lineRule="exact"/>
        <w:shd w:val="clear" w:color="auto" w:fill="auto"/>
        <w:rPr>
          <w:rFonts w:ascii="宋体" w:hAnsi="宋体"/>
          <w:color w:val="000000"/>
          <w:highlight w:val="none"/>
          <w:shd w:val="clear" w:color="ffffff" w:fill="d9d9d9"/>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ascii="宋体" w:hAnsi="宋体"/>
          <w:color w:val="000000"/>
          <w:highlight w:val="none"/>
          <w:shd w:val="clear" w:color="ffffff" w:fill="d9d9d9"/>
        </w:rPr>
      </w:r>
      <w:r/>
    </w:p>
    <w:p>
      <w:pPr>
        <w:pStyle w:val="765"/>
        <w:spacing w:before="0" w:after="0" w:line="500" w:lineRule="exact"/>
        <w:shd w:val="clear" w:color="auto" w:fill="auto"/>
        <w:rPr>
          <w:rFonts w:hint="eastAsia" w:ascii="宋体" w:hAnsi="宋体" w:eastAsia="宋体"/>
          <w:color w:val="000000"/>
          <w:highlight w:val="none"/>
          <w:shd w:val="clear" w:color="ffffff" w:fill="d9d9d9"/>
          <w:lang w:val="en-US" w:eastAsia="zh-CN"/>
        </w:rPr>
      </w:pPr>
      <w:r>
        <w:rPr>
          <w:rFonts w:hint="eastAsia" w:ascii="宋体" w:hAnsi="宋体"/>
          <w:b/>
          <w:color w:val="000000"/>
          <w:sz w:val="28"/>
          <w:szCs w:val="28"/>
          <w:highlight w:val="none"/>
        </w:rPr>
        <w:t xml:space="preserve">二、评分标准</w:t>
      </w:r>
      <w:r>
        <w:rPr>
          <w:rFonts w:hint="eastAsia" w:ascii="宋体" w:hAnsi="宋体"/>
          <w:b/>
          <w:color w:val="000000"/>
          <w:sz w:val="28"/>
          <w:szCs w:val="28"/>
          <w:highlight w:val="none"/>
          <w:lang w:val="en-US" w:eastAsia="zh-CN"/>
        </w:rPr>
        <w:t xml:space="preserve"> </w:t>
      </w:r>
      <w:r>
        <w:rPr>
          <w:rFonts w:hint="eastAsia" w:ascii="宋体" w:hAnsi="宋体" w:eastAsia="宋体"/>
          <w:color w:val="000000"/>
          <w:highlight w:val="none"/>
          <w:shd w:val="clear" w:color="ffffff" w:fill="d9d9d9"/>
          <w:lang w:val="en-US" w:eastAsia="zh-CN"/>
        </w:rPr>
      </w:r>
      <w:r/>
    </w:p>
    <w:p>
      <w:pPr>
        <w:pStyle w:val="676"/>
        <w:numPr>
          <w:ilvl w:val="4"/>
          <w:numId w:val="10"/>
        </w:numPr>
        <w:ind w:left="0" w:firstLine="482"/>
        <w:spacing w:line="500" w:lineRule="exact"/>
        <w:shd w:val="clear" w:color="auto" w:fill="auto"/>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6"/>
        <w:ind w:firstLine="480"/>
        <w:spacing w:line="500" w:lineRule="exact"/>
        <w:shd w:val="clear" w:color="auto" w:fill="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676"/>
        <w:ind w:firstLine="480"/>
        <w:spacing w:line="500" w:lineRule="exact"/>
        <w:shd w:val="clear" w:color="auto" w:fill="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6"/>
        <w:ind w:firstLine="480"/>
        <w:jc w:val="left"/>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rPr>
      </w:r>
      <w:r/>
    </w:p>
    <w:p>
      <w:pPr>
        <w:pStyle w:val="676"/>
        <w:numPr>
          <w:ilvl w:val="4"/>
          <w:numId w:val="10"/>
        </w:numPr>
        <w:ind w:left="0" w:firstLine="482"/>
        <w:spacing w:line="500" w:lineRule="exact"/>
        <w:shd w:val="clear" w:color="auto" w:fill="auto"/>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16</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实际到岗人员资质需与投标时一致。违反该条款，甲方有权拒绝支付相应报酬</w:t>
      </w:r>
      <w:r>
        <w:rPr>
          <w:rFonts w:hint="eastAsia" w:ascii="宋体" w:hAnsi="宋体"/>
          <w:bCs/>
          <w:color w:val="000000"/>
          <w:sz w:val="24"/>
          <w:szCs w:val="24"/>
          <w:highlight w:val="none"/>
          <w:lang w:eastAsia="zh-CN"/>
        </w:rPr>
        <w:t xml:space="preserve">。</w:t>
      </w:r>
      <w:r>
        <w:rPr>
          <w:rFonts w:ascii="宋体" w:hAnsi="宋体"/>
          <w:b/>
          <w:bCs/>
          <w:color w:val="000000"/>
          <w:sz w:val="24"/>
          <w:szCs w:val="24"/>
          <w:highlight w:val="none"/>
        </w:rPr>
      </w:r>
      <w:r/>
    </w:p>
    <w:p>
      <w:pPr>
        <w:pStyle w:val="676"/>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lang w:val="zh-CN"/>
        </w:rPr>
      </w:pPr>
      <w:r>
        <w:rPr>
          <w:rFonts w:hint="eastAsia" w:ascii="宋体" w:hAnsi="宋体"/>
          <w:bCs/>
          <w:color w:val="000000"/>
          <w:sz w:val="24"/>
          <w:szCs w:val="21"/>
          <w:highlight w:val="none"/>
          <w:lang w:val="zh-CN"/>
        </w:rPr>
        <w:t xml:space="preserve">（1）</w:t>
      </w:r>
      <w:r>
        <w:rPr>
          <w:rFonts w:hint="eastAsia" w:ascii="宋体" w:hAnsi="宋体"/>
          <w:bCs/>
          <w:color w:val="000000"/>
          <w:sz w:val="24"/>
          <w:highlight w:val="none"/>
          <w:lang w:val="zh-CN"/>
        </w:rPr>
        <w:t xml:space="preserve">项目经理</w:t>
      </w:r>
      <w:r>
        <w:rPr>
          <w:rFonts w:hint="eastAsia" w:ascii="宋体" w:hAnsi="宋体"/>
          <w:bCs/>
          <w:color w:val="000000"/>
          <w:sz w:val="24"/>
          <w:szCs w:val="21"/>
          <w:highlight w:val="none"/>
          <w:lang w:val="zh-CN"/>
        </w:rPr>
        <w:t xml:space="preserve">（</w:t>
      </w:r>
      <w:r>
        <w:rPr>
          <w:rFonts w:hint="eastAsia" w:ascii="宋体" w:hAnsi="宋体"/>
          <w:bCs/>
          <w:color w:val="000000"/>
          <w:sz w:val="24"/>
          <w:szCs w:val="21"/>
          <w:highlight w:val="none"/>
        </w:rPr>
        <w:t xml:space="preserve">8</w:t>
      </w:r>
      <w:r>
        <w:rPr>
          <w:rFonts w:hint="eastAsia" w:ascii="宋体" w:hAnsi="宋体"/>
          <w:bCs/>
          <w:color w:val="000000"/>
          <w:sz w:val="24"/>
          <w:szCs w:val="21"/>
          <w:highlight w:val="none"/>
          <w:lang w:val="zh-CN"/>
        </w:rPr>
        <w:t xml:space="preserve">分）：具有本科及以上学历证的得2分；</w:t>
      </w:r>
      <w:r>
        <w:rPr>
          <w:rFonts w:hint="eastAsia" w:ascii="宋体" w:hAnsi="宋体"/>
          <w:bCs/>
          <w:color w:val="000000"/>
          <w:sz w:val="24"/>
          <w:highlight w:val="none"/>
        </w:rPr>
        <w:t xml:space="preserve">具有全国物业管理企业经理证的得2分；具有消防设施操作员证（或建筑物消防员证）的</w:t>
      </w:r>
      <w:r>
        <w:rPr>
          <w:rFonts w:hint="eastAsia" w:ascii="宋体" w:hAnsi="宋体"/>
          <w:bCs/>
          <w:color w:val="000000"/>
          <w:sz w:val="24"/>
          <w:highlight w:val="none"/>
          <w:lang w:val="zh-CN"/>
        </w:rPr>
        <w:t xml:space="preserve">得</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分；</w:t>
      </w:r>
      <w:r>
        <w:rPr>
          <w:rFonts w:hint="eastAsia" w:ascii="宋体" w:hAnsi="宋体"/>
          <w:bCs/>
          <w:color w:val="000000"/>
          <w:sz w:val="24"/>
          <w:highlight w:val="none"/>
        </w:rPr>
        <w:t xml:space="preserve">具有特种设备安全管理和作业人员</w:t>
      </w:r>
      <w:r>
        <w:rPr>
          <w:rFonts w:hint="eastAsia" w:ascii="宋体" w:hAnsi="宋体"/>
          <w:bCs/>
          <w:color w:val="000000"/>
          <w:sz w:val="24"/>
          <w:highlight w:val="none"/>
          <w:lang w:val="zh-CN"/>
        </w:rPr>
        <w:t xml:space="preserve">证</w:t>
      </w:r>
      <w:r>
        <w:rPr>
          <w:rFonts w:hint="eastAsia" w:ascii="宋体" w:hAnsi="宋体"/>
          <w:bCs/>
          <w:color w:val="000000"/>
          <w:sz w:val="24"/>
          <w:highlight w:val="none"/>
        </w:rPr>
        <w:t xml:space="preserve">的</w:t>
      </w:r>
      <w:r>
        <w:rPr>
          <w:rFonts w:hint="eastAsia" w:ascii="宋体" w:hAnsi="宋体"/>
          <w:bCs/>
          <w:color w:val="000000"/>
          <w:sz w:val="24"/>
          <w:highlight w:val="none"/>
          <w:lang w:val="zh-CN"/>
        </w:rPr>
        <w:t xml:space="preserve">得</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分；本项最高得</w:t>
      </w:r>
      <w:r>
        <w:rPr>
          <w:rFonts w:hint="eastAsia" w:ascii="宋体" w:hAnsi="宋体"/>
          <w:bCs/>
          <w:color w:val="000000"/>
          <w:sz w:val="24"/>
          <w:highlight w:val="none"/>
        </w:rPr>
        <w:t xml:space="preserve">8</w:t>
      </w:r>
      <w:r>
        <w:rPr>
          <w:rFonts w:hint="eastAsia" w:ascii="宋体" w:hAnsi="宋体"/>
          <w:bCs/>
          <w:color w:val="000000"/>
          <w:sz w:val="24"/>
          <w:highlight w:val="none"/>
          <w:lang w:val="zh-CN"/>
        </w:rPr>
        <w:t xml:space="preserve">分。</w:t>
      </w:r>
      <w:r>
        <w:rPr>
          <w:rFonts w:hint="eastAsia" w:ascii="宋体" w:hAnsi="宋体"/>
          <w:bCs/>
          <w:color w:val="000000"/>
          <w:sz w:val="24"/>
          <w:highlight w:val="none"/>
          <w:lang w:val="zh-CN"/>
        </w:rPr>
      </w:r>
      <w:r/>
    </w:p>
    <w:p>
      <w:pPr>
        <w:pStyle w:val="676"/>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需提供项目经理身份证、相关证书、劳动合同、</w:t>
      </w:r>
      <w:r>
        <w:rPr>
          <w:rFonts w:hint="eastAsia" w:ascii="宋体" w:hAnsi="宋体"/>
          <w:bCs/>
          <w:color w:val="000000"/>
          <w:sz w:val="24"/>
          <w:highlight w:val="none"/>
          <w:lang w:val="zh-CN"/>
        </w:rPr>
        <w:t xml:space="preserve">社保部门出具的最近</w:t>
      </w:r>
      <w:r>
        <w:rPr>
          <w:rFonts w:hint="eastAsia" w:ascii="宋体" w:hAnsi="宋体"/>
          <w:bCs/>
          <w:color w:val="000000"/>
          <w:sz w:val="24"/>
          <w:highlight w:val="none"/>
        </w:rPr>
        <w:t xml:space="preserve">一年中任意一个月</w:t>
      </w:r>
      <w:r>
        <w:rPr>
          <w:rFonts w:hint="eastAsia" w:ascii="宋体" w:hAnsi="宋体"/>
          <w:bCs/>
          <w:color w:val="000000"/>
          <w:sz w:val="24"/>
          <w:highlight w:val="none"/>
          <w:lang w:val="zh-CN"/>
        </w:rPr>
        <w:t xml:space="preserve">（不含投标当月）社保缴纳证明（需提供带有清晰二维码的官网</w:t>
      </w:r>
      <w:r>
        <w:rPr>
          <w:rFonts w:hint="eastAsia" w:ascii="宋体" w:hAnsi="宋体"/>
          <w:bCs/>
          <w:color w:val="000000"/>
          <w:sz w:val="24"/>
          <w:highlight w:val="none"/>
        </w:rPr>
        <w:t xml:space="preserve">扫描</w:t>
      </w:r>
      <w:r>
        <w:rPr>
          <w:rFonts w:hint="eastAsia" w:ascii="宋体" w:hAnsi="宋体"/>
          <w:bCs/>
          <w:color w:val="000000"/>
          <w:sz w:val="24"/>
          <w:highlight w:val="none"/>
          <w:lang w:val="zh-CN"/>
        </w:rPr>
        <w:t xml:space="preserve">件）</w:t>
      </w:r>
      <w:r>
        <w:rPr>
          <w:rFonts w:hint="eastAsia" w:ascii="宋体" w:hAnsi="宋体"/>
          <w:bCs/>
          <w:color w:val="000000"/>
          <w:sz w:val="24"/>
          <w:highlight w:val="none"/>
        </w:rPr>
        <w:t xml:space="preserve">等资料的扫描件上传至投标文件中并加盖投标人电子签章，未按要求提供不得分。</w:t>
      </w:r>
      <w:r>
        <w:rPr>
          <w:rFonts w:hint="eastAsia" w:ascii="宋体" w:hAnsi="宋体"/>
          <w:bCs/>
          <w:color w:val="000000"/>
          <w:sz w:val="24"/>
          <w:highlight w:val="none"/>
        </w:rPr>
      </w:r>
      <w:r/>
    </w:p>
    <w:p>
      <w:pPr>
        <w:pStyle w:val="676"/>
        <w:ind w:firstLine="480"/>
        <w:jc w:val="left"/>
        <w:spacing w:line="360" w:lineRule="auto"/>
        <w:shd w:val="clear" w:color="auto" w:fill="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（2）</w:t>
      </w:r>
      <w:r>
        <w:rPr>
          <w:rFonts w:hint="eastAsia" w:ascii="宋体" w:hAnsi="宋体"/>
          <w:bCs/>
          <w:color w:val="000000"/>
          <w:sz w:val="24"/>
          <w:highlight w:val="none"/>
        </w:rPr>
        <w:t xml:space="preserve">其他服务人员的配置</w:t>
      </w:r>
      <w:r>
        <w:rPr>
          <w:rFonts w:hint="eastAsia" w:ascii="宋体" w:hAnsi="宋体"/>
          <w:bCs/>
          <w:color w:val="000000"/>
          <w:sz w:val="24"/>
          <w:szCs w:val="21"/>
          <w:highlight w:val="none"/>
          <w:lang w:val="zh-CN"/>
        </w:rPr>
        <w:t xml:space="preserve">（</w:t>
      </w:r>
      <w:r>
        <w:rPr>
          <w:rFonts w:hint="eastAsia" w:ascii="宋体" w:hAnsi="宋体"/>
          <w:bCs/>
          <w:color w:val="000000"/>
          <w:sz w:val="24"/>
          <w:szCs w:val="21"/>
          <w:highlight w:val="none"/>
        </w:rPr>
        <w:t xml:space="preserve">8</w:t>
      </w:r>
      <w:r>
        <w:rPr>
          <w:rFonts w:hint="eastAsia" w:ascii="宋体" w:hAnsi="宋体"/>
          <w:bCs/>
          <w:color w:val="000000"/>
          <w:sz w:val="24"/>
          <w:szCs w:val="21"/>
          <w:highlight w:val="none"/>
          <w:lang w:val="zh-CN"/>
        </w:rPr>
        <w:t xml:space="preserve">分）</w:t>
      </w:r>
      <w:r>
        <w:rPr>
          <w:rFonts w:hint="eastAsia" w:ascii="宋体" w:hAnsi="宋体"/>
          <w:bCs/>
          <w:color w:val="000000"/>
          <w:sz w:val="24"/>
          <w:szCs w:val="21"/>
          <w:highlight w:val="none"/>
          <w:lang w:val="zh-CN"/>
        </w:rPr>
      </w:r>
      <w:r/>
    </w:p>
    <w:p>
      <w:pPr>
        <w:pStyle w:val="676"/>
        <w:ind w:firstLine="480"/>
        <w:jc w:val="left"/>
        <w:spacing w:line="360" w:lineRule="auto"/>
        <w:shd w:val="clear" w:color="auto" w:fill="auto"/>
        <w:tabs>
          <w:tab w:val="left" w:pos="945" w:leader="none"/>
          <w:tab w:val="left" w:pos="1155" w:leader="none"/>
        </w:tabs>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w:t>
      </w:r>
      <w:r>
        <w:rPr>
          <w:rFonts w:hint="eastAsia" w:ascii="宋体" w:hAnsi="宋体"/>
          <w:bCs/>
          <w:color w:val="000000"/>
          <w:sz w:val="24"/>
          <w:highlight w:val="none"/>
        </w:rPr>
        <w:t xml:space="preserve">保洁</w:t>
      </w:r>
      <w:r>
        <w:rPr>
          <w:rFonts w:hint="eastAsia" w:ascii="宋体" w:hAnsi="宋体"/>
          <w:bCs/>
          <w:color w:val="000000"/>
          <w:sz w:val="24"/>
          <w:highlight w:val="none"/>
          <w:lang w:val="zh-CN"/>
        </w:rPr>
        <w:t xml:space="preserve">服务人员</w:t>
      </w:r>
      <w:r>
        <w:rPr>
          <w:rFonts w:hint="eastAsia" w:ascii="宋体" w:hAnsi="宋体"/>
          <w:bCs/>
          <w:color w:val="000000"/>
          <w:sz w:val="24"/>
          <w:szCs w:val="21"/>
          <w:highlight w:val="none"/>
          <w:lang w:val="zh-CN"/>
        </w:rPr>
        <w:t xml:space="preserve">（</w:t>
      </w: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zh-CN"/>
        </w:rPr>
        <w:t xml:space="preserve">分）</w:t>
      </w:r>
      <w:r>
        <w:rPr>
          <w:rFonts w:hint="eastAsia" w:ascii="宋体" w:hAnsi="宋体"/>
          <w:bCs/>
          <w:color w:val="000000"/>
          <w:sz w:val="24"/>
          <w:szCs w:val="21"/>
          <w:highlight w:val="none"/>
          <w:lang w:val="zh-CN"/>
        </w:rPr>
      </w:r>
      <w:r/>
    </w:p>
    <w:p>
      <w:pPr>
        <w:pStyle w:val="676"/>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lang w:val="zh-CN"/>
        </w:rPr>
      </w:pPr>
      <w:r>
        <w:rPr>
          <w:rFonts w:hint="eastAsia" w:ascii="宋体" w:hAnsi="宋体"/>
          <w:bCs/>
          <w:color w:val="000000"/>
          <w:sz w:val="24"/>
          <w:highlight w:val="none"/>
        </w:rPr>
        <w:t xml:space="preserve">具有本科及以上学历证得2分</w:t>
      </w:r>
      <w:r>
        <w:rPr>
          <w:rFonts w:hint="eastAsia" w:ascii="宋体" w:hAnsi="宋体"/>
          <w:bCs/>
          <w:color w:val="000000"/>
          <w:sz w:val="24"/>
          <w:highlight w:val="none"/>
          <w:lang w:val="zh-CN"/>
        </w:rPr>
        <w:t xml:space="preserve">本项最高得</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分。</w:t>
      </w:r>
      <w:r>
        <w:rPr>
          <w:rFonts w:hint="eastAsia" w:ascii="宋体" w:hAnsi="宋体"/>
          <w:bCs/>
          <w:color w:val="000000"/>
          <w:sz w:val="24"/>
          <w:highlight w:val="none"/>
          <w:lang w:val="zh-CN"/>
        </w:rPr>
      </w:r>
      <w:r/>
    </w:p>
    <w:p>
      <w:pPr>
        <w:pStyle w:val="676"/>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需</w:t>
      </w:r>
      <w:r>
        <w:rPr>
          <w:rFonts w:hint="eastAsia" w:ascii="宋体" w:hAnsi="宋体"/>
          <w:bCs/>
          <w:color w:val="000000"/>
          <w:sz w:val="24"/>
          <w:highlight w:val="none"/>
          <w:lang w:val="zh-CN"/>
        </w:rPr>
        <w:t xml:space="preserve">提供</w:t>
      </w:r>
      <w:r>
        <w:rPr>
          <w:rFonts w:hint="eastAsia" w:ascii="宋体" w:hAnsi="宋体"/>
          <w:bCs/>
          <w:color w:val="000000"/>
          <w:sz w:val="24"/>
          <w:highlight w:val="none"/>
        </w:rPr>
        <w:t xml:space="preserve">身份证、相关证书、</w:t>
      </w:r>
      <w:r>
        <w:rPr>
          <w:rFonts w:ascii="宋体" w:hAnsi="宋体" w:cs="宋体"/>
          <w:color w:val="000000"/>
          <w:sz w:val="24"/>
          <w:highlight w:val="none"/>
        </w:rPr>
        <w:t xml:space="preserve">劳动合同</w:t>
      </w:r>
      <w:r>
        <w:rPr>
          <w:rFonts w:hint="eastAsia" w:ascii="宋体" w:hAnsi="宋体"/>
          <w:bCs/>
          <w:color w:val="000000"/>
          <w:sz w:val="24"/>
          <w:highlight w:val="none"/>
          <w:lang w:val="zh-CN"/>
        </w:rPr>
        <w:t xml:space="preserve">、社保部门出具的最近</w:t>
      </w:r>
      <w:r>
        <w:rPr>
          <w:rFonts w:hint="eastAsia" w:ascii="宋体" w:hAnsi="宋体"/>
          <w:bCs/>
          <w:color w:val="000000"/>
          <w:sz w:val="24"/>
          <w:highlight w:val="none"/>
        </w:rPr>
        <w:t xml:space="preserve">一年中任意一个月</w:t>
      </w:r>
      <w:r>
        <w:rPr>
          <w:rFonts w:hint="eastAsia" w:ascii="宋体" w:hAnsi="宋体"/>
          <w:bCs/>
          <w:color w:val="000000"/>
          <w:sz w:val="24"/>
          <w:highlight w:val="none"/>
          <w:lang w:val="zh-CN"/>
        </w:rPr>
        <w:t xml:space="preserve">（不含投标当月）社保缴纳证明（需提供带有清晰二维码的官网打印件）</w:t>
      </w:r>
      <w:r>
        <w:rPr>
          <w:rFonts w:hint="eastAsia" w:ascii="宋体" w:hAnsi="宋体"/>
          <w:bCs/>
          <w:color w:val="000000"/>
          <w:sz w:val="24"/>
          <w:highlight w:val="none"/>
        </w:rPr>
        <w:t xml:space="preserve">等</w:t>
      </w:r>
      <w:r>
        <w:rPr>
          <w:rFonts w:hint="eastAsia" w:ascii="宋体" w:hAnsi="宋体"/>
          <w:bCs/>
          <w:color w:val="000000"/>
          <w:sz w:val="24"/>
          <w:highlight w:val="none"/>
          <w:lang w:val="zh-CN"/>
        </w:rPr>
        <w:t xml:space="preserve">资料的扫描件上传至投标文件</w:t>
      </w:r>
      <w:r>
        <w:rPr>
          <w:rFonts w:hint="eastAsia" w:ascii="宋体" w:hAnsi="宋体"/>
          <w:bCs/>
          <w:color w:val="000000"/>
          <w:sz w:val="24"/>
          <w:highlight w:val="none"/>
        </w:rPr>
        <w:t xml:space="preserve">并加盖投标人电子签章</w:t>
      </w:r>
      <w:r>
        <w:rPr>
          <w:rFonts w:hint="eastAsia" w:ascii="宋体" w:hAnsi="宋体"/>
          <w:bCs/>
          <w:color w:val="000000"/>
          <w:sz w:val="24"/>
          <w:highlight w:val="none"/>
          <w:lang w:val="zh-CN"/>
        </w:rPr>
        <w:t xml:space="preserve">，未按要求提供不得分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6"/>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ascii="宋体" w:hAnsi="宋体"/>
          <w:bCs/>
          <w:color w:val="000000"/>
          <w:sz w:val="24"/>
          <w:highlight w:val="none"/>
          <w:lang w:val="zh-CN"/>
        </w:rPr>
        <w:t xml:space="preserve">②</w:t>
      </w:r>
      <w:r>
        <w:rPr>
          <w:rFonts w:hint="eastAsia" w:ascii="宋体" w:hAnsi="宋体"/>
          <w:bCs/>
          <w:color w:val="000000"/>
          <w:sz w:val="24"/>
          <w:highlight w:val="none"/>
          <w:lang w:val="zh-CN"/>
        </w:rPr>
        <w:t xml:space="preserve">其他岗位服务人员（</w:t>
      </w:r>
      <w:r>
        <w:rPr>
          <w:rFonts w:hint="eastAsia" w:ascii="宋体" w:hAnsi="宋体"/>
          <w:bCs/>
          <w:color w:val="000000"/>
          <w:sz w:val="24"/>
          <w:highlight w:val="none"/>
        </w:rPr>
        <w:t xml:space="preserve">6</w:t>
      </w:r>
      <w:r>
        <w:rPr>
          <w:rFonts w:hint="eastAsia" w:ascii="宋体" w:hAnsi="宋体"/>
          <w:bCs/>
          <w:color w:val="000000"/>
          <w:sz w:val="24"/>
          <w:highlight w:val="none"/>
          <w:lang w:val="zh-CN"/>
        </w:rPr>
        <w:t xml:space="preserve">分)</w:t>
      </w:r>
      <w:r>
        <w:rPr>
          <w:rFonts w:hint="eastAsia" w:ascii="宋体" w:hAnsi="宋体"/>
          <w:bCs/>
          <w:color w:val="000000"/>
          <w:sz w:val="24"/>
          <w:highlight w:val="none"/>
        </w:rPr>
      </w:r>
      <w:r/>
    </w:p>
    <w:p>
      <w:pPr>
        <w:pStyle w:val="676"/>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a.</w:t>
      </w:r>
      <w:r>
        <w:rPr>
          <w:rFonts w:hint="eastAsia" w:ascii="宋体" w:hAnsi="宋体"/>
          <w:bCs/>
          <w:color w:val="000000"/>
          <w:sz w:val="24"/>
          <w:highlight w:val="none"/>
          <w:lang w:val="zh-CN"/>
        </w:rPr>
        <w:t xml:space="preserve">工程部，</w:t>
      </w:r>
      <w:r>
        <w:rPr>
          <w:rFonts w:hint="eastAsia" w:ascii="宋体" w:hAnsi="宋体"/>
          <w:bCs/>
          <w:color w:val="000000"/>
          <w:sz w:val="24"/>
          <w:highlight w:val="none"/>
        </w:rPr>
        <w:t xml:space="preserve">具有高压电工证书的</w:t>
      </w:r>
      <w:r>
        <w:rPr>
          <w:rFonts w:hint="eastAsia" w:ascii="宋体" w:hAnsi="宋体"/>
          <w:bCs/>
          <w:color w:val="000000"/>
          <w:sz w:val="24"/>
          <w:highlight w:val="none"/>
          <w:lang w:val="zh-CN"/>
        </w:rPr>
        <w:t xml:space="preserve">得</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分，本项</w:t>
      </w:r>
      <w:r>
        <w:rPr>
          <w:rFonts w:hint="eastAsia" w:ascii="宋体" w:hAnsi="宋体"/>
          <w:bCs/>
          <w:color w:val="000000"/>
          <w:sz w:val="24"/>
          <w:highlight w:val="none"/>
        </w:rPr>
        <w:t xml:space="preserve">最高得2分。</w:t>
      </w:r>
      <w:r>
        <w:rPr>
          <w:rFonts w:hint="eastAsia" w:ascii="宋体" w:hAnsi="宋体"/>
          <w:bCs/>
          <w:color w:val="000000"/>
          <w:sz w:val="24"/>
          <w:highlight w:val="none"/>
        </w:rPr>
      </w:r>
      <w:r/>
    </w:p>
    <w:p>
      <w:pPr>
        <w:pStyle w:val="676"/>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需</w:t>
      </w:r>
      <w:r>
        <w:rPr>
          <w:rFonts w:hint="eastAsia" w:ascii="宋体" w:hAnsi="宋体"/>
          <w:bCs/>
          <w:color w:val="000000"/>
          <w:sz w:val="24"/>
          <w:highlight w:val="none"/>
          <w:lang w:val="zh-CN"/>
        </w:rPr>
        <w:t xml:space="preserve">提供</w:t>
      </w:r>
      <w:r>
        <w:rPr>
          <w:rFonts w:hint="eastAsia" w:ascii="宋体" w:hAnsi="宋体"/>
          <w:bCs/>
          <w:color w:val="000000"/>
          <w:sz w:val="24"/>
          <w:highlight w:val="none"/>
        </w:rPr>
        <w:t xml:space="preserve">身份证、</w:t>
      </w:r>
      <w:r>
        <w:rPr>
          <w:rFonts w:hint="eastAsia" w:ascii="宋体" w:hAnsi="宋体"/>
          <w:bCs/>
          <w:color w:val="000000"/>
          <w:sz w:val="24"/>
          <w:highlight w:val="none"/>
          <w:lang w:val="zh-CN"/>
        </w:rPr>
        <w:t xml:space="preserve">相关</w:t>
      </w:r>
      <w:r>
        <w:rPr>
          <w:rFonts w:hint="eastAsia" w:ascii="宋体" w:hAnsi="宋体"/>
          <w:bCs/>
          <w:color w:val="000000"/>
          <w:sz w:val="24"/>
          <w:highlight w:val="none"/>
        </w:rPr>
        <w:t xml:space="preserve">证书、</w:t>
      </w:r>
      <w:r>
        <w:rPr>
          <w:rFonts w:hint="eastAsia" w:ascii="宋体" w:hAnsi="宋体"/>
          <w:bCs/>
          <w:color w:val="000000"/>
          <w:sz w:val="24"/>
          <w:highlight w:val="none"/>
          <w:lang w:val="zh-CN"/>
        </w:rPr>
        <w:t xml:space="preserve">劳动合同、社保部门出具的最近</w:t>
      </w:r>
      <w:r>
        <w:rPr>
          <w:rFonts w:hint="eastAsia" w:ascii="宋体" w:hAnsi="宋体"/>
          <w:bCs/>
          <w:color w:val="000000"/>
          <w:sz w:val="24"/>
          <w:highlight w:val="none"/>
        </w:rPr>
        <w:t xml:space="preserve">一年中任意一个月</w:t>
      </w:r>
      <w:r>
        <w:rPr>
          <w:rFonts w:hint="eastAsia" w:ascii="宋体" w:hAnsi="宋体"/>
          <w:bCs/>
          <w:color w:val="000000"/>
          <w:sz w:val="24"/>
          <w:highlight w:val="none"/>
          <w:lang w:val="zh-CN"/>
        </w:rPr>
        <w:t xml:space="preserve">（不含投标当月）社保缴纳证明（需提供带有清晰二维码的官网打印件）</w:t>
      </w:r>
      <w:r>
        <w:rPr>
          <w:rFonts w:hint="eastAsia" w:ascii="宋体" w:hAnsi="宋体"/>
          <w:bCs/>
          <w:color w:val="000000"/>
          <w:sz w:val="24"/>
          <w:highlight w:val="none"/>
        </w:rPr>
        <w:t xml:space="preserve">等</w:t>
      </w:r>
      <w:r>
        <w:rPr>
          <w:rFonts w:hint="eastAsia" w:ascii="宋体" w:hAnsi="宋体"/>
          <w:bCs/>
          <w:color w:val="000000"/>
          <w:sz w:val="24"/>
          <w:highlight w:val="none"/>
          <w:lang w:val="zh-CN"/>
        </w:rPr>
        <w:t xml:space="preserve">资料的扫描件上传至投标文件</w:t>
      </w:r>
      <w:r>
        <w:rPr>
          <w:rFonts w:hint="eastAsia" w:ascii="宋体" w:hAnsi="宋体"/>
          <w:bCs/>
          <w:color w:val="000000"/>
          <w:sz w:val="24"/>
          <w:highlight w:val="none"/>
        </w:rPr>
        <w:t xml:space="preserve">并加盖投标人电子签章</w:t>
      </w:r>
      <w:r>
        <w:rPr>
          <w:rFonts w:hint="eastAsia" w:ascii="宋体" w:hAnsi="宋体"/>
          <w:bCs/>
          <w:color w:val="000000"/>
          <w:sz w:val="24"/>
          <w:highlight w:val="none"/>
          <w:lang w:val="zh-CN"/>
        </w:rPr>
        <w:t xml:space="preserve">，未按要求提供不得分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6"/>
        <w:ind w:firstLine="480"/>
        <w:jc w:val="lef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b.保安队长具有消防设施操作员证（或建筑物消防员证）的得2分；保安队员中提供一张特种设备安全管理和作业人员</w:t>
      </w:r>
      <w:r>
        <w:rPr>
          <w:rFonts w:hint="eastAsia" w:ascii="宋体" w:hAnsi="宋体"/>
          <w:bCs/>
          <w:color w:val="000000"/>
          <w:sz w:val="24"/>
          <w:highlight w:val="none"/>
          <w:lang w:val="zh-CN"/>
        </w:rPr>
        <w:t xml:space="preserve">证</w:t>
      </w:r>
      <w:r>
        <w:rPr>
          <w:rFonts w:hint="eastAsia" w:ascii="宋体" w:hAnsi="宋体"/>
          <w:bCs/>
          <w:color w:val="000000"/>
          <w:sz w:val="24"/>
          <w:highlight w:val="none"/>
        </w:rPr>
        <w:t xml:space="preserve">书的得2分，本项最高得4分。</w:t>
      </w:r>
      <w:r>
        <w:rPr>
          <w:rFonts w:hint="eastAsia" w:ascii="宋体" w:hAnsi="宋体"/>
          <w:bCs/>
          <w:color w:val="000000"/>
          <w:sz w:val="24"/>
          <w:highlight w:val="none"/>
        </w:rPr>
      </w:r>
      <w:r/>
    </w:p>
    <w:p>
      <w:pPr>
        <w:pStyle w:val="676"/>
        <w:ind w:firstLine="480"/>
        <w:jc w:val="left"/>
        <w:spacing w:line="360" w:lineRule="auto"/>
        <w:shd w:val="clear" w:color="auto" w:fill="auto"/>
        <w:tabs>
          <w:tab w:val="left" w:pos="945" w:leader="none"/>
          <w:tab w:val="left" w:pos="1155" w:leader="none"/>
        </w:tabs>
        <w:rPr>
          <w:color w:val="000000"/>
          <w:highlight w:val="none"/>
        </w:rPr>
      </w:pPr>
      <w:r>
        <w:rPr>
          <w:rFonts w:hint="eastAsia" w:ascii="宋体" w:hAnsi="宋体"/>
          <w:bCs/>
          <w:color w:val="000000"/>
          <w:sz w:val="24"/>
          <w:highlight w:val="none"/>
        </w:rPr>
        <w:t xml:space="preserve">需</w:t>
      </w:r>
      <w:r>
        <w:rPr>
          <w:rFonts w:hint="eastAsia" w:ascii="宋体" w:hAnsi="宋体"/>
          <w:bCs/>
          <w:color w:val="000000"/>
          <w:sz w:val="24"/>
          <w:highlight w:val="none"/>
          <w:lang w:val="zh-CN"/>
        </w:rPr>
        <w:t xml:space="preserve">提供</w:t>
      </w:r>
      <w:r>
        <w:rPr>
          <w:rFonts w:hint="eastAsia" w:ascii="宋体" w:hAnsi="宋体"/>
          <w:bCs/>
          <w:color w:val="000000"/>
          <w:sz w:val="24"/>
          <w:highlight w:val="none"/>
        </w:rPr>
        <w:t xml:space="preserve">身份证、</w:t>
      </w:r>
      <w:r>
        <w:rPr>
          <w:rFonts w:hint="eastAsia" w:ascii="宋体" w:hAnsi="宋体"/>
          <w:bCs/>
          <w:color w:val="000000"/>
          <w:sz w:val="24"/>
          <w:highlight w:val="none"/>
          <w:lang w:val="zh-CN"/>
        </w:rPr>
        <w:t xml:space="preserve">相关</w:t>
      </w:r>
      <w:r>
        <w:rPr>
          <w:rFonts w:hint="eastAsia" w:ascii="宋体" w:hAnsi="宋体"/>
          <w:bCs/>
          <w:color w:val="000000"/>
          <w:sz w:val="24"/>
          <w:highlight w:val="none"/>
        </w:rPr>
        <w:t xml:space="preserve">证书、</w:t>
      </w:r>
      <w:r>
        <w:rPr>
          <w:rFonts w:hint="eastAsia" w:ascii="宋体" w:hAnsi="宋体"/>
          <w:bCs/>
          <w:color w:val="000000"/>
          <w:sz w:val="24"/>
          <w:highlight w:val="none"/>
          <w:lang w:val="zh-CN"/>
        </w:rPr>
        <w:t xml:space="preserve">劳动合同、社保部门出具的最近</w:t>
      </w:r>
      <w:r>
        <w:rPr>
          <w:rFonts w:hint="eastAsia" w:ascii="宋体" w:hAnsi="宋体"/>
          <w:bCs/>
          <w:color w:val="000000"/>
          <w:sz w:val="24"/>
          <w:highlight w:val="none"/>
        </w:rPr>
        <w:t xml:space="preserve">一年中任意一个月</w:t>
      </w:r>
      <w:r>
        <w:rPr>
          <w:rFonts w:hint="eastAsia" w:ascii="宋体" w:hAnsi="宋体"/>
          <w:bCs/>
          <w:color w:val="000000"/>
          <w:sz w:val="24"/>
          <w:highlight w:val="none"/>
          <w:lang w:val="zh-CN"/>
        </w:rPr>
        <w:t xml:space="preserve">（不含投标当月）社保缴纳证明（需提供带有清晰二维码的官网打印件）</w:t>
      </w:r>
      <w:r>
        <w:rPr>
          <w:rFonts w:hint="eastAsia" w:ascii="宋体" w:hAnsi="宋体"/>
          <w:bCs/>
          <w:color w:val="000000"/>
          <w:sz w:val="24"/>
          <w:highlight w:val="none"/>
        </w:rPr>
        <w:t xml:space="preserve">等</w:t>
      </w:r>
      <w:r>
        <w:rPr>
          <w:rFonts w:hint="eastAsia" w:ascii="宋体" w:hAnsi="宋体"/>
          <w:bCs/>
          <w:color w:val="000000"/>
          <w:sz w:val="24"/>
          <w:highlight w:val="none"/>
          <w:lang w:val="zh-CN"/>
        </w:rPr>
        <w:t xml:space="preserve">资料的扫描件上传至投标文件</w:t>
      </w:r>
      <w:r>
        <w:rPr>
          <w:rFonts w:hint="eastAsia" w:ascii="宋体" w:hAnsi="宋体"/>
          <w:bCs/>
          <w:color w:val="000000"/>
          <w:sz w:val="24"/>
          <w:highlight w:val="none"/>
        </w:rPr>
        <w:t xml:space="preserve">并加盖投标人电子签章</w:t>
      </w:r>
      <w:r>
        <w:rPr>
          <w:rFonts w:hint="eastAsia" w:ascii="宋体" w:hAnsi="宋体"/>
          <w:bCs/>
          <w:color w:val="000000"/>
          <w:sz w:val="24"/>
          <w:highlight w:val="none"/>
          <w:lang w:val="zh-CN"/>
        </w:rPr>
        <w:t xml:space="preserve">，未按要求提供不得分</w:t>
      </w:r>
      <w:r>
        <w:rPr>
          <w:rFonts w:hint="eastAsia" w:ascii="宋体" w:hAnsi="宋体"/>
          <w:bCs/>
          <w:color w:val="000000"/>
          <w:sz w:val="24"/>
          <w:highlight w:val="none"/>
        </w:rPr>
        <w:t xml:space="preserve">。</w:t>
      </w:r>
      <w:r>
        <w:rPr>
          <w:color w:val="000000"/>
          <w:highlight w:val="none"/>
        </w:rPr>
      </w:r>
      <w:r/>
    </w:p>
    <w:p>
      <w:pPr>
        <w:pStyle w:val="676"/>
        <w:numPr>
          <w:ilvl w:val="4"/>
          <w:numId w:val="10"/>
        </w:numPr>
        <w:ind w:left="0" w:firstLine="482"/>
        <w:spacing w:line="500" w:lineRule="exact"/>
        <w:shd w:val="clear" w:color="auto" w:fill="auto"/>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 </w:t>
      </w:r>
      <w:r>
        <w:rPr>
          <w:rFonts w:hint="eastAsia" w:ascii="宋体" w:hAnsi="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6"/>
        <w:ind w:firstLine="480"/>
        <w:jc w:val="left"/>
        <w:spacing w:line="360" w:lineRule="auto"/>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（1）业绩（3分）：投标人自</w:t>
      </w:r>
      <w:r>
        <w:rPr>
          <w:rFonts w:ascii="宋体" w:hAnsi="宋体"/>
          <w:bCs/>
          <w:color w:val="000000"/>
          <w:sz w:val="24"/>
          <w:szCs w:val="21"/>
          <w:highlight w:val="none"/>
        </w:rPr>
        <w:t xml:space="preserve">202</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年1月1日以来（以</w:t>
      </w:r>
      <w:r>
        <w:rPr>
          <w:rFonts w:hint="eastAsia" w:ascii="宋体" w:hAnsi="宋体"/>
          <w:bCs/>
          <w:color w:val="000000"/>
          <w:sz w:val="24"/>
          <w:szCs w:val="21"/>
          <w:highlight w:val="none"/>
        </w:rPr>
        <w:t xml:space="preserve">合同签订</w:t>
      </w:r>
      <w:r>
        <w:rPr>
          <w:rFonts w:ascii="宋体" w:hAnsi="宋体"/>
          <w:bCs/>
          <w:color w:val="000000"/>
          <w:sz w:val="24"/>
          <w:szCs w:val="21"/>
          <w:highlight w:val="none"/>
        </w:rPr>
        <w:t xml:space="preserve">时间为准），具有</w:t>
      </w:r>
      <w:r>
        <w:rPr>
          <w:rFonts w:hint="eastAsia" w:ascii="宋体" w:hAnsi="宋体"/>
          <w:bCs/>
          <w:color w:val="000000"/>
          <w:sz w:val="24"/>
          <w:szCs w:val="21"/>
          <w:highlight w:val="none"/>
        </w:rPr>
        <w:t xml:space="preserve">类似</w:t>
      </w:r>
      <w:r>
        <w:rPr>
          <w:rFonts w:ascii="宋体" w:hAnsi="宋体"/>
          <w:bCs/>
          <w:color w:val="000000"/>
          <w:sz w:val="24"/>
          <w:szCs w:val="21"/>
          <w:highlight w:val="none"/>
        </w:rPr>
        <w:t xml:space="preserve">业绩的，</w:t>
      </w:r>
      <w:r>
        <w:rPr>
          <w:rFonts w:hint="eastAsia" w:ascii="宋体" w:hAnsi="宋体"/>
          <w:bCs/>
          <w:color w:val="000000"/>
          <w:sz w:val="24"/>
          <w:szCs w:val="21"/>
          <w:highlight w:val="none"/>
        </w:rPr>
        <w:t xml:space="preserve">提供合同原件扫描件加盖公章，</w:t>
      </w:r>
      <w:r>
        <w:rPr>
          <w:rFonts w:ascii="宋体" w:hAnsi="宋体"/>
          <w:bCs/>
          <w:color w:val="000000"/>
          <w:sz w:val="24"/>
          <w:szCs w:val="21"/>
          <w:highlight w:val="none"/>
        </w:rPr>
        <w:t xml:space="preserve">有1个得</w:t>
      </w:r>
      <w:r>
        <w:rPr>
          <w:rFonts w:hint="eastAsia" w:ascii="宋体" w:hAnsi="宋体"/>
          <w:bCs/>
          <w:color w:val="000000"/>
          <w:sz w:val="24"/>
          <w:szCs w:val="21"/>
          <w:highlight w:val="none"/>
        </w:rPr>
        <w:t xml:space="preserve">1.5</w:t>
      </w:r>
      <w:r>
        <w:rPr>
          <w:rFonts w:ascii="宋体" w:hAnsi="宋体"/>
          <w:bCs/>
          <w:color w:val="000000"/>
          <w:sz w:val="24"/>
          <w:szCs w:val="21"/>
          <w:highlight w:val="none"/>
        </w:rPr>
        <w:t xml:space="preserve">分，本项</w:t>
      </w:r>
      <w:r>
        <w:rPr>
          <w:rFonts w:hint="eastAsia" w:ascii="宋体" w:hAnsi="宋体"/>
          <w:bCs/>
          <w:color w:val="000000"/>
          <w:sz w:val="24"/>
          <w:szCs w:val="21"/>
          <w:highlight w:val="none"/>
        </w:rPr>
        <w:t xml:space="preserve">最高</w:t>
      </w:r>
      <w:r>
        <w:rPr>
          <w:rFonts w:ascii="宋体" w:hAnsi="宋体"/>
          <w:bCs/>
          <w:color w:val="000000"/>
          <w:sz w:val="24"/>
          <w:szCs w:val="21"/>
          <w:highlight w:val="none"/>
        </w:rPr>
        <w:t xml:space="preserve">得</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分</w:t>
      </w:r>
      <w:r>
        <w:rPr>
          <w:rFonts w:hint="eastAsia" w:ascii="宋体" w:hAnsi="宋体"/>
          <w:bCs/>
          <w:color w:val="000000"/>
          <w:sz w:val="24"/>
          <w:highlight w:val="none"/>
        </w:rPr>
        <w:t xml:space="preserve">，未按要求提供不得分</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76"/>
        <w:ind w:firstLine="480"/>
        <w:jc w:val="left"/>
        <w:spacing w:line="360" w:lineRule="auto"/>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（2）体系（6分）：投标人具有有效期内的质量管理体系认证证书、环境管理体系认证证书、职业安全健康管理体系认证证书；</w:t>
      </w:r>
      <w:r>
        <w:rPr>
          <w:rFonts w:hint="eastAsia" w:ascii="宋体" w:hAnsi="宋体"/>
          <w:bCs/>
          <w:color w:val="000000"/>
          <w:sz w:val="24"/>
          <w:szCs w:val="21"/>
          <w:highlight w:val="none"/>
        </w:rPr>
      </w:r>
      <w:r/>
    </w:p>
    <w:p>
      <w:pPr>
        <w:pStyle w:val="676"/>
        <w:ind w:firstLine="480"/>
        <w:jc w:val="left"/>
        <w:spacing w:line="360" w:lineRule="auto"/>
        <w:shd w:val="clear" w:color="auto" w:fill="auto"/>
        <w:rPr>
          <w:rFonts w:ascii="宋体" w:hAnsi="宋体"/>
          <w:color w:val="000000"/>
          <w:sz w:val="24"/>
          <w:highlight w:val="none"/>
        </w:rPr>
      </w:pPr>
      <w:r>
        <w:rPr>
          <w:rFonts w:hint="eastAsia" w:ascii="宋体" w:hAnsi="宋体"/>
          <w:bCs/>
          <w:color w:val="000000"/>
          <w:sz w:val="24"/>
          <w:szCs w:val="21"/>
          <w:highlight w:val="none"/>
        </w:rPr>
        <w:t xml:space="preserve">提供上述证书原件扫描件并加盖投标人公章。</w:t>
      </w:r>
      <w:r>
        <w:rPr>
          <w:rFonts w:ascii="宋体" w:hAnsi="宋体"/>
          <w:bCs/>
          <w:color w:val="000000"/>
          <w:sz w:val="24"/>
          <w:szCs w:val="21"/>
          <w:highlight w:val="none"/>
        </w:rPr>
        <w:t xml:space="preserve">有1个得</w:t>
      </w: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分</w:t>
      </w: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本项</w:t>
      </w:r>
      <w:r>
        <w:rPr>
          <w:rFonts w:hint="eastAsia" w:ascii="宋体" w:hAnsi="宋体"/>
          <w:bCs/>
          <w:color w:val="000000"/>
          <w:sz w:val="24"/>
          <w:szCs w:val="21"/>
          <w:highlight w:val="none"/>
        </w:rPr>
        <w:t xml:space="preserve">最高得6分</w:t>
      </w:r>
      <w:r>
        <w:rPr>
          <w:rFonts w:hint="eastAsia" w:ascii="宋体" w:hAnsi="宋体"/>
          <w:bCs/>
          <w:color w:val="000000"/>
          <w:sz w:val="24"/>
          <w:highlight w:val="none"/>
        </w:rPr>
        <w:t xml:space="preserve">，未按要求提供不得分</w:t>
      </w:r>
      <w:r>
        <w:rPr>
          <w:rFonts w:hint="eastAsia" w:ascii="宋体" w:hAnsi="宋体"/>
          <w:bCs/>
          <w:color w:val="000000"/>
          <w:sz w:val="24"/>
          <w:szCs w:val="21"/>
          <w:highlight w:val="none"/>
        </w:rPr>
        <w:t xml:space="preserve">。</w:t>
      </w:r>
      <w:r>
        <w:rPr>
          <w:rFonts w:ascii="宋体" w:hAnsi="宋体"/>
          <w:color w:val="000000"/>
          <w:sz w:val="24"/>
          <w:highlight w:val="none"/>
        </w:rPr>
      </w:r>
      <w:r/>
    </w:p>
    <w:p>
      <w:pPr>
        <w:pStyle w:val="676"/>
        <w:numPr>
          <w:ilvl w:val="4"/>
          <w:numId w:val="10"/>
        </w:numPr>
        <w:ind w:left="0" w:firstLine="482"/>
        <w:spacing w:line="500" w:lineRule="exact"/>
        <w:shd w:val="clear" w:color="auto" w:fill="auto"/>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rPr>
          <w:rFonts w:hint="eastAsia" w:ascii="宋体" w:hAnsi="宋体"/>
          <w:bCs/>
          <w:color w:val="000000"/>
          <w:sz w:val="24"/>
          <w:highlight w:val="none"/>
        </w:rPr>
        <w:t xml:space="preserve">在响应采购文件需求的基础上针对下列各部分进行</w:t>
      </w:r>
      <w:r>
        <w:rPr>
          <w:rFonts w:hint="eastAsia" w:ascii="宋体" w:hAnsi="宋体"/>
          <w:bCs/>
          <w:color w:val="000000"/>
          <w:sz w:val="24"/>
          <w:szCs w:val="24"/>
          <w:highlight w:val="none"/>
        </w:rPr>
        <w:t xml:space="preserve">评价，要求体现科学合理性、条理性、可行性、完善性、针对性，</w:t>
      </w:r>
      <w:r>
        <w:rPr>
          <w:rFonts w:hint="eastAsia" w:ascii="宋体" w:hAnsi="宋体"/>
          <w:bCs/>
          <w:color w:val="000000"/>
          <w:sz w:val="24"/>
          <w:highlight w:val="none"/>
        </w:rPr>
        <w:t xml:space="preserve">以下各部分如未见阐述则不得分：</w:t>
      </w:r>
      <w:r>
        <w:rPr>
          <w:rFonts w:ascii="宋体" w:hAnsi="宋体"/>
          <w:b/>
          <w:bCs/>
          <w:color w:val="000000"/>
          <w:sz w:val="24"/>
          <w:szCs w:val="24"/>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4.1目标及整体设想（10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方案完整、科学合理，设计清晰详细，完全符合本项目需求，且能够提供上述5项全部方案的，得10分；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方案较完整，科学合理性较强，设计较清晰详细，能够符合本项目需求，能够提供上述4-5项方案的，得7分；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方案完整性一般，科学合理性一般，设计清晰详细程度一般，能够符合本项目需求，能够提供上述3-5项方案的，得4分；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方案完整性、科学合理性、设计的清晰详细程度等只能基本满足要求，能够提供上述2-5项方案的，得2分；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4.2管理服务体系（10分）：内容包括：①综合管理服务体系；②公共区域秩序维护服务体系；③公共区域清洁管理服务体系；④公用设施设备日常运行、保养、维修管理服务体系。⑤物资装备的配备及维保使用方案。</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方案完整、科学合理，设计清晰详细，完全符合本项目需求，且能够提供上述5项全部方案的，得10分；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方案较完整，科学合理性较强，设计较清晰详细，能够符合本项目需求，能够提供上述4-5项方案的，得7分；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方案完整性一般，科学合理性一般，设计清晰详细程度一般，能够符合本项目需求，能够提供上述3-5项方案的，得4分；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方案完整性、科学合理性、设计的清晰详细程度等只能基本满足要求，能够提供上述2-5项方案的，得2分；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4.3培训及日常管理标准和措施（10分）：内容包括：①物业管理服务的岗前培训目标、方案、计划、内容等和物业管理服务的阶段性培训管理；②综合管理的日常管理标准及措施；③保安管理的日常管理标准及措施；④保洁管理的日常管理标准及措施；⑤保安管理的日常管理标准及措施。</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方案完整、科学合理，设计清晰详细，完全符合本项目需求，且能够提供上述5项全部方案的，得10分；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方案较完整，科学合理性较强，设计较清晰详细，能够符合本项目需求，能够提供上述4-5项方案的，得7分；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方案完整性一般，科学合理性一般，设计清晰详细程度一般，能够符合本项目需求，能够提供上述3-5项方案的，得4分；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方案完整性、科学合理性、设计的清晰详细程度等只能基本满足要求，能够提供上述2-5项方案的，得2分；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4.4综合协调方案和正式接管前具体措施（10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方案完整、科学合理，设计清晰详细，完全符合本项目需求，且能够提供上述5项全部方案的，得10分；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方案较完整，科学合理性较强，设计较清晰详细，能够符合本项目需求，能够提供上述4-5项方案的，得7分；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方案完整性一般，科学合理性一般，设计清晰详细程度一般，能够符合本项目需求，能够提供上述3-5项方案的，得4分；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方案完整性、科学合理性、设计的清晰详细程度等只能基本满足要求，能够提供上述2-5项方案的，得2分；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4.5应急预案及措施、管理重点难点和措施（5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方案完整、科学合理，设计清晰详细，完全符合本项目需求，且能够提供上述5项全部方案的，得5分；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方案较完整，科学合理性较强，设计较清晰详细，能够符合本项目需求，能够提供上述4-5项方案的，得3分；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方案完整性、科学合理性、设计的清晰详细程度等只能基本满足要求，能够提供上述2-5项方案的，得1分；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4.6服务响应、特色与创新（5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方案完整、科学合理，设计清晰详细，完全符合本项目需求，且能够提供上述5项全部方案的，得5分；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方案较完整，科学合理性较强，设计较清晰详细，能够符合本项目需求，能够提供上述4-5项方案的，得3分；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方案完整性、科学合理性、设计的清晰详细程度等只能基本满足要求，能够提供上述2-5项方案的，得1分；</w:t>
      </w:r>
      <w:r>
        <w:rPr>
          <w:rFonts w:hint="eastAsia" w:ascii="宋体" w:hAnsi="宋体"/>
          <w:bCs/>
          <w:color w:val="000000"/>
          <w:sz w:val="24"/>
          <w:szCs w:val="21"/>
          <w:highlight w:val="none"/>
        </w:rPr>
      </w:r>
      <w:r/>
    </w:p>
    <w:p>
      <w:pPr>
        <w:pStyle w:val="676"/>
        <w:ind w:firstLine="480"/>
        <w:spacing w:line="500" w:lineRule="exact"/>
        <w:shd w:val="clear" w:color="auto" w:fill="auto"/>
        <w:tabs>
          <w:tab w:val="left" w:pos="945" w:leader="none"/>
          <w:tab w:val="left" w:pos="1155" w:leader="none"/>
        </w:tabs>
        <w:rPr>
          <w:rFonts w:ascii="宋体" w:hAnsi="宋体"/>
          <w:color w:val="000000"/>
          <w:sz w:val="24"/>
          <w:highlight w:val="none"/>
        </w:rPr>
      </w:pPr>
      <w:r>
        <w:rPr>
          <w:rFonts w:hint="eastAsia" w:ascii="宋体" w:hAnsi="宋体"/>
          <w:bCs/>
          <w:color w:val="000000"/>
          <w:sz w:val="24"/>
          <w:szCs w:val="21"/>
          <w:highlight w:val="none"/>
        </w:rPr>
        <w:t xml:space="preserve">提供方案不足2项或无方案的，不得分。</w:t>
      </w:r>
      <w:r>
        <w:rPr>
          <w:rFonts w:ascii="宋体" w:hAnsi="宋体"/>
          <w:color w:val="000000"/>
          <w:sz w:val="24"/>
          <w:highlight w:val="none"/>
        </w:rPr>
      </w:r>
      <w:r/>
    </w:p>
    <w:p>
      <w:pPr>
        <w:pStyle w:val="676"/>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宋体" w:hAnsi="宋体"/>
          <w:color w:val="000000"/>
          <w:sz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5"/>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765"/>
        <w:ind w:firstLine="602"/>
        <w:spacing w:before="0" w:after="0" w:line="500" w:lineRule="exact"/>
        <w:shd w:val="clear" w:color="auto" w:fill="auto"/>
        <w:rPr>
          <w:rFonts w:hint="eastAsia" w:cs="Arial"/>
          <w:b/>
          <w:color w:val="000000"/>
          <w:sz w:val="30"/>
          <w:szCs w:val="30"/>
          <w:highlight w:val="none"/>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765"/>
        <w:ind w:firstLine="0"/>
        <w:spacing w:before="0" w:after="0" w:line="500" w:lineRule="exact"/>
        <w:shd w:val="clear" w:color="auto" w:fill="auto"/>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765"/>
              <w:jc w:val="center"/>
              <w:spacing w:before="0" w:after="0" w:line="24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765"/>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765"/>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765"/>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765"/>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765"/>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3"/>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765"/>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765"/>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65"/>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765"/>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65"/>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765"/>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765"/>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765"/>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hint="eastAsia" w:ascii="宋体" w:hAnsi="宋体" w:cs="宋体"/>
                <w:color w:val="000000"/>
                <w:highlight w:val="none"/>
              </w:rPr>
            </w:r>
            <w:r/>
          </w:p>
        </w:tc>
        <w:tc>
          <w:tcPr>
            <w:tcW w:w="2449" w:type="dxa"/>
            <w:vAlign w:val="center"/>
            <w:textDirection w:val="lrTb"/>
            <w:noWrap w:val="false"/>
          </w:tcPr>
          <w:p>
            <w:pPr>
              <w:pStyle w:val="765"/>
              <w:ind w:firstLine="0"/>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765"/>
              <w:ind w:firstLine="0"/>
              <w:jc w:val="both"/>
              <w:spacing w:before="0" w:after="0" w:line="240" w:lineRule="auto"/>
              <w:shd w:val="clear" w:color="auto" w:fill="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hint="eastAsia" w:ascii="宋体" w:hAnsi="宋体" w:cs="宋体"/>
                <w:bCs/>
                <w:color w:val="000000"/>
                <w:highlight w:val="none"/>
              </w:rPr>
            </w:r>
            <w:r/>
          </w:p>
        </w:tc>
        <w:tc>
          <w:tcPr>
            <w:tcW w:w="2449" w:type="dxa"/>
            <w:vAlign w:val="center"/>
            <w:textDirection w:val="lrTb"/>
            <w:noWrap w:val="false"/>
          </w:tcPr>
          <w:p>
            <w:pPr>
              <w:pStyle w:val="765"/>
              <w:ind w:firstLine="0"/>
              <w:spacing w:before="0" w:after="0" w:line="240" w:lineRule="auto"/>
              <w:shd w:val="clear" w:color="auto" w:fill="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765"/>
              <w:ind w:firstLine="0"/>
              <w:jc w:val="center"/>
              <w:spacing w:before="0" w:after="0" w:line="240" w:lineRule="auto"/>
              <w:shd w:val="clear" w:color="auto" w:fill="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765"/>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76"/>
        <w:numPr>
          <w:ilvl w:val="0"/>
          <w:numId w:val="11"/>
        </w:numPr>
        <w:ind w:firstLine="480"/>
        <w:spacing w:line="50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676"/>
        <w:numPr>
          <w:ilvl w:val="0"/>
          <w:numId w:val="11"/>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676"/>
        <w:numPr>
          <w:ilvl w:val="0"/>
          <w:numId w:val="11"/>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676"/>
        <w:numPr>
          <w:ilvl w:val="0"/>
          <w:numId w:val="11"/>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676"/>
        <w:shd w:val="clear" w:color="auto" w:fill="auto"/>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676"/>
        <w:shd w:val="clear" w:color="auto" w:fill="auto"/>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5"/>
              <w:ind w:firstLine="0"/>
              <w:jc w:val="center"/>
              <w:spacing w:before="0" w:after="0" w:line="240" w:lineRule="auto"/>
              <w:shd w:val="clear" w:color="auto" w:fill="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765"/>
              <w:ind w:firstLine="0"/>
              <w:jc w:val="center"/>
              <w:spacing w:before="0" w:after="0" w:line="240" w:lineRule="auto"/>
              <w:shd w:val="clear" w:color="auto" w:fill="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765"/>
              <w:ind w:firstLine="0"/>
              <w:jc w:val="center"/>
              <w:spacing w:before="0" w:after="0" w:line="240" w:lineRule="auto"/>
              <w:shd w:val="clear" w:color="auto" w:fill="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765"/>
              <w:ind w:firstLine="0"/>
              <w:jc w:val="center"/>
              <w:spacing w:before="0" w:after="0" w:line="240" w:lineRule="auto"/>
              <w:shd w:val="clear" w:color="auto" w:fill="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765"/>
              <w:ind w:firstLine="0"/>
              <w:jc w:val="both"/>
              <w:spacing w:before="0" w:after="0" w:line="240" w:lineRule="auto"/>
              <w:shd w:val="clear" w:color="auto" w:fill="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765"/>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765"/>
              <w:ind w:firstLine="0"/>
              <w:jc w:val="center"/>
              <w:spacing w:before="0" w:after="0" w:line="240" w:lineRule="auto"/>
              <w:shd w:val="clear" w:color="auto" w:fill="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765"/>
              <w:ind w:firstLine="0"/>
              <w:jc w:val="both"/>
              <w:spacing w:before="0" w:after="0" w:line="240" w:lineRule="auto"/>
              <w:shd w:val="clear" w:color="auto" w:fill="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765"/>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65"/>
              <w:ind w:firstLine="0"/>
              <w:jc w:val="center"/>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765"/>
              <w:ind w:firstLine="0"/>
              <w:jc w:val="both"/>
              <w:spacing w:before="0" w:after="0" w:line="240" w:lineRule="auto"/>
              <w:shd w:val="clear" w:color="auto" w:fill="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765"/>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765"/>
              <w:ind w:firstLine="0"/>
              <w:jc w:val="center"/>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765"/>
              <w:ind w:firstLine="0"/>
              <w:jc w:val="both"/>
              <w:spacing w:before="0" w:after="0" w:line="240" w:lineRule="auto"/>
              <w:shd w:val="clear" w:color="auto" w:fill="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765"/>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65"/>
              <w:ind w:firstLine="0"/>
              <w:jc w:val="center"/>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765"/>
              <w:ind w:firstLine="0"/>
              <w:jc w:val="both"/>
              <w:spacing w:before="0" w:after="0" w:line="240" w:lineRule="auto"/>
              <w:shd w:val="clear" w:color="auto" w:fill="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765"/>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765"/>
              <w:ind w:firstLine="0"/>
              <w:jc w:val="center"/>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765"/>
              <w:ind w:firstLine="0"/>
              <w:jc w:val="both"/>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765"/>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r>
            <w:r/>
          </w:p>
        </w:tc>
      </w:tr>
    </w:tbl>
    <w:p>
      <w:pPr>
        <w:pStyle w:val="676"/>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76"/>
        <w:numPr>
          <w:ilvl w:val="0"/>
          <w:numId w:val="12"/>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676"/>
        <w:numPr>
          <w:ilvl w:val="0"/>
          <w:numId w:val="12"/>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676"/>
        <w:numPr>
          <w:ilvl w:val="0"/>
          <w:numId w:val="12"/>
        </w:numPr>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676"/>
        <w:shd w:val="clear" w:color="auto" w:fill="auto"/>
        <w:rPr>
          <w:rFonts w:hint="eastAsia"/>
          <w:b/>
          <w:color w:val="000000"/>
          <w:sz w:val="28"/>
          <w:szCs w:val="28"/>
          <w:highlight w:val="none"/>
        </w:rPr>
      </w:pPr>
      <w:r>
        <w:rPr>
          <w:rFonts w:hint="eastAsia"/>
          <w:b/>
          <w:color w:val="000000"/>
          <w:sz w:val="28"/>
          <w:szCs w:val="28"/>
          <w:highlight w:val="none"/>
        </w:rPr>
      </w:r>
      <w:r/>
    </w:p>
    <w:p>
      <w:pPr>
        <w:pStyle w:val="676"/>
        <w:shd w:val="clear" w:color="auto" w:fill="auto"/>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676"/>
        <w:ind w:left="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676"/>
        <w:ind w:left="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676"/>
        <w:shd w:val="clear" w:color="auto" w:fill="auto"/>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765"/>
        <w:ind w:firstLine="0"/>
        <w:spacing w:before="0" w:after="0"/>
        <w:shd w:val="clear" w:color="auto" w:fill="auto"/>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76"/>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6"/>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6"/>
        <w:jc w:val="center"/>
        <w:shd w:val="clear" w:color="auto" w:fill="auto"/>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676"/>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6"/>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6"/>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6"/>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6"/>
        <w:ind w:firstLine="1800"/>
        <w:shd w:val="clear" w:color="auto" w:fill="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JSZC-320214-JZCG-G2026-0054</w:t>
      </w:r>
      <w:r>
        <w:rPr>
          <w:rFonts w:hint="eastAsia" w:ascii="黑体" w:hAnsi="华文中宋" w:eastAsia="黑体"/>
          <w:bCs/>
          <w:color w:val="000000"/>
          <w:sz w:val="30"/>
          <w:szCs w:val="30"/>
          <w:highlight w:val="none"/>
          <w:lang w:eastAsia="zh-CN"/>
        </w:rPr>
      </w:r>
      <w:r/>
    </w:p>
    <w:p>
      <w:pPr>
        <w:pStyle w:val="676"/>
        <w:ind w:firstLine="1800"/>
        <w:shd w:val="clear" w:color="auto" w:fill="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江溪街道综治中心物业服务采购</w:t>
      </w:r>
      <w:r>
        <w:rPr>
          <w:rFonts w:hint="eastAsia" w:ascii="黑体" w:hAnsi="华文中宋" w:eastAsia="黑体"/>
          <w:bCs/>
          <w:color w:val="000000"/>
          <w:sz w:val="30"/>
          <w:szCs w:val="30"/>
          <w:highlight w:val="none"/>
          <w:lang w:eastAsia="zh-CN"/>
        </w:rPr>
      </w:r>
      <w:r/>
    </w:p>
    <w:p>
      <w:pPr>
        <w:pStyle w:val="676"/>
        <w:ind w:firstLine="1800"/>
        <w:shd w:val="clear" w:color="auto" w:fill="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676"/>
        <w:ind w:firstLine="1800"/>
        <w:shd w:val="clear" w:color="auto" w:fill="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76"/>
        <w:spacing w:line="440" w:lineRule="exact"/>
        <w:shd w:val="clear" w:color="auto" w:fill="auto"/>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676"/>
        <w:jc w:val="center"/>
        <w:shd w:val="clear" w:color="auto" w:fill="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63"/>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JSZC-320214-JZCG-G2026-0054</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763"/>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3"/>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3"/>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63"/>
        <w:ind w:firstLine="480"/>
        <w:shd w:val="clear" w:color="auto" w:fill="auto"/>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63"/>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63"/>
        <w:ind w:firstLine="0"/>
        <w:shd w:val="clear" w:color="auto" w:fill="auto"/>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63"/>
        <w:ind w:firstLine="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763"/>
        <w:ind w:firstLine="0"/>
        <w:shd w:val="clear" w:color="auto" w:fill="auto"/>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763"/>
        <w:ind w:firstLine="0"/>
        <w:shd w:val="clear" w:color="auto" w:fill="auto"/>
        <w:tabs>
          <w:tab w:val="left" w:pos="360" w:leader="none"/>
        </w:tabs>
        <w:rPr>
          <w:rFonts w:hint="eastAsia"/>
          <w:color w:val="000000"/>
          <w:sz w:val="21"/>
          <w:szCs w:val="21"/>
          <w:highlight w:val="none"/>
        </w:rPr>
      </w:pPr>
      <w:r>
        <w:rPr>
          <w:rFonts w:hint="eastAsia"/>
          <w:color w:val="000000"/>
          <w:sz w:val="21"/>
          <w:szCs w:val="21"/>
          <w:highlight w:val="none"/>
        </w:rPr>
      </w:r>
      <w:r/>
    </w:p>
    <w:p>
      <w:pPr>
        <w:pStyle w:val="763"/>
        <w:ind w:firstLine="0"/>
        <w:spacing w:line="360" w:lineRule="auto"/>
        <w:shd w:val="clear" w:color="auto" w:fill="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763"/>
        <w:numPr>
          <w:ilvl w:val="0"/>
          <w:numId w:val="13"/>
        </w:numPr>
        <w:ind w:firstLine="420"/>
        <w:spacing w:line="360" w:lineRule="auto"/>
        <w:shd w:val="clear" w:color="auto" w:fill="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3"/>
        <w:numPr>
          <w:ilvl w:val="0"/>
          <w:numId w:val="13"/>
        </w:numPr>
        <w:ind w:firstLine="420"/>
        <w:spacing w:line="360" w:lineRule="auto"/>
        <w:shd w:val="clear" w:color="auto" w:fill="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763"/>
        <w:numPr>
          <w:ilvl w:val="0"/>
          <w:numId w:val="13"/>
        </w:numPr>
        <w:ind w:firstLine="420"/>
        <w:spacing w:line="360" w:lineRule="auto"/>
        <w:shd w:val="clear" w:color="auto" w:fill="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3"/>
        <w:numPr>
          <w:ilvl w:val="0"/>
          <w:numId w:val="13"/>
        </w:numPr>
        <w:ind w:firstLine="420"/>
        <w:spacing w:line="360" w:lineRule="auto"/>
        <w:shd w:val="clear" w:color="auto" w:fill="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763"/>
        <w:ind w:firstLine="0"/>
        <w:shd w:val="clear" w:color="auto" w:fill="auto"/>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676"/>
        <w:jc w:val="center"/>
        <w:shd w:val="clear" w:color="auto" w:fill="auto"/>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76"/>
        <w:jc w:val="center"/>
        <w:spacing w:line="480" w:lineRule="auto"/>
        <w:shd w:val="clear" w:color="auto" w:fill="auto"/>
        <w:rPr>
          <w:rFonts w:ascii="宋体"/>
          <w:bCs/>
          <w:color w:val="000000"/>
          <w:sz w:val="24"/>
          <w:szCs w:val="24"/>
          <w:highlight w:val="none"/>
        </w:rPr>
      </w:pPr>
      <w:r>
        <w:rPr>
          <w:rFonts w:ascii="宋体"/>
          <w:bCs/>
          <w:color w:val="000000"/>
          <w:sz w:val="24"/>
          <w:szCs w:val="24"/>
          <w:highlight w:val="none"/>
        </w:rPr>
      </w:r>
      <w:r/>
    </w:p>
    <w:p>
      <w:pPr>
        <w:pStyle w:val="676"/>
        <w:spacing w:line="480" w:lineRule="auto"/>
        <w:shd w:val="clear" w:color="auto" w:fill="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6"/>
        <w:ind w:firstLine="480"/>
        <w:spacing w:line="48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JSZC-320214-JZCG-G2026-0054</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676"/>
        <w:ind w:firstLine="48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76"/>
        <w:ind w:firstLine="48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676"/>
        <w:ind w:firstLine="48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76"/>
        <w:ind w:firstLine="480"/>
        <w:spacing w:line="480" w:lineRule="auto"/>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76"/>
        <w:spacing w:line="480" w:lineRule="auto"/>
        <w:shd w:val="clear" w:color="auto" w:fill="auto"/>
        <w:rPr>
          <w:rFonts w:ascii="宋体"/>
          <w:bCs/>
          <w:color w:val="000000"/>
          <w:sz w:val="24"/>
          <w:szCs w:val="24"/>
          <w:highlight w:val="none"/>
        </w:rPr>
      </w:pPr>
      <w:r>
        <w:rPr>
          <w:rFonts w:ascii="宋体"/>
          <w:bCs/>
          <w:color w:val="000000"/>
          <w:sz w:val="24"/>
          <w:szCs w:val="24"/>
          <w:highlight w:val="none"/>
        </w:rPr>
      </w:r>
      <w:r/>
    </w:p>
    <w:p>
      <w:pPr>
        <w:pStyle w:val="676"/>
        <w:spacing w:line="480" w:lineRule="auto"/>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76"/>
        <w:spacing w:line="440" w:lineRule="exact"/>
        <w:shd w:val="clear" w:color="auto" w:fill="auto"/>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ascii="宋体" w:hAnsi="宋体" w:cs="宋体"/>
          <w:b/>
          <w:color w:val="000000"/>
          <w:sz w:val="28"/>
          <w:szCs w:val="28"/>
          <w:highlight w:val="none"/>
        </w:rPr>
      </w:r>
      <w:r/>
    </w:p>
    <w:p>
      <w:pPr>
        <w:pStyle w:val="676"/>
        <w:ind w:firstLine="560"/>
        <w:jc w:val="center"/>
        <w:spacing w:line="360" w:lineRule="auto"/>
        <w:shd w:val="clear" w:color="auto" w:fill="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ascii="黑体" w:eastAsia="黑体"/>
          <w:bCs/>
          <w:color w:val="000000"/>
          <w:sz w:val="28"/>
          <w:szCs w:val="28"/>
          <w:highlight w:val="none"/>
        </w:rPr>
      </w:r>
      <w:r/>
    </w:p>
    <w:p>
      <w:pPr>
        <w:pStyle w:val="676"/>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76"/>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6"/>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6"/>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6"/>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676"/>
        <w:ind w:firstLine="480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76"/>
        <w:ind w:firstLine="480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6"/>
        <w:ind w:firstLine="420"/>
        <w:spacing w:line="360" w:lineRule="auto"/>
        <w:shd w:val="clear" w:color="auto" w:fill="auto"/>
        <w:rPr>
          <w:rFonts w:hint="eastAsia"/>
          <w:color w:val="000000"/>
          <w:highlight w:val="none"/>
        </w:rPr>
      </w:pPr>
      <w:r>
        <w:rPr>
          <w:rFonts w:hint="eastAsia"/>
          <w:color w:val="000000"/>
          <w:highlight w:val="none"/>
        </w:rPr>
      </w:r>
      <w:r/>
    </w:p>
    <w:p>
      <w:pPr>
        <w:pStyle w:val="676"/>
        <w:ind w:firstLine="420"/>
        <w:spacing w:line="360" w:lineRule="auto"/>
        <w:shd w:val="clear" w:color="auto" w:fill="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none"/>
        </w:rPr>
      </w:r>
      <w:r/>
    </w:p>
    <w:p>
      <w:pPr>
        <w:pStyle w:val="676"/>
        <w:ind w:firstLine="420"/>
        <w:spacing w:line="360" w:lineRule="auto"/>
        <w:shd w:val="clear" w:color="auto" w:fill="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676"/>
        <w:ind w:firstLine="420"/>
        <w:spacing w:line="360" w:lineRule="auto"/>
        <w:shd w:val="clear" w:color="auto" w:fill="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676"/>
        <w:spacing w:line="360" w:lineRule="auto"/>
        <w:shd w:val="clear" w:color="auto" w:fill="auto"/>
        <w:rPr>
          <w:rFonts w:hint="eastAsia"/>
          <w:color w:val="000000"/>
          <w:highlight w:val="none"/>
        </w:rPr>
      </w:pPr>
      <w:r>
        <w:rPr>
          <w:rFonts w:hint="eastAsia"/>
          <w:color w:val="000000"/>
          <w:highlight w:val="none"/>
        </w:rPr>
      </w:r>
      <w:r/>
    </w:p>
    <w:p>
      <w:pPr>
        <w:pStyle w:val="676"/>
        <w:spacing w:line="360" w:lineRule="auto"/>
        <w:shd w:val="clear" w:color="auto" w:fill="auto"/>
        <w:rPr>
          <w:rFonts w:hint="eastAsia" w:ascii="宋体" w:hAnsi="宋体" w:cs="宋体"/>
          <w:b/>
          <w:color w:val="000000"/>
          <w:sz w:val="28"/>
          <w:szCs w:val="28"/>
          <w:highlight w:val="none"/>
        </w:rPr>
      </w:pPr>
      <w:r>
        <w:rPr>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676"/>
        <w:ind w:firstLine="482"/>
        <w:spacing w:line="440" w:lineRule="exact"/>
        <w:shd w:val="clear" w:color="auto" w:fill="auto"/>
        <w:rPr>
          <w:rFonts w:ascii="Arial" w:hAnsi="Arial"/>
          <w:b/>
          <w:color w:val="000000"/>
          <w:sz w:val="24"/>
          <w:highlight w:val="none"/>
        </w:rPr>
      </w:pPr>
      <w:r>
        <w:rPr>
          <w:rFonts w:ascii="Arial" w:hAnsi="Arial"/>
          <w:b/>
          <w:color w:val="000000"/>
          <w:sz w:val="24"/>
          <w:highlight w:val="none"/>
        </w:rPr>
      </w:r>
      <w:r/>
    </w:p>
    <w:p>
      <w:pPr>
        <w:pStyle w:val="676"/>
        <w:jc w:val="center"/>
        <w:shd w:val="clear" w:color="auto" w:fill="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76"/>
        <w:jc w:val="center"/>
        <w:shd w:val="clear" w:color="auto" w:fill="auto"/>
        <w:rPr>
          <w:rFonts w:ascii="黑体" w:eastAsia="黑体"/>
          <w:bCs/>
          <w:color w:val="000000"/>
          <w:sz w:val="28"/>
          <w:szCs w:val="28"/>
          <w:highlight w:val="none"/>
        </w:rPr>
      </w:pPr>
      <w:r>
        <w:rPr>
          <w:rFonts w:ascii="黑体" w:eastAsia="黑体"/>
          <w:bCs/>
          <w:color w:val="000000"/>
          <w:sz w:val="28"/>
          <w:szCs w:val="28"/>
          <w:highlight w:val="none"/>
        </w:rPr>
      </w:r>
      <w:r/>
    </w:p>
    <w:p>
      <w:pPr>
        <w:pStyle w:val="676"/>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76"/>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76"/>
        <w:ind w:firstLine="480"/>
        <w:spacing w:line="580" w:lineRule="exact"/>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676"/>
        <w:ind w:firstLine="480"/>
        <w:spacing w:line="580" w:lineRule="exact"/>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676"/>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76"/>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6"/>
        <w:spacing w:line="360" w:lineRule="auto"/>
        <w:shd w:val="clear" w:color="auto" w:fill="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676"/>
        <w:spacing w:line="360" w:lineRule="auto"/>
        <w:shd w:val="clear" w:color="auto" w:fill="auto"/>
        <w:rPr>
          <w:rFonts w:hint="eastAsia"/>
          <w:b/>
          <w:color w:val="000000"/>
          <w:sz w:val="30"/>
          <w:szCs w:val="30"/>
          <w:highlight w:val="none"/>
        </w:rPr>
      </w:pPr>
      <w:r>
        <w:rPr>
          <w:rFonts w:hint="eastAsia"/>
          <w:b/>
          <w:color w:val="000000"/>
          <w:sz w:val="30"/>
          <w:szCs w:val="30"/>
          <w:highlight w:val="none"/>
        </w:rPr>
      </w:r>
      <w:r/>
    </w:p>
    <w:p>
      <w:pPr>
        <w:pStyle w:val="676"/>
        <w:jc w:val="center"/>
        <w:spacing w:line="400" w:lineRule="exact"/>
        <w:shd w:val="clear" w:color="auto" w:fill="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76"/>
        <w:spacing w:line="400" w:lineRule="exact"/>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6"/>
        <w:ind w:firstLine="480"/>
        <w:spacing w:line="400" w:lineRule="exact"/>
        <w:shd w:val="clear" w:color="auto" w:fill="auto"/>
        <w:rPr>
          <w:rFonts w:ascii="宋体"/>
          <w:bCs/>
          <w:color w:val="000000"/>
          <w:sz w:val="24"/>
          <w:szCs w:val="24"/>
          <w:highlight w:val="none"/>
        </w:rPr>
      </w:pPr>
      <w:r>
        <w:rPr>
          <w:rFonts w:ascii="宋体"/>
          <w:bCs/>
          <w:color w:val="000000"/>
          <w:sz w:val="24"/>
          <w:szCs w:val="24"/>
          <w:highlight w:val="none"/>
        </w:rPr>
      </w:r>
      <w:r/>
    </w:p>
    <w:p>
      <w:pPr>
        <w:pStyle w:val="676"/>
        <w:ind w:firstLine="480"/>
        <w:spacing w:line="400" w:lineRule="exact"/>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JSZC-320214-JZCG-G2026-0054</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76"/>
        <w:numPr>
          <w:ilvl w:val="0"/>
          <w:numId w:val="14"/>
        </w:numPr>
        <w:ind w:left="0" w:firstLine="525"/>
        <w:spacing w:line="400" w:lineRule="exact"/>
        <w:shd w:val="clear" w:color="auto" w:fill="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840" w:leader="none"/>
          <w:tab w:val="left" w:pos="945" w:leader="none"/>
          <w:tab w:val="left" w:pos="1050" w:leader="none"/>
        </w:tabs>
        <w:rPr>
          <w:rStyle w:val="751"/>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751"/>
          <w:bCs/>
          <w:color w:val="000000"/>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76"/>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76"/>
        <w:ind w:firstLine="720"/>
        <w:spacing w:line="400" w:lineRule="exact"/>
        <w:shd w:val="clear" w:color="auto" w:fill="auto"/>
        <w:rPr>
          <w:rFonts w:ascii="宋体"/>
          <w:bCs/>
          <w:color w:val="000000"/>
          <w:sz w:val="24"/>
          <w:szCs w:val="24"/>
          <w:highlight w:val="none"/>
        </w:rPr>
      </w:pPr>
      <w:r>
        <w:rPr>
          <w:rFonts w:ascii="宋体"/>
          <w:bCs/>
          <w:color w:val="000000"/>
          <w:sz w:val="24"/>
          <w:szCs w:val="24"/>
          <w:highlight w:val="none"/>
        </w:rPr>
      </w:r>
      <w:r/>
    </w:p>
    <w:p>
      <w:pPr>
        <w:pStyle w:val="676"/>
        <w:ind w:firstLine="480"/>
        <w:spacing w:line="400" w:lineRule="exact"/>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76"/>
        <w:ind w:firstLine="480"/>
        <w:spacing w:line="400" w:lineRule="exact"/>
        <w:shd w:val="clear" w:color="auto" w:fill="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676"/>
        <w:spacing w:line="46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676"/>
        <w:spacing w:line="48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676"/>
        <w:shd w:val="clear" w:color="auto" w:fill="auto"/>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6"/>
        <w:ind w:firstLine="602"/>
        <w:shd w:val="clear" w:color="auto" w:fill="auto"/>
        <w:rPr>
          <w:rFonts w:hint="eastAsia"/>
          <w:b/>
          <w:color w:val="000000"/>
          <w:sz w:val="30"/>
          <w:szCs w:val="30"/>
          <w:highlight w:val="none"/>
        </w:rPr>
        <w:outlineLvl w:val="0"/>
      </w:pPr>
      <w:r>
        <w:rPr>
          <w:rFonts w:hint="eastAsia"/>
          <w:b/>
          <w:color w:val="000000"/>
          <w:sz w:val="30"/>
          <w:szCs w:val="30"/>
          <w:highlight w:val="none"/>
        </w:rPr>
      </w:r>
      <w:r/>
    </w:p>
    <w:p>
      <w:pPr>
        <w:pStyle w:val="676"/>
        <w:jc w:val="center"/>
        <w:shd w:val="clear" w:color="auto" w:fill="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6"/>
        <w:spacing w:line="48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JSZC-320214-JZCG-G2026-0054</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76"/>
        <w:spacing w:line="48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67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67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67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7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76"/>
        <w:ind w:firstLine="465"/>
        <w:spacing w:line="360" w:lineRule="auto"/>
        <w:shd w:val="clear" w:color="auto" w:fill="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76"/>
        <w:ind w:firstLine="960"/>
        <w:spacing w:line="480" w:lineRule="auto"/>
        <w:shd w:val="clear" w:color="auto" w:fill="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6"/>
        <w:ind w:firstLine="96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76"/>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6"/>
        <w:ind w:firstLine="3720"/>
        <w:spacing w:line="480" w:lineRule="auto"/>
        <w:shd w:val="clear" w:color="auto" w:fill="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76"/>
        <w:ind w:firstLine="48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6"/>
        <w:ind w:firstLine="420"/>
        <w:spacing w:line="480" w:lineRule="auto"/>
        <w:shd w:val="clear" w:color="auto" w:fill="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676"/>
        <w:spacing w:line="360" w:lineRule="auto"/>
        <w:shd w:val="clear" w:color="auto" w:fill="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676"/>
        <w:ind w:firstLine="482"/>
        <w:spacing w:line="440" w:lineRule="exact"/>
        <w:shd w:val="clear" w:color="auto" w:fill="auto"/>
        <w:rPr>
          <w:rFonts w:hint="eastAsia" w:ascii="Arial" w:hAnsi="Arial"/>
          <w:b/>
          <w:color w:val="000000"/>
          <w:sz w:val="24"/>
          <w:highlight w:val="none"/>
        </w:rPr>
      </w:pPr>
      <w:r>
        <w:rPr>
          <w:rFonts w:hint="eastAsia" w:ascii="Arial" w:hAnsi="Arial"/>
          <w:b/>
          <w:color w:val="000000"/>
          <w:sz w:val="24"/>
          <w:highlight w:val="none"/>
        </w:rPr>
      </w:r>
      <w:r/>
    </w:p>
    <w:p>
      <w:pPr>
        <w:pStyle w:val="676"/>
        <w:jc w:val="center"/>
        <w:shd w:val="clear" w:color="auto" w:fill="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6"/>
        <w:jc w:val="center"/>
        <w:shd w:val="clear" w:color="auto" w:fill="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spacing w:line="360" w:lineRule="auto"/>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676"/>
        <w:spacing w:line="360" w:lineRule="auto"/>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360" w:lineRule="auto"/>
        <w:shd w:val="clear" w:color="auto" w:fill="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JSZC-320214-JZCG-G2026-0054</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6"/>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6"/>
              <w:jc w:val="center"/>
              <w:shd w:val="clear" w:color="auto" w:fill="auto"/>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hint="eastAsia" w:ascii="宋体" w:eastAsia="宋体"/>
                <w:b/>
                <w:bCs/>
                <w:color w:val="000000"/>
                <w:sz w:val="24"/>
                <w:szCs w:val="24"/>
                <w:highlight w:val="none"/>
                <w:lang w:eastAsia="zh-CN"/>
              </w:rPr>
            </w:r>
            <w:r/>
          </w:p>
        </w:tc>
      </w:tr>
      <w:tr>
        <w:trPr>
          <w:cantSplit/>
          <w:trHeight w:val="1630"/>
        </w:trPr>
        <w:tc>
          <w:tcPr>
            <w:tcW w:w="5697" w:type="dxa"/>
            <w:vAlign w:val="center"/>
            <w:textDirection w:val="lrTb"/>
            <w:noWrap w:val="false"/>
          </w:tcPr>
          <w:p>
            <w:pPr>
              <w:pStyle w:val="791"/>
              <w:jc w:val="center"/>
              <w:spacing w:line="400" w:lineRule="exact"/>
              <w:shd w:val="clear" w:color="auto" w:fill="auto"/>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江溪街道综治中心物业服务采购</w:t>
            </w:r>
            <w:r>
              <w:rPr>
                <w:rFonts w:hint="eastAsia" w:hAnsi="宋体" w:eastAsia="宋体"/>
                <w:bCs/>
                <w:color w:val="000000"/>
                <w:szCs w:val="24"/>
                <w:highlight w:val="none"/>
                <w:lang w:eastAsia="zh-CN"/>
              </w:rPr>
            </w:r>
            <w:r/>
          </w:p>
        </w:tc>
        <w:tc>
          <w:tcPr>
            <w:tcW w:w="3188" w:type="dxa"/>
            <w:vAlign w:val="center"/>
            <w:textDirection w:val="lrTb"/>
            <w:noWrap w:val="false"/>
          </w:tcPr>
          <w:p>
            <w:pPr>
              <w:pStyle w:val="791"/>
              <w:jc w:val="center"/>
              <w:shd w:val="clear" w:color="auto" w:fill="auto"/>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6"/>
              <w:shd w:val="clear" w:color="auto" w:fill="auto"/>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676"/>
        <w:spacing w:line="400" w:lineRule="exact"/>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6"/>
        <w:spacing w:line="400" w:lineRule="exact"/>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400" w:lineRule="exact"/>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400" w:lineRule="exact"/>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76"/>
        <w:numPr>
          <w:ilvl w:val="0"/>
          <w:numId w:val="15"/>
        </w:numPr>
        <w:spacing w:line="360" w:lineRule="auto"/>
        <w:shd w:val="clear" w:color="auto" w:fill="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分项</w:t>
      </w:r>
      <w:r>
        <w:rPr>
          <w:b/>
          <w:color w:val="000000"/>
          <w:sz w:val="28"/>
          <w:szCs w:val="28"/>
          <w:highlight w:val="none"/>
        </w:rPr>
        <w:t xml:space="preserve">报价表</w:t>
      </w:r>
      <w:r>
        <w:rPr>
          <w:rFonts w:hint="eastAsia"/>
          <w:b/>
          <w:color w:val="000000"/>
          <w:sz w:val="28"/>
          <w:szCs w:val="28"/>
          <w:highlight w:val="none"/>
        </w:rPr>
        <w:t xml:space="preserve">（给定格式）：</w:t>
      </w:r>
      <w:bookmarkEnd w:id="198"/>
      <w:r/>
      <w:bookmarkEnd w:id="199"/>
      <w:r/>
      <w:bookmarkEnd w:id="200"/>
      <w:r/>
      <w:bookmarkStart w:id="202" w:name="_Toc120614284"/>
      <w:r>
        <w:rPr>
          <w:rFonts w:hint="eastAsia"/>
          <w:b/>
          <w:color w:val="000000"/>
          <w:sz w:val="28"/>
          <w:szCs w:val="28"/>
          <w:highlight w:val="none"/>
        </w:rPr>
      </w:r>
      <w:r/>
    </w:p>
    <w:p>
      <w:pPr>
        <w:pStyle w:val="676"/>
        <w:numPr>
          <w:ilvl w:val="0"/>
          <w:numId w:val="0"/>
        </w:numPr>
        <w:spacing w:line="360" w:lineRule="auto"/>
        <w:shd w:val="clear" w:color="auto" w:fill="auto"/>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6"/>
        <w:spacing w:line="400" w:lineRule="exact"/>
        <w:shd w:val="clear" w:color="auto" w:fill="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JSZC-320214-JZCG-G2026-0054</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员工工资、福利、法定计提费用</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参照表（1）</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行政办公费用</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办公用品、耗材费</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参照表（2）、（3）</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交通费</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通讯费</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培训费</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员工餐费</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标识标牌等费用</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b/>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b/>
                <w:color w:val="000000"/>
                <w:highlight w:val="none"/>
              </w:rPr>
              <w:t xml:space="preserve">服装费</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卫生清洁费</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保洁工具</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bCs/>
                <w:color w:val="000000"/>
                <w:highlight w:val="none"/>
              </w:rPr>
              <w:t xml:space="preserve">卫生保洁耗材</w:t>
            </w:r>
            <w:r>
              <w:rPr>
                <w:rFonts w:hint="eastAsia" w:ascii="宋体" w:hAnsi="宋体"/>
                <w:color w:val="000000"/>
                <w:highlight w:val="none"/>
              </w:rPr>
              <w:t xml:space="preserve">费</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参照表（3）</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消杀防疫等费用</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6"/>
              <w:shd w:val="clear" w:color="auto" w:fill="auto"/>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ascii="宋体" w:hAnsi="宋体"/>
                <w:b/>
                <w:color w:val="000000"/>
                <w:highlight w:val="none"/>
              </w:rPr>
            </w:pPr>
            <w:r>
              <w:rPr>
                <w:rFonts w:hint="eastAsia" w:ascii="宋体" w:hAnsi="宋体"/>
                <w:b/>
                <w:color w:val="000000"/>
                <w:highlight w:val="none"/>
              </w:rPr>
              <w:t xml:space="preserve">5</w:t>
            </w:r>
            <w:r>
              <w:rPr>
                <w:rFonts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安保器械装备费</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ascii="宋体" w:hAnsi="宋体"/>
                <w:b/>
                <w:color w:val="000000"/>
                <w:highlight w:val="none"/>
              </w:rPr>
            </w:pPr>
            <w:r>
              <w:rPr>
                <w:rFonts w:hint="eastAsia" w:ascii="宋体" w:hAnsi="宋体"/>
                <w:b/>
                <w:color w:val="000000"/>
                <w:highlight w:val="none"/>
              </w:rPr>
              <w:t xml:space="preserve">6</w:t>
            </w:r>
            <w:r>
              <w:rPr>
                <w:rFonts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餐饮服务相关费用</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7</w:t>
            </w:r>
            <w:r>
              <w:rPr>
                <w:rFonts w:hint="eastAsia"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维修维保费用</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参照表（4）</w:t>
            </w: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b/>
                <w:color w:val="000000"/>
                <w:highlight w:val="none"/>
              </w:rPr>
            </w:pPr>
            <w:r>
              <w:rPr>
                <w:rFonts w:hint="eastAsia" w:ascii="宋体" w:hAnsi="宋体"/>
                <w:b/>
                <w:color w:val="000000"/>
                <w:highlight w:val="none"/>
              </w:rPr>
              <w:t xml:space="preserve">8</w:t>
            </w:r>
            <w:r>
              <w:rPr>
                <w:rFonts w:hint="eastAsia"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合理利润</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ascii="宋体" w:hAnsi="宋体"/>
                <w:b/>
                <w:color w:val="000000"/>
                <w:highlight w:val="none"/>
              </w:rPr>
            </w:pPr>
            <w:r>
              <w:rPr>
                <w:rFonts w:hint="eastAsia" w:ascii="宋体" w:hAnsi="宋体"/>
                <w:b/>
                <w:color w:val="000000"/>
                <w:highlight w:val="none"/>
              </w:rPr>
              <w:t xml:space="preserve">9</w:t>
            </w:r>
            <w:r>
              <w:rPr>
                <w:rFonts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税金</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ascii="宋体" w:hAnsi="宋体"/>
                <w:b/>
                <w:color w:val="000000"/>
                <w:highlight w:val="none"/>
              </w:rPr>
            </w:pPr>
            <w:r>
              <w:rPr>
                <w:rFonts w:hint="eastAsia" w:ascii="宋体" w:hAnsi="宋体"/>
                <w:b/>
                <w:color w:val="000000"/>
                <w:highlight w:val="none"/>
              </w:rPr>
              <w:t xml:space="preserve">10</w:t>
            </w:r>
            <w:r>
              <w:rPr>
                <w:rFonts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其他支出（按需求自行列举）</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hint="eastAsia" w:ascii="宋体" w:hAnsi="宋体"/>
                <w:b/>
                <w:color w:val="000000"/>
                <w:highlight w:val="none"/>
              </w:rPr>
            </w:pPr>
            <w:r>
              <w:rPr>
                <w:rFonts w:ascii="宋体" w:hAnsi="宋体"/>
                <w:color w:val="000000"/>
                <w:highlight w:val="none"/>
              </w:rPr>
              <w:t xml:space="preserve">…</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b/>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shd w:val="clear" w:color="auto" w:fill="auto"/>
              <w:rPr>
                <w:rFonts w:ascii="宋体" w:hAnsi="宋体"/>
                <w:color w:val="000000"/>
                <w:highlight w:val="none"/>
              </w:rPr>
            </w:pPr>
            <w:r>
              <w:rPr>
                <w:rFonts w:ascii="宋体" w:hAnsi="宋体"/>
                <w:color w:val="000000"/>
                <w:highlight w:val="none"/>
              </w:rPr>
            </w:r>
            <w:r/>
          </w:p>
        </w:tc>
        <w:tc>
          <w:tcPr>
            <w:tcW w:w="3575" w:type="dxa"/>
            <w:vAlign w:val="center"/>
            <w:textDirection w:val="lrTb"/>
            <w:noWrap w:val="false"/>
          </w:tcPr>
          <w:p>
            <w:pPr>
              <w:pStyle w:val="676"/>
              <w:jc w:val="left"/>
              <w:shd w:val="clear" w:color="auto" w:fill="auto"/>
              <w:rPr>
                <w:rFonts w:hint="eastAsia" w:ascii="宋体" w:hAnsi="宋体"/>
                <w:b/>
                <w:color w:val="000000"/>
                <w:highlight w:val="none"/>
              </w:rPr>
            </w:pPr>
            <w:r>
              <w:rPr>
                <w:rFonts w:hint="eastAsia" w:ascii="宋体" w:hAnsi="宋体"/>
                <w:b/>
                <w:color w:val="000000"/>
                <w:highlight w:val="none"/>
              </w:rPr>
              <w:t xml:space="preserve">合计：</w:t>
            </w:r>
            <w:r>
              <w:rPr>
                <w:rFonts w:hint="eastAsia" w:ascii="宋体" w:hAnsi="宋体"/>
                <w:b/>
                <w:color w:val="000000"/>
                <w:highlight w:val="none"/>
              </w:rPr>
            </w:r>
            <w:r/>
          </w:p>
        </w:tc>
        <w:tc>
          <w:tcPr>
            <w:tcW w:w="1465"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highlight w:val="none"/>
              </w:rPr>
            </w:pPr>
            <w:r>
              <w:rPr>
                <w:rFonts w:hint="eastAsia" w:ascii="宋体" w:hAnsi="宋体"/>
                <w:color w:val="000000"/>
                <w:highlight w:val="none"/>
              </w:rPr>
            </w:r>
            <w:r/>
          </w:p>
        </w:tc>
      </w:tr>
    </w:tbl>
    <w:p>
      <w:pPr>
        <w:pStyle w:val="676"/>
        <w:spacing w:line="400" w:lineRule="exact"/>
        <w:shd w:val="clear" w:color="auto" w:fill="auto"/>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32"/>
          <w:highlight w:val="none"/>
        </w:rPr>
      </w:r>
      <w:r/>
    </w:p>
    <w:p>
      <w:pPr>
        <w:pStyle w:val="676"/>
        <w:shd w:val="clear" w:color="auto" w:fill="auto"/>
        <w:rPr>
          <w:rFonts w:hint="eastAsia" w:ascii="宋体" w:hAnsi="宋体"/>
          <w:bCs/>
          <w:color w:val="000000"/>
          <w:highlight w:val="none"/>
        </w:rPr>
      </w:pPr>
      <w:r>
        <w:rPr>
          <w:rFonts w:hint="eastAsia" w:ascii="宋体" w:hAnsi="宋体"/>
          <w:bCs/>
          <w:color w:val="000000"/>
          <w:highlight w:val="none"/>
        </w:rPr>
      </w:r>
      <w:r/>
    </w:p>
    <w:p>
      <w:pPr>
        <w:pStyle w:val="676"/>
        <w:shd w:val="clear" w:color="auto" w:fill="auto"/>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highlight w:val="none"/>
        </w:rPr>
      </w:r>
      <w:r/>
    </w:p>
    <w:p>
      <w:pPr>
        <w:pStyle w:val="676"/>
        <w:ind w:firstLine="420"/>
        <w:shd w:val="clear" w:color="auto" w:fill="auto"/>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76"/>
        <w:ind w:firstLine="420"/>
        <w:shd w:val="clear" w:color="auto" w:fill="auto"/>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highlight w:val="none"/>
          <w:lang w:eastAsia="zh-CN"/>
        </w:rPr>
        <w:t xml:space="preserve">无锡市公共资源交易中心新吴分中心</w:t>
      </w:r>
      <w:r>
        <w:rPr>
          <w:rFonts w:hint="eastAsia" w:ascii="宋体" w:hAnsi="Calibri"/>
          <w:bCs/>
          <w:color w:val="000000"/>
          <w:highlight w:val="none"/>
        </w:rPr>
        <w:t xml:space="preserve">有权将相关内容进行公示；</w:t>
      </w:r>
      <w:r>
        <w:rPr>
          <w:rFonts w:ascii="宋体" w:hAnsi="Calibri"/>
          <w:bCs/>
          <w:color w:val="000000"/>
          <w:highlight w:val="none"/>
        </w:rPr>
      </w:r>
      <w:r/>
    </w:p>
    <w:p>
      <w:pPr>
        <w:pStyle w:val="676"/>
        <w:ind w:firstLine="420"/>
        <w:shd w:val="clear" w:color="auto" w:fill="auto"/>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rPr>
          <w:rFonts w:hint="eastAsia" w:ascii="宋体" w:hAnsi="宋体"/>
          <w:b/>
          <w:bCs/>
          <w:color w:val="000000"/>
          <w:sz w:val="24"/>
          <w:szCs w:val="24"/>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hint="eastAsia" w:ascii="宋体" w:hAnsi="宋体"/>
                <w:b/>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人数配置</w:t>
            </w:r>
            <w:r>
              <w:rPr>
                <w:rFonts w:hint="eastAsia" w:ascii="宋体" w:hAnsi="宋体"/>
                <w:b/>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人员费用标准</w:t>
            </w:r>
            <w:r>
              <w:rPr>
                <w:rFonts w:hint="eastAsia" w:ascii="宋体" w:hAnsi="宋体"/>
                <w:b/>
                <w:color w:val="000000"/>
                <w:sz w:val="18"/>
                <w:szCs w:val="18"/>
                <w:highlight w:val="none"/>
              </w:rPr>
            </w:r>
            <w:r/>
          </w:p>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842"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rPr>
                <w:rFonts w:hint="eastAsia" w:ascii="宋体" w:hAnsi="宋体"/>
                <w:b/>
                <w:color w:val="000000"/>
                <w:sz w:val="18"/>
                <w:szCs w:val="18"/>
                <w:highlight w:val="none"/>
              </w:rPr>
            </w:r>
            <w:r/>
          </w:p>
        </w:tc>
      </w:tr>
      <w:tr>
        <w:trPr/>
        <w:tc>
          <w:tcPr>
            <w:tcW w:w="681"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1</w:t>
            </w:r>
            <w:r>
              <w:rPr>
                <w:rFonts w:hint="eastAsia" w:ascii="宋体" w:hAnsi="宋体"/>
                <w:b/>
                <w:color w:val="000000"/>
                <w:sz w:val="18"/>
                <w:szCs w:val="18"/>
                <w:highlight w:val="none"/>
              </w:rPr>
            </w:r>
            <w:r/>
          </w:p>
        </w:tc>
        <w:tc>
          <w:tcPr>
            <w:tcW w:w="1985" w:type="dxa"/>
            <w:vAlign w:val="center"/>
            <w:textDirection w:val="lrTb"/>
            <w:noWrap w:val="false"/>
          </w:tcPr>
          <w:p>
            <w:pPr>
              <w:pStyle w:val="676"/>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员工工资及福利</w:t>
            </w:r>
            <w:r>
              <w:rPr>
                <w:rFonts w:hint="eastAsia" w:ascii="宋体" w:hAnsi="宋体"/>
                <w:b/>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按人员配置总数计算</w:t>
            </w: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项目经理</w:t>
            </w:r>
            <w:r>
              <w:rPr>
                <w:rFonts w:hint="eastAsia" w:ascii="宋体" w:hAnsi="宋体"/>
                <w:color w:val="000000"/>
                <w:sz w:val="18"/>
                <w:szCs w:val="18"/>
                <w:highlight w:val="none"/>
              </w:rPr>
            </w:r>
            <w:r/>
          </w:p>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XX人员</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自行添行明确</w:t>
            </w: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法定节假日加班工资</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shd w:val="clear" w:color="auto" w:fill="auto"/>
              <w:rPr>
                <w:color w:val="000000"/>
                <w:highlight w:val="none"/>
              </w:rPr>
            </w:pPr>
            <w:r>
              <w:rPr>
                <w:color w:val="000000"/>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员工人身意外保险费</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2</w:t>
            </w:r>
            <w:r>
              <w:rPr>
                <w:rFonts w:ascii="宋体" w:hAnsi="宋体"/>
                <w:b/>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法定计提费用</w:t>
            </w:r>
            <w:r>
              <w:rPr>
                <w:rFonts w:hint="eastAsia" w:ascii="宋体" w:hAnsi="宋体"/>
                <w:b/>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养老保险</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医疗统筹</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失业</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工伤</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（5）</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生育</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6"/>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（6）</w:t>
            </w:r>
            <w:r>
              <w:rPr>
                <w:rFonts w:hint="eastAsia" w:ascii="宋体" w:hAnsi="宋体"/>
                <w:color w:val="000000"/>
                <w:sz w:val="18"/>
                <w:szCs w:val="18"/>
                <w:highlight w:val="none"/>
              </w:rPr>
            </w:r>
            <w:r/>
          </w:p>
        </w:tc>
        <w:tc>
          <w:tcPr>
            <w:tcW w:w="198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color w:val="000000"/>
                <w:sz w:val="18"/>
                <w:szCs w:val="18"/>
                <w:highlight w:val="none"/>
              </w:rPr>
              <w:t xml:space="preserve">……</w:t>
            </w:r>
            <w:r>
              <w:rPr>
                <w:rFonts w:hint="eastAsia" w:ascii="宋体" w:hAnsi="宋体"/>
                <w:b/>
                <w:color w:val="000000"/>
                <w:sz w:val="18"/>
                <w:szCs w:val="18"/>
                <w:highlight w:val="none"/>
              </w:rPr>
            </w:r>
            <w:r/>
          </w:p>
        </w:tc>
        <w:tc>
          <w:tcPr>
            <w:tcW w:w="1985" w:type="dxa"/>
            <w:vAlign w:val="center"/>
            <w:textDirection w:val="lrTb"/>
            <w:noWrap w:val="false"/>
          </w:tcPr>
          <w:p>
            <w:pPr>
              <w:pStyle w:val="676"/>
              <w:jc w:val="center"/>
              <w:shd w:val="clear" w:color="auto" w:fill="auto"/>
              <w:rPr>
                <w:color w:val="000000"/>
                <w:highlight w:val="none"/>
              </w:rPr>
            </w:pPr>
            <w:r>
              <w:rPr>
                <w:color w:val="000000"/>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6"/>
        <w:shd w:val="clear" w:color="auto" w:fill="auto"/>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注：1、以上人员费用须包括工资、社保等内容，须符合国家、省、市相关政策规定；本项目如有允许配置</w:t>
      </w:r>
      <w:r>
        <w:rPr>
          <w:rFonts w:ascii="宋体" w:hAnsi="宋体"/>
          <w:bCs/>
          <w:color w:val="000000"/>
          <w:highlight w:val="none"/>
        </w:rPr>
        <w:t xml:space="preserve">按国家规定可不缴纳社保的人员</w:t>
      </w:r>
      <w:r>
        <w:rPr>
          <w:rFonts w:hint="eastAsia" w:ascii="宋体" w:hAnsi="宋体"/>
          <w:bCs/>
          <w:color w:val="000000"/>
          <w:highlight w:val="none"/>
        </w:rPr>
        <w:t xml:space="preserve">（详见第四章《采购需求》），上表“法定计提费用”中的人员配置总数可扣除上述人员，但须</w:t>
      </w:r>
      <w:r>
        <w:rPr>
          <w:rFonts w:ascii="宋体" w:hAnsi="宋体"/>
          <w:bCs/>
          <w:color w:val="000000"/>
          <w:highlight w:val="none"/>
        </w:rPr>
        <w:t xml:space="preserve">提供</w:t>
      </w:r>
      <w:r>
        <w:rPr>
          <w:rFonts w:hint="eastAsia" w:ascii="宋体" w:hAnsi="宋体"/>
          <w:bCs/>
          <w:color w:val="000000"/>
          <w:highlight w:val="none"/>
        </w:rPr>
        <w:t xml:space="preserve">该人员</w:t>
      </w:r>
      <w:r>
        <w:rPr>
          <w:rFonts w:ascii="宋体" w:hAnsi="宋体"/>
          <w:bCs/>
          <w:color w:val="000000"/>
          <w:highlight w:val="none"/>
        </w:rPr>
        <w:t xml:space="preserve">相关证明材料复印件</w:t>
      </w:r>
      <w:r>
        <w:rPr>
          <w:rFonts w:hint="eastAsia" w:ascii="宋体" w:hAnsi="宋体"/>
          <w:bCs/>
          <w:color w:val="000000"/>
          <w:highlight w:val="none"/>
        </w:rPr>
        <w:t xml:space="preserve">，否则投标文件无效。</w:t>
      </w:r>
      <w:r>
        <w:rPr>
          <w:rFonts w:hint="eastAsia" w:ascii="宋体" w:hAnsi="宋体"/>
          <w:bCs/>
          <w:color w:val="000000"/>
          <w:highlight w:val="none"/>
        </w:rPr>
      </w:r>
      <w:r/>
    </w:p>
    <w:p>
      <w:pPr>
        <w:pStyle w:val="676"/>
        <w:ind w:firstLine="405"/>
        <w:shd w:val="clear" w:color="auto" w:fill="auto"/>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76"/>
        <w:jc w:val="left"/>
        <w:spacing w:line="400" w:lineRule="exact"/>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表（2）：投入本项目的工具设备物资明细表</w:t>
      </w:r>
      <w:r>
        <w:rPr>
          <w:rFonts w:hint="eastAsia" w:ascii="宋体" w:hAnsi="宋体"/>
          <w:b/>
          <w:bCs/>
          <w:color w:val="000000"/>
          <w:sz w:val="24"/>
          <w:szCs w:val="24"/>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992" w:type="dxa"/>
            <w:vAlign w:val="center"/>
            <w:textDirection w:val="lrTb"/>
            <w:noWrap w:val="false"/>
          </w:tcPr>
          <w:p>
            <w:pPr>
              <w:pStyle w:val="676"/>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物品名称</w:t>
            </w:r>
            <w:r>
              <w:rPr>
                <w:rFonts w:hint="eastAsia" w:ascii="宋体" w:hAnsi="宋体"/>
                <w:b/>
                <w:color w:val="000000"/>
                <w:sz w:val="18"/>
                <w:szCs w:val="18"/>
                <w:highlight w:val="none"/>
              </w:rPr>
            </w:r>
            <w:r/>
          </w:p>
        </w:tc>
        <w:tc>
          <w:tcPr>
            <w:tcW w:w="709" w:type="dxa"/>
            <w:vAlign w:val="center"/>
            <w:textDirection w:val="lrTb"/>
            <w:noWrap w:val="false"/>
          </w:tcPr>
          <w:p>
            <w:pPr>
              <w:pStyle w:val="676"/>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p>
            <w:pPr>
              <w:pStyle w:val="676"/>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型号</w:t>
            </w:r>
            <w:r>
              <w:rPr>
                <w:rFonts w:hint="eastAsia" w:ascii="宋体" w:hAnsi="宋体"/>
                <w:b/>
                <w:color w:val="000000"/>
                <w:sz w:val="18"/>
                <w:szCs w:val="18"/>
                <w:highlight w:val="none"/>
              </w:rPr>
            </w:r>
            <w:r/>
          </w:p>
        </w:tc>
        <w:tc>
          <w:tcPr>
            <w:tcW w:w="709"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数量</w:t>
            </w:r>
            <w:r>
              <w:rPr>
                <w:rFonts w:hint="eastAsia" w:ascii="宋体" w:hAnsi="宋体"/>
                <w:b/>
                <w:color w:val="000000"/>
                <w:sz w:val="18"/>
                <w:szCs w:val="18"/>
                <w:highlight w:val="none"/>
              </w:rPr>
            </w:r>
            <w:r/>
          </w:p>
        </w:tc>
        <w:tc>
          <w:tcPr>
            <w:tcW w:w="850"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1566"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481"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639" w:type="dxa"/>
            <w:vAlign w:val="center"/>
            <w:textDirection w:val="lrTb"/>
            <w:noWrap w:val="false"/>
          </w:tcPr>
          <w:p>
            <w:pPr>
              <w:pStyle w:val="676"/>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6"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6"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21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566"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6"/>
        <w:jc w:val="left"/>
        <w:spacing w:line="400" w:lineRule="exact"/>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表（3）：投入本项目的耗材明细表</w:t>
      </w:r>
      <w:r>
        <w:rPr>
          <w:rFonts w:hint="eastAsia" w:ascii="宋体" w:hAnsi="宋体"/>
          <w:b/>
          <w:bCs/>
          <w:color w:val="000000"/>
          <w:sz w:val="24"/>
          <w:szCs w:val="24"/>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851"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名称</w:t>
            </w:r>
            <w:r>
              <w:rPr>
                <w:rFonts w:hint="eastAsia" w:ascii="宋体" w:hAnsi="宋体"/>
                <w:b/>
                <w:color w:val="000000"/>
                <w:sz w:val="18"/>
                <w:szCs w:val="18"/>
                <w:highlight w:val="none"/>
              </w:rPr>
            </w:r>
            <w:r/>
          </w:p>
        </w:tc>
        <w:tc>
          <w:tcPr>
            <w:tcW w:w="708"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tc>
        <w:tc>
          <w:tcPr>
            <w:tcW w:w="993"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每年用量</w:t>
            </w:r>
            <w:r>
              <w:rPr>
                <w:rFonts w:hint="eastAsia" w:ascii="宋体" w:hAnsi="宋体"/>
                <w:b/>
                <w:color w:val="000000"/>
                <w:sz w:val="18"/>
                <w:szCs w:val="18"/>
                <w:highlight w:val="none"/>
              </w:rPr>
            </w:r>
            <w:r/>
          </w:p>
        </w:tc>
        <w:tc>
          <w:tcPr>
            <w:tcW w:w="709"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275"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金额（元/月）</w:t>
            </w:r>
            <w:r>
              <w:rPr>
                <w:rFonts w:hint="eastAsia" w:ascii="宋体" w:hAnsi="宋体"/>
                <w:b/>
                <w:color w:val="000000"/>
                <w:sz w:val="18"/>
                <w:szCs w:val="18"/>
                <w:highlight w:val="none"/>
              </w:rPr>
            </w:r>
            <w:r/>
          </w:p>
        </w:tc>
        <w:tc>
          <w:tcPr>
            <w:tcW w:w="1560"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金额（元/年）</w:t>
            </w:r>
            <w:r>
              <w:rPr>
                <w:rFonts w:hint="eastAsia" w:ascii="宋体" w:hAnsi="宋体"/>
                <w:b/>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85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851"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070"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275"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6"/>
        <w:jc w:val="left"/>
        <w:spacing w:line="400" w:lineRule="exact"/>
        <w:shd w:val="clear" w:color="auto" w:fill="auto"/>
        <w:rPr>
          <w:rFonts w:ascii="宋体" w:hAnsi="宋体"/>
          <w:b/>
          <w:bCs/>
          <w:color w:val="000000"/>
          <w:sz w:val="24"/>
          <w:szCs w:val="24"/>
          <w:highlight w:val="none"/>
        </w:rPr>
      </w:pPr>
      <w:r>
        <w:rPr>
          <w:rFonts w:hint="eastAsia" w:ascii="宋体" w:hAnsi="宋体"/>
          <w:b/>
          <w:bCs/>
          <w:color w:val="000000"/>
          <w:sz w:val="24"/>
          <w:szCs w:val="24"/>
          <w:highlight w:val="none"/>
        </w:rPr>
        <w:t xml:space="preserve">表（4）：投入本项目的维修维保费用明细表</w:t>
      </w:r>
      <w:r>
        <w:rPr>
          <w:rFonts w:ascii="宋体" w:hAnsi="宋体"/>
          <w:b/>
          <w:bCs/>
          <w:color w:val="000000"/>
          <w:sz w:val="24"/>
          <w:szCs w:val="24"/>
          <w:highlight w:val="none"/>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676"/>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2705" w:type="dxa"/>
            <w:vAlign w:val="center"/>
            <w:textDirection w:val="lrTb"/>
            <w:noWrap w:val="false"/>
          </w:tcPr>
          <w:p>
            <w:pPr>
              <w:pStyle w:val="676"/>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维保内容</w:t>
            </w:r>
            <w:r>
              <w:rPr>
                <w:rFonts w:ascii="宋体" w:hAnsi="宋体"/>
                <w:b/>
                <w:color w:val="000000"/>
                <w:sz w:val="18"/>
                <w:szCs w:val="18"/>
                <w:highlight w:val="none"/>
              </w:rPr>
            </w:r>
            <w:r/>
          </w:p>
        </w:tc>
        <w:tc>
          <w:tcPr>
            <w:tcW w:w="1275" w:type="dxa"/>
            <w:vAlign w:val="center"/>
            <w:textDirection w:val="lrTb"/>
            <w:noWrap w:val="false"/>
          </w:tcPr>
          <w:p>
            <w:pPr>
              <w:pStyle w:val="676"/>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单价（元）</w:t>
            </w:r>
            <w:r>
              <w:rPr>
                <w:rFonts w:ascii="宋体" w:hAnsi="宋体"/>
                <w:b/>
                <w:color w:val="000000"/>
                <w:sz w:val="18"/>
                <w:szCs w:val="18"/>
                <w:highlight w:val="none"/>
              </w:rPr>
            </w:r>
            <w:r/>
          </w:p>
        </w:tc>
        <w:tc>
          <w:tcPr>
            <w:tcW w:w="1699"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6"/>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（元/月）</w:t>
            </w:r>
            <w:r>
              <w:rPr>
                <w:rFonts w:ascii="宋体" w:hAnsi="宋体"/>
                <w:b/>
                <w:color w:val="000000"/>
                <w:sz w:val="18"/>
                <w:szCs w:val="18"/>
                <w:highlight w:val="none"/>
              </w:rPr>
            </w:r>
            <w:r/>
          </w:p>
        </w:tc>
        <w:tc>
          <w:tcPr>
            <w:tcW w:w="1657" w:type="dxa"/>
            <w:vAlign w:val="center"/>
            <w:textDirection w:val="lrTb"/>
            <w:noWrap w:val="false"/>
          </w:tcPr>
          <w:p>
            <w:pPr>
              <w:pStyle w:val="676"/>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6"/>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（元/年）</w:t>
            </w:r>
            <w:r>
              <w:rPr>
                <w:rFonts w:ascii="宋体" w:hAnsi="宋体"/>
                <w:b/>
                <w:color w:val="000000"/>
                <w:sz w:val="18"/>
                <w:szCs w:val="18"/>
                <w:highlight w:val="none"/>
              </w:rPr>
            </w:r>
            <w:r/>
          </w:p>
        </w:tc>
        <w:tc>
          <w:tcPr>
            <w:tcW w:w="744" w:type="dxa"/>
            <w:vAlign w:val="center"/>
            <w:textDirection w:val="lrTb"/>
            <w:noWrap w:val="false"/>
          </w:tcPr>
          <w:p>
            <w:pPr>
              <w:pStyle w:val="676"/>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备注</w:t>
            </w:r>
            <w:r>
              <w:rPr>
                <w:rFonts w:ascii="宋体" w:hAnsi="宋体"/>
                <w:b/>
                <w:color w:val="000000"/>
                <w:sz w:val="18"/>
                <w:szCs w:val="18"/>
                <w:highlight w:val="none"/>
              </w:rPr>
            </w:r>
            <w:r/>
          </w:p>
        </w:tc>
      </w:tr>
      <w:tr>
        <w:trPr/>
        <w:tc>
          <w:tcPr>
            <w:tcW w:w="867"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2705" w:type="dxa"/>
            <w:vAlign w:val="center"/>
            <w:textDirection w:val="lrTb"/>
            <w:noWrap w:val="false"/>
          </w:tcPr>
          <w:p>
            <w:pPr>
              <w:pStyle w:val="676"/>
              <w:jc w:val="center"/>
              <w:shd w:val="clear" w:color="auto" w:fill="auto"/>
              <w:rPr>
                <w:rFonts w:ascii="宋体" w:hAnsi="宋体"/>
                <w:b/>
                <w:color w:val="000000"/>
                <w:sz w:val="18"/>
                <w:szCs w:val="18"/>
                <w:highlight w:val="none"/>
              </w:rPr>
            </w:pPr>
            <w:r>
              <w:rPr>
                <w:rFonts w:ascii="宋体" w:hAnsi="宋体"/>
                <w:b/>
                <w:color w:val="000000"/>
                <w:sz w:val="18"/>
                <w:szCs w:val="18"/>
                <w:highlight w:val="none"/>
              </w:rPr>
            </w:r>
            <w:r/>
          </w:p>
        </w:tc>
        <w:tc>
          <w:tcPr>
            <w:tcW w:w="1275"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99"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r>
      <w:tr>
        <w:trPr/>
        <w:tc>
          <w:tcPr>
            <w:tcW w:w="867" w:type="dxa"/>
            <w:vAlign w:val="center"/>
            <w:textDirection w:val="lrTb"/>
            <w:noWrap w:val="false"/>
          </w:tcPr>
          <w:p>
            <w:pPr>
              <w:pStyle w:val="676"/>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2705" w:type="dxa"/>
            <w:vAlign w:val="center"/>
            <w:textDirection w:val="lrTb"/>
            <w:noWrap w:val="false"/>
          </w:tcPr>
          <w:p>
            <w:pPr>
              <w:pStyle w:val="676"/>
              <w:jc w:val="center"/>
              <w:shd w:val="clear" w:color="auto" w:fill="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1275"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99"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r>
      <w:tr>
        <w:trPr/>
        <w:tc>
          <w:tcPr>
            <w:gridSpan w:val="3"/>
            <w:tcW w:w="4847"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hint="eastAsia" w:ascii="宋体" w:hAnsi="宋体"/>
                <w:color w:val="000000"/>
                <w:sz w:val="18"/>
                <w:szCs w:val="18"/>
                <w:highlight w:val="none"/>
              </w:rPr>
              <w:t xml:space="preserve">合计：</w:t>
            </w:r>
            <w:r>
              <w:rPr>
                <w:rFonts w:ascii="宋体" w:hAnsi="宋体"/>
                <w:color w:val="000000"/>
                <w:sz w:val="18"/>
                <w:szCs w:val="18"/>
                <w:highlight w:val="none"/>
              </w:rPr>
            </w:r>
            <w:r/>
          </w:p>
        </w:tc>
        <w:tc>
          <w:tcPr>
            <w:tcW w:w="1699"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6"/>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r>
    </w:tbl>
    <w:p>
      <w:pPr>
        <w:pStyle w:val="676"/>
        <w:shd w:val="clear" w:color="auto" w:fill="auto"/>
        <w:rPr>
          <w:rFonts w:ascii="宋体" w:hAnsi="宋体" w:cs="宋体"/>
          <w:color w:val="000000"/>
          <w:highlight w:val="none"/>
          <w:lang w:val="zh-CN"/>
        </w:rPr>
      </w:pPr>
      <w:r>
        <w:rPr>
          <w:rFonts w:hint="eastAsia" w:ascii="宋体" w:hAnsi="宋体"/>
          <w:bCs/>
          <w:color w:val="000000"/>
          <w:highlight w:val="none"/>
        </w:rPr>
        <w:t xml:space="preserve">注：表（2）（3）（4）由投标人根据采购需求自行测算含在投标报价中。表格不够</w:t>
      </w:r>
      <w:r>
        <w:rPr>
          <w:rFonts w:hint="eastAsia" w:ascii="宋体" w:hAnsi="宋体" w:cs="宋体"/>
          <w:color w:val="000000"/>
          <w:highlight w:val="none"/>
          <w:lang w:val="zh-CN"/>
        </w:rPr>
        <w:t xml:space="preserve">可自行延长。</w:t>
      </w:r>
      <w:r>
        <w:rPr>
          <w:rFonts w:ascii="宋体" w:hAnsi="宋体" w:cs="宋体"/>
          <w:color w:val="000000"/>
          <w:highlight w:val="none"/>
          <w:lang w:val="zh-CN"/>
        </w:rPr>
      </w:r>
      <w:r/>
    </w:p>
    <w:p>
      <w:pPr>
        <w:pStyle w:val="676"/>
        <w:spacing w:line="360" w:lineRule="auto"/>
        <w:shd w:val="clear" w:color="auto" w:fill="auto"/>
        <w:rPr>
          <w:rFonts w:hint="eastAsia"/>
          <w:b/>
          <w:color w:val="000000"/>
          <w:sz w:val="28"/>
          <w:szCs w:val="28"/>
          <w:highlight w:val="none"/>
        </w:rPr>
      </w:pPr>
      <w:r>
        <w:rPr>
          <w:rFonts w:hint="eastAsia" w:ascii="宋体" w:hAnsi="宋体"/>
          <w:bCs/>
          <w:color w:val="000000"/>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676"/>
        <w:ind w:firstLine="490"/>
        <w:jc w:val="center"/>
        <w:shd w:val="clear" w:color="auto" w:fill="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ind w:firstLine="490"/>
        <w:jc w:val="center"/>
        <w:shd w:val="clear" w:color="auto" w:fill="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76"/>
        <w:jc w:val="center"/>
        <w:spacing w:line="400" w:lineRule="exact"/>
        <w:shd w:val="clear" w:color="auto" w:fill="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jc w:val="center"/>
        <w:spacing w:line="400" w:lineRule="exact"/>
        <w:shd w:val="clear" w:color="auto" w:fill="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spacing w:line="400" w:lineRule="exact"/>
        <w:shd w:val="clear" w:color="auto" w:fill="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JSZC-320214-JZCG-G2026-0054</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shd w:val="clear" w:color="auto" w:fill="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shd w:val="clear" w:color="auto" w:fill="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shd w:val="clear" w:color="auto" w:fill="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shd w:val="clear" w:color="auto" w:fill="auto"/>
              <w:rPr>
                <w:rFonts w:ascii="宋体"/>
                <w:bCs/>
                <w:color w:val="000000"/>
                <w:highlight w:val="none"/>
              </w:rPr>
            </w:pPr>
            <w:r>
              <w:rPr>
                <w:rFonts w:ascii="宋体"/>
                <w:bCs/>
                <w:color w:val="000000"/>
                <w:highlight w:val="none"/>
              </w:rPr>
            </w:r>
            <w:r/>
          </w:p>
        </w:tc>
      </w:tr>
    </w:tbl>
    <w:p>
      <w:pPr>
        <w:pStyle w:val="676"/>
        <w:shd w:val="clear" w:color="auto" w:fill="auto"/>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76"/>
        <w:shd w:val="clear" w:color="auto" w:fill="auto"/>
        <w:rPr>
          <w:rFonts w:ascii="宋体"/>
          <w:bCs/>
          <w:color w:val="000000"/>
          <w:sz w:val="30"/>
          <w:highlight w:val="none"/>
        </w:rPr>
      </w:pPr>
      <w:r>
        <w:rPr>
          <w:rFonts w:ascii="宋体"/>
          <w:bCs/>
          <w:color w:val="000000"/>
          <w:sz w:val="30"/>
          <w:highlight w:val="none"/>
        </w:rPr>
      </w:r>
      <w:r/>
    </w:p>
    <w:p>
      <w:pPr>
        <w:pStyle w:val="676"/>
        <w:ind w:firstLine="420"/>
        <w:shd w:val="clear" w:color="auto" w:fill="auto"/>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76"/>
        <w:ind w:firstLine="420"/>
        <w:shd w:val="clear" w:color="auto" w:fill="auto"/>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676"/>
        <w:ind w:firstLine="420"/>
        <w:shd w:val="clear" w:color="auto" w:fill="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676"/>
        <w:ind w:firstLine="420"/>
        <w:shd w:val="clear" w:color="auto" w:fill="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676"/>
        <w:shd w:val="clear" w:color="auto" w:fill="auto"/>
        <w:rPr>
          <w:color w:val="000000"/>
          <w:highlight w:val="none"/>
        </w:rPr>
      </w:pPr>
      <w:r>
        <w:rPr>
          <w:color w:val="000000"/>
          <w:highlight w:val="none"/>
        </w:rPr>
      </w:r>
      <w:r/>
    </w:p>
    <w:p>
      <w:pPr>
        <w:pStyle w:val="676"/>
        <w:shd w:val="clear" w:color="auto" w:fill="auto"/>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6"/>
        <w:ind w:firstLine="420"/>
        <w:shd w:val="clear" w:color="auto" w:fill="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6"/>
        <w:ind w:firstLine="490"/>
        <w:jc w:val="center"/>
        <w:shd w:val="clear" w:color="auto" w:fill="auto"/>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6"/>
        <w:jc w:val="center"/>
        <w:spacing w:line="400" w:lineRule="exact"/>
        <w:shd w:val="clear" w:color="auto" w:fill="auto"/>
        <w:rPr>
          <w:rFonts w:ascii="黑体" w:eastAsia="黑体"/>
          <w:bCs/>
          <w:color w:val="000000"/>
          <w:sz w:val="28"/>
          <w:szCs w:val="28"/>
          <w:highlight w:val="none"/>
        </w:rPr>
      </w:pPr>
      <w:r>
        <w:rPr>
          <w:rFonts w:ascii="黑体" w:eastAsia="黑体"/>
          <w:bCs/>
          <w:color w:val="000000"/>
          <w:sz w:val="28"/>
          <w:szCs w:val="28"/>
          <w:highlight w:val="none"/>
        </w:rPr>
      </w:r>
      <w:r/>
    </w:p>
    <w:p>
      <w:pPr>
        <w:pStyle w:val="676"/>
        <w:ind w:firstLine="480"/>
        <w:shd w:val="clear" w:color="auto" w:fill="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JSZC-320214-JZCG-G2026-0054</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6"/>
              <w:jc w:val="center"/>
              <w:shd w:val="clear" w:color="auto" w:fill="auto"/>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6"/>
              <w:jc w:val="center"/>
              <w:shd w:val="clear" w:color="auto" w:fill="auto"/>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6"/>
              <w:jc w:val="center"/>
              <w:shd w:val="clear" w:color="auto" w:fill="auto"/>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6"/>
              <w:jc w:val="center"/>
              <w:shd w:val="clear" w:color="auto" w:fill="auto"/>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6"/>
              <w:jc w:val="center"/>
              <w:shd w:val="clear" w:color="auto" w:fill="auto"/>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6"/>
              <w:jc w:val="center"/>
              <w:shd w:val="clear" w:color="auto" w:fill="auto"/>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6"/>
              <w:jc w:val="center"/>
              <w:shd w:val="clear" w:color="auto" w:fill="auto"/>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6"/>
              <w:jc w:val="center"/>
              <w:shd w:val="clear" w:color="auto" w:fill="auto"/>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6"/>
              <w:jc w:val="center"/>
              <w:shd w:val="clear" w:color="auto" w:fill="auto"/>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6"/>
              <w:jc w:val="center"/>
              <w:shd w:val="clear" w:color="auto" w:fill="auto"/>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shd w:val="clear" w:color="auto" w:fill="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shd w:val="clear" w:color="auto" w:fill="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shd w:val="clear" w:color="auto" w:fill="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6"/>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6"/>
        <w:shd w:val="clear" w:color="auto" w:fill="auto"/>
        <w:rPr>
          <w:rFonts w:hint="eastAsia" w:ascii="宋体" w:hAnsi="宋体"/>
          <w:bCs/>
          <w:color w:val="000000"/>
          <w:highlight w:val="none"/>
        </w:rPr>
      </w:pPr>
      <w:r>
        <w:rPr>
          <w:rFonts w:hint="eastAsia" w:ascii="宋体" w:hAnsi="宋体"/>
          <w:bCs/>
          <w:color w:val="000000"/>
          <w:highlight w:val="none"/>
        </w:rPr>
      </w:r>
      <w:r/>
    </w:p>
    <w:p>
      <w:pPr>
        <w:pStyle w:val="676"/>
        <w:shd w:val="clear" w:color="auto" w:fill="auto"/>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6"/>
        <w:shd w:val="clear" w:color="auto" w:fill="auto"/>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676"/>
        <w:shd w:val="clear" w:color="auto" w:fill="auto"/>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76"/>
        <w:shd w:val="clear" w:color="auto" w:fill="auto"/>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9"/>
        <w:rFonts w:ascii="宋体" w:hAnsi="宋体"/>
      </w:rPr>
      <w:framePr w:wrap="around" w:vAnchor="text" w:hAnchor="margin" w:xAlign="center" w:y="1"/>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１５</w:t>
    </w:r>
    <w:r>
      <w:rPr>
        <w:rFonts w:ascii="宋体" w:hAnsi="宋体"/>
      </w:rPr>
      <w:fldChar w:fldCharType="end"/>
    </w:r>
    <w:r>
      <w:rPr>
        <w:rStyle w:val="749"/>
        <w:rFonts w:ascii="宋体" w:hAnsi="宋体"/>
      </w:rPr>
    </w:r>
    <w:r/>
  </w:p>
  <w:p>
    <w:pPr>
      <w:pStyle w:val="72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rPr>
        <w:rStyle w:val="749"/>
      </w:rPr>
    </w:r>
    <w:r/>
  </w:p>
  <w:p>
    <w:pPr>
      <w:pStyle w:val="7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57"/>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76"/>
        <w:ind w:left="510" w:hanging="360"/>
        <w:tabs>
          <w:tab w:val="num" w:pos="510" w:leader="none"/>
        </w:tabs>
      </w:pPr>
      <w:rPr>
        <w:rFonts w:hint="eastAsia" w:cs="Times New Roman"/>
      </w:rPr>
    </w:lvl>
    <w:lvl w:ilvl="1">
      <w:start w:val="1"/>
      <w:numFmt w:val="decimal"/>
      <w:isLgl w:val="false"/>
      <w:suff w:val="tab"/>
      <w:lvlText w:val="%2．"/>
      <w:lvlJc w:val="left"/>
      <w:pPr>
        <w:pStyle w:val="676"/>
        <w:ind w:left="1290" w:hanging="720"/>
        <w:tabs>
          <w:tab w:val="num" w:pos="1290" w:leader="none"/>
        </w:tabs>
      </w:pPr>
      <w:rPr>
        <w:rFonts w:hint="eastAsia" w:cs="Times New Roman"/>
      </w:rPr>
    </w:lvl>
    <w:lvl w:ilvl="2">
      <w:start w:val="3"/>
      <w:numFmt w:val="decimal"/>
      <w:isLgl w:val="false"/>
      <w:suff w:val="tab"/>
      <w:lvlText w:val="（%3）"/>
      <w:lvlJc w:val="left"/>
      <w:pPr>
        <w:pStyle w:val="676"/>
        <w:ind w:left="1140" w:hanging="720"/>
        <w:tabs>
          <w:tab w:val="num" w:pos="1140" w:leader="none"/>
        </w:tabs>
      </w:pPr>
      <w:rPr>
        <w:rFonts w:hint="eastAsia" w:cs="Times New Roman"/>
      </w:rPr>
    </w:lvl>
    <w:lvl w:ilvl="3">
      <w:start w:val="1"/>
      <w:numFmt w:val="decimal"/>
      <w:isLgl w:val="false"/>
      <w:suff w:val="tab"/>
      <w:lvlText w:val="（%4）"/>
      <w:lvlJc w:val="left"/>
      <w:pPr>
        <w:pStyle w:val="67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6"/>
        <w:ind w:left="2250" w:hanging="420"/>
        <w:tabs>
          <w:tab w:val="num" w:pos="2250" w:leader="none"/>
        </w:tabs>
      </w:pPr>
      <w:rPr>
        <w:rFonts w:hint="eastAsia"/>
        <w:b/>
        <w:lang w:val="en-US"/>
      </w:rPr>
    </w:lvl>
    <w:lvl w:ilvl="5">
      <w:start w:val="10"/>
      <w:numFmt w:val="japaneseCounting"/>
      <w:isLgl w:val="false"/>
      <w:suff w:val="tab"/>
      <w:lvlText w:val="（%6）"/>
      <w:lvlJc w:val="left"/>
      <w:pPr>
        <w:pStyle w:val="676"/>
        <w:ind w:left="2970" w:hanging="720"/>
      </w:pPr>
      <w:rPr>
        <w:rFonts w:cs="Times New Roman"/>
      </w:rPr>
    </w:lvl>
    <w:lvl w:ilvl="6">
      <w:start w:val="1"/>
      <w:numFmt w:val="decimal"/>
      <w:isLgl w:val="false"/>
      <w:suff w:val="tab"/>
      <w:lvlText w:val="（%7）"/>
      <w:lvlJc w:val="left"/>
      <w:pPr>
        <w:pStyle w:val="67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6"/>
        <w:ind w:left="3510" w:hanging="420"/>
        <w:tabs>
          <w:tab w:val="num" w:pos="3510" w:leader="none"/>
        </w:tabs>
      </w:pPr>
      <w:rPr>
        <w:rFonts w:cs="Times New Roman"/>
      </w:rPr>
    </w:lvl>
    <w:lvl w:ilvl="8">
      <w:start w:val="1"/>
      <w:numFmt w:val="lowerRoman"/>
      <w:isLgl w:val="false"/>
      <w:suff w:val="tab"/>
      <w:lvlText w:val="%9."/>
      <w:lvlJc w:val="right"/>
      <w:pPr>
        <w:pStyle w:val="676"/>
        <w:ind w:left="3930" w:hanging="420"/>
        <w:tabs>
          <w:tab w:val="num" w:pos="3930" w:leader="none"/>
        </w:tabs>
      </w:pPr>
      <w:rPr>
        <w:rFonts w:cs="Times New Roman"/>
      </w:rPr>
    </w:lvl>
  </w:abstractNum>
  <w:abstractNum w:abstractNumId="7">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74"/>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9">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abstractNum w:abstractNumId="11">
    <w:multiLevelType w:val="hybridMultilevel"/>
    <w:lvl w:ilvl="0">
      <w:start w:val="1"/>
      <w:numFmt w:val="japaneseCounting"/>
      <w:isLgl w:val="false"/>
      <w:suff w:val="tab"/>
      <w:lvlText w:val="%1、"/>
      <w:lvlJc w:val="left"/>
      <w:pPr>
        <w:pStyle w:val="6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6"/>
        <w:ind w:left="840" w:hanging="420"/>
        <w:tabs>
          <w:tab w:val="num" w:pos="840" w:leader="none"/>
        </w:tabs>
      </w:pPr>
      <w:rPr>
        <w:rFonts w:cs="Times New Roman"/>
      </w:rPr>
    </w:lvl>
    <w:lvl w:ilvl="2">
      <w:start w:val="10"/>
      <w:numFmt w:val="decimal"/>
      <w:isLgl w:val="false"/>
      <w:suff w:val="tab"/>
      <w:lvlText w:val="%3."/>
      <w:lvlJc w:val="left"/>
      <w:pPr>
        <w:pStyle w:val="676"/>
        <w:ind w:left="1200" w:hanging="360"/>
        <w:tabs>
          <w:tab w:val="num" w:pos="120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num w:numId="1">
    <w:abstractNumId w:val="10"/>
  </w:num>
  <w:num w:numId="2">
    <w:abstractNumId w:val="5"/>
  </w:num>
  <w:num w:numId="3">
    <w:abstractNumId w:val="8"/>
  </w:num>
  <w:num w:numId="4">
    <w:abstractNumId w:val="13"/>
  </w:num>
  <w:num w:numId="5">
    <w:abstractNumId w:val="7"/>
  </w:num>
  <w:num w:numId="6">
    <w:abstractNumId w:val="1"/>
  </w:num>
  <w:num w:numId="7">
    <w:abstractNumId w:val="14"/>
  </w:num>
  <w:num w:numId="8">
    <w:abstractNumId w:val="9"/>
  </w:num>
  <w:num w:numId="9">
    <w:abstractNumId w:val="2"/>
  </w:num>
  <w:num w:numId="10">
    <w:abstractNumId w:val="6"/>
  </w:num>
  <w:num w:numId="11">
    <w:abstractNumId w:val="3"/>
  </w:num>
  <w:num w:numId="12">
    <w:abstractNumId w:val="12"/>
  </w:num>
  <w:num w:numId="13">
    <w:abstractNumId w:val="0"/>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8"/>
    <w:link w:val="676"/>
    <w:qFormat/>
    <w:pPr>
      <w:jc w:val="both"/>
      <w:widowControl w:val="off"/>
    </w:pPr>
    <w:rPr>
      <w:rFonts w:ascii="Times New Roman" w:hAnsi="Times New Roman"/>
      <w:sz w:val="21"/>
      <w:szCs w:val="21"/>
      <w:lang w:val="en-US" w:eastAsia="zh-CN" w:bidi="ar-SA"/>
    </w:rPr>
  </w:style>
  <w:style w:type="paragraph" w:styleId="677">
    <w:name w:val="标题 1"/>
    <w:basedOn w:val="676"/>
    <w:next w:val="676"/>
    <w:link w:val="689"/>
    <w:qFormat/>
    <w:pPr>
      <w:jc w:val="center"/>
      <w:keepNext/>
      <w:outlineLvl w:val="0"/>
    </w:pPr>
    <w:rPr>
      <w:rFonts w:ascii="楷体_GB2312" w:eastAsia="楷体_GB2312"/>
      <w:sz w:val="28"/>
      <w:szCs w:val="28"/>
    </w:rPr>
  </w:style>
  <w:style w:type="paragraph" w:styleId="678">
    <w:name w:val="标题 2"/>
    <w:basedOn w:val="676"/>
    <w:next w:val="691"/>
    <w:link w:val="690"/>
    <w:qFormat/>
    <w:pPr>
      <w:jc w:val="center"/>
      <w:keepLines/>
      <w:keepNext/>
      <w:spacing w:before="260" w:after="260" w:line="416" w:lineRule="auto"/>
      <w:outlineLvl w:val="1"/>
    </w:pPr>
    <w:rPr>
      <w:rFonts w:ascii="Arial" w:hAnsi="Arial" w:eastAsia="幼圆"/>
      <w:b/>
      <w:bCs/>
      <w:sz w:val="44"/>
      <w:szCs w:val="44"/>
    </w:rPr>
  </w:style>
  <w:style w:type="paragraph" w:styleId="679">
    <w:name w:val="标题 3"/>
    <w:basedOn w:val="676"/>
    <w:next w:val="691"/>
    <w:link w:val="693"/>
    <w:qFormat/>
    <w:pPr>
      <w:keepLines/>
      <w:keepNext/>
      <w:spacing w:before="260" w:after="260" w:line="416" w:lineRule="auto"/>
      <w:outlineLvl w:val="2"/>
    </w:pPr>
    <w:rPr>
      <w:b/>
      <w:bCs/>
      <w:sz w:val="32"/>
      <w:szCs w:val="32"/>
    </w:rPr>
  </w:style>
  <w:style w:type="paragraph" w:styleId="680">
    <w:name w:val="标题 4"/>
    <w:basedOn w:val="676"/>
    <w:next w:val="691"/>
    <w:link w:val="694"/>
    <w:qFormat/>
    <w:pPr>
      <w:keepLines/>
      <w:keepNext/>
      <w:spacing w:before="280" w:after="290" w:line="376" w:lineRule="auto"/>
      <w:outlineLvl w:val="3"/>
    </w:pPr>
    <w:rPr>
      <w:rFonts w:ascii="Arial" w:hAnsi="Arial" w:eastAsia="黑体"/>
      <w:b/>
      <w:bCs/>
      <w:sz w:val="28"/>
      <w:szCs w:val="28"/>
    </w:rPr>
  </w:style>
  <w:style w:type="paragraph" w:styleId="681">
    <w:name w:val="标题 5"/>
    <w:basedOn w:val="676"/>
    <w:next w:val="691"/>
    <w:link w:val="695"/>
    <w:qFormat/>
    <w:pPr>
      <w:keepNext/>
      <w:outlineLvl w:val="4"/>
    </w:pPr>
    <w:rPr>
      <w:rFonts w:ascii="宋体"/>
      <w:color w:val="000000"/>
      <w:sz w:val="28"/>
      <w:szCs w:val="28"/>
    </w:rPr>
  </w:style>
  <w:style w:type="paragraph" w:styleId="682">
    <w:name w:val="标题 6"/>
    <w:basedOn w:val="676"/>
    <w:next w:val="676"/>
    <w:link w:val="696"/>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7"/>
    <w:qFormat/>
    <w:pPr>
      <w:numPr>
        <w:ilvl w:val="6"/>
        <w:numId w:val="1"/>
      </w:numPr>
      <w:keepLines/>
      <w:keepNext/>
      <w:spacing w:before="240" w:after="64" w:line="320" w:lineRule="auto"/>
      <w:outlineLvl w:val="6"/>
    </w:pPr>
    <w:rPr>
      <w:b/>
      <w:bCs/>
      <w:sz w:val="24"/>
      <w:szCs w:val="24"/>
    </w:rPr>
  </w:style>
  <w:style w:type="paragraph" w:styleId="684">
    <w:name w:val="标题 8"/>
    <w:basedOn w:val="676"/>
    <w:next w:val="676"/>
    <w:link w:val="698"/>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9"/>
    <w:qFormat/>
    <w:pPr>
      <w:numPr>
        <w:ilvl w:val="8"/>
        <w:numId w:val="1"/>
      </w:numPr>
      <w:keepLines/>
      <w:keepNext/>
      <w:spacing w:before="240" w:after="64" w:line="320" w:lineRule="auto"/>
      <w:outlineLvl w:val="8"/>
    </w:pPr>
    <w:rPr>
      <w:rFonts w:ascii="Arial" w:hAnsi="Arial" w:eastAsia="黑体"/>
      <w:sz w:val="20"/>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paragraph" w:styleId="688">
    <w:name w:val="正文文本11"/>
    <w:next w:val="688"/>
    <w:link w:val="676"/>
    <w:qFormat/>
    <w:pPr>
      <w:jc w:val="both"/>
      <w:widowControl w:val="off"/>
    </w:pPr>
    <w:rPr>
      <w:rFonts w:ascii="Times New Roman" w:hAnsi="Times New Roman" w:eastAsia="宋体" w:cs="Times New Roman"/>
      <w:sz w:val="18"/>
      <w:lang w:val="en-US" w:eastAsia="zh-CN" w:bidi="ar-SA"/>
    </w:rPr>
  </w:style>
  <w:style w:type="character" w:styleId="689">
    <w:name w:val="标题 1 Char"/>
    <w:next w:val="689"/>
    <w:link w:val="677"/>
    <w:rPr>
      <w:rFonts w:ascii="楷体_GB2312" w:hAnsi="Times New Roman" w:eastAsia="楷体_GB2312" w:cs="Times New Roman"/>
      <w:sz w:val="28"/>
      <w:szCs w:val="28"/>
    </w:rPr>
  </w:style>
  <w:style w:type="character" w:styleId="690">
    <w:name w:val="标题 2 Char"/>
    <w:next w:val="690"/>
    <w:link w:val="678"/>
    <w:rPr>
      <w:rFonts w:ascii="Arial" w:hAnsi="Arial" w:eastAsia="幼圆" w:cs="Arial"/>
      <w:b/>
      <w:bCs/>
      <w:sz w:val="44"/>
      <w:szCs w:val="44"/>
    </w:rPr>
  </w:style>
  <w:style w:type="paragraph" w:styleId="691">
    <w:name w:val="正文缩进"/>
    <w:basedOn w:val="676"/>
    <w:next w:val="691"/>
    <w:link w:val="692"/>
    <w:pPr>
      <w:ind w:firstLine="420"/>
    </w:pPr>
    <w:rPr>
      <w:sz w:val="20"/>
    </w:rPr>
  </w:style>
  <w:style w:type="character" w:styleId="692">
    <w:name w:val="正文缩进 Char"/>
    <w:next w:val="692"/>
    <w:link w:val="691"/>
    <w:rPr>
      <w:rFonts w:ascii="Times New Roman" w:hAnsi="Times New Roman" w:eastAsia="宋体" w:cs="Times New Roman"/>
      <w:szCs w:val="21"/>
    </w:rPr>
  </w:style>
  <w:style w:type="character" w:styleId="693">
    <w:name w:val="标题 3 Char"/>
    <w:next w:val="693"/>
    <w:link w:val="679"/>
    <w:rPr>
      <w:rFonts w:ascii="Times New Roman" w:hAnsi="Times New Roman" w:eastAsia="宋体" w:cs="Times New Roman"/>
      <w:b/>
      <w:bCs/>
      <w:sz w:val="32"/>
      <w:szCs w:val="32"/>
    </w:rPr>
  </w:style>
  <w:style w:type="character" w:styleId="694">
    <w:name w:val="标题 4 Char"/>
    <w:next w:val="694"/>
    <w:link w:val="680"/>
    <w:rPr>
      <w:rFonts w:ascii="Arial" w:hAnsi="Arial" w:eastAsia="黑体" w:cs="Arial"/>
      <w:b/>
      <w:bCs/>
      <w:sz w:val="28"/>
      <w:szCs w:val="28"/>
    </w:rPr>
  </w:style>
  <w:style w:type="character" w:styleId="695">
    <w:name w:val="标题 5 Char"/>
    <w:next w:val="695"/>
    <w:link w:val="681"/>
    <w:rPr>
      <w:rFonts w:ascii="宋体" w:hAnsi="Times New Roman" w:eastAsia="宋体" w:cs="Times New Roman"/>
      <w:color w:val="000000"/>
      <w:sz w:val="28"/>
      <w:szCs w:val="28"/>
    </w:rPr>
  </w:style>
  <w:style w:type="character" w:styleId="696">
    <w:name w:val="标题 6 Char"/>
    <w:next w:val="696"/>
    <w:link w:val="682"/>
    <w:rPr>
      <w:rFonts w:ascii="Arial" w:hAnsi="Arial" w:eastAsia="黑体" w:cs="Times New Roman"/>
      <w:b/>
      <w:bCs/>
      <w:sz w:val="24"/>
      <w:szCs w:val="24"/>
    </w:rPr>
  </w:style>
  <w:style w:type="character" w:styleId="697">
    <w:name w:val="标题 7 Char"/>
    <w:next w:val="697"/>
    <w:link w:val="683"/>
    <w:rPr>
      <w:rFonts w:ascii="Times New Roman" w:hAnsi="Times New Roman" w:eastAsia="宋体" w:cs="Times New Roman"/>
      <w:b/>
      <w:bCs/>
      <w:sz w:val="24"/>
      <w:szCs w:val="24"/>
    </w:rPr>
  </w:style>
  <w:style w:type="character" w:styleId="698">
    <w:name w:val="标题 8 Char"/>
    <w:next w:val="698"/>
    <w:link w:val="684"/>
    <w:rPr>
      <w:rFonts w:ascii="Arial" w:hAnsi="Arial" w:eastAsia="黑体" w:cs="Times New Roman"/>
      <w:sz w:val="24"/>
      <w:szCs w:val="24"/>
    </w:rPr>
  </w:style>
  <w:style w:type="character" w:styleId="699">
    <w:name w:val="标题 9 Char"/>
    <w:next w:val="699"/>
    <w:link w:val="685"/>
    <w:rPr>
      <w:rFonts w:ascii="Arial" w:hAnsi="Arial" w:eastAsia="黑体" w:cs="Times New Roman"/>
      <w:szCs w:val="21"/>
    </w:rPr>
  </w:style>
  <w:style w:type="paragraph" w:styleId="700">
    <w:name w:val="列表 3"/>
    <w:basedOn w:val="676"/>
    <w:next w:val="700"/>
    <w:link w:val="676"/>
    <w:pPr>
      <w:ind w:left="100" w:hanging="200"/>
    </w:pPr>
  </w:style>
  <w:style w:type="paragraph" w:styleId="701">
    <w:name w:val="目录 7"/>
    <w:basedOn w:val="676"/>
    <w:next w:val="676"/>
    <w:link w:val="676"/>
    <w:semiHidden/>
    <w:pPr>
      <w:ind w:left="1260"/>
      <w:jc w:val="left"/>
    </w:pPr>
  </w:style>
  <w:style w:type="paragraph" w:styleId="702">
    <w:name w:val="文档结构图"/>
    <w:basedOn w:val="676"/>
    <w:next w:val="702"/>
    <w:link w:val="703"/>
    <w:semiHidden/>
    <w:pPr>
      <w:shd w:val="clear" w:color="auto" w:fill="000080"/>
    </w:pPr>
    <w:rPr>
      <w:sz w:val="20"/>
    </w:rPr>
  </w:style>
  <w:style w:type="character" w:styleId="703">
    <w:name w:val="文档结构图 Char"/>
    <w:next w:val="703"/>
    <w:link w:val="702"/>
    <w:semiHidden/>
    <w:rPr>
      <w:rFonts w:ascii="Times New Roman" w:hAnsi="Times New Roman" w:eastAsia="宋体" w:cs="Times New Roman"/>
      <w:szCs w:val="21"/>
      <w:shd w:val="clear" w:color="auto" w:fill="000080"/>
    </w:rPr>
  </w:style>
  <w:style w:type="paragraph" w:styleId="704">
    <w:name w:val="批注文字"/>
    <w:basedOn w:val="676"/>
    <w:next w:val="704"/>
    <w:link w:val="705"/>
    <w:semiHidden/>
    <w:pPr>
      <w:jc w:val="left"/>
    </w:pPr>
    <w:rPr>
      <w:sz w:val="20"/>
    </w:rPr>
  </w:style>
  <w:style w:type="character" w:styleId="705">
    <w:name w:val="批注文字 Char"/>
    <w:next w:val="705"/>
    <w:link w:val="704"/>
    <w:semiHidden/>
    <w:rPr>
      <w:rFonts w:ascii="Times New Roman" w:hAnsi="Times New Roman" w:eastAsia="宋体" w:cs="Times New Roman"/>
      <w:szCs w:val="21"/>
    </w:rPr>
  </w:style>
  <w:style w:type="paragraph" w:styleId="706">
    <w:name w:val="正文文本 3"/>
    <w:basedOn w:val="676"/>
    <w:next w:val="706"/>
    <w:link w:val="707"/>
    <w:rPr>
      <w:rFonts w:ascii="仿宋_GB2312" w:hAnsi="Arial" w:eastAsia="仿宋_GB2312"/>
      <w:sz w:val="32"/>
      <w:szCs w:val="32"/>
    </w:rPr>
  </w:style>
  <w:style w:type="character" w:styleId="707">
    <w:name w:val="正文文本 3 Char"/>
    <w:next w:val="707"/>
    <w:link w:val="706"/>
    <w:rPr>
      <w:rFonts w:ascii="仿宋_GB2312" w:hAnsi="Arial" w:eastAsia="仿宋_GB2312" w:cs="Times New Roman"/>
      <w:sz w:val="32"/>
      <w:szCs w:val="32"/>
    </w:rPr>
  </w:style>
  <w:style w:type="paragraph" w:styleId="708">
    <w:name w:val="正文文本"/>
    <w:basedOn w:val="676"/>
    <w:next w:val="708"/>
    <w:link w:val="709"/>
    <w:rPr>
      <w:rFonts w:ascii="楷体_GB2312" w:hAnsi="Arial" w:eastAsia="楷体_GB2312"/>
      <w:sz w:val="28"/>
      <w:szCs w:val="28"/>
    </w:rPr>
  </w:style>
  <w:style w:type="character" w:styleId="709">
    <w:name w:val="正文文本 Char"/>
    <w:next w:val="709"/>
    <w:link w:val="708"/>
    <w:rPr>
      <w:rFonts w:ascii="楷体_GB2312" w:hAnsi="Arial" w:eastAsia="楷体_GB2312" w:cs="Times New Roman"/>
      <w:sz w:val="28"/>
      <w:szCs w:val="28"/>
    </w:rPr>
  </w:style>
  <w:style w:type="paragraph" w:styleId="710">
    <w:name w:val="正文文本缩进"/>
    <w:basedOn w:val="676"/>
    <w:next w:val="710"/>
    <w:link w:val="711"/>
    <w:pPr>
      <w:ind w:firstLine="645"/>
    </w:pPr>
    <w:rPr>
      <w:rFonts w:ascii="楷体_GB2312" w:eastAsia="楷体_GB2312"/>
      <w:sz w:val="32"/>
      <w:szCs w:val="32"/>
    </w:rPr>
  </w:style>
  <w:style w:type="character" w:styleId="711">
    <w:name w:val="正文文本缩进 Char"/>
    <w:next w:val="711"/>
    <w:link w:val="710"/>
    <w:rPr>
      <w:rFonts w:ascii="楷体_GB2312" w:hAnsi="Times New Roman" w:eastAsia="楷体_GB2312" w:cs="Times New Roman"/>
      <w:sz w:val="32"/>
      <w:szCs w:val="32"/>
    </w:rPr>
  </w:style>
  <w:style w:type="paragraph" w:styleId="712">
    <w:name w:val="列表 2"/>
    <w:basedOn w:val="676"/>
    <w:next w:val="712"/>
    <w:link w:val="676"/>
    <w:pPr>
      <w:ind w:left="100" w:hanging="200"/>
    </w:pPr>
  </w:style>
  <w:style w:type="paragraph" w:styleId="713">
    <w:name w:val="目录 5"/>
    <w:basedOn w:val="676"/>
    <w:next w:val="676"/>
    <w:link w:val="676"/>
    <w:semiHidden/>
    <w:pPr>
      <w:ind w:left="840"/>
      <w:jc w:val="left"/>
    </w:pPr>
  </w:style>
  <w:style w:type="paragraph" w:styleId="714">
    <w:name w:val="目录 3"/>
    <w:basedOn w:val="676"/>
    <w:next w:val="676"/>
    <w:link w:val="676"/>
    <w:semiHidden/>
    <w:pPr>
      <w:ind w:left="420"/>
      <w:jc w:val="left"/>
    </w:pPr>
    <w:rPr>
      <w:i/>
      <w:iCs/>
      <w:szCs w:val="24"/>
    </w:rPr>
  </w:style>
  <w:style w:type="paragraph" w:styleId="715">
    <w:name w:val="纯文本"/>
    <w:basedOn w:val="676"/>
    <w:next w:val="715"/>
    <w:link w:val="716"/>
    <w:rPr>
      <w:rFonts w:ascii="宋体" w:hAnsi="Courier New"/>
      <w:sz w:val="20"/>
    </w:rPr>
  </w:style>
  <w:style w:type="character" w:styleId="716">
    <w:name w:val="纯文本 Char"/>
    <w:next w:val="716"/>
    <w:link w:val="715"/>
    <w:rPr>
      <w:rFonts w:ascii="宋体" w:hAnsi="Courier New" w:eastAsia="宋体" w:cs="Courier New"/>
      <w:szCs w:val="21"/>
    </w:rPr>
  </w:style>
  <w:style w:type="paragraph" w:styleId="717">
    <w:name w:val="目录 8"/>
    <w:basedOn w:val="676"/>
    <w:next w:val="676"/>
    <w:link w:val="676"/>
    <w:semiHidden/>
    <w:pPr>
      <w:ind w:left="1470"/>
      <w:jc w:val="left"/>
    </w:pPr>
  </w:style>
  <w:style w:type="paragraph" w:styleId="718">
    <w:name w:val="日期"/>
    <w:basedOn w:val="676"/>
    <w:next w:val="676"/>
    <w:link w:val="719"/>
    <w:rPr>
      <w:sz w:val="24"/>
      <w:szCs w:val="24"/>
    </w:rPr>
  </w:style>
  <w:style w:type="character" w:styleId="719">
    <w:name w:val="日期 Char"/>
    <w:next w:val="719"/>
    <w:link w:val="718"/>
    <w:rPr>
      <w:rFonts w:ascii="Times New Roman" w:hAnsi="Times New Roman" w:eastAsia="宋体" w:cs="Times New Roman"/>
      <w:sz w:val="24"/>
      <w:szCs w:val="24"/>
    </w:rPr>
  </w:style>
  <w:style w:type="paragraph" w:styleId="720">
    <w:name w:val="正文文本缩进 2"/>
    <w:basedOn w:val="676"/>
    <w:next w:val="720"/>
    <w:link w:val="721"/>
    <w:pPr>
      <w:ind w:left="630" w:firstLine="645"/>
    </w:pPr>
    <w:rPr>
      <w:rFonts w:ascii="Arial" w:hAnsi="Arial" w:eastAsia="仿宋_GB2312"/>
      <w:sz w:val="32"/>
      <w:szCs w:val="32"/>
    </w:rPr>
  </w:style>
  <w:style w:type="character" w:styleId="721">
    <w:name w:val="正文文本缩进 2 Char"/>
    <w:next w:val="721"/>
    <w:link w:val="720"/>
    <w:rPr>
      <w:rFonts w:ascii="Arial" w:hAnsi="Arial" w:eastAsia="仿宋_GB2312" w:cs="Arial"/>
      <w:sz w:val="32"/>
      <w:szCs w:val="32"/>
    </w:rPr>
  </w:style>
  <w:style w:type="paragraph" w:styleId="722">
    <w:name w:val="批注框文本"/>
    <w:basedOn w:val="676"/>
    <w:next w:val="722"/>
    <w:link w:val="723"/>
    <w:semiHidden/>
    <w:rPr>
      <w:sz w:val="18"/>
      <w:szCs w:val="18"/>
    </w:rPr>
  </w:style>
  <w:style w:type="character" w:styleId="723">
    <w:name w:val="批注框文本 Char"/>
    <w:next w:val="723"/>
    <w:link w:val="722"/>
    <w:semiHidden/>
    <w:rPr>
      <w:rFonts w:ascii="Times New Roman" w:hAnsi="Times New Roman" w:eastAsia="宋体" w:cs="Times New Roman"/>
      <w:sz w:val="18"/>
      <w:szCs w:val="18"/>
    </w:rPr>
  </w:style>
  <w:style w:type="paragraph" w:styleId="724">
    <w:name w:val="页脚"/>
    <w:basedOn w:val="676"/>
    <w:next w:val="724"/>
    <w:link w:val="725"/>
    <w:pPr>
      <w:jc w:val="left"/>
      <w:tabs>
        <w:tab w:val="center" w:pos="4153" w:leader="none"/>
        <w:tab w:val="right" w:pos="8306" w:leader="none"/>
      </w:tabs>
    </w:pPr>
    <w:rPr>
      <w:sz w:val="18"/>
      <w:szCs w:val="18"/>
    </w:rPr>
  </w:style>
  <w:style w:type="character" w:styleId="725">
    <w:name w:val="页脚 Char"/>
    <w:next w:val="725"/>
    <w:link w:val="724"/>
    <w:rPr>
      <w:rFonts w:ascii="Times New Roman" w:hAnsi="Times New Roman" w:eastAsia="宋体" w:cs="Times New Roman"/>
      <w:sz w:val="18"/>
      <w:szCs w:val="18"/>
    </w:rPr>
  </w:style>
  <w:style w:type="paragraph" w:styleId="726">
    <w:name w:val="页眉"/>
    <w:basedOn w:val="676"/>
    <w:next w:val="726"/>
    <w:link w:val="727"/>
    <w:uiPriority w:val="99"/>
    <w:qFormat/>
    <w:pPr>
      <w:jc w:val="center"/>
      <w:tabs>
        <w:tab w:val="center" w:pos="4153" w:leader="none"/>
        <w:tab w:val="right" w:pos="8306" w:leader="none"/>
      </w:tabs>
      <w:pBdr>
        <w:bottom w:val="single" w:color="000000" w:sz="6" w:space="1"/>
      </w:pBdr>
    </w:pPr>
    <w:rPr>
      <w:sz w:val="18"/>
      <w:szCs w:val="18"/>
    </w:rPr>
  </w:style>
  <w:style w:type="character" w:styleId="727">
    <w:name w:val="页眉 Char"/>
    <w:next w:val="727"/>
    <w:link w:val="726"/>
    <w:uiPriority w:val="99"/>
    <w:qFormat/>
    <w:rPr>
      <w:rFonts w:ascii="Times New Roman" w:hAnsi="Times New Roman" w:eastAsia="宋体" w:cs="Times New Roman"/>
      <w:sz w:val="18"/>
      <w:szCs w:val="18"/>
    </w:rPr>
  </w:style>
  <w:style w:type="paragraph" w:styleId="728">
    <w:name w:val="目录 1"/>
    <w:basedOn w:val="676"/>
    <w:next w:val="676"/>
    <w:link w:val="676"/>
    <w:semiHidden/>
    <w:pPr>
      <w:jc w:val="left"/>
      <w:spacing w:before="120" w:after="120" w:line="400" w:lineRule="exact"/>
      <w:tabs>
        <w:tab w:val="right" w:pos="8720" w:leader="dot"/>
      </w:tabs>
    </w:pPr>
    <w:rPr>
      <w:rFonts w:ascii="宋体" w:hAnsi="宋体"/>
      <w:caps/>
      <w:sz w:val="24"/>
      <w:szCs w:val="24"/>
    </w:rPr>
  </w:style>
  <w:style w:type="paragraph" w:styleId="729">
    <w:name w:val="目录 4"/>
    <w:basedOn w:val="676"/>
    <w:next w:val="676"/>
    <w:link w:val="676"/>
    <w:semiHidden/>
    <w:pPr>
      <w:ind w:left="630"/>
      <w:jc w:val="left"/>
    </w:pPr>
  </w:style>
  <w:style w:type="paragraph" w:styleId="730">
    <w:name w:val="列表"/>
    <w:basedOn w:val="676"/>
    <w:next w:val="730"/>
    <w:link w:val="676"/>
    <w:pPr>
      <w:ind w:left="200" w:hanging="200"/>
    </w:pPr>
  </w:style>
  <w:style w:type="paragraph" w:styleId="731">
    <w:name w:val="目录 6"/>
    <w:basedOn w:val="676"/>
    <w:next w:val="676"/>
    <w:link w:val="676"/>
    <w:semiHidden/>
    <w:pPr>
      <w:ind w:left="1050"/>
      <w:jc w:val="left"/>
    </w:pPr>
  </w:style>
  <w:style w:type="paragraph" w:styleId="732">
    <w:name w:val="正文文本缩进 3"/>
    <w:basedOn w:val="676"/>
    <w:next w:val="732"/>
    <w:link w:val="733"/>
    <w:pPr>
      <w:ind w:left="645" w:firstLine="645"/>
    </w:pPr>
    <w:rPr>
      <w:rFonts w:ascii="Arial" w:hAnsi="Arial" w:eastAsia="仿宋_GB2312"/>
      <w:color w:val="ffff00"/>
      <w:sz w:val="32"/>
      <w:szCs w:val="32"/>
    </w:rPr>
  </w:style>
  <w:style w:type="character" w:styleId="733">
    <w:name w:val="正文文本缩进 3 Char"/>
    <w:next w:val="733"/>
    <w:link w:val="732"/>
    <w:rPr>
      <w:rFonts w:ascii="Arial" w:hAnsi="Arial" w:eastAsia="仿宋_GB2312" w:cs="Arial"/>
      <w:color w:val="ffff00"/>
      <w:sz w:val="32"/>
      <w:szCs w:val="32"/>
    </w:rPr>
  </w:style>
  <w:style w:type="paragraph" w:styleId="734">
    <w:name w:val="图表目录"/>
    <w:basedOn w:val="676"/>
    <w:next w:val="676"/>
    <w:link w:val="676"/>
    <w:semiHidden/>
    <w:pPr>
      <w:ind w:left="840" w:hanging="420"/>
    </w:pPr>
  </w:style>
  <w:style w:type="paragraph" w:styleId="735">
    <w:name w:val="目录 2"/>
    <w:basedOn w:val="676"/>
    <w:next w:val="676"/>
    <w:link w:val="676"/>
    <w:semiHidden/>
    <w:pPr>
      <w:ind w:left="210"/>
      <w:jc w:val="left"/>
    </w:pPr>
    <w:rPr>
      <w:smallCaps/>
      <w:szCs w:val="24"/>
    </w:rPr>
  </w:style>
  <w:style w:type="paragraph" w:styleId="736">
    <w:name w:val="目录 9"/>
    <w:basedOn w:val="676"/>
    <w:next w:val="676"/>
    <w:link w:val="676"/>
    <w:semiHidden/>
    <w:pPr>
      <w:ind w:left="1680"/>
      <w:jc w:val="left"/>
    </w:pPr>
  </w:style>
  <w:style w:type="paragraph" w:styleId="737">
    <w:name w:val="正文文本 2"/>
    <w:basedOn w:val="676"/>
    <w:next w:val="737"/>
    <w:link w:val="738"/>
    <w:pPr>
      <w:jc w:val="center"/>
      <w:widowControl/>
    </w:pPr>
    <w:rPr>
      <w:rFonts w:ascii="楷体_GB2312" w:eastAsia="楷体_GB2312"/>
      <w:sz w:val="28"/>
      <w:szCs w:val="28"/>
    </w:rPr>
  </w:style>
  <w:style w:type="character" w:styleId="738">
    <w:name w:val="正文文本 2 Char"/>
    <w:next w:val="738"/>
    <w:link w:val="737"/>
    <w:rPr>
      <w:rFonts w:ascii="楷体_GB2312" w:hAnsi="Times New Roman" w:eastAsia="楷体_GB2312" w:cs="Times New Roman"/>
      <w:sz w:val="28"/>
      <w:szCs w:val="28"/>
    </w:rPr>
  </w:style>
  <w:style w:type="paragraph" w:styleId="739">
    <w:name w:val="普通(网站)"/>
    <w:basedOn w:val="676"/>
    <w:next w:val="739"/>
    <w:link w:val="676"/>
    <w:uiPriority w:val="99"/>
    <w:pPr>
      <w:jc w:val="left"/>
      <w:spacing w:before="100" w:beforeAutospacing="1" w:after="100" w:afterAutospacing="1"/>
      <w:widowControl/>
    </w:pPr>
    <w:rPr>
      <w:rFonts w:ascii="宋体" w:hAnsi="宋体" w:cs="宋体"/>
      <w:sz w:val="24"/>
      <w:szCs w:val="24"/>
    </w:rPr>
  </w:style>
  <w:style w:type="paragraph" w:styleId="740">
    <w:name w:val="索引 1"/>
    <w:basedOn w:val="676"/>
    <w:next w:val="676"/>
    <w:link w:val="676"/>
    <w:semiHidden/>
    <w:pPr>
      <w:spacing w:line="240" w:lineRule="atLeast"/>
    </w:pPr>
    <w:rPr>
      <w:b/>
      <w:bCs/>
    </w:rPr>
  </w:style>
  <w:style w:type="paragraph" w:styleId="741">
    <w:name w:val="批注主题"/>
    <w:basedOn w:val="704"/>
    <w:next w:val="704"/>
    <w:link w:val="742"/>
    <w:semiHidden/>
    <w:rPr>
      <w:b/>
      <w:bCs/>
    </w:rPr>
  </w:style>
  <w:style w:type="character" w:styleId="742">
    <w:name w:val="批注主题 Char"/>
    <w:next w:val="742"/>
    <w:link w:val="741"/>
    <w:semiHidden/>
    <w:rPr>
      <w:rFonts w:ascii="Times New Roman" w:hAnsi="Times New Roman" w:eastAsia="宋体" w:cs="Times New Roman"/>
      <w:b/>
      <w:bCs/>
      <w:szCs w:val="21"/>
    </w:rPr>
  </w:style>
  <w:style w:type="paragraph" w:styleId="743">
    <w:name w:val="正文首行缩进"/>
    <w:basedOn w:val="676"/>
    <w:next w:val="743"/>
    <w:link w:val="744"/>
    <w:pPr>
      <w:ind w:firstLine="200"/>
      <w:spacing w:line="360" w:lineRule="auto"/>
    </w:pPr>
    <w:rPr>
      <w:rFonts w:ascii="仿宋_GB2312" w:eastAsia="仿宋_GB2312"/>
      <w:sz w:val="30"/>
      <w:szCs w:val="30"/>
    </w:rPr>
  </w:style>
  <w:style w:type="character" w:styleId="744">
    <w:name w:val="正文首行缩进 Char"/>
    <w:next w:val="744"/>
    <w:link w:val="743"/>
    <w:rPr>
      <w:rFonts w:ascii="仿宋_GB2312" w:hAnsi="Times New Roman" w:eastAsia="仿宋_GB2312" w:cs="Times New Roman"/>
      <w:sz w:val="30"/>
      <w:szCs w:val="30"/>
    </w:rPr>
  </w:style>
  <w:style w:type="paragraph" w:styleId="745">
    <w:name w:val="正文首行缩进 2"/>
    <w:basedOn w:val="710"/>
    <w:next w:val="745"/>
    <w:link w:val="746"/>
    <w:pPr>
      <w:ind w:firstLine="420"/>
      <w:spacing w:line="360" w:lineRule="auto"/>
    </w:pPr>
    <w:rPr>
      <w:rFonts w:ascii="宋体" w:hAnsi="宋体" w:eastAsia="宋体"/>
      <w:szCs w:val="20"/>
    </w:rPr>
  </w:style>
  <w:style w:type="character" w:styleId="746">
    <w:name w:val="正文首行缩进 2 Char"/>
    <w:next w:val="746"/>
    <w:link w:val="745"/>
    <w:rPr>
      <w:rFonts w:ascii="宋体" w:hAnsi="宋体" w:eastAsia="宋体" w:cs="Times New Roman"/>
      <w:sz w:val="32"/>
      <w:szCs w:val="20"/>
    </w:rPr>
  </w:style>
  <w:style w:type="table" w:styleId="747">
    <w:name w:val="网格型"/>
    <w:basedOn w:val="687"/>
    <w:next w:val="747"/>
    <w:link w:val="676"/>
    <w:pPr>
      <w:jc w:val="both"/>
      <w:widowControl w:val="off"/>
    </w:pPr>
    <w:rPr>
      <w:rFonts w:ascii="Times New Roman" w:hAnsi="Times New Roman" w:eastAsia="宋体" w:cs="Times New Roman"/>
      <w:sz w:val="20"/>
      <w:szCs w:val="20"/>
    </w:rPr>
    <w:tblPr/>
  </w:style>
  <w:style w:type="character" w:styleId="748">
    <w:name w:val="要点"/>
    <w:next w:val="748"/>
    <w:link w:val="676"/>
    <w:qFormat/>
    <w:rPr>
      <w:b/>
      <w:bCs/>
    </w:rPr>
  </w:style>
  <w:style w:type="character" w:styleId="749">
    <w:name w:val="页码"/>
    <w:next w:val="749"/>
    <w:link w:val="676"/>
  </w:style>
  <w:style w:type="character" w:styleId="750">
    <w:name w:val="已访问的超链接"/>
    <w:next w:val="750"/>
    <w:link w:val="676"/>
    <w:rPr>
      <w:color w:val="800080"/>
      <w:u w:val="single"/>
    </w:rPr>
  </w:style>
  <w:style w:type="character" w:styleId="751">
    <w:name w:val="HTML 打字机"/>
    <w:next w:val="751"/>
    <w:link w:val="676"/>
    <w:uiPriority w:val="99"/>
    <w:rPr>
      <w:rFonts w:ascii="宋体" w:hAnsi="宋体" w:eastAsia="宋体" w:cs="宋体"/>
      <w:sz w:val="24"/>
      <w:szCs w:val="24"/>
    </w:rPr>
  </w:style>
  <w:style w:type="character" w:styleId="752">
    <w:name w:val="超链接"/>
    <w:next w:val="752"/>
    <w:link w:val="676"/>
    <w:rPr>
      <w:color w:val="0000ff"/>
      <w:u w:val="single"/>
    </w:rPr>
  </w:style>
  <w:style w:type="character" w:styleId="753">
    <w:name w:val="批注引用"/>
    <w:basedOn w:val="686"/>
    <w:next w:val="753"/>
    <w:link w:val="676"/>
    <w:semiHidden/>
    <w:rPr>
      <w:sz w:val="21"/>
      <w:szCs w:val="21"/>
    </w:rPr>
  </w:style>
  <w:style w:type="paragraph" w:styleId="754">
    <w:name w:val="正文文本1"/>
    <w:basedOn w:val="676"/>
    <w:next w:val="754"/>
    <w:link w:val="676"/>
    <w:qFormat/>
    <w:rPr>
      <w:rFonts w:ascii="楷体_GB2312" w:hAnsi="Arial" w:eastAsia="楷体_GB2312"/>
      <w:sz w:val="28"/>
      <w:szCs w:val="28"/>
    </w:rPr>
  </w:style>
  <w:style w:type="character" w:styleId="755">
    <w:name w:val="font5 Char"/>
    <w:next w:val="755"/>
    <w:link w:val="676"/>
    <w:rPr>
      <w:rFonts w:ascii="宋体" w:hAnsi="宋体" w:eastAsia="宋体"/>
      <w:sz w:val="28"/>
      <w:szCs w:val="28"/>
      <w:lang w:val="en-US" w:eastAsia="zh-CN" w:bidi="ar-SA"/>
    </w:rPr>
  </w:style>
  <w:style w:type="character" w:styleId="756">
    <w:name w:val="二级目录 Char"/>
    <w:next w:val="756"/>
    <w:link w:val="757"/>
    <w:rPr>
      <w:b/>
      <w:sz w:val="30"/>
      <w:szCs w:val="28"/>
      <w:lang w:val="en-US" w:eastAsia="zh-CN" w:bidi="ar-SA"/>
    </w:rPr>
  </w:style>
  <w:style w:type="paragraph" w:styleId="757">
    <w:name w:val="二级目录"/>
    <w:next w:val="676"/>
    <w:link w:val="756"/>
    <w:pPr>
      <w:numPr>
        <w:ilvl w:val="0"/>
        <w:numId w:val="2"/>
      </w:numPr>
      <w:tabs>
        <w:tab w:val="left" w:pos="907" w:leader="none"/>
        <w:tab w:val="left" w:pos="1145" w:leader="none"/>
      </w:tabs>
      <w:outlineLvl w:val="1"/>
    </w:pPr>
    <w:rPr>
      <w:b/>
      <w:sz w:val="30"/>
      <w:szCs w:val="28"/>
      <w:lang w:val="en-US" w:eastAsia="zh-CN" w:bidi="ar-SA"/>
    </w:rPr>
  </w:style>
  <w:style w:type="character" w:styleId="758">
    <w:name w:val="列出段落 Char,Bullet List Char,numbered Char,FooterText Char,List Paragraph1 Char,Paragraphe de liste1 Char"/>
    <w:next w:val="758"/>
    <w:link w:val="759"/>
    <w:rPr>
      <w:rFonts w:ascii="Calibri" w:hAnsi="Calibri"/>
      <w:sz w:val="24"/>
      <w:szCs w:val="24"/>
      <w:lang w:eastAsia="en-US" w:bidi="en-US"/>
    </w:rPr>
  </w:style>
  <w:style w:type="paragraph" w:styleId="759">
    <w:name w:val="列出段落1"/>
    <w:basedOn w:val="676"/>
    <w:next w:val="759"/>
    <w:link w:val="758"/>
    <w:qFormat/>
    <w:pPr>
      <w:contextualSpacing/>
      <w:ind w:left="720"/>
      <w:jc w:val="left"/>
      <w:widowControl/>
    </w:pPr>
    <w:rPr>
      <w:rFonts w:ascii="Calibri" w:hAnsi="Calibri"/>
      <w:sz w:val="24"/>
      <w:szCs w:val="24"/>
      <w:lang w:eastAsia="en-US" w:bidi="en-US"/>
    </w:rPr>
  </w:style>
  <w:style w:type="paragraph" w:styleId="760">
    <w:name w:val="Body Text(ch)"/>
    <w:basedOn w:val="676"/>
    <w:next w:val="708"/>
    <w:link w:val="676"/>
    <w:pPr>
      <w:spacing w:after="120"/>
    </w:pPr>
    <w:rPr>
      <w:rFonts w:ascii="宋体" w:hAnsi="Arial"/>
      <w:bCs/>
      <w:iCs/>
      <w:szCs w:val="24"/>
    </w:rPr>
  </w:style>
  <w:style w:type="paragraph" w:styleId="761">
    <w:name w:val="xl27"/>
    <w:basedOn w:val="676"/>
    <w:next w:val="761"/>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2">
    <w:name w:val="xl26"/>
    <w:basedOn w:val="676"/>
    <w:next w:val="762"/>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3">
    <w:name w:val="Char"/>
    <w:basedOn w:val="676"/>
    <w:next w:val="763"/>
    <w:link w:val="676"/>
    <w:pPr>
      <w:ind w:firstLine="200"/>
      <w:tabs>
        <w:tab w:val="left" w:pos="360" w:leader="none"/>
      </w:tabs>
    </w:pPr>
    <w:rPr>
      <w:sz w:val="28"/>
      <w:szCs w:val="30"/>
    </w:rPr>
  </w:style>
  <w:style w:type="paragraph" w:styleId="764">
    <w:name w:val=" Char"/>
    <w:basedOn w:val="702"/>
    <w:next w:val="764"/>
    <w:link w:val="676"/>
    <w:rPr>
      <w:rFonts w:ascii="Tahoma" w:hAnsi="Tahoma"/>
      <w:sz w:val="24"/>
      <w:szCs w:val="24"/>
    </w:rPr>
  </w:style>
  <w:style w:type="paragraph" w:styleId="765">
    <w:name w:val="普通正文"/>
    <w:basedOn w:val="676"/>
    <w:next w:val="765"/>
    <w:link w:val="676"/>
    <w:pPr>
      <w:ind w:firstLine="480"/>
      <w:jc w:val="left"/>
      <w:spacing w:before="120" w:after="120" w:line="360" w:lineRule="auto"/>
    </w:pPr>
    <w:rPr>
      <w:rFonts w:ascii="Arial" w:hAnsi="Arial"/>
      <w:sz w:val="24"/>
      <w:szCs w:val="24"/>
    </w:rPr>
  </w:style>
  <w:style w:type="paragraph" w:styleId="766">
    <w:name w:val="table_lines"/>
    <w:basedOn w:val="676"/>
    <w:next w:val="766"/>
    <w:link w:val="676"/>
    <w:pPr>
      <w:jc w:val="left"/>
      <w:widowControl/>
    </w:pPr>
    <w:rPr>
      <w:sz w:val="20"/>
      <w:szCs w:val="20"/>
      <w:lang w:val="de-DE" w:eastAsia="de-DE"/>
    </w:rPr>
  </w:style>
  <w:style w:type="paragraph" w:styleId="767">
    <w:name w:val="附录1"/>
    <w:next w:val="767"/>
    <w:link w:val="6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8">
    <w:name w:val="font7"/>
    <w:basedOn w:val="676"/>
    <w:next w:val="768"/>
    <w:link w:val="676"/>
    <w:pPr>
      <w:jc w:val="left"/>
      <w:spacing w:before="100" w:beforeAutospacing="1" w:after="100" w:afterAutospacing="1"/>
      <w:widowControl/>
    </w:pPr>
    <w:rPr>
      <w:rFonts w:hint="eastAsia" w:ascii="宋体" w:hAnsi="宋体"/>
      <w:sz w:val="18"/>
      <w:szCs w:val="18"/>
    </w:rPr>
  </w:style>
  <w:style w:type="paragraph" w:styleId="769">
    <w:name w:val=" Char Char Char Char"/>
    <w:basedOn w:val="702"/>
    <w:next w:val="769"/>
    <w:link w:val="676"/>
    <w:pPr>
      <w:spacing w:line="360" w:lineRule="auto"/>
    </w:pPr>
    <w:rPr>
      <w:rFonts w:ascii="Tahoma" w:hAnsi="Tahoma"/>
      <w:sz w:val="24"/>
      <w:szCs w:val="24"/>
    </w:rPr>
  </w:style>
  <w:style w:type="paragraph" w:styleId="770">
    <w:name w:val="列出段落"/>
    <w:basedOn w:val="676"/>
    <w:next w:val="770"/>
    <w:link w:val="676"/>
    <w:uiPriority w:val="99"/>
    <w:qFormat/>
    <w:pPr>
      <w:contextualSpacing/>
      <w:ind w:left="720"/>
      <w:jc w:val="left"/>
      <w:widowControl/>
    </w:pPr>
    <w:rPr>
      <w:rFonts w:ascii="Calibri" w:hAnsi="Calibri"/>
      <w:sz w:val="24"/>
      <w:szCs w:val="24"/>
      <w:lang w:eastAsia="en-US" w:bidi="en-US"/>
    </w:rPr>
  </w:style>
  <w:style w:type="paragraph" w:styleId="771">
    <w:name w:val="4"/>
    <w:basedOn w:val="676"/>
    <w:next w:val="732"/>
    <w:link w:val="676"/>
    <w:pPr>
      <w:ind w:firstLine="420"/>
      <w:spacing w:line="360" w:lineRule="auto"/>
    </w:pPr>
    <w:rPr>
      <w:color w:val="ff0000"/>
      <w:sz w:val="24"/>
      <w:szCs w:val="24"/>
    </w:rPr>
  </w:style>
  <w:style w:type="paragraph" w:styleId="772">
    <w:name w:val="普通 (Web)"/>
    <w:basedOn w:val="676"/>
    <w:next w:val="772"/>
    <w:link w:val="676"/>
    <w:pPr>
      <w:jc w:val="left"/>
      <w:spacing w:before="100" w:beforeAutospacing="1" w:after="100" w:afterAutospacing="1"/>
      <w:widowControl/>
    </w:pPr>
    <w:rPr>
      <w:rFonts w:ascii="宋体" w:hAnsi="宋体"/>
      <w:sz w:val="24"/>
      <w:szCs w:val="24"/>
    </w:rPr>
  </w:style>
  <w:style w:type="paragraph" w:styleId="773">
    <w:name w:val=" Char Char Char Char Char Char Char Char Char Char"/>
    <w:basedOn w:val="676"/>
    <w:next w:val="773"/>
    <w:link w:val="676"/>
    <w:pPr>
      <w:spacing w:line="360" w:lineRule="auto"/>
    </w:pPr>
    <w:rPr>
      <w:sz w:val="24"/>
      <w:szCs w:val="20"/>
    </w:rPr>
  </w:style>
  <w:style w:type="paragraph" w:styleId="774">
    <w:name w:val="样式1"/>
    <w:basedOn w:val="676"/>
    <w:next w:val="774"/>
    <w:link w:val="676"/>
    <w:pPr>
      <w:numPr>
        <w:ilvl w:val="0"/>
        <w:numId w:val="3"/>
      </w:numPr>
      <w:tabs>
        <w:tab w:val="left" w:pos="709" w:leader="none"/>
      </w:tabs>
    </w:pPr>
    <w:rPr>
      <w:rFonts w:ascii="宋体" w:hAnsi="宋体"/>
    </w:rPr>
  </w:style>
  <w:style w:type="paragraph" w:styleId="775">
    <w:name w:val="font6"/>
    <w:basedOn w:val="676"/>
    <w:next w:val="775"/>
    <w:link w:val="676"/>
    <w:pPr>
      <w:jc w:val="left"/>
      <w:spacing w:before="100" w:beforeAutospacing="1" w:after="100" w:afterAutospacing="1"/>
      <w:widowControl/>
    </w:pPr>
    <w:rPr>
      <w:rFonts w:hint="eastAsia" w:ascii="宋体" w:hAnsi="宋体"/>
      <w:sz w:val="28"/>
      <w:szCs w:val="28"/>
      <w:u w:val="single"/>
    </w:rPr>
  </w:style>
  <w:style w:type="paragraph" w:styleId="776">
    <w:name w:val="xl25"/>
    <w:basedOn w:val="676"/>
    <w:next w:val="776"/>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name w:val="图标"/>
    <w:basedOn w:val="676"/>
    <w:next w:val="676"/>
    <w:link w:val="6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8">
    <w:name w:val="标题3"/>
    <w:basedOn w:val="676"/>
    <w:next w:val="676"/>
    <w:link w:val="676"/>
    <w:pPr>
      <w:ind w:firstLine="624"/>
      <w:spacing w:line="590" w:lineRule="atLeast"/>
    </w:pPr>
    <w:rPr>
      <w:rFonts w:ascii="方正黑体_GBK" w:eastAsia="方正黑体_GBK"/>
      <w:sz w:val="32"/>
      <w:szCs w:val="32"/>
    </w:rPr>
  </w:style>
  <w:style w:type="paragraph" w:styleId="779">
    <w:name w:val="xl24"/>
    <w:basedOn w:val="676"/>
    <w:next w:val="779"/>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0">
    <w:name w:val="xl29"/>
    <w:basedOn w:val="676"/>
    <w:next w:val="780"/>
    <w:link w:val="6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1">
    <w:name w:val="Char Char Char Char Char Char Char Char"/>
    <w:basedOn w:val="676"/>
    <w:next w:val="781"/>
    <w:link w:val="676"/>
    <w:pPr>
      <w:jc w:val="left"/>
      <w:spacing w:after="160" w:line="240" w:lineRule="exact"/>
      <w:widowControl/>
    </w:pPr>
    <w:rPr>
      <w:rFonts w:ascii="Verdana" w:hAnsi="Verdana"/>
      <w:sz w:val="20"/>
      <w:szCs w:val="20"/>
      <w:lang w:eastAsia="en-US"/>
    </w:rPr>
  </w:style>
  <w:style w:type="paragraph" w:styleId="782">
    <w:name w:val="xl28"/>
    <w:basedOn w:val="676"/>
    <w:next w:val="782"/>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3">
    <w:name w:val=" Char Char Char Char Char Char Char Char"/>
    <w:basedOn w:val="676"/>
    <w:next w:val="783"/>
    <w:link w:val="676"/>
    <w:pPr>
      <w:jc w:val="left"/>
      <w:spacing w:after="160" w:line="240" w:lineRule="exact"/>
      <w:widowControl/>
    </w:pPr>
    <w:rPr>
      <w:rFonts w:ascii="Verdana" w:hAnsi="Verdana"/>
      <w:sz w:val="20"/>
      <w:szCs w:val="20"/>
      <w:lang w:eastAsia="en-US"/>
    </w:rPr>
  </w:style>
  <w:style w:type="paragraph" w:styleId="784">
    <w:name w:val="xl30"/>
    <w:basedOn w:val="676"/>
    <w:next w:val="784"/>
    <w:link w:val="676"/>
    <w:pPr>
      <w:jc w:val="center"/>
      <w:spacing w:before="100" w:beforeAutospacing="1" w:after="100" w:afterAutospacing="1"/>
      <w:widowControl/>
    </w:pPr>
    <w:rPr>
      <w:rFonts w:ascii="宋体" w:hAnsi="宋体"/>
      <w:b/>
      <w:bCs/>
      <w:sz w:val="36"/>
      <w:szCs w:val="36"/>
    </w:rPr>
  </w:style>
  <w:style w:type="paragraph" w:styleId="785">
    <w:name w:val="Char Char Char Char"/>
    <w:basedOn w:val="702"/>
    <w:next w:val="785"/>
    <w:link w:val="676"/>
    <w:pPr>
      <w:spacing w:line="360" w:lineRule="auto"/>
    </w:pPr>
    <w:rPr>
      <w:rFonts w:ascii="Tahoma" w:hAnsi="Tahoma"/>
      <w:sz w:val="24"/>
      <w:szCs w:val="24"/>
    </w:rPr>
  </w:style>
  <w:style w:type="paragraph" w:styleId="786">
    <w:name w:val="table_1stline"/>
    <w:basedOn w:val="676"/>
    <w:next w:val="786"/>
    <w:link w:val="676"/>
    <w:pPr>
      <w:jc w:val="left"/>
      <w:spacing w:before="120"/>
      <w:widowControl/>
    </w:pPr>
    <w:rPr>
      <w:bCs/>
      <w:sz w:val="20"/>
      <w:szCs w:val="20"/>
      <w:lang w:val="de-DE" w:eastAsia="de-DE"/>
    </w:rPr>
  </w:style>
  <w:style w:type="paragraph" w:styleId="787">
    <w:name w:val="font5"/>
    <w:basedOn w:val="676"/>
    <w:next w:val="787"/>
    <w:link w:val="676"/>
    <w:pPr>
      <w:jc w:val="left"/>
      <w:spacing w:before="100" w:beforeAutospacing="1" w:after="100" w:afterAutospacing="1"/>
      <w:widowControl/>
    </w:pPr>
    <w:rPr>
      <w:rFonts w:hint="eastAsia" w:ascii="宋体" w:hAnsi="宋体"/>
      <w:sz w:val="28"/>
      <w:szCs w:val="28"/>
    </w:rPr>
  </w:style>
  <w:style w:type="paragraph" w:styleId="788">
    <w:name w:val="标题1"/>
    <w:basedOn w:val="676"/>
    <w:next w:val="676"/>
    <w:link w:val="676"/>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name w:val="修订"/>
    <w:next w:val="789"/>
    <w:link w:val="676"/>
    <w:uiPriority w:val="99"/>
    <w:semiHidden/>
    <w:rPr>
      <w:rFonts w:ascii="Times New Roman" w:hAnsi="Times New Roman"/>
      <w:sz w:val="21"/>
      <w:szCs w:val="21"/>
      <w:lang w:val="en-US" w:eastAsia="zh-CN" w:bidi="ar-SA"/>
    </w:rPr>
  </w:style>
  <w:style w:type="paragraph" w:styleId="790">
    <w:name w:val="无间隔"/>
    <w:next w:val="790"/>
    <w:link w:val="676"/>
    <w:uiPriority w:val="99"/>
    <w:qFormat/>
    <w:pPr>
      <w:jc w:val="both"/>
      <w:widowControl w:val="off"/>
    </w:pPr>
    <w:rPr>
      <w:rFonts w:ascii="Times New Roman" w:hAnsi="Times New Roman"/>
      <w:sz w:val="21"/>
      <w:szCs w:val="21"/>
      <w:lang w:val="en-US" w:eastAsia="zh-CN" w:bidi="ar-SA"/>
    </w:rPr>
  </w:style>
  <w:style w:type="paragraph" w:styleId="791">
    <w:name w:val="普通文字"/>
    <w:basedOn w:val="676"/>
    <w:next w:val="676"/>
    <w:link w:val="676"/>
    <w:uiPriority w:val="99"/>
    <w:rPr>
      <w:rFonts w:ascii="宋体" w:hAnsi="Times New Roman" w:eastAsia="宋体" w:cs="Times New Roman"/>
      <w:sz w:val="24"/>
      <w:szCs w:val="20"/>
      <w:u w:val="none"/>
    </w:rPr>
  </w:style>
  <w:style w:type="paragraph" w:styleId="792">
    <w:name w:val="目录 111"/>
    <w:basedOn w:val="676"/>
    <w:next w:val="676"/>
    <w:link w:val="676"/>
    <w:uiPriority w:val="39"/>
    <w:unhideWhenUsed/>
    <w:qFormat/>
    <w:pPr>
      <w:jc w:val="left"/>
      <w:spacing w:after="100" w:line="259" w:lineRule="auto"/>
      <w:widowControl/>
    </w:pPr>
    <w:rPr>
      <w:rFonts w:ascii="Calibri" w:hAnsi="Calibri" w:eastAsia="宋体"/>
      <w:sz w:val="22"/>
      <w:szCs w:val="22"/>
    </w:rPr>
  </w:style>
  <w:style w:type="table" w:styleId="793">
    <w:name w:val="Table Normal"/>
    <w:next w:val="793"/>
    <w:link w:val="676"/>
    <w:unhideWhenUsed/>
    <w:qFormat/>
    <w:rPr>
      <w:rFonts w:ascii="Arial" w:hAnsi="Arial" w:cs="Arial"/>
      <w:color w:val="000000"/>
      <w:szCs w:val="21"/>
      <w:lang w:eastAsia="en-US"/>
    </w:rPr>
    <w:tblPr/>
  </w:style>
  <w:style w:type="paragraph" w:styleId="794">
    <w:name w:val="Table Text"/>
    <w:basedOn w:val="676"/>
    <w:next w:val="794"/>
    <w:link w:val="676"/>
    <w:semiHidden/>
    <w:qFormat/>
    <w:pPr>
      <w:jc w:val="left"/>
      <w:widowControl/>
    </w:pPr>
    <w:rPr>
      <w:rFonts w:ascii="宋体" w:hAnsi="宋体" w:cs="宋体"/>
      <w:color w:val="000000"/>
      <w:szCs w:val="21"/>
      <w:lang w:eastAsia="en-US"/>
    </w:rPr>
  </w:style>
  <w:style w:type="character" w:styleId="795">
    <w:name w:val="font21"/>
    <w:basedOn w:val="686"/>
    <w:next w:val="795"/>
    <w:link w:val="676"/>
    <w:qFormat/>
    <w:rPr>
      <w:rFonts w:hint="eastAsia" w:ascii="宋体" w:hAnsi="宋体" w:eastAsia="宋体" w:cs="宋体"/>
      <w:b/>
      <w:bCs/>
      <w:color w:val="000000"/>
      <w:sz w:val="24"/>
      <w:szCs w:val="24"/>
      <w:u w:val="none"/>
    </w:rPr>
  </w:style>
  <w:style w:type="character" w:styleId="796">
    <w:name w:val="font31"/>
    <w:basedOn w:val="686"/>
    <w:next w:val="796"/>
    <w:link w:val="676"/>
    <w:qFormat/>
    <w:rPr>
      <w:rFonts w:hint="eastAsia" w:ascii="宋体" w:hAnsi="宋体" w:eastAsia="宋体" w:cs="宋体"/>
      <w:color w:val="000000"/>
      <w:sz w:val="24"/>
      <w:szCs w:val="24"/>
      <w:u w:val="none"/>
    </w:rPr>
  </w:style>
  <w:style w:type="character" w:styleId="797">
    <w:name w:val="font101"/>
    <w:basedOn w:val="686"/>
    <w:next w:val="797"/>
    <w:link w:val="676"/>
    <w:qFormat/>
    <w:rPr>
      <w:rFonts w:hint="eastAsia" w:ascii="宋体" w:hAnsi="宋体" w:eastAsia="宋体" w:cs="宋体"/>
      <w:b/>
      <w:bCs/>
      <w:color w:val="000000"/>
      <w:sz w:val="24"/>
      <w:szCs w:val="24"/>
      <w:u w:val="none"/>
    </w:rPr>
  </w:style>
  <w:style w:type="character" w:styleId="798">
    <w:name w:val="font61"/>
    <w:basedOn w:val="686"/>
    <w:next w:val="798"/>
    <w:link w:val="676"/>
    <w:qFormat/>
    <w:rPr>
      <w:rFonts w:hint="eastAsia" w:ascii="宋体" w:hAnsi="宋体" w:eastAsia="宋体" w:cs="宋体"/>
      <w:color w:val="000000"/>
      <w:sz w:val="24"/>
      <w:szCs w:val="24"/>
      <w:u w:val="none"/>
    </w:rPr>
  </w:style>
  <w:style w:type="character" w:styleId="15740" w:default="1">
    <w:name w:val="Default Paragraph Font"/>
    <w:uiPriority w:val="1"/>
    <w:semiHidden/>
    <w:unhideWhenUsed/>
  </w:style>
  <w:style w:type="numbering" w:styleId="15741" w:default="1">
    <w:name w:val="No List"/>
    <w:uiPriority w:val="99"/>
    <w:semiHidden/>
    <w:unhideWhenUsed/>
  </w:style>
  <w:style w:type="table" w:styleId="157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63</cp:revision>
  <dcterms:created xsi:type="dcterms:W3CDTF">2023-03-16T02:16:00Z</dcterms:created>
  <dcterms:modified xsi:type="dcterms:W3CDTF">2026-06-30T02:53:01Z</dcterms:modified>
</cp:coreProperties>
</file>