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太仓市政府采购</w:t>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招标文件</w:t>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hAnsi="宋体" w:cs="宋体"/>
          <w:b/>
          <w:bCs/>
          <w:color w:val="auto"/>
          <w:sz w:val="32"/>
          <w:szCs w:val="32"/>
          <w:highlight w:val="none"/>
          <w:lang w:eastAsia="zh-CN"/>
        </w:rPr>
        <w:t xml:space="preserve">JSZC-320585-TCZX-G2026-0006</w:t>
      </w:r>
      <w:r/>
    </w:p>
    <w:p>
      <w:pPr>
        <w:pStyle w:val="836"/>
        <w:ind w:left="2563" w:hanging="1606"/>
        <w:jc w:val="both"/>
        <w:spacing w:before="0" w:line="360" w:lineRule="auto"/>
        <w:rPr>
          <w:rFonts w:hint="eastAsia"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采购内容：</w:t>
      </w:r>
      <w:r>
        <w:rPr>
          <w:rFonts w:hint="eastAsia" w:hAnsi="宋体" w:cs="宋体"/>
          <w:b/>
          <w:bCs/>
          <w:color w:val="auto"/>
          <w:sz w:val="32"/>
          <w:szCs w:val="32"/>
          <w:highlight w:val="none"/>
          <w:lang w:eastAsia="zh-CN"/>
        </w:rPr>
        <w:t xml:space="preserve">太仓市港区政府专职消防救援队2026年食材配送服务</w:t>
      </w:r>
      <w:r/>
    </w:p>
    <w:p>
      <w:pPr>
        <w:pStyle w:val="836"/>
        <w:ind w:left="0" w:firstLine="964"/>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采购单位：</w:t>
      </w:r>
      <w:r>
        <w:rPr>
          <w:rFonts w:hint="eastAsia" w:hAnsi="宋体" w:cs="宋体"/>
          <w:b/>
          <w:bCs/>
          <w:color w:val="auto"/>
          <w:sz w:val="32"/>
          <w:szCs w:val="32"/>
          <w:highlight w:val="none"/>
          <w:lang w:eastAsia="zh-CN"/>
        </w:rPr>
        <w:t xml:space="preserve">太仓市浮桥镇人民政府</w:t>
      </w:r>
      <w:r/>
    </w:p>
    <w:p>
      <w:pPr>
        <w:pStyle w:val="836"/>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r/>
    </w:p>
    <w:p>
      <w:pPr>
        <w:ind w:firstLine="964"/>
        <w:jc w:val="both"/>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标的所属行业：</w:t>
      </w:r>
      <w:r>
        <w:rPr>
          <w:rFonts w:hint="eastAsia" w:hAnsi="宋体" w:cs="宋体"/>
          <w:b/>
          <w:bCs/>
          <w:color w:val="auto"/>
          <w:sz w:val="32"/>
          <w:szCs w:val="32"/>
          <w:highlight w:val="none"/>
          <w:lang w:eastAsia="zh-CN"/>
        </w:rPr>
        <w:t xml:space="preserve">（四）批发业</w:t>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center"/>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代理机构：</w:t>
      </w:r>
      <w:r>
        <w:rPr>
          <w:rFonts w:hint="eastAsia" w:hAnsi="宋体" w:cs="宋体"/>
          <w:b/>
          <w:bCs/>
          <w:color w:val="auto"/>
          <w:sz w:val="32"/>
          <w:szCs w:val="32"/>
          <w:highlight w:val="none"/>
          <w:lang w:eastAsia="zh-CN"/>
        </w:rPr>
        <w:t xml:space="preserve">太仓恒鑫项目管理咨询有限公司</w:t>
      </w:r>
      <w:r/>
    </w:p>
    <w:p>
      <w:pPr>
        <w:pStyle w:val="836"/>
        <w:ind w:left="0"/>
        <w:jc w:val="center"/>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二○二</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hAnsi="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月</w:t>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sdt>
      <w:sdtPr>
        <w15:appearance w15:val="boundingBox"/>
        <w:id w:val="511881242"/>
        <w:docPartObj>
          <w:docPartGallery w:val="Table of Contents"/>
          <w:docPartUnique w:val="true"/>
        </w:docPartObj>
        <w:rPr>
          <w:rFonts w:hint="eastAsia" w:ascii="宋体" w:hAnsi="宋体" w:eastAsia="宋体" w:cs="宋体"/>
          <w:color w:val="auto"/>
          <w:sz w:val="22"/>
          <w:szCs w:val="22"/>
          <w:highlight w:val="none"/>
          <w:lang w:val="zh-CN"/>
        </w:rPr>
      </w:sdtPr>
      <w:sdtContent>
        <w:p>
          <w:pPr>
            <w:pStyle w:val="10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867"/>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4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867"/>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4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867"/>
              <w:rFonts w:hint="eastAsia" w:ascii="宋体" w:hAnsi="宋体" w:eastAsia="宋体" w:cs="宋体"/>
              <w:color w:val="auto"/>
              <w:highlight w:val="none"/>
            </w:rPr>
            <w:t xml:space="preserve">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4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867"/>
              <w:rFonts w:hint="eastAsia" w:ascii="宋体" w:hAnsi="宋体" w:eastAsia="宋体" w:cs="宋体"/>
              <w:color w:val="auto"/>
              <w:highlight w:val="none"/>
            </w:rPr>
            <w:t xml:space="preserve">第四章 评分办法及评标标准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48"/>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867"/>
              <w:rFonts w:hint="eastAsia" w:ascii="宋体" w:hAnsi="宋体" w:eastAsia="宋体" w:cs="宋体"/>
              <w:color w:val="auto"/>
              <w:highlight w:val="none"/>
            </w:rPr>
            <w:t xml:space="preserve">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2</w:t>
          </w:r>
          <w:r/>
        </w:p>
        <w:p>
          <w:pPr>
            <w:pStyle w:val="848"/>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867"/>
              <w:rFonts w:hint="eastAsia" w:ascii="宋体" w:hAnsi="宋体" w:eastAsia="宋体" w:cs="宋体"/>
              <w:color w:val="auto"/>
              <w:highlight w:val="none"/>
            </w:rPr>
            <w:t xml:space="preserve">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8</w:t>
          </w:r>
          <w:r/>
        </w:p>
        <w:p>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r/>
        </w:p>
      </w:sdtContent>
    </w:sdt>
    <w:p>
      <w:pPr>
        <w:pStyle w:val="836"/>
        <w:ind w:left="0"/>
        <w:jc w:val="both"/>
        <w:spacing w:before="0" w:line="360" w:lineRule="auto"/>
        <w:rPr>
          <w:rFonts w:hint="eastAsia" w:ascii="宋体" w:hAnsi="宋体" w:eastAsia="宋体" w:cs="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int="eastAsia" w:ascii="宋体" w:hAnsi="宋体" w:eastAsia="宋体" w:cs="宋体"/>
          <w:color w:val="auto"/>
          <w:sz w:val="21"/>
          <w:highlight w:val="none"/>
        </w:rPr>
      </w:r>
      <w:r/>
    </w:p>
    <w:p>
      <w:pPr>
        <w:pStyle w:val="836"/>
        <w:ind w:left="0"/>
        <w:jc w:val="center"/>
        <w:spacing w:before="0" w:line="360" w:lineRule="auto"/>
        <w:rPr>
          <w:rFonts w:hint="eastAsia" w:ascii="宋体" w:hAnsi="宋体" w:eastAsia="宋体" w:cs="宋体"/>
          <w:b/>
          <w:bCs/>
          <w:color w:val="auto"/>
          <w:sz w:val="36"/>
          <w:szCs w:val="36"/>
          <w:highlight w:val="none"/>
        </w:rPr>
        <w:outlineLvl w:val="0"/>
      </w:pPr>
      <w:r/>
      <w:bookmarkStart w:id="0" w:name="_Toc159507035"/>
      <w:r/>
      <w:bookmarkStart w:id="1" w:name="OLE_LINK6"/>
      <w:r>
        <w:rPr>
          <w:rFonts w:hint="eastAsia" w:ascii="宋体" w:hAnsi="宋体" w:eastAsia="宋体" w:cs="宋体"/>
          <w:b/>
          <w:bCs/>
          <w:color w:val="auto"/>
          <w:sz w:val="36"/>
          <w:szCs w:val="36"/>
          <w:highlight w:val="none"/>
        </w:rPr>
        <w:t xml:space="preserve">第一章 </w:t>
      </w:r>
      <w:bookmarkStart w:id="2" w:name="OLE_LINK3"/>
      <w:r/>
      <w:bookmarkStart w:id="3" w:name="OLE_LINK5"/>
      <w:r/>
      <w:bookmarkStart w:id="4" w:name="OLE_LINK4"/>
      <w:r>
        <w:rPr>
          <w:rFonts w:hint="eastAsia" w:ascii="宋体" w:hAnsi="宋体" w:eastAsia="宋体" w:cs="宋体"/>
          <w:b/>
          <w:bCs/>
          <w:color w:val="auto"/>
          <w:sz w:val="36"/>
          <w:szCs w:val="36"/>
          <w:highlight w:val="none"/>
        </w:rPr>
        <w:t xml:space="preserve">招标公告</w:t>
      </w:r>
      <w:bookmarkEnd w:id="0"/>
      <w:r/>
      <w:bookmarkEnd w:id="1"/>
      <w:r/>
      <w:bookmarkEnd w:id="2"/>
      <w:r/>
      <w:bookmarkEnd w:id="3"/>
      <w:r/>
      <w:bookmarkEnd w:id="4"/>
      <w:r/>
      <w:r/>
    </w:p>
    <w:p>
      <w:pPr>
        <w:spacing w:line="360" w:lineRule="auto"/>
        <w:rPr>
          <w:rFonts w:hint="eastAsia" w:ascii="宋体" w:hAnsi="宋体" w:eastAsia="宋体" w:cs="宋体"/>
          <w:b/>
          <w:bCs/>
          <w:color w:val="auto"/>
          <w:sz w:val="21"/>
          <w:szCs w:val="21"/>
          <w:highlight w:val="none"/>
        </w:rPr>
      </w:pPr>
      <w:r/>
      <w:bookmarkStart w:id="5" w:name="OLE_LINK1"/>
      <w:r>
        <w:rPr>
          <w:rFonts w:hint="eastAsia" w:ascii="宋体" w:hAnsi="宋体" w:eastAsia="宋体" w:cs="宋体"/>
          <w:b/>
          <w:bCs/>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hAnsi="宋体" w:cs="宋体"/>
          <w:color w:val="auto"/>
          <w:sz w:val="21"/>
          <w:szCs w:val="21"/>
          <w:highlight w:val="none"/>
          <w:lang w:eastAsia="zh-CN"/>
        </w:rPr>
        <w:t xml:space="preserve">太仓市港区政府专职消防救援队2026年食材配送服务</w:t>
      </w:r>
      <w:r>
        <w:rPr>
          <w:rFonts w:hint="eastAsia" w:ascii="宋体" w:hAnsi="宋体" w:eastAsia="宋体" w:cs="宋体"/>
          <w:color w:val="auto"/>
          <w:sz w:val="21"/>
          <w:szCs w:val="21"/>
          <w:highlight w:val="none"/>
          <w:lang w:eastAsia="zh-CN"/>
        </w:rPr>
        <w:t xml:space="preserve">项</w:t>
      </w:r>
      <w:r>
        <w:rPr>
          <w:rFonts w:hint="eastAsia" w:ascii="宋体" w:hAnsi="宋体" w:eastAsia="宋体" w:cs="宋体"/>
          <w:color w:val="auto"/>
          <w:sz w:val="21"/>
          <w:szCs w:val="21"/>
          <w:highlight w:val="none"/>
        </w:rPr>
        <w:t xml:space="preserve">目的潜在投标人应在“苏采云政府采购一体化平台”中参与项目并获取招标文件，并于202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时（北京时间）前上传电子投标文件。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hAnsi="宋体" w:cs="宋体"/>
          <w:color w:val="auto"/>
          <w:sz w:val="21"/>
          <w:szCs w:val="21"/>
          <w:highlight w:val="none"/>
          <w:lang w:eastAsia="zh-CN"/>
        </w:rPr>
        <w:t xml:space="preserve">JSZC-320585-TCZX-G2026-0006</w:t>
      </w:r>
      <w:r/>
    </w:p>
    <w:p>
      <w:pPr>
        <w:ind w:firstLine="420"/>
        <w:spacing w:line="360" w:lineRule="auto"/>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hAnsi="宋体" w:cs="宋体"/>
          <w:color w:val="auto"/>
          <w:sz w:val="21"/>
          <w:szCs w:val="21"/>
          <w:highlight w:val="none"/>
          <w:lang w:eastAsia="zh-CN"/>
        </w:rPr>
        <w:t xml:space="preserve">太仓市港区政府专职消防救援队2026年食材配送服务</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w:t>
      </w:r>
      <w:r>
        <w:rPr>
          <w:rFonts w:hint="eastAsia" w:hAnsi="宋体" w:cs="宋体"/>
          <w:color w:val="auto"/>
          <w:sz w:val="21"/>
          <w:szCs w:val="21"/>
          <w:highlight w:val="none"/>
          <w:lang w:val="en-US" w:eastAsia="zh-CN"/>
        </w:rPr>
        <w:t xml:space="preserve">壹佰叁拾伍万元</w:t>
      </w:r>
      <w:r>
        <w:rPr>
          <w:rFonts w:hint="eastAsia" w:hAnsi="宋体" w:cs="宋体"/>
          <w:color w:val="auto"/>
          <w:sz w:val="21"/>
          <w:szCs w:val="21"/>
          <w:highlight w:val="none"/>
          <w:lang w:eastAsia="zh-CN"/>
        </w:rPr>
        <w:t xml:space="preserve">整（¥</w:t>
      </w:r>
      <w:r>
        <w:rPr>
          <w:rFonts w:hint="eastAsia" w:hAnsi="宋体" w:cs="宋体"/>
          <w:color w:val="auto"/>
          <w:sz w:val="21"/>
          <w:szCs w:val="21"/>
          <w:highlight w:val="none"/>
          <w:lang w:val="en-US" w:eastAsia="zh-CN"/>
        </w:rPr>
        <w:t xml:space="preserve">1350000</w:t>
      </w:r>
      <w:r>
        <w:rPr>
          <w:rFonts w:hint="eastAsia" w:hAnsi="宋体" w:cs="宋体"/>
          <w:color w:val="auto"/>
          <w:sz w:val="21"/>
          <w:szCs w:val="21"/>
          <w:highlight w:val="none"/>
          <w:lang w:eastAsia="zh-CN"/>
        </w:rPr>
        <w:t xml:space="preserve">.00元）</w:t>
      </w:r>
      <w:r/>
    </w:p>
    <w:p>
      <w:pPr>
        <w:ind w:firstLine="420"/>
        <w:spacing w:line="360" w:lineRule="auto"/>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4、最高限价：</w:t>
      </w:r>
      <w:r>
        <w:rPr>
          <w:rFonts w:hint="eastAsia" w:hAnsi="宋体" w:cs="宋体"/>
          <w:color w:val="auto"/>
          <w:sz w:val="21"/>
          <w:szCs w:val="21"/>
          <w:highlight w:val="none"/>
          <w:lang w:val="en-US" w:eastAsia="zh-CN"/>
        </w:rPr>
        <w:t xml:space="preserve">以</w:t>
      </w:r>
      <w:r>
        <w:rPr>
          <w:rFonts w:hint="eastAsia" w:hAnsi="宋体" w:cs="宋体"/>
          <w:color w:val="auto"/>
          <w:sz w:val="21"/>
          <w:szCs w:val="21"/>
          <w:highlight w:val="none"/>
          <w:lang w:eastAsia="zh-CN"/>
        </w:rPr>
        <w:t xml:space="preserve">太仓市娄东民生（http://122.193.93.203:8088/）公布的中心菜场当天价格</w:t>
      </w:r>
      <w:r>
        <w:rPr>
          <w:rFonts w:hint="eastAsia" w:hAnsi="宋体" w:cs="宋体"/>
          <w:color w:val="auto"/>
          <w:sz w:val="21"/>
          <w:szCs w:val="21"/>
          <w:highlight w:val="none"/>
          <w:lang w:val="en-US" w:eastAsia="zh-CN"/>
        </w:rPr>
        <w:t xml:space="preserve">为基准，按优惠率（即折扣率）报价。0≤投标优惠率≤100%，为有效投标报价；结算单价=基准价*优惠率。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5、采购需求</w:t>
      </w:r>
      <w:r>
        <w:rPr>
          <w:rFonts w:hint="eastAsia" w:ascii="宋体" w:hAnsi="宋体" w:eastAsia="宋体" w:cs="宋体"/>
          <w:color w:val="auto"/>
          <w:sz w:val="21"/>
          <w:szCs w:val="21"/>
          <w:highlight w:val="none"/>
          <w:lang w:val="en-US" w:eastAsia="zh-CN"/>
        </w:rPr>
        <w:t xml:space="preserve">：食材配送服务</w:t>
      </w:r>
      <w:r>
        <w:rPr>
          <w:rFonts w:hint="eastAsia" w:ascii="宋体" w:hAnsi="宋体" w:eastAsia="宋体" w:cs="宋体"/>
          <w:color w:val="auto"/>
          <w:sz w:val="21"/>
          <w:szCs w:val="21"/>
          <w:highlight w:val="none"/>
        </w:rPr>
        <w:t xml:space="preserve">，供应品种为粮油、肉及肉制品、蔬菜、豆制品、水产、冻品、调味品、禽蛋等</w:t>
      </w:r>
      <w:r>
        <w:rPr>
          <w:rFonts w:hint="eastAsia" w:ascii="宋体" w:hAnsi="宋体" w:eastAsia="宋体" w:cs="宋体"/>
          <w:color w:val="auto"/>
          <w:sz w:val="21"/>
          <w:szCs w:val="21"/>
          <w:highlight w:val="none"/>
          <w:lang w:val="en-US" w:eastAsia="zh-CN"/>
        </w:rPr>
        <w:t xml:space="preserve">，详见招标文件</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w:t>
      </w:r>
      <w:r>
        <w:rPr>
          <w:rFonts w:hint="eastAsia" w:ascii="宋体" w:hAnsi="宋体" w:eastAsia="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或项目服务结算金额达到</w:t>
      </w:r>
      <w:r>
        <w:rPr>
          <w:rFonts w:hint="eastAsia" w:ascii="宋体" w:hAnsi="宋体" w:eastAsia="宋体" w:cs="宋体"/>
          <w:color w:val="auto"/>
          <w:sz w:val="21"/>
          <w:szCs w:val="21"/>
          <w:highlight w:val="none"/>
          <w:lang w:val="en-US" w:eastAsia="zh-CN"/>
        </w:rPr>
        <w:t xml:space="preserve">预算</w:t>
      </w:r>
      <w:r>
        <w:rPr>
          <w:rFonts w:hint="eastAsia" w:ascii="宋体" w:hAnsi="宋体" w:eastAsia="宋体" w:cs="宋体"/>
          <w:color w:val="auto"/>
          <w:sz w:val="21"/>
          <w:szCs w:val="21"/>
          <w:highlight w:val="none"/>
        </w:rPr>
        <w:t xml:space="preserve">金额（二者中以先到者为准）。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7、本项目不接受联合体投标。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1、具有独立承担民事责任的能力（提供法人或者其他组织的营业执照等证明文件，自然人的身份证明）；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2、具有良好的商业信誉和健全的财务会计制度（提供最近一期的财务状况报告，其他组织、自然人提供银行出具的资信证明）；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 xml:space="preserve">半</w:t>
      </w:r>
      <w:r>
        <w:rPr>
          <w:rFonts w:hint="eastAsia" w:ascii="宋体" w:hAnsi="宋体" w:eastAsia="宋体" w:cs="宋体"/>
          <w:color w:val="auto"/>
          <w:sz w:val="21"/>
          <w:szCs w:val="21"/>
          <w:highlight w:val="none"/>
        </w:rPr>
        <w:t xml:space="preserve">年内（任意一个月）依法缴纳税收和社会保障资金的证明材料，依法免税或不需要缴纳社会保障资金的，提供相关证明文件）；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b w:val="0"/>
          <w:bCs/>
          <w:color w:val="000000"/>
          <w:sz w:val="21"/>
          <w:szCs w:val="21"/>
        </w:rPr>
        <w:t xml:space="preserve">本项目专门面向中小企业采购，所属行业为</w:t>
      </w:r>
      <w:r>
        <w:rPr>
          <w:rFonts w:hint="eastAsia" w:hAnsi="宋体" w:cs="宋体"/>
          <w:b w:val="0"/>
          <w:bCs/>
          <w:color w:val="000000"/>
          <w:sz w:val="21"/>
          <w:szCs w:val="21"/>
          <w:lang w:val="en-US" w:eastAsia="zh-CN"/>
        </w:rPr>
        <w:t xml:space="preserve">批发</w:t>
      </w:r>
      <w:r>
        <w:rPr>
          <w:rFonts w:hint="eastAsia" w:ascii="宋体" w:hAnsi="宋体" w:eastAsia="宋体" w:cs="宋体"/>
          <w:b w:val="0"/>
          <w:bCs/>
          <w:color w:val="000000"/>
          <w:sz w:val="21"/>
          <w:szCs w:val="21"/>
          <w:lang w:val="en-US" w:eastAsia="zh-CN"/>
        </w:rPr>
        <w:t xml:space="preserve">业</w:t>
      </w:r>
      <w:r>
        <w:rPr>
          <w:rFonts w:hint="eastAsia" w:ascii="宋体" w:hAnsi="宋体" w:eastAsia="宋体" w:cs="宋体"/>
          <w:b w:val="0"/>
          <w:bCs/>
          <w:color w:val="000000"/>
          <w:sz w:val="21"/>
          <w:szCs w:val="21"/>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000000"/>
          <w:sz w:val="21"/>
          <w:szCs w:val="21"/>
          <w:lang w:eastAsia="zh-CN"/>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1.具有有效期内的《食品经营许可证》；</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2.投标人须至少配备1辆冷藏车辆（自有的须提供购置发票及车辆行驶证扫描件；如为租赁的须提供租赁合同扫描件及车辆行驶证扫描件)。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
          <w:bCs w:val="0"/>
          <w:sz w:val="21"/>
          <w:szCs w:val="21"/>
          <w:lang w:val="en-US" w:eastAsia="zh-CN" w:bidi="ar-SA"/>
        </w:rPr>
        <w:t xml:space="preserve">3.本项目要求拟投入的服务人数合计不少于4人，全部具有健康证。其中项目负责人1人；配送司机1人，需持有驾驶证C1以上（准驾车型需与拟投入的冷藏车车型匹配）；其他配送人员2人。投标文件中须提供相应证明材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（四）拒绝下述供应商参加本次采购活动：</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1.供应商单位负责人为同一人或者存在直接控股、管理关系的不同供应商，不得参加同一合同项下的政府采购活动。</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2.凡为采购项目提供整体设计、规范编制或者项目管理、监理、检测等服务的供应商，不得再参加本项目的采购活动。</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3.法人的分支机构不得参加投标（除银行、保险、石油石化、电力、电信等行业特殊情况外）。</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三、投标报名及获取招标文件</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1、依法获取电子招标文件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自招标文件公告发布之日起5个工作日，</w:t>
      </w:r>
      <w:r>
        <w:rPr>
          <w:rFonts w:hint="eastAsia" w:ascii="宋体" w:hAnsi="宋体" w:eastAsia="宋体" w:cs="宋体"/>
          <w:b w:val="0"/>
          <w:bCs w:val="0"/>
          <w:color w:val="auto"/>
          <w:sz w:val="21"/>
          <w:szCs w:val="21"/>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2、获取方式：网上下载电子招标文件。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3、本项目免费下载电子招标文件。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1、加密的电子投标文件上传截止时间：202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rPr>
          <w:rFonts w:hint="eastAsia" w:ascii="宋体" w:hAnsi="宋体" w:eastAsia="宋体" w:cs="宋体"/>
          <w:b w:val="0"/>
          <w:bCs w:val="0"/>
          <w:color w:val="auto"/>
          <w:sz w:val="21"/>
          <w:szCs w:val="21"/>
          <w:highlight w:val="none"/>
        </w:rPr>
        <w:t xml:space="preserve">投标人登录苏采云政府采购一体化平台，进入“参与详情”页面，上传电子投标文件。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注：考虑网络上传速度因素，请投标供应商适当提前上传电子投标文件。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3、开标地点：苏采云网上不见面开标大厅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4、现场地址：苏州公共资源交易中心太仓分中心（太仓市陆渡街道万金北路88号4栋）。</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五、公告期限</w:t>
      </w:r>
      <w:r/>
    </w:p>
    <w:p>
      <w:pPr>
        <w:ind w:firstLine="42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自本公告发布之日起5个工作日。</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六、其他补充事宜</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1、本项目需要使用CA数字证书报名、制作、上传电子投标文件，请供应商在参加投标活动前办理好CA数字证书申领及电子签章等操作</w:t>
      </w:r>
      <w:r>
        <w:rPr>
          <w:rFonts w:hint="eastAsia" w:hAnsi="宋体" w:cs="宋体"/>
          <w:color w:val="auto"/>
          <w:sz w:val="21"/>
          <w:szCs w:val="21"/>
          <w:highlight w:val="none"/>
          <w:lang w:val="en-US" w:eastAsia="zh-CN"/>
        </w:rPr>
        <w:t xml:space="preserve">事宜</w:t>
      </w:r>
      <w:r>
        <w:rPr>
          <w:rFonts w:hint="eastAsia" w:ascii="宋体" w:hAnsi="宋体" w:eastAsia="宋体" w:cs="宋体"/>
          <w:color w:val="auto"/>
          <w:sz w:val="21"/>
          <w:szCs w:val="21"/>
          <w:highlight w:val="none"/>
        </w:rPr>
        <w:t xml:space="preserve">。投标人登</w:t>
      </w:r>
      <w:r>
        <w:rPr>
          <w:rFonts w:hint="eastAsia" w:hAnsi="宋体" w:cs="宋体"/>
          <w:color w:val="auto"/>
          <w:sz w:val="21"/>
          <w:szCs w:val="21"/>
          <w:highlight w:val="none"/>
          <w:lang w:val="en-US" w:eastAsia="zh-CN"/>
        </w:rPr>
        <w:t xml:space="preserve">录</w:t>
      </w:r>
      <w:r>
        <w:rPr>
          <w:rFonts w:hint="eastAsia" w:ascii="宋体" w:hAnsi="宋体" w:eastAsia="宋体" w:cs="宋体"/>
          <w:color w:val="auto"/>
          <w:sz w:val="21"/>
          <w:szCs w:val="21"/>
          <w:highlight w:val="none"/>
        </w:rPr>
        <w:t xml:space="preserve">“苏采云”系统后选择要参与的具体项目，点击“我要参与”并签章</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提交《投标供应商确认函》，提交《投标供应商确认函》</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日期视同为依法获取招标文件</w:t>
      </w:r>
      <w:r>
        <w:rPr>
          <w:rFonts w:hint="eastAsia" w:hAnsi="宋体" w:cs="宋体"/>
          <w:color w:val="auto"/>
          <w:sz w:val="21"/>
          <w:szCs w:val="21"/>
          <w:highlight w:val="none"/>
          <w:lang w:eastAsia="zh-CN"/>
        </w:rPr>
        <w:t xml:space="preserve">的</w:t>
      </w:r>
      <w:r>
        <w:rPr>
          <w:rFonts w:hint="eastAsia" w:hAnsi="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2、本项目采用不见面开标，投标人开标时无需到现场进行解密，</w:t>
      </w:r>
      <w:r>
        <w:rPr>
          <w:rFonts w:hint="eastAsia" w:hAnsi="宋体" w:cs="宋体"/>
          <w:color w:val="auto"/>
          <w:sz w:val="21"/>
          <w:szCs w:val="21"/>
          <w:highlight w:val="none"/>
          <w:lang w:eastAsia="zh-CN"/>
        </w:rPr>
        <w:t xml:space="preserve">通过</w:t>
      </w:r>
      <w:r>
        <w:rPr>
          <w:rFonts w:hint="eastAsia" w:ascii="宋体" w:hAnsi="宋体" w:eastAsia="宋体" w:cs="宋体"/>
          <w:color w:val="auto"/>
          <w:sz w:val="21"/>
          <w:szCs w:val="21"/>
          <w:highlight w:val="none"/>
        </w:rPr>
        <w:t xml:space="preserve">网上开标大厅解密电子投标文件</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投标人远程解密要求如下：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1）投标人使用CA数字证书进行远程解密，解密</w:t>
      </w:r>
      <w:r>
        <w:rPr>
          <w:rFonts w:hint="eastAsia" w:hAnsi="宋体" w:cs="宋体"/>
          <w:color w:val="auto"/>
          <w:sz w:val="21"/>
          <w:szCs w:val="21"/>
          <w:highlight w:val="none"/>
          <w:lang w:eastAsia="zh-CN"/>
        </w:rPr>
        <w:t xml:space="preserve">所用的</w:t>
      </w:r>
      <w:r>
        <w:rPr>
          <w:rFonts w:hint="eastAsia" w:ascii="宋体" w:hAnsi="宋体" w:eastAsia="宋体" w:cs="宋体"/>
          <w:color w:val="auto"/>
          <w:sz w:val="21"/>
          <w:szCs w:val="21"/>
          <w:highlight w:val="none"/>
        </w:rPr>
        <w:t xml:space="preserve">CA数字证书与生成加密电子投标文件时的CA数字证书需为</w:t>
      </w:r>
      <w:r>
        <w:rPr>
          <w:rFonts w:hint="eastAsia" w:hAnsi="宋体" w:cs="宋体"/>
          <w:color w:val="auto"/>
          <w:sz w:val="21"/>
          <w:szCs w:val="21"/>
          <w:highlight w:val="none"/>
          <w:lang w:eastAsia="zh-CN"/>
        </w:rPr>
        <w:t xml:space="preserve">同一个</w:t>
      </w:r>
      <w:r>
        <w:rPr>
          <w:rFonts w:hint="eastAsia" w:ascii="宋体" w:hAnsi="宋体" w:eastAsia="宋体" w:cs="宋体"/>
          <w:color w:val="auto"/>
          <w:sz w:val="21"/>
          <w:szCs w:val="21"/>
          <w:highlight w:val="none"/>
        </w:rPr>
        <w:t xml:space="preserve">，否则无法解密，造成的后果由投标人自行负责。</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2）投标人登录</w:t>
      </w:r>
      <w:r>
        <w:rPr>
          <w:rFonts w:hint="eastAsia" w:hAnsi="宋体" w:cs="宋体"/>
          <w:color w:val="auto"/>
          <w:sz w:val="21"/>
          <w:szCs w:val="21"/>
          <w:highlight w:val="none"/>
          <w:lang w:eastAsia="zh-CN"/>
        </w:rPr>
        <w:t xml:space="preserve">“苏采云”</w:t>
      </w:r>
      <w:r>
        <w:rPr>
          <w:rFonts w:hint="eastAsia" w:ascii="宋体" w:hAnsi="宋体" w:eastAsia="宋体" w:cs="宋体"/>
          <w:color w:val="auto"/>
          <w:sz w:val="21"/>
          <w:szCs w:val="21"/>
          <w:highlight w:val="none"/>
        </w:rPr>
        <w:t xml:space="preserve">系统，点击开标大厅，选择开标项目，完成不见面开标流程。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3）投标截止时间后</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系统提示解密电子投标文件。解密时间以系统提示为准，未在规定时间内完成解密</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其投标文件将被拒绝，不参与后续投标流程。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由于投标单位代表不在线所造成的一切后果由投标人自行承担。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5、有关办理CA数字申领及电子签章事项，登录苏州政府采购网，点击页面底部苏采云图标，进入苏采云政府采购一体化平台，下载“新CA办理指南”文件查阅。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6、投标保证金：本项目</w:t>
      </w:r>
      <w:r>
        <w:rPr>
          <w:rFonts w:hint="eastAsia" w:hAnsi="宋体" w:cs="宋体"/>
          <w:color w:val="auto"/>
          <w:sz w:val="21"/>
          <w:szCs w:val="21"/>
          <w:highlight w:val="none"/>
          <w:lang w:eastAsia="zh-CN"/>
        </w:rPr>
        <w:t xml:space="preserve">无需</w:t>
      </w:r>
      <w:r>
        <w:rPr>
          <w:rFonts w:hint="eastAsia" w:ascii="宋体" w:hAnsi="宋体" w:eastAsia="宋体" w:cs="宋体"/>
          <w:color w:val="auto"/>
          <w:sz w:val="21"/>
          <w:szCs w:val="21"/>
          <w:highlight w:val="none"/>
        </w:rPr>
        <w:t xml:space="preserve">缴纳投标保证金。</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7、履约保证金：无。</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8、本公告发布媒体：苏州市政府采购网等政府采购指定媒体。</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9、有关电子投标制作技术疑问，请咨询苏采云软件公司客服：18261002950、0512-69820854、0519-86722802。</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10、政府采购监督电话：0512-53512539。</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11、政府采购履约资金扶持政策：中标供应商可凭政府采购合同办理融资贷款，详情请见江苏政府采购网“政采贷”专栏。</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12、政府采购履约资金扶持政策：</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七、对本次招标提出询问，请按以下方式联系</w:t>
      </w:r>
      <w:r/>
    </w:p>
    <w:p>
      <w:pPr>
        <w:ind w:firstLine="42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1、采购人信息</w:t>
      </w:r>
      <w:r/>
    </w:p>
    <w:p>
      <w:pPr>
        <w:ind w:firstLine="480"/>
        <w:spacing w:line="360" w:lineRule="auto"/>
        <w:widowControl/>
        <w:rPr>
          <w:rFonts w:hint="eastAsia" w:hAnsi="宋体" w:cs="宋体"/>
          <w:color w:val="auto"/>
          <w:sz w:val="21"/>
          <w:szCs w:val="21"/>
          <w:highlight w:val="none"/>
          <w:lang w:eastAsia="zh-CN"/>
        </w:rPr>
      </w:pPr>
      <w:r/>
      <w:bookmarkStart w:id="6" w:name="_Hlk69823300"/>
      <w:r>
        <w:rPr>
          <w:rFonts w:hint="eastAsia" w:hAnsi="宋体" w:cs="宋体"/>
          <w:color w:val="auto"/>
          <w:sz w:val="21"/>
          <w:szCs w:val="21"/>
          <w:highlight w:val="none"/>
          <w:lang w:eastAsia="zh-CN"/>
        </w:rPr>
        <w:t xml:space="preserve">名    称: </w:t>
      </w:r>
      <w:bookmarkEnd w:id="6"/>
      <w:r>
        <w:rPr>
          <w:rFonts w:hint="eastAsia" w:hAnsi="宋体" w:cs="宋体"/>
          <w:color w:val="auto"/>
          <w:sz w:val="21"/>
          <w:szCs w:val="21"/>
          <w:highlight w:val="none"/>
          <w:lang w:eastAsia="zh-CN"/>
        </w:rPr>
        <w:t xml:space="preserve">太仓市浮桥镇人民政府</w:t>
      </w:r>
      <w:r/>
    </w:p>
    <w:p>
      <w:pPr>
        <w:ind w:firstLine="480"/>
        <w:spacing w:line="360" w:lineRule="auto"/>
        <w:widowControl/>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 xml:space="preserve">地    址：苏州市太仓市浮桥镇北环路12号</w:t>
      </w:r>
      <w:r/>
    </w:p>
    <w:p>
      <w:pPr>
        <w:ind w:firstLine="480"/>
        <w:spacing w:line="360" w:lineRule="auto"/>
        <w:widowControl/>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 xml:space="preserve">联系方式：王耀文  13776170119</w:t>
      </w:r>
      <w:r>
        <w:rPr>
          <w:rFonts w:hint="eastAsia" w:hAnsi="宋体" w:cs="宋体"/>
          <w:color w:val="auto"/>
          <w:sz w:val="21"/>
          <w:szCs w:val="21"/>
          <w:highlight w:val="none"/>
          <w:lang w:val="en-US" w:eastAsia="zh-CN"/>
        </w:rPr>
        <w:t xml:space="preserve"> </w:t>
      </w:r>
      <w:r/>
    </w:p>
    <w:p>
      <w:pPr>
        <w:ind w:left="480" w:firstLine="35"/>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hAnsi="宋体" w:cs="宋体"/>
          <w:color w:val="auto"/>
          <w:sz w:val="21"/>
          <w:szCs w:val="21"/>
          <w:highlight w:val="none"/>
          <w:lang w:eastAsia="zh-CN"/>
        </w:rPr>
        <w:t xml:space="preserve">太仓恒鑫项目管理咨询有限公司</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hAnsi="宋体" w:cs="宋体"/>
          <w:color w:val="auto"/>
          <w:sz w:val="21"/>
          <w:szCs w:val="21"/>
          <w:highlight w:val="none"/>
          <w:lang w:eastAsia="zh-CN"/>
        </w:rPr>
        <w:t xml:space="preserve">太仓市兴业南路娄申商业广场17幢101</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1"/>
          <w:szCs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szCs w:val="21"/>
          <w:highlight w:val="none"/>
        </w:rPr>
      </w:r>
      <w:bookmarkEnd w:id="5"/>
      <w:r/>
      <w:r/>
    </w:p>
    <w:p>
      <w:pPr>
        <w:jc w:val="center"/>
        <w:spacing w:line="360" w:lineRule="auto"/>
        <w:rPr>
          <w:rFonts w:hint="eastAsia" w:ascii="宋体" w:hAnsi="宋体" w:eastAsia="宋体" w:cs="宋体"/>
          <w:b/>
          <w:bCs/>
          <w:color w:val="auto"/>
          <w:sz w:val="32"/>
          <w:szCs w:val="32"/>
          <w:highlight w:val="none"/>
        </w:rPr>
        <w:outlineLvl w:val="0"/>
      </w:pPr>
      <w:r/>
      <w:bookmarkStart w:id="7" w:name="_Toc159507036"/>
      <w:r>
        <w:rPr>
          <w:rFonts w:hint="eastAsia" w:ascii="宋体" w:hAnsi="宋体" w:eastAsia="宋体" w:cs="宋体"/>
          <w:b/>
          <w:bCs/>
          <w:color w:val="auto"/>
          <w:sz w:val="32"/>
          <w:szCs w:val="32"/>
          <w:highlight w:val="none"/>
        </w:rPr>
        <w:t xml:space="preserve">第二章 投标人须知</w:t>
      </w:r>
      <w:bookmarkEnd w:id="7"/>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一、说明和释义</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1、说明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 本招标文件仅适用于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组织的招标活动。</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 本次招标活动及因本次招标产生的合同受中国法律制约和保护。</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 本招标文件的解释权属于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2、词语释义</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2.1 </w:t>
      </w:r>
      <w:r>
        <w:rPr>
          <w:rFonts w:hint="eastAsia" w:ascii="宋体" w:hAnsi="宋体" w:eastAsia="宋体" w:cs="宋体"/>
          <w:b w:val="0"/>
          <w:bCs w:val="0"/>
          <w:color w:val="auto"/>
          <w:spacing w:val="-3"/>
          <w:sz w:val="21"/>
          <w:szCs w:val="21"/>
          <w:highlight w:val="none"/>
        </w:rPr>
        <w:t xml:space="preserve">采购人：指依法进行政府采购的国家机关、事业单位、团体组织。</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2.2 投标单位：指向采购人提供货物、工程或服务的法人、其他组织或者自然人。</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2.3 投标人：指参加政府采购货物服务投标活动的供应商。</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2.4 采购代理机构：指依法接受采购人委托，从事货物、工程和服务等政府采购招标代理业务的社会中介机构。</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2.5 招标采购单位：采购人及采购代理机构的统称。</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2.7 响应：投标人根据采购人或采购代理机构发售的招标文件，编制投标文件并按规定投标的行为。</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2.8 知识产权：指专利权、商标权、著作权等无形财产专有权的统称。</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2.9 天：日历日。</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2.10 合同：采供双方根据招标文件和中标的投标文件及中标通知书规定的内容签署的以书面形式所达成的协议，包括所有的附件、附录和构成协议的所有文件。</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2.11 合同价款：根据合同规定，乙方在正确地履行合同义务后甲方应支付乙方的价款。</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2.12 货物：系指乙方按招标采购文件规定，应向甲方提供的一切设备、备品、备件、工具、手册</w:t>
      </w:r>
      <w:r>
        <w:rPr>
          <w:rFonts w:hint="eastAsia" w:hAnsi="宋体" w:cs="宋体"/>
          <w:b w:val="0"/>
          <w:bCs w:val="0"/>
          <w:color w:val="auto"/>
          <w:spacing w:val="-3"/>
          <w:sz w:val="21"/>
          <w:szCs w:val="21"/>
          <w:highlight w:val="none"/>
          <w:lang w:eastAsia="zh-CN"/>
        </w:rPr>
        <w:t xml:space="preserve">及其他有关</w:t>
      </w:r>
      <w:r>
        <w:rPr>
          <w:rFonts w:hint="eastAsia" w:ascii="宋体" w:hAnsi="宋体" w:eastAsia="宋体" w:cs="宋体"/>
          <w:b w:val="0"/>
          <w:bCs w:val="0"/>
          <w:color w:val="auto"/>
          <w:spacing w:val="-3"/>
          <w:sz w:val="21"/>
          <w:szCs w:val="21"/>
          <w:highlight w:val="none"/>
        </w:rPr>
        <w:t xml:space="preserve">技术资料和材料。</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1"/>
          <w:szCs w:val="21"/>
          <w:highlight w:val="none"/>
          <w:lang w:eastAsia="zh-CN"/>
        </w:rPr>
        <w:t xml:space="preserve">其他</w:t>
      </w:r>
      <w:r>
        <w:rPr>
          <w:rFonts w:hint="eastAsia" w:ascii="宋体" w:hAnsi="宋体" w:eastAsia="宋体" w:cs="宋体"/>
          <w:b w:val="0"/>
          <w:bCs w:val="0"/>
          <w:color w:val="auto"/>
          <w:spacing w:val="-3"/>
          <w:sz w:val="21"/>
          <w:szCs w:val="21"/>
          <w:highlight w:val="none"/>
        </w:rPr>
        <w:t xml:space="preserve">义务。</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2.15 交货地点：合同中明确约定的乙方提交的货物最终地点。</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2.16 不可抗力：不能预见、不能避免并且不能克服的客观情况。</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7</w:t>
      </w:r>
      <w:r>
        <w:rPr>
          <w:rFonts w:hint="eastAsia" w:ascii="宋体" w:hAnsi="宋体" w:eastAsia="宋体" w:cs="宋体"/>
          <w:b w:val="0"/>
          <w:bCs w:val="0"/>
          <w:color w:val="auto"/>
          <w:spacing w:val="-3"/>
          <w:sz w:val="21"/>
          <w:szCs w:val="21"/>
          <w:highlight w:val="none"/>
        </w:rPr>
        <w:t xml:space="preserve"> 实质性响应：满足有关本次采购标的、数量、质量、价款或者报酬、履行期限、履行地点和方式、违约责任和解决争议方法等要求。</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8</w:t>
      </w:r>
      <w:r>
        <w:rPr>
          <w:rFonts w:hint="eastAsia" w:ascii="宋体" w:hAnsi="宋体" w:eastAsia="宋体" w:cs="宋体"/>
          <w:b w:val="0"/>
          <w:bCs w:val="0"/>
          <w:color w:val="auto"/>
          <w:spacing w:val="-3"/>
          <w:sz w:val="21"/>
          <w:szCs w:val="21"/>
          <w:highlight w:val="none"/>
        </w:rPr>
        <w:t xml:space="preserve"> 进口产品：通过中国海关报关验放进入中国境内且产自关境外的产品。</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w:t>
      </w:r>
      <w:r>
        <w:rPr>
          <w:rFonts w:hint="eastAsia" w:hAnsi="宋体" w:cs="宋体"/>
          <w:b w:val="0"/>
          <w:bCs w:val="0"/>
          <w:color w:val="auto"/>
          <w:spacing w:val="-3"/>
          <w:sz w:val="21"/>
          <w:szCs w:val="21"/>
          <w:highlight w:val="none"/>
          <w:lang w:val="en-US" w:eastAsia="zh-CN"/>
        </w:rPr>
        <w:t xml:space="preserve">19</w:t>
      </w:r>
      <w:r>
        <w:rPr>
          <w:rFonts w:hint="eastAsia" w:ascii="宋体" w:hAnsi="宋体" w:eastAsia="宋体" w:cs="宋体"/>
          <w:b w:val="0"/>
          <w:bCs w:val="0"/>
          <w:color w:val="auto"/>
          <w:spacing w:val="-3"/>
          <w:sz w:val="21"/>
          <w:szCs w:val="21"/>
          <w:highlight w:val="none"/>
        </w:rPr>
        <w:t xml:space="preserve"> 书面形式：指书面文字、合同书、信件和传真等可有形地表现所载内容的形式。</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3、合格投标人的范围</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3.1 </w:t>
      </w:r>
      <w:r>
        <w:rPr>
          <w:rFonts w:hint="eastAsia" w:ascii="宋体" w:hAnsi="宋体" w:eastAsia="宋体" w:cs="宋体"/>
          <w:b w:val="0"/>
          <w:bCs w:val="0"/>
          <w:color w:val="auto"/>
          <w:spacing w:val="-3"/>
          <w:sz w:val="21"/>
          <w:szCs w:val="21"/>
          <w:highlight w:val="none"/>
        </w:rPr>
        <w:t xml:space="preserve">符合《中华人民共和国政府采购法》第二十二条第一款之规定。</w:t>
      </w:r>
      <w:r/>
    </w:p>
    <w:p>
      <w:pPr>
        <w:pStyle w:val="823"/>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3.2 满足本文件实质性条款的规定。</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4、合格投标人的特定条件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w:t>
      </w:r>
      <w:r>
        <w:rPr>
          <w:rFonts w:hint="eastAsia" w:ascii="宋体" w:hAnsi="宋体" w:eastAsia="宋体" w:cs="宋体"/>
          <w:b w:val="0"/>
          <w:bCs w:val="0"/>
          <w:color w:val="auto"/>
          <w:spacing w:val="-3"/>
          <w:sz w:val="21"/>
          <w:szCs w:val="21"/>
          <w:highlight w:val="none"/>
        </w:rPr>
        <w:t xml:space="preserve">详见招标公告规定。</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5、投标委托</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 指全权代表投标人参加投标活动并签署投标文件的人，如果投标人代表不是法定代表人， 须持有《法定代表人代表授权委托书》（详见统一格式）。</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6、投标费用</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6.1 无论投标过程的做法和结果如何,投标人自行承担所有与参加投标有关的全部费用。</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7、联合投标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 本项目不接受联合投标。</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三、招标文件的说明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8、招标文件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招标文件及其更正文件不是直接从采购代理机构或指定媒体获得的，采购代理机构对招标文件及其补遗的真实性、完整性不承担任何责任。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9、现场踏勘</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10、招标文件的澄清</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 投标人在获取招标文件后，若有疑问，应于投标截止时间之前，向采购代理机构提出，采购代理机构将予以解答。</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如有必要，问题答复将以“变更公告”形式由采购代理机构按照本须知第 10 条的规定发出。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11、招标文件的修改</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 迟于规定的询问和提交的疑问，采购人和采购代理机构有权拒绝回答，也不承担由此带来的对投标人投标结果的影响。</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11.3 在投标截止时间 15 日前，招标采购单位无论出于自己的考虑，还是出于对投标人提问的澄清，均可对已发出的招标文件进行必要澄清或者修改。</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11.5 招标文件的更正（含澄清、修改等）内容与原招标文件在同一内容上表述不一致时，以发出日期最接近开标时间的公告为准。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11.6 招标文件的更正（含澄清、修改等）内容将在财政部门指定的政府采购信息发布媒体上发布， 作为招标文件的组成部分，对投标人起约束作用。</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 </w:t>
      </w:r>
      <w:r>
        <w:rPr>
          <w:rFonts w:hint="eastAsia" w:ascii="宋体" w:hAnsi="宋体" w:eastAsia="宋体" w:cs="宋体"/>
          <w:color w:val="auto"/>
          <w:sz w:val="21"/>
          <w:szCs w:val="21"/>
          <w:highlight w:val="none"/>
        </w:rPr>
        <w:t xml:space="preserve"> 招标文件若有最新的答疑文件，投标供应商必须下载并使用该文件制作新的电子投标文件，否则将无法完成电子投标文件的上传及投标。</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四、投标文件说明</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12、提示与要求</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12.2 无论是否递交投标文件，投标人都应将招标文件及以后的所有通知、文件等视为保密文件。</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13、投标文件计量单位和使用文字</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 投标文件中所使用的计量单位，除招标文件中有特殊要求外，均应使用中华人民共和国法定计量单位。</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14、知识产权</w:t>
      </w:r>
      <w:r/>
    </w:p>
    <w:p>
      <w:pPr>
        <w:pStyle w:val="836"/>
        <w:ind w:left="0" w:firstLine="426"/>
        <w:jc w:val="both"/>
        <w:spacing w:before="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pacing w:val="-6"/>
          <w:sz w:val="21"/>
          <w:szCs w:val="21"/>
          <w:highlight w:val="none"/>
        </w:rPr>
        <w:t xml:space="preserve"> 投标人应保证在本项目使用的任何产品</w:t>
      </w:r>
      <w:r>
        <w:rPr>
          <w:rFonts w:hint="eastAsia" w:ascii="宋体" w:hAnsi="宋体" w:eastAsia="宋体" w:cs="宋体"/>
          <w:color w:val="auto"/>
          <w:spacing w:val="-3"/>
          <w:sz w:val="21"/>
          <w:szCs w:val="21"/>
          <w:highlight w:val="none"/>
        </w:rPr>
        <w:t xml:space="preserve">（包括部分使用</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4"/>
          <w:sz w:val="21"/>
          <w:szCs w:val="21"/>
          <w:highlight w:val="none"/>
        </w:rPr>
        <w:t xml:space="preserve">时，不会产生因第三方提出侵犯其专利权、商标权或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知识产权而引起的法律和经济纠纷，如因专利权、商标权或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w:t>
      </w:r>
      <w:r>
        <w:rPr>
          <w:rFonts w:hint="eastAsia" w:ascii="宋体" w:hAnsi="宋体" w:eastAsia="宋体" w:cs="宋体"/>
          <w:color w:val="auto"/>
          <w:spacing w:val="-3"/>
          <w:sz w:val="21"/>
          <w:szCs w:val="21"/>
          <w:highlight w:val="none"/>
        </w:rPr>
        <w:t xml:space="preserve">起法律和经济纠纷，由投标人承担所有相关责任。</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15、投标文件的组成和顺序（顺序以软件为准）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rPr>
        <w:t xml:space="preserve">15.1 </w:t>
      </w:r>
      <w:r>
        <w:rPr>
          <w:rFonts w:hint="eastAsia" w:ascii="宋体" w:hAnsi="宋体" w:eastAsia="宋体" w:cs="宋体"/>
          <w:color w:val="auto"/>
          <w:sz w:val="21"/>
          <w:szCs w:val="21"/>
          <w:highlight w:val="none"/>
        </w:rPr>
        <w:t xml:space="preserve">报价部分</w:t>
      </w:r>
      <w:r>
        <w:rPr>
          <w:rFonts w:hint="eastAsia" w:ascii="宋体" w:hAnsi="宋体" w:eastAsia="宋体" w:cs="宋体"/>
          <w:b w:val="0"/>
          <w:bCs w:val="0"/>
          <w:color w:val="auto"/>
          <w:sz w:val="21"/>
          <w:szCs w:val="21"/>
          <w:highlight w:val="none"/>
        </w:rPr>
        <w:t xml:space="preserve">（详见投标文件格式）：</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15.1.1投标承诺函；</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15.1.2授权委托书（如有授权）；</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15.1.3投标人法定代表人身份证复印件；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15.1.4投标人授权代理人身份证复印件（如有授权）；</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15.1.5开标一览表、报价明细表（详见软件格式）；</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15.1.6关于资格文件的声明函（详见投标文件格式）；</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15.1.7投标单位情况表（详见投标文件格式）；</w:t>
      </w:r>
      <w:r/>
    </w:p>
    <w:p>
      <w:pPr>
        <w:pStyle w:val="823"/>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15.2 资质证明文件部分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15.2.1投标单位营业执照副本或三证合一营业执照复印件；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15.2.2 投标人参加本次政府采购活动前的财务状况报告或者银行出具的资信证明；</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15.2.3 投标人根据项目需求提供履行合同所必需的设备和专业技术能力的证明材料；</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15.2.4 投标人参加本次政府采购活动前</w:t>
      </w:r>
      <w:r>
        <w:rPr>
          <w:rFonts w:hint="eastAsia" w:ascii="宋体" w:hAnsi="宋体" w:eastAsia="宋体" w:cs="宋体"/>
          <w:b w:val="0"/>
          <w:bCs w:val="0"/>
          <w:color w:val="auto"/>
          <w:sz w:val="21"/>
          <w:szCs w:val="21"/>
          <w:highlight w:val="none"/>
          <w:lang w:val="en-US" w:eastAsia="zh-CN"/>
        </w:rPr>
        <w:t xml:space="preserve">半</w:t>
      </w:r>
      <w:r>
        <w:rPr>
          <w:rFonts w:hint="eastAsia" w:ascii="宋体" w:hAnsi="宋体" w:eastAsia="宋体" w:cs="宋体"/>
          <w:b w:val="0"/>
          <w:bCs w:val="0"/>
          <w:color w:val="auto"/>
          <w:sz w:val="21"/>
          <w:szCs w:val="21"/>
          <w:highlight w:val="none"/>
        </w:rPr>
        <w:t xml:space="preserve">年内（任意一个月）依法缴纳税收和社会保障资金的证明材料；</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15.2.5</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 xml:space="preserve">投标人参加政府采购活动前在经营活动中没有重大违法记录的书面申明；</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15.2.6 投标人证明其符合招标文件规定的投标人特定资格条件的证书、证明和文件材料（如有，见招标公告特定资格要求）；</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15.2.7 中小企业声明函及相关材料（如有）；</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15.2.8 残疾人福利性单位声明函（如有）；</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15.2.9 其他可以证明投标人资信、资质和货物、服务质量的证书、文件、推荐信等资料；（如有）</w:t>
      </w:r>
      <w:r/>
    </w:p>
    <w:p>
      <w:pPr>
        <w:pStyle w:val="823"/>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15.3商务及</w:t>
      </w:r>
      <w:r>
        <w:rPr>
          <w:rFonts w:hint="eastAsia" w:ascii="宋体" w:hAnsi="宋体" w:eastAsia="宋体" w:cs="宋体"/>
          <w:color w:val="auto"/>
          <w:sz w:val="21"/>
          <w:szCs w:val="21"/>
          <w:highlight w:val="none"/>
        </w:rPr>
        <w:t xml:space="preserve">技术部分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15.3.1 技术方案；</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15.3.2 服务（技术）要求偏离表、商务条款偏离表；</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15.3.3拟投入本项目的专业技术（服务）人员情况一览表；</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15.3.4企业业绩一览表；</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15.3.5 招标文件及评分标准中要求提供的其他相关材料（如有）；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15.3.6其他需投标人对本次投标的详细说明（投标人视各自的情况自行编制）。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15.4 </w:t>
      </w:r>
      <w:r>
        <w:rPr>
          <w:rFonts w:hint="eastAsia" w:ascii="宋体" w:hAnsi="宋体" w:eastAsia="宋体" w:cs="宋体"/>
          <w:color w:val="auto"/>
          <w:sz w:val="21"/>
          <w:szCs w:val="21"/>
          <w:highlight w:val="none"/>
        </w:rPr>
        <w:t xml:space="preserve">投标文件由 15.1-15.3 款规定的内容共同组成。</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16、投标文件编制要求</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16.1 电子投标文件编制要求：投标人应使用</w:t>
      </w:r>
      <w:r>
        <w:rPr>
          <w:rFonts w:hint="eastAsia" w:ascii="宋体" w:hAnsi="宋体" w:eastAsia="宋体" w:cs="宋体"/>
          <w:color w:val="auto"/>
          <w:sz w:val="21"/>
          <w:szCs w:val="21"/>
          <w:highlight w:val="none"/>
        </w:rPr>
        <w:t xml:space="preserve">招标文件要求的投标文件制作软件制作电子投标文件</w:t>
      </w:r>
      <w:r>
        <w:rPr>
          <w:rFonts w:hint="eastAsia" w:ascii="宋体" w:hAnsi="宋体" w:eastAsia="宋体" w:cs="宋体"/>
          <w:b w:val="0"/>
          <w:bCs w:val="0"/>
          <w:color w:val="auto"/>
          <w:sz w:val="21"/>
          <w:szCs w:val="21"/>
          <w:highlight w:val="none"/>
        </w:rPr>
        <w:t xml:space="preserve">，电子投标文件按招标文件规定的格式制作，如果未按要求制作上传，可能导致投标无效。</w:t>
      </w:r>
      <w:r/>
    </w:p>
    <w:p>
      <w:pPr>
        <w:pStyle w:val="823"/>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16.2电子投标准备</w:t>
      </w:r>
      <w:r/>
    </w:p>
    <w:p>
      <w:pPr>
        <w:pStyle w:val="823"/>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bCs w:val="0"/>
          <w:color w:val="auto"/>
          <w:sz w:val="21"/>
          <w:szCs w:val="21"/>
          <w:highlight w:val="none"/>
        </w:rPr>
        <w:t xml:space="preserve">）</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17、投标报价（编制）要求的说明</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但不包括不可抗拒原因产生的设备、设施损坏</w:t>
      </w:r>
      <w:r>
        <w:rPr>
          <w:rFonts w:hint="eastAsia" w:ascii="宋体" w:hAnsi="宋体" w:eastAsia="宋体" w:cs="宋体"/>
          <w:b w:val="0"/>
          <w:bCs w:val="0"/>
          <w:color w:val="auto"/>
          <w:sz w:val="21"/>
          <w:szCs w:val="21"/>
          <w:highlight w:val="none"/>
          <w:lang w:val="en-US" w:eastAsia="zh-CN"/>
        </w:rPr>
        <w:t xml:space="preserve">费用）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利润、</w:t>
      </w:r>
      <w:r>
        <w:rPr>
          <w:rFonts w:hint="eastAsia" w:ascii="宋体" w:hAnsi="宋体" w:eastAsia="宋体" w:cs="宋体"/>
          <w:b w:val="0"/>
          <w:bCs w:val="0"/>
          <w:color w:val="auto"/>
          <w:sz w:val="21"/>
          <w:szCs w:val="21"/>
          <w:highlight w:val="none"/>
          <w:lang w:eastAsia="zh-CN"/>
        </w:rPr>
        <w:t xml:space="preserve">税费及政策性文件规定和合同所包含的所有风险、责任等</w:t>
      </w:r>
      <w:r>
        <w:rPr>
          <w:rFonts w:hint="eastAsia" w:ascii="宋体" w:hAnsi="宋体" w:eastAsia="宋体" w:cs="宋体"/>
          <w:b w:val="0"/>
          <w:bCs w:val="0"/>
          <w:color w:val="auto"/>
          <w:sz w:val="21"/>
          <w:szCs w:val="21"/>
          <w:highlight w:val="none"/>
        </w:rPr>
        <w:t xml:space="preserve">一切费用，采购人不再支付其他任何费用。</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17.3 一项投标内容只允许一个报价，招标采购单位不接受任何有选择性的投标报价。</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17.4 投标文件报价中的单价和总价全部采用人民币表示，除非合同的特殊条款另有规定。</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17.5 最低的投标报价或最高的折扣比例是中标的重要条件，但不是中标的唯一条件。</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18、投标保证金</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本项目无须缴纳投标保证金。</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19、投标文件的有效期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19.1 在本招标文件规定的开标之日起90天内，投标人所提交的投标文件应保持有效。有效期短于这个规定期限的投标文件，将被认定为未实质性响应招标文件要求。</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1"/>
          <w:szCs w:val="21"/>
          <w:highlight w:val="none"/>
        </w:rPr>
        <w:t xml:space="preserve">同意延长有效期的投标人不能修改投标文件。拒绝接受延期要求的投标人的投标将被拒绝。</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五、投标文件的递交、撤回和修改</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20、投标文件的上传、提交</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20.1 投标人应将制作好的加密电子投标文件按要求在投标截止时间前上传到交易系统平台中。</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21、投标截止时间</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21.1 电子投标文件必须按招标公告中规定的网上投标截止时间前提交，否则投标无效。</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21.2 采购代理机构推迟投标截止时间时，应以更正公告的形式，通知所有投标人。在这种情况下，采购代理机构和投标人的权利和义务将受到新的截止期的约束。</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21.3 在投标截止时间止采购代理机构收到的电子投标文件少于三份的，采购代理机构有权宣布本次招标失败。</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22、投标文件的修改和撤回</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22.1 投标人在提交投标文件截止时间前，可对其投标文件进行撤回或修改。</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22.2 开标后投标人不得撤回投标。</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六、开标和评标</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23、开标</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23.1 采购代理机构按采购公告规定的时间、地点主持不见面开标活动。开标仪式由采购代理机构主持。</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23.2</w:t>
      </w:r>
      <w:r>
        <w:rPr>
          <w:rFonts w:hint="eastAsia" w:ascii="宋体" w:hAnsi="宋体" w:eastAsia="宋体" w:cs="宋体"/>
          <w:color w:val="auto"/>
          <w:sz w:val="21"/>
          <w:szCs w:val="21"/>
          <w:highlight w:val="none"/>
        </w:rPr>
        <w:t xml:space="preserve"> 参加开标的投标法定代表人或授权代理人须在项目开标前登录苏采云不见面开标系统，进入网上不见面开标大厅，做好相关准备工作。</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23.3 </w:t>
      </w:r>
      <w:r>
        <w:rPr>
          <w:rFonts w:hint="eastAsia" w:ascii="宋体" w:hAnsi="宋体" w:eastAsia="宋体" w:cs="宋体"/>
          <w:color w:val="auto"/>
          <w:sz w:val="21"/>
          <w:szCs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23.4 采购代理机构在开标仪式上，将公布投标人的名称、投标价格，并将作唱标记录。</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1"/>
          <w:szCs w:val="21"/>
          <w:highlight w:val="none"/>
        </w:rPr>
        <w:t xml:space="preserve">应通过不见面开标大厅</w:t>
      </w:r>
      <w:r>
        <w:rPr>
          <w:rFonts w:hint="eastAsia" w:ascii="宋体" w:hAnsi="宋体" w:eastAsia="宋体" w:cs="宋体"/>
          <w:b w:val="0"/>
          <w:bCs w:val="0"/>
          <w:color w:val="auto"/>
          <w:sz w:val="21"/>
          <w:szCs w:val="21"/>
          <w:highlight w:val="none"/>
        </w:rPr>
        <w:t xml:space="preserve">提出询问或者回避申请。采购人、采购代理机构对投标人代表提出的询问或者回避申请应当及时处理。</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24、评标委员会</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24.1 评标委员会由招标采购单位依法组建，负责本项目的评标事务。</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 评标委员会独立履行下列职责：</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24.2.1 审查投标文件是否符合招标文件的要求，并作评价；</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24.2.2 可要求投标供应商对投标文件有关事项作解释或澄清；</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24.2.3 评标委员会负责本次招标的评标活动，向采购人推荐中标供应商；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24.2.4 向招标采购单位或者有关部门报告非法干预评标工作的行为。</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 评标委员会成员应当履行下列义务：</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24.3.1 遵纪守法，客观、公正、廉洁地履行职责；</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24.3.2 按照招标文件规定的评标办法和评标标准进行评标，对评审意见承担个人责任；</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24.3.3 对评标过程和结果，以及投标人的商业秘密保密；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24.3.4 参与评标报告的起草；</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24.3.5 配合相关部门的投诉处理工作；</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24.3.6 配合招标采购单位答复投标供应商提出的质疑。</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25、评标内容的保密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25.2 在投标文件的审查、澄清、评价和比较以及授予合同的过程中，投标人对招标采购单位和评标委员会成员施加影响的任何行为，都将取消其投标资格。</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25.3 在评标期间，招标采购单位将通过指定联络人与投标人进行联系。</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26、对投标文件初审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 投标文件初审分为资格性检查和符合性检查。</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资格性检查。依据法律法规和招标文件的规定，</w:t>
      </w:r>
      <w:r>
        <w:rPr>
          <w:rFonts w:hint="eastAsia" w:ascii="宋体" w:hAnsi="宋体" w:eastAsia="宋体" w:cs="宋体"/>
          <w:color w:val="auto"/>
          <w:sz w:val="21"/>
          <w:szCs w:val="21"/>
          <w:highlight w:val="none"/>
        </w:rPr>
        <w:t xml:space="preserve">对投标文件中的资格证明相关资料进行审查，以确定投标供应商是否具备投标资格。</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w:t>
      </w:r>
      <w:r>
        <w:rPr>
          <w:rFonts w:hint="eastAsia" w:ascii="宋体" w:hAnsi="宋体" w:eastAsia="宋体" w:cs="宋体"/>
          <w:color w:val="auto"/>
          <w:sz w:val="21"/>
          <w:szCs w:val="21"/>
          <w:highlight w:val="none"/>
        </w:rPr>
        <w:t xml:space="preserve">关于诚信记录查询：</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1"/>
          <w:szCs w:val="21"/>
          <w:highlight w:val="none"/>
        </w:rPr>
        <w:t xml:space="preserve">。</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（2）查询时间：投标文件递交截止时间。</w:t>
      </w:r>
      <w:r/>
    </w:p>
    <w:p>
      <w:pPr>
        <w:pStyle w:val="823"/>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（3）查询</w:t>
      </w:r>
      <w:r>
        <w:rPr>
          <w:rFonts w:hint="eastAsia" w:ascii="宋体" w:hAnsi="宋体" w:eastAsia="宋体" w:cs="宋体"/>
          <w:b w:val="0"/>
          <w:bCs w:val="0"/>
          <w:color w:val="auto"/>
          <w:sz w:val="21"/>
          <w:szCs w:val="21"/>
          <w:highlight w:val="none"/>
          <w:lang w:val="zh-CN"/>
        </w:rPr>
        <w:t xml:space="preserve">渠道：通过“信用中国”网站、中国政府采购网等渠道查询相关主体信用记录。</w:t>
      </w:r>
      <w:r/>
    </w:p>
    <w:p>
      <w:pPr>
        <w:pStyle w:val="823"/>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1"/>
          <w:szCs w:val="21"/>
          <w:highlight w:val="none"/>
          <w:lang w:val="zh-CN"/>
        </w:rPr>
        <w:t xml:space="preserve">登录</w:t>
      </w:r>
      <w:r>
        <w:rPr>
          <w:rFonts w:hint="eastAsia" w:ascii="宋体" w:hAnsi="宋体" w:eastAsia="宋体" w:cs="宋体"/>
          <w:b w:val="0"/>
          <w:bCs w:val="0"/>
          <w:color w:val="auto"/>
          <w:sz w:val="21"/>
          <w:szCs w:val="21"/>
          <w:highlight w:val="none"/>
          <w:lang w:val="zh-CN"/>
        </w:rPr>
        <w:t xml:space="preserve">到来源网站页面进行复核并打印，作为证据留存。</w:t>
      </w:r>
      <w:r/>
    </w:p>
    <w:p>
      <w:pPr>
        <w:pStyle w:val="823"/>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（5）信用记录使用规则：评审小组在对供应商进行资格性审查时，应根据查询结果对供应商的不良信用记录逐项甄别确认。</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26.1.3符合性检查。依据招标文件的规定，从投标文件的有效性、完整性和对招标文件的响应程度进行审查，以确定是否对招标文件的实质性要求</w:t>
      </w:r>
      <w:r>
        <w:rPr>
          <w:rFonts w:hint="eastAsia" w:hAnsi="宋体" w:cs="宋体"/>
          <w:b w:val="0"/>
          <w:bCs w:val="0"/>
          <w:color w:val="auto"/>
          <w:sz w:val="21"/>
          <w:szCs w:val="21"/>
          <w:highlight w:val="none"/>
          <w:lang w:eastAsia="zh-CN"/>
        </w:rPr>
        <w:t xml:space="preserve">做</w:t>
      </w:r>
      <w:r>
        <w:rPr>
          <w:rFonts w:hint="eastAsia" w:ascii="宋体" w:hAnsi="宋体" w:eastAsia="宋体" w:cs="宋体"/>
          <w:b w:val="0"/>
          <w:bCs w:val="0"/>
          <w:color w:val="auto"/>
          <w:sz w:val="21"/>
          <w:szCs w:val="21"/>
          <w:highlight w:val="none"/>
        </w:rPr>
        <w:t xml:space="preserve">响应。</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26.2.1 不同投标人的投标文件由同一单位或者个人编制；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26.2.2 不同投标人委托同一单位或者个人办理投标事宜；</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26.2.3 不同投标人的投标文件载明的项目管理成员或者联系人员为同一人；</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26.2.4 不同投标人的投标文件异常一致或者投标报价呈规律性差异；</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26.2.5 不同投标人的投标文件相互混装。</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 评委会将对确定为实质性响应的投标进行审核，看其是否有计算上或累加上的算术错误，修正错误的原则如下：</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26.6.1 投标文件中开标一览表（报价表）内容与投标文件中相应内容不一致的，以开标一览表（报价表）为准；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26.6.2 大写金额和小写金额不一致的，以大写金额为准</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26.6.3 单价金额小数点或者百分比有明显错位的，以开标一览表的总价为准，并修改单价；</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26.6.4 总价金额与按单价汇总金额不一致的，以单价金额计算结果为准。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同时出现两种以上不一致的，按照前款规定的顺序修正。修正后的报价按照本须知 26.6 条规定经投标人确认后产生约束力，投标人不确认的，其投标无效。</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26.8 对不同文字文本投标文件的解释发生异议的，以中文文本为准；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26.9 评标委员会对投标文件的判定，只依据投标内容本身，不依靠开标后的任何外来证明。</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26.10 评标委员会将拒绝被确定为非实质性响应的投标，投标人不能通过修正或撤销不符之处而使其投标成为实质性响应的投标。</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27、投标的澄清</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28、废标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 无效投标的具体情形有：</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28.1.1 不同投标人的投标文件使用同一台电脑编制的；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28.1.2 投标文件未按招标文件要求签署、盖章的；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28.1.3 不具备招标文件中规定的资格要求的；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28.1.4 报价超过招标文件中规定的预算金额或者最高限价的；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28.1.5 投标文件含有采购人不能接受的附加条件的；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28.1.6 法律法规和招标文件规定的其他无效情形。</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 在招标采购中，出现下列情形之一的，应予废标：</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28.2.1 符合专业条件的供应商或者对招标文件作实质响应的供应商不足三家的；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28.2.2 出现影响采购公正的违法、违规行为的；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28.2.3 投标人的报价均超过了采购预算，采购人不能支付的；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28.2.4 因重大变故，采购任务取消的。</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28.3 废标后，采购人应当将废标理由通知所有投标人。</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29、投标文件的评价和比较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29.1 评标委员会按招标文件规定的评标方法和标准，仅对资格性检查和符合性检查合格的投标文件进行商务和技术评估，综合比较与评价。</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29.2.1 服务的质量保证（保障）内容；</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29.2.2 服务配备的人员；</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29.2.3 投标者的资信情况和履约能力；</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29.2.4 投标者提供的其他优惠条件；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29.2.5 参与本项目政府采购工作的态度及信誉；</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29.2.6 最低的投标报价或最高的折扣比例是中标的重要条件，但不是唯一条件。</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七、签订合同</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30、中标单位的确认</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30.2 经评标委员会评审并确定中标供应商后，采购代理机构将在规定的时间内将中标结果在相关媒体上予以公告。</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1"/>
          <w:szCs w:val="21"/>
          <w:highlight w:val="none"/>
          <w:lang w:val="en-US" w:eastAsia="zh-CN"/>
        </w:rPr>
        <w:t xml:space="preserve">加</w:t>
      </w:r>
      <w:r>
        <w:rPr>
          <w:rFonts w:hint="eastAsia" w:ascii="宋体" w:hAnsi="宋体" w:eastAsia="宋体" w:cs="宋体"/>
          <w:b w:val="0"/>
          <w:bCs w:val="0"/>
          <w:color w:val="auto"/>
          <w:sz w:val="21"/>
          <w:szCs w:val="21"/>
          <w:highlight w:val="none"/>
        </w:rPr>
        <w:t xml:space="preserve">盖公章（原件），采购代理机构有权对该质疑不予答复。</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30.4 质疑函递交地点及联系方式详见</w:t>
      </w:r>
      <w:r>
        <w:rPr>
          <w:rFonts w:hint="eastAsia" w:ascii="宋体" w:hAnsi="宋体" w:eastAsia="宋体" w:cs="宋体"/>
          <w:b w:val="0"/>
          <w:bCs w:val="0"/>
          <w:color w:val="auto"/>
          <w:sz w:val="21"/>
          <w:szCs w:val="21"/>
          <w:highlight w:val="none"/>
          <w:lang w:val="en-US" w:eastAsia="zh-CN"/>
        </w:rPr>
        <w:t xml:space="preserve">招标公告</w:t>
      </w:r>
      <w:r>
        <w:rPr>
          <w:rFonts w:hint="eastAsia" w:ascii="宋体" w:hAnsi="宋体" w:eastAsia="宋体" w:cs="宋体"/>
          <w:b w:val="0"/>
          <w:bCs w:val="0"/>
          <w:color w:val="auto"/>
          <w:sz w:val="21"/>
          <w:szCs w:val="21"/>
          <w:highlight w:val="none"/>
        </w:rPr>
        <w:t xml:space="preserve">。</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31、合同授予</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31.1 采购人将把合同授予其投标文件在实质上响应招标文件要求和按本须知规定评选出的投标人。确定为中标的投标人必须具有实施本合同的能力和资源。</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 </w:t>
      </w:r>
      <w:r/>
    </w:p>
    <w:p>
      <w:pPr>
        <w:pStyle w:val="823"/>
        <w:ind w:left="0" w:firstLine="420"/>
        <w:jc w:val="both"/>
        <w:spacing w:line="360" w:lineRule="auto"/>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1"/>
          <w:szCs w:val="21"/>
          <w:highlight w:val="none"/>
          <w:lang w:val="en-US" w:eastAsia="zh-CN"/>
        </w:rPr>
        <w:t xml:space="preserve">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rPr>
          <w:rFonts w:hint="eastAsia"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中标通知书在中标公告发布后将发布在业务系统中，中标通知书发布之日视为中标供应商领取之日，中标供应商自行在业务系统中下载打印。</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 中标通知书将成为合同的组成部分。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 采购代理机构对未中标供应商不承担解释未中标原因的义务。</w:t>
      </w:r>
      <w:r/>
    </w:p>
    <w:p>
      <w:pPr>
        <w:pStyle w:val="823"/>
        <w:ind w:left="0"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33.1 中标供应商按合同约定的要求提交履约保证金。</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33.2 履约保证金用以约束供应商在合同履行中的行为，弥补合同执行中由于自身行为可能给采购人带来的各种损失。</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33.3 履约保证金（无息）将在中标供应商合同履行完毕后，采购人在五个工作日内退还中标供应商。</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34、合同的签订</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34.2 签订合同及合同条款应以招标文件和中标供应商的投标文件及其澄清文件为依据。</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八、质疑与投诉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35、质疑的提出和答复、投诉的提起和处理须按《政府采购质疑和投诉办法》（中华人民共和国财政部令第 94 号）相关规定执行。</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36、质疑的提出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36.3 上述应知其权益受到损害之日是指：</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（1）对采购文件提出质疑的，为获取采购文件或者采购文件公告期限届满之日起计算；</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（2）对采购过程提出质疑的，自采购程序环节结束之日起计算；</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（3）对中标结果提出质疑的，自中标结果公告期限届满之日起计算。</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36.4 供应商提出质疑应当提交质疑函和必要的证明材料。质疑函应当包括下列内容：</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（1）供应商的姓名或者名称、地址、邮编、联系人及联系电话；</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（2）质疑项目的名称、编号；</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（3）具体、明确的质疑事项和与质疑事项相关的请求；</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（5）必要的法律依据；</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（6）提出质疑的日期。</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36.5 质疑函的格式和内容应当符合财政部《政府采购供应商质疑函范本》 要求，质疑函范本在财政部官网上提供下载。</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36.6 提交质疑函同时应当附如下证明材料：</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（1）对采购文件提出质疑的供应商提供参加本项目的报名确认单；</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（2）质疑供应商的营业执照复印件加盖单位公章；</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（3）质疑供应商法定代表人身份证复印件加盖单位公章；</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（5）苏采云系统中下载的《投标供应商确认函》复印件加盖单位公章。</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36.8 供应商须在法定质疑期内一次性提出针对同一采购程序环节的质疑。</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37、质疑的受理与答复</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37.1 采购人负责供应商质疑答复。采购人委托采购代理机构采购的，采购代理机构在委托授权范围内作出答复。</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37.2 质疑函由采购代理机构办理签收手续。</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 采购人、采购代理机构应当在收到质疑函后 7 个工作日内作出答复，并以书面形式通知质疑供应商和其他有关供应商。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 采购人、采购代理机构处理的其他要求按《政府采购质疑和投诉办法》（中华人民共和国财政部令第 94 号）相关规定执行。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38、投诉的提起</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（1）投诉人和被投诉人的姓名或者名称、通讯地址、邮编、联系人及联系电话；</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（2）质疑和质疑答复情况说明及相关证明材料；</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（3）具体、明确的投诉事项和与投诉事项相关的投诉请求；</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（5）法律依据；</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（6）提起投诉的日期。</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38.3 投诉人为自然人的，投诉书应当由本人签字；投诉人为法人或者其他组织的，投诉书应当由法定代表人、主要负责人，或者其授权代表签字或者盖章，并加盖公章。</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38.4 投诉人提起投诉应当符合下列条件：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（1）提起投诉前已依法进行质疑；</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（2）投诉书内容符合本办法的规定；</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（3）在投诉有效期限内提起投诉；</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（4）同一投诉事项未经财政部门投诉处理；</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（5）财政部规定的其他条件。</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38.5 供应商投诉的事项不得超出已质疑事项的范围，但基于质疑答复内容提出的投诉事项除外。</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38.6 由采购人所属预算级次的财政部门根据《政府采购质疑和投诉办法》（中华人民共和国财政部令第 94 号）相关规定进行投诉处理。</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九、其他事项 </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39、政府采购政策</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39.1 节能产品和环境标志产品</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39.2价格分评审</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（3）在货物采购项目中，供应商提供的货物既有小型或微型企业制造货物，也有中型或大型企业制造货物的，不享受本办法规定的小微企业价格扶持政策。</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（4）以联合体形式参加政府采购活动，联合体各方均为中小企业的，联合体视同中小企业。其中，联合体各方均为小微企业的，联合体视同小微企业。</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（5）符合中小企业划分标准的个体工商户，在政府采购活动中视同中小企业。</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（6）中小企业划分标准详见“工信部联企业〔2011〕300号通知”。</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（7）中标、成交供应商享受本办法规定的中小企业扶持政策的，《中小企业声明函》应当随中标、成交结果同时公告，接受社会监督。</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（8）以上规定未尽事项，按《政府采购促进中小企业发展管理办法》（财库﹝2020﹞46号）等有关制度规定执行。</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39.2.2 残疾人福利性单位政策</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1"/>
          <w:szCs w:val="21"/>
          <w:highlight w:val="none"/>
          <w:lang w:eastAsia="zh-CN"/>
        </w:rPr>
        <w:t xml:space="preserve">中华人民共和国政府采购法</w:t>
      </w:r>
      <w:r>
        <w:rPr>
          <w:rFonts w:hint="eastAsia" w:ascii="宋体" w:hAnsi="宋体" w:eastAsia="宋体" w:cs="宋体"/>
          <w:b w:val="0"/>
          <w:bCs w:val="0"/>
          <w:color w:val="auto"/>
          <w:sz w:val="21"/>
          <w:szCs w:val="21"/>
          <w:highlight w:val="none"/>
        </w:rPr>
        <w:t xml:space="preserve">》第七十七条第一款的规定追究法律责任。</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（3）中标、成交供应商为残疾人福利性单位的，《残疾人福利性单位声明函》应当随中标、成交结果同时公告，接受社会监督。</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39.2.3 监狱企业发展政策</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39.2.4 专门面向中小企业采购的项目，不再执行价格评审优惠的扶持政策。</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39.3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39.3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40、中标服务费</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0000ff"/>
          <w:sz w:val="21"/>
          <w:szCs w:val="21"/>
          <w:highlight w:val="none"/>
        </w:rPr>
        <w:t xml:space="preserve">40.1 本项目代理服务费和专家评审费由采购人承担，一并支付。总支付金额为：代理服务费按预算金额100万元以内1.5%、100～500万元1.1%、500～1000万元0.8%、1000～5000万元0.5%按差额定率累进法</w:t>
      </w:r>
      <w:r>
        <w:rPr>
          <w:rFonts w:hint="eastAsia" w:hAnsi="宋体" w:cs="宋体"/>
          <w:b w:val="0"/>
          <w:bCs w:val="0"/>
          <w:color w:val="0000ff"/>
          <w:sz w:val="21"/>
          <w:szCs w:val="21"/>
          <w:highlight w:val="none"/>
          <w:lang w:val="en-US" w:eastAsia="zh-CN"/>
        </w:rPr>
        <w:t xml:space="preserve">下浮15%</w:t>
      </w:r>
      <w:r>
        <w:rPr>
          <w:rFonts w:hint="eastAsia" w:ascii="宋体" w:hAnsi="宋体" w:eastAsia="宋体" w:cs="宋体"/>
          <w:b w:val="0"/>
          <w:bCs w:val="0"/>
          <w:color w:val="0000ff"/>
          <w:sz w:val="21"/>
          <w:szCs w:val="21"/>
          <w:highlight w:val="none"/>
        </w:rPr>
        <w:t xml:space="preserve">计算，本项目代理服务费共计人民币</w:t>
      </w:r>
      <w:r>
        <w:rPr>
          <w:rFonts w:hint="eastAsia" w:hAnsi="宋体" w:cs="宋体"/>
          <w:b w:val="0"/>
          <w:bCs w:val="0"/>
          <w:color w:val="0000ff"/>
          <w:sz w:val="21"/>
          <w:szCs w:val="21"/>
          <w:highlight w:val="none"/>
          <w:lang w:val="en-US" w:eastAsia="zh-CN"/>
        </w:rPr>
        <w:t xml:space="preserve">壹万陆仟零贰拾贰元伍角</w:t>
      </w:r>
      <w:r>
        <w:rPr>
          <w:rFonts w:hint="eastAsia" w:ascii="宋体" w:hAnsi="宋体" w:eastAsia="宋体" w:cs="宋体"/>
          <w:b w:val="0"/>
          <w:bCs w:val="0"/>
          <w:color w:val="0000ff"/>
          <w:sz w:val="21"/>
          <w:szCs w:val="21"/>
          <w:highlight w:val="none"/>
        </w:rPr>
        <w:t xml:space="preserve">（¥</w:t>
      </w:r>
      <w:r>
        <w:rPr>
          <w:rFonts w:hint="eastAsia" w:hAnsi="宋体" w:cs="宋体"/>
          <w:b w:val="0"/>
          <w:bCs w:val="0"/>
          <w:color w:val="0000ff"/>
          <w:sz w:val="21"/>
          <w:szCs w:val="21"/>
          <w:highlight w:val="none"/>
          <w:lang w:val="en-US" w:eastAsia="zh-CN"/>
        </w:rPr>
        <w:t xml:space="preserve">16022</w:t>
      </w:r>
      <w:r>
        <w:rPr>
          <w:rFonts w:hint="eastAsia" w:ascii="宋体" w:hAnsi="宋体" w:eastAsia="宋体" w:cs="宋体"/>
          <w:b w:val="0"/>
          <w:bCs w:val="0"/>
          <w:color w:val="0000ff"/>
          <w:sz w:val="21"/>
          <w:szCs w:val="21"/>
          <w:highlight w:val="none"/>
        </w:rPr>
        <w:t xml:space="preserve">.</w:t>
      </w:r>
      <w:r>
        <w:rPr>
          <w:rFonts w:hint="eastAsia" w:hAnsi="宋体" w:cs="宋体"/>
          <w:b w:val="0"/>
          <w:bCs w:val="0"/>
          <w:color w:val="0000ff"/>
          <w:sz w:val="21"/>
          <w:szCs w:val="21"/>
          <w:highlight w:val="none"/>
          <w:lang w:val="en-US" w:eastAsia="zh-CN"/>
        </w:rPr>
        <w:t xml:space="preserve">5</w:t>
      </w:r>
      <w:r>
        <w:rPr>
          <w:rFonts w:hint="eastAsia" w:ascii="宋体" w:hAnsi="宋体" w:eastAsia="宋体" w:cs="宋体"/>
          <w:b w:val="0"/>
          <w:bCs w:val="0"/>
          <w:color w:val="0000ff"/>
          <w:sz w:val="21"/>
          <w:szCs w:val="21"/>
          <w:highlight w:val="none"/>
        </w:rPr>
        <w:t xml:space="preserve">0元）</w:t>
      </w:r>
      <w:r>
        <w:rPr>
          <w:rFonts w:hint="eastAsia" w:hAnsi="宋体" w:cs="宋体"/>
          <w:b w:val="0"/>
          <w:bCs w:val="0"/>
          <w:color w:val="0000ff"/>
          <w:sz w:val="21"/>
          <w:szCs w:val="21"/>
          <w:highlight w:val="none"/>
          <w:lang w:eastAsia="zh-CN"/>
        </w:rPr>
        <w:t xml:space="preserve">，</w:t>
      </w:r>
      <w:r>
        <w:rPr>
          <w:rFonts w:hint="eastAsia" w:ascii="宋体" w:hAnsi="宋体" w:eastAsia="宋体" w:cs="宋体"/>
          <w:b w:val="0"/>
          <w:bCs w:val="0"/>
          <w:color w:val="0000ff"/>
          <w:sz w:val="21"/>
          <w:szCs w:val="21"/>
          <w:highlight w:val="none"/>
        </w:rPr>
        <w:t xml:space="preserve">专家评审费按实际发生金额计算</w:t>
      </w:r>
      <w:r>
        <w:rPr>
          <w:rFonts w:hint="eastAsia" w:hAnsi="宋体" w:cs="宋体"/>
          <w:b w:val="0"/>
          <w:bCs w:val="0"/>
          <w:color w:val="0000ff"/>
          <w:sz w:val="21"/>
          <w:szCs w:val="21"/>
          <w:highlight w:val="none"/>
          <w:lang w:eastAsia="zh-CN"/>
        </w:rPr>
        <w:t xml:space="preserve">。</w:t>
      </w:r>
      <w:r>
        <w:rPr>
          <w:rFonts w:hint="eastAsia" w:ascii="宋体" w:hAnsi="宋体" w:eastAsia="宋体" w:cs="宋体"/>
          <w:b w:val="0"/>
          <w:bCs w:val="0"/>
          <w:color w:val="0000ff"/>
          <w:sz w:val="21"/>
          <w:szCs w:val="21"/>
          <w:highlight w:val="none"/>
        </w:rPr>
        <w:t xml:space="preserve">该费用自代理服务履约完毕之日起30个工作日内支付。</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41、监督</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41.1 政府有关监督部门将对招投标全过程进行监督。</w:t>
      </w:r>
      <w:r/>
    </w:p>
    <w:p>
      <w:pPr>
        <w:pStyle w:val="823"/>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42、未尽事宜</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按《中华人民共和国政府采购法》及其他有关政府采购的法律法规的规定执行。</w:t>
      </w:r>
      <w:r/>
    </w:p>
    <w:p>
      <w:pPr>
        <w:pStyle w:val="823"/>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836"/>
        <w:ind w:left="0"/>
        <w:jc w:val="both"/>
        <w:spacing w:before="0" w:line="360" w:lineRule="auto"/>
        <w:rPr>
          <w:rFonts w:hint="eastAsia" w:ascii="宋体" w:hAnsi="宋体" w:eastAsia="宋体" w:cs="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highlight w:val="none"/>
        </w:rPr>
      </w:r>
      <w:r/>
    </w:p>
    <w:p>
      <w:pPr>
        <w:jc w:val="center"/>
        <w:rPr>
          <w:rFonts w:hint="eastAsia" w:ascii="宋体" w:hAnsi="宋体" w:eastAsia="宋体" w:cs="宋体"/>
          <w:b/>
          <w:bCs/>
          <w:color w:val="auto"/>
          <w:sz w:val="32"/>
          <w:szCs w:val="32"/>
          <w:highlight w:val="none"/>
        </w:rPr>
        <w:outlineLvl w:val="0"/>
      </w:pPr>
      <w:r/>
      <w:bookmarkStart w:id="8" w:name="_Toc159507037"/>
      <w:r>
        <w:rPr>
          <w:rFonts w:hint="eastAsia" w:ascii="宋体" w:hAnsi="宋体" w:eastAsia="宋体" w:cs="宋体"/>
          <w:b/>
          <w:bCs/>
          <w:color w:val="auto"/>
          <w:sz w:val="32"/>
          <w:szCs w:val="32"/>
          <w:highlight w:val="none"/>
        </w:rPr>
        <w:t xml:space="preserve">第三章 项目需求</w:t>
      </w:r>
      <w:bookmarkEnd w:id="8"/>
      <w:r/>
      <w:r/>
    </w:p>
    <w:p>
      <w:pPr>
        <w:pStyle w:val="823"/>
        <w:ind w:left="0" w:firstLine="420"/>
        <w:jc w:val="both"/>
        <w:spacing w:line="360" w:lineRule="auto"/>
        <w:rPr>
          <w:rFonts w:hint="eastAsia" w:ascii="宋体" w:hAnsi="宋体" w:eastAsia="宋体" w:cs="宋体"/>
          <w:b w:val="0"/>
          <w:bCs w:val="0"/>
          <w:color w:val="auto"/>
          <w:sz w:val="21"/>
          <w:szCs w:val="21"/>
          <w:highlight w:val="none"/>
        </w:rPr>
      </w:pPr>
      <w:r/>
      <w:bookmarkStart w:id="9" w:name="_Hlk121126111"/>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受</w:t>
      </w:r>
      <w:r>
        <w:rPr>
          <w:rFonts w:hint="eastAsia" w:hAnsi="宋体" w:cs="宋体"/>
          <w:b w:val="0"/>
          <w:bCs w:val="0"/>
          <w:color w:val="auto"/>
          <w:sz w:val="21"/>
          <w:szCs w:val="21"/>
          <w:highlight w:val="none"/>
          <w:lang w:eastAsia="zh-CN"/>
        </w:rPr>
        <w:t xml:space="preserve">太仓市浮桥镇人民政府</w:t>
      </w:r>
      <w:r>
        <w:rPr>
          <w:rFonts w:hint="eastAsia" w:ascii="宋体" w:hAnsi="宋体" w:eastAsia="宋体" w:cs="宋体"/>
          <w:b w:val="0"/>
          <w:bCs w:val="0"/>
          <w:color w:val="auto"/>
          <w:sz w:val="21"/>
          <w:szCs w:val="21"/>
          <w:highlight w:val="none"/>
        </w:rPr>
        <w:t xml:space="preserve">的委托，就</w:t>
      </w:r>
      <w:r>
        <w:rPr>
          <w:rFonts w:hint="eastAsia" w:hAnsi="宋体" w:cs="宋体"/>
          <w:b w:val="0"/>
          <w:bCs w:val="0"/>
          <w:color w:val="auto"/>
          <w:sz w:val="21"/>
          <w:szCs w:val="21"/>
          <w:highlight w:val="none"/>
          <w:lang w:eastAsia="zh-CN"/>
        </w:rPr>
        <w:t xml:space="preserve">太仓市港区政府专职消防救援队2026年食材配送服务</w:t>
      </w:r>
      <w:r>
        <w:rPr>
          <w:rFonts w:hint="eastAsia" w:ascii="宋体" w:hAnsi="宋体" w:eastAsia="宋体" w:cs="宋体"/>
          <w:b w:val="0"/>
          <w:bCs w:val="0"/>
          <w:color w:val="auto"/>
          <w:sz w:val="21"/>
          <w:szCs w:val="21"/>
          <w:highlight w:val="none"/>
          <w:lang w:eastAsia="zh-CN"/>
        </w:rPr>
        <w:t xml:space="preserve">项目</w:t>
      </w:r>
      <w:r>
        <w:rPr>
          <w:rFonts w:hint="eastAsia" w:ascii="宋体" w:hAnsi="宋体" w:eastAsia="宋体" w:cs="宋体"/>
          <w:b w:val="0"/>
          <w:bCs w:val="0"/>
          <w:color w:val="auto"/>
          <w:sz w:val="21"/>
          <w:szCs w:val="21"/>
          <w:highlight w:val="none"/>
        </w:rPr>
        <w:t xml:space="preserve">进行国内公开招标。欢迎有资格的投标人前来参加投标。</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项目概况</w:t>
      </w:r>
      <w:r>
        <w:rPr>
          <w:rFonts w:hint="eastAsia" w:ascii="宋体" w:hAnsi="宋体" w:eastAsia="宋体" w:cs="宋体"/>
          <w:b/>
          <w:color w:val="auto"/>
          <w:sz w:val="21"/>
          <w:szCs w:val="21"/>
          <w:highlight w:val="none"/>
        </w:rPr>
        <w:t xml:space="preserve">：</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1、项目编号</w:t>
      </w:r>
      <w:r>
        <w:rPr>
          <w:rFonts w:hint="eastAsia" w:ascii="宋体" w:hAnsi="宋体" w:eastAsia="宋体" w:cs="宋体"/>
          <w:b w:val="0"/>
          <w:bCs w:val="0"/>
          <w:color w:val="auto"/>
          <w:sz w:val="21"/>
          <w:szCs w:val="21"/>
          <w:highlight w:val="none"/>
          <w:lang w:eastAsia="zh-CN"/>
        </w:rPr>
        <w:t xml:space="preserve">：</w:t>
      </w:r>
      <w:r>
        <w:rPr>
          <w:rFonts w:hint="eastAsia" w:hAnsi="宋体" w:cs="宋体"/>
          <w:b w:val="0"/>
          <w:bCs w:val="0"/>
          <w:color w:val="auto"/>
          <w:sz w:val="21"/>
          <w:szCs w:val="21"/>
          <w:highlight w:val="none"/>
          <w:lang w:val="en-US" w:eastAsia="zh-CN"/>
        </w:rPr>
        <w:t xml:space="preserve">JSZC-320585-TCZX-G2026-0006</w:t>
      </w:r>
      <w:r/>
    </w:p>
    <w:p>
      <w:pPr>
        <w:pStyle w:val="823"/>
        <w:ind w:left="0" w:firstLine="420"/>
        <w:jc w:val="both"/>
        <w:spacing w:line="360" w:lineRule="auto"/>
        <w:rPr>
          <w:rFonts w:hint="eastAsia" w:hAnsi="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项目名称：</w:t>
      </w:r>
      <w:r>
        <w:rPr>
          <w:rFonts w:hint="eastAsia" w:hAnsi="宋体" w:cs="宋体"/>
          <w:b w:val="0"/>
          <w:bCs w:val="0"/>
          <w:color w:val="auto"/>
          <w:sz w:val="21"/>
          <w:szCs w:val="21"/>
          <w:highlight w:val="none"/>
          <w:lang w:eastAsia="zh-CN"/>
        </w:rPr>
        <w:t xml:space="preserve">太仓市港区政府专职消防救援队2026年食材配送服务</w:t>
      </w:r>
      <w:r/>
    </w:p>
    <w:p>
      <w:pPr>
        <w:ind w:firstLine="420"/>
        <w:spacing w:line="360" w:lineRule="auto"/>
        <w:rPr>
          <w:rFonts w:hint="eastAsia" w:ascii="宋体" w:hAnsi="宋体" w:eastAsia="宋体" w:cs="宋体"/>
          <w:color w:val="auto"/>
          <w:sz w:val="21"/>
          <w:szCs w:val="21"/>
          <w:highlight w:val="none"/>
          <w:lang w:eastAsia="zh-CN"/>
        </w:rPr>
      </w:pPr>
      <w:r/>
      <w:bookmarkStart w:id="10" w:name="_Hlk135402291"/>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人民币壹佰叁拾伍万元整（¥1350000.00元）</w:t>
      </w:r>
      <w:r/>
    </w:p>
    <w:p>
      <w:pPr>
        <w:ind w:firstLine="42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4、最高</w:t>
      </w:r>
      <w:r>
        <w:rPr>
          <w:rFonts w:hint="eastAsia" w:ascii="宋体" w:hAnsi="宋体" w:eastAsia="宋体" w:cs="宋体"/>
          <w:b w:val="0"/>
          <w:bCs w:val="0"/>
          <w:color w:val="auto"/>
          <w:sz w:val="21"/>
          <w:szCs w:val="21"/>
          <w:highlight w:val="none"/>
          <w:lang w:val="en-US" w:eastAsia="zh-CN" w:bidi="ar-SA"/>
        </w:rPr>
        <w:t xml:space="preserve">限价：以太仓市娄东民生（http://122.193.93.203:8088/）公布的中心菜场当天价格为基准，按优惠率（即折扣率）报价。0≤投标优惠率≤100%，为有效投标报价；结算单价=基准价*优惠率</w:t>
      </w:r>
      <w:r/>
    </w:p>
    <w:p>
      <w:p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5、服务期限：一年或项目服务结算金额达到预算金额（二者中以先到者为准）。</w:t>
      </w:r>
      <w:r/>
    </w:p>
    <w:p>
      <w:pPr>
        <w:ind w:right="-159"/>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二、采购内容及相关要求：</w:t>
      </w:r>
      <w:bookmarkEnd w:id="10"/>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1、供货商必须具有有效期内的《</w:t>
      </w: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HYPERLINK "http://www.baidu.com/s?wd=%E9%A3%9F%E5%93%81%E7%BB%8F%E8%90%A5%E8%AE%B8%E5%8F%AF%E8%AF%81&amp;tn=SE_PcZhidaonwhc_ngpagmjz&amp;rsv_dl=gh_pc_zhidao" \t "_blank" </w:instrText>
      </w:r>
      <w:r>
        <w:rPr>
          <w:rFonts w:hint="eastAsia" w:ascii="宋体" w:hAnsi="宋体" w:eastAsia="宋体" w:cs="宋体"/>
          <w:b w:val="0"/>
          <w:bCs w:val="0"/>
          <w:color w:val="auto"/>
          <w:sz w:val="21"/>
          <w:szCs w:val="21"/>
          <w:highlight w:val="none"/>
          <w:lang w:val="en-US" w:eastAsia="zh-CN"/>
        </w:rPr>
        <w:fldChar w:fldCharType="separate"/>
      </w:r>
      <w:r>
        <w:rPr>
          <w:rFonts w:hint="eastAsia" w:ascii="宋体" w:hAnsi="宋体" w:eastAsia="宋体" w:cs="宋体"/>
          <w:b w:val="0"/>
          <w:bCs w:val="0"/>
          <w:color w:val="auto"/>
          <w:sz w:val="21"/>
          <w:szCs w:val="21"/>
          <w:highlight w:val="none"/>
          <w:lang w:val="en-US" w:eastAsia="zh-CN"/>
        </w:rPr>
        <w:t xml:space="preserve">食品经营许可证</w:t>
      </w:r>
      <w:r>
        <w:rPr>
          <w:rFonts w:hint="eastAsia" w:ascii="宋体" w:hAnsi="宋体" w:eastAsia="宋体" w:cs="宋体"/>
          <w:b w:val="0"/>
          <w:bCs w:val="0"/>
          <w:color w:val="auto"/>
          <w:sz w:val="21"/>
          <w:szCs w:val="21"/>
          <w:highlight w:val="none"/>
          <w:lang w:val="en-US" w:eastAsia="zh-CN"/>
        </w:rPr>
        <w:fldChar w:fldCharType="end"/>
      </w:r>
      <w:r>
        <w:rPr>
          <w:rFonts w:hint="eastAsia" w:ascii="宋体" w:hAnsi="宋体" w:eastAsia="宋体" w:cs="宋体"/>
          <w:b w:val="0"/>
          <w:bCs w:val="0"/>
          <w:color w:val="auto"/>
          <w:sz w:val="21"/>
          <w:szCs w:val="21"/>
          <w:highlight w:val="none"/>
          <w:lang w:val="en-US" w:eastAsia="zh-CN"/>
        </w:rPr>
        <w:t xml:space="preserve">》，工商营业执照及其他相关证照，具备综合供货的设备设施和能力，且经过招投标程序的中标单位。</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2、必须根据食堂提出的品种、规格、品牌、数量、质量要求送货，并在规定的时间内及时送到，实行缺一罚十的办法。</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所供原材料，必须符合《中华人民共和国食品安全法》标准，如发现原材料卫生质量问题或者以次充好等违规现象，采购人可立即无条件退货或换货。每发生一次类似情况，供货商需另行赔偿采购人经济损失2000元。</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4、在供货时应提供原材料检验合格证或者化验单。如肉类制品必须是定点屠宰且经检疫合格。</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5、供应商定期开展食品、食材安全质量培训会议。</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供应商应对食品安全进行把关，可根据项目需求自行配备农残检测设备及相关专业人员（熟悉检测设备操作及蔬菜中有机磷和氨基甲酸酯类农药残留量的快速检测标准）或送检第三方检测机构，来保障日常配送菜品的安全。</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7、服务期内，接采购人通知，供应商做到1小时内响应，2小时内到达采购方现场，5小时内解决相关问题。</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8、供货时不得提供以下原材料：</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（1）无品名、产地、厂名、生产日期、保质期及中文标识及原料说明的定型包装原材料（蔬菜、面点、早点等非定型包装原材料除外）；</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（2）超过保质期限或不符合原材料标签规定的定型包装原材料；</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（3）腐败变质、油脂酸败、霉变、生虫、污秽不洁、混有异物或者其他感官性状异常，含有毒、有害物质或者被有毒、有害物质污染，可能对人体健康有害的原材料；</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（4）病死或者死因不明的水产品、畜、禽及其制品、劣质食用油、不合格调味品、工业用盐、非碘盐或非原材料原料和滥用原材料添加剂、农药残留超标的蔬菜等；</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（5）以及其他不符合原材料安全标准和要求的原材料。</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9、家禽选用优质冷冻品（如少量的不用冷冻，供货商宰杀后送货）。</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10、提供商品的品牌、规格，擅自更换商品品牌、规格，应赔偿损失5000元。</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11、凡有短斤缺两、擅自涨价、质量问题以及其他违规行为均记入诚信档案，作为制约以后招投标的重要因素，情节较为严重的，采购人有权中止供货合同，并按相关法律处理。</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12、因所供应原材料的质量问题引起食物中毒等食源性疾病的发生或引起其他事故由供货方负全部责任，并承担由此而引起的全部经济损失及相关法律责任。</w:t>
      </w:r>
      <w:r/>
    </w:p>
    <w:p>
      <w:pPr>
        <w:pStyle w:val="823"/>
        <w:ind w:left="0" w:firstLine="420"/>
        <w:jc w:val="both"/>
        <w:spacing w:line="360" w:lineRule="auto"/>
        <w:rPr>
          <w:rFonts w:hint="eastAsia" w:ascii="仿宋" w:hAnsi="仿宋" w:eastAsia="仿宋" w:cs="仿宋"/>
          <w:sz w:val="24"/>
          <w:szCs w:val="24"/>
          <w:highlight w:val="none"/>
          <w:lang w:val="en-US" w:eastAsia="zh-CN"/>
        </w:rPr>
      </w:pPr>
      <w:r>
        <w:rPr>
          <w:rFonts w:hint="eastAsia" w:ascii="宋体" w:hAnsi="宋体" w:eastAsia="宋体" w:cs="宋体"/>
          <w:b w:val="0"/>
          <w:bCs w:val="0"/>
          <w:color w:val="auto"/>
          <w:sz w:val="21"/>
          <w:szCs w:val="21"/>
          <w:highlight w:val="none"/>
          <w:lang w:val="en-US" w:eastAsia="zh-CN"/>
        </w:rPr>
        <w:t xml:space="preserve">13、自觉遵守国家有关法律、法规，接受政府有关职能部门以及采购人的监管。</w:t>
      </w:r>
      <w:r>
        <w:rPr>
          <w:rFonts w:hint="eastAsia" w:ascii="仿宋" w:hAnsi="仿宋" w:eastAsia="仿宋" w:cs="仿宋"/>
          <w:sz w:val="24"/>
          <w:szCs w:val="24"/>
          <w:highlight w:val="none"/>
          <w:lang w:val="en-US" w:eastAsia="zh-CN"/>
        </w:rPr>
        <w:t xml:space="preserve"> </w:t>
      </w:r>
      <w:r/>
    </w:p>
    <w:p>
      <w:pPr>
        <w:ind w:right="-159"/>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食材</w:t>
      </w:r>
      <w:r>
        <w:rPr>
          <w:rFonts w:hint="eastAsia" w:ascii="宋体" w:hAnsi="宋体" w:eastAsia="宋体" w:cs="宋体"/>
          <w:b/>
          <w:bCs/>
          <w:color w:val="auto"/>
          <w:sz w:val="21"/>
          <w:szCs w:val="21"/>
          <w:highlight w:val="none"/>
        </w:rPr>
        <w:t xml:space="preserve">配送验收标准</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对以下原材料在验收时必须做到原材料、原料、调料等均符合国家《中华人民共和国食品安全法》规定，具体如下：</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肉类：必须从正规肉联厂购买新鲜肉食，必须有正规卫生防疫检疫部门的盖章标志，有厂家提供的卫生防疫证明，符合国际质检部门规定的上限，不能从无正规手续、黑市、肉贩子手中购买。肉品须表皮洁净、膘厚适中、色泽鲜亮、纹理清晰、肉质细腻、无异味、去骨、无毛、按压无水迹。</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2、牛肉类：要求有动物卫生检疫及屠宰证明，去除牛筋杂物，肉质鲜嫩，不注水。</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3、鸡鸭类：交货时需配有动物卫生检疫证明，表皮光滑，新鲜肥嫩，无内脏，不打水。</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4、冻品类：需有出厂日期、保质期，品质要优良，包装过关，无掺假。</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5、豆制品：正规生产厂家生产。</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6、禽蛋类：必须有正规卫生防疫检疫部门的盖章标志，有厂家提供的卫生防疫证明，符合国际质检部门规定的上限，不能从无正规手续、黑市、肉贩子手中购买。</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7、蔬菜类：新鲜嫩绿，无黄叶，无菜虫，必须通过农药残留成分测试，蔬菜不带根，不带泥。</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8、水果类：个头匀称，无斑点，无破损，果实成熟，味道纯正。按指定品牌及合理报价要求收货。</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9、粮油类：粮油类食品必须符合卫生标准，必须从正规厂家或商家购买，符合食品卫生检疫标准，必须在有效生产周期内，必须为非转基因油，产品或品牌由采购人指定。 </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10、米面制品：需有商标牌号，厂家三证、检验报告、生产日期。保证大米质量，无砂石，无虫，无黑色杂物的品种，重量相差不超过0.25KG。</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11、早点类：新鲜，保温，单个品种规格相同，数量充足。</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12、鲜鱼类：必须生猛鲜活，过称后杀鱼,鱼鳞刮净,去除内脏、鱼腮，肉质新鲜。</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13、半成品：需提供可靠来源，并必须持有卫生许可证、营业执照等合法证件。</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14、调料类：食品调料必须从正规的商场、超市以及调料专业机构购买，产品质量符合国家质量检疫部门的标准。</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15、奶品类：乳制品必须有国家食品监督管理部门出具的食品合格证明，防伪标示，有详细的生产日期、生产厂家、生产地址、卫生检疫标志、国家质量检疫标志等相关说明。 </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16、饮品类：饮品类必须从正规的商场、超市及专门的正规饮品厂家购买，购买符合产品的质量标准，必须在有效生产周期内，产品或品牌由采购人制定。 </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17、箱装货：以净容量为计，鸡鸭蛋去皮净重，要新鲜，符合原材料卫生要求。 </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18、另：A、为避免争执，交货验收不合格时即刻退换货并出其退货单登记。</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B、仓管现场监督收货并检查货物的出厂时间及保质期，对货品质量进行检查，确保符合供货要求。无任何标示的原材料或材料，认定为不合格原材料必须立即退货。若有失职，将视情节严重程度进行严肃处理，确保原材料安全无误。</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19、包装货物必须符合包装规格数量要求，其它数量以实际数量为准。</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20、如有未尽事宜，则在事情发生时即刻告知采购人，由采购人、供货商协商后处理解决。</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四、其他说明</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1、服务人员配置由投标方根据工作内容自行设定各岗位人员配置，用工年龄女55周岁以内，男60周岁以内，所有服务人员身体健康、遵纪守法，国家规定持证上岗的人员必须有相应的资格证书。 </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2、中标单位必须按照《劳动法》最低工资调整及苏州市的有关规定配置工作人员按月支付工资、节假日加班费，交纳社会保险，不得安排工作人员超时限加班，并根据工作性质购置保险等相关劳动保障措施。</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3、采购单位与中标单位服务人员不发生任何劳动和雇佣关系，用工人员由中标单位自行管理，中标单位和用工人员应遵守安全操作规章制度，若发生人身伤害等工伤事故，由中标单位自负，与采购单位无涉。</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4、中标单位服务人员的薪金、福利、休假日补贴、医疗费用及其他各种商业保险等均由中标单位负责，与采购方无关。</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5、所有报名成功的单位可自行对项目现场及周围环境进行踏勘，以便获取有关编制投标文件和签署合同所涉及现场的资料，投标单位承担踏勘现场所发生的所有费用以及踏勘现场的责任和风险。</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6、采购方每月对中标单位服务项目进行考核，具体详见《月度考核表》。考核项目总分低于60分，则扣除人民币500元作为处罚，以示警告。</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7、中标单位在上级部门检查中不合格受到处罚，采购方将按照处罚金额200元从中标单位的服务费中扣除。</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8、因中标单位提供不洁食物造成采购方人员食物中毒等食品安全事故的，由中标单位负责赔偿并承担相应的法律后果。</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9、中标单位所配送采购方的食材，必须是通过严格筛选的，食材要新鲜、安全，若在配送过程中，出现2次“中”及以下，采购方将对中标单位处以500元罚款，以示警告。</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10、中标单位在配送过程中，如若因为特殊因素，不能及时将货物送达，中标单位必须提前通知采购方，与采购方协商处理方案，出现2次“中”及以下的情况下，采购方将对中标单位处以500元的罚款，以示警告。</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11、原材料进货单据必须齐全，单货相符，货物出入库手续完备，采购方会不定时的抽查中标单位上述单据情况，若完善结果中，出现2次“中”及以下，采购方将对中标单位处以500元罚款，以示警告。</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12、配送货物单据必须齐全，包括：检测报告、送货单等，若一月累计出现3次“中”及以下的情况，采购方将对中标单位处以500元罚款，以示警告。</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13、原材料供应商，索证需要齐全，采购方会不定时的抽查中标单位索证情况，若抽查累计3次“中”及以下，采购方将对中标单位处以500元罚款，以示警告。</w:t>
      </w:r>
      <w:r/>
    </w:p>
    <w:p>
      <w:pPr>
        <w:ind w:right="-159"/>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五、报价要求</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1、本项目采用固定优惠率报价（优惠率即为折扣率），报价保留2位小数，当0≤投标优惠率≤100%，为有效投标报价，否则视为未实质性响应文件，不参与评审。</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2、以太仓市娄东民生（http://122.193.93.203:8088/）公布的中心菜场当天价格为基准，填报优惠率。所报优惠率值越低，则表示投标报价越低。</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供应商应对所投项目的全部内容进行报价，只投其中部分内容者，其标书将被拒绝。报价包括在承包期内的所有食材、运输费、各种税费、人工、维护、餐费、保险、利润、税金、政策性文件规定及合同包含的所有风险、责任等各项应有费用，项目完成期内的合同价格不作调整。</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六、付款</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采购合同签订后，支付合同金额的10%作为预付款，常规服务费按半年度(六个月)结算并支付。</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ascii="SimSun" w:hAnsi="SimSun" w:eastAsia="SimSun" w:cs="SimSun"/>
          <w:color w:val="000000"/>
          <w:sz w:val="21"/>
        </w:rPr>
        <w:t xml:space="preserve">在签订合同时，乙方明确表示无需預付款或主动要求降低预付款比例的，甲方可不适用前述规定。</w:t>
      </w:r>
      <w:r/>
      <w:r>
        <w:rPr>
          <w:rFonts w:hint="eastAsia" w:ascii="宋体" w:hAnsi="宋体" w:eastAsia="宋体" w:cs="宋体"/>
          <w:b w:val="0"/>
          <w:bCs w:val="0"/>
          <w:color w:val="auto"/>
          <w:sz w:val="21"/>
          <w:szCs w:val="21"/>
          <w:highlight w:val="none"/>
          <w:lang w:val="en-US" w:eastAsia="zh-CN"/>
        </w:rPr>
        <w:t xml:space="preserve">。</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结算方式：每月10号前中标单位向采购人出具对账单，按太仓市娄东民生（http://122.193.93.203:8088/）公布的中心菜场当天价格乘以中标折扣率的单价按实结算；未公布当天价格的按上一日价格乘以中标折扣率的单价按实结算，结算费用按月度考核分数扣除相应罚款，具体扣款详见采购需求。</w:t>
      </w:r>
      <w:r/>
    </w:p>
    <w:p>
      <w:pPr>
        <w:pStyle w:val="823"/>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注：若太仓市娄东民生公布的中心菜场当天价格中未包含供货产品的价格，按照中心菜场的市场平均价结算。</w:t>
      </w:r>
      <w:r/>
    </w:p>
    <w:tbl>
      <w:tblPr>
        <w:tblStyle w:val="828"/>
        <w:tblW w:w="963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4247"/>
        <w:gridCol w:w="1529"/>
        <w:gridCol w:w="785"/>
        <w:gridCol w:w="745"/>
        <w:gridCol w:w="784"/>
        <w:gridCol w:w="668"/>
      </w:tblGrid>
      <w:tr>
        <w:trPr>
          <w:trHeight w:val="397"/>
        </w:trPr>
        <w:tc>
          <w:tcPr>
            <w:gridSpan w:val="7"/>
            <w:tcW w:w="9631"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月度考核表</w:t>
            </w:r>
            <w:r/>
          </w:p>
        </w:tc>
      </w:tr>
      <w:tr>
        <w:trPr>
          <w:trHeight w:val="397"/>
        </w:trPr>
        <w:tc>
          <w:tcPr>
            <w:gridSpan w:val="7"/>
            <w:tcW w:w="9631"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考核时间：    年      月</w:t>
            </w:r>
            <w:r/>
          </w:p>
        </w:tc>
      </w:tr>
      <w:tr>
        <w:trPr>
          <w:trHeight w:val="397"/>
        </w:trPr>
        <w:tc>
          <w:tcPr>
            <w:tcW w:w="873"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gridSpan w:val="2"/>
            <w:tcW w:w="5776" w:type="dxa"/>
            <w:vAlign w:val="center"/>
            <w:vMerge w:val="restart"/>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考核项目</w:t>
            </w:r>
            <w:r/>
          </w:p>
        </w:tc>
        <w:tc>
          <w:tcPr>
            <w:gridSpan w:val="4"/>
            <w:tcW w:w="2982"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评价制度</w:t>
            </w:r>
            <w:r/>
          </w:p>
        </w:tc>
      </w:tr>
      <w:tr>
        <w:trPr>
          <w:trHeight w:val="397"/>
        </w:trPr>
        <w:tc>
          <w:tcPr>
            <w:tcW w:w="873"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W w:w="5776" w:type="dxa"/>
            <w:vAlign w:val="center"/>
            <w:vMerge w:val="continue"/>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78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优</w:t>
            </w:r>
            <w:r/>
          </w:p>
        </w:tc>
        <w:tc>
          <w:tcPr>
            <w:tcW w:w="745"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良</w:t>
            </w:r>
            <w:r/>
          </w:p>
        </w:tc>
        <w:tc>
          <w:tcPr>
            <w:tcW w:w="784"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w:t>
            </w:r>
            <w:r/>
          </w:p>
        </w:tc>
        <w:tc>
          <w:tcPr>
            <w:tcW w:w="668"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差</w:t>
            </w:r>
            <w:r/>
          </w:p>
        </w:tc>
      </w:tr>
      <w:tr>
        <w:trPr>
          <w:trHeight w:val="397"/>
        </w:trPr>
        <w:tc>
          <w:tcPr>
            <w:tcW w:w="873"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5776"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w:t>
            </w:r>
            <w:r/>
          </w:p>
        </w:tc>
        <w:tc>
          <w:tcPr>
            <w:tcW w:w="78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873"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5776"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配送准时度(按照规定时间，将货物送达)</w:t>
            </w:r>
            <w:r/>
          </w:p>
        </w:tc>
        <w:tc>
          <w:tcPr>
            <w:tcW w:w="78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873"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5776"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服务态度（售后服务）</w:t>
            </w:r>
            <w:r/>
          </w:p>
        </w:tc>
        <w:tc>
          <w:tcPr>
            <w:tcW w:w="78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873"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5776"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tcW w:w="78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873"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5776"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tcW w:w="78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873" w:type="dxa"/>
            <w:vAlign w:val="center"/>
            <w:textDirection w:val="lrTb"/>
            <w:noWrap w:val="false"/>
          </w:tcPr>
          <w:p>
            <w:pPr>
              <w:ind w:left="0" w:righ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5776"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tcW w:w="78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343"/>
        </w:trPr>
        <w:tc>
          <w:tcPr>
            <w:gridSpan w:val="7"/>
            <w:tcW w:w="9631"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考核结果：1、通过以上评分，该供应商的综合得分：</w:t>
            </w:r>
            <w:r/>
          </w:p>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2、该供应商应处于的等级：A,1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0分以上 B，100-80分 C，60分以下（月考核60以下不合格）</w:t>
            </w:r>
            <w:r/>
          </w:p>
          <w:p>
            <w:pPr>
              <w:ind w:left="0" w:righ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分、差，8分（每日考核8分及以下不合格）</w:t>
            </w:r>
            <w:r/>
          </w:p>
        </w:tc>
      </w:tr>
      <w:tr>
        <w:trPr>
          <w:trHeight w:val="601"/>
        </w:trPr>
        <w:tc>
          <w:tcPr>
            <w:gridSpan w:val="2"/>
            <w:tcW w:w="5120"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考核部门签字：</w:t>
            </w:r>
            <w:r/>
          </w:p>
        </w:tc>
        <w:tc>
          <w:tcPr>
            <w:gridSpan w:val="5"/>
            <w:tcW w:w="4511" w:type="dxa"/>
            <w:vAlign w:val="center"/>
            <w:textDirection w:val="lrTb"/>
            <w:noWrap w:val="false"/>
          </w:tcPr>
          <w:p>
            <w:pPr>
              <w:ind w:left="0" w:right="0" w:firstLine="0"/>
              <w:jc w:val="left"/>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供应商签字</w:t>
            </w:r>
            <w:r/>
          </w:p>
        </w:tc>
      </w:tr>
    </w:tbl>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七、验收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1、验收的实施主体：</w:t>
      </w:r>
      <w:r>
        <w:rPr>
          <w:rFonts w:hint="eastAsia" w:ascii="宋体" w:hAnsi="宋体" w:eastAsia="宋体" w:cs="宋体"/>
          <w:color w:val="000000"/>
          <w:sz w:val="21"/>
          <w:szCs w:val="21"/>
          <w:highlight w:val="none"/>
        </w:rPr>
        <w:t xml:space="preserve">太仓市</w:t>
      </w:r>
      <w:r>
        <w:rPr>
          <w:rFonts w:hint="eastAsia" w:ascii="宋体" w:hAnsi="宋体" w:eastAsia="宋体" w:cs="宋体"/>
          <w:color w:val="000000"/>
          <w:sz w:val="21"/>
          <w:szCs w:val="21"/>
          <w:highlight w:val="none"/>
          <w:lang w:val="en-US" w:eastAsia="zh-CN"/>
        </w:rPr>
        <w:t xml:space="preserve">港区政府专职消防救援队</w:t>
      </w:r>
      <w:r>
        <w:rPr>
          <w:rFonts w:hint="eastAsia" w:ascii="宋体" w:hAnsi="宋体" w:eastAsia="宋体" w:cs="宋体"/>
          <w:color w:val="000000"/>
          <w:sz w:val="21"/>
          <w:szCs w:val="21"/>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2、验收时间：采购人以项目采购需求及合同相关内容按月考核。采购人向供应商发出《政府采购履约验收通知单》（本章附件1），验收完成后形成《政府采购履约验收书》（本章附件2）。</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3、验收方式：按月考核、验收，由采购人进行考核验收。</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4、验收内容、标准：按考核办法执行。</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八、方案要求</w:t>
      </w:r>
      <w:r/>
    </w:p>
    <w:p>
      <w:pPr>
        <w:ind w:left="0" w:right="0" w:firstLine="480"/>
        <w:jc w:val="left"/>
        <w:pageBreakBefore w:val="0"/>
        <w:spacing w:beforeAutospacing="0" w:afterAutospacing="0"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投标人根据以上要求制定服务方案，具体内容包括：</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1、配送服务方案，至少包括：①食材配送业务操作流程规范②配送产品质量管控措施③食材配送标准等。</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2、管理制度，至少包括：①食材原材料采购索证索票制度②台账登记管理制度③采购管理制度④食品留样管理制度等。</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3、卫生管理方案，至少包括：①人员健康管理方案②食材卫生管理方案③环境卫生管理方案。</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4、日常沟通、配合方案，至少包括：①受理咨询、投诉的渠道②针对投诉的处理方案等。</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5、应急处置预案，至少包括：①临时性特殊性需求、发生恶劣天气及出现食品安全、操作运行、员工人身等安全管理②质量投诉处理的应急处理方案等。</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九、综合说明</w:t>
      </w:r>
      <w:r/>
    </w:p>
    <w:p>
      <w:pPr>
        <w:ind w:left="0" w:right="0" w:firstLine="480"/>
        <w:jc w:val="left"/>
        <w:pageBreakBefore w:val="0"/>
        <w:spacing w:beforeAutospacing="0" w:afterAutospacing="0"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1、投标人必须承诺招标文件中提出的全部服务要求；如果以其中某些条款不响应时，应在文件中逐条列出，未列出的视同响应。</w:t>
      </w:r>
      <w:r/>
    </w:p>
    <w:p>
      <w:pPr>
        <w:ind w:left="0" w:right="0" w:firstLine="480"/>
        <w:jc w:val="left"/>
        <w:pageBreakBefore w:val="0"/>
        <w:spacing w:beforeAutospacing="0" w:afterAutospacing="0"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工作人员在岗履行职责期间（包括上下班途中），发生自身的人身伤害、伤亡，均由中标人负责处理并承担经济和道义上的责任，采购单位不承担任何责任。</w:t>
      </w:r>
      <w:r/>
    </w:p>
    <w:p>
      <w:pPr>
        <w:ind w:left="0" w:right="0" w:firstLine="480"/>
        <w:jc w:val="left"/>
        <w:pageBreakBefore w:val="0"/>
        <w:spacing w:beforeAutospacing="0" w:afterAutospacing="0"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须按照本招标文件的要求对该招标项目进行服务工作。</w:t>
      </w:r>
      <w:r/>
    </w:p>
    <w:p>
      <w:pPr>
        <w:pStyle w:val="829"/>
        <w:rPr>
          <w:rFonts w:hint="eastAsia" w:ascii="宋体" w:hAnsi="宋体" w:eastAsia="宋体" w:cs="宋体"/>
          <w:color w:val="auto"/>
          <w:sz w:val="21"/>
          <w:szCs w:val="21"/>
          <w:highlight w:val="none"/>
          <w:lang w:val="zh-TW"/>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、凡涉及采购文件的补充说明和修改，均以苏州政府采购网发布的文件为准。</w:t>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159"/>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附件1：</w:t>
      </w:r>
      <w:r/>
    </w:p>
    <w:p>
      <w:pPr>
        <w:jc w:val="center"/>
        <w:spacing w:before="104" w:line="185" w:lineRule="auto"/>
        <w:rPr>
          <w:rFonts w:hint="eastAsia" w:ascii="宋体" w:hAnsi="宋体" w:eastAsia="宋体" w:cs="宋体"/>
          <w:color w:val="auto"/>
          <w:spacing w:val="19"/>
          <w:sz w:val="36"/>
          <w:szCs w:val="36"/>
          <w:highlight w:val="none"/>
        </w:rPr>
      </w:pPr>
      <w:r>
        <w:rPr>
          <w:rFonts w:hint="eastAsia" w:ascii="宋体" w:hAnsi="宋体" w:eastAsia="宋体" w:cs="宋体"/>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 xml:space="preserve">供应商：</w:t>
      </w:r>
      <w:r/>
    </w:p>
    <w:p>
      <w:pPr>
        <w:spacing w:line="44"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828"/>
        <w:tblW w:w="9165"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883"/>
      </w:tblGrid>
      <w:tr>
        <w:trPr>
          <w:trHeight w:val="562"/>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采购人</w:t>
            </w:r>
            <w:r/>
          </w:p>
        </w:tc>
        <w:tc>
          <w:tcPr>
            <w:gridSpan w:val="3"/>
            <w:tcW w:w="7071"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项目名称</w:t>
            </w:r>
            <w:r/>
          </w:p>
        </w:tc>
        <w:tc>
          <w:tcPr>
            <w:gridSpan w:val="3"/>
            <w:tcW w:w="7071"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合同名称</w:t>
            </w:r>
            <w:r/>
          </w:p>
        </w:tc>
        <w:tc>
          <w:tcPr>
            <w:gridSpan w:val="3"/>
            <w:tcW w:w="7071"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合同编号</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合同金额</w:t>
            </w:r>
            <w:r/>
          </w:p>
        </w:tc>
        <w:tc>
          <w:tcPr>
            <w:tcW w:w="2883"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验收时间</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验收地点</w:t>
            </w:r>
            <w:r/>
          </w:p>
        </w:tc>
        <w:tc>
          <w:tcPr>
            <w:tcW w:w="2883"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 xml:space="preserve">联系人</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联系电话</w:t>
            </w:r>
            <w:r/>
          </w:p>
        </w:tc>
        <w:tc>
          <w:tcPr>
            <w:tcW w:w="2883"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16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 xml:space="preserve">履约验收方案及工作要求</w:t>
            </w:r>
            <w:r/>
          </w:p>
        </w:tc>
      </w:tr>
      <w:tr>
        <w:trPr>
          <w:trHeight w:val="5647"/>
        </w:trPr>
        <w:tc>
          <w:tcPr>
            <w:gridSpan w:val="4"/>
            <w:tcW w:w="9165" w:type="dxa"/>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3"/>
                <w:szCs w:val="23"/>
                <w:highlight w:val="none"/>
              </w:rPr>
            </w:pPr>
            <w:r>
              <w:rPr>
                <w:rFonts w:hint="eastAsia" w:ascii="宋体" w:hAnsi="宋体" w:eastAsia="宋体" w:cs="宋体"/>
                <w:color w:val="auto"/>
                <w:spacing w:val="3"/>
                <w:sz w:val="23"/>
                <w:szCs w:val="23"/>
                <w:highlight w:val="none"/>
              </w:rPr>
              <w:t xml:space="preserve">单位公章</w:t>
            </w:r>
            <w:r/>
          </w:p>
          <w:p>
            <w:pPr>
              <w:ind w:right="2893" w:firstLine="4356"/>
              <w:jc w:val="right"/>
              <w:spacing w:before="75" w:line="507" w:lineRule="auto"/>
              <w:rPr>
                <w:rFonts w:hint="eastAsia" w:ascii="宋体" w:hAnsi="宋体" w:eastAsia="宋体" w:cs="宋体"/>
                <w:color w:val="auto"/>
                <w:sz w:val="23"/>
                <w:szCs w:val="23"/>
                <w:highlight w:val="none"/>
              </w:rPr>
            </w:pPr>
            <w:r>
              <w:rPr>
                <w:rFonts w:hint="eastAsia" w:ascii="宋体" w:hAnsi="宋体" w:eastAsia="宋体" w:cs="宋体"/>
                <w:color w:val="auto"/>
                <w:spacing w:val="-16"/>
                <w:sz w:val="23"/>
                <w:szCs w:val="23"/>
                <w:highlight w:val="none"/>
              </w:rPr>
              <w:t xml:space="preserve">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 xml:space="preserve">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 xml:space="preserve">日</w:t>
            </w:r>
            <w:r/>
          </w:p>
        </w:tc>
      </w:tr>
    </w:tbl>
    <w:p>
      <w:pPr>
        <w:pStyle w:val="1126"/>
        <w:jc w:val="center"/>
        <w:spacing w:line="480" w:lineRule="auto"/>
        <w:tabs>
          <w:tab w:val="right" w:pos="8302" w:leader="dot"/>
        </w:tabs>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contextualSpacing/>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color w:val="auto"/>
          <w:sz w:val="21"/>
          <w:szCs w:val="21"/>
          <w:highlight w:val="none"/>
          <w:lang w:val="zh-CN"/>
        </w:rPr>
        <w:t xml:space="preserve">附件</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t xml:space="preserve">政府采购履约验收书（服务类）</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r>
      <w:r/>
    </w:p>
    <w:tbl>
      <w:tblPr>
        <w:tblStyle w:val="828"/>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项目名称</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合同名称</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项目及合</w:t>
            </w:r>
            <w:r/>
          </w:p>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同编号</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合同金额</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410"/>
        </w:trPr>
        <w:tc>
          <w:tcPr>
            <w:tcW w:w="1291"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分期（段）验收</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是□否□</w:t>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分期（段）情况</w:t>
            </w:r>
            <w:r/>
          </w:p>
        </w:tc>
        <w:tc>
          <w:tcPr>
            <w:gridSpan w:val="4"/>
            <w:tcW w:w="588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验收时间</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验收地点</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验收组织形式</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□自行简易验收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验收内容</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服务质量</w:t>
            </w:r>
            <w:r/>
          </w:p>
        </w:tc>
        <w:tc>
          <w:tcPr>
            <w:tcW w:w="1276"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服务进度</w:t>
            </w:r>
            <w:r/>
          </w:p>
        </w:tc>
        <w:tc>
          <w:tcPr>
            <w:tcW w:w="1244"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人员、设备 配备情况</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行业、安全标准</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项目需求、服务承诺</w:t>
            </w:r>
            <w:r/>
          </w:p>
        </w:tc>
        <w:tc>
          <w:tcPr>
            <w:tcW w:w="237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合同履约时间、 地点、方式</w:t>
            </w:r>
            <w:r/>
          </w:p>
        </w:tc>
      </w:tr>
      <w:tr>
        <w:trPr>
          <w:jc w:val="center"/>
          <w:trHeight w:val="828"/>
        </w:trPr>
        <w:tc>
          <w:tcPr>
            <w:tcW w:w="1291"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102"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276"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不按时□</w:t>
            </w:r>
            <w:r/>
          </w:p>
        </w:tc>
        <w:tc>
          <w:tcPr>
            <w:tcW w:w="124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专业检测机构情况说明</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存在问题</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和改进意见</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686"/>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最终结论</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验收小组成员签字</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19"/>
        </w:trPr>
        <w:tc>
          <w:tcPr>
            <w:gridSpan w:val="4"/>
            <w:tcW w:w="4913"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采购代理机构意见</w:t>
            </w:r>
            <w:r/>
          </w:p>
        </w:tc>
        <w:tc>
          <w:tcPr>
            <w:gridSpan w:val="3"/>
            <w:tcW w:w="464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采购人意见</w:t>
            </w:r>
            <w:r/>
          </w:p>
        </w:tc>
      </w:tr>
      <w:tr>
        <w:trPr>
          <w:jc w:val="center"/>
        </w:trPr>
        <w:tc>
          <w:tcPr>
            <w:gridSpan w:val="4"/>
            <w:tcW w:w="4913"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采购代理机构公章）</w:t>
            </w:r>
            <w:r/>
          </w:p>
        </w:tc>
        <w:tc>
          <w:tcPr>
            <w:gridSpan w:val="3"/>
            <w:tcW w:w="4642"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（采购人公章）</w:t>
            </w:r>
            <w:r/>
          </w:p>
        </w:tc>
      </w:tr>
      <w:tr>
        <w:trPr>
          <w:jc w:val="center"/>
        </w:trPr>
        <w:tc>
          <w:tcPr>
            <w:gridSpan w:val="7"/>
            <w:tcW w:w="9555"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供应商确认：</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（单位公章或授权代表签字）</w:t>
            </w:r>
            <w:r/>
          </w:p>
        </w:tc>
      </w:tr>
    </w:tbl>
    <w:p>
      <w:pPr>
        <w:rPr>
          <w:color w:val="auto"/>
          <w:highlight w:val="none"/>
        </w:rPr>
      </w:pPr>
      <w:r>
        <w:rPr>
          <w:color w:val="auto"/>
          <w:highlight w:val="none"/>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bookmarkEnd w:id="9"/>
      <w:r/>
      <w:r/>
    </w:p>
    <w:p>
      <w:pPr>
        <w:jc w:val="center"/>
        <w:rPr>
          <w:rFonts w:hint="eastAsia" w:ascii="宋体" w:hAnsi="宋体" w:eastAsia="宋体" w:cs="宋体"/>
          <w:b/>
          <w:bCs/>
          <w:color w:val="auto"/>
          <w:sz w:val="32"/>
          <w:szCs w:val="32"/>
          <w:highlight w:val="none"/>
        </w:rPr>
        <w:outlineLvl w:val="0"/>
      </w:pPr>
      <w:r/>
      <w:bookmarkStart w:id="11" w:name="_Toc159507038"/>
      <w:r>
        <w:rPr>
          <w:rFonts w:hint="eastAsia" w:ascii="宋体" w:hAnsi="宋体" w:eastAsia="宋体" w:cs="宋体"/>
          <w:b/>
          <w:bCs/>
          <w:color w:val="auto"/>
          <w:sz w:val="32"/>
          <w:szCs w:val="32"/>
          <w:highlight w:val="none"/>
        </w:rPr>
        <w:t xml:space="preserve">第四章 评分办法及评标标准</w:t>
      </w:r>
      <w:bookmarkEnd w:id="11"/>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1、本次招标评标采用综合评分法，即在满足招标文件实质性要求前提下，按照招标文件中规定的评分标准和各项因素进行综合评审，以评标总得分最高的投标人作为中标候选人。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本项目专门面向中小企业采购的项目，不再执行价格评审优惠的扶持政策。若投标供应商提供的声明函或认定证明为虚假声明则视同提供虚假材料，按“政府采购法”相关规定处理并报请政府监管部门给予行政处罚。</w:t>
      </w:r>
      <w:r/>
    </w:p>
    <w:p>
      <w:pPr>
        <w:spacing w:line="360" w:lineRule="auto"/>
        <w:widowControl/>
        <w:tabs>
          <w:tab w:val="left" w:pos="-342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二、评分标准</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12" w:name="_Toc25799"/>
      <w:r/>
      <w:bookmarkStart w:id="13" w:name="_Toc21736"/>
      <w:r>
        <w:rPr>
          <w:rFonts w:hint="eastAsia" w:ascii="宋体" w:hAnsi="宋体" w:eastAsia="宋体" w:cs="宋体"/>
          <w:b/>
          <w:bCs/>
          <w:color w:val="auto"/>
          <w:sz w:val="21"/>
          <w:szCs w:val="21"/>
          <w:highlight w:val="none"/>
          <w:lang w:val="en-US" w:eastAsia="zh-CN" w:bidi="ar-SA"/>
        </w:rPr>
        <w:t xml:space="preserve">（一）投标报价（20分</w:t>
      </w:r>
      <w:bookmarkEnd w:id="12"/>
      <w:r>
        <w:rPr>
          <w:rFonts w:hint="eastAsia" w:ascii="宋体" w:hAnsi="宋体" w:eastAsia="宋体" w:cs="宋体"/>
          <w:b/>
          <w:bCs/>
          <w:color w:val="auto"/>
          <w:sz w:val="21"/>
          <w:szCs w:val="21"/>
          <w:highlight w:val="none"/>
          <w:lang w:val="en-US" w:eastAsia="zh-CN" w:bidi="ar-SA"/>
        </w:rPr>
        <w:t xml:space="preserve">）</w:t>
      </w:r>
      <w:bookmarkEnd w:id="13"/>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1、投标报价在招标文件规定的范围内为有效报价，超出此范围的报价为无效报价。无效投标报价的投标文件不进行评审，也不得标。</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2、价格得分计算方法：根据各投标人通过符合性审查的有效投标报价中的最低价作为评标基准价，其价格分为满分。其他投标人的价格分统一按照下列公式计算：</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投标报价得分=（评审基准价/投标报价）×价格权值×100（本次投标报价权值为20%）（保留小数点后两位）。</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（二）服务方案、服务质量、管理制度比较（35分）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1、配送服务方案（9分）</w:t>
      </w:r>
      <w:r/>
    </w:p>
    <w:p>
      <w:pPr>
        <w:ind w:firstLine="420"/>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根据投标人提供的配送服务方案进行评分，内容至少包括：①食材配送业务操作流程规范②配送产品质量管控措施③食材配送标准等。</w:t>
      </w:r>
      <w:r/>
    </w:p>
    <w:p>
      <w:pPr>
        <w:ind w:firstLine="420"/>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方案内容针对本项目且符合本项目实际需求的，每</w:t>
      </w:r>
      <w:r>
        <w:rPr>
          <w:rFonts w:hint="eastAsia"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rPr>
        <w:t xml:space="preserve">1项得3分，本项总分为9分。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2、管理制度（12分）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根据投标人提供的管理制度进行评分，制度至少包括：①食材原材料采购索证索票制度②台账登记管理制度③采购管理制度④食品留样管理制度等。</w:t>
      </w:r>
      <w:r/>
    </w:p>
    <w:p>
      <w:pPr>
        <w:ind w:firstLine="420"/>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方案内容针对本项目且符合本项目实际需求的，每</w:t>
      </w:r>
      <w:r>
        <w:rPr>
          <w:rFonts w:hint="eastAsia"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rPr>
        <w:t xml:space="preserve">1项得3分，本项总分为12分。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3、卫生管理方案（6分）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根据投标人提供的卫生管理方案进行评分，内容至少包括：①人员健康管理方案②食材卫生管理方案③环境卫生管理方案。</w:t>
      </w:r>
      <w:r/>
    </w:p>
    <w:p>
      <w:pPr>
        <w:ind w:firstLine="420"/>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方案内容针对本项目且符合本项目实际需求的，每</w:t>
      </w:r>
      <w:r>
        <w:rPr>
          <w:rFonts w:hint="eastAsia"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rPr>
        <w:t xml:space="preserve">1项得2分，本项总分为6分。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4、日常沟通、配合方案（4分）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根据投标人提供的日常沟通、配合方案进行评分，方案至少包括：①受理咨询、投诉的渠道②针对投诉的处理方案等。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方案内容针对本项目且符合本项目实际需求的，每</w:t>
      </w:r>
      <w:r>
        <w:rPr>
          <w:rFonts w:hint="eastAsia"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rPr>
        <w:t xml:space="preserve">1项得2分，本项总分为</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hAnsi="宋体" w:cs="宋体"/>
          <w:color w:val="auto"/>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5、应急处置预案（4分）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根据投标人提供的突发事件应急预案进行评分，方案至少包括：①临时性特殊性需求、发生恶劣天气及出现食品安全、操作运行、员工人身等安全管理②质量投诉处理的应急处理方案等。</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方案内容针对本项目且符合本项目实际需求的，每</w:t>
      </w:r>
      <w:r>
        <w:rPr>
          <w:rFonts w:hint="eastAsia"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rPr>
        <w:t xml:space="preserve">1项得2分，本项总分为</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Cs/>
          <w:color w:val="auto"/>
          <w:sz w:val="21"/>
          <w:szCs w:val="21"/>
          <w:highlight w:val="none"/>
          <w:lang w:val="en-US" w:eastAsia="zh-CN" w:bidi="ar-SA"/>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（三）投标单位综合实力比较（45分）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为确保食材新鲜安全，投标人具备自有或租赁500立方及以上的低温保鲜冷库的得6分。自建的需提供自建低温保鲜冷库设备安装发票原件扫描件以及低温保鲜冷库相关图片，不提供或提供不完整不得分；租赁的需提供租赁合同以及低温保鲜冷库相关图片，不提供</w:t>
      </w:r>
      <w:bookmarkStart w:id="25" w:name="_GoBack"/>
      <w:r/>
      <w:bookmarkEnd w:id="25"/>
      <w:r>
        <w:rPr>
          <w:rFonts w:hint="eastAsia" w:ascii="宋体" w:hAnsi="宋体" w:eastAsia="宋体" w:cs="宋体"/>
          <w:bCs/>
          <w:color w:val="auto"/>
          <w:sz w:val="21"/>
          <w:szCs w:val="21"/>
          <w:highlight w:val="none"/>
          <w:lang w:val="en-US" w:eastAsia="zh-CN" w:bidi="ar-SA"/>
        </w:rPr>
        <w:t xml:space="preserve">或提供不完整不得分。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为确保食品储存有保障，投标人具备自有或租赁200立方及以上的冷冻冷库的得6分。自建的需提供自建冷库设备安装发票原件扫描件以及冷库相关图片，不提供或提供不完整不得分；租赁的需提供租赁合同以及冷库相关图片，不提供或提供不完整不得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3、人员配备（8分）</w:t>
      </w:r>
      <w:r>
        <w:rPr>
          <w:rFonts w:hint="eastAsia" w:ascii="宋体" w:hAnsi="宋体" w:eastAsia="宋体" w:cs="宋体"/>
          <w:bCs/>
          <w:color w:val="auto"/>
          <w:sz w:val="21"/>
          <w:szCs w:val="21"/>
          <w:highlight w:val="none"/>
          <w:lang w:val="en-US" w:eastAsia="zh-CN" w:bidi="ar-SA"/>
        </w:rPr>
        <w:tab/>
      </w:r>
      <w:r>
        <w:rPr>
          <w:rFonts w:hint="eastAsia" w:ascii="宋体" w:hAnsi="宋体" w:eastAsia="宋体" w:cs="宋体"/>
          <w:bCs/>
          <w:color w:val="auto"/>
          <w:sz w:val="21"/>
          <w:szCs w:val="21"/>
          <w:highlight w:val="none"/>
          <w:lang w:val="en-US" w:eastAsia="zh-CN" w:bidi="ar-SA"/>
        </w:rPr>
        <w:tab/>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配备服务人员中具有食品安全员证书，得4分。配备服务人员中具有专业检测人员的，得4分。提供以上人员证书扫描件，未提供或提供不全不得分。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4、投标人配备菜品农残检测设备的得5分。提供购置发票及相应设备图片，租赁的还需提供租赁合同扫描件，未提供或提供不全不得分。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5、投标人购买《食品经营安全责任险》（或承诺中标后购买）保额100万及以上的得5分，否则不得分。提供保险单扫描件或承诺书加盖公章，不提供不得分。</w:t>
      </w:r>
      <w:r/>
    </w:p>
    <w:p>
      <w:pPr>
        <w:ind w:left="0"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6、投标单位自2023年05月01日</w:t>
      </w:r>
      <w:r>
        <w:rPr>
          <w:rFonts w:hint="eastAsia" w:ascii="宋体" w:hAnsi="宋体" w:eastAsia="宋体" w:cs="宋体"/>
          <w:bCs/>
          <w:color w:val="auto"/>
          <w:sz w:val="21"/>
          <w:szCs w:val="21"/>
          <w:highlight w:val="none"/>
          <w:lang w:val="zh-CN" w:eastAsia="zh-CN" w:bidi="ar-SA"/>
        </w:rPr>
        <w:t xml:space="preserve">（</w:t>
      </w:r>
      <w:r>
        <w:rPr>
          <w:rFonts w:hint="eastAsia" w:ascii="宋体" w:hAnsi="宋体" w:eastAsia="宋体" w:cs="宋体"/>
          <w:bCs/>
          <w:color w:val="auto"/>
          <w:sz w:val="21"/>
          <w:szCs w:val="21"/>
          <w:highlight w:val="none"/>
          <w:lang w:val="en-US" w:eastAsia="zh-CN" w:bidi="ar-SA"/>
        </w:rPr>
        <w:t xml:space="preserve">以合同签订时间为准</w:t>
      </w:r>
      <w:r>
        <w:rPr>
          <w:rFonts w:hint="eastAsia" w:ascii="宋体" w:hAnsi="宋体" w:eastAsia="宋体" w:cs="宋体"/>
          <w:bCs/>
          <w:color w:val="auto"/>
          <w:sz w:val="21"/>
          <w:szCs w:val="21"/>
          <w:highlight w:val="none"/>
          <w:lang w:val="zh-CN" w:eastAsia="zh-CN" w:bidi="ar-SA"/>
        </w:rPr>
        <w:t xml:space="preserve">）</w:t>
      </w:r>
      <w:r>
        <w:rPr>
          <w:rFonts w:hint="eastAsia" w:ascii="宋体" w:hAnsi="宋体" w:eastAsia="宋体" w:cs="宋体"/>
          <w:bCs/>
          <w:color w:val="auto"/>
          <w:sz w:val="21"/>
          <w:szCs w:val="21"/>
          <w:highlight w:val="none"/>
          <w:lang w:val="en-US" w:eastAsia="zh-CN" w:bidi="ar-SA"/>
        </w:rPr>
        <w:t xml:space="preserve">至今具有食堂食材配送类似业绩的，每有一个得5分，最高得15分。提供服务合同及至少一个月的结算发票扫描件加盖公章，不提供不得分。</w:t>
      </w:r>
      <w:r/>
    </w:p>
    <w:p>
      <w:pP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1、报价要求、付款步骤、服务期限如有负偏离的不得中标。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3、所有要求提供的扫描件字迹须清晰可见，扫描不全或字迹不清晰的，视为未提供。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4、防止虚假应标，采购人保留调查的权利，并由此引发的一切调查与诉讼费用由投标人承担。</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rPr>
          <w:rFonts w:hint="eastAsia" w:ascii="宋体" w:hAnsi="宋体" w:eastAsia="宋体" w:cs="宋体"/>
          <w:b/>
          <w:bCs/>
          <w:color w:val="auto"/>
          <w:sz w:val="32"/>
          <w:szCs w:val="32"/>
          <w:highlight w:val="none"/>
        </w:rPr>
        <w:outlineLvl w:val="0"/>
      </w:pPr>
      <w:r/>
      <w:bookmarkStart w:id="14" w:name="_Toc159507039"/>
      <w:r>
        <w:rPr>
          <w:rFonts w:hint="eastAsia" w:ascii="宋体" w:hAnsi="宋体" w:eastAsia="宋体" w:cs="宋体"/>
          <w:b/>
          <w:bCs/>
          <w:color w:val="auto"/>
          <w:sz w:val="32"/>
          <w:szCs w:val="32"/>
          <w:highlight w:val="none"/>
        </w:rPr>
        <w:t xml:space="preserve">第五章 投标文件格式</w:t>
      </w:r>
      <w:bookmarkEnd w:id="14"/>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说明： </w:t>
      </w:r>
      <w:r/>
    </w:p>
    <w:p>
      <w:pPr>
        <w:pStyle w:val="83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1、对本章所有的格式，投标单位可根据自身情况进行补充和修改，但补充和修改不得造成与本格式内容有实质性的违背。</w:t>
      </w:r>
      <w:r/>
    </w:p>
    <w:p>
      <w:pPr>
        <w:pStyle w:val="83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2、所附表格中要求回答的全部问题和信息都必须正面回答。</w:t>
      </w:r>
      <w:r/>
    </w:p>
    <w:p>
      <w:pPr>
        <w:pStyle w:val="83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3、本资格声明的签字人应保证全部声明和问题的回答是真实的和准确的。</w:t>
      </w:r>
      <w:r/>
    </w:p>
    <w:p>
      <w:pPr>
        <w:pStyle w:val="83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4、投标人提交的材料将被保密保存，但不退还。</w:t>
      </w:r>
      <w:r/>
    </w:p>
    <w:p>
      <w:pPr>
        <w:pStyle w:val="83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5、全部文件应按投标人须知中规定的语言和份数提交。</w:t>
      </w:r>
      <w:r/>
    </w:p>
    <w:p>
      <w:pPr>
        <w:pStyle w:val="836"/>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b/>
          <w:bCs/>
          <w:color w:val="auto"/>
          <w:sz w:val="44"/>
          <w:szCs w:val="44"/>
          <w:highlight w:val="none"/>
        </w:rPr>
      </w:pPr>
      <w:r/>
      <w:bookmarkStart w:id="15" w:name="_Toc322442932"/>
      <w:r/>
      <w:bookmarkStart w:id="16" w:name="_Toc430265233"/>
      <w:r/>
      <w:bookmarkStart w:id="17" w:name="_Toc405288080"/>
      <w:r/>
      <w:bookmarkStart w:id="18" w:name="_Toc467507054"/>
      <w:r/>
      <w:bookmarkStart w:id="19" w:name="_Toc467507044"/>
      <w:r>
        <w:rPr>
          <w:rFonts w:hint="eastAsia" w:ascii="宋体" w:hAnsi="宋体" w:eastAsia="宋体" w:cs="宋体"/>
          <w:b/>
          <w:bCs/>
          <w:color w:val="auto"/>
          <w:sz w:val="32"/>
          <w:szCs w:val="32"/>
          <w:highlight w:val="none"/>
        </w:rPr>
        <w:t xml:space="preserve">封 面 ：</w:t>
      </w:r>
      <w:r>
        <w:rPr>
          <w:rFonts w:hint="eastAsia" w:ascii="宋体" w:hAnsi="宋体" w:eastAsia="宋体" w:cs="宋体"/>
          <w:b/>
          <w:bCs/>
          <w:color w:val="auto"/>
          <w:sz w:val="44"/>
          <w:szCs w:val="44"/>
          <w:highlight w:val="none"/>
        </w:rPr>
        <w:t xml:space="preserve">                          </w:t>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center"/>
        <w:spacing w:before="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 xml:space="preserve">采购单位：</w:t>
      </w:r>
      <w:r>
        <w:rPr>
          <w:rFonts w:hint="eastAsia" w:hAnsi="宋体" w:cs="宋体"/>
          <w:color w:val="auto"/>
          <w:sz w:val="32"/>
          <w:szCs w:val="32"/>
          <w:highlight w:val="none"/>
          <w:lang w:eastAsia="zh-CN"/>
        </w:rPr>
        <w:t xml:space="preserve">太仓市浮桥镇人民政府</w:t>
      </w:r>
      <w:r/>
    </w:p>
    <w:p>
      <w:pPr>
        <w:pStyle w:val="836"/>
        <w:ind w:left="0"/>
        <w:jc w:val="both"/>
        <w:spacing w:before="0" w:line="360" w:lineRule="auto"/>
        <w:rPr>
          <w:rFonts w:hint="eastAsia" w:hAnsi="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项目名称：</w:t>
      </w:r>
      <w:r>
        <w:rPr>
          <w:rFonts w:hint="eastAsia" w:hAnsi="宋体" w:cs="宋体"/>
          <w:color w:val="auto"/>
          <w:sz w:val="32"/>
          <w:szCs w:val="32"/>
          <w:highlight w:val="none"/>
          <w:lang w:eastAsia="zh-CN"/>
        </w:rPr>
        <w:t xml:space="preserve">太仓市港区政府专职消防救援队2026年食材配送服务</w:t>
      </w:r>
      <w:r/>
    </w:p>
    <w:p>
      <w:pPr>
        <w:pStyle w:val="836"/>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 xml:space="preserve">项目编号：</w:t>
      </w:r>
      <w:r>
        <w:rPr>
          <w:rFonts w:hint="eastAsia" w:hAnsi="宋体" w:cs="宋体"/>
          <w:color w:val="auto"/>
          <w:sz w:val="32"/>
          <w:szCs w:val="32"/>
          <w:highlight w:val="none"/>
          <w:lang w:eastAsia="zh-CN"/>
        </w:rPr>
        <w:t xml:space="preserve">JSZC-320585-TCZX-G2026-0006</w:t>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w:t>
      </w:r>
      <w:r>
        <w:rPr>
          <w:rFonts w:hint="eastAsia" w:ascii="宋体" w:hAnsi="宋体" w:eastAsia="宋体" w:cs="宋体"/>
          <w:color w:val="auto"/>
          <w:sz w:val="24"/>
          <w:szCs w:val="24"/>
          <w:highlight w:val="none"/>
        </w:rPr>
        <w:t xml:space="preserve">(盖章)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z w:val="36"/>
          <w:szCs w:val="36"/>
          <w:highlight w:val="none"/>
          <w:u w:val="single"/>
        </w:rPr>
        <w:t xml:space="preserve">                              </w:t>
      </w:r>
      <w:r/>
    </w:p>
    <w:p>
      <w:pPr>
        <w:pStyle w:val="836"/>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 xml:space="preserve">法定代表人或其委托代理人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pacing w:val="101"/>
          <w:sz w:val="36"/>
          <w:szCs w:val="36"/>
          <w:highlight w:val="none"/>
          <w:u w:val="single"/>
        </w:rPr>
        <w:t xml:space="preserve">    </w:t>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36"/>
        <w:ind w:left="0"/>
        <w:jc w:val="center"/>
        <w:spacing w:before="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     年    月    日</w:t>
      </w:r>
      <w:r/>
    </w:p>
    <w:p>
      <w:pPr>
        <w:pStyle w:val="836"/>
        <w:ind w:left="0"/>
        <w:jc w:val="center"/>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1、投标承诺函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投标承诺函</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），经仔细阅读和研究，我们决定参加投标。</w:t>
      </w:r>
      <w:r/>
    </w:p>
    <w:p>
      <w:pPr>
        <w:numPr>
          <w:ilvl w:val="0"/>
          <w:numId w:val="3"/>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我们愿意按照招标文件的一切要求，提供完成该项目的全部内容，我们的投标报价</w:t>
      </w:r>
      <w:r>
        <w:rPr>
          <w:rFonts w:hint="eastAsia" w:ascii="宋体" w:hAnsi="宋体" w:eastAsia="宋体" w:cs="宋体"/>
          <w:color w:val="auto"/>
          <w:sz w:val="21"/>
          <w:szCs w:val="21"/>
          <w:highlight w:val="none"/>
        </w:rPr>
        <w:t xml:space="preserve">包括承包期内</w:t>
      </w:r>
      <w:r>
        <w:rPr>
          <w:rFonts w:hint="eastAsia" w:hAnsi="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餐费、服务费和管理费、各种食堂耗材、食材、调味品、一次性打包盒、餐具、餐巾纸、洗涤用品、水费、电费、燃气费、利润、工资、税金、风险及政策性文件规定等的各项费用以及中标方为其工作人员支付的工资、福利、各类补贴、保险费、交通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2、如果我们的投标书被接受，我们将严格履行招标文件中规定的每一项要求，按期、按质、按量履行合同的义务。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3、我们已详细审查全部招标文件，包括补充文件(更正公告)(如有)。我们完全理解并同意放弃对这方面有不明及误解的权力。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4、我们同意按招标文件中的规定，本投标书的有效期限为投标截止日起90天。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5、我们愿意提供采购人或采购代理机构在招标文件中要求的所有资料。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6、我们声明：我们在参加本次政府采购活动前3年内在经营活动中没有重大违法记录。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7、我们愿意遵守招标公告及招标文件中所列的收费标准。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8、我们承诺该项投标在开标后的全过程中保持有效，不作任何更改和变动。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9、如果我们中标，我们愿意按招标文件的规定支付代理服务费；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10、我们承诺我公司符合招标文件投标人须知中“合格投标人的资格条件”的要求，若与真实情况不符，本公司愿意承担由此而产生的一切后果。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11、我们承诺我公司中标后，合同部分或全部不予转包。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12、综合说明：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（1）伴随服务及配合措施；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（2）要求甲方</w:t>
      </w:r>
      <w:r>
        <w:rPr>
          <w:rFonts w:hint="eastAsia" w:hAnsi="宋体" w:cs="宋体"/>
          <w:color w:val="auto"/>
          <w:sz w:val="21"/>
          <w:szCs w:val="21"/>
          <w:highlight w:val="none"/>
          <w:lang w:eastAsia="zh-CN"/>
        </w:rPr>
        <w:t xml:space="preserve">提供的</w:t>
      </w:r>
      <w:r>
        <w:rPr>
          <w:rFonts w:hint="eastAsia" w:ascii="宋体" w:hAnsi="宋体" w:eastAsia="宋体" w:cs="宋体"/>
          <w:color w:val="auto"/>
          <w:sz w:val="21"/>
          <w:szCs w:val="21"/>
          <w:highlight w:val="none"/>
        </w:rPr>
        <w:t xml:space="preserve">配合；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（3）对招标文件有不同意见的偏离说明；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电子邮箱：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bookmarkStart w:id="20" w:name="OLE_LINK22"/>
      <w:r>
        <w:rPr>
          <w:rFonts w:hint="eastAsia" w:ascii="宋体" w:hAnsi="宋体" w:eastAsia="宋体" w:cs="宋体"/>
          <w:color w:val="auto"/>
          <w:sz w:val="21"/>
          <w:szCs w:val="21"/>
          <w:highlight w:val="none"/>
        </w:rPr>
        <w:t xml:space="preserve">授权委托书</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投标日期：年   月   日</w:t>
      </w:r>
      <w:bookmarkEnd w:id="20"/>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2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开标一览表</w:t>
      </w:r>
      <w:r/>
    </w:p>
    <w:p>
      <w:pPr>
        <w:jc w:val="both"/>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w:t>
      </w:r>
      <w:r>
        <w:rPr>
          <w:rFonts w:hint="eastAsia" w:ascii="宋体" w:hAnsi="宋体" w:eastAsia="宋体" w:cs="宋体"/>
          <w:sz w:val="21"/>
          <w:szCs w:val="21"/>
        </w:rPr>
        <w:t xml:space="preserve">编号</w:t>
      </w:r>
      <w:r>
        <w:rPr>
          <w:rFonts w:hint="eastAsia" w:ascii="宋体" w:hAnsi="宋体" w:eastAsia="宋体" w:cs="宋体"/>
          <w:sz w:val="21"/>
          <w:szCs w:val="21"/>
          <w:lang w:eastAsia="zh-CN"/>
        </w:rPr>
        <w:t xml:space="preserve">：</w:t>
      </w:r>
      <w:r/>
    </w:p>
    <w:tbl>
      <w:tblPr>
        <w:tblStyle w:val="828"/>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6463" w:type="dxa"/>
            <w:vAlign w:val="center"/>
            <w:textDirection w:val="lrTb"/>
            <w:noWrap w:val="false"/>
          </w:tcPr>
          <w:p>
            <w:pPr>
              <w:jc w:val="both"/>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073"/>
        </w:trPr>
        <w:tc>
          <w:tcPr>
            <w:tcW w:w="2613"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投标优惠率</w:t>
            </w:r>
            <w:r/>
          </w:p>
        </w:tc>
        <w:tc>
          <w:tcPr>
            <w:tcW w:w="6463" w:type="dxa"/>
            <w:vAlign w:val="center"/>
            <w:textDirection w:val="lrTb"/>
            <w:noWrap w:val="false"/>
          </w:tcPr>
          <w:p>
            <w:pPr>
              <w:jc w:val="both"/>
              <w:spacing w:line="32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注：</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本项目</w:t>
      </w:r>
      <w:r>
        <w:rPr>
          <w:rFonts w:hint="eastAsia" w:ascii="宋体" w:hAnsi="宋体" w:eastAsia="宋体" w:cs="宋体"/>
          <w:b/>
          <w:color w:val="auto"/>
          <w:sz w:val="21"/>
          <w:szCs w:val="21"/>
          <w:highlight w:val="none"/>
          <w:lang w:val="en-US" w:eastAsia="zh-CN"/>
        </w:rPr>
        <w:t xml:space="preserve">采用固定</w:t>
      </w:r>
      <w:r>
        <w:rPr>
          <w:rFonts w:hint="eastAsia" w:ascii="宋体" w:hAnsi="宋体" w:eastAsia="宋体" w:cs="宋体"/>
          <w:b/>
          <w:color w:val="auto"/>
          <w:sz w:val="21"/>
          <w:szCs w:val="21"/>
          <w:highlight w:val="none"/>
        </w:rPr>
        <w:t xml:space="preserve">优惠率</w:t>
      </w:r>
      <w:r>
        <w:rPr>
          <w:rFonts w:hint="eastAsia" w:ascii="宋体" w:hAnsi="宋体" w:eastAsia="宋体" w:cs="宋体"/>
          <w:b/>
          <w:color w:val="auto"/>
          <w:sz w:val="21"/>
          <w:szCs w:val="21"/>
          <w:highlight w:val="none"/>
          <w:lang w:val="en-US" w:eastAsia="zh-CN"/>
        </w:rPr>
        <w:t xml:space="preserve">报价（优惠率即为折扣率），</w:t>
      </w:r>
      <w:r>
        <w:rPr>
          <w:rFonts w:hint="eastAsia" w:ascii="宋体" w:hAnsi="宋体" w:eastAsia="宋体" w:cs="宋体"/>
          <w:b/>
          <w:bCs/>
          <w:color w:val="auto"/>
          <w:sz w:val="21"/>
          <w:szCs w:val="21"/>
          <w:highlight w:val="none"/>
          <w:lang w:val="en-US" w:eastAsia="zh-CN"/>
        </w:rPr>
        <w:t xml:space="preserve">报价保留2位小数</w:t>
      </w:r>
      <w:r>
        <w:rPr>
          <w:rFonts w:hint="eastAsia" w:ascii="宋体" w:hAnsi="宋体" w:eastAsia="宋体" w:cs="宋体"/>
          <w:b/>
          <w:color w:val="auto"/>
          <w:sz w:val="21"/>
          <w:szCs w:val="21"/>
          <w:highlight w:val="none"/>
          <w:lang w:val="en-US" w:eastAsia="zh-CN"/>
        </w:rPr>
        <w:t xml:space="preserve">，当 0≤投标优惠率≤100%，为有效投标报价，否则视为未实质性响应文件，不参与评审。</w:t>
      </w:r>
      <w:r/>
    </w:p>
    <w:p>
      <w:pPr>
        <w:ind w:firstLine="420"/>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以</w:t>
      </w:r>
      <w:r>
        <w:rPr>
          <w:rFonts w:hint="eastAsia" w:ascii="宋体" w:hAnsi="宋体" w:eastAsia="宋体" w:cs="宋体"/>
          <w:b/>
          <w:bCs/>
          <w:color w:val="auto"/>
          <w:sz w:val="21"/>
          <w:szCs w:val="21"/>
          <w:highlight w:val="none"/>
          <w:lang w:eastAsia="zh-CN"/>
        </w:rPr>
        <w:t xml:space="preserve">太仓市娄东民生（http://122.193.93.203:8088/）公布的中心菜场当天价格</w:t>
      </w:r>
      <w:r>
        <w:rPr>
          <w:rFonts w:hint="eastAsia" w:ascii="宋体" w:hAnsi="宋体" w:eastAsia="宋体" w:cs="宋体"/>
          <w:b/>
          <w:bCs/>
          <w:color w:val="auto"/>
          <w:sz w:val="21"/>
          <w:szCs w:val="21"/>
          <w:highlight w:val="none"/>
          <w:lang w:val="en-US" w:eastAsia="zh-CN"/>
        </w:rPr>
        <w:t xml:space="preserve">为基准，填报优惠率。所报优惠率值越低，则表示投标报价越低。</w:t>
      </w:r>
      <w:r/>
    </w:p>
    <w:p>
      <w:pPr>
        <w:ind w:firstLine="210"/>
        <w:jc w:val="both"/>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应对所投项目的全部内容进行报价，只投其中部分内容者，其标书将被拒绝。</w:t>
      </w:r>
      <w:r/>
    </w:p>
    <w:p>
      <w:pPr>
        <w:ind w:firstLine="210"/>
        <w:jc w:val="both"/>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投标人：（公章）</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法定代表人或代理人：（签字或盖章）</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日期：年月日</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pStyle w:val="82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参加政府采购活动前三年内，在经营活动中没有重大违法记录声明</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（投标单位名称）         </w:t>
      </w:r>
      <w:r>
        <w:rPr>
          <w:rFonts w:hint="eastAsia" w:ascii="宋体" w:hAnsi="宋体" w:eastAsia="宋体" w:cs="宋体"/>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  </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投标单位情况表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28"/>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0"/>
        <w:gridCol w:w="1920"/>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361"/>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29"/>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ind w:firstLine="84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r>
      <w:tr>
        <w:trPr>
          <w:cantSplit/>
          <w:trHeight w:val="374"/>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348"/>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4"/>
          <w:szCs w:val="24"/>
          <w:highlight w:val="none"/>
        </w:rPr>
      </w:pPr>
      <w:r/>
      <w:bookmarkStart w:id="21" w:name="_Hlk150944067"/>
      <w:r/>
      <w:bookmarkEnd w:id="21"/>
      <w:r>
        <w:rPr>
          <w:rFonts w:hint="eastAsia" w:ascii="宋体" w:hAnsi="宋体" w:eastAsia="宋体" w:cs="宋体"/>
          <w:b/>
          <w:bCs/>
          <w:color w:val="auto"/>
          <w:sz w:val="24"/>
          <w:szCs w:val="24"/>
          <w:highlight w:val="none"/>
        </w:rPr>
        <w:t xml:space="preserve">7、服务(技术)要求偏离表</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2" w:name="OLE_LINK25"/>
      <w:r>
        <w:rPr>
          <w:rFonts w:hint="eastAsia" w:ascii="宋体" w:hAnsi="宋体" w:eastAsia="宋体" w:cs="宋体"/>
          <w:color w:val="auto"/>
          <w:sz w:val="21"/>
          <w:szCs w:val="21"/>
          <w:highlight w:val="none"/>
        </w:rPr>
        <w:t xml:space="preserve">服务(技术)要求偏离表</w:t>
      </w:r>
      <w:r/>
    </w:p>
    <w:tbl>
      <w:tblPr>
        <w:tblStyle w:val="828"/>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bookmarkEnd w:id="22"/>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8、商务偏离表</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3" w:name="OLE_LINK23"/>
      <w:r/>
      <w:bookmarkStart w:id="24" w:name="OLE_LINK24"/>
      <w:r>
        <w:rPr>
          <w:rFonts w:hint="eastAsia" w:ascii="宋体" w:hAnsi="宋体" w:eastAsia="宋体" w:cs="宋体"/>
          <w:color w:val="auto"/>
          <w:sz w:val="21"/>
          <w:szCs w:val="21"/>
          <w:highlight w:val="none"/>
        </w:rPr>
        <w:t xml:space="preserve">商务条款偏离表</w:t>
      </w:r>
      <w:r/>
    </w:p>
    <w:tbl>
      <w:tblPr>
        <w:tblStyle w:val="82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w:t>
      </w:r>
      <w:bookmarkEnd w:id="23"/>
      <w:r/>
      <w:bookmarkEnd w:id="24"/>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4"/>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4"/>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企业类似业绩一览表</w:t>
      </w:r>
      <w:r/>
    </w:p>
    <w:tbl>
      <w:tblPr>
        <w:tblStyle w:val="828"/>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62"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0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附：1.根据招标文件及评分标书填写，并附相关证明文件；2、表格不够填写可添加。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拟投入本项目的专业技术（服务）人员情况一览表</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采购项目名称：                                 采购项目编号：</w:t>
      </w:r>
      <w:r/>
    </w:p>
    <w:tbl>
      <w:tblPr>
        <w:tblStyle w:val="828"/>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w:t>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附：按照招标文件要求提供相应证明材料。</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11、中小企业声明函</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中小企业声明函（服务）</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hAnsi="宋体" w:cs="宋体"/>
          <w:color w:val="auto"/>
          <w:sz w:val="21"/>
          <w:szCs w:val="21"/>
          <w:highlight w:val="none"/>
          <w:u w:val="single"/>
          <w:lang w:eastAsia="zh-CN"/>
        </w:rPr>
        <w:t xml:space="preserve">太仓市港区政府专职消防救援队2026年食材配送服务</w:t>
      </w:r>
      <w:r>
        <w:rPr>
          <w:rFonts w:hint="eastAsia" w:ascii="宋体" w:hAnsi="宋体" w:eastAsia="宋体" w:cs="宋体"/>
          <w:color w:val="auto"/>
          <w:sz w:val="21"/>
          <w:szCs w:val="21"/>
          <w:highlight w:val="none"/>
          <w:u w:val="single"/>
          <w:lang w:eastAsia="zh-CN"/>
        </w:rPr>
        <w:t xml:space="preserve">项目</w:t>
      </w:r>
      <w:r>
        <w:rPr>
          <w:rFonts w:hint="eastAsia" w:ascii="宋体" w:hAnsi="宋体" w:eastAsia="宋体" w:cs="宋体"/>
          <w:color w:val="auto"/>
          <w:sz w:val="21"/>
          <w:szCs w:val="21"/>
          <w:highlight w:val="none"/>
        </w:rPr>
        <w:t xml:space="preserve">，属于</w:t>
      </w:r>
      <w:r>
        <w:rPr>
          <w:rFonts w:hint="eastAsia" w:hAnsi="宋体" w:cs="宋体"/>
          <w:color w:val="auto"/>
          <w:sz w:val="21"/>
          <w:szCs w:val="21"/>
          <w:highlight w:val="none"/>
          <w:u w:val="single"/>
          <w:lang w:val="en-US" w:eastAsia="zh-CN"/>
        </w:rPr>
        <w:t xml:space="preserve">（四）批发业 </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（人数）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（金额）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（金额）</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中型企业/小型企业/微型企业，三选一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rPr>
          <w:rFonts w:hint="eastAsia" w:ascii="宋体" w:hAnsi="宋体" w:eastAsia="宋体" w:cs="宋体"/>
          <w:color w:val="auto"/>
          <w:sz w:val="21"/>
          <w:szCs w:val="21"/>
          <w:highlight w:val="none"/>
        </w:rPr>
        <w:t xml:space="preserve">1、中小企业参加政府采购活动，应当出具《中小企业声明函》，否则不得享受相关中小企业扶持政策。</w:t>
      </w:r>
      <w:r/>
    </w:p>
    <w:p>
      <w:pPr>
        <w:pStyle w:val="857"/>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2、中标、中标供应商受规定的中小企业扶持政策的，《中小企业声明函》应当随中标、成交结果同时公告，接受社会监督。</w:t>
      </w:r>
      <w:r/>
    </w:p>
    <w:p>
      <w:pPr>
        <w:pStyle w:val="857"/>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3、投标单位提供声明函内容不实的，属于提供虚假材料谋取中标、 成交， 依照《中华人民共和国政府采购法》 等国家有关规定追究相应责任。</w:t>
      </w:r>
      <w:r/>
    </w:p>
    <w:p>
      <w:pPr>
        <w:pStyle w:val="857"/>
        <w:ind w:firstLine="63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4、在服务采购项目中，服务由中小企业承接，即提供服务的人员为中小企业依照《中华人民共和国劳动合同法》订立劳动合同的从业人员。</w:t>
      </w:r>
      <w:r/>
    </w:p>
    <w:p>
      <w:pPr>
        <w:pStyle w:val="836"/>
        <w:ind w:left="0"/>
        <w:jc w:val="both"/>
        <w:spacing w:before="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12、残疾人福利性单位声明函</w:t>
      </w:r>
      <w:r/>
    </w:p>
    <w:p>
      <w:pPr>
        <w:pStyle w:val="83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5"/>
      <w:r/>
      <w:bookmarkEnd w:id="16"/>
      <w:r/>
      <w:bookmarkEnd w:id="17"/>
      <w:r/>
      <w:bookmarkEnd w:id="18"/>
      <w:r/>
      <w:bookmarkEnd w:id="19"/>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hAnsi="宋体" w:cs="宋体"/>
          <w:sz w:val="24"/>
          <w:szCs w:val="24"/>
          <w:lang w:val="en-US" w:eastAsia="zh-CN"/>
        </w:rPr>
        <w:t xml:space="preserve">13</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各政府采购供应商：</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欢迎贵公司参加苏州市政府采购活动！</w:t>
      </w:r>
      <w:r/>
    </w:p>
    <w:p>
      <w:pPr>
        <w:ind w:firstLine="420"/>
        <w:spacing w:line="360" w:lineRule="auto"/>
        <w:rPr>
          <w:rFonts w:hint="eastAsia" w:ascii="宋体" w:hAnsi="宋体" w:eastAsia="宋体" w:cs="宋体"/>
          <w:spacing w:val="6"/>
          <w:sz w:val="21"/>
          <w:szCs w:val="21"/>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1"/>
          <w:szCs w:val="21"/>
          <w:highlight w:val="none"/>
          <w:lang w:eastAsia="zh-CN"/>
        </w:rPr>
        <w:t xml:space="preserve">〔2021〕</w:t>
      </w:r>
      <w:r>
        <w:rPr>
          <w:rFonts w:hint="eastAsia" w:ascii="宋体" w:hAnsi="宋体" w:eastAsia="宋体" w:cs="宋体"/>
          <w:sz w:val="21"/>
          <w:szCs w:val="21"/>
          <w:highlight w:val="none"/>
        </w:rPr>
        <w:t xml:space="preserve">82号）及苏州市财政局、人民银行苏州市分行相关文件要求，按照双方自愿的原则提供便捷、优惠的贷款服务。</w:t>
      </w:r>
      <w:r/>
    </w:p>
    <w:p>
      <w:pPr>
        <w:jc w:val="center"/>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bCs/>
          <w:color w:val="auto"/>
          <w:sz w:val="32"/>
          <w:szCs w:val="32"/>
          <w:highlight w:val="none"/>
        </w:rPr>
        <w:t xml:space="preserve">第</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w:t>
      </w:r>
      <w:r>
        <w:rPr>
          <w:rFonts w:hint="eastAsia" w:hAnsi="宋体" w:cs="宋体"/>
          <w:b/>
          <w:bCs/>
          <w:color w:val="auto"/>
          <w:sz w:val="32"/>
          <w:szCs w:val="32"/>
          <w:highlight w:val="none"/>
          <w:lang w:val="en-US" w:eastAsia="zh-CN"/>
        </w:rPr>
        <w:t xml:space="preserve">采购合同</w:t>
      </w:r>
      <w:r/>
    </w:p>
    <w:p>
      <w:pPr>
        <w:ind w:left="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采购方（以下称甲方）:</w:t>
      </w:r>
      <w:r/>
    </w:p>
    <w:p>
      <w:pPr>
        <w:ind w:left="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供应商（以下称乙方）:</w:t>
      </w:r>
      <w:r>
        <w:rPr>
          <w:rFonts w:hint="eastAsia" w:ascii="宋体" w:hAnsi="宋体" w:eastAsia="宋体" w:cs="宋体"/>
          <w:sz w:val="21"/>
          <w:szCs w:val="21"/>
          <w:lang w:val="en-US" w:eastAsia="zh-CN" w:bidi="ar-SA"/>
        </w:rPr>
        <w:tab/>
      </w:r>
      <w:r/>
    </w:p>
    <w:p>
      <w:pPr>
        <w:ind w:left="0" w:firstLine="48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根据《中华人民共和国政府采购法》、《中华人民共和国民法典》等法律法规的规定，甲乙双方按照</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（编号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）的采购结果签订本合同。</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第一条 合同内容</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甲方聘请乙方提供以下服务：</w:t>
      </w:r>
      <w:r/>
    </w:p>
    <w:p>
      <w:pPr>
        <w:ind w:firstLine="480"/>
        <w:jc w:val="both"/>
        <w:spacing w:line="480" w:lineRule="auto"/>
        <w:widowControl w:val="off"/>
        <w:rPr>
          <w:rFonts w:hint="eastAsia" w:ascii="宋体" w:hAnsi="宋体" w:eastAsia="宋体" w:cs="宋体"/>
          <w:sz w:val="21"/>
          <w:szCs w:val="21"/>
          <w:lang w:val="en-US" w:eastAsia="zh-TW"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本合同项下的服务指：</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2、服务内容：</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CN" w:eastAsia="zh-TW" w:bidi="ar-SA"/>
        </w:rPr>
        <w:t xml:space="preserve">、服务</w:t>
      </w:r>
      <w:r>
        <w:rPr>
          <w:rFonts w:hint="eastAsia" w:ascii="宋体" w:hAnsi="宋体" w:eastAsia="宋体" w:cs="宋体"/>
          <w:sz w:val="21"/>
          <w:szCs w:val="21"/>
          <w:lang w:val="en-US" w:eastAsia="zh-CN" w:bidi="ar-SA"/>
        </w:rPr>
        <w:t xml:space="preserve">要求</w:t>
      </w:r>
      <w:r>
        <w:rPr>
          <w:rFonts w:hint="eastAsia" w:ascii="宋体" w:hAnsi="宋体" w:eastAsia="宋体" w:cs="宋体"/>
          <w:sz w:val="21"/>
          <w:szCs w:val="21"/>
          <w:lang w:val="zh-CN" w:eastAsia="zh-TW" w:bidi="ar-SA"/>
        </w:rPr>
        <w:t xml:space="preserve">：</w:t>
      </w:r>
      <w:r/>
    </w:p>
    <w:p>
      <w:pPr>
        <w:ind w:firstLine="480"/>
        <w:jc w:val="both"/>
        <w:spacing w:line="48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zh-CN" w:eastAsia="zh-TW" w:bidi="ar-SA"/>
        </w:rPr>
        <w:t xml:space="preserve">、服务时间：</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第二条 组成本合同的有关文件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下列与本次采购活动有关的文件及有关附件是本合同不可分割的组成部分，与本合同具有同等法律效力，这些文件包括但不限于：</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1、招标采购文件（编号：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2、乙方提供的投标文件和投标报价表；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3、乙方在投标过程中所作的其他承诺、声明、书面澄清等；</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4、中标通知书；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5、甲乙双方商定的其他文件等。</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第三条 合同总价款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合同价格：配送产品单价按娄东民生发布的太仓市中心菜场当天价格的</w:t>
      </w:r>
      <w:r>
        <w:rPr>
          <w:rFonts w:hint="eastAsia" w:ascii="宋体" w:hAnsi="宋体" w:eastAsia="宋体" w:cs="宋体"/>
          <w:strike w:val="0"/>
          <w:sz w:val="21"/>
          <w:szCs w:val="21"/>
          <w:u w:val="single"/>
          <w:lang w:val="zh-CN" w:eastAsia="zh-TW" w:bidi="ar-SA"/>
        </w:rPr>
        <w:t xml:space="preserve">    </w:t>
      </w:r>
      <w:r>
        <w:rPr>
          <w:rFonts w:hint="eastAsia" w:ascii="宋体" w:hAnsi="宋体" w:eastAsia="宋体" w:cs="宋体"/>
          <w:sz w:val="21"/>
          <w:szCs w:val="21"/>
          <w:lang w:val="zh-CN" w:eastAsia="zh-TW" w:bidi="ar-SA"/>
        </w:rPr>
        <w:t xml:space="preserve">%，数量按实际发生结算。</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未公布当天价格的按上一日价格乘以中标折扣率作为与采购人的结算。</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若太仓市娄东民生公布的中心菜场当天价格中未包含供货产品的价格，按照中心菜场的市场平均价结算。</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第四条 合同款支付</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1、本合同项下所有款项均以人民币支付。</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2、本合同项下的采购资金由甲方自行支付，乙方向甲方开具发票。</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3、根据现行税法对乙方征收的与本合同有关的一切税费均由乙方承担。</w:t>
      </w:r>
      <w:r/>
    </w:p>
    <w:p>
      <w:pPr>
        <w:ind w:firstLine="480"/>
        <w:jc w:val="both"/>
        <w:spacing w:line="48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zh-CN" w:eastAsia="zh-TW" w:bidi="ar-SA"/>
        </w:rPr>
        <w:t xml:space="preserve">4、付款</w:t>
      </w:r>
      <w:r>
        <w:rPr>
          <w:rFonts w:hint="eastAsia" w:ascii="宋体" w:hAnsi="宋体" w:eastAsia="宋体" w:cs="宋体"/>
          <w:sz w:val="21"/>
          <w:szCs w:val="21"/>
          <w:lang w:val="en-US" w:eastAsia="zh-CN" w:bidi="ar-SA"/>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采购合同签订后，支付合同金额的10%作为预付款，常规服务费按半年度(六个月)结算并支付。</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在签订合同时，乙方明确表示无需預付款或主动要求降低预付款比例的，甲方可不适用前述规定。</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方式：每月10号前中标单位向采购人出具对账单，按太仓市娄东民生（http://122.193.93.203:8088/）公布的中心菜场当天价格乘以中标折扣率的单价按实结算；未公布当天价格的按上一日价格乘以中标折扣率的单价按实结算，结算费用按月度考核分数扣除相应罚款，具体扣款详见采购需求。</w:t>
      </w:r>
      <w:r/>
      <w:r>
        <w:rPr>
          <w:rFonts w:hint="eastAsia" w:ascii="宋体" w:hAnsi="宋体" w:eastAsia="宋体" w:cs="宋体"/>
          <w:sz w:val="21"/>
          <w:szCs w:val="21"/>
          <w:highlight w:val="none"/>
          <w:lang w:val="en-US" w:eastAsia="zh-CN" w:bidi="ar-SA"/>
        </w:rPr>
      </w:r>
      <w:r>
        <w:rPr>
          <w:rFonts w:hint="eastAsia" w:ascii="宋体" w:hAnsi="宋体" w:eastAsia="宋体" w:cs="宋体"/>
          <w:sz w:val="21"/>
          <w:szCs w:val="21"/>
          <w:highlight w:val="none"/>
          <w:lang w:val="en-US" w:eastAsia="zh-CN" w:bidi="ar-SA"/>
        </w:rPr>
      </w:r>
      <w:r>
        <w:rPr>
          <w:rFonts w:ascii="SimSun" w:hAnsi="SimSun" w:eastAsia="SimSun" w:cs="SimSun"/>
          <w:sz w:val="22"/>
        </w:rP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第五条 甲、乙双方权利义务</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w:t>
      </w:r>
      <w:r>
        <w:rPr>
          <w:rFonts w:hint="eastAsia" w:ascii="宋体" w:hAnsi="宋体" w:eastAsia="宋体" w:cs="宋体"/>
          <w:sz w:val="21"/>
          <w:szCs w:val="21"/>
          <w:lang w:val="en-US" w:eastAsia="zh-CN" w:bidi="ar-SA"/>
        </w:rPr>
        <w:t xml:space="preserve">乙方</w:t>
      </w:r>
      <w:r>
        <w:rPr>
          <w:rFonts w:hint="eastAsia" w:ascii="宋体" w:hAnsi="宋体" w:eastAsia="宋体" w:cs="宋体"/>
          <w:sz w:val="21"/>
          <w:szCs w:val="21"/>
          <w:lang w:val="zh-CN" w:eastAsia="zh-TW" w:bidi="ar-SA"/>
        </w:rPr>
        <w:t xml:space="preserve">必须具有有效期内的《</w:t>
      </w:r>
      <w:r>
        <w:rPr>
          <w:rFonts w:hint="eastAsia" w:ascii="宋体" w:hAnsi="宋体" w:eastAsia="宋体" w:cs="宋体"/>
          <w:sz w:val="21"/>
          <w:szCs w:val="21"/>
          <w:lang w:val="zh-CN" w:eastAsia="zh-TW" w:bidi="ar-SA"/>
        </w:rPr>
        <w:fldChar w:fldCharType="begin"/>
      </w:r>
      <w:r>
        <w:rPr>
          <w:rFonts w:hint="eastAsia" w:ascii="宋体" w:hAnsi="宋体" w:eastAsia="宋体" w:cs="宋体"/>
          <w:sz w:val="21"/>
          <w:szCs w:val="21"/>
          <w:lang w:val="zh-CN" w:eastAsia="zh-TW" w:bidi="ar-SA"/>
        </w:rPr>
        <w:instrText xml:space="preserve"> HYPERLINK "http://www.baidu.com/s?wd=%E9%A3%9F%E5%93%81%E7%BB%8F%E8%90%A5%E8%AE%B8%E5%8F%AF%E8%AF%81&amp;tn=SE_PcZhidaonwhc_ngpagmjz&amp;rsv_dl=gh_pc_zhidao" \t "_blank" </w:instrText>
      </w:r>
      <w:r>
        <w:rPr>
          <w:rFonts w:hint="eastAsia" w:ascii="宋体" w:hAnsi="宋体" w:eastAsia="宋体" w:cs="宋体"/>
          <w:sz w:val="21"/>
          <w:szCs w:val="21"/>
          <w:lang w:val="zh-CN" w:eastAsia="zh-TW" w:bidi="ar-SA"/>
        </w:rPr>
        <w:fldChar w:fldCharType="separate"/>
      </w:r>
      <w:r>
        <w:rPr>
          <w:rFonts w:hint="eastAsia" w:ascii="宋体" w:hAnsi="宋体" w:eastAsia="宋体" w:cs="宋体"/>
          <w:sz w:val="21"/>
          <w:szCs w:val="21"/>
          <w:lang w:val="zh-CN" w:eastAsia="zh-TW" w:bidi="ar-SA"/>
        </w:rPr>
        <w:t xml:space="preserve">食品经营许可证</w:t>
      </w:r>
      <w:r>
        <w:rPr>
          <w:rFonts w:hint="eastAsia" w:ascii="宋体" w:hAnsi="宋体" w:eastAsia="宋体" w:cs="宋体"/>
          <w:sz w:val="21"/>
          <w:szCs w:val="21"/>
          <w:lang w:val="zh-CN" w:eastAsia="zh-TW" w:bidi="ar-SA"/>
        </w:rPr>
        <w:fldChar w:fldCharType="end"/>
      </w:r>
      <w:r>
        <w:rPr>
          <w:rFonts w:hint="eastAsia" w:ascii="宋体" w:hAnsi="宋体" w:eastAsia="宋体" w:cs="宋体"/>
          <w:sz w:val="21"/>
          <w:szCs w:val="21"/>
          <w:lang w:val="zh-CN" w:eastAsia="zh-TW" w:bidi="ar-SA"/>
        </w:rPr>
        <w:t xml:space="preserve">》，工商营业执照以及其他相关证照，且经营状况良好。乙方员工凭健康证上岗，健康证原件经甲方查验后退还，复印件提交甲方留存备案。</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所供食品，必须符合国家规定的食品标准，确保食品品质。如出现配送食品卫生质量不合格，由乙方无条件退货或换货，并向甲方赔偿相应的经济损失，造成严重后果的，乙方应承担全部经济纠纷及法律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甲方在规定的时间内以电子形式将食品需求传达给乙方。乙方必须根据甲方提出的食品、品牌、规格、数量和质量要求送货，不得随意更换食品品牌及规格。乙方应最大努力按双方约定的时间把食品（原材料）配送到位，以确保甲方准时开展工作。</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4、对存在质量问题的食品乙方要主动负责召回，并承担</w:t>
      </w:r>
      <w:r>
        <w:rPr>
          <w:rFonts w:hint="eastAsia" w:ascii="宋体" w:hAnsi="宋体" w:eastAsia="宋体" w:cs="宋体"/>
          <w:sz w:val="21"/>
          <w:szCs w:val="21"/>
          <w:lang w:val="en-US" w:eastAsia="zh-CN" w:bidi="ar-SA"/>
        </w:rPr>
        <w:t xml:space="preserve">甲方</w:t>
      </w:r>
      <w:r>
        <w:rPr>
          <w:rFonts w:hint="eastAsia" w:ascii="宋体" w:hAnsi="宋体" w:eastAsia="宋体" w:cs="宋体"/>
          <w:sz w:val="21"/>
          <w:szCs w:val="21"/>
          <w:lang w:val="zh-CN" w:eastAsia="zh-TW" w:bidi="ar-SA"/>
        </w:rPr>
        <w:t xml:space="preserve">相应的损失。因所供应食品的质量问题引起食物中毒等食源性疾病的发生或其他事故由乙方负全部责任，并承担由此引起的全部经济纠纷及相应的法律责任。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5、甲方食堂所用食品原料全部由乙方供应，甲方在协议期内不得另行采购（零碎配料除外）。如有特殊情况则由</w:t>
      </w:r>
      <w:r>
        <w:rPr>
          <w:rFonts w:hint="eastAsia" w:ascii="宋体" w:hAnsi="宋体" w:eastAsia="宋体" w:cs="宋体"/>
          <w:sz w:val="21"/>
          <w:szCs w:val="21"/>
          <w:lang w:val="en-US" w:eastAsia="zh-CN" w:bidi="ar-SA"/>
        </w:rPr>
        <w:t xml:space="preserve">甲方</w:t>
      </w:r>
      <w:r>
        <w:rPr>
          <w:rFonts w:hint="eastAsia" w:ascii="宋体" w:hAnsi="宋体" w:eastAsia="宋体" w:cs="宋体"/>
          <w:sz w:val="21"/>
          <w:szCs w:val="21"/>
          <w:lang w:val="zh-CN" w:eastAsia="zh-TW" w:bidi="ar-SA"/>
        </w:rPr>
        <w:t xml:space="preserve">自行采购食品。</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6、甲方收到对账单确认无误后由乙方出具发票，在</w:t>
      </w:r>
      <w:r>
        <w:rPr>
          <w:rFonts w:hint="eastAsia" w:ascii="宋体" w:hAnsi="宋体" w:eastAsia="宋体" w:cs="宋体"/>
          <w:sz w:val="21"/>
          <w:szCs w:val="21"/>
          <w:lang w:val="en-US" w:eastAsia="zh-CN" w:bidi="ar-SA"/>
        </w:rPr>
        <w:t xml:space="preserve">合同约定期限</w:t>
      </w:r>
      <w:r>
        <w:rPr>
          <w:rFonts w:hint="eastAsia" w:ascii="宋体" w:hAnsi="宋体" w:eastAsia="宋体" w:cs="宋体"/>
          <w:sz w:val="21"/>
          <w:szCs w:val="21"/>
          <w:lang w:val="zh-CN" w:eastAsia="zh-TW" w:bidi="ar-SA"/>
        </w:rPr>
        <w:t xml:space="preserve">内付清货款，不得拖欠。</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7、乙方向甲方提供供货商资质证明、食品的检验合格证或者检验报告，甲方建立食品索证制度及食品验收制度，做好索证登记工作，对食品安排专人进行验收。加强食品库房管理。</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8、因特殊情况需要临时增加配送食材时，乙方按照甲方要求时限提供配送服务。</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9、春节期间因市场休市等因素无法保障每天配送，乙方需提前告知甲方，双方共同商定配送时间。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10、甲方有权按照乙方提供食品的数量、质量、卫生、新鲜程度及相关检验文件（动物检疫证明、农产品农药残留证明）等进行验收。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11、甲方有权指定乙方在规定时间、地点将配送品种送达，乙方没有按照甲方提出的要求落实，甲方有权拒收、退货且不承担任何责任。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12、甲方有权对不符合标准要求的农副产品作退货处理，乙方在规定时限内补货。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13、乙方在送货过程中出现错送、漏送、少送、多送，甲方有权要求乙方按照甲方提出的要求，立即整改，造成的损失由乙方承担。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14、甲方对乙方提供的发票有权进行真伪检验，如果发现乙方提供假发票，甲方将立即终止与乙方的合作，与当月考核挂钩，扣除相应费用，由此造成的经济损失由乙方全部负责，甲方不承担任何法律责任。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15、甲方有权对乙方配送的农副产品进行农残和质量检测。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16、遇疫情等突发情况，甲方紧急制订相关防控要求，乙方须无条件执行， 拒不执行的，与当月考核挂钩，扣除相应费用，由于乙方不执行相关要求对甲方造成的损失，全部由乙方承担。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17、如乙方因疫情封控等因素或所配送的农副产品多次不符合甲方需求，以及甲方有应急保障需要乙方不能满足，甲方有权改用签订合同的其他配送公司紧急保障农副产品需求。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18、乙方要按照甲方规定时间、地点，准时将食材配送到位，不能影响甲方开餐前的准备工作。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19、乙方要按照甲方要求，在食品卫生、质量、防疫等方面严把质量关，从源头杜绝危害食品。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20、乙方提供食品符合国家食品卫生检疫，符合国家农产品质量法，食品药品监督管理法，食品包装上有清楚的食品标识、质检标识、质量标识和生产日期。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21、乙方不能提供腐烂、病变等对人体有害的食品，一经发现，乙方将承担所有经济损失，若甲方在验收时货品质量规格无误，但因甲方在储存过程中操作不当造成的上述货品质量问题，不归属乙方责任。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22、乙方每周提供一次农副产品目录，为甲方了解掌握市场行情和农副产品上新情况提供参考。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23、乙方配送的肉类、禽类必须出具动物防疫检疫部门的相关证明。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24、乙方在供货中严禁出现缺斤少两、以次充好或掺假等现象，一旦发现弄虚作假，情节较轻的，与当月考核挂钩，扣除相应费用，情节较重的，甲方有权终止合同。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25、乙方提供的发票必须是由国家税务部门领取的正规票据，并且发票单位名称和乙方公司名称要一致。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26、如有未尽事宜，则由</w:t>
      </w:r>
      <w:r>
        <w:rPr>
          <w:rFonts w:hint="eastAsia" w:ascii="宋体" w:hAnsi="宋体" w:eastAsia="宋体" w:cs="宋体"/>
          <w:sz w:val="21"/>
          <w:szCs w:val="21"/>
          <w:lang w:val="en-US" w:eastAsia="zh-CN" w:bidi="ar-SA"/>
        </w:rPr>
        <w:t xml:space="preserve">甲乙双方</w:t>
      </w:r>
      <w:r>
        <w:rPr>
          <w:rFonts w:hint="eastAsia" w:ascii="宋体" w:hAnsi="宋体" w:eastAsia="宋体" w:cs="宋体"/>
          <w:sz w:val="21"/>
          <w:szCs w:val="21"/>
          <w:lang w:val="zh-CN" w:eastAsia="zh-TW" w:bidi="ar-SA"/>
        </w:rPr>
        <w:t xml:space="preserve">另行协商决定。</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六</w:t>
      </w:r>
      <w:r>
        <w:rPr>
          <w:rFonts w:hint="eastAsia" w:ascii="宋体" w:hAnsi="宋体" w:eastAsia="宋体" w:cs="宋体"/>
          <w:b/>
          <w:bCs/>
          <w:sz w:val="21"/>
          <w:szCs w:val="21"/>
          <w:lang w:val="zh-CN" w:eastAsia="zh-TW" w:bidi="ar-SA"/>
        </w:rPr>
        <w:t xml:space="preserve">条 合同的变更和终止</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1、本合同一经签订，甲乙双方不得擅自变更、中止或终止合同。</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2、除发生法律规定的不能预见、不能避免并不能克服的客观情况外，甲乙双方不得放弃或拒绝履行合同。</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七</w:t>
      </w:r>
      <w:r>
        <w:rPr>
          <w:rFonts w:hint="eastAsia" w:ascii="宋体" w:hAnsi="宋体" w:eastAsia="宋体" w:cs="宋体"/>
          <w:b/>
          <w:bCs/>
          <w:sz w:val="21"/>
          <w:szCs w:val="21"/>
          <w:lang w:val="zh-CN" w:eastAsia="zh-TW" w:bidi="ar-SA"/>
        </w:rPr>
        <w:t xml:space="preserve">条 合同的转让</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1、乙方不得擅自部分或全部转让其应履行的合同义务。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2、乙方在履行合同过程中，不得将服务项目委托给第三方。</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八</w:t>
      </w:r>
      <w:r>
        <w:rPr>
          <w:rFonts w:hint="eastAsia" w:ascii="宋体" w:hAnsi="宋体" w:eastAsia="宋体" w:cs="宋体"/>
          <w:b/>
          <w:bCs/>
          <w:sz w:val="21"/>
          <w:szCs w:val="21"/>
          <w:lang w:val="zh-CN" w:eastAsia="zh-TW" w:bidi="ar-SA"/>
        </w:rPr>
        <w:t xml:space="preserve">条 违约责任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乙方有以下情况发生，甲方有权中止乙方的承包资格。</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（1）商品短斤缺两、以次充好、擅自提价等经指令整改后还屡有发生；</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（2）因商品质量问题退换三次及其以上；</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w:t>
      </w:r>
      <w:r>
        <w:rPr>
          <w:rFonts w:hint="eastAsia" w:ascii="宋体" w:hAnsi="宋体" w:eastAsia="宋体" w:cs="宋体"/>
          <w:sz w:val="21"/>
          <w:szCs w:val="21"/>
          <w:lang w:val="zh-CN" w:eastAsia="zh-CN" w:bidi="ar-SA"/>
        </w:rPr>
        <w:t xml:space="preserve">发生</w:t>
      </w:r>
      <w:r>
        <w:rPr>
          <w:rFonts w:hint="eastAsia" w:ascii="宋体" w:hAnsi="宋体" w:eastAsia="宋体" w:cs="宋体"/>
          <w:sz w:val="21"/>
          <w:szCs w:val="21"/>
          <w:lang w:val="zh-CN" w:eastAsia="zh-TW" w:bidi="ar-SA"/>
        </w:rPr>
        <w:t xml:space="preserve">食物中毒等食源性疾病或其他事故；</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（4）乙方不服从或不配合甲方管理人员的工作安排。</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zh-CN" w:eastAsia="zh-TW" w:bidi="ar-SA"/>
        </w:rPr>
        <w:t xml:space="preserve">、其他未尽事宜，以《民法典》和《政府采购法》等有关法律法规规定为准，无相关规定的，双方协商解决。</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九</w:t>
      </w:r>
      <w:r>
        <w:rPr>
          <w:rFonts w:hint="eastAsia" w:ascii="宋体" w:hAnsi="宋体" w:eastAsia="宋体" w:cs="宋体"/>
          <w:b/>
          <w:bCs/>
          <w:sz w:val="21"/>
          <w:szCs w:val="21"/>
          <w:lang w:val="zh-CN" w:eastAsia="zh-TW" w:bidi="ar-SA"/>
        </w:rPr>
        <w:t xml:space="preserve">条 不可抗力</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 因不可抗力不能履行合同的，根据不可抗力的影响，部分或者全部免除责任。但合同一方迟延履行后发生不可抗力的，不能免除责任。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2、合同一方因不可抗力不能履行合同的，应当及时通知对方，以减轻可能给对方造成的损失，并应当在合理期限内提供证明。</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第十条  争议的解决</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1、因履行本合同引起的或与本合同有关的争议，甲、乙双方应通过友好协商解决。</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2、经协商不能解决的争议，双方可采取以下第（</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）种方式解决争议：</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（1）向甲方所在地有管辖权的人民法院提起诉讼；</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（2）向甲方所在地仲裁委员会按其仲裁规则申请仲裁。</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3、在法院审理和仲裁期间，除有争议部分外，本合同其他部分可以履行的仍应按合同条款继续履行。</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第十</w:t>
      </w:r>
      <w:r>
        <w:rPr>
          <w:rFonts w:hint="eastAsia" w:ascii="宋体" w:hAnsi="宋体" w:eastAsia="宋体" w:cs="宋体"/>
          <w:b/>
          <w:bCs/>
          <w:sz w:val="21"/>
          <w:szCs w:val="21"/>
          <w:lang w:val="en-US" w:eastAsia="zh-CN" w:bidi="ar-SA"/>
        </w:rPr>
        <w:t xml:space="preserve">一</w:t>
      </w:r>
      <w:r>
        <w:rPr>
          <w:rFonts w:hint="eastAsia" w:ascii="宋体" w:hAnsi="宋体" w:eastAsia="宋体" w:cs="宋体"/>
          <w:b/>
          <w:bCs/>
          <w:sz w:val="21"/>
          <w:szCs w:val="21"/>
          <w:lang w:val="zh-CN" w:eastAsia="zh-TW" w:bidi="ar-SA"/>
        </w:rPr>
        <w:t xml:space="preserve">条 合同生效及其他</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1、经甲乙双方授权代表签</w:t>
      </w:r>
      <w:r>
        <w:rPr>
          <w:rFonts w:hint="eastAsia" w:ascii="宋体" w:hAnsi="宋体" w:eastAsia="宋体" w:cs="宋体"/>
          <w:sz w:val="21"/>
          <w:szCs w:val="21"/>
          <w:lang w:val="en-US" w:eastAsia="zh-CN" w:bidi="ar-SA"/>
        </w:rPr>
        <w:t xml:space="preserve">字</w:t>
      </w:r>
      <w:r>
        <w:rPr>
          <w:rFonts w:hint="eastAsia" w:ascii="宋体" w:hAnsi="宋体" w:eastAsia="宋体" w:cs="宋体"/>
          <w:sz w:val="21"/>
          <w:szCs w:val="21"/>
          <w:lang w:val="zh-CN" w:eastAsia="zh-TW" w:bidi="ar-SA"/>
        </w:rPr>
        <w:t xml:space="preserve">并加盖公章后即生效。</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2、本合同一式五份，甲乙双方各执二份，代理机构执一份存档。</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3、未尽事宜，双方可签订补充协议，补充协议是本合同不可分割的组成部分，具有本合同同等的法律效力。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zh-CN" w:eastAsia="zh-TW" w:bidi="ar-SA"/>
        </w:rPr>
        <w:t xml:space="preserve">本合同应按照中华人民共和国的现行法律进行解释。</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甲方（采购人）：（盖章）         </w:t>
      </w:r>
      <w:r>
        <w:rPr>
          <w:rFonts w:hint="eastAsia" w:ascii="宋体" w:hAnsi="宋体" w:eastAsia="宋体" w:cs="宋体"/>
          <w:sz w:val="21"/>
          <w:szCs w:val="21"/>
          <w:lang w:val="zh-CN" w:eastAsia="zh-TW" w:bidi="ar-SA"/>
        </w:rPr>
        <w:tab/>
      </w:r>
      <w:r>
        <w:rPr>
          <w:rFonts w:hint="eastAsia" w:ascii="宋体" w:hAnsi="宋体" w:eastAsia="宋体" w:cs="宋体"/>
          <w:sz w:val="21"/>
          <w:szCs w:val="21"/>
          <w:lang w:val="zh-CN" w:eastAsia="zh-TW" w:bidi="ar-SA"/>
        </w:rPr>
        <w:t xml:space="preserve">乙方（供应商）：（盖章）</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代表人：</w:t>
      </w:r>
      <w:r>
        <w:rPr>
          <w:rFonts w:hint="eastAsia" w:ascii="宋体" w:hAnsi="宋体" w:eastAsia="宋体" w:cs="宋体"/>
          <w:sz w:val="21"/>
          <w:szCs w:val="21"/>
          <w:lang w:val="zh-CN" w:eastAsia="zh-TW" w:bidi="ar-SA"/>
        </w:rPr>
        <w:tab/>
      </w:r>
      <w:r>
        <w:rPr>
          <w:rFonts w:hint="eastAsia" w:ascii="宋体" w:hAnsi="宋体" w:eastAsia="宋体" w:cs="宋体"/>
          <w:sz w:val="21"/>
          <w:szCs w:val="21"/>
          <w:lang w:val="zh-CN" w:eastAsia="zh-TW" w:bidi="ar-SA"/>
        </w:rPr>
        <w:t xml:space="preserve">                         代表人：</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日期： 年 月 日                    日期：  年  月  日</w:t>
      </w:r>
      <w:r/>
    </w:p>
    <w:sectPr>
      <w:headerReference w:type="default" r:id="rId10"/>
      <w:footerReference w:type="default" r:id="rId13"/>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宋体ラ...">
    <w:panose1 w:val="02010600030101010101"/>
  </w:font>
  <w:font w:name="仿宋_GB2312">
    <w:panose1 w:val="02010609060101010101"/>
  </w:font>
  <w:font w:name="Verdana">
    <w:panose1 w:val="020B0604030504040204"/>
  </w:font>
  <w:font w:name="黑体">
    <w:panose1 w:val="02010609060101010101"/>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p>
    <w:pPr>
      <w:pStyle w:val="836"/>
      <w:ind w:left="0"/>
      <w:spacing w:before="0" w:line="14" w:lineRule="auto"/>
      <w:rPr>
        <w:rFonts w:ascii="Times New Roman" w:eastAsia="等线"/>
        <w:szCs w:val="20"/>
      </w:rPr>
    </w:pPr>
    <w:r>
      <w:rPr>
        <w:rFonts w:ascii="Times New Roman" w:eastAsia="等线"/>
        <w:szCs w:val="20"/>
      </w:rPr>
    </w:r>
    <w:r/>
  </w:p>
  <w:p>
    <w:pPr>
      <w:pStyle w:val="836"/>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77"/>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7">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6">
    <w:name w:val="TOC Heading"/>
    <w:uiPriority w:val="39"/>
    <w:unhideWhenUsed/>
  </w:style>
  <w:style w:type="paragraph" w:styleId="817" w:default="1">
    <w:name w:val="Normal"/>
    <w:next w:val="829"/>
    <w:uiPriority w:val="1"/>
    <w:qFormat/>
    <w:pPr>
      <w:widowControl w:val="off"/>
    </w:pPr>
    <w:rPr>
      <w:rFonts w:ascii="宋体" w:hAnsi="Times New Roman" w:eastAsia="宋体" w:cs="宋体"/>
      <w:sz w:val="22"/>
      <w:szCs w:val="22"/>
      <w:lang w:val="en-US" w:eastAsia="zh-CN" w:bidi="ar-SA"/>
    </w:rPr>
  </w:style>
  <w:style w:type="paragraph" w:styleId="818">
    <w:name w:val="Heading 1"/>
    <w:basedOn w:val="817"/>
    <w:next w:val="817"/>
    <w:link w:val="1037"/>
    <w:uiPriority w:val="1"/>
    <w:qFormat/>
    <w:pPr>
      <w:ind w:right="406"/>
      <w:jc w:val="center"/>
      <w:outlineLvl w:val="0"/>
    </w:pPr>
    <w:rPr>
      <w:rFonts w:cs="Times New Roman"/>
      <w:b/>
      <w:bCs/>
      <w:sz w:val="72"/>
      <w:szCs w:val="72"/>
    </w:rPr>
  </w:style>
  <w:style w:type="paragraph" w:styleId="819">
    <w:name w:val="Heading 2"/>
    <w:basedOn w:val="817"/>
    <w:next w:val="817"/>
    <w:link w:val="1038"/>
    <w:uiPriority w:val="1"/>
    <w:qFormat/>
    <w:pPr>
      <w:ind w:left="2791"/>
      <w:spacing w:before="26"/>
      <w:outlineLvl w:val="1"/>
    </w:pPr>
    <w:rPr>
      <w:rFonts w:cs="Times New Roman"/>
      <w:b/>
      <w:bCs/>
      <w:sz w:val="44"/>
      <w:szCs w:val="44"/>
    </w:rPr>
  </w:style>
  <w:style w:type="paragraph" w:styleId="820">
    <w:name w:val="Heading 3"/>
    <w:basedOn w:val="817"/>
    <w:next w:val="817"/>
    <w:link w:val="1039"/>
    <w:uiPriority w:val="1"/>
    <w:qFormat/>
    <w:pPr>
      <w:ind w:left="909"/>
      <w:spacing w:before="1"/>
      <w:outlineLvl w:val="2"/>
    </w:pPr>
    <w:rPr>
      <w:rFonts w:cs="Times New Roman"/>
      <w:b/>
      <w:bCs/>
      <w:sz w:val="36"/>
      <w:szCs w:val="36"/>
    </w:rPr>
  </w:style>
  <w:style w:type="paragraph" w:styleId="821">
    <w:name w:val="Heading 4"/>
    <w:basedOn w:val="817"/>
    <w:next w:val="817"/>
    <w:link w:val="878"/>
    <w:uiPriority w:val="1"/>
    <w:qFormat/>
    <w:pPr>
      <w:outlineLvl w:val="3"/>
    </w:pPr>
    <w:rPr>
      <w:rFonts w:cs="Times New Roman"/>
      <w:b/>
      <w:bCs/>
      <w:sz w:val="32"/>
      <w:szCs w:val="32"/>
    </w:rPr>
  </w:style>
  <w:style w:type="paragraph" w:styleId="822">
    <w:name w:val="Heading 5"/>
    <w:basedOn w:val="817"/>
    <w:next w:val="817"/>
    <w:link w:val="1040"/>
    <w:uiPriority w:val="1"/>
    <w:qFormat/>
    <w:pPr>
      <w:ind w:left="847"/>
      <w:outlineLvl w:val="4"/>
    </w:pPr>
    <w:rPr>
      <w:rFonts w:cs="Times New Roman"/>
      <w:sz w:val="24"/>
      <w:szCs w:val="24"/>
    </w:rPr>
  </w:style>
  <w:style w:type="paragraph" w:styleId="823">
    <w:name w:val="Heading 6"/>
    <w:basedOn w:val="817"/>
    <w:next w:val="817"/>
    <w:link w:val="1041"/>
    <w:uiPriority w:val="1"/>
    <w:qFormat/>
    <w:pPr>
      <w:ind w:left="367"/>
      <w:outlineLvl w:val="5"/>
    </w:pPr>
    <w:rPr>
      <w:rFonts w:cs="Times New Roman"/>
      <w:b/>
      <w:bCs/>
      <w:sz w:val="20"/>
      <w:szCs w:val="21"/>
    </w:rPr>
  </w:style>
  <w:style w:type="paragraph" w:styleId="824">
    <w:name w:val="Heading 7"/>
    <w:basedOn w:val="817"/>
    <w:next w:val="817"/>
    <w:link w:val="914"/>
    <w:uiPriority w:val="9"/>
    <w:unhideWhenUsed/>
    <w:qFormat/>
    <w:pPr>
      <w:keepLines/>
      <w:keepNext/>
      <w:spacing w:before="320" w:after="200"/>
      <w:outlineLvl w:val="6"/>
    </w:pPr>
    <w:rPr>
      <w:rFonts w:ascii="Arial" w:hAnsi="Arial" w:eastAsia="Arial" w:cs="Arial"/>
      <w:b/>
      <w:bCs/>
      <w:i/>
      <w:iCs/>
    </w:rPr>
  </w:style>
  <w:style w:type="paragraph" w:styleId="825">
    <w:name w:val="Heading 8"/>
    <w:basedOn w:val="817"/>
    <w:next w:val="817"/>
    <w:link w:val="915"/>
    <w:uiPriority w:val="9"/>
    <w:unhideWhenUsed/>
    <w:qFormat/>
    <w:pPr>
      <w:keepLines/>
      <w:keepNext/>
      <w:spacing w:before="320" w:after="200"/>
      <w:outlineLvl w:val="7"/>
    </w:pPr>
    <w:rPr>
      <w:rFonts w:ascii="Arial" w:hAnsi="Arial" w:eastAsia="Arial" w:cs="Arial"/>
      <w:i/>
      <w:iCs/>
    </w:rPr>
  </w:style>
  <w:style w:type="paragraph" w:styleId="826">
    <w:name w:val="Heading 9"/>
    <w:basedOn w:val="817"/>
    <w:next w:val="817"/>
    <w:link w:val="916"/>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Body Text Indent"/>
    <w:basedOn w:val="817"/>
    <w:link w:val="1045"/>
    <w:uiPriority w:val="99"/>
    <w:unhideWhenUsed/>
    <w:qFormat/>
    <w:pPr>
      <w:ind w:left="420"/>
      <w:spacing w:after="120"/>
    </w:pPr>
    <w:rPr>
      <w:rFonts w:cs="Times New Roman"/>
      <w:szCs w:val="20"/>
    </w:rPr>
  </w:style>
  <w:style w:type="paragraph" w:styleId="830">
    <w:name w:val="toc 7"/>
    <w:basedOn w:val="817"/>
    <w:next w:val="817"/>
    <w:uiPriority w:val="39"/>
    <w:unhideWhenUsed/>
    <w:qFormat/>
    <w:pPr>
      <w:ind w:left="1701"/>
      <w:spacing w:after="57"/>
    </w:pPr>
  </w:style>
  <w:style w:type="paragraph" w:styleId="831">
    <w:name w:val="Normal Indent"/>
    <w:basedOn w:val="817"/>
    <w:link w:val="1042"/>
    <w:uiPriority w:val="0"/>
    <w:qFormat/>
    <w:pPr>
      <w:ind w:firstLine="420"/>
    </w:pPr>
    <w:rPr>
      <w:rFonts w:ascii="Times New Roman" w:eastAsia="楷体_GB2312" w:cs="Times New Roman"/>
      <w:sz w:val="21"/>
      <w:szCs w:val="20"/>
    </w:rPr>
  </w:style>
  <w:style w:type="paragraph" w:styleId="832">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Document Map"/>
    <w:next w:val="834"/>
    <w:uiPriority w:val="99"/>
    <w:qFormat/>
    <w:pPr>
      <w:framePr w:wrap="around" w:vAnchor="margin" w:hAnchor="text" w:y="1"/>
    </w:pPr>
    <w:rPr>
      <w:rFonts w:ascii="宋体" w:hAnsi="Times New Roman" w:eastAsia="Arial Unicode MS" w:cs="Times New Roman"/>
      <w:sz w:val="18"/>
      <w:szCs w:val="18"/>
      <w:lang w:val="en-US" w:eastAsia="en-US" w:bidi="ar-SA"/>
    </w:rPr>
  </w:style>
  <w:style w:type="paragraph" w:styleId="834">
    <w:name w:val="Plain Text"/>
    <w:basedOn w:val="817"/>
    <w:link w:val="1097"/>
    <w:uiPriority w:val="0"/>
    <w:qFormat/>
    <w:pPr>
      <w:jc w:val="both"/>
    </w:pPr>
    <w:rPr>
      <w:rFonts w:hAnsi="Courier New" w:eastAsia="楷体_GB2312" w:cs="Times New Roman"/>
      <w:sz w:val="26"/>
      <w:szCs w:val="20"/>
    </w:rPr>
  </w:style>
  <w:style w:type="paragraph" w:styleId="835">
    <w:name w:val="annotation text"/>
    <w:basedOn w:val="817"/>
    <w:link w:val="1043"/>
    <w:uiPriority w:val="0"/>
    <w:qFormat/>
    <w:rPr>
      <w:rFonts w:ascii="Calibri" w:hAnsi="Calibri" w:cs="Times New Roman"/>
      <w:sz w:val="20"/>
      <w:szCs w:val="20"/>
    </w:rPr>
  </w:style>
  <w:style w:type="paragraph" w:styleId="836">
    <w:name w:val="Body Text"/>
    <w:basedOn w:val="817"/>
    <w:next w:val="837"/>
    <w:link w:val="1044"/>
    <w:uiPriority w:val="99"/>
    <w:qFormat/>
    <w:pPr>
      <w:ind w:left="367"/>
      <w:spacing w:before="132"/>
    </w:pPr>
    <w:rPr>
      <w:rFonts w:cs="Times New Roman"/>
      <w:sz w:val="20"/>
      <w:szCs w:val="21"/>
    </w:rPr>
  </w:style>
  <w:style w:type="paragraph" w:styleId="837">
    <w:name w:val="List Bullet 5"/>
    <w:basedOn w:val="817"/>
    <w:uiPriority w:val="99"/>
    <w:semiHidden/>
    <w:unhideWhenUsed/>
    <w:qFormat/>
    <w:pPr>
      <w:numPr>
        <w:ilvl w:val="0"/>
        <w:numId w:val="1"/>
      </w:numPr>
    </w:pPr>
  </w:style>
  <w:style w:type="paragraph" w:styleId="838">
    <w:name w:val="index 4"/>
    <w:basedOn w:val="817"/>
    <w:next w:val="817"/>
    <w:uiPriority w:val="0"/>
    <w:semiHidden/>
    <w:qFormat/>
    <w:pPr>
      <w:ind w:left="600"/>
      <w:jc w:val="both"/>
    </w:pPr>
    <w:rPr>
      <w:rFonts w:ascii="Calibri" w:hAnsi="Calibri"/>
      <w:sz w:val="21"/>
      <w:szCs w:val="20"/>
    </w:rPr>
  </w:style>
  <w:style w:type="paragraph" w:styleId="839">
    <w:name w:val="toc 5"/>
    <w:basedOn w:val="817"/>
    <w:next w:val="817"/>
    <w:uiPriority w:val="39"/>
    <w:unhideWhenUsed/>
    <w:qFormat/>
    <w:pPr>
      <w:ind w:left="1134"/>
      <w:spacing w:after="57"/>
    </w:pPr>
  </w:style>
  <w:style w:type="paragraph" w:styleId="840">
    <w:name w:val="toc 3"/>
    <w:basedOn w:val="817"/>
    <w:next w:val="817"/>
    <w:uiPriority w:val="39"/>
    <w:unhideWhenUsed/>
    <w:qFormat/>
    <w:pPr>
      <w:ind w:left="567"/>
      <w:spacing w:after="57"/>
    </w:pPr>
  </w:style>
  <w:style w:type="paragraph" w:styleId="841">
    <w:name w:val="toc 8"/>
    <w:basedOn w:val="817"/>
    <w:next w:val="817"/>
    <w:uiPriority w:val="39"/>
    <w:unhideWhenUsed/>
    <w:qFormat/>
    <w:pPr>
      <w:ind w:left="1984"/>
      <w:spacing w:after="57"/>
    </w:pPr>
  </w:style>
  <w:style w:type="paragraph" w:styleId="842">
    <w:name w:val="Date"/>
    <w:basedOn w:val="817"/>
    <w:next w:val="817"/>
    <w:link w:val="1047"/>
    <w:uiPriority w:val="99"/>
    <w:unhideWhenUsed/>
    <w:qFormat/>
    <w:pPr>
      <w:ind w:left="100"/>
    </w:pPr>
    <w:rPr>
      <w:rFonts w:cs="Times New Roman"/>
    </w:rPr>
  </w:style>
  <w:style w:type="paragraph" w:styleId="843">
    <w:name w:val="endnote text"/>
    <w:basedOn w:val="817"/>
    <w:link w:val="1035"/>
    <w:uiPriority w:val="99"/>
    <w:semiHidden/>
    <w:unhideWhenUsed/>
    <w:qFormat/>
    <w:rPr>
      <w:sz w:val="20"/>
    </w:rPr>
  </w:style>
  <w:style w:type="paragraph" w:styleId="844">
    <w:name w:val="Balloon Text"/>
    <w:basedOn w:val="817"/>
    <w:link w:val="1113"/>
    <w:uiPriority w:val="99"/>
    <w:semiHidden/>
    <w:unhideWhenUsed/>
    <w:qFormat/>
    <w:rPr>
      <w:sz w:val="18"/>
      <w:szCs w:val="18"/>
    </w:rPr>
  </w:style>
  <w:style w:type="paragraph" w:styleId="845">
    <w:name w:val="Footer"/>
    <w:basedOn w:val="817"/>
    <w:link w:val="1048"/>
    <w:uiPriority w:val="99"/>
    <w:unhideWhenUsed/>
    <w:qFormat/>
    <w:pPr>
      <w:tabs>
        <w:tab w:val="center" w:pos="4153" w:leader="none"/>
        <w:tab w:val="right" w:pos="8306" w:leader="none"/>
      </w:tabs>
    </w:pPr>
    <w:rPr>
      <w:rFonts w:cs="Times New Roman"/>
      <w:sz w:val="18"/>
      <w:szCs w:val="18"/>
    </w:rPr>
  </w:style>
  <w:style w:type="paragraph" w:styleId="846">
    <w:name w:val="envelope return"/>
    <w:basedOn w:val="817"/>
    <w:uiPriority w:val="0"/>
    <w:qFormat/>
    <w:rPr>
      <w:rFonts w:ascii="Arial" w:hAnsi="Arial"/>
      <w:sz w:val="21"/>
      <w:szCs w:val="24"/>
    </w:rPr>
  </w:style>
  <w:style w:type="paragraph" w:styleId="847">
    <w:name w:val="Header"/>
    <w:basedOn w:val="817"/>
    <w:next w:val="817"/>
    <w:link w:val="1049"/>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48">
    <w:name w:val="toc 1"/>
    <w:basedOn w:val="817"/>
    <w:next w:val="817"/>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49">
    <w:name w:val="toc 4"/>
    <w:basedOn w:val="817"/>
    <w:next w:val="817"/>
    <w:uiPriority w:val="39"/>
    <w:unhideWhenUsed/>
    <w:qFormat/>
    <w:pPr>
      <w:ind w:left="850"/>
      <w:spacing w:after="57"/>
    </w:pPr>
  </w:style>
  <w:style w:type="paragraph" w:styleId="850">
    <w:name w:val="Subtitle"/>
    <w:basedOn w:val="817"/>
    <w:next w:val="817"/>
    <w:link w:val="920"/>
    <w:uiPriority w:val="11"/>
    <w:qFormat/>
    <w:pPr>
      <w:spacing w:before="200" w:after="200"/>
    </w:pPr>
    <w:rPr>
      <w:sz w:val="24"/>
      <w:szCs w:val="24"/>
    </w:rPr>
  </w:style>
  <w:style w:type="paragraph" w:styleId="851">
    <w:name w:val="footnote text"/>
    <w:basedOn w:val="817"/>
    <w:link w:val="1034"/>
    <w:uiPriority w:val="99"/>
    <w:semiHidden/>
    <w:unhideWhenUsed/>
    <w:qFormat/>
    <w:pPr>
      <w:spacing w:after="40"/>
    </w:pPr>
    <w:rPr>
      <w:sz w:val="18"/>
    </w:rPr>
  </w:style>
  <w:style w:type="paragraph" w:styleId="852">
    <w:name w:val="toc 6"/>
    <w:basedOn w:val="817"/>
    <w:next w:val="817"/>
    <w:uiPriority w:val="39"/>
    <w:unhideWhenUsed/>
    <w:qFormat/>
    <w:pPr>
      <w:ind w:left="1417"/>
      <w:spacing w:after="57"/>
    </w:pPr>
  </w:style>
  <w:style w:type="paragraph" w:styleId="853">
    <w:name w:val="Body Text Indent 3"/>
    <w:basedOn w:val="817"/>
    <w:link w:val="1050"/>
    <w:uiPriority w:val="99"/>
    <w:unhideWhenUsed/>
    <w:qFormat/>
    <w:pPr>
      <w:ind w:left="420"/>
      <w:spacing w:after="120"/>
    </w:pPr>
    <w:rPr>
      <w:rFonts w:cs="Times New Roman"/>
      <w:sz w:val="16"/>
      <w:szCs w:val="16"/>
    </w:rPr>
  </w:style>
  <w:style w:type="paragraph" w:styleId="854">
    <w:name w:val="table of figures"/>
    <w:basedOn w:val="817"/>
    <w:next w:val="817"/>
    <w:uiPriority w:val="99"/>
    <w:unhideWhenUsed/>
    <w:qFormat/>
  </w:style>
  <w:style w:type="paragraph" w:styleId="855">
    <w:name w:val="toc 2"/>
    <w:basedOn w:val="817"/>
    <w:next w:val="817"/>
    <w:uiPriority w:val="39"/>
    <w:unhideWhenUsed/>
    <w:qFormat/>
    <w:pPr>
      <w:ind w:left="283"/>
      <w:spacing w:after="57"/>
    </w:pPr>
  </w:style>
  <w:style w:type="paragraph" w:styleId="856">
    <w:name w:val="toc 9"/>
    <w:basedOn w:val="817"/>
    <w:next w:val="817"/>
    <w:uiPriority w:val="39"/>
    <w:unhideWhenUsed/>
    <w:qFormat/>
    <w:pPr>
      <w:ind w:left="2268"/>
      <w:spacing w:after="57"/>
    </w:pPr>
  </w:style>
  <w:style w:type="paragraph" w:styleId="857">
    <w:name w:val="Normal (Web)"/>
    <w:basedOn w:val="817"/>
    <w:next w:val="817"/>
    <w:link w:val="1051"/>
    <w:uiPriority w:val="0"/>
    <w:qFormat/>
    <w:pPr>
      <w:jc w:val="both"/>
    </w:pPr>
    <w:rPr>
      <w:rFonts w:ascii="Times New Roman" w:cs="Times New Roman"/>
      <w:sz w:val="24"/>
      <w:szCs w:val="21"/>
    </w:rPr>
  </w:style>
  <w:style w:type="paragraph" w:styleId="858">
    <w:name w:val="Title"/>
    <w:basedOn w:val="817"/>
    <w:next w:val="817"/>
    <w:link w:val="919"/>
    <w:uiPriority w:val="10"/>
    <w:qFormat/>
    <w:pPr>
      <w:contextualSpacing/>
      <w:spacing w:before="300" w:after="200"/>
    </w:pPr>
    <w:rPr>
      <w:sz w:val="48"/>
      <w:szCs w:val="48"/>
    </w:rPr>
  </w:style>
  <w:style w:type="paragraph" w:styleId="859">
    <w:name w:val="annotation subject"/>
    <w:basedOn w:val="835"/>
    <w:next w:val="835"/>
    <w:link w:val="1052"/>
    <w:uiPriority w:val="99"/>
    <w:unhideWhenUsed/>
    <w:qFormat/>
    <w:rPr>
      <w:rFonts w:ascii="宋体" w:hAnsi="Times New Roman"/>
      <w:b/>
      <w:bCs/>
      <w:sz w:val="22"/>
      <w:szCs w:val="22"/>
    </w:rPr>
  </w:style>
  <w:style w:type="paragraph" w:styleId="860">
    <w:name w:val="Body Text First Indent"/>
    <w:basedOn w:val="817"/>
    <w:next w:val="817"/>
    <w:uiPriority w:val="0"/>
    <w:qFormat/>
    <w:pPr>
      <w:ind w:firstLine="200"/>
      <w:spacing w:line="360" w:lineRule="auto"/>
    </w:pPr>
    <w:rPr>
      <w:rFonts w:ascii="仿宋_GB2312" w:hAnsi="宋体" w:eastAsia="仿宋_GB2312" w:cs="宋体"/>
      <w:sz w:val="30"/>
      <w:szCs w:val="30"/>
    </w:rPr>
  </w:style>
  <w:style w:type="paragraph" w:styleId="861">
    <w:name w:val="Body Text First Indent 2"/>
    <w:basedOn w:val="829"/>
    <w:link w:val="1114"/>
    <w:uiPriority w:val="99"/>
    <w:semiHidden/>
    <w:unhideWhenUsed/>
    <w:qFormat/>
    <w:pPr>
      <w:ind w:left="200" w:firstLine="420"/>
    </w:pPr>
    <w:rPr>
      <w:rFonts w:cs="宋体"/>
      <w:szCs w:val="22"/>
    </w:rPr>
  </w:style>
  <w:style w:type="table" w:styleId="862">
    <w:name w:val="Table Grid"/>
    <w:basedOn w:val="8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uiPriority w:val="22"/>
    <w:qFormat/>
    <w:rPr>
      <w:b/>
    </w:rPr>
  </w:style>
  <w:style w:type="character" w:styleId="864">
    <w:name w:val="endnote reference"/>
    <w:uiPriority w:val="99"/>
    <w:semiHidden/>
    <w:unhideWhenUsed/>
    <w:qFormat/>
    <w:rPr>
      <w:vertAlign w:val="superscript"/>
    </w:rPr>
  </w:style>
  <w:style w:type="character" w:styleId="865">
    <w:name w:val="page number"/>
    <w:uiPriority w:val="0"/>
    <w:qFormat/>
  </w:style>
  <w:style w:type="character" w:styleId="866">
    <w:name w:val="HTML Typewriter"/>
    <w:uiPriority w:val="0"/>
    <w:qFormat/>
    <w:rPr>
      <w:rFonts w:ascii="黑体" w:hAnsi="Courier New" w:eastAsia="黑体" w:cs="Courier New"/>
      <w:sz w:val="14"/>
      <w:szCs w:val="14"/>
      <w:lang w:val="en-US" w:eastAsia="zh-CN" w:bidi="ar-SA"/>
    </w:rPr>
  </w:style>
  <w:style w:type="character" w:styleId="867">
    <w:name w:val="Hyperlink"/>
    <w:uiPriority w:val="99"/>
    <w:unhideWhenUsed/>
    <w:qFormat/>
    <w:rPr>
      <w:color w:val="0563c1"/>
      <w:u w:val="single"/>
    </w:rPr>
  </w:style>
  <w:style w:type="character" w:styleId="868">
    <w:name w:val="annotation reference"/>
    <w:uiPriority w:val="99"/>
    <w:unhideWhenUsed/>
    <w:qFormat/>
    <w:rPr>
      <w:sz w:val="21"/>
      <w:szCs w:val="21"/>
    </w:rPr>
  </w:style>
  <w:style w:type="character" w:styleId="869">
    <w:name w:val="footnote reference"/>
    <w:uiPriority w:val="99"/>
    <w:unhideWhenUsed/>
    <w:qFormat/>
    <w:rPr>
      <w:vertAlign w:val="superscript"/>
    </w:rPr>
  </w:style>
  <w:style w:type="paragraph" w:styleId="870" w:customStyle="1">
    <w:name w:val="正文文本缩进11"/>
    <w:next w:val="871"/>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871" w:customStyle="1">
    <w:name w:val="寄信人地址1"/>
    <w:basedOn w:val="817"/>
    <w:uiPriority w:val="0"/>
    <w:qFormat/>
    <w:rPr>
      <w:sz w:val="26"/>
    </w:rPr>
  </w:style>
  <w:style w:type="paragraph" w:styleId="872" w:customStyle="1">
    <w:name w:val="正文文本1"/>
    <w:next w:val="873"/>
    <w:uiPriority w:val="99"/>
    <w:qFormat/>
    <w:pPr>
      <w:ind w:left="367"/>
      <w:spacing w:before="132"/>
      <w:widowControl w:val="off"/>
    </w:pPr>
    <w:rPr>
      <w:rFonts w:ascii="宋体" w:hAnsi="Times New Roman" w:eastAsia="宋体" w:cs="Times New Roman"/>
      <w:szCs w:val="21"/>
      <w:lang w:val="en-US" w:eastAsia="zh-CN" w:bidi="ar-SA"/>
    </w:rPr>
  </w:style>
  <w:style w:type="paragraph" w:styleId="873" w:customStyle="1">
    <w:name w:val="正文缩进1"/>
    <w:next w:val="817"/>
    <w:uiPriority w:val="0"/>
    <w:qFormat/>
    <w:pPr>
      <w:ind w:firstLine="420"/>
      <w:widowControl w:val="off"/>
    </w:pPr>
    <w:rPr>
      <w:rFonts w:ascii="Times New Roman" w:hAnsi="Times New Roman" w:eastAsia="楷体_GB2312" w:cs="Times New Roman"/>
      <w:sz w:val="21"/>
      <w:lang w:val="en-US" w:eastAsia="zh-CN" w:bidi="ar-SA"/>
    </w:rPr>
  </w:style>
  <w:style w:type="paragraph" w:styleId="874" w:customStyle="1">
    <w:name w:val="正文首行缩进 21"/>
    <w:basedOn w:val="829"/>
    <w:next w:val="875"/>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875" w:customStyle="1">
    <w:name w:val="正文首行缩进1"/>
    <w:basedOn w:val="836"/>
    <w:next w:val="874"/>
    <w:uiPriority w:val="0"/>
    <w:qFormat/>
    <w:pPr>
      <w:ind w:firstLine="420"/>
    </w:pPr>
    <w:rPr>
      <w:rFonts w:ascii="Times New Roman" w:hAnsi="Times New Roman"/>
      <w:sz w:val="20"/>
      <w:szCs w:val="24"/>
    </w:rPr>
  </w:style>
  <w:style w:type="paragraph" w:styleId="876"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77" w:customStyle="1">
    <w:name w:val="标题 41"/>
    <w:next w:val="817"/>
    <w:uiPriority w:val="0"/>
    <w:unhideWhenUsed/>
    <w:qFormat/>
    <w:pPr>
      <w:numPr>
        <w:ilvl w:val="3"/>
        <w:numId w:val="2"/>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878" w:customStyle="1">
    <w:name w:val="标题 4 字符"/>
    <w:link w:val="821"/>
    <w:uiPriority w:val="1"/>
    <w:qFormat/>
    <w:rPr>
      <w:rFonts w:ascii="宋体" w:hAnsi="Times New Roman" w:eastAsia="宋体" w:cs="宋体"/>
      <w:b/>
      <w:bCs/>
      <w:sz w:val="32"/>
      <w:szCs w:val="32"/>
    </w:rPr>
  </w:style>
  <w:style w:type="character" w:styleId="879" w:customStyle="1">
    <w:name w:val="Heading 7 Char"/>
    <w:basedOn w:val="827"/>
    <w:uiPriority w:val="9"/>
    <w:qFormat/>
    <w:rPr>
      <w:rFonts w:ascii="Arial" w:hAnsi="Arial" w:eastAsia="Arial" w:cs="Arial"/>
      <w:b/>
      <w:bCs/>
      <w:i/>
      <w:iCs/>
      <w:sz w:val="22"/>
      <w:szCs w:val="22"/>
    </w:rPr>
  </w:style>
  <w:style w:type="character" w:styleId="880" w:customStyle="1">
    <w:name w:val="Heading 8 Char"/>
    <w:basedOn w:val="827"/>
    <w:uiPriority w:val="9"/>
    <w:qFormat/>
    <w:rPr>
      <w:rFonts w:ascii="Arial" w:hAnsi="Arial" w:eastAsia="Arial" w:cs="Arial"/>
      <w:i/>
      <w:iCs/>
      <w:sz w:val="22"/>
      <w:szCs w:val="22"/>
    </w:rPr>
  </w:style>
  <w:style w:type="character" w:styleId="881" w:customStyle="1">
    <w:name w:val="Heading 9 Char"/>
    <w:basedOn w:val="827"/>
    <w:uiPriority w:val="9"/>
    <w:qFormat/>
    <w:rPr>
      <w:rFonts w:ascii="Arial" w:hAnsi="Arial" w:eastAsia="Arial" w:cs="Arial"/>
      <w:i/>
      <w:iCs/>
      <w:sz w:val="21"/>
      <w:szCs w:val="21"/>
    </w:rPr>
  </w:style>
  <w:style w:type="character" w:styleId="882" w:customStyle="1">
    <w:name w:val="Title Char"/>
    <w:basedOn w:val="827"/>
    <w:uiPriority w:val="10"/>
    <w:qFormat/>
    <w:rPr>
      <w:sz w:val="48"/>
      <w:szCs w:val="48"/>
    </w:rPr>
  </w:style>
  <w:style w:type="character" w:styleId="883" w:customStyle="1">
    <w:name w:val="Subtitle Char"/>
    <w:basedOn w:val="827"/>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table" w:styleId="886"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8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8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8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清单表 1 浅色1"/>
    <w:basedOn w:val="82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basedOn w:val="82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清单表 7 彩色1"/>
    <w:basedOn w:val="82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character" w:styleId="908" w:customStyle="1">
    <w:name w:val="Heading 1 Char"/>
    <w:uiPriority w:val="9"/>
    <w:qFormat/>
    <w:rPr>
      <w:rFonts w:ascii="Arial" w:hAnsi="Arial" w:eastAsia="Arial" w:cs="Arial"/>
      <w:sz w:val="40"/>
      <w:szCs w:val="40"/>
    </w:rPr>
  </w:style>
  <w:style w:type="character" w:styleId="909" w:customStyle="1">
    <w:name w:val="Heading 2 Char"/>
    <w:uiPriority w:val="9"/>
    <w:qFormat/>
    <w:rPr>
      <w:rFonts w:ascii="Arial" w:hAnsi="Arial" w:eastAsia="Arial" w:cs="Arial"/>
      <w:sz w:val="34"/>
    </w:rPr>
  </w:style>
  <w:style w:type="character" w:styleId="910" w:customStyle="1">
    <w:name w:val="Heading 3 Char"/>
    <w:uiPriority w:val="9"/>
    <w:qFormat/>
    <w:rPr>
      <w:rFonts w:ascii="Arial" w:hAnsi="Arial" w:eastAsia="Arial" w:cs="Arial"/>
      <w:sz w:val="30"/>
      <w:szCs w:val="30"/>
    </w:rPr>
  </w:style>
  <w:style w:type="character" w:styleId="911" w:customStyle="1">
    <w:name w:val="Heading 4 Char"/>
    <w:uiPriority w:val="9"/>
    <w:qFormat/>
    <w:rPr>
      <w:rFonts w:ascii="Arial" w:hAnsi="Arial" w:eastAsia="Arial" w:cs="Arial"/>
      <w:b/>
      <w:bCs/>
      <w:sz w:val="26"/>
      <w:szCs w:val="26"/>
    </w:rPr>
  </w:style>
  <w:style w:type="character" w:styleId="912" w:customStyle="1">
    <w:name w:val="Heading 5 Char"/>
    <w:uiPriority w:val="9"/>
    <w:qFormat/>
    <w:rPr>
      <w:rFonts w:ascii="Arial" w:hAnsi="Arial" w:eastAsia="Arial" w:cs="Arial"/>
      <w:b/>
      <w:bCs/>
      <w:sz w:val="24"/>
      <w:szCs w:val="24"/>
    </w:rPr>
  </w:style>
  <w:style w:type="character" w:styleId="913" w:customStyle="1">
    <w:name w:val="Heading 6 Char"/>
    <w:uiPriority w:val="9"/>
    <w:qFormat/>
    <w:rPr>
      <w:rFonts w:ascii="Arial" w:hAnsi="Arial" w:eastAsia="Arial" w:cs="Arial"/>
      <w:b/>
      <w:bCs/>
      <w:sz w:val="22"/>
      <w:szCs w:val="22"/>
    </w:rPr>
  </w:style>
  <w:style w:type="character" w:styleId="914" w:customStyle="1">
    <w:name w:val="标题 7 字符"/>
    <w:link w:val="824"/>
    <w:uiPriority w:val="9"/>
    <w:qFormat/>
    <w:rPr>
      <w:rFonts w:ascii="Arial" w:hAnsi="Arial" w:eastAsia="Arial" w:cs="Arial"/>
      <w:b/>
      <w:bCs/>
      <w:i/>
      <w:iCs/>
      <w:sz w:val="22"/>
      <w:szCs w:val="22"/>
    </w:rPr>
  </w:style>
  <w:style w:type="character" w:styleId="915" w:customStyle="1">
    <w:name w:val="标题 8 字符"/>
    <w:link w:val="825"/>
    <w:uiPriority w:val="9"/>
    <w:qFormat/>
    <w:rPr>
      <w:rFonts w:ascii="Arial" w:hAnsi="Arial" w:eastAsia="Arial" w:cs="Arial"/>
      <w:i/>
      <w:iCs/>
      <w:sz w:val="22"/>
      <w:szCs w:val="22"/>
    </w:rPr>
  </w:style>
  <w:style w:type="character" w:styleId="916" w:customStyle="1">
    <w:name w:val="标题 9 字符"/>
    <w:link w:val="826"/>
    <w:uiPriority w:val="9"/>
    <w:qFormat/>
    <w:rPr>
      <w:rFonts w:ascii="Arial" w:hAnsi="Arial" w:eastAsia="Arial" w:cs="Arial"/>
      <w:i/>
      <w:iCs/>
      <w:sz w:val="21"/>
      <w:szCs w:val="21"/>
    </w:rPr>
  </w:style>
  <w:style w:type="paragraph" w:styleId="917">
    <w:name w:val="List Paragraph"/>
    <w:basedOn w:val="817"/>
    <w:uiPriority w:val="1"/>
    <w:qFormat/>
    <w:pPr>
      <w:contextualSpacing/>
      <w:ind w:left="720"/>
    </w:pPr>
  </w:style>
  <w:style w:type="paragraph" w:styleId="918">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919" w:customStyle="1">
    <w:name w:val="标题 字符"/>
    <w:link w:val="858"/>
    <w:uiPriority w:val="10"/>
    <w:qFormat/>
    <w:rPr>
      <w:sz w:val="48"/>
      <w:szCs w:val="48"/>
    </w:rPr>
  </w:style>
  <w:style w:type="character" w:styleId="920" w:customStyle="1">
    <w:name w:val="副标题 字符"/>
    <w:link w:val="850"/>
    <w:uiPriority w:val="11"/>
    <w:qFormat/>
    <w:rPr>
      <w:sz w:val="24"/>
      <w:szCs w:val="24"/>
    </w:rPr>
  </w:style>
  <w:style w:type="paragraph" w:styleId="921">
    <w:name w:val="Quote"/>
    <w:basedOn w:val="817"/>
    <w:next w:val="817"/>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17"/>
    <w:next w:val="817"/>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Header Char"/>
    <w:uiPriority w:val="99"/>
    <w:qFormat/>
  </w:style>
  <w:style w:type="character" w:styleId="926" w:customStyle="1">
    <w:name w:val="Footer Char"/>
    <w:uiPriority w:val="99"/>
    <w:qFormat/>
  </w:style>
  <w:style w:type="character" w:styleId="927" w:customStyle="1">
    <w:name w:val="Caption Char"/>
    <w:uiPriority w:val="99"/>
    <w:qFormat/>
  </w:style>
  <w:style w:type="table" w:styleId="9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脚注文本 字符"/>
    <w:link w:val="851"/>
    <w:uiPriority w:val="99"/>
    <w:qFormat/>
    <w:rPr>
      <w:sz w:val="18"/>
    </w:rPr>
  </w:style>
  <w:style w:type="character" w:styleId="1035" w:customStyle="1">
    <w:name w:val="尾注文本 字符"/>
    <w:link w:val="843"/>
    <w:uiPriority w:val="99"/>
    <w:qFormat/>
    <w:rPr>
      <w:sz w:val="20"/>
    </w:rPr>
  </w:style>
  <w:style w:type="paragraph" w:styleId="1036" w:customStyle="1">
    <w:name w:val="TOC 标题11"/>
    <w:uiPriority w:val="39"/>
    <w:unhideWhenUsed/>
    <w:qFormat/>
    <w:rPr>
      <w:rFonts w:ascii="Times New Roman" w:hAnsi="Times New Roman" w:eastAsia="宋体" w:cs="Times New Roman"/>
      <w:lang w:val="en-US" w:eastAsia="zh-CN" w:bidi="ar-SA"/>
    </w:rPr>
  </w:style>
  <w:style w:type="character" w:styleId="1037" w:customStyle="1">
    <w:name w:val="标题 1 字符"/>
    <w:link w:val="818"/>
    <w:uiPriority w:val="1"/>
    <w:qFormat/>
    <w:rPr>
      <w:rFonts w:ascii="宋体" w:hAnsi="Times New Roman" w:eastAsia="宋体" w:cs="宋体"/>
      <w:b/>
      <w:bCs/>
      <w:sz w:val="72"/>
      <w:szCs w:val="72"/>
    </w:rPr>
  </w:style>
  <w:style w:type="character" w:styleId="1038" w:customStyle="1">
    <w:name w:val="标题 2 字符"/>
    <w:link w:val="819"/>
    <w:uiPriority w:val="0"/>
    <w:qFormat/>
    <w:rPr>
      <w:rFonts w:ascii="宋体" w:hAnsi="Times New Roman" w:eastAsia="宋体" w:cs="宋体"/>
      <w:b/>
      <w:bCs/>
      <w:sz w:val="44"/>
      <w:szCs w:val="44"/>
    </w:rPr>
  </w:style>
  <w:style w:type="character" w:styleId="1039" w:customStyle="1">
    <w:name w:val="标题 3 字符"/>
    <w:link w:val="820"/>
    <w:uiPriority w:val="1"/>
    <w:qFormat/>
    <w:rPr>
      <w:rFonts w:ascii="宋体" w:hAnsi="Times New Roman" w:eastAsia="宋体" w:cs="宋体"/>
      <w:b/>
      <w:bCs/>
      <w:sz w:val="36"/>
      <w:szCs w:val="36"/>
    </w:rPr>
  </w:style>
  <w:style w:type="character" w:styleId="1040" w:customStyle="1">
    <w:name w:val="标题 5 字符"/>
    <w:link w:val="822"/>
    <w:uiPriority w:val="1"/>
    <w:qFormat/>
    <w:rPr>
      <w:rFonts w:ascii="宋体" w:hAnsi="Times New Roman" w:eastAsia="宋体" w:cs="宋体"/>
      <w:sz w:val="24"/>
      <w:szCs w:val="24"/>
    </w:rPr>
  </w:style>
  <w:style w:type="character" w:styleId="1041" w:customStyle="1">
    <w:name w:val="标题 6 字符"/>
    <w:link w:val="823"/>
    <w:uiPriority w:val="1"/>
    <w:qFormat/>
    <w:rPr>
      <w:rFonts w:ascii="宋体" w:hAnsi="Times New Roman" w:eastAsia="宋体" w:cs="宋体"/>
      <w:b/>
      <w:bCs/>
      <w:szCs w:val="21"/>
    </w:rPr>
  </w:style>
  <w:style w:type="character" w:styleId="1042" w:customStyle="1">
    <w:name w:val="正文缩进 字符"/>
    <w:link w:val="831"/>
    <w:uiPriority w:val="0"/>
    <w:qFormat/>
    <w:rPr>
      <w:rFonts w:ascii="Times New Roman" w:hAnsi="Times New Roman" w:eastAsia="楷体_GB2312"/>
      <w:sz w:val="21"/>
    </w:rPr>
  </w:style>
  <w:style w:type="character" w:styleId="1043" w:customStyle="1">
    <w:name w:val="批注文字 字符"/>
    <w:link w:val="835"/>
    <w:uiPriority w:val="0"/>
    <w:qFormat/>
    <w:rPr>
      <w:rFonts w:ascii="Calibri" w:hAnsi="Calibri" w:eastAsia="宋体" w:cs="宋体"/>
    </w:rPr>
  </w:style>
  <w:style w:type="character" w:styleId="1044" w:customStyle="1">
    <w:name w:val="正文文本 字符"/>
    <w:link w:val="836"/>
    <w:uiPriority w:val="99"/>
    <w:qFormat/>
    <w:rPr>
      <w:rFonts w:ascii="宋体" w:hAnsi="Times New Roman" w:eastAsia="宋体" w:cs="宋体"/>
      <w:szCs w:val="21"/>
    </w:rPr>
  </w:style>
  <w:style w:type="character" w:styleId="1045" w:customStyle="1">
    <w:name w:val="正文文本缩进 字符"/>
    <w:link w:val="829"/>
    <w:uiPriority w:val="99"/>
    <w:qFormat/>
    <w:rPr>
      <w:rFonts w:ascii="宋体" w:hAnsi="Times New Roman" w:eastAsia="宋体" w:cs="宋体"/>
      <w:sz w:val="22"/>
    </w:rPr>
  </w:style>
  <w:style w:type="character" w:styleId="1046" w:customStyle="1">
    <w:name w:val="纯文本 字符"/>
    <w:uiPriority w:val="0"/>
    <w:qFormat/>
    <w:rPr>
      <w:rFonts w:ascii="宋体" w:hAnsi="Courier New" w:eastAsia="楷体_GB2312"/>
      <w:sz w:val="26"/>
    </w:rPr>
  </w:style>
  <w:style w:type="character" w:styleId="1047" w:customStyle="1">
    <w:name w:val="日期 字符"/>
    <w:link w:val="842"/>
    <w:uiPriority w:val="99"/>
    <w:semiHidden/>
    <w:qFormat/>
    <w:rPr>
      <w:rFonts w:ascii="宋体" w:hAnsi="Times New Roman" w:eastAsia="宋体" w:cs="宋体"/>
      <w:sz w:val="22"/>
      <w:szCs w:val="22"/>
    </w:rPr>
  </w:style>
  <w:style w:type="character" w:styleId="1048" w:customStyle="1">
    <w:name w:val="页脚 字符"/>
    <w:link w:val="845"/>
    <w:uiPriority w:val="99"/>
    <w:qFormat/>
    <w:rPr>
      <w:rFonts w:ascii="宋体" w:hAnsi="Times New Roman" w:eastAsia="宋体" w:cs="宋体"/>
      <w:sz w:val="18"/>
      <w:szCs w:val="18"/>
    </w:rPr>
  </w:style>
  <w:style w:type="character" w:styleId="1049" w:customStyle="1">
    <w:name w:val="页眉 字符"/>
    <w:link w:val="847"/>
    <w:uiPriority w:val="99"/>
    <w:qFormat/>
    <w:rPr>
      <w:rFonts w:ascii="宋体" w:hAnsi="Times New Roman" w:eastAsia="宋体" w:cs="宋体"/>
      <w:sz w:val="18"/>
      <w:szCs w:val="18"/>
    </w:rPr>
  </w:style>
  <w:style w:type="character" w:styleId="1050" w:customStyle="1">
    <w:name w:val="正文文本缩进 3 字符"/>
    <w:link w:val="853"/>
    <w:uiPriority w:val="99"/>
    <w:qFormat/>
    <w:rPr>
      <w:rFonts w:ascii="宋体" w:hAnsi="Times New Roman" w:eastAsia="宋体" w:cs="宋体"/>
      <w:sz w:val="16"/>
      <w:szCs w:val="16"/>
    </w:rPr>
  </w:style>
  <w:style w:type="character" w:styleId="1051" w:customStyle="1">
    <w:name w:val="普通(网站) 字符"/>
    <w:link w:val="857"/>
    <w:uiPriority w:val="99"/>
    <w:qFormat/>
    <w:rPr>
      <w:rFonts w:ascii="Times New Roman" w:hAnsi="Times New Roman" w:eastAsia="宋体" w:cs="宋体"/>
      <w:sz w:val="24"/>
      <w:szCs w:val="21"/>
    </w:rPr>
  </w:style>
  <w:style w:type="character" w:styleId="1052" w:customStyle="1">
    <w:name w:val="批注主题 字符"/>
    <w:link w:val="859"/>
    <w:uiPriority w:val="99"/>
    <w:semiHidden/>
    <w:qFormat/>
    <w:rPr>
      <w:rFonts w:ascii="宋体" w:hAnsi="Times New Roman" w:eastAsia="宋体" w:cs="宋体"/>
      <w:b/>
      <w:bCs/>
      <w:sz w:val="22"/>
      <w:szCs w:val="22"/>
    </w:rPr>
  </w:style>
  <w:style w:type="paragraph" w:styleId="1053" w:customStyle="1">
    <w:name w:val="正文文本首行缩进1"/>
    <w:basedOn w:val="836"/>
    <w:link w:val="1054"/>
    <w:uiPriority w:val="99"/>
    <w:unhideWhenUsed/>
    <w:qFormat/>
    <w:pPr>
      <w:ind w:left="0" w:firstLine="420"/>
      <w:spacing w:before="0" w:after="120"/>
    </w:pPr>
    <w:rPr>
      <w:sz w:val="22"/>
      <w:szCs w:val="22"/>
    </w:rPr>
  </w:style>
  <w:style w:type="character" w:styleId="1054" w:customStyle="1">
    <w:name w:val="正文文本首行缩进 字符"/>
    <w:link w:val="1053"/>
    <w:uiPriority w:val="99"/>
    <w:qFormat/>
    <w:rPr>
      <w:rFonts w:ascii="宋体" w:hAnsi="Times New Roman" w:eastAsia="宋体" w:cs="宋体"/>
      <w:sz w:val="22"/>
      <w:szCs w:val="22"/>
    </w:rPr>
  </w:style>
  <w:style w:type="paragraph" w:styleId="1055" w:customStyle="1">
    <w:name w:val="正文文本首行缩进 21"/>
    <w:basedOn w:val="829"/>
    <w:link w:val="1056"/>
    <w:uiPriority w:val="0"/>
    <w:qFormat/>
    <w:pPr>
      <w:ind w:firstLine="420"/>
      <w:jc w:val="both"/>
    </w:pPr>
    <w:rPr>
      <w:sz w:val="21"/>
      <w:szCs w:val="24"/>
    </w:rPr>
  </w:style>
  <w:style w:type="character" w:styleId="1056" w:customStyle="1">
    <w:name w:val="正文文本首行缩进 2 字符"/>
    <w:link w:val="1055"/>
    <w:uiPriority w:val="0"/>
    <w:qFormat/>
    <w:rPr>
      <w:rFonts w:ascii="宋体" w:hAnsi="Times New Roman" w:eastAsia="宋体" w:cs="宋体"/>
      <w:sz w:val="21"/>
      <w:szCs w:val="24"/>
    </w:rPr>
  </w:style>
  <w:style w:type="paragraph" w:styleId="1057" w:customStyle="1">
    <w:name w:val="段"/>
    <w:next w:val="817"/>
    <w:uiPriority w:val="0"/>
    <w:qFormat/>
    <w:pPr>
      <w:ind w:firstLine="200"/>
      <w:jc w:val="both"/>
    </w:pPr>
    <w:rPr>
      <w:rFonts w:ascii="宋体" w:hAnsi="Times New Roman" w:eastAsia="宋体" w:cs="Times New Roman"/>
      <w:sz w:val="21"/>
      <w:lang w:val="en-US" w:eastAsia="zh-CN" w:bidi="ar-SA"/>
    </w:rPr>
  </w:style>
  <w:style w:type="paragraph" w:styleId="1058" w:customStyle="1">
    <w:name w:val="列表段落1"/>
    <w:basedOn w:val="817"/>
    <w:link w:val="1059"/>
    <w:uiPriority w:val="34"/>
    <w:qFormat/>
    <w:pPr>
      <w:ind w:left="367" w:firstLine="420"/>
      <w:spacing w:before="132"/>
    </w:pPr>
    <w:rPr>
      <w:sz w:val="24"/>
      <w:szCs w:val="24"/>
    </w:rPr>
  </w:style>
  <w:style w:type="character" w:styleId="1059" w:customStyle="1">
    <w:name w:val="列表段落 字符"/>
    <w:link w:val="1058"/>
    <w:uiPriority w:val="34"/>
    <w:qFormat/>
    <w:rPr>
      <w:rFonts w:ascii="宋体" w:cs="宋体"/>
      <w:sz w:val="24"/>
      <w:szCs w:val="24"/>
    </w:rPr>
  </w:style>
  <w:style w:type="paragraph" w:styleId="1060" w:customStyle="1">
    <w:name w:val="Table Paragraph"/>
    <w:basedOn w:val="817"/>
    <w:uiPriority w:val="1"/>
    <w:qFormat/>
    <w:pPr>
      <w:jc w:val="center"/>
      <w:spacing w:before="111"/>
    </w:pPr>
    <w:rPr>
      <w:sz w:val="24"/>
      <w:szCs w:val="24"/>
    </w:rPr>
  </w:style>
  <w:style w:type="paragraph" w:styleId="1061" w:customStyle="1">
    <w:name w:val="Plain Text2"/>
    <w:basedOn w:val="817"/>
    <w:uiPriority w:val="0"/>
    <w:qFormat/>
    <w:pPr>
      <w:jc w:val="both"/>
    </w:pPr>
    <w:rPr>
      <w:rFonts w:hAnsi="Courier New" w:eastAsia="楷体_GB2312" w:cs="Times New Roman"/>
      <w:sz w:val="28"/>
      <w:szCs w:val="24"/>
    </w:rPr>
  </w:style>
  <w:style w:type="paragraph" w:styleId="1062" w:customStyle="1">
    <w:name w:val="列表段落11"/>
    <w:basedOn w:val="817"/>
    <w:uiPriority w:val="34"/>
    <w:qFormat/>
    <w:pPr>
      <w:ind w:firstLine="420"/>
      <w:jc w:val="both"/>
    </w:pPr>
    <w:rPr>
      <w:rFonts w:ascii="等线" w:hAnsi="等线" w:eastAsia="等线" w:cs="Times New Roman"/>
      <w:sz w:val="21"/>
      <w:szCs w:val="24"/>
    </w:rPr>
  </w:style>
  <w:style w:type="paragraph" w:styleId="1063" w:customStyle="1">
    <w:name w:val="彩色列表 - 强调文字颜色 11"/>
    <w:basedOn w:val="817"/>
    <w:uiPriority w:val="0"/>
    <w:qFormat/>
    <w:pPr>
      <w:ind w:firstLine="420"/>
      <w:jc w:val="both"/>
    </w:pPr>
    <w:rPr>
      <w:rFonts w:ascii="Times New Roman" w:eastAsia="等线" w:cs="Times New Roman"/>
      <w:sz w:val="21"/>
      <w:szCs w:val="24"/>
    </w:rPr>
  </w:style>
  <w:style w:type="character" w:styleId="1064" w:customStyle="1">
    <w:name w:val="标题 4 Char"/>
    <w:uiPriority w:val="0"/>
    <w:qFormat/>
    <w:rPr>
      <w:rFonts w:ascii="Arial" w:hAnsi="Arial" w:eastAsia="黑体"/>
      <w:b/>
      <w:sz w:val="28"/>
    </w:rPr>
  </w:style>
  <w:style w:type="paragraph" w:styleId="1065" w:customStyle="1">
    <w:name w:val="xl24"/>
    <w:basedOn w:val="817"/>
    <w:uiPriority w:val="0"/>
    <w:qFormat/>
    <w:pPr>
      <w:jc w:val="center"/>
      <w:spacing w:before="100" w:beforeAutospacing="1" w:after="100" w:afterAutospacing="1"/>
      <w:widowControl/>
    </w:pPr>
    <w:rPr>
      <w:rFonts w:hint="eastAsia" w:hAnsi="宋体" w:cs="Times New Roman"/>
      <w:sz w:val="24"/>
      <w:szCs w:val="24"/>
    </w:rPr>
  </w:style>
  <w:style w:type="character" w:styleId="1066" w:customStyle="1">
    <w:name w:val="正文文本缩进 字符1"/>
    <w:uiPriority w:val="0"/>
    <w:qFormat/>
    <w:rPr>
      <w:rFonts w:ascii="宋体" w:eastAsia="宋体"/>
      <w:sz w:val="28"/>
      <w:lang w:val="en-US" w:eastAsia="zh-CN" w:bidi="ar-SA"/>
    </w:rPr>
  </w:style>
  <w:style w:type="character" w:styleId="1067" w:customStyle="1">
    <w:name w:val="方案正文 Char"/>
    <w:link w:val="1068"/>
    <w:uiPriority w:val="0"/>
    <w:qFormat/>
    <w:rPr>
      <w:sz w:val="24"/>
    </w:rPr>
  </w:style>
  <w:style w:type="paragraph" w:styleId="1068" w:customStyle="1">
    <w:name w:val="方案正文"/>
    <w:basedOn w:val="817"/>
    <w:link w:val="1067"/>
    <w:uiPriority w:val="0"/>
    <w:qFormat/>
    <w:pPr>
      <w:jc w:val="both"/>
      <w:spacing w:line="440" w:lineRule="atLeast"/>
    </w:pPr>
    <w:rPr>
      <w:rFonts w:ascii="Times New Roman" w:cs="Times New Roman"/>
      <w:sz w:val="24"/>
      <w:szCs w:val="20"/>
    </w:rPr>
  </w:style>
  <w:style w:type="paragraph" w:styleId="1069" w:customStyle="1">
    <w:name w:val="列出段落2"/>
    <w:basedOn w:val="817"/>
    <w:uiPriority w:val="34"/>
    <w:qFormat/>
    <w:pPr>
      <w:ind w:firstLine="420"/>
      <w:jc w:val="both"/>
      <w:spacing w:line="360" w:lineRule="auto"/>
    </w:pPr>
    <w:rPr>
      <w:rFonts w:ascii="Calibri" w:hAnsi="Calibri" w:cs="Times New Roman"/>
      <w:sz w:val="24"/>
      <w:szCs w:val="20"/>
    </w:rPr>
  </w:style>
  <w:style w:type="paragraph" w:styleId="1070" w:customStyle="1">
    <w:name w:val="列出段落12"/>
    <w:basedOn w:val="817"/>
    <w:uiPriority w:val="0"/>
    <w:qFormat/>
    <w:pPr>
      <w:ind w:firstLine="420"/>
      <w:jc w:val="both"/>
    </w:pPr>
    <w:rPr>
      <w:rFonts w:ascii="Times New Roman" w:cs="Times New Roman"/>
      <w:sz w:val="21"/>
      <w:szCs w:val="20"/>
    </w:rPr>
  </w:style>
  <w:style w:type="paragraph" w:styleId="1071" w:customStyle="1">
    <w:name w:val="列出段落5"/>
    <w:basedOn w:val="817"/>
    <w:uiPriority w:val="0"/>
    <w:qFormat/>
    <w:pPr>
      <w:ind w:firstLine="420"/>
      <w:jc w:val="both"/>
    </w:pPr>
    <w:rPr>
      <w:rFonts w:ascii="Calibri" w:hAnsi="Calibri" w:cs="Times New Roman"/>
      <w:sz w:val="21"/>
      <w:szCs w:val="20"/>
    </w:rPr>
  </w:style>
  <w:style w:type="paragraph" w:styleId="1072" w:customStyle="1">
    <w:name w:val="正文1"/>
    <w:basedOn w:val="817"/>
    <w:next w:val="817"/>
    <w:uiPriority w:val="0"/>
    <w:qFormat/>
    <w:pPr>
      <w:ind w:firstLine="420"/>
      <w:jc w:val="both"/>
      <w:spacing w:line="360" w:lineRule="auto"/>
      <w:tabs>
        <w:tab w:val="left" w:pos="420" w:leader="none"/>
      </w:tabs>
    </w:pPr>
    <w:rPr>
      <w:rFonts w:hAnsi="宋体" w:cs="Times New Roman"/>
      <w:sz w:val="21"/>
      <w:szCs w:val="20"/>
    </w:rPr>
  </w:style>
  <w:style w:type="character" w:styleId="1073" w:customStyle="1">
    <w:name w:val="font41"/>
    <w:uiPriority w:val="0"/>
    <w:qFormat/>
    <w:rPr>
      <w:rFonts w:hint="eastAsia" w:ascii="宋体" w:hAnsi="宋体" w:eastAsia="宋体" w:cs="宋体"/>
      <w:color w:val="000000"/>
      <w:sz w:val="20"/>
      <w:szCs w:val="20"/>
      <w:u w:val="none"/>
    </w:rPr>
  </w:style>
  <w:style w:type="character" w:styleId="1074" w:customStyle="1">
    <w:name w:val="Plain Text Char1"/>
    <w:link w:val="1075"/>
    <w:uiPriority w:val="0"/>
    <w:qFormat/>
    <w:rPr>
      <w:rFonts w:ascii="宋体" w:hAnsi="Courier New" w:eastAsia="楷体_GB2312"/>
      <w:sz w:val="26"/>
    </w:rPr>
  </w:style>
  <w:style w:type="paragraph" w:styleId="1075" w:customStyle="1">
    <w:name w:val="纯文本1"/>
    <w:basedOn w:val="817"/>
    <w:link w:val="1074"/>
    <w:uiPriority w:val="0"/>
    <w:qFormat/>
    <w:pPr>
      <w:jc w:val="both"/>
    </w:pPr>
    <w:rPr>
      <w:rFonts w:hAnsi="Courier New" w:eastAsia="楷体_GB2312" w:cs="Times New Roman"/>
      <w:sz w:val="26"/>
      <w:szCs w:val="20"/>
    </w:rPr>
  </w:style>
  <w:style w:type="character" w:styleId="1076" w:customStyle="1">
    <w:name w:val="页眉 字符2"/>
    <w:uiPriority w:val="99"/>
    <w:qFormat/>
    <w:rPr>
      <w:rFonts w:eastAsia="宋体"/>
      <w:sz w:val="18"/>
      <w:lang w:val="en-US" w:eastAsia="zh-CN" w:bidi="ar-SA"/>
    </w:rPr>
  </w:style>
  <w:style w:type="character" w:styleId="1077" w:customStyle="1">
    <w:name w:val="页脚 字符2"/>
    <w:uiPriority w:val="99"/>
    <w:qFormat/>
    <w:rPr>
      <w:rFonts w:eastAsia="宋体"/>
      <w:sz w:val="18"/>
      <w:lang w:val="en-US" w:eastAsia="zh-CN" w:bidi="ar-SA"/>
    </w:rPr>
  </w:style>
  <w:style w:type="character" w:styleId="1078" w:customStyle="1">
    <w:name w:val="01 章标 Char"/>
    <w:link w:val="1079"/>
    <w:uiPriority w:val="0"/>
    <w:qFormat/>
    <w:rPr>
      <w:b/>
      <w:sz w:val="44"/>
      <w:szCs w:val="44"/>
    </w:rPr>
  </w:style>
  <w:style w:type="paragraph" w:styleId="1079" w:customStyle="1">
    <w:name w:val="01 章标"/>
    <w:basedOn w:val="817"/>
    <w:link w:val="1078"/>
    <w:uiPriority w:val="0"/>
    <w:qFormat/>
    <w:pPr>
      <w:ind w:firstLine="883"/>
      <w:jc w:val="center"/>
      <w:outlineLvl w:val="0"/>
    </w:pPr>
    <w:rPr>
      <w:rFonts w:ascii="Times New Roman" w:cs="Times New Roman"/>
      <w:b/>
      <w:sz w:val="44"/>
      <w:szCs w:val="44"/>
    </w:rPr>
  </w:style>
  <w:style w:type="character" w:styleId="1080" w:customStyle="1">
    <w:name w:val="纯文本 字符1"/>
    <w:uiPriority w:val="99"/>
    <w:qFormat/>
    <w:rPr>
      <w:rFonts w:ascii="宋体" w:hAnsi="Courier New" w:eastAsia="宋体" w:cs="Courier New"/>
      <w:sz w:val="21"/>
      <w:szCs w:val="21"/>
    </w:rPr>
  </w:style>
  <w:style w:type="paragraph" w:styleId="1081"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82"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83" w:customStyle="1">
    <w:name w:val="未处理的提及1"/>
    <w:uiPriority w:val="99"/>
    <w:unhideWhenUsed/>
    <w:qFormat/>
    <w:rPr>
      <w:color w:val="605e5c"/>
      <w:shd w:val="clear" w:color="auto" w:fill="e1dfdd"/>
    </w:rPr>
  </w:style>
  <w:style w:type="character" w:styleId="1084" w:customStyle="1">
    <w:name w:val="font01"/>
    <w:uiPriority w:val="0"/>
    <w:qFormat/>
    <w:rPr>
      <w:rFonts w:ascii="Arial" w:hAnsi="Arial" w:cs="Arial"/>
      <w:color w:val="000000"/>
      <w:sz w:val="20"/>
      <w:szCs w:val="20"/>
      <w:u w:val="none"/>
    </w:rPr>
  </w:style>
  <w:style w:type="paragraph" w:styleId="1085"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86" w:customStyle="1">
    <w:name w:val="NormalCharacter1"/>
    <w:uiPriority w:val="0"/>
    <w:qFormat/>
  </w:style>
  <w:style w:type="paragraph" w:styleId="1087" w:customStyle="1">
    <w:name w:val="Andy_正文"/>
    <w:basedOn w:val="817"/>
    <w:uiPriority w:val="0"/>
    <w:qFormat/>
    <w:pPr>
      <w:ind w:firstLine="480"/>
      <w:jc w:val="both"/>
      <w:spacing w:line="360" w:lineRule="auto"/>
    </w:pPr>
    <w:rPr>
      <w:rFonts w:ascii="Times New Roman" w:cs="Times New Roman"/>
      <w:sz w:val="24"/>
      <w:szCs w:val="24"/>
    </w:rPr>
  </w:style>
  <w:style w:type="character" w:styleId="1088" w:customStyle="1">
    <w:name w:val="font51"/>
    <w:uiPriority w:val="0"/>
    <w:qFormat/>
    <w:rPr>
      <w:rFonts w:hint="eastAsia" w:ascii="宋体" w:hAnsi="宋体" w:eastAsia="宋体" w:cs="宋体"/>
      <w:b/>
      <w:bCs/>
      <w:color w:val="000000"/>
      <w:sz w:val="21"/>
      <w:szCs w:val="21"/>
      <w:u w:val="none"/>
    </w:rPr>
  </w:style>
  <w:style w:type="character" w:styleId="1089" w:customStyle="1">
    <w:name w:val="font71"/>
    <w:uiPriority w:val="0"/>
    <w:qFormat/>
    <w:rPr>
      <w:rFonts w:hint="eastAsia" w:ascii="宋体" w:hAnsi="宋体" w:eastAsia="宋体" w:cs="宋体"/>
      <w:color w:val="000000"/>
      <w:sz w:val="24"/>
      <w:szCs w:val="24"/>
      <w:u w:val="none"/>
    </w:rPr>
  </w:style>
  <w:style w:type="character" w:styleId="1090" w:customStyle="1">
    <w:name w:val="font91"/>
    <w:uiPriority w:val="0"/>
    <w:qFormat/>
    <w:rPr>
      <w:rFonts w:hint="eastAsia" w:ascii="宋体" w:hAnsi="宋体" w:eastAsia="宋体" w:cs="宋体"/>
      <w:color w:val="000000"/>
      <w:sz w:val="21"/>
      <w:szCs w:val="21"/>
      <w:u w:val="none"/>
    </w:rPr>
  </w:style>
  <w:style w:type="character" w:styleId="1091" w:customStyle="1">
    <w:name w:val="font61"/>
    <w:uiPriority w:val="0"/>
    <w:qFormat/>
    <w:rPr>
      <w:rFonts w:hint="eastAsia" w:ascii="宋体" w:hAnsi="宋体" w:eastAsia="宋体" w:cs="宋体"/>
      <w:color w:val="000000"/>
      <w:sz w:val="21"/>
      <w:szCs w:val="21"/>
      <w:u w:val="none"/>
    </w:rPr>
  </w:style>
  <w:style w:type="character" w:styleId="1092" w:customStyle="1">
    <w:name w:val="font81"/>
    <w:uiPriority w:val="0"/>
    <w:qFormat/>
    <w:rPr>
      <w:rFonts w:ascii="Calibri" w:hAnsi="Calibri" w:cs="Calibri"/>
      <w:color w:val="000000"/>
      <w:sz w:val="21"/>
      <w:szCs w:val="21"/>
      <w:u w:val="none"/>
    </w:rPr>
  </w:style>
  <w:style w:type="character" w:styleId="1093" w:customStyle="1">
    <w:name w:val="font101"/>
    <w:uiPriority w:val="0"/>
    <w:qFormat/>
    <w:rPr>
      <w:rFonts w:ascii="Calibri" w:hAnsi="Calibri" w:cs="Calibri"/>
      <w:b/>
      <w:bCs/>
      <w:color w:val="000000"/>
      <w:sz w:val="21"/>
      <w:szCs w:val="21"/>
      <w:u w:val="none"/>
    </w:rPr>
  </w:style>
  <w:style w:type="character" w:styleId="1094" w:customStyle="1">
    <w:name w:val="font111"/>
    <w:uiPriority w:val="0"/>
    <w:qFormat/>
    <w:rPr>
      <w:rFonts w:hint="eastAsia" w:ascii="宋体" w:hAnsi="宋体" w:eastAsia="宋体" w:cs="宋体"/>
      <w:b/>
      <w:bCs/>
      <w:color w:val="000000"/>
      <w:sz w:val="22"/>
      <w:szCs w:val="22"/>
      <w:u w:val="none"/>
    </w:rPr>
  </w:style>
  <w:style w:type="character" w:styleId="1095" w:customStyle="1">
    <w:name w:val="正文缩进 字符1"/>
    <w:uiPriority w:val="0"/>
    <w:qFormat/>
    <w:rPr>
      <w:rFonts w:eastAsia="宋体"/>
      <w:sz w:val="21"/>
      <w:szCs w:val="24"/>
      <w:lang w:val="en-US" w:eastAsia="zh-CN" w:bidi="ar-SA"/>
    </w:rPr>
  </w:style>
  <w:style w:type="paragraph" w:styleId="1096" w:customStyle="1">
    <w:name w:val="首行缩进"/>
    <w:basedOn w:val="817"/>
    <w:uiPriority w:val="0"/>
    <w:qFormat/>
    <w:pPr>
      <w:ind w:firstLine="480"/>
    </w:pPr>
    <w:rPr>
      <w:szCs w:val="20"/>
      <w:lang w:val="zh-CN"/>
    </w:rPr>
  </w:style>
  <w:style w:type="character" w:styleId="1097" w:customStyle="1">
    <w:name w:val="纯文本 字符2"/>
    <w:link w:val="834"/>
    <w:uiPriority w:val="0"/>
    <w:qFormat/>
    <w:rPr>
      <w:rFonts w:ascii="宋体" w:hAnsi="Courier New" w:eastAsia="楷体_GB2312"/>
      <w:sz w:val="26"/>
    </w:rPr>
  </w:style>
  <w:style w:type="paragraph" w:styleId="1098" w:customStyle="1">
    <w:name w:val="+正文"/>
    <w:basedOn w:val="817"/>
    <w:uiPriority w:val="0"/>
    <w:qFormat/>
    <w:pPr>
      <w:ind w:firstLine="200"/>
      <w:spacing w:line="360" w:lineRule="auto"/>
      <w:widowControl/>
    </w:pPr>
    <w:rPr>
      <w:rFonts w:ascii="Times New Roman" w:cs="Times New Roman"/>
      <w:sz w:val="24"/>
      <w:szCs w:val="24"/>
    </w:rPr>
  </w:style>
  <w:style w:type="paragraph" w:styleId="1099" w:customStyle="1">
    <w:name w:val="*正文"/>
    <w:basedOn w:val="817"/>
    <w:uiPriority w:val="0"/>
    <w:qFormat/>
    <w:rPr>
      <w:rFonts w:hAnsi="宋体"/>
      <w:sz w:val="24"/>
      <w:lang w:val="zh-CN"/>
    </w:rPr>
  </w:style>
  <w:style w:type="paragraph" w:styleId="1100" w:customStyle="1">
    <w:name w:val="p17"/>
    <w:basedOn w:val="817"/>
    <w:uiPriority w:val="99"/>
    <w:qFormat/>
    <w:pPr>
      <w:widowControl/>
    </w:pPr>
    <w:rPr>
      <w:rFonts w:hAnsi="宋体"/>
      <w:sz w:val="26"/>
      <w:szCs w:val="26"/>
    </w:rPr>
  </w:style>
  <w:style w:type="paragraph" w:styleId="1101" w:customStyle="1">
    <w:name w:val="列出段落1"/>
    <w:basedOn w:val="817"/>
    <w:uiPriority w:val="0"/>
    <w:qFormat/>
    <w:pPr>
      <w:ind w:firstLine="420"/>
    </w:pPr>
    <w:rPr>
      <w:rFonts w:ascii="Calibri" w:hAnsi="Calibri"/>
    </w:rPr>
  </w:style>
  <w:style w:type="character" w:styleId="1102" w:customStyle="1">
    <w:name w:val="正文缩进 Char"/>
    <w:uiPriority w:val="0"/>
    <w:qFormat/>
    <w:rPr>
      <w:rFonts w:eastAsia="楷体_GB2312"/>
      <w:sz w:val="24"/>
      <w:lang w:bidi="ar-SA"/>
    </w:rPr>
  </w:style>
  <w:style w:type="paragraph" w:styleId="1103" w:customStyle="1">
    <w:name w:val="Char"/>
    <w:basedOn w:val="817"/>
    <w:uiPriority w:val="0"/>
    <w:qFormat/>
    <w:pPr>
      <w:spacing w:after="160" w:line="240" w:lineRule="exact"/>
      <w:widowControl/>
    </w:pPr>
    <w:rPr>
      <w:rFonts w:ascii="Verdana" w:hAnsi="Verdana" w:eastAsia="仿宋_GB2312" w:cs="Times New Roman"/>
      <w:sz w:val="24"/>
      <w:lang w:eastAsia="en-US"/>
    </w:rPr>
  </w:style>
  <w:style w:type="character" w:styleId="1104" w:customStyle="1">
    <w:name w:val="正文缩进 字符3"/>
    <w:uiPriority w:val="0"/>
    <w:qFormat/>
    <w:rPr>
      <w:sz w:val="21"/>
    </w:rPr>
  </w:style>
  <w:style w:type="character" w:styleId="1105" w:customStyle="1">
    <w:name w:val="Plain Text Char Char"/>
    <w:link w:val="1106"/>
    <w:uiPriority w:val="0"/>
    <w:qFormat/>
    <w:rPr>
      <w:rFonts w:ascii="宋体" w:hAnsi="Courier New" w:eastAsia="楷体_GB2312"/>
      <w:sz w:val="26"/>
    </w:rPr>
  </w:style>
  <w:style w:type="paragraph" w:styleId="1106" w:customStyle="1">
    <w:name w:val="纯文本2"/>
    <w:basedOn w:val="817"/>
    <w:link w:val="1105"/>
    <w:uiPriority w:val="0"/>
    <w:qFormat/>
    <w:pPr>
      <w:jc w:val="both"/>
    </w:pPr>
    <w:rPr>
      <w:rFonts w:hAnsi="Courier New" w:eastAsia="楷体_GB2312" w:cs="Times New Roman"/>
      <w:sz w:val="26"/>
      <w:szCs w:val="20"/>
    </w:rPr>
  </w:style>
  <w:style w:type="character" w:styleId="1107" w:customStyle="1">
    <w:name w:val="正文文本 Char"/>
    <w:uiPriority w:val="99"/>
    <w:qFormat/>
    <w:rPr>
      <w:rFonts w:ascii="宋体" w:hAnsi="Times New Roman" w:eastAsia="宋体" w:cs="宋体"/>
      <w:szCs w:val="21"/>
    </w:rPr>
  </w:style>
  <w:style w:type="character" w:styleId="1108" w:customStyle="1">
    <w:name w:val="纯文本 Char"/>
    <w:uiPriority w:val="0"/>
    <w:qFormat/>
    <w:rPr>
      <w:rFonts w:ascii="宋体" w:hAnsi="Courier New" w:eastAsia="楷体_GB2312"/>
      <w:sz w:val="26"/>
    </w:rPr>
  </w:style>
  <w:style w:type="paragraph" w:styleId="1109" w:customStyle="1">
    <w:name w:val="_Style 172"/>
    <w:basedOn w:val="817"/>
    <w:next w:val="917"/>
    <w:uiPriority w:val="0"/>
    <w:qFormat/>
    <w:pPr>
      <w:ind w:firstLine="420"/>
      <w:jc w:val="both"/>
      <w:spacing w:line="360" w:lineRule="auto"/>
    </w:pPr>
    <w:rPr>
      <w:rFonts w:ascii="Calibri" w:hAnsi="Calibri" w:cs="Times New Roman"/>
      <w:sz w:val="24"/>
      <w:szCs w:val="20"/>
    </w:rPr>
  </w:style>
  <w:style w:type="character" w:styleId="1110" w:customStyle="1">
    <w:name w:val="_正文段落 Char"/>
    <w:link w:val="1111"/>
    <w:uiPriority w:val="0"/>
    <w:qFormat/>
    <w:rPr>
      <w:rFonts w:ascii="宋体" w:hAnsi="宋体"/>
      <w:sz w:val="24"/>
      <w:szCs w:val="24"/>
    </w:rPr>
  </w:style>
  <w:style w:type="paragraph" w:styleId="1111" w:customStyle="1">
    <w:name w:val="_正文段落"/>
    <w:basedOn w:val="817"/>
    <w:next w:val="817"/>
    <w:link w:val="1110"/>
    <w:uiPriority w:val="0"/>
    <w:qFormat/>
    <w:pPr>
      <w:ind w:firstLine="200"/>
      <w:jc w:val="both"/>
      <w:spacing w:line="360" w:lineRule="auto"/>
    </w:pPr>
    <w:rPr>
      <w:rFonts w:hAnsi="宋体" w:cs="Times New Roman"/>
      <w:sz w:val="24"/>
      <w:szCs w:val="24"/>
    </w:rPr>
  </w:style>
  <w:style w:type="table" w:styleId="1112"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13" w:customStyle="1">
    <w:name w:val="批注框文本 字符"/>
    <w:basedOn w:val="827"/>
    <w:link w:val="844"/>
    <w:uiPriority w:val="99"/>
    <w:semiHidden/>
    <w:qFormat/>
    <w:rPr>
      <w:rFonts w:ascii="宋体" w:cs="宋体"/>
      <w:sz w:val="18"/>
      <w:szCs w:val="18"/>
    </w:rPr>
  </w:style>
  <w:style w:type="character" w:styleId="1114" w:customStyle="1">
    <w:name w:val="正文文本首行缩进 2 字符1"/>
    <w:basedOn w:val="1045"/>
    <w:link w:val="861"/>
    <w:uiPriority w:val="99"/>
    <w:semiHidden/>
    <w:qFormat/>
    <w:rPr>
      <w:rFonts w:ascii="宋体" w:hAnsi="Times New Roman" w:eastAsia="宋体" w:cs="宋体"/>
      <w:sz w:val="22"/>
      <w:szCs w:val="22"/>
    </w:rPr>
  </w:style>
  <w:style w:type="character" w:styleId="1115" w:customStyle="1">
    <w:name w:val="纯文本 Char Char"/>
    <w:link w:val="1116"/>
    <w:uiPriority w:val="0"/>
    <w:qFormat/>
    <w:rPr>
      <w:rFonts w:ascii="宋体" w:hAnsi="Courier New" w:eastAsia="楷体_GB2312"/>
      <w:sz w:val="26"/>
      <w:szCs w:val="24"/>
    </w:rPr>
  </w:style>
  <w:style w:type="paragraph" w:styleId="1116" w:customStyle="1">
    <w:name w:val="纯文本11"/>
    <w:basedOn w:val="817"/>
    <w:next w:val="1117"/>
    <w:link w:val="1115"/>
    <w:uiPriority w:val="0"/>
    <w:qFormat/>
    <w:pPr>
      <w:widowControl/>
    </w:pPr>
    <w:rPr>
      <w:rFonts w:hAnsi="Courier New" w:eastAsia="楷体_GB2312" w:cs="Times New Roman"/>
      <w:sz w:val="26"/>
      <w:szCs w:val="24"/>
    </w:rPr>
  </w:style>
  <w:style w:type="paragraph" w:styleId="1117" w:customStyle="1">
    <w:name w:val="页眉1"/>
    <w:basedOn w:val="817"/>
    <w:next w:val="81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118">
    <w:name w:val="Placeholder Text"/>
    <w:basedOn w:val="827"/>
    <w:uiPriority w:val="99"/>
    <w:semiHidden/>
    <w:qFormat/>
    <w:rPr>
      <w:color w:val="808080"/>
    </w:rPr>
  </w:style>
  <w:style w:type="character" w:styleId="1119" w:customStyle="1">
    <w:name w:val="Table Text Char1"/>
    <w:link w:val="1120"/>
    <w:uiPriority w:val="0"/>
    <w:qFormat/>
    <w:rPr>
      <w:rFonts w:ascii="Arial" w:hAnsi="Arial" w:eastAsia="Times New Roman" w:cs="Arial"/>
      <w:sz w:val="18"/>
      <w:szCs w:val="18"/>
    </w:rPr>
  </w:style>
  <w:style w:type="paragraph" w:styleId="1120" w:customStyle="1">
    <w:name w:val="Table Text"/>
    <w:link w:val="1119"/>
    <w:uiPriority w:val="0"/>
    <w:qFormat/>
    <w:pPr>
      <w:spacing w:before="80" w:after="80"/>
    </w:pPr>
    <w:rPr>
      <w:rFonts w:ascii="Arial" w:hAnsi="Arial" w:eastAsia="Times New Roman" w:cs="Arial"/>
      <w:sz w:val="18"/>
      <w:szCs w:val="18"/>
      <w:lang w:val="en-US" w:eastAsia="zh-CN" w:bidi="ar-SA"/>
    </w:rPr>
  </w:style>
  <w:style w:type="paragraph" w:styleId="1121" w:customStyle="1">
    <w:name w:val="文档结构图1"/>
    <w:basedOn w:val="817"/>
    <w:next w:val="1116"/>
    <w:uiPriority w:val="0"/>
    <w:qFormat/>
    <w:pPr>
      <w:widowControl/>
      <w:framePr w:wrap="around" w:vAnchor="margin" w:hAnchor="text" w:y="1"/>
    </w:pPr>
    <w:rPr>
      <w:rFonts w:eastAsia="Arial Unicode MS" w:cs="Times New Roman"/>
      <w:sz w:val="18"/>
      <w:szCs w:val="18"/>
      <w:lang w:eastAsia="en-US"/>
    </w:rPr>
  </w:style>
  <w:style w:type="paragraph" w:styleId="1122" w:customStyle="1">
    <w:name w:val="正文文本缩进1"/>
    <w:basedOn w:val="817"/>
    <w:next w:val="871"/>
    <w:uiPriority w:val="99"/>
    <w:unhideWhenUsed/>
    <w:qFormat/>
    <w:pPr>
      <w:ind w:left="420"/>
      <w:spacing w:after="120"/>
    </w:pPr>
    <w:rPr>
      <w:rFonts w:cs="Times New Roman"/>
      <w:szCs w:val="20"/>
    </w:rPr>
  </w:style>
  <w:style w:type="paragraph" w:styleId="1123" w:customStyle="1">
    <w:name w:val="_正文"/>
    <w:basedOn w:val="817"/>
    <w:uiPriority w:val="0"/>
    <w:qFormat/>
    <w:pPr>
      <w:ind w:firstLine="200"/>
      <w:spacing w:line="360" w:lineRule="auto"/>
    </w:pPr>
    <w:rPr>
      <w:sz w:val="24"/>
      <w:szCs w:val="24"/>
    </w:rPr>
  </w:style>
  <w:style w:type="paragraph" w:styleId="1124" w:customStyle="1">
    <w:name w:val="纯文本3"/>
    <w:basedOn w:val="817"/>
    <w:uiPriority w:val="0"/>
    <w:qFormat/>
    <w:rPr>
      <w:rFonts w:hAnsi="Courier New" w:eastAsia="楷体_GB2312"/>
      <w:sz w:val="26"/>
      <w:szCs w:val="20"/>
    </w:rPr>
  </w:style>
  <w:style w:type="paragraph" w:styleId="1125" w:customStyle="1">
    <w:name w:val="文档结构图11"/>
    <w:basedOn w:val="817"/>
    <w:next w:val="872"/>
    <w:uiPriority w:val="0"/>
    <w:qFormat/>
    <w:pPr>
      <w:shd w:val="clear" w:color="auto" w:fill="000080"/>
    </w:pPr>
  </w:style>
  <w:style w:type="paragraph" w:styleId="1126" w:customStyle="1">
    <w:name w:val="目录 11"/>
    <w:basedOn w:val="817"/>
    <w:next w:val="817"/>
    <w:uiPriority w:val="0"/>
    <w:qFormat/>
    <w:pPr>
      <w:ind w:left="480"/>
      <w:spacing w:line="360" w:lineRule="auto"/>
      <w:tabs>
        <w:tab w:val="right" w:pos="9022" w:leader="dot"/>
      </w:tabs>
    </w:pPr>
    <w:rPr>
      <w:rFonts w:eastAsia="楷体_GB2312"/>
      <w:b/>
      <w:sz w:val="32"/>
      <w:szCs w:val="32"/>
    </w:rPr>
  </w:style>
  <w:style w:type="paragraph" w:styleId="1127" w:customStyle="1">
    <w:name w:val="正文空2格  1."/>
    <w:basedOn w:val="817"/>
    <w:uiPriority w:val="0"/>
    <w:qFormat/>
    <w:pPr>
      <w:ind w:firstLine="480"/>
      <w:jc w:val="both"/>
      <w:spacing w:line="360" w:lineRule="auto"/>
      <w:widowControl w:val="off"/>
    </w:pPr>
    <w:rPr>
      <w:rFonts w:hint="eastAsia" w:ascii="宋体" w:hAnsi="Times New Roman" w:eastAsia="仿宋"/>
      <w:sz w:val="28"/>
      <w:szCs w:val="20"/>
    </w:rPr>
  </w:style>
  <w:style w:type="paragraph" w:styleId="1128" w:customStyle="1">
    <w:name w:val="标题 31"/>
    <w:basedOn w:val="817"/>
    <w:next w:val="817"/>
    <w:uiPriority w:val="0"/>
    <w:qFormat/>
    <w:pPr>
      <w:jc w:val="left"/>
      <w:keepLines/>
      <w:keepNext/>
      <w:spacing w:before="360" w:after="120"/>
      <w:outlineLvl w:val="2"/>
    </w:pPr>
    <w:rPr>
      <w:rFonts w:ascii="宋体"/>
      <w:b/>
      <w:sz w:val="24"/>
      <w:szCs w:val="20"/>
      <w:u w:val="single"/>
    </w:rPr>
  </w:style>
  <w:style w:type="paragraph" w:styleId="1129"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1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1D1813-679F-4AF2-B2EC-DDC13EAC4CD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岳晨露</cp:lastModifiedBy>
  <cp:revision>166</cp:revision>
  <dcterms:created xsi:type="dcterms:W3CDTF">2024-08-07T02:37:00Z</dcterms:created>
  <dcterms:modified xsi:type="dcterms:W3CDTF">2026-05-25T07:34:38Z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52432023795B45CCA04FC17C63DF6585_13</vt:lpwstr>
  </property>
  <property fmtid="{D5CDD505-2E9C-101B-9397-08002B2CF9AE}" pid="4" name="KSOTemplateDocerSaveRecord">
    <vt:lpwstr>eyJoZGlkIjoiNDM5MGUxMDM5ZjY2NTQwMzVmMDgxNmRlMzhmYmMzNDEiLCJ1c2VySWQiOiIyMzY3OTU4OTQifQ==</vt:lpwstr>
  </property>
</Properties>
</file>